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9"/>
        <w:ind w:firstLine="0"/>
        <w:tabs>
          <w:tab w:val="left" w:pos="2040" w:leader="none"/>
        </w:tabs>
        <w:rPr>
          <w:rFonts w:ascii="Times New Roman" w:hAnsi="Times New Roman" w:eastAsia="华文中宋"/>
          <w:b/>
          <w:bCs/>
          <w:spacing w:val="-48"/>
          <w:sz w:val="72"/>
          <w:szCs w:val="72"/>
        </w:rPr>
      </w:pPr>
      <w:r>
        <w:rPr>
          <w:rFonts w:ascii="Times New Roman" w:hAnsi="Times New Roman" w:eastAsia="华文中宋"/>
          <w:b/>
          <w:bCs/>
          <w:spacing w:val="-48"/>
          <w:sz w:val="72"/>
          <w:szCs w:val="72"/>
        </w:rPr>
      </w:r>
      <w:r/>
    </w:p>
    <w:p>
      <w:pPr>
        <w:pStyle w:val="1089"/>
        <w:ind w:firstLine="0"/>
        <w:jc w:val="center"/>
        <w:rPr>
          <w:rFonts w:eastAsia="华文中宋"/>
          <w:b/>
          <w:bCs/>
          <w:color w:val="000000"/>
          <w:spacing w:val="-45"/>
          <w:sz w:val="72"/>
          <w:szCs w:val="72"/>
        </w:rPr>
      </w:pPr>
      <w:r>
        <w:rPr>
          <w:rFonts w:hint="eastAsia" w:eastAsia="华文中宋"/>
          <w:b/>
          <w:bCs/>
          <w:color w:val="000000"/>
          <w:spacing w:val="-45"/>
          <w:sz w:val="56"/>
          <w:szCs w:val="56"/>
        </w:rPr>
        <w:t xml:space="preserve">江苏省特种设备安全监督检验研究院</w:t>
      </w:r>
      <w:r/>
    </w:p>
    <w:p>
      <w:pPr>
        <w:pStyle w:val="1089"/>
        <w:ind w:firstLine="0"/>
        <w:jc w:val="center"/>
        <w:rPr>
          <w:rFonts w:eastAsia="华文中宋"/>
          <w:b/>
          <w:bCs/>
          <w:color w:val="000000"/>
          <w:spacing w:val="-23"/>
          <w:sz w:val="72"/>
          <w:szCs w:val="72"/>
        </w:rPr>
      </w:pPr>
      <w:r>
        <w:rPr>
          <w:rFonts w:eastAsia="华文中宋"/>
          <w:b/>
          <w:bCs/>
          <w:color w:val="000000"/>
          <w:spacing w:val="-23"/>
          <w:sz w:val="72"/>
          <w:szCs w:val="72"/>
        </w:rPr>
      </w:r>
      <w:r/>
    </w:p>
    <w:p>
      <w:pPr>
        <w:pStyle w:val="1089"/>
        <w:ind w:firstLine="0"/>
        <w:jc w:val="center"/>
        <w:rPr>
          <w:rFonts w:ascii="Times New Roman" w:hAnsi="Times New Roman" w:eastAsia="黑体"/>
          <w:b/>
          <w:bCs/>
          <w:sz w:val="84"/>
        </w:rPr>
      </w:pPr>
      <w:r>
        <w:rPr>
          <w:rFonts w:ascii="Times New Roman" w:hAnsi="Times New Roman" w:eastAsia="黑体"/>
          <w:b/>
          <w:bCs/>
          <w:sz w:val="84"/>
        </w:rPr>
        <w:t xml:space="preserve">招　标　文　件</w:t>
      </w:r>
      <w:r/>
    </w:p>
    <w:p>
      <w:pPr>
        <w:pStyle w:val="1089"/>
        <w:ind w:firstLine="0"/>
        <w:jc w:val="center"/>
        <w:rPr>
          <w:rFonts w:ascii="Times New Roman" w:hAnsi="Times New Roman" w:eastAsia="黑体"/>
          <w:b/>
          <w:bCs/>
          <w:sz w:val="84"/>
        </w:rPr>
      </w:pPr>
      <w:r>
        <w:rPr>
          <w:rFonts w:ascii="Times New Roman" w:hAnsi="Times New Roman" w:eastAsia="黑体"/>
          <w:b/>
          <w:bCs/>
          <w:sz w:val="84"/>
        </w:rPr>
      </w:r>
      <w:r/>
    </w:p>
    <w:p>
      <w:pPr>
        <w:pStyle w:val="1089"/>
        <w:ind w:firstLine="723"/>
        <w:rPr>
          <w:rFonts w:ascii="Times New Roman" w:hAnsi="Times New Roman"/>
          <w:b/>
          <w:bCs/>
          <w:sz w:val="36"/>
          <w:szCs w:val="36"/>
        </w:rPr>
      </w:pPr>
      <w:r>
        <w:rPr>
          <w:rFonts w:ascii="Times New Roman" w:hAnsi="Times New Roman"/>
          <w:b/>
          <w:bCs/>
          <w:sz w:val="36"/>
          <w:szCs w:val="36"/>
        </w:rPr>
      </w:r>
      <w:r/>
    </w:p>
    <w:p>
      <w:pPr>
        <w:pStyle w:val="1089"/>
        <w:ind w:firstLine="0"/>
        <w:rPr>
          <w:rFonts w:hint="eastAsia" w:ascii="Times New Roman" w:hAnsi="Times New Roman" w:eastAsia="宋体"/>
          <w:b/>
          <w:bCs/>
          <w:spacing w:val="-11"/>
          <w:sz w:val="36"/>
          <w:szCs w:val="36"/>
          <w:u w:val="single"/>
          <w:lang w:eastAsia="zh-CN"/>
        </w:rPr>
      </w:pPr>
      <w:r>
        <w:rPr>
          <w:rFonts w:ascii="Times New Roman" w:hAnsi="Times New Roman"/>
          <w:b/>
          <w:bCs/>
          <w:spacing w:val="-11"/>
          <w:sz w:val="36"/>
          <w:szCs w:val="36"/>
        </w:rPr>
        <w:t xml:space="preserve">项目名称：</w:t>
      </w:r>
      <w:r>
        <w:rPr>
          <w:rFonts w:hint="eastAsia" w:ascii="Times New Roman" w:hAnsi="Times New Roman"/>
          <w:b/>
          <w:bCs/>
          <w:spacing w:val="-11"/>
          <w:sz w:val="36"/>
          <w:szCs w:val="36"/>
        </w:rPr>
        <w:t xml:space="preserve">材料与失效分析实验室技术能力提升设备采购</w:t>
      </w:r>
      <w:r>
        <w:rPr>
          <w:rFonts w:hint="eastAsia" w:ascii="Times New Roman" w:hAnsi="Times New Roman"/>
          <w:b/>
          <w:bCs/>
          <w:spacing w:val="-11"/>
          <w:sz w:val="36"/>
          <w:szCs w:val="36"/>
          <w:lang w:val="en-US" w:eastAsia="zh-CN"/>
        </w:rPr>
        <w:t xml:space="preserve">分包一</w:t>
      </w:r>
      <w:r>
        <w:rPr>
          <w:rFonts w:hint="eastAsia" w:ascii="Times New Roman" w:hAnsi="Times New Roman"/>
          <w:b/>
          <w:bCs/>
          <w:spacing w:val="-11"/>
          <w:sz w:val="36"/>
          <w:szCs w:val="36"/>
          <w:lang w:eastAsia="zh-CN"/>
        </w:rPr>
        <w:t xml:space="preserve">（</w:t>
      </w:r>
      <w:r>
        <w:rPr>
          <w:rFonts w:hint="eastAsia" w:ascii="Times New Roman" w:hAnsi="Times New Roman"/>
          <w:b/>
          <w:bCs/>
          <w:spacing w:val="-11"/>
          <w:sz w:val="36"/>
          <w:szCs w:val="36"/>
          <w:lang w:val="en-US" w:eastAsia="zh-CN"/>
        </w:rPr>
        <w:t xml:space="preserve">二次</w:t>
      </w:r>
      <w:r>
        <w:rPr>
          <w:rFonts w:hint="eastAsia" w:ascii="Times New Roman" w:hAnsi="Times New Roman"/>
          <w:b/>
          <w:bCs/>
          <w:spacing w:val="-11"/>
          <w:sz w:val="36"/>
          <w:szCs w:val="36"/>
          <w:lang w:eastAsia="zh-CN"/>
        </w:rPr>
        <w:t xml:space="preserve">）</w:t>
      </w:r>
      <w:r/>
    </w:p>
    <w:p>
      <w:pPr>
        <w:pStyle w:val="1089"/>
        <w:ind w:firstLine="0"/>
        <w:rPr>
          <w:rFonts w:hint="default" w:ascii="Times New Roman" w:hAnsi="Times New Roman" w:eastAsia="宋体"/>
          <w:b/>
          <w:bCs/>
          <w:sz w:val="36"/>
          <w:szCs w:val="36"/>
          <w:lang w:val="en-US" w:eastAsia="zh-CN"/>
        </w:rPr>
      </w:pPr>
      <w:r>
        <w:rPr>
          <w:rFonts w:ascii="Times New Roman" w:hAnsi="Times New Roman"/>
          <w:b/>
          <w:bCs/>
          <w:sz w:val="36"/>
          <w:szCs w:val="36"/>
        </w:rPr>
        <w:t xml:space="preserve">项目编号：</w:t>
      </w:r>
      <w:r>
        <w:rPr>
          <w:rFonts w:hint="eastAsia" w:ascii="Times New Roman" w:hAnsi="Times New Roman"/>
          <w:b/>
          <w:bCs/>
          <w:sz w:val="36"/>
          <w:szCs w:val="36"/>
        </w:rPr>
        <w:t xml:space="preserve">JSZC-320000-LBZB-G2026-00</w:t>
      </w:r>
      <w:r>
        <w:rPr>
          <w:rFonts w:hint="eastAsia" w:ascii="Times New Roman" w:hAnsi="Times New Roman"/>
          <w:b/>
          <w:bCs/>
          <w:sz w:val="36"/>
          <w:szCs w:val="36"/>
          <w:highlight w:val="none"/>
          <w:lang w:val="en-US" w:eastAsia="zh-CN"/>
        </w:rPr>
        <w:t xml:space="preserve">12</w:t>
      </w:r>
      <w:r/>
    </w:p>
    <w:p>
      <w:pPr>
        <w:pStyle w:val="1089"/>
        <w:ind w:firstLine="0"/>
        <w:jc w:val="center"/>
        <w:rPr>
          <w:rFonts w:ascii="Times New Roman" w:hAnsi="Times New Roman"/>
          <w:b/>
          <w:bCs/>
          <w:sz w:val="36"/>
          <w:szCs w:val="36"/>
        </w:rPr>
      </w:pPr>
      <w:r>
        <w:rPr>
          <w:rFonts w:ascii="Times New Roman" w:hAnsi="Times New Roman"/>
          <w:b/>
          <w:bCs/>
          <w:sz w:val="36"/>
          <w:szCs w:val="36"/>
        </w:rPr>
      </w:r>
      <w:r/>
    </w:p>
    <w:p>
      <w:pPr>
        <w:pStyle w:val="1089"/>
        <w:ind w:firstLine="0"/>
        <w:spacing w:before="0" w:after="0"/>
        <w:rPr>
          <w:rFonts w:ascii="Times New Roman" w:hAnsi="Times New Roman"/>
          <w:b/>
        </w:rPr>
      </w:pPr>
      <w:r>
        <w:rPr>
          <w:rFonts w:ascii="Times New Roman" w:hAnsi="Times New Roman"/>
        </w:rPr>
        <w:t xml:space="preserve">                        </w:t>
      </w:r>
      <w:r>
        <w:rPr>
          <w:rFonts w:ascii="Times New Roman" w:hAnsi="Times New Roman"/>
          <w:b/>
        </w:rPr>
        <w:t xml:space="preserve">  </w:t>
      </w:r>
      <w:r/>
    </w:p>
    <w:p>
      <w:pPr>
        <w:pStyle w:val="1089"/>
        <w:ind w:firstLine="0"/>
        <w:spacing w:before="0" w:after="0"/>
        <w:rPr>
          <w:rFonts w:ascii="Times New Roman" w:hAnsi="Times New Roman"/>
        </w:rPr>
      </w:pPr>
      <w:r>
        <w:rPr>
          <w:rFonts w:ascii="Times New Roman" w:hAnsi="Times New Roman"/>
        </w:rPr>
      </w:r>
      <w:r/>
    </w:p>
    <w:p>
      <w:pPr>
        <w:pStyle w:val="1089"/>
        <w:ind w:firstLine="0"/>
        <w:spacing w:before="0" w:after="0"/>
        <w:rPr>
          <w:rFonts w:ascii="Times New Roman" w:hAnsi="Times New Roman"/>
        </w:rPr>
      </w:pPr>
      <w:r>
        <w:rPr>
          <w:rFonts w:ascii="Times New Roman" w:hAnsi="Times New Roman"/>
        </w:rPr>
      </w:r>
      <w:r/>
    </w:p>
    <w:p>
      <w:pPr>
        <w:pStyle w:val="1089"/>
        <w:ind w:firstLine="0"/>
        <w:jc w:val="center"/>
        <w:rPr>
          <w:rFonts w:ascii="Times New Roman" w:hAnsi="Times New Roman"/>
          <w:b/>
          <w:bCs/>
          <w:sz w:val="32"/>
        </w:rPr>
      </w:pPr>
      <w:r>
        <w:rPr>
          <w:rFonts w:ascii="Times New Roman" w:hAnsi="Times New Roman"/>
          <w:b/>
          <w:bCs/>
          <w:sz w:val="32"/>
        </w:rPr>
        <w:t xml:space="preserve">江苏励邦招标代理有限公司</w:t>
      </w:r>
      <w:r/>
    </w:p>
    <w:p>
      <w:pPr>
        <w:pStyle w:val="1089"/>
        <w:ind w:firstLine="0"/>
        <w:jc w:val="center"/>
        <w:rPr>
          <w:rFonts w:ascii="Times New Roman" w:hAnsi="Times New Roman"/>
          <w:b/>
          <w:bCs/>
          <w:sz w:val="32"/>
        </w:rPr>
      </w:pPr>
      <w:r>
        <w:rPr>
          <w:rFonts w:ascii="Times New Roman" w:hAnsi="Times New Roman"/>
          <w:b/>
          <w:bCs/>
          <w:sz w:val="32"/>
        </w:rPr>
        <w:t xml:space="preserve">202</w:t>
      </w:r>
      <w:r>
        <w:rPr>
          <w:rFonts w:hint="eastAsia" w:ascii="Times New Roman" w:hAnsi="Times New Roman"/>
          <w:b/>
          <w:bCs/>
          <w:sz w:val="32"/>
        </w:rPr>
        <w:t xml:space="preserve">6</w:t>
      </w:r>
      <w:r>
        <w:rPr>
          <w:rFonts w:ascii="Times New Roman" w:hAnsi="Times New Roman"/>
          <w:b/>
          <w:bCs/>
          <w:sz w:val="32"/>
        </w:rPr>
        <w:t xml:space="preserve">年</w:t>
      </w:r>
      <w:r>
        <w:rPr>
          <w:rFonts w:hint="eastAsia" w:ascii="Times New Roman" w:hAnsi="Times New Roman"/>
          <w:b/>
          <w:bCs/>
          <w:sz w:val="32"/>
        </w:rPr>
        <w:t xml:space="preserve">8</w:t>
      </w:r>
      <w:r>
        <w:rPr>
          <w:rFonts w:ascii="Times New Roman" w:hAnsi="Times New Roman"/>
          <w:b/>
          <w:bCs/>
          <w:sz w:val="32"/>
        </w:rPr>
        <w:t xml:space="preserve">月</w:t>
      </w:r>
      <w:r>
        <w:rPr>
          <w:rFonts w:ascii="Times New Roman" w:hAnsi="Times New Roman"/>
          <w:b/>
          <w:bCs/>
          <w:sz w:val="32"/>
        </w:rPr>
      </w:r>
      <w:r/>
    </w:p>
    <w:p>
      <w:pPr>
        <w:spacing w:line="480" w:lineRule="auto"/>
        <w:rPr>
          <w:rFonts w:eastAsia="仿宋_GB2312"/>
          <w:b/>
          <w:sz w:val="28"/>
        </w:rPr>
      </w:pPr>
      <w:r>
        <w:rPr>
          <w:rFonts w:eastAsia="仿宋_GB2312"/>
          <w:b/>
          <w:sz w:val="28"/>
        </w:rPr>
      </w:r>
      <w:r/>
    </w:p>
    <w:sdt>
      <w:sdtPr>
        <w15:appearance w15:val="boundingBox"/>
        <w15:color w:val="dbdbdb"/>
        <w:id w:val="147455512"/>
        <w:docPartObj>
          <w:docPartGallery w:val="Table of Contents"/>
          <w:docPartUnique w:val="true"/>
        </w:docPartObj>
        <w:rPr>
          <w:rFonts w:ascii="宋体" w:hAnsi="宋体"/>
        </w:rPr>
      </w:sdtPr>
      <w:sdtContent>
        <w:p>
          <w:pPr>
            <w:jc w:val="center"/>
            <w:rPr>
              <w:rFonts w:hint="eastAsia" w:ascii="宋体" w:hAnsi="宋体"/>
              <w:sz w:val="44"/>
              <w:szCs w:val="44"/>
            </w:rPr>
          </w:pPr>
          <w:r>
            <w:rPr>
              <w:rFonts w:ascii="宋体" w:hAnsi="宋体"/>
              <w:sz w:val="44"/>
              <w:szCs w:val="44"/>
            </w:rPr>
            <w:t xml:space="preserve">目录</w:t>
          </w:r>
          <w:r/>
        </w:p>
        <w:p>
          <w:pPr>
            <w:jc w:val="center"/>
            <w:rPr>
              <w:rFonts w:hint="eastAsia" w:ascii="宋体" w:hAnsi="宋体"/>
              <w:sz w:val="44"/>
              <w:szCs w:val="44"/>
            </w:rPr>
          </w:pPr>
          <w:r>
            <w:rPr>
              <w:rFonts w:hint="eastAsia" w:ascii="宋体" w:hAnsi="宋体"/>
              <w:sz w:val="44"/>
              <w:szCs w:val="44"/>
            </w:rPr>
          </w:r>
          <w:r/>
        </w:p>
        <w:p>
          <w:pPr>
            <w:pStyle w:val="1058"/>
            <w:spacing w:line="360" w:lineRule="auto"/>
            <w:tabs>
              <w:tab w:val="clear" w:pos="8720" w:leader="none"/>
              <w:tab w:val="right" w:pos="8953" w:leader="dot"/>
            </w:tabs>
            <w:rPr>
              <w:rFonts w:hint="eastAsia"/>
              <w:sz w:val="32"/>
              <w:szCs w:val="32"/>
            </w:rPr>
          </w:pPr>
          <w:r>
            <w:rPr>
              <w:rFonts w:ascii="Times New Roman" w:hAnsi="Times New Roman"/>
              <w:sz w:val="32"/>
              <w:szCs w:val="32"/>
            </w:rPr>
            <w:fldChar w:fldCharType="begin"/>
          </w:r>
          <w:r>
            <w:rPr>
              <w:rFonts w:ascii="Times New Roman" w:hAnsi="Times New Roman"/>
              <w:sz w:val="32"/>
              <w:szCs w:val="32"/>
            </w:rPr>
            <w:instrText xml:space="preserve">TOC \o "1-1" \h \u </w:instrText>
          </w:r>
          <w:r>
            <w:rPr>
              <w:rFonts w:ascii="Times New Roman" w:hAnsi="Times New Roman"/>
              <w:sz w:val="32"/>
              <w:szCs w:val="32"/>
            </w:rPr>
            <w:fldChar w:fldCharType="separate"/>
          </w:r>
          <w:r>
            <w:fldChar w:fldCharType="begin"/>
          </w:r>
          <w:r>
            <w:instrText xml:space="preserve"> HYPERLINK \l "_Toc25514" </w:instrText>
          </w:r>
          <w:r>
            <w:fldChar w:fldCharType="separate"/>
          </w:r>
          <w:r>
            <w:rPr>
              <w:rFonts w:ascii="Times New Roman" w:eastAsia="黑体"/>
              <w:sz w:val="32"/>
              <w:szCs w:val="52"/>
            </w:rPr>
            <w:t xml:space="preserve">第一章  投标邀请</w:t>
          </w:r>
          <w:r>
            <w:rPr>
              <w:sz w:val="32"/>
              <w:szCs w:val="32"/>
            </w:rPr>
            <w:tab/>
          </w:r>
          <w:r>
            <w:rPr>
              <w:sz w:val="32"/>
              <w:szCs w:val="32"/>
            </w:rPr>
            <w:fldChar w:fldCharType="begin"/>
          </w:r>
          <w:r>
            <w:rPr>
              <w:sz w:val="32"/>
              <w:szCs w:val="32"/>
            </w:rPr>
            <w:instrText xml:space="preserve"> PAGEREF _Toc25514 \h </w:instrText>
          </w:r>
          <w:r>
            <w:rPr>
              <w:sz w:val="32"/>
              <w:szCs w:val="32"/>
            </w:rPr>
            <w:fldChar w:fldCharType="separate"/>
          </w:r>
          <w:r>
            <w:rPr>
              <w:sz w:val="32"/>
              <w:szCs w:val="32"/>
            </w:rPr>
            <w:t xml:space="preserve">2</w:t>
          </w:r>
          <w:r>
            <w:rPr>
              <w:sz w:val="32"/>
              <w:szCs w:val="32"/>
            </w:rPr>
            <w:fldChar w:fldCharType="end"/>
          </w:r>
          <w:r>
            <w:rPr>
              <w:sz w:val="32"/>
              <w:szCs w:val="32"/>
            </w:rPr>
            <w:fldChar w:fldCharType="end"/>
          </w:r>
          <w:r/>
        </w:p>
        <w:p>
          <w:pPr>
            <w:pStyle w:val="1058"/>
            <w:spacing w:line="360" w:lineRule="auto"/>
            <w:tabs>
              <w:tab w:val="clear" w:pos="8720" w:leader="none"/>
              <w:tab w:val="right" w:pos="8953" w:leader="dot"/>
            </w:tabs>
            <w:rPr>
              <w:rFonts w:hint="eastAsia"/>
              <w:sz w:val="32"/>
              <w:szCs w:val="32"/>
            </w:rPr>
          </w:pPr>
          <w:r>
            <w:fldChar w:fldCharType="begin"/>
          </w:r>
          <w:r>
            <w:instrText xml:space="preserve"> HYPERLINK \l "_Toc1825" </w:instrText>
          </w:r>
          <w:r>
            <w:fldChar w:fldCharType="separate"/>
          </w:r>
          <w:r>
            <w:rPr>
              <w:rFonts w:ascii="Times New Roman" w:eastAsia="黑体"/>
              <w:sz w:val="32"/>
              <w:szCs w:val="52"/>
            </w:rPr>
            <w:t xml:space="preserve">第二章  投标人须知</w:t>
          </w:r>
          <w:r>
            <w:rPr>
              <w:sz w:val="32"/>
              <w:szCs w:val="32"/>
            </w:rPr>
            <w:tab/>
          </w:r>
          <w:r>
            <w:rPr>
              <w:sz w:val="32"/>
              <w:szCs w:val="32"/>
            </w:rPr>
            <w:fldChar w:fldCharType="begin"/>
          </w:r>
          <w:r>
            <w:rPr>
              <w:sz w:val="32"/>
              <w:szCs w:val="32"/>
            </w:rPr>
            <w:instrText xml:space="preserve"> PAGEREF _Toc1825 \h </w:instrText>
          </w:r>
          <w:r>
            <w:rPr>
              <w:sz w:val="32"/>
              <w:szCs w:val="32"/>
            </w:rPr>
            <w:fldChar w:fldCharType="separate"/>
          </w:r>
          <w:r>
            <w:rPr>
              <w:sz w:val="32"/>
              <w:szCs w:val="32"/>
            </w:rPr>
            <w:t xml:space="preserve">6</w:t>
          </w:r>
          <w:r>
            <w:rPr>
              <w:sz w:val="32"/>
              <w:szCs w:val="32"/>
            </w:rPr>
            <w:fldChar w:fldCharType="end"/>
          </w:r>
          <w:r>
            <w:rPr>
              <w:sz w:val="32"/>
              <w:szCs w:val="32"/>
            </w:rPr>
            <w:fldChar w:fldCharType="end"/>
          </w:r>
          <w:r/>
        </w:p>
        <w:p>
          <w:pPr>
            <w:pStyle w:val="1058"/>
            <w:spacing w:line="360" w:lineRule="auto"/>
            <w:tabs>
              <w:tab w:val="clear" w:pos="8720" w:leader="none"/>
              <w:tab w:val="right" w:pos="8953" w:leader="dot"/>
            </w:tabs>
            <w:rPr>
              <w:rFonts w:hint="eastAsia"/>
              <w:sz w:val="32"/>
              <w:szCs w:val="32"/>
            </w:rPr>
          </w:pPr>
          <w:r>
            <w:fldChar w:fldCharType="begin"/>
          </w:r>
          <w:r>
            <w:instrText xml:space="preserve"> HYPERLINK \l "_Toc12034" </w:instrText>
          </w:r>
          <w:r>
            <w:fldChar w:fldCharType="separate"/>
          </w:r>
          <w:r>
            <w:rPr>
              <w:rFonts w:ascii="Times New Roman" w:eastAsia="黑体"/>
              <w:bCs/>
              <w:sz w:val="32"/>
              <w:szCs w:val="32"/>
            </w:rPr>
            <w:t xml:space="preserve">第三章  合同文本</w:t>
          </w:r>
          <w:r>
            <w:rPr>
              <w:sz w:val="32"/>
              <w:szCs w:val="32"/>
            </w:rPr>
            <w:tab/>
          </w:r>
          <w:r>
            <w:rPr>
              <w:sz w:val="32"/>
              <w:szCs w:val="32"/>
            </w:rPr>
            <w:fldChar w:fldCharType="begin"/>
          </w:r>
          <w:r>
            <w:rPr>
              <w:sz w:val="32"/>
              <w:szCs w:val="32"/>
            </w:rPr>
            <w:instrText xml:space="preserve"> PAGEREF _Toc12034 \h </w:instrText>
          </w:r>
          <w:r>
            <w:rPr>
              <w:sz w:val="32"/>
              <w:szCs w:val="32"/>
            </w:rPr>
            <w:fldChar w:fldCharType="separate"/>
          </w:r>
          <w:r>
            <w:rPr>
              <w:sz w:val="32"/>
              <w:szCs w:val="32"/>
            </w:rPr>
            <w:t xml:space="preserve">1</w:t>
          </w:r>
          <w:r>
            <w:rPr>
              <w:rFonts w:hint="eastAsia"/>
              <w:sz w:val="32"/>
              <w:szCs w:val="32"/>
              <w:lang w:val="en-US" w:eastAsia="zh-CN"/>
            </w:rPr>
            <w:t xml:space="preserve">3</w:t>
          </w:r>
          <w:r>
            <w:rPr>
              <w:sz w:val="32"/>
              <w:szCs w:val="32"/>
            </w:rPr>
            <w:fldChar w:fldCharType="end"/>
          </w:r>
          <w:r>
            <w:rPr>
              <w:sz w:val="32"/>
              <w:szCs w:val="32"/>
            </w:rPr>
            <w:fldChar w:fldCharType="end"/>
          </w:r>
          <w:r/>
        </w:p>
        <w:p>
          <w:pPr>
            <w:pStyle w:val="1058"/>
            <w:spacing w:line="360" w:lineRule="auto"/>
            <w:tabs>
              <w:tab w:val="clear" w:pos="8720" w:leader="none"/>
              <w:tab w:val="right" w:pos="8953" w:leader="dot"/>
            </w:tabs>
            <w:rPr>
              <w:rFonts w:hint="eastAsia" w:eastAsia="宋体"/>
              <w:sz w:val="32"/>
              <w:szCs w:val="32"/>
              <w:lang w:val="en-US" w:eastAsia="zh-CN"/>
            </w:rPr>
          </w:pPr>
          <w:r>
            <w:fldChar w:fldCharType="begin"/>
          </w:r>
          <w:r>
            <w:instrText xml:space="preserve"> HYPERLINK \l "_Toc31681" </w:instrText>
          </w:r>
          <w:r>
            <w:fldChar w:fldCharType="separate"/>
          </w:r>
          <w:r>
            <w:rPr>
              <w:rFonts w:eastAsia="黑体"/>
              <w:bCs/>
              <w:sz w:val="32"/>
              <w:szCs w:val="32"/>
            </w:rPr>
            <w:t xml:space="preserve">第四章 </w:t>
          </w:r>
          <w:r>
            <w:rPr>
              <w:rFonts w:hint="eastAsia" w:eastAsia="黑体"/>
              <w:bCs/>
              <w:sz w:val="32"/>
              <w:szCs w:val="32"/>
            </w:rPr>
            <w:t xml:space="preserve"> </w:t>
          </w:r>
          <w:r>
            <w:rPr>
              <w:rFonts w:eastAsia="黑体"/>
              <w:bCs/>
              <w:sz w:val="32"/>
              <w:szCs w:val="32"/>
            </w:rPr>
            <w:t xml:space="preserve">采购需求</w:t>
          </w:r>
          <w:r>
            <w:rPr>
              <w:sz w:val="32"/>
              <w:szCs w:val="32"/>
            </w:rPr>
            <w:tab/>
          </w:r>
          <w:r>
            <w:rPr>
              <w:rFonts w:hint="eastAsia"/>
              <w:sz w:val="32"/>
              <w:szCs w:val="32"/>
              <w:lang w:val="en-US" w:eastAsia="zh-CN"/>
            </w:rPr>
            <w:t xml:space="preserve">1</w:t>
          </w:r>
          <w:r>
            <w:rPr>
              <w:sz w:val="32"/>
              <w:szCs w:val="32"/>
            </w:rPr>
            <w:fldChar w:fldCharType="end"/>
          </w:r>
          <w:r>
            <w:rPr>
              <w:rFonts w:hint="eastAsia"/>
              <w:sz w:val="32"/>
              <w:szCs w:val="32"/>
              <w:lang w:val="en-US" w:eastAsia="zh-CN"/>
            </w:rPr>
            <w:t xml:space="preserve">9</w:t>
          </w:r>
          <w:r/>
        </w:p>
        <w:p>
          <w:pPr>
            <w:pStyle w:val="1058"/>
            <w:spacing w:line="360" w:lineRule="auto"/>
            <w:tabs>
              <w:tab w:val="clear" w:pos="8720" w:leader="none"/>
              <w:tab w:val="right" w:pos="8953" w:leader="dot"/>
            </w:tabs>
            <w:rPr>
              <w:rFonts w:hint="eastAsia" w:eastAsia="宋体"/>
              <w:sz w:val="32"/>
              <w:szCs w:val="32"/>
              <w:lang w:val="en-US" w:eastAsia="zh-CN"/>
            </w:rPr>
          </w:pPr>
          <w:r>
            <w:fldChar w:fldCharType="begin"/>
          </w:r>
          <w:r>
            <w:instrText xml:space="preserve"> HYPERLINK \l "_Toc5841" </w:instrText>
          </w:r>
          <w:r>
            <w:fldChar w:fldCharType="separate"/>
          </w:r>
          <w:r>
            <w:rPr>
              <w:rFonts w:eastAsia="黑体"/>
              <w:bCs/>
              <w:sz w:val="32"/>
              <w:szCs w:val="32"/>
            </w:rPr>
            <w:t xml:space="preserve">第五章  评标方法与评标标准</w:t>
          </w:r>
          <w:r>
            <w:rPr>
              <w:sz w:val="32"/>
              <w:szCs w:val="32"/>
            </w:rPr>
            <w:tab/>
          </w:r>
          <w:r>
            <w:rPr>
              <w:rFonts w:hint="eastAsia"/>
              <w:sz w:val="32"/>
              <w:szCs w:val="32"/>
              <w:lang w:val="en-US" w:eastAsia="zh-CN"/>
            </w:rPr>
            <w:t xml:space="preserve">2</w:t>
          </w:r>
          <w:r>
            <w:rPr>
              <w:sz w:val="32"/>
              <w:szCs w:val="32"/>
            </w:rPr>
            <w:fldChar w:fldCharType="end"/>
          </w:r>
          <w:r>
            <w:rPr>
              <w:rFonts w:hint="eastAsia"/>
              <w:sz w:val="32"/>
              <w:szCs w:val="32"/>
              <w:lang w:val="en-US" w:eastAsia="zh-CN"/>
            </w:rPr>
            <w:t xml:space="preserve">4</w:t>
          </w:r>
          <w:r/>
        </w:p>
        <w:p>
          <w:pPr>
            <w:pStyle w:val="1058"/>
            <w:spacing w:line="360" w:lineRule="auto"/>
            <w:tabs>
              <w:tab w:val="clear" w:pos="8720" w:leader="none"/>
              <w:tab w:val="right" w:pos="8953" w:leader="dot"/>
            </w:tabs>
            <w:rPr>
              <w:rFonts w:hint="eastAsia" w:eastAsia="宋体"/>
              <w:sz w:val="32"/>
              <w:szCs w:val="32"/>
              <w:lang w:val="en-US" w:eastAsia="zh-CN"/>
            </w:rPr>
          </w:pPr>
          <w:r>
            <w:fldChar w:fldCharType="begin"/>
          </w:r>
          <w:r>
            <w:instrText xml:space="preserve"> HYPERLINK \l "_Toc5737" </w:instrText>
          </w:r>
          <w:r>
            <w:fldChar w:fldCharType="separate"/>
          </w:r>
          <w:r>
            <w:rPr>
              <w:rFonts w:ascii="Times New Roman" w:eastAsia="黑体"/>
              <w:bCs/>
              <w:sz w:val="32"/>
              <w:szCs w:val="32"/>
            </w:rPr>
            <w:t xml:space="preserve">第六章  投标文件格式</w:t>
          </w:r>
          <w:r>
            <w:rPr>
              <w:sz w:val="32"/>
              <w:szCs w:val="32"/>
            </w:rPr>
            <w:tab/>
          </w:r>
          <w:r>
            <w:rPr>
              <w:rFonts w:hint="eastAsia"/>
              <w:sz w:val="32"/>
              <w:szCs w:val="32"/>
              <w:lang w:val="en-US" w:eastAsia="zh-CN"/>
            </w:rPr>
            <w:t xml:space="preserve">2</w:t>
          </w:r>
          <w:r>
            <w:rPr>
              <w:sz w:val="32"/>
              <w:szCs w:val="32"/>
            </w:rPr>
            <w:fldChar w:fldCharType="end"/>
          </w:r>
          <w:r>
            <w:rPr>
              <w:rFonts w:hint="eastAsia"/>
              <w:sz w:val="32"/>
              <w:szCs w:val="32"/>
              <w:lang w:val="en-US" w:eastAsia="zh-CN"/>
            </w:rPr>
            <w:t xml:space="preserve">7</w:t>
          </w:r>
          <w:r/>
        </w:p>
        <w:p>
          <w:pPr>
            <w:spacing w:line="360" w:lineRule="auto"/>
            <w:rPr>
              <w:sz w:val="28"/>
              <w:szCs w:val="28"/>
            </w:rPr>
          </w:pPr>
          <w:r>
            <w:rPr>
              <w:sz w:val="24"/>
              <w:szCs w:val="32"/>
            </w:rPr>
            <w:fldChar w:fldCharType="end"/>
          </w:r>
          <w:r/>
        </w:p>
      </w:sdtContent>
    </w:sdt>
    <w:p>
      <w:pPr>
        <w:spacing w:line="360" w:lineRule="auto"/>
        <w:rPr>
          <w:sz w:val="24"/>
          <w:szCs w:val="24"/>
        </w:rPr>
      </w:pPr>
      <w:r>
        <w:rPr>
          <w:sz w:val="24"/>
          <w:szCs w:val="24"/>
        </w:rPr>
      </w:r>
      <w:r/>
    </w:p>
    <w:p>
      <w:r/>
      <w:r/>
    </w:p>
    <w:p>
      <w:p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pgNumType w:start="0"/>
          <w:cols w:num="1" w:sep="0" w:space="720" w:equalWidth="1"/>
          <w:docGrid w:linePitch="360"/>
          <w:titlePg/>
        </w:sectPr>
      </w:pPr>
      <w:r/>
      <w:r/>
    </w:p>
    <w:p>
      <w:r/>
      <w:r/>
    </w:p>
    <w:p>
      <w:r/>
      <w:r/>
    </w:p>
    <w:p>
      <w:pPr>
        <w:pStyle w:val="1027"/>
        <w:rPr>
          <w:rFonts w:ascii="Times New Roman" w:eastAsia="黑体"/>
          <w:bCs/>
          <w:sz w:val="44"/>
          <w:szCs w:val="44"/>
        </w:rPr>
      </w:pPr>
      <w:r/>
      <w:bookmarkStart w:id="0" w:name="_Toc25514"/>
      <w:r>
        <w:rPr>
          <w:rFonts w:ascii="Times New Roman" w:eastAsia="黑体"/>
          <w:sz w:val="44"/>
          <w:szCs w:val="44"/>
        </w:rPr>
        <w:t xml:space="preserve">第一章  投标邀请</w:t>
      </w:r>
      <w:bookmarkEnd w:id="0"/>
      <w:r/>
      <w:r/>
    </w:p>
    <w:p>
      <w:pPr>
        <w:ind w:firstLine="480"/>
        <w:spacing w:line="400" w:lineRule="exact"/>
        <w:rPr>
          <w:sz w:val="24"/>
          <w:szCs w:val="24"/>
        </w:rPr>
      </w:pPr>
      <w:r>
        <w:rPr>
          <w:sz w:val="24"/>
          <w:szCs w:val="24"/>
        </w:rPr>
      </w:r>
      <w:r/>
    </w:p>
    <w:p>
      <w:pPr>
        <w:ind w:firstLine="420"/>
        <w:keepLines w:val="0"/>
        <w:keepNext w:val="0"/>
        <w:pageBreakBefore w:val="0"/>
        <w:spacing w:line="400" w:lineRule="exact"/>
        <w:widowControl w:val="off"/>
      </w:pPr>
      <w:r>
        <w:t xml:space="preserve">受</w:t>
      </w:r>
      <w:r>
        <w:rPr>
          <w:rFonts w:hint="eastAsia"/>
          <w:u w:val="single"/>
        </w:rPr>
        <w:t xml:space="preserve">江苏省特种设备安全监督检验研究院</w:t>
      </w:r>
      <w:r>
        <w:t xml:space="preserve">的委托，</w:t>
      </w:r>
      <w:r>
        <w:rPr>
          <w:color w:val="000000"/>
          <w:u w:val="single"/>
        </w:rPr>
        <w:t xml:space="preserve">江苏励邦招标代理有限公司</w:t>
      </w:r>
      <w:r>
        <w:t xml:space="preserve">就</w:t>
      </w:r>
      <w:r>
        <w:rPr>
          <w:rFonts w:hint="eastAsia"/>
          <w:u w:val="single"/>
        </w:rPr>
        <w:t xml:space="preserve">材料与失效分析实验室技术能力提升设备采购</w:t>
      </w:r>
      <w:r>
        <w:rPr>
          <w:rFonts w:hint="eastAsia"/>
          <w:u w:val="single"/>
          <w:lang w:val="en-US" w:eastAsia="zh-CN"/>
        </w:rPr>
        <w:t xml:space="preserve">分包一</w:t>
      </w:r>
      <w:r>
        <w:rPr>
          <w:rFonts w:hint="eastAsia"/>
          <w:bCs/>
          <w:u w:val="single"/>
          <w:lang w:eastAsia="zh-CN"/>
        </w:rPr>
        <w:t xml:space="preserve">（</w:t>
      </w:r>
      <w:r>
        <w:rPr>
          <w:rFonts w:hint="eastAsia"/>
          <w:bCs/>
          <w:u w:val="single"/>
          <w:lang w:val="en-US" w:eastAsia="zh-CN"/>
        </w:rPr>
        <w:t xml:space="preserve">二次</w:t>
      </w:r>
      <w:r>
        <w:rPr>
          <w:rFonts w:hint="eastAsia"/>
          <w:bCs/>
          <w:u w:val="single"/>
          <w:lang w:eastAsia="zh-CN"/>
        </w:rPr>
        <w:t xml:space="preserve">）</w:t>
      </w:r>
      <w:r>
        <w:rPr>
          <w:rFonts w:hint="eastAsia"/>
          <w:u w:val="single"/>
        </w:rPr>
        <w:t xml:space="preserve">项目</w:t>
      </w:r>
      <w:r>
        <w:t xml:space="preserve">进行公开招标采购，欢迎符合条件的供应商投标。</w:t>
      </w:r>
      <w:r/>
    </w:p>
    <w:p>
      <w:pPr>
        <w:ind w:firstLine="420"/>
        <w:keepLines w:val="0"/>
        <w:keepNext w:val="0"/>
        <w:pageBreakBefore w:val="0"/>
        <w:spacing w:line="400" w:lineRule="exact"/>
        <w:widowControl w:val="off"/>
        <w:pBdr>
          <w:top w:val="single" w:color="auto" w:sz="4" w:space="1"/>
          <w:left w:val="single" w:color="auto" w:sz="4" w:space="4"/>
          <w:bottom w:val="single" w:color="auto" w:sz="4" w:space="1"/>
          <w:right w:val="single" w:color="auto" w:sz="4" w:space="4"/>
        </w:pBdr>
      </w:pPr>
      <w:r>
        <w:t xml:space="preserve">项目概况</w:t>
      </w:r>
      <w:r/>
    </w:p>
    <w:p>
      <w:pPr>
        <w:ind w:firstLine="420"/>
        <w:keepLines w:val="0"/>
        <w:keepNext w:val="0"/>
        <w:pageBreakBefore w:val="0"/>
        <w:spacing w:line="400" w:lineRule="exact"/>
        <w:widowControl w:val="off"/>
        <w:pBdr>
          <w:top w:val="single" w:color="auto" w:sz="4" w:space="1"/>
          <w:left w:val="single" w:color="auto" w:sz="4" w:space="4"/>
          <w:bottom w:val="single" w:color="auto" w:sz="4" w:space="1"/>
          <w:right w:val="single" w:color="auto" w:sz="4" w:space="4"/>
        </w:pBdr>
      </w:pPr>
      <w:r>
        <w:rPr>
          <w:rFonts w:hint="eastAsia"/>
          <w:u w:val="single"/>
        </w:rPr>
        <w:t xml:space="preserve">材料与失效分析实验室技术能力提升设备采购</w:t>
      </w:r>
      <w:r>
        <w:rPr>
          <w:rFonts w:hint="eastAsia"/>
          <w:u w:val="single"/>
          <w:lang w:val="en-US" w:eastAsia="zh-CN"/>
        </w:rPr>
        <w:t xml:space="preserve">分包一</w:t>
      </w:r>
      <w:r>
        <w:rPr>
          <w:rFonts w:hint="eastAsia"/>
          <w:bCs/>
          <w:u w:val="single"/>
          <w:lang w:eastAsia="zh-CN"/>
        </w:rPr>
        <w:t xml:space="preserve">（</w:t>
      </w:r>
      <w:r>
        <w:rPr>
          <w:rFonts w:hint="eastAsia"/>
          <w:bCs/>
          <w:u w:val="single"/>
          <w:lang w:val="en-US" w:eastAsia="zh-CN"/>
        </w:rPr>
        <w:t xml:space="preserve">二次</w:t>
      </w:r>
      <w:r>
        <w:rPr>
          <w:rFonts w:hint="eastAsia"/>
          <w:bCs/>
          <w:u w:val="single"/>
          <w:lang w:eastAsia="zh-CN"/>
        </w:rPr>
        <w:t xml:space="preserve">）</w:t>
      </w:r>
      <w:r>
        <w:rPr>
          <w:rFonts w:hint="eastAsia"/>
          <w:u w:val="single"/>
        </w:rPr>
        <w:t xml:space="preserve">项目</w:t>
      </w:r>
      <w:r>
        <w:t xml:space="preserve">的潜在投标人可在</w:t>
      </w:r>
      <w:r>
        <w:rPr>
          <w:rFonts w:hint="eastAsia"/>
          <w:u w:val="single"/>
        </w:rPr>
        <w:t xml:space="preserve">江苏省南京市鼓楼区集庆门大街268号苏宁慧谷E08-1幢2205、2206室</w:t>
      </w:r>
      <w:r>
        <w:t xml:space="preserve">获取招标文件，并于</w:t>
      </w:r>
      <w:bookmarkStart w:id="1" w:name="OLE_LINK26"/>
      <w:r/>
      <w:bookmarkStart w:id="2" w:name="OLE_LINK25"/>
      <w:r>
        <w:rPr>
          <w:highlight w:val="white"/>
          <w:u w:val="single"/>
        </w:rPr>
        <w:t xml:space="preserve">202</w:t>
      </w:r>
      <w:r>
        <w:rPr>
          <w:rFonts w:hint="eastAsia"/>
          <w:highlight w:val="white"/>
          <w:u w:val="single"/>
        </w:rPr>
        <w:t xml:space="preserve">6</w:t>
      </w:r>
      <w:r>
        <w:rPr>
          <w:bCs/>
          <w:highlight w:val="white"/>
        </w:rPr>
        <w:t xml:space="preserve">年</w:t>
      </w:r>
      <w:r>
        <w:rPr>
          <w:rFonts w:hint="eastAsia"/>
          <w:bCs/>
          <w:highlight w:val="white"/>
          <w:u w:val="single"/>
          <w:lang w:val="en-US" w:eastAsia="zh-CN"/>
        </w:rPr>
        <w:t xml:space="preserve">9</w:t>
      </w:r>
      <w:r>
        <w:rPr>
          <w:bCs/>
          <w:highlight w:val="white"/>
        </w:rPr>
        <w:t xml:space="preserve">月</w:t>
      </w:r>
      <w:r>
        <w:rPr>
          <w:rFonts w:hint="eastAsia"/>
          <w:bCs/>
          <w:highlight w:val="white"/>
          <w:u w:val="single"/>
          <w:lang w:val="en-US" w:eastAsia="zh-CN"/>
        </w:rPr>
        <w:t xml:space="preserve">21</w:t>
      </w:r>
      <w:r>
        <w:rPr>
          <w:bCs/>
          <w:highlight w:val="white"/>
        </w:rPr>
        <w:t xml:space="preserve">日</w:t>
      </w:r>
      <w:r>
        <w:rPr>
          <w:rFonts w:hint="eastAsia"/>
          <w:bCs/>
          <w:highlight w:val="white"/>
          <w:u w:val="single"/>
        </w:rPr>
        <w:t xml:space="preserve">14</w:t>
      </w:r>
      <w:r>
        <w:rPr>
          <w:bCs/>
          <w:highlight w:val="white"/>
        </w:rPr>
        <w:t xml:space="preserve">点</w:t>
      </w:r>
      <w:r>
        <w:rPr>
          <w:rFonts w:hint="eastAsia"/>
          <w:bCs/>
          <w:highlight w:val="white"/>
          <w:u w:val="single"/>
        </w:rPr>
        <w:t xml:space="preserve">3</w:t>
      </w:r>
      <w:r>
        <w:rPr>
          <w:bCs/>
          <w:highlight w:val="white"/>
          <w:u w:val="single"/>
        </w:rPr>
        <w:t xml:space="preserve">0</w:t>
      </w:r>
      <w:r>
        <w:rPr>
          <w:bCs/>
          <w:highlight w:val="white"/>
        </w:rPr>
        <w:t xml:space="preserve">分</w:t>
      </w:r>
      <w:bookmarkEnd w:id="1"/>
      <w:r/>
      <w:bookmarkEnd w:id="2"/>
      <w:r>
        <w:rPr>
          <w:rFonts w:hint="eastAsia"/>
          <w:bCs/>
          <w:highlight w:val="none"/>
        </w:rPr>
        <w:t xml:space="preserve">（</w:t>
      </w:r>
      <w:r>
        <w:rPr>
          <w:bCs/>
        </w:rPr>
        <w:t xml:space="preserve">北京时间</w:t>
      </w:r>
      <w:r>
        <w:rPr>
          <w:rFonts w:hint="eastAsia"/>
          <w:bCs/>
        </w:rPr>
        <w:t xml:space="preserve">）</w:t>
      </w:r>
      <w:r>
        <w:rPr>
          <w:bCs/>
        </w:rPr>
        <w:t xml:space="preserve">前递交投标文件</w:t>
      </w:r>
      <w:r>
        <w:t xml:space="preserve">。</w:t>
      </w:r>
      <w:r/>
    </w:p>
    <w:p>
      <w:pPr>
        <w:ind w:firstLine="420"/>
        <w:keepLines w:val="0"/>
        <w:keepNext w:val="0"/>
        <w:pageBreakBefore w:val="0"/>
        <w:spacing w:line="400" w:lineRule="exact"/>
        <w:widowControl w:val="off"/>
      </w:pPr>
      <w:r/>
      <w:bookmarkStart w:id="3" w:name="_Toc38985263"/>
      <w:r/>
      <w:bookmarkStart w:id="4" w:name="_Toc28359079"/>
      <w:r/>
      <w:bookmarkStart w:id="5" w:name="_Toc35393790"/>
      <w:r/>
      <w:bookmarkStart w:id="6" w:name="_Toc28359002"/>
      <w:r/>
      <w:bookmarkStart w:id="7" w:name="_Toc35393621"/>
      <w:r/>
      <w:bookmarkStart w:id="8" w:name="_Hlk24379207"/>
      <w:r>
        <w:t xml:space="preserve">一、项目基本情况</w:t>
      </w:r>
      <w:bookmarkEnd w:id="3"/>
      <w:r/>
      <w:bookmarkEnd w:id="4"/>
      <w:r/>
      <w:bookmarkEnd w:id="5"/>
      <w:r/>
      <w:bookmarkEnd w:id="6"/>
      <w:r/>
      <w:bookmarkEnd w:id="7"/>
      <w:r/>
      <w:r/>
    </w:p>
    <w:p>
      <w:pPr>
        <w:ind w:firstLine="420"/>
        <w:keepLines w:val="0"/>
        <w:keepNext w:val="0"/>
        <w:pageBreakBefore w:val="0"/>
        <w:spacing w:line="400" w:lineRule="exact"/>
        <w:widowControl w:val="off"/>
        <w:rPr>
          <w:rFonts w:hint="default" w:eastAsia="宋体"/>
          <w:lang w:val="en-US" w:eastAsia="zh-CN"/>
        </w:rPr>
      </w:pPr>
      <w:r>
        <w:t xml:space="preserve">1、项目编号：</w:t>
      </w:r>
      <w:r>
        <w:rPr>
          <w:rFonts w:hint="eastAsia"/>
          <w:bCs/>
          <w:highlight w:val="none"/>
          <w:u w:val="single"/>
        </w:rPr>
        <w:t xml:space="preserve">JSZC-320000-LBZB-G2026-00</w:t>
      </w:r>
      <w:r>
        <w:rPr>
          <w:rFonts w:hint="eastAsia"/>
          <w:bCs/>
          <w:highlight w:val="none"/>
          <w:u w:val="single"/>
          <w:lang w:val="en-US" w:eastAsia="zh-CN"/>
        </w:rPr>
        <w:t xml:space="preserve">12</w:t>
      </w:r>
      <w:bookmarkStart w:id="194" w:name="_GoBack"/>
      <w:r/>
      <w:bookmarkEnd w:id="194"/>
      <w:r/>
      <w:r/>
    </w:p>
    <w:p>
      <w:pPr>
        <w:ind w:firstLine="420"/>
        <w:keepLines w:val="0"/>
        <w:keepNext w:val="0"/>
        <w:pageBreakBefore w:val="0"/>
        <w:spacing w:line="400" w:lineRule="exact"/>
        <w:widowControl w:val="off"/>
        <w:rPr>
          <w:rFonts w:hint="eastAsia" w:eastAsia="宋体"/>
          <w:lang w:eastAsia="zh-CN"/>
        </w:rPr>
      </w:pPr>
      <w:r>
        <w:t xml:space="preserve">2、项目名称：</w:t>
      </w:r>
      <w:r>
        <w:rPr>
          <w:rFonts w:hint="eastAsia"/>
          <w:bCs/>
          <w:u w:val="single"/>
        </w:rPr>
        <w:t xml:space="preserve">材料与失效分析实验室技术能力提升设备采购</w:t>
      </w:r>
      <w:r>
        <w:rPr>
          <w:rFonts w:hint="eastAsia"/>
          <w:u w:val="single"/>
          <w:lang w:val="en-US" w:eastAsia="zh-CN"/>
        </w:rPr>
        <w:t xml:space="preserve">分包一</w:t>
      </w:r>
      <w:r>
        <w:rPr>
          <w:rFonts w:hint="eastAsia"/>
          <w:bCs/>
          <w:u w:val="single"/>
          <w:lang w:eastAsia="zh-CN"/>
        </w:rPr>
        <w:t xml:space="preserve">（</w:t>
      </w:r>
      <w:r>
        <w:rPr>
          <w:rFonts w:hint="eastAsia"/>
          <w:bCs/>
          <w:u w:val="single"/>
          <w:lang w:val="en-US" w:eastAsia="zh-CN"/>
        </w:rPr>
        <w:t xml:space="preserve">二次</w:t>
      </w:r>
      <w:r>
        <w:rPr>
          <w:rFonts w:hint="eastAsia"/>
          <w:bCs/>
          <w:u w:val="single"/>
          <w:lang w:eastAsia="zh-CN"/>
        </w:rPr>
        <w:t xml:space="preserve">）</w:t>
      </w:r>
      <w:bookmarkEnd w:id="8"/>
      <w:r/>
      <w:r/>
    </w:p>
    <w:p>
      <w:pPr>
        <w:ind w:firstLine="420"/>
        <w:keepLines w:val="0"/>
        <w:keepNext w:val="0"/>
        <w:pageBreakBefore w:val="0"/>
        <w:spacing w:line="400" w:lineRule="exact"/>
        <w:widowControl w:val="off"/>
        <w:rPr>
          <w:b/>
          <w:bCs/>
        </w:rPr>
      </w:pPr>
      <w:r>
        <w:t xml:space="preserve">3、预算金额及最高限价：人民币</w:t>
      </w:r>
      <w:r>
        <w:rPr>
          <w:rFonts w:hint="eastAsia"/>
          <w:lang w:val="en-US" w:eastAsia="zh-CN"/>
        </w:rPr>
        <w:t xml:space="preserve">97</w:t>
      </w:r>
      <w:r>
        <w:t xml:space="preserve">万元</w:t>
      </w:r>
      <w:r>
        <w:rPr>
          <w:rFonts w:hint="eastAsia"/>
        </w:rPr>
        <w:t xml:space="preserve">。</w:t>
      </w:r>
      <w:r/>
    </w:p>
    <w:p>
      <w:pPr>
        <w:ind w:firstLine="420"/>
        <w:keepLines w:val="0"/>
        <w:keepNext w:val="0"/>
        <w:pageBreakBefore w:val="0"/>
        <w:spacing w:line="400" w:lineRule="exact"/>
        <w:widowControl w:val="off"/>
      </w:pPr>
      <w:r>
        <w:t xml:space="preserve">4、采购需求：</w:t>
      </w:r>
      <w:r>
        <w:rPr>
          <w:rFonts w:hint="eastAsia"/>
        </w:rPr>
        <w:t xml:space="preserve">拟采购显微应变测量系统（包含原位拉伸测试台）等设备，提升材料与失效分析实验室技术能力</w:t>
      </w:r>
      <w:r>
        <w:t xml:space="preserve">，</w:t>
      </w:r>
      <w:r>
        <w:rPr>
          <w:rFonts w:hint="eastAsia"/>
        </w:rPr>
        <w:t xml:space="preserve">具体</w:t>
      </w:r>
      <w:r>
        <w:t xml:space="preserve">详见</w:t>
      </w:r>
      <w:r>
        <w:rPr>
          <w:rFonts w:hint="eastAsia"/>
        </w:rPr>
        <w:t xml:space="preserve">第四章采购需求</w:t>
      </w:r>
      <w:r>
        <w:t xml:space="preserve">。设备采购清单见下表：</w:t>
      </w:r>
      <w:r/>
    </w:p>
    <w:tbl>
      <w:tblPr>
        <w:tblStyle w:val="1037"/>
        <w:tblW w:w="47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6"/>
        <w:gridCol w:w="2491"/>
        <w:gridCol w:w="498"/>
        <w:gridCol w:w="892"/>
        <w:gridCol w:w="1706"/>
        <w:gridCol w:w="1067"/>
        <w:gridCol w:w="1095"/>
        <w:gridCol w:w="1218"/>
      </w:tblGrid>
      <w:tr>
        <w:trPr>
          <w:jc w:val="center"/>
          <w:trHeight w:val="861"/>
        </w:trPr>
        <w:tc>
          <w:tcPr>
            <w:tcW w:w="191" w:type="pct"/>
            <w:vAlign w:val="center"/>
            <w:textDirection w:val="lrTb"/>
            <w:noWrap w:val="false"/>
          </w:tcPr>
          <w:p>
            <w:pPr>
              <w:ind w:right="-107"/>
              <w:jc w:val="center"/>
              <w:spacing w:line="360" w:lineRule="exact"/>
              <w:tabs>
                <w:tab w:val="left" w:pos="4788" w:leader="none"/>
              </w:tabs>
              <w:rPr>
                <w:bCs/>
                <w:highlight w:val="none"/>
              </w:rPr>
            </w:pPr>
            <w:r>
              <w:rPr>
                <w:rFonts w:hint="eastAsia"/>
                <w:bCs/>
                <w:highlight w:val="none"/>
              </w:rPr>
              <w:t xml:space="preserve">分包号</w:t>
            </w:r>
            <w:r/>
          </w:p>
        </w:tc>
        <w:tc>
          <w:tcPr>
            <w:tcW w:w="1335" w:type="pct"/>
            <w:vAlign w:val="center"/>
            <w:textDirection w:val="lrTb"/>
            <w:noWrap w:val="false"/>
          </w:tcPr>
          <w:p>
            <w:pPr>
              <w:ind w:right="-107"/>
              <w:jc w:val="center"/>
              <w:spacing w:line="360" w:lineRule="exact"/>
              <w:tabs>
                <w:tab w:val="left" w:pos="4788" w:leader="none"/>
              </w:tabs>
              <w:rPr>
                <w:bCs/>
                <w:highlight w:val="none"/>
              </w:rPr>
            </w:pPr>
            <w:r>
              <w:rPr>
                <w:bCs/>
                <w:highlight w:val="none"/>
              </w:rPr>
              <w:t xml:space="preserve">设备名称</w:t>
            </w:r>
            <w:r/>
          </w:p>
        </w:tc>
        <w:tc>
          <w:tcPr>
            <w:tcW w:w="267" w:type="pct"/>
            <w:vAlign w:val="center"/>
            <w:textDirection w:val="lrTb"/>
            <w:noWrap w:val="false"/>
          </w:tcPr>
          <w:p>
            <w:pPr>
              <w:jc w:val="center"/>
              <w:spacing w:line="360" w:lineRule="exact"/>
              <w:tabs>
                <w:tab w:val="left" w:pos="4788" w:leader="none"/>
              </w:tabs>
              <w:rPr>
                <w:bCs/>
                <w:highlight w:val="none"/>
              </w:rPr>
            </w:pPr>
            <w:r>
              <w:rPr>
                <w:bCs/>
                <w:highlight w:val="none"/>
              </w:rPr>
              <w:t xml:space="preserve">数量</w:t>
            </w:r>
            <w:r/>
          </w:p>
        </w:tc>
        <w:tc>
          <w:tcPr>
            <w:tcW w:w="478" w:type="pct"/>
            <w:vAlign w:val="center"/>
            <w:textDirection w:val="lrTb"/>
            <w:noWrap w:val="false"/>
          </w:tcPr>
          <w:p>
            <w:pPr>
              <w:jc w:val="center"/>
              <w:spacing w:line="360" w:lineRule="exact"/>
              <w:tabs>
                <w:tab w:val="left" w:pos="4788" w:leader="none"/>
              </w:tabs>
              <w:rPr>
                <w:bCs/>
                <w:highlight w:val="none"/>
              </w:rPr>
            </w:pPr>
            <w:r>
              <w:rPr>
                <w:rFonts w:hint="eastAsia"/>
                <w:bCs/>
                <w:highlight w:val="none"/>
              </w:rPr>
              <w:t xml:space="preserve">简要技术要求</w:t>
            </w:r>
            <w:r/>
          </w:p>
        </w:tc>
        <w:tc>
          <w:tcPr>
            <w:tcW w:w="914" w:type="pct"/>
            <w:vAlign w:val="center"/>
            <w:textDirection w:val="lrTb"/>
            <w:noWrap w:val="false"/>
          </w:tcPr>
          <w:p>
            <w:pPr>
              <w:jc w:val="center"/>
              <w:spacing w:line="360" w:lineRule="exact"/>
              <w:tabs>
                <w:tab w:val="left" w:pos="4788" w:leader="none"/>
              </w:tabs>
              <w:rPr>
                <w:bCs/>
                <w:highlight w:val="none"/>
              </w:rPr>
            </w:pPr>
            <w:r>
              <w:rPr>
                <w:bCs/>
                <w:highlight w:val="none"/>
              </w:rPr>
              <w:t xml:space="preserve">预算金额</w:t>
            </w:r>
            <w:r/>
          </w:p>
          <w:p>
            <w:pPr>
              <w:jc w:val="center"/>
              <w:spacing w:line="360" w:lineRule="exact"/>
              <w:tabs>
                <w:tab w:val="left" w:pos="4788" w:leader="none"/>
              </w:tabs>
              <w:rPr>
                <w:bCs/>
                <w:highlight w:val="none"/>
              </w:rPr>
            </w:pPr>
            <w:r>
              <w:rPr>
                <w:highlight w:val="none"/>
              </w:rPr>
              <w:t xml:space="preserve">及最高限价</w:t>
            </w:r>
            <w:r/>
          </w:p>
          <w:p>
            <w:pPr>
              <w:jc w:val="center"/>
              <w:spacing w:line="360" w:lineRule="exact"/>
              <w:tabs>
                <w:tab w:val="left" w:pos="4788" w:leader="none"/>
              </w:tabs>
              <w:rPr>
                <w:bCs/>
                <w:highlight w:val="none"/>
              </w:rPr>
            </w:pPr>
            <w:r>
              <w:rPr>
                <w:rFonts w:hint="eastAsia"/>
                <w:bCs/>
                <w:highlight w:val="none"/>
              </w:rPr>
              <w:t xml:space="preserve">（</w:t>
            </w:r>
            <w:r>
              <w:rPr>
                <w:bCs/>
                <w:highlight w:val="none"/>
              </w:rPr>
              <w:t xml:space="preserve">万元/人民币</w:t>
            </w:r>
            <w:r>
              <w:rPr>
                <w:rFonts w:hint="eastAsia"/>
                <w:bCs/>
                <w:highlight w:val="none"/>
              </w:rPr>
              <w:t xml:space="preserve">）</w:t>
            </w:r>
            <w:r/>
          </w:p>
        </w:tc>
        <w:tc>
          <w:tcPr>
            <w:tcW w:w="572" w:type="pct"/>
            <w:vAlign w:val="center"/>
            <w:textDirection w:val="lrTb"/>
            <w:noWrap w:val="false"/>
          </w:tcPr>
          <w:p>
            <w:pPr>
              <w:jc w:val="center"/>
              <w:spacing w:line="360" w:lineRule="exact"/>
              <w:tabs>
                <w:tab w:val="left" w:pos="4788" w:leader="none"/>
              </w:tabs>
              <w:rPr>
                <w:bCs/>
                <w:highlight w:val="none"/>
              </w:rPr>
            </w:pPr>
            <w:r>
              <w:rPr>
                <w:rFonts w:hint="eastAsia"/>
                <w:bCs/>
                <w:highlight w:val="none"/>
              </w:rPr>
              <w:t xml:space="preserve">合同</w:t>
            </w:r>
            <w:r/>
          </w:p>
          <w:p>
            <w:pPr>
              <w:jc w:val="center"/>
              <w:spacing w:line="360" w:lineRule="exact"/>
              <w:tabs>
                <w:tab w:val="left" w:pos="4788" w:leader="none"/>
              </w:tabs>
              <w:rPr>
                <w:bCs/>
                <w:highlight w:val="none"/>
              </w:rPr>
            </w:pPr>
            <w:r>
              <w:rPr>
                <w:rFonts w:hint="eastAsia"/>
                <w:bCs/>
                <w:highlight w:val="none"/>
              </w:rPr>
              <w:t xml:space="preserve">履行期限</w:t>
            </w:r>
            <w:r/>
          </w:p>
        </w:tc>
        <w:tc>
          <w:tcPr>
            <w:tcW w:w="587" w:type="pct"/>
            <w:vAlign w:val="center"/>
            <w:textDirection w:val="lrTb"/>
            <w:noWrap w:val="false"/>
          </w:tcPr>
          <w:p>
            <w:pPr>
              <w:jc w:val="center"/>
              <w:spacing w:line="360" w:lineRule="exact"/>
              <w:tabs>
                <w:tab w:val="left" w:pos="4788" w:leader="none"/>
              </w:tabs>
              <w:rPr>
                <w:bCs/>
                <w:highlight w:val="none"/>
              </w:rPr>
            </w:pPr>
            <w:r>
              <w:rPr>
                <w:rFonts w:hint="eastAsia"/>
                <w:bCs/>
                <w:highlight w:val="none"/>
              </w:rPr>
              <w:t xml:space="preserve">是否接受进口产品投标</w:t>
            </w:r>
            <w:r/>
          </w:p>
        </w:tc>
        <w:tc>
          <w:tcPr>
            <w:tcW w:w="652" w:type="pct"/>
            <w:vAlign w:val="center"/>
            <w:textDirection w:val="lrTb"/>
            <w:noWrap w:val="false"/>
          </w:tcPr>
          <w:p>
            <w:pPr>
              <w:jc w:val="center"/>
              <w:spacing w:line="360" w:lineRule="exact"/>
              <w:tabs>
                <w:tab w:val="left" w:pos="4788" w:leader="none"/>
              </w:tabs>
              <w:rPr>
                <w:bCs/>
                <w:highlight w:val="none"/>
              </w:rPr>
            </w:pPr>
            <w:r>
              <w:rPr>
                <w:rFonts w:hint="eastAsia"/>
                <w:bCs/>
                <w:highlight w:val="none"/>
              </w:rPr>
              <w:t xml:space="preserve">备注</w:t>
            </w:r>
            <w:r/>
          </w:p>
        </w:tc>
      </w:tr>
      <w:tr>
        <w:trPr>
          <w:jc w:val="center"/>
          <w:trHeight w:val="2030"/>
        </w:trPr>
        <w:tc>
          <w:tcPr>
            <w:tcW w:w="191" w:type="pct"/>
            <w:vAlign w:val="center"/>
            <w:vMerge w:val="restart"/>
            <w:textDirection w:val="lrTb"/>
            <w:noWrap w:val="false"/>
          </w:tcPr>
          <w:p>
            <w:pPr>
              <w:jc w:val="center"/>
              <w:spacing w:line="360" w:lineRule="exact"/>
              <w:widowControl/>
              <w:rPr>
                <w:highlight w:val="none"/>
              </w:rPr>
            </w:pPr>
            <w:r>
              <w:rPr>
                <w:highlight w:val="none"/>
              </w:rPr>
              <w:t xml:space="preserve">1</w:t>
            </w:r>
            <w:r/>
          </w:p>
        </w:tc>
        <w:tc>
          <w:tcPr>
            <w:tcW w:w="1335" w:type="pct"/>
            <w:vAlign w:val="center"/>
            <w:textDirection w:val="lrTb"/>
            <w:noWrap w:val="false"/>
          </w:tcPr>
          <w:p>
            <w:pPr>
              <w:jc w:val="center"/>
              <w:spacing w:line="360" w:lineRule="exact"/>
              <w:widowControl/>
              <w:rPr>
                <w:highlight w:val="none"/>
              </w:rPr>
            </w:pPr>
            <w:r>
              <w:rPr>
                <w:rFonts w:hint="eastAsia" w:ascii="宋体" w:hAnsi="宋体" w:cs="宋体"/>
                <w:highlight w:val="none"/>
              </w:rPr>
              <w:t xml:space="preserve">显微应变测量系统（包含原位拉伸测试台）</w:t>
            </w:r>
            <w:r/>
          </w:p>
        </w:tc>
        <w:tc>
          <w:tcPr>
            <w:tcW w:w="267" w:type="pct"/>
            <w:vAlign w:val="center"/>
            <w:textDirection w:val="lrTb"/>
            <w:noWrap w:val="false"/>
          </w:tcPr>
          <w:p>
            <w:pPr>
              <w:jc w:val="center"/>
              <w:spacing w:line="360" w:lineRule="exact"/>
              <w:widowControl/>
              <w:rPr>
                <w:highlight w:val="none"/>
              </w:rPr>
            </w:pPr>
            <w:r>
              <w:rPr>
                <w:rFonts w:hint="eastAsia"/>
                <w:highlight w:val="none"/>
              </w:rPr>
              <w:t xml:space="preserve">1</w:t>
            </w:r>
            <w:r/>
          </w:p>
        </w:tc>
        <w:tc>
          <w:tcPr>
            <w:tcW w:w="478" w:type="pct"/>
            <w:vAlign w:val="center"/>
            <w:vMerge w:val="restart"/>
            <w:textDirection w:val="lrTb"/>
            <w:noWrap w:val="false"/>
          </w:tcPr>
          <w:p>
            <w:pPr>
              <w:jc w:val="center"/>
              <w:spacing w:line="360" w:lineRule="exact"/>
              <w:widowControl/>
              <w:rPr>
                <w:highlight w:val="none"/>
              </w:rPr>
            </w:pPr>
            <w:r>
              <w:rPr>
                <w:rFonts w:hint="eastAsia"/>
                <w:highlight w:val="none"/>
              </w:rPr>
              <w:t xml:space="preserve">详见招标文件第四章技术规格及要求</w:t>
            </w:r>
            <w:r/>
          </w:p>
        </w:tc>
        <w:tc>
          <w:tcPr>
            <w:tcW w:w="914" w:type="pct"/>
            <w:vAlign w:val="center"/>
            <w:textDirection w:val="lrTb"/>
            <w:noWrap w:val="false"/>
          </w:tcPr>
          <w:p>
            <w:pPr>
              <w:jc w:val="center"/>
              <w:spacing w:line="360" w:lineRule="exact"/>
              <w:widowControl/>
              <w:rPr>
                <w:highlight w:val="none"/>
              </w:rPr>
            </w:pPr>
            <w:r>
              <w:rPr>
                <w:rFonts w:hint="eastAsia"/>
                <w:highlight w:val="none"/>
              </w:rPr>
              <w:t xml:space="preserve">76</w:t>
            </w:r>
            <w:r/>
          </w:p>
        </w:tc>
        <w:tc>
          <w:tcPr>
            <w:tcW w:w="572" w:type="pct"/>
            <w:vAlign w:val="center"/>
            <w:vMerge w:val="restart"/>
            <w:textDirection w:val="lrTb"/>
            <w:noWrap w:val="false"/>
          </w:tcPr>
          <w:p>
            <w:pPr>
              <w:jc w:val="center"/>
              <w:spacing w:line="360" w:lineRule="exact"/>
              <w:widowControl/>
              <w:rPr>
                <w:highlight w:val="none"/>
              </w:rPr>
            </w:pPr>
            <w:r>
              <w:rPr>
                <w:rFonts w:hint="eastAsia"/>
                <w:highlight w:val="none"/>
              </w:rPr>
              <w:t xml:space="preserve">合同签订后2个月内货到江苏省特种设备安全监督检验研究院指定地点。</w:t>
            </w:r>
            <w:r/>
          </w:p>
        </w:tc>
        <w:tc>
          <w:tcPr>
            <w:tcW w:w="587" w:type="pct"/>
            <w:vAlign w:val="center"/>
            <w:vMerge w:val="restart"/>
            <w:textDirection w:val="lrTb"/>
            <w:noWrap w:val="false"/>
          </w:tcPr>
          <w:p>
            <w:pPr>
              <w:jc w:val="center"/>
              <w:spacing w:line="360" w:lineRule="exact"/>
              <w:widowControl/>
              <w:rPr>
                <w:highlight w:val="none"/>
              </w:rPr>
            </w:pPr>
            <w:r>
              <w:rPr>
                <w:rFonts w:hint="eastAsia"/>
                <w:highlight w:val="none"/>
              </w:rPr>
              <w:t xml:space="preserve">否</w:t>
            </w:r>
            <w:r/>
          </w:p>
        </w:tc>
        <w:tc>
          <w:tcPr>
            <w:tcW w:w="652" w:type="pct"/>
            <w:vAlign w:val="center"/>
            <w:textDirection w:val="lrTb"/>
            <w:noWrap w:val="false"/>
          </w:tcPr>
          <w:p>
            <w:pPr>
              <w:jc w:val="center"/>
              <w:spacing w:line="360" w:lineRule="exact"/>
              <w:tabs>
                <w:tab w:val="left" w:pos="4788" w:leader="none"/>
              </w:tabs>
              <w:rPr>
                <w:highlight w:val="none"/>
              </w:rPr>
            </w:pPr>
            <w:r>
              <w:rPr>
                <w:rFonts w:hint="eastAsia"/>
                <w:highlight w:val="none"/>
              </w:rPr>
              <w:t xml:space="preserve">核心产品</w:t>
            </w:r>
            <w:r/>
          </w:p>
        </w:tc>
      </w:tr>
      <w:tr>
        <w:trPr>
          <w:jc w:val="center"/>
          <w:trHeight w:val="1665"/>
        </w:trPr>
        <w:tc>
          <w:tcPr>
            <w:tcW w:w="191" w:type="pct"/>
            <w:vAlign w:val="center"/>
            <w:vMerge w:val="continue"/>
            <w:textDirection w:val="lrTb"/>
            <w:noWrap w:val="false"/>
          </w:tcPr>
          <w:p>
            <w:pPr>
              <w:jc w:val="center"/>
              <w:spacing w:line="360" w:lineRule="exact"/>
              <w:widowControl/>
              <w:rPr>
                <w:highlight w:val="none"/>
              </w:rPr>
            </w:pPr>
            <w:r>
              <w:rPr>
                <w:highlight w:val="none"/>
              </w:rPr>
            </w:r>
            <w:r/>
          </w:p>
        </w:tc>
        <w:tc>
          <w:tcPr>
            <w:tcW w:w="1335" w:type="pct"/>
            <w:vAlign w:val="center"/>
            <w:textDirection w:val="lrTb"/>
            <w:noWrap w:val="false"/>
          </w:tcPr>
          <w:p>
            <w:pPr>
              <w:jc w:val="center"/>
              <w:spacing w:line="360" w:lineRule="exact"/>
              <w:widowControl/>
              <w:rPr>
                <w:highlight w:val="none"/>
              </w:rPr>
            </w:pPr>
            <w:r>
              <w:rPr>
                <w:rFonts w:hint="eastAsia"/>
                <w:highlight w:val="none"/>
              </w:rPr>
              <w:t xml:space="preserve">视频引伸计</w:t>
            </w:r>
            <w:r/>
          </w:p>
        </w:tc>
        <w:tc>
          <w:tcPr>
            <w:tcW w:w="267" w:type="pct"/>
            <w:vAlign w:val="center"/>
            <w:textDirection w:val="lrTb"/>
            <w:noWrap w:val="false"/>
          </w:tcPr>
          <w:p>
            <w:pPr>
              <w:jc w:val="center"/>
              <w:spacing w:line="360" w:lineRule="exact"/>
              <w:widowControl/>
              <w:rPr>
                <w:highlight w:val="none"/>
              </w:rPr>
            </w:pPr>
            <w:r>
              <w:rPr>
                <w:rFonts w:hint="eastAsia"/>
                <w:highlight w:val="none"/>
              </w:rPr>
              <w:t xml:space="preserve">1</w:t>
            </w:r>
            <w:r/>
          </w:p>
        </w:tc>
        <w:tc>
          <w:tcPr>
            <w:tcW w:w="478" w:type="pct"/>
            <w:vAlign w:val="center"/>
            <w:vMerge w:val="continue"/>
            <w:textDirection w:val="lrTb"/>
            <w:noWrap w:val="false"/>
          </w:tcPr>
          <w:p>
            <w:pPr>
              <w:jc w:val="center"/>
              <w:spacing w:line="360" w:lineRule="exact"/>
              <w:widowControl/>
              <w:rPr>
                <w:highlight w:val="none"/>
              </w:rPr>
            </w:pPr>
            <w:r>
              <w:rPr>
                <w:highlight w:val="none"/>
              </w:rPr>
            </w:r>
            <w:r/>
          </w:p>
        </w:tc>
        <w:tc>
          <w:tcPr>
            <w:tcW w:w="914" w:type="pct"/>
            <w:vAlign w:val="center"/>
            <w:textDirection w:val="lrTb"/>
            <w:noWrap w:val="false"/>
          </w:tcPr>
          <w:p>
            <w:pPr>
              <w:jc w:val="center"/>
              <w:spacing w:line="360" w:lineRule="exact"/>
              <w:widowControl/>
              <w:rPr>
                <w:highlight w:val="none"/>
              </w:rPr>
            </w:pPr>
            <w:r>
              <w:rPr>
                <w:rFonts w:hint="eastAsia"/>
                <w:highlight w:val="none"/>
              </w:rPr>
              <w:t xml:space="preserve">21</w:t>
            </w:r>
            <w:r/>
          </w:p>
        </w:tc>
        <w:tc>
          <w:tcPr>
            <w:tcW w:w="572" w:type="pct"/>
            <w:vAlign w:val="center"/>
            <w:vMerge w:val="continue"/>
            <w:textDirection w:val="lrTb"/>
            <w:noWrap w:val="false"/>
          </w:tcPr>
          <w:p>
            <w:pPr>
              <w:jc w:val="center"/>
              <w:spacing w:line="360" w:lineRule="exact"/>
              <w:widowControl/>
              <w:rPr>
                <w:highlight w:val="none"/>
              </w:rPr>
            </w:pPr>
            <w:r>
              <w:rPr>
                <w:highlight w:val="none"/>
              </w:rPr>
            </w:r>
            <w:r/>
          </w:p>
        </w:tc>
        <w:tc>
          <w:tcPr>
            <w:tcW w:w="587" w:type="pct"/>
            <w:vAlign w:val="center"/>
            <w:vMerge w:val="continue"/>
            <w:textDirection w:val="lrTb"/>
            <w:noWrap w:val="false"/>
          </w:tcPr>
          <w:p>
            <w:pPr>
              <w:jc w:val="center"/>
              <w:spacing w:line="360" w:lineRule="exact"/>
              <w:widowControl/>
              <w:rPr>
                <w:highlight w:val="none"/>
              </w:rPr>
            </w:pPr>
            <w:r>
              <w:rPr>
                <w:highlight w:val="none"/>
              </w:rPr>
            </w:r>
            <w:r/>
          </w:p>
        </w:tc>
        <w:tc>
          <w:tcPr>
            <w:tcW w:w="652" w:type="pct"/>
            <w:vAlign w:val="center"/>
            <w:textDirection w:val="lrTb"/>
            <w:noWrap w:val="false"/>
          </w:tcPr>
          <w:p>
            <w:pPr>
              <w:jc w:val="center"/>
              <w:spacing w:line="360" w:lineRule="exact"/>
              <w:tabs>
                <w:tab w:val="left" w:pos="4788" w:leader="none"/>
              </w:tabs>
              <w:rPr>
                <w:bCs/>
                <w:highlight w:val="none"/>
              </w:rPr>
            </w:pPr>
            <w:r>
              <w:rPr>
                <w:bCs/>
                <w:highlight w:val="none"/>
              </w:rPr>
            </w:r>
            <w:r/>
          </w:p>
        </w:tc>
      </w:tr>
    </w:tbl>
    <w:p>
      <w:pPr>
        <w:ind w:firstLine="422"/>
        <w:keepLines w:val="0"/>
        <w:keepNext w:val="0"/>
        <w:pageBreakBefore w:val="0"/>
        <w:spacing w:line="400" w:lineRule="exact"/>
        <w:widowControl w:val="off"/>
        <w:rPr>
          <w:highlight w:val="yellow"/>
        </w:rPr>
      </w:pPr>
      <w:r>
        <w:rPr>
          <w:rFonts w:hint="eastAsia"/>
          <w:b/>
          <w:bCs/>
          <w:highlight w:val="none"/>
        </w:rPr>
        <w:t xml:space="preserve">注：投标人所投分项报价表中的单台设备报价不得超过该设备所对应的预算金额，否则作无效投标处理。</w:t>
      </w:r>
      <w:r/>
    </w:p>
    <w:p>
      <w:pPr>
        <w:ind w:firstLine="420"/>
        <w:keepLines w:val="0"/>
        <w:keepNext w:val="0"/>
        <w:pageBreakBefore w:val="0"/>
        <w:spacing w:line="400" w:lineRule="exact"/>
        <w:widowControl w:val="off"/>
      </w:pPr>
      <w:r>
        <w:t xml:space="preserve">5、合同履行期限：详见第四章采购需求。</w:t>
      </w:r>
      <w:r/>
    </w:p>
    <w:p>
      <w:pPr>
        <w:ind w:firstLine="420"/>
        <w:keepLines w:val="0"/>
        <w:keepNext w:val="0"/>
        <w:pageBreakBefore w:val="0"/>
        <w:spacing w:line="400" w:lineRule="exact"/>
        <w:widowControl w:val="off"/>
      </w:pPr>
      <w:r/>
      <w:bookmarkStart w:id="9" w:name="_Toc38985264"/>
      <w:r/>
      <w:bookmarkStart w:id="10" w:name="_Toc35393791"/>
      <w:r/>
      <w:bookmarkStart w:id="11" w:name="_Toc28359080"/>
      <w:r/>
      <w:bookmarkStart w:id="12" w:name="_Toc35393622"/>
      <w:r/>
      <w:bookmarkStart w:id="13" w:name="_Toc28359003"/>
      <w:r>
        <w:t xml:space="preserve">6、本项目所属行业为工业（制造业）。</w:t>
      </w:r>
      <w:r/>
    </w:p>
    <w:p>
      <w:pPr>
        <w:ind w:firstLine="420"/>
        <w:keepLines w:val="0"/>
        <w:keepNext w:val="0"/>
        <w:pageBreakBefore w:val="0"/>
        <w:spacing w:line="400" w:lineRule="exact"/>
        <w:widowControl w:val="off"/>
      </w:pPr>
      <w:r>
        <w:t xml:space="preserve">二、申请人的资格要求</w:t>
      </w:r>
      <w:bookmarkEnd w:id="9"/>
      <w:r/>
      <w:bookmarkEnd w:id="10"/>
      <w:r/>
      <w:bookmarkEnd w:id="11"/>
      <w:r/>
      <w:bookmarkEnd w:id="12"/>
      <w:r/>
      <w:bookmarkEnd w:id="13"/>
      <w:r/>
      <w:r/>
    </w:p>
    <w:p>
      <w:pPr>
        <w:ind w:firstLine="420"/>
        <w:keepLines w:val="0"/>
        <w:keepNext w:val="0"/>
        <w:pageBreakBefore w:val="0"/>
        <w:spacing w:line="400" w:lineRule="exact"/>
        <w:widowControl w:val="off"/>
      </w:pPr>
      <w:r/>
      <w:bookmarkStart w:id="14" w:name="_Toc38985265"/>
      <w:r/>
      <w:bookmarkStart w:id="15" w:name="_Toc35393623"/>
      <w:r/>
      <w:bookmarkStart w:id="16" w:name="_Toc28359081"/>
      <w:r/>
      <w:bookmarkStart w:id="17" w:name="_Toc28359004"/>
      <w:r/>
      <w:bookmarkStart w:id="18" w:name="_Toc35393792"/>
      <w:r>
        <w:rPr>
          <w:rFonts w:hint="eastAsia"/>
        </w:rPr>
        <w:t xml:space="preserve">（</w:t>
      </w:r>
      <w:r>
        <w:t xml:space="preserve">一</w:t>
      </w:r>
      <w:r>
        <w:rPr>
          <w:rFonts w:hint="eastAsia"/>
        </w:rPr>
        <w:t xml:space="preserve">）</w:t>
      </w:r>
      <w:r>
        <w:t xml:space="preserve">通用资格要求</w:t>
      </w:r>
      <w:r/>
    </w:p>
    <w:p>
      <w:pPr>
        <w:ind w:firstLine="420"/>
        <w:spacing w:line="400" w:lineRule="exact"/>
      </w:pPr>
      <w:r>
        <w:t xml:space="preserve">1、满足《中华人民共和国政府采购法》第二十二条规定</w:t>
      </w:r>
      <w:r>
        <w:rPr>
          <w:rFonts w:hint="eastAsia"/>
        </w:rPr>
        <w:t xml:space="preserve">，并提供下列材料</w:t>
      </w:r>
      <w:r>
        <w:t xml:space="preserve">：</w:t>
      </w:r>
      <w:r/>
    </w:p>
    <w:p>
      <w:pPr>
        <w:ind w:firstLine="420"/>
        <w:spacing w:line="400" w:lineRule="exact"/>
      </w:pPr>
      <w:r>
        <w:t xml:space="preserve">1.1 法人或者其他组织的营业执照等证明材料，自然人的身份证明；</w:t>
      </w:r>
      <w:r/>
    </w:p>
    <w:p>
      <w:pPr>
        <w:ind w:firstLine="420"/>
        <w:spacing w:line="400" w:lineRule="exact"/>
      </w:pPr>
      <w:r>
        <w:t xml:space="preserve">1.2上一年度的财务状况报告</w:t>
      </w:r>
      <w:r>
        <w:rPr>
          <w:rFonts w:hint="eastAsia"/>
        </w:rPr>
        <w:t xml:space="preserve">（</w:t>
      </w:r>
      <w:r>
        <w:t xml:space="preserve">成立不满一年无需提供</w:t>
      </w:r>
      <w:r>
        <w:rPr>
          <w:rFonts w:hint="eastAsia"/>
        </w:rPr>
        <w:t xml:space="preserve">）</w:t>
      </w:r>
      <w:r>
        <w:t xml:space="preserve">；</w:t>
      </w:r>
      <w:r/>
    </w:p>
    <w:p>
      <w:pPr>
        <w:ind w:firstLine="420"/>
        <w:spacing w:line="400" w:lineRule="exact"/>
      </w:pPr>
      <w:r>
        <w:t xml:space="preserve">1.3依法缴纳税收和社会保障资金的相关材料</w:t>
      </w:r>
      <w:r>
        <w:rPr>
          <w:rFonts w:hint="eastAsia"/>
        </w:rPr>
        <w:t xml:space="preserve">（</w:t>
      </w:r>
      <w:r>
        <w:t xml:space="preserve">提供提交</w:t>
      </w:r>
      <w:r>
        <w:rPr>
          <w:rFonts w:hint="eastAsia"/>
        </w:rPr>
        <w:t xml:space="preserve">投标</w:t>
      </w:r>
      <w:r>
        <w:t xml:space="preserve">文件截止时间前一年内至少一个月依法缴纳税收及缴纳社会保障资金的证明材料。供应商依法享受缓缴、免缴税收、社会保障资金的提供证明材料。</w:t>
      </w:r>
      <w:r>
        <w:rPr>
          <w:rFonts w:hint="eastAsia"/>
        </w:rPr>
        <w:t xml:space="preserve">）</w:t>
      </w:r>
      <w:r>
        <w:t xml:space="preserve">；</w:t>
      </w:r>
      <w:r/>
    </w:p>
    <w:p>
      <w:pPr>
        <w:ind w:firstLine="420"/>
        <w:spacing w:line="400" w:lineRule="exact"/>
      </w:pPr>
      <w:r>
        <w:t xml:space="preserve">1.4具备履行合同所必需的设备和专业技术能力的书面声明；</w:t>
      </w:r>
      <w:r/>
    </w:p>
    <w:p>
      <w:pPr>
        <w:ind w:firstLine="420"/>
        <w:spacing w:line="400" w:lineRule="exact"/>
      </w:pPr>
      <w:r>
        <w:t xml:space="preserve">1.5参加政府采购活动前3年内在经营活动中没有重大违法记录的书面声明；</w:t>
      </w:r>
      <w:r/>
    </w:p>
    <w:p>
      <w:pPr>
        <w:ind w:firstLine="420"/>
        <w:spacing w:line="400" w:lineRule="exact"/>
      </w:pPr>
      <w:r>
        <w:t xml:space="preserve">1.6具备法律、行政法规规定的其他条件的证明材料。</w:t>
      </w:r>
      <w:r/>
    </w:p>
    <w:p>
      <w:pPr>
        <w:ind w:firstLine="420"/>
        <w:spacing w:line="400" w:lineRule="exact"/>
      </w:pPr>
      <w:r>
        <w:rPr>
          <w:rFonts w:hint="eastAsia"/>
          <w:lang w:val="en-US" w:eastAsia="zh-CN"/>
        </w:rPr>
        <w:t xml:space="preserve">2、</w:t>
      </w:r>
      <w:r>
        <w:t xml:space="preserve">落实政府采购政策的资格要求：</w:t>
      </w:r>
      <w:r>
        <w:rPr>
          <w:rFonts w:hint="eastAsia"/>
        </w:rPr>
        <w:t xml:space="preserve">无。</w:t>
      </w:r>
      <w:r/>
    </w:p>
    <w:p>
      <w:pPr>
        <w:ind w:firstLine="420"/>
        <w:spacing w:line="400" w:lineRule="exact"/>
      </w:pPr>
      <w:r>
        <w:rPr>
          <w:rFonts w:hint="eastAsia"/>
        </w:rPr>
        <w:t xml:space="preserve">3</w:t>
      </w:r>
      <w:r>
        <w:t xml:space="preserve">、在“信用中国”网站</w:t>
      </w:r>
      <w:r>
        <w:rPr>
          <w:rFonts w:hint="eastAsia"/>
        </w:rPr>
        <w:t xml:space="preserve">（</w:t>
      </w:r>
      <w:r>
        <w:t xml:space="preserve">www.creditchina.gov.cn</w:t>
      </w:r>
      <w:r>
        <w:rPr>
          <w:rFonts w:hint="eastAsia"/>
        </w:rPr>
        <w:t xml:space="preserve">）</w:t>
      </w:r>
      <w:r>
        <w:t xml:space="preserve">查询，无被列入失信被执行人、重大税收违法案件当事人名单、政府采购严重失信行为记录名单及其他不符合《中华人民共和国政府采购法》第二十二条规定条件的信用记录。</w:t>
      </w:r>
      <w:r/>
    </w:p>
    <w:p>
      <w:pPr>
        <w:ind w:firstLine="420"/>
        <w:spacing w:line="400" w:lineRule="exact"/>
      </w:pPr>
      <w:r>
        <w:rPr>
          <w:rFonts w:hint="eastAsia"/>
        </w:rPr>
        <w:t xml:space="preserve">4、本项目不接受进口产品投标。</w:t>
      </w:r>
      <w:r/>
    </w:p>
    <w:p>
      <w:pPr>
        <w:ind w:firstLine="420"/>
        <w:spacing w:line="400" w:lineRule="exact"/>
      </w:pPr>
      <w:r>
        <w:rPr>
          <w:rFonts w:hint="eastAsia"/>
        </w:rPr>
        <w:t xml:space="preserve">5</w:t>
      </w:r>
      <w:r>
        <w:t xml:space="preserve">、本项目</w:t>
      </w:r>
      <w:r>
        <w:rPr>
          <w:rFonts w:hint="eastAsia"/>
        </w:rPr>
        <w:t xml:space="preserve">不</w:t>
      </w:r>
      <w:r>
        <w:t xml:space="preserve">接受联合体投标。</w:t>
      </w:r>
      <w:r/>
    </w:p>
    <w:p>
      <w:pPr>
        <w:ind w:firstLine="420"/>
        <w:spacing w:line="400" w:lineRule="exact"/>
      </w:pPr>
      <w:r>
        <w:tab/>
      </w:r>
      <w:r>
        <w:rPr>
          <w:rFonts w:hint="eastAsia"/>
        </w:rPr>
        <w:t xml:space="preserve">6、本项目拒绝下述供应商参加本次采购活动： </w:t>
      </w:r>
      <w:r/>
    </w:p>
    <w:p>
      <w:pPr>
        <w:ind w:firstLine="420"/>
        <w:spacing w:line="400" w:lineRule="exact"/>
      </w:pPr>
      <w:r>
        <w:rPr>
          <w:rFonts w:hint="eastAsia"/>
        </w:rPr>
        <w:t xml:space="preserve">6.1 供应商单位负责人为同一人或者存在直接控股、管理关系的不同供应商，不得参加同一合同项下的政府采购活动。</w:t>
      </w:r>
      <w:r/>
    </w:p>
    <w:p>
      <w:pPr>
        <w:ind w:firstLine="420"/>
        <w:spacing w:line="400" w:lineRule="exact"/>
      </w:pPr>
      <w:r>
        <w:rPr>
          <w:rFonts w:hint="eastAsia"/>
        </w:rPr>
        <w:t xml:space="preserve">6.2 凡为采购项目提供整体设计、规范编制或者项目管理、监理、检测等服务的供应商，不得再参加本项目的采购活动。</w:t>
      </w:r>
      <w:r/>
    </w:p>
    <w:p>
      <w:pPr>
        <w:ind w:firstLine="420"/>
        <w:spacing w:line="400" w:lineRule="exact"/>
      </w:pPr>
      <w:r>
        <w:rPr>
          <w:rFonts w:hint="eastAsia"/>
        </w:rPr>
        <w:t xml:space="preserve">（</w:t>
      </w:r>
      <w:r>
        <w:t xml:space="preserve">二</w:t>
      </w:r>
      <w:r>
        <w:rPr>
          <w:rFonts w:hint="eastAsia"/>
        </w:rPr>
        <w:t xml:space="preserve">）</w:t>
      </w:r>
      <w:r>
        <w:t xml:space="preserve">特定资格要求</w:t>
      </w:r>
      <w:r/>
    </w:p>
    <w:p>
      <w:pPr>
        <w:ind w:firstLine="420"/>
        <w:spacing w:line="400" w:lineRule="exact"/>
      </w:pPr>
      <w:r>
        <w:t xml:space="preserve">本项目的特定资格要求：无。</w:t>
      </w:r>
      <w:r/>
    </w:p>
    <w:p>
      <w:pPr>
        <w:ind w:firstLine="420"/>
        <w:spacing w:line="400" w:lineRule="exact"/>
        <w:rPr>
          <w:highlight w:val="none"/>
        </w:rPr>
      </w:pPr>
      <w:r>
        <w:rPr>
          <w:highlight w:val="none"/>
        </w:rPr>
        <w:t xml:space="preserve">三、获取招标文件</w:t>
      </w:r>
      <w:bookmarkEnd w:id="14"/>
      <w:r/>
      <w:bookmarkEnd w:id="15"/>
      <w:r/>
      <w:bookmarkEnd w:id="16"/>
      <w:r/>
      <w:bookmarkEnd w:id="17"/>
      <w:r/>
      <w:bookmarkEnd w:id="18"/>
      <w:r/>
      <w:r/>
    </w:p>
    <w:p>
      <w:pPr>
        <w:ind w:firstLine="420"/>
        <w:spacing w:line="400" w:lineRule="exact"/>
        <w:rPr>
          <w:highlight w:val="none"/>
        </w:rPr>
      </w:pPr>
      <w:r/>
      <w:bookmarkStart w:id="19" w:name="_Toc28359005"/>
      <w:r/>
      <w:bookmarkStart w:id="20" w:name="_Toc28359082"/>
      <w:r/>
      <w:bookmarkStart w:id="21" w:name="_Toc35393793"/>
      <w:r/>
      <w:bookmarkStart w:id="22" w:name="_Toc38985266"/>
      <w:r/>
      <w:bookmarkStart w:id="23" w:name="_Toc35393624"/>
      <w:r>
        <w:rPr>
          <w:rFonts w:hint="eastAsia"/>
          <w:highlight w:val="none"/>
        </w:rPr>
        <w:t xml:space="preserve">1、时间</w:t>
      </w:r>
      <w:r>
        <w:rPr>
          <w:highlight w:val="none"/>
        </w:rPr>
        <w:t xml:space="preserve">：</w:t>
      </w:r>
      <w:r>
        <w:rPr>
          <w:rFonts w:hint="eastAsia"/>
          <w:highlight w:val="none"/>
        </w:rPr>
        <w:t xml:space="preserve">自招标文件公告发布之日起5个工作日。</w:t>
      </w:r>
      <w:r/>
    </w:p>
    <w:p>
      <w:pPr>
        <w:ind w:firstLine="420"/>
        <w:spacing w:line="400" w:lineRule="exact"/>
        <w:rPr>
          <w:highlight w:val="none"/>
        </w:rPr>
      </w:pPr>
      <w:r>
        <w:rPr>
          <w:highlight w:val="none"/>
        </w:rPr>
        <w:t xml:space="preserve">2、地点：</w:t>
      </w:r>
      <w:r>
        <w:rPr>
          <w:rFonts w:hint="eastAsia"/>
          <w:highlight w:val="none"/>
          <w:lang w:val="en-US" w:eastAsia="zh-CN"/>
        </w:rPr>
        <w:t xml:space="preserve">江苏政府采购网。</w:t>
      </w:r>
      <w:r/>
    </w:p>
    <w:p>
      <w:pPr>
        <w:ind w:firstLine="420"/>
        <w:spacing w:line="400" w:lineRule="exact"/>
        <w:rPr>
          <w:highlight w:val="none"/>
        </w:rPr>
      </w:pPr>
      <w:r>
        <w:rPr>
          <w:highlight w:val="none"/>
        </w:rPr>
        <w:t xml:space="preserve">3、方式：</w:t>
      </w:r>
      <w:r>
        <w:rPr>
          <w:rFonts w:hint="eastAsia"/>
          <w:highlight w:val="none"/>
        </w:rPr>
        <w:t xml:space="preserve">在“江苏政府采购网”自行免费下载采购文件</w:t>
      </w:r>
      <w:r>
        <w:rPr>
          <w:highlight w:val="none"/>
        </w:rPr>
        <w:t xml:space="preserve">。</w:t>
      </w:r>
      <w:r/>
    </w:p>
    <w:p>
      <w:pPr>
        <w:ind w:firstLine="420"/>
        <w:spacing w:line="400" w:lineRule="exact"/>
        <w:rPr>
          <w:highlight w:val="none"/>
        </w:rPr>
      </w:pPr>
      <w:r>
        <w:rPr>
          <w:rFonts w:hint="eastAsia"/>
          <w:highlight w:val="none"/>
        </w:rPr>
        <w:t xml:space="preserve">4</w:t>
      </w:r>
      <w:r>
        <w:rPr>
          <w:highlight w:val="none"/>
        </w:rPr>
        <w:t xml:space="preserve">、</w:t>
      </w:r>
      <w:r>
        <w:rPr>
          <w:rFonts w:hint="eastAsia"/>
          <w:highlight w:val="none"/>
        </w:rPr>
        <w:t xml:space="preserve">售价</w:t>
      </w:r>
      <w:r>
        <w:rPr>
          <w:highlight w:val="none"/>
        </w:rPr>
        <w:t xml:space="preserve">：</w:t>
      </w:r>
      <w:r>
        <w:rPr>
          <w:rFonts w:hint="eastAsia"/>
          <w:highlight w:val="none"/>
          <w:lang w:val="en-US" w:eastAsia="zh-CN"/>
        </w:rPr>
        <w:t xml:space="preserve">0.00元</w:t>
      </w:r>
      <w:r>
        <w:rPr>
          <w:highlight w:val="none"/>
        </w:rPr>
        <w:t xml:space="preserve">。</w:t>
      </w:r>
      <w:r/>
    </w:p>
    <w:p>
      <w:pPr>
        <w:ind w:firstLine="420"/>
        <w:keepLines w:val="0"/>
        <w:keepNext w:val="0"/>
        <w:pageBreakBefore w:val="0"/>
        <w:spacing w:line="400" w:lineRule="exact"/>
      </w:pPr>
      <w:r>
        <w:t xml:space="preserve">四、提交投标文件</w:t>
      </w:r>
      <w:bookmarkEnd w:id="19"/>
      <w:r/>
      <w:bookmarkEnd w:id="20"/>
      <w:r>
        <w:t xml:space="preserve">截止时间、开标时间和地点</w:t>
      </w:r>
      <w:bookmarkEnd w:id="21"/>
      <w:r/>
      <w:bookmarkEnd w:id="22"/>
      <w:r/>
      <w:bookmarkEnd w:id="23"/>
      <w:r/>
      <w:r/>
    </w:p>
    <w:p>
      <w:pPr>
        <w:ind w:firstLine="420"/>
        <w:keepLines w:val="0"/>
        <w:keepNext w:val="0"/>
        <w:pageBreakBefore w:val="0"/>
        <w:spacing w:line="400" w:lineRule="exact"/>
        <w:rPr>
          <w:highlight w:val="none"/>
        </w:rPr>
      </w:pPr>
      <w:r>
        <w:rPr>
          <w:highlight w:val="none"/>
        </w:rPr>
        <w:t xml:space="preserve">1、</w:t>
      </w:r>
      <w:r>
        <w:rPr>
          <w:rFonts w:hint="eastAsia"/>
          <w:highlight w:val="none"/>
          <w:lang w:val="en-US" w:eastAsia="zh-CN"/>
        </w:rPr>
        <w:t xml:space="preserve">时间：</w:t>
      </w:r>
      <w:r>
        <w:rPr>
          <w:highlight w:val="white"/>
        </w:rPr>
        <w:t xml:space="preserve">2026年</w:t>
      </w:r>
      <w:r>
        <w:rPr>
          <w:rFonts w:hint="eastAsia"/>
          <w:highlight w:val="white"/>
          <w:lang w:val="en-US" w:eastAsia="zh-CN"/>
        </w:rPr>
        <w:t xml:space="preserve">9</w:t>
      </w:r>
      <w:r>
        <w:rPr>
          <w:highlight w:val="white"/>
        </w:rPr>
        <w:t xml:space="preserve">月</w:t>
      </w:r>
      <w:r>
        <w:rPr>
          <w:rFonts w:hint="eastAsia"/>
          <w:highlight w:val="white"/>
          <w:lang w:val="en-US" w:eastAsia="zh-CN"/>
        </w:rPr>
        <w:t xml:space="preserve">21</w:t>
      </w:r>
      <w:r>
        <w:rPr>
          <w:highlight w:val="white"/>
        </w:rPr>
        <w:t xml:space="preserve">日</w:t>
      </w:r>
      <w:r>
        <w:rPr>
          <w:rFonts w:hint="eastAsia"/>
          <w:highlight w:val="white"/>
        </w:rPr>
        <w:t xml:space="preserve">14</w:t>
      </w:r>
      <w:r>
        <w:rPr>
          <w:highlight w:val="white"/>
        </w:rPr>
        <w:t xml:space="preserve">点</w:t>
      </w:r>
      <w:r>
        <w:rPr>
          <w:rFonts w:hint="eastAsia"/>
          <w:highlight w:val="white"/>
        </w:rPr>
        <w:t xml:space="preserve">3</w:t>
      </w:r>
      <w:r>
        <w:rPr>
          <w:highlight w:val="white"/>
        </w:rPr>
        <w:t xml:space="preserve">0分</w:t>
      </w:r>
      <w:r/>
    </w:p>
    <w:p>
      <w:pPr>
        <w:ind w:firstLine="420"/>
        <w:keepLines w:val="0"/>
        <w:keepNext w:val="0"/>
        <w:pageBreakBefore w:val="0"/>
        <w:spacing w:line="400" w:lineRule="exact"/>
        <w:tabs>
          <w:tab w:val="center" w:pos="4716" w:leader="none"/>
        </w:tabs>
      </w:pPr>
      <w:r>
        <w:t xml:space="preserve">2、地点</w:t>
      </w:r>
      <w:r>
        <w:rPr>
          <w:rFonts w:hint="eastAsia"/>
        </w:rPr>
        <w:t xml:space="preserve">：“苏采云”政府采购交易系统网上开标大厅</w:t>
      </w:r>
      <w:r/>
    </w:p>
    <w:p>
      <w:pPr>
        <w:ind w:firstLine="420"/>
        <w:keepLines w:val="0"/>
        <w:keepNext w:val="0"/>
        <w:pageBreakBefore w:val="0"/>
        <w:spacing w:line="400" w:lineRule="exact"/>
      </w:pPr>
      <w:r/>
      <w:bookmarkStart w:id="24" w:name="_Toc38985267"/>
      <w:r/>
      <w:bookmarkStart w:id="25" w:name="_Toc35393625"/>
      <w:r/>
      <w:bookmarkStart w:id="26" w:name="_Toc28359084"/>
      <w:r/>
      <w:bookmarkStart w:id="27" w:name="_Toc35393794"/>
      <w:r/>
      <w:bookmarkStart w:id="28" w:name="_Toc28359007"/>
      <w:r>
        <w:t xml:space="preserve">五、公告期限</w:t>
      </w:r>
      <w:bookmarkEnd w:id="24"/>
      <w:r/>
      <w:bookmarkEnd w:id="25"/>
      <w:r/>
      <w:bookmarkEnd w:id="26"/>
      <w:r/>
      <w:bookmarkEnd w:id="27"/>
      <w:r/>
      <w:bookmarkEnd w:id="28"/>
      <w:r/>
      <w:r/>
    </w:p>
    <w:p>
      <w:pPr>
        <w:ind w:firstLine="420"/>
        <w:keepLines w:val="0"/>
        <w:keepNext w:val="0"/>
        <w:pageBreakBefore w:val="0"/>
        <w:spacing w:line="400" w:lineRule="exact"/>
      </w:pPr>
      <w:r/>
      <w:bookmarkStart w:id="29" w:name="_Toc35393795"/>
      <w:r/>
      <w:bookmarkStart w:id="30" w:name="_Toc38985268"/>
      <w:r/>
      <w:bookmarkStart w:id="31" w:name="_Toc35393626"/>
      <w:r>
        <w:t xml:space="preserve">招标公告及招标文件公告期限为自本公告发布之日起5个工作日。</w:t>
      </w:r>
      <w:bookmarkEnd w:id="29"/>
      <w:r/>
      <w:bookmarkEnd w:id="30"/>
      <w:r/>
      <w:bookmarkEnd w:id="31"/>
      <w:r/>
      <w:r/>
    </w:p>
    <w:p>
      <w:pPr>
        <w:ind w:firstLine="420"/>
        <w:keepLines w:val="0"/>
        <w:keepNext w:val="0"/>
        <w:pageBreakBefore w:val="0"/>
        <w:spacing w:line="400" w:lineRule="exact"/>
      </w:pPr>
      <w:r>
        <w:t xml:space="preserve">六、其他补充事宜</w:t>
      </w:r>
      <w:r/>
    </w:p>
    <w:p>
      <w:pPr>
        <w:ind w:firstLine="420"/>
        <w:keepLines w:val="0"/>
        <w:keepNext w:val="0"/>
        <w:pageBreakBefore w:val="0"/>
        <w:spacing w:line="400" w:lineRule="exact"/>
      </w:pPr>
      <w:r/>
      <w:bookmarkStart w:id="32" w:name="_Toc28359085"/>
      <w:r/>
      <w:bookmarkStart w:id="33" w:name="_Toc28359008"/>
      <w:r/>
      <w:bookmarkStart w:id="34" w:name="_Toc35393796"/>
      <w:r/>
      <w:bookmarkStart w:id="35" w:name="_Toc35393627"/>
      <w:r/>
      <w:bookmarkStart w:id="36" w:name="_Toc38985269"/>
      <w:r>
        <w:rPr>
          <w:rFonts w:hint="eastAsia"/>
        </w:rPr>
        <w:t xml:space="preserve">无</w:t>
      </w:r>
      <w:r/>
    </w:p>
    <w:p>
      <w:pPr>
        <w:ind w:firstLine="420"/>
        <w:keepLines w:val="0"/>
        <w:keepNext w:val="0"/>
        <w:pageBreakBefore w:val="0"/>
        <w:spacing w:line="400" w:lineRule="exact"/>
      </w:pPr>
      <w:r>
        <w:t xml:space="preserve">七、本次招标联系方式</w:t>
      </w:r>
      <w:bookmarkEnd w:id="32"/>
      <w:r/>
      <w:bookmarkEnd w:id="33"/>
      <w:r/>
      <w:bookmarkEnd w:id="34"/>
      <w:r/>
      <w:bookmarkEnd w:id="35"/>
      <w:r/>
      <w:bookmarkEnd w:id="36"/>
      <w:r/>
      <w:r/>
    </w:p>
    <w:p>
      <w:pPr>
        <w:ind w:firstLine="420"/>
        <w:jc w:val="left"/>
        <w:keepLines w:val="0"/>
        <w:keepNext w:val="0"/>
        <w:pageBreakBefore w:val="0"/>
        <w:spacing w:line="400" w:lineRule="exact"/>
        <w:widowControl/>
      </w:pPr>
      <w:r>
        <w:t xml:space="preserve">1、采购人信息</w:t>
      </w:r>
      <w:r/>
    </w:p>
    <w:p>
      <w:pPr>
        <w:ind w:firstLine="420"/>
        <w:keepLines w:val="0"/>
        <w:keepNext w:val="0"/>
        <w:pageBreakBefore w:val="0"/>
        <w:spacing w:line="400" w:lineRule="exact"/>
        <w:rPr>
          <w:color w:val="000000"/>
        </w:rPr>
      </w:pPr>
      <w:r>
        <w:rPr>
          <w:rFonts w:hint="eastAsia"/>
          <w:color w:val="000000"/>
        </w:rPr>
        <w:t xml:space="preserve">名称：江苏省特种设备安全监督检验研究院</w:t>
      </w:r>
      <w:r/>
    </w:p>
    <w:p>
      <w:pPr>
        <w:pStyle w:val="1050"/>
        <w:ind w:firstLine="420"/>
        <w:keepLines w:val="0"/>
        <w:keepNext w:val="0"/>
        <w:pageBreakBefore w:val="0"/>
        <w:spacing w:line="400" w:lineRule="exact"/>
        <w:rPr>
          <w:rFonts w:ascii="Times New Roman"/>
        </w:rPr>
      </w:pPr>
      <w:r>
        <w:rPr>
          <w:rFonts w:ascii="Times New Roman"/>
        </w:rPr>
        <w:t xml:space="preserve">地址：南京市鼓楼区草场门大街107号龙江大厦 </w:t>
      </w:r>
      <w:r/>
    </w:p>
    <w:p>
      <w:pPr>
        <w:pStyle w:val="1050"/>
        <w:ind w:firstLine="420"/>
        <w:keepLines w:val="0"/>
        <w:keepNext w:val="0"/>
        <w:pageBreakBefore w:val="0"/>
        <w:spacing w:line="400" w:lineRule="exact"/>
        <w:rPr>
          <w:rFonts w:ascii="Times New Roman"/>
          <w:highlight w:val="none"/>
        </w:rPr>
      </w:pPr>
      <w:r>
        <w:rPr>
          <w:rFonts w:ascii="Times New Roman"/>
          <w:highlight w:val="none"/>
        </w:rPr>
        <w:t xml:space="preserve">联系人：李老师 </w:t>
      </w:r>
      <w:r/>
    </w:p>
    <w:p>
      <w:pPr>
        <w:pStyle w:val="1050"/>
        <w:ind w:firstLine="420"/>
        <w:keepLines w:val="0"/>
        <w:keepNext w:val="0"/>
        <w:pageBreakBefore w:val="0"/>
        <w:spacing w:line="400" w:lineRule="exact"/>
        <w:rPr>
          <w:rFonts w:ascii="Times New Roman"/>
          <w:highlight w:val="none"/>
        </w:rPr>
      </w:pPr>
      <w:r>
        <w:rPr>
          <w:rFonts w:ascii="Times New Roman"/>
          <w:highlight w:val="none"/>
        </w:rPr>
        <w:t xml:space="preserve">电  话：025-89621099</w:t>
      </w:r>
      <w:r/>
    </w:p>
    <w:p>
      <w:pPr>
        <w:ind w:firstLine="420"/>
        <w:keepLines w:val="0"/>
        <w:keepNext w:val="0"/>
        <w:pageBreakBefore w:val="0"/>
        <w:spacing w:line="400" w:lineRule="exact"/>
        <w:rPr>
          <w:color w:val="000000"/>
        </w:rPr>
      </w:pPr>
      <w:r>
        <w:rPr>
          <w:color w:val="000000"/>
        </w:rPr>
        <w:t xml:space="preserve">2、采购代理机构信息</w:t>
      </w:r>
      <w:r/>
    </w:p>
    <w:p>
      <w:pPr>
        <w:ind w:firstLine="420"/>
        <w:keepLines w:val="0"/>
        <w:keepNext w:val="0"/>
        <w:pageBreakBefore w:val="0"/>
        <w:spacing w:line="400" w:lineRule="exact"/>
        <w:rPr>
          <w:color w:val="000000"/>
        </w:rPr>
      </w:pPr>
      <w:r>
        <w:rPr>
          <w:color w:val="000000"/>
        </w:rPr>
        <w:t xml:space="preserve">名称：江苏励邦招标代理有限公司</w:t>
      </w:r>
      <w:r/>
    </w:p>
    <w:p>
      <w:pPr>
        <w:ind w:firstLine="420"/>
        <w:keepLines w:val="0"/>
        <w:keepNext w:val="0"/>
        <w:pageBreakBefore w:val="0"/>
        <w:spacing w:line="400" w:lineRule="exact"/>
        <w:rPr>
          <w:color w:val="000000"/>
        </w:rPr>
      </w:pPr>
      <w:r>
        <w:rPr>
          <w:color w:val="000000"/>
        </w:rPr>
        <w:t xml:space="preserve">地址：</w:t>
      </w:r>
      <w:r>
        <w:rPr>
          <w:rFonts w:hint="eastAsia"/>
          <w:color w:val="000000"/>
        </w:rPr>
        <w:t xml:space="preserve">江苏省南京市鼓楼区集庆门大街268号苏宁慧谷E08-1幢2205、2206室</w:t>
      </w:r>
      <w:r/>
    </w:p>
    <w:p>
      <w:pPr>
        <w:ind w:firstLine="420"/>
        <w:keepLines w:val="0"/>
        <w:keepNext w:val="0"/>
        <w:pageBreakBefore w:val="0"/>
        <w:spacing w:line="400" w:lineRule="exact"/>
        <w:rPr>
          <w:color w:val="000000"/>
        </w:rPr>
      </w:pPr>
      <w:r>
        <w:rPr>
          <w:color w:val="000000"/>
        </w:rPr>
        <w:t xml:space="preserve">联系人：</w:t>
      </w:r>
      <w:r>
        <w:rPr>
          <w:rFonts w:hint="eastAsia"/>
          <w:color w:val="000000"/>
        </w:rPr>
        <w:t xml:space="preserve">徐</w:t>
      </w:r>
      <w:r>
        <w:rPr>
          <w:color w:val="000000"/>
        </w:rPr>
        <w:t xml:space="preserve">老师</w:t>
      </w:r>
      <w:r/>
    </w:p>
    <w:p>
      <w:pPr>
        <w:ind w:firstLine="420"/>
        <w:keepLines w:val="0"/>
        <w:keepNext w:val="0"/>
        <w:pageBreakBefore w:val="0"/>
        <w:spacing w:line="400" w:lineRule="exact"/>
        <w:rPr>
          <w:color w:val="000000"/>
        </w:rPr>
      </w:pPr>
      <w:r>
        <w:rPr>
          <w:color w:val="000000"/>
        </w:rPr>
        <w:t xml:space="preserve">电话：</w:t>
      </w:r>
      <w:r>
        <w:rPr>
          <w:rFonts w:hint="eastAsia"/>
          <w:color w:val="000000"/>
        </w:rPr>
        <w:t xml:space="preserve">13851424090</w:t>
      </w:r>
      <w:r/>
    </w:p>
    <w:p>
      <w:pPr>
        <w:ind w:firstLine="420"/>
        <w:keepLines w:val="0"/>
        <w:keepNext w:val="0"/>
        <w:pageBreakBefore w:val="0"/>
        <w:spacing w:line="400" w:lineRule="exact"/>
      </w:pPr>
      <w:r>
        <w:rPr>
          <w:rFonts w:hint="eastAsia"/>
        </w:rPr>
        <w:t xml:space="preserve">八、其他</w:t>
      </w:r>
      <w:r/>
    </w:p>
    <w:p>
      <w:pPr>
        <w:ind w:firstLine="420"/>
        <w:keepLines w:val="0"/>
        <w:keepNext w:val="0"/>
        <w:pageBreakBefore w:val="0"/>
        <w:spacing w:line="400" w:lineRule="exact"/>
      </w:pPr>
      <w:r>
        <w:t xml:space="preserve">1</w:t>
      </w:r>
      <w:r>
        <w:rPr>
          <w:rFonts w:hint="eastAsia"/>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p>
    <w:p>
      <w:pPr>
        <w:ind w:firstLine="420"/>
        <w:keepLines w:val="0"/>
        <w:keepNext w:val="0"/>
        <w:pageBreakBefore w:val="0"/>
        <w:spacing w:line="400" w:lineRule="exact"/>
      </w:pPr>
      <w:r>
        <w:t xml:space="preserve">http://www.ccgp-jiangsu.gov.cn/jiangsu/zlxz/ee/ee3a4bc5a3454aa2b0d9312230633ce9.html。</w:t>
      </w:r>
      <w:r/>
    </w:p>
    <w:p>
      <w:pPr>
        <w:ind w:firstLine="420"/>
        <w:keepLines w:val="0"/>
        <w:keepNext w:val="0"/>
        <w:pageBreakBefore w:val="0"/>
        <w:spacing w:line="400" w:lineRule="exact"/>
      </w:pPr>
      <w:r>
        <w:rPr>
          <w:rFonts w:hint="eastAsia"/>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t xml:space="preserve">（www.jszwfw.gov.cn）</w:t>
      </w:r>
      <w:r>
        <w:rPr>
          <w:rFonts w:hint="eastAsia"/>
        </w:rPr>
        <w:t xml:space="preserve">，“一企来办”专栏下“政府采购”模块详细了解关于CA办理、标书制作、开标投标指引等事宜。</w:t>
      </w:r>
      <w:r/>
    </w:p>
    <w:p>
      <w:pPr>
        <w:ind w:firstLine="420"/>
        <w:keepLines w:val="0"/>
        <w:keepNext w:val="0"/>
        <w:pageBreakBefore w:val="0"/>
        <w:spacing w:line="400" w:lineRule="exact"/>
      </w:pPr>
      <w:r>
        <w:rPr>
          <w:rFonts w:hint="eastAsia"/>
        </w:rPr>
        <w:t xml:space="preserve">如果“江苏政府采购网”</w:t>
      </w:r>
      <w:r>
        <w:t xml:space="preserve">（www.ccgp-jiangsu.gov.cn）</w:t>
      </w:r>
      <w:r>
        <w:rPr>
          <w:rFonts w:hint="eastAsia"/>
        </w:rPr>
        <w:t xml:space="preserve">信息与“江苏政务服务网” </w:t>
      </w:r>
      <w:r>
        <w:t xml:space="preserve">（www.jszwfw.gov.cn）</w:t>
      </w:r>
      <w:r>
        <w:rPr>
          <w:rFonts w:hint="eastAsia"/>
        </w:rPr>
        <w:t xml:space="preserve">，“一企来办”专栏下“政府采购”模块中信息不一致，以“江苏政府采购网”信息为准。</w:t>
      </w:r>
      <w:r/>
    </w:p>
    <w:p>
      <w:pPr>
        <w:ind w:firstLine="420"/>
        <w:keepLines w:val="0"/>
        <w:keepNext w:val="0"/>
        <w:pageBreakBefore w:val="0"/>
        <w:spacing w:line="400" w:lineRule="exact"/>
      </w:pPr>
      <w:r>
        <w:rPr>
          <w:rFonts w:hint="eastAsia"/>
          <w:color w:val="000000" w:themeColor="text1"/>
          <w:highlight w:val="none"/>
          <w14:textFill>
            <w14:solidFill>
              <w14:schemeClr w14:val="tx1"/>
            </w14:solidFill>
          </w14:textFill>
        </w:rPr>
        <w:t xml:space="preserve">2、</w:t>
      </w:r>
      <w:r>
        <w:rPr>
          <w:rFonts w:hint="eastAsia"/>
        </w:rPr>
        <w:t xml:space="preserve">.有关本次招标的事项若存在变动或修改，敬请及时关注江苏励邦招标代理有限公司在“江苏政府采购网”发布的更正公告。</w:t>
      </w:r>
      <w:r/>
    </w:p>
    <w:p>
      <w:pPr>
        <w:ind w:firstLine="420"/>
        <w:keepLines w:val="0"/>
        <w:keepNext w:val="0"/>
        <w:pageBreakBefore w:val="0"/>
        <w:spacing w:line="400" w:lineRule="exact"/>
      </w:pPr>
      <w:r>
        <w:rPr>
          <w:rFonts w:hint="eastAsia"/>
          <w:lang w:val="en-US" w:eastAsia="zh-CN"/>
        </w:rPr>
        <w:t xml:space="preserve">3</w:t>
      </w:r>
      <w:r>
        <w:rPr>
          <w:rFonts w:hint="eastAsia"/>
        </w:rPr>
        <w:t xml:space="preserve">.本次招标不收取投标保证金。</w:t>
      </w:r>
      <w:r/>
    </w:p>
    <w:p>
      <w:r>
        <w:br w:type="page" w:clear="all"/>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p>
    <w:p>
      <w:pPr>
        <w:pStyle w:val="1027"/>
        <w:rPr>
          <w:rFonts w:ascii="Times New Roman" w:eastAsia="黑体"/>
          <w:sz w:val="44"/>
          <w:szCs w:val="44"/>
        </w:rPr>
      </w:pPr>
      <w:r/>
      <w:bookmarkStart w:id="37" w:name="_Toc1825"/>
      <w:r/>
      <w:bookmarkStart w:id="38" w:name="_Toc513029242"/>
      <w:r/>
      <w:bookmarkStart w:id="39" w:name="_Toc479757207"/>
      <w:r/>
      <w:bookmarkStart w:id="40" w:name="_Toc120614221"/>
      <w:r/>
      <w:bookmarkStart w:id="41" w:name="_Toc20823314"/>
      <w:r/>
      <w:bookmarkStart w:id="42" w:name="_Toc16938558"/>
      <w:r>
        <w:rPr>
          <w:rFonts w:ascii="Times New Roman" w:eastAsia="黑体"/>
          <w:sz w:val="44"/>
          <w:szCs w:val="44"/>
        </w:rPr>
        <w:t xml:space="preserve">第二章  投标人须知</w:t>
      </w:r>
      <w:bookmarkEnd w:id="37"/>
      <w:r/>
      <w:r/>
    </w:p>
    <w:p>
      <w:pPr>
        <w:ind w:firstLine="422"/>
        <w:keepLines/>
        <w:keepNext/>
        <w:pageBreakBefore w:val="0"/>
        <w:spacing w:line="360" w:lineRule="exact"/>
        <w:widowControl w:val="off"/>
        <w:rPr>
          <w:rFonts w:hint="eastAsia" w:ascii="宋体" w:hAnsi="宋体" w:cs="宋体"/>
          <w:b/>
          <w:bCs/>
          <w:color w:val="000000"/>
        </w:rPr>
      </w:pPr>
      <w:r/>
      <w:bookmarkStart w:id="43" w:name="_Toc513029203"/>
      <w:r/>
      <w:bookmarkStart w:id="44" w:name="_Toc16938519"/>
      <w:r/>
      <w:bookmarkStart w:id="45" w:name="_Toc120614214"/>
      <w:r/>
      <w:bookmarkStart w:id="46" w:name="_Toc20823275"/>
      <w:r>
        <w:rPr>
          <w:rFonts w:hint="eastAsia" w:ascii="宋体" w:hAnsi="宋体" w:cs="宋体"/>
          <w:b/>
          <w:bCs/>
          <w:color w:val="000000"/>
        </w:rPr>
        <w:t xml:space="preserve">一、总则</w:t>
      </w:r>
      <w:bookmarkEnd w:id="43"/>
      <w:r/>
      <w:bookmarkEnd w:id="44"/>
      <w:r/>
      <w:bookmarkEnd w:id="45"/>
      <w:r/>
      <w:bookmarkEnd w:id="46"/>
      <w:r/>
      <w:r/>
    </w:p>
    <w:p>
      <w:pPr>
        <w:ind w:firstLine="420"/>
        <w:keepLines/>
        <w:keepNext/>
        <w:pageBreakBefore w:val="0"/>
        <w:spacing w:line="360" w:lineRule="exact"/>
        <w:widowControl w:val="off"/>
        <w:rPr>
          <w:rFonts w:hint="eastAsia" w:ascii="宋体" w:hAnsi="宋体" w:cs="宋体"/>
          <w:color w:val="000000"/>
        </w:rPr>
      </w:pPr>
      <w:r/>
      <w:bookmarkStart w:id="47" w:name="_Hlt16619475"/>
      <w:r/>
      <w:bookmarkEnd w:id="47"/>
      <w:r/>
      <w:bookmarkStart w:id="48" w:name="_Toc458694821"/>
      <w:r/>
      <w:bookmarkStart w:id="49" w:name="_Toc20823276"/>
      <w:r/>
      <w:bookmarkStart w:id="50" w:name="_Toc513029204"/>
      <w:r/>
      <w:bookmarkStart w:id="51" w:name="_Toc16938520"/>
      <w:r>
        <w:rPr>
          <w:rFonts w:hint="eastAsia" w:ascii="宋体" w:hAnsi="宋体" w:cs="宋体"/>
          <w:color w:val="000000"/>
        </w:rPr>
        <w:t xml:space="preserve">1</w:t>
      </w:r>
      <w:bookmarkEnd w:id="48"/>
      <w:r>
        <w:rPr>
          <w:rFonts w:hint="eastAsia" w:ascii="宋体" w:hAnsi="宋体" w:cs="宋体"/>
          <w:color w:val="000000"/>
        </w:rPr>
        <w:t xml:space="preserve">、招标方式</w:t>
      </w:r>
      <w:bookmarkEnd w:id="49"/>
      <w:r/>
      <w:bookmarkEnd w:id="50"/>
      <w:r/>
      <w:bookmarkEnd w:id="51"/>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1.1 本次招标采取公开招标方式，本招标文件仅适用于招标公告中所述项目。</w:t>
      </w:r>
      <w:r/>
    </w:p>
    <w:p>
      <w:pPr>
        <w:ind w:firstLine="420"/>
        <w:keepLines/>
        <w:keepNext/>
        <w:pageBreakBefore w:val="0"/>
        <w:spacing w:line="360" w:lineRule="exact"/>
        <w:widowControl w:val="off"/>
        <w:rPr>
          <w:rFonts w:hint="eastAsia" w:ascii="宋体" w:hAnsi="宋体" w:cs="宋体"/>
          <w:color w:val="000000"/>
        </w:rPr>
      </w:pPr>
      <w:r/>
      <w:bookmarkStart w:id="52" w:name="_Toc20823277"/>
      <w:r/>
      <w:bookmarkStart w:id="53" w:name="_Toc16938521"/>
      <w:r/>
      <w:bookmarkStart w:id="54" w:name="_Toc513029205"/>
      <w:r>
        <w:rPr>
          <w:rFonts w:hint="eastAsia" w:ascii="宋体" w:hAnsi="宋体" w:cs="宋体"/>
          <w:color w:val="000000"/>
        </w:rPr>
        <w:t xml:space="preserve">2、合格的投标人</w:t>
      </w:r>
      <w:bookmarkEnd w:id="52"/>
      <w:r/>
      <w:bookmarkEnd w:id="53"/>
      <w:r/>
      <w:bookmarkEnd w:id="54"/>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2.1满足招标公告中供应商的资格要求的规定。</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2.2 满足本文件实质性要求的规定。</w:t>
      </w:r>
      <w:r/>
    </w:p>
    <w:p>
      <w:pPr>
        <w:ind w:firstLine="420"/>
        <w:keepLines/>
        <w:keepNext/>
        <w:pageBreakBefore w:val="0"/>
        <w:spacing w:line="360" w:lineRule="exact"/>
        <w:widowControl w:val="off"/>
        <w:rPr>
          <w:rFonts w:hint="eastAsia" w:ascii="宋体" w:hAnsi="宋体" w:cs="宋体"/>
          <w:color w:val="000000"/>
        </w:rPr>
      </w:pPr>
      <w:r/>
      <w:bookmarkStart w:id="55" w:name="_Toc20823278"/>
      <w:r/>
      <w:bookmarkStart w:id="56" w:name="_Toc513029206"/>
      <w:r/>
      <w:bookmarkStart w:id="57" w:name="_Toc16938522"/>
      <w:r>
        <w:rPr>
          <w:rFonts w:hint="eastAsia" w:ascii="宋体" w:hAnsi="宋体" w:cs="宋体"/>
          <w:color w:val="000000"/>
        </w:rPr>
        <w:t xml:space="preserve">3、适用法律</w:t>
      </w:r>
      <w:bookmarkEnd w:id="55"/>
      <w:r/>
      <w:bookmarkEnd w:id="56"/>
      <w:r/>
      <w:bookmarkEnd w:id="57"/>
      <w:r>
        <w:rPr>
          <w:rFonts w:hint="eastAsia" w:ascii="宋体" w:hAnsi="宋体" w:cs="宋体"/>
          <w:color w:val="000000"/>
        </w:rPr>
        <w:t xml:space="preserve">和标准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3.1 本次招标及由此产生的合同受中华人民共和国有关的法律法规制约和保护。</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3.2 在本项目政府采购活动过程中，如果所执行的标准有更新的，按照最新标准执行。</w:t>
      </w:r>
      <w:r/>
    </w:p>
    <w:p>
      <w:pPr>
        <w:ind w:firstLine="420"/>
        <w:keepLines/>
        <w:keepNext/>
        <w:pageBreakBefore w:val="0"/>
        <w:spacing w:line="360" w:lineRule="exact"/>
        <w:widowControl w:val="off"/>
        <w:rPr>
          <w:rFonts w:hint="eastAsia" w:ascii="宋体" w:hAnsi="宋体" w:cs="宋体"/>
          <w:color w:val="000000"/>
        </w:rPr>
      </w:pPr>
      <w:r/>
      <w:bookmarkStart w:id="58" w:name="_Toc16938523"/>
      <w:r/>
      <w:bookmarkStart w:id="59" w:name="_Toc513029207"/>
      <w:r/>
      <w:bookmarkStart w:id="60" w:name="_Toc20823279"/>
      <w:r/>
      <w:bookmarkStart w:id="61" w:name="_Toc462564067"/>
      <w:r>
        <w:rPr>
          <w:rFonts w:hint="eastAsia" w:ascii="宋体" w:hAnsi="宋体" w:cs="宋体"/>
          <w:color w:val="000000"/>
        </w:rPr>
        <w:t xml:space="preserve">4、投标费用</w:t>
      </w:r>
      <w:bookmarkEnd w:id="58"/>
      <w:r/>
      <w:bookmarkEnd w:id="59"/>
      <w:r/>
      <w:bookmarkEnd w:id="60"/>
      <w:r/>
      <w:bookmarkEnd w:id="61"/>
      <w:r/>
      <w:r/>
    </w:p>
    <w:p>
      <w:pPr>
        <w:ind w:firstLine="420"/>
        <w:pageBreakBefore w:val="0"/>
        <w:spacing w:line="360" w:lineRule="exact"/>
        <w:widowControl w:val="off"/>
        <w:rPr>
          <w:rFonts w:hint="eastAsia" w:ascii="宋体" w:hAnsi="宋体" w:cs="宋体"/>
          <w:color w:val="000000"/>
          <w:highlight w:val="none"/>
        </w:rPr>
      </w:pPr>
      <w:r>
        <w:rPr>
          <w:rFonts w:hint="eastAsia" w:ascii="宋体" w:hAnsi="宋体" w:cs="宋体"/>
          <w:bCs/>
          <w:color w:val="000000"/>
          <w:highlight w:val="none"/>
        </w:rPr>
        <w:t xml:space="preserve">4.1</w:t>
      </w:r>
      <w:r>
        <w:rPr>
          <w:rFonts w:hint="eastAsia" w:ascii="宋体" w:hAnsi="宋体" w:cs="宋体"/>
          <w:color w:val="000000"/>
          <w:highlight w:val="none"/>
        </w:rPr>
        <w:t xml:space="preserve"> 投标人应自行承担所有与参加投标有关的费用，无论投标过程中的做法和结果如何，</w:t>
      </w:r>
      <w:r>
        <w:rPr>
          <w:rFonts w:hint="eastAsia" w:ascii="宋体" w:hAnsi="宋体" w:cs="宋体"/>
          <w:color w:val="000000"/>
          <w:highlight w:val="none"/>
          <w:lang w:val="en-US" w:eastAsia="zh-CN"/>
        </w:rPr>
        <w:t xml:space="preserve">江苏励邦招标代理</w:t>
      </w:r>
      <w:r>
        <w:rPr>
          <w:rFonts w:hint="eastAsia" w:ascii="宋体" w:hAnsi="宋体" w:cs="宋体"/>
          <w:color w:val="000000"/>
          <w:highlight w:val="none"/>
        </w:rPr>
        <w:t xml:space="preserve">有限公司(以下称代理机构)在任何情况下均无义务和责任承担这些费用。</w:t>
      </w:r>
      <w:r/>
    </w:p>
    <w:p>
      <w:pPr>
        <w:ind w:firstLine="420"/>
        <w:pageBreakBefore w:val="0"/>
        <w:spacing w:line="360" w:lineRule="exact"/>
        <w:widowControl w:val="off"/>
        <w:rPr>
          <w:rFonts w:hint="eastAsia" w:ascii="宋体" w:hAnsi="宋体" w:cs="宋体"/>
          <w:color w:val="000000"/>
          <w:highlight w:val="none"/>
        </w:rPr>
      </w:pPr>
      <w:r>
        <w:rPr>
          <w:rFonts w:hint="eastAsia" w:ascii="宋体" w:hAnsi="宋体" w:cs="宋体"/>
          <w:color w:val="000000"/>
          <w:highlight w:val="none"/>
        </w:rPr>
        <w:t xml:space="preserve">4.2本项目采购代理服务费用已纳入采购预算，由中标供应商承担并包含在投标报价中。代理服务费以中标金额为基数，参照原国家计委“计价格[2002]1980号”文件规定收费标准的80%计取。若计算金额低于人民币3000元的，</w:t>
      </w:r>
      <w:r>
        <w:rPr>
          <w:rFonts w:hint="eastAsia" w:ascii="宋体" w:hAnsi="宋体" w:cs="宋体"/>
          <w:color w:val="000000"/>
          <w:highlight w:val="none"/>
          <w:lang w:val="en-US" w:eastAsia="zh-CN"/>
        </w:rPr>
        <w:t xml:space="preserve">则按</w:t>
      </w:r>
      <w:r>
        <w:rPr>
          <w:rFonts w:hint="eastAsia" w:ascii="宋体" w:hAnsi="宋体" w:cs="宋体"/>
          <w:color w:val="000000"/>
          <w:highlight w:val="none"/>
        </w:rPr>
        <w:t xml:space="preserve">人民币3000元收取。中标供应商须在领取中标通知书前向代理机构全额支付。</w:t>
      </w:r>
      <w:r/>
    </w:p>
    <w:p>
      <w:pPr>
        <w:ind w:firstLine="420"/>
        <w:pageBreakBefore w:val="0"/>
        <w:spacing w:line="360" w:lineRule="exact"/>
        <w:widowControl w:val="off"/>
      </w:pPr>
      <w:r>
        <w:t xml:space="preserve">收款账户信息如下：</w:t>
      </w:r>
      <w:r/>
    </w:p>
    <w:p>
      <w:pPr>
        <w:ind w:firstLine="420"/>
        <w:pageBreakBefore w:val="0"/>
        <w:spacing w:line="360" w:lineRule="exact"/>
        <w:widowControl w:val="off"/>
      </w:pPr>
      <w:r>
        <w:t xml:space="preserve">账户名称：江苏励邦招标代理有限公司</w:t>
      </w:r>
      <w:r/>
    </w:p>
    <w:p>
      <w:pPr>
        <w:ind w:firstLine="420"/>
        <w:pageBreakBefore w:val="0"/>
        <w:spacing w:line="360" w:lineRule="exact"/>
        <w:widowControl w:val="off"/>
      </w:pPr>
      <w:r>
        <w:t xml:space="preserve">开户银行：中国银行草场门支行</w:t>
      </w:r>
      <w:r/>
    </w:p>
    <w:p>
      <w:pPr>
        <w:ind w:firstLine="420"/>
        <w:keepLines w:val="0"/>
        <w:keepNext w:val="0"/>
        <w:pageBreakBefore w:val="0"/>
        <w:spacing w:line="360" w:lineRule="exact"/>
        <w:widowControl w:val="off"/>
        <w:rPr>
          <w:rFonts w:hint="eastAsia"/>
        </w:rPr>
      </w:pPr>
      <w:r>
        <w:t xml:space="preserve">账</w:t>
      </w:r>
      <w:r>
        <w:rPr>
          <w:rFonts w:hint="eastAsia"/>
          <w:lang w:val="en-US" w:eastAsia="zh-CN"/>
        </w:rPr>
        <w:t xml:space="preserve">    </w:t>
      </w:r>
      <w:r>
        <w:t xml:space="preserve">号：509277386442</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5、招标文件的约束力</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5.1</w:t>
      </w:r>
      <w:r>
        <w:rPr>
          <w:rFonts w:hint="eastAsia" w:ascii="宋体" w:hAnsi="宋体" w:cs="宋体"/>
          <w:color w:val="000000"/>
        </w:rPr>
        <w:t xml:space="preserve"> 投标人一旦参加本项目采购活动，即被认为接受了本招标文件的规定和约束。</w:t>
      </w:r>
      <w:r/>
    </w:p>
    <w:p>
      <w:pPr>
        <w:ind w:firstLine="422"/>
        <w:keepLines/>
        <w:keepNext/>
        <w:pageBreakBefore w:val="0"/>
        <w:spacing w:line="360" w:lineRule="exact"/>
        <w:widowControl w:val="off"/>
        <w:rPr>
          <w:rFonts w:hint="eastAsia" w:ascii="宋体" w:hAnsi="宋体" w:cs="宋体"/>
          <w:b/>
          <w:bCs/>
          <w:color w:val="000000"/>
        </w:rPr>
      </w:pPr>
      <w:r/>
      <w:bookmarkStart w:id="62" w:name="_Toc16938525"/>
      <w:r/>
      <w:bookmarkStart w:id="63" w:name="_Toc20823281"/>
      <w:r/>
      <w:bookmarkStart w:id="64" w:name="_Toc120614215"/>
      <w:r/>
      <w:bookmarkStart w:id="65" w:name="_Toc513029209"/>
      <w:r>
        <w:rPr>
          <w:rFonts w:hint="eastAsia" w:ascii="宋体" w:hAnsi="宋体" w:cs="宋体"/>
          <w:b/>
          <w:bCs/>
          <w:color w:val="000000"/>
        </w:rPr>
        <w:t xml:space="preserve">二、招标文件</w:t>
      </w:r>
      <w:bookmarkEnd w:id="62"/>
      <w:r/>
      <w:bookmarkEnd w:id="63"/>
      <w:r/>
      <w:bookmarkEnd w:id="64"/>
      <w:r/>
      <w:bookmarkEnd w:id="65"/>
      <w:r/>
      <w:r/>
    </w:p>
    <w:p>
      <w:pPr>
        <w:ind w:firstLine="420"/>
        <w:keepLines/>
        <w:keepNext/>
        <w:pageBreakBefore w:val="0"/>
        <w:spacing w:line="360" w:lineRule="exact"/>
        <w:widowControl w:val="off"/>
        <w:rPr>
          <w:rFonts w:hint="eastAsia" w:ascii="宋体" w:hAnsi="宋体" w:cs="宋体"/>
          <w:color w:val="000000"/>
        </w:rPr>
      </w:pPr>
      <w:r/>
      <w:bookmarkStart w:id="66" w:name="_Toc16938526"/>
      <w:r/>
      <w:bookmarkStart w:id="67" w:name="_Toc20823282"/>
      <w:r/>
      <w:bookmarkStart w:id="68" w:name="_Toc513029210"/>
      <w:r>
        <w:rPr>
          <w:rFonts w:hint="eastAsia" w:ascii="宋体" w:hAnsi="宋体" w:cs="宋体"/>
          <w:color w:val="000000"/>
        </w:rPr>
        <w:t xml:space="preserve">6、招标文件构成</w:t>
      </w:r>
      <w:bookmarkEnd w:id="66"/>
      <w:r/>
      <w:bookmarkEnd w:id="67"/>
      <w:r/>
      <w:bookmarkEnd w:id="68"/>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6.1</w:t>
      </w:r>
      <w:r>
        <w:rPr>
          <w:rFonts w:hint="eastAsia" w:ascii="宋体" w:hAnsi="宋体" w:cs="宋体"/>
          <w:color w:val="000000"/>
        </w:rPr>
        <w:t xml:space="preserve"> 招标文件由以下部分组成：</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（1）投标邀请</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（2）投标人须知</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（3）合同文本</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（4）采购需求</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（5）评标方法与评标标准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（6）投标文件格式</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请仔细检查招标文件是否齐全，如有缺漏请立即与代理机构联系解决。</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6.2</w:t>
      </w:r>
      <w:r>
        <w:rPr>
          <w:rFonts w:hint="eastAsia" w:ascii="宋体" w:hAnsi="宋体" w:cs="宋体"/>
          <w:color w:val="000000"/>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exact"/>
        <w:widowControl w:val="off"/>
        <w:rPr>
          <w:rFonts w:hint="eastAsia" w:ascii="宋体" w:hAnsi="宋体" w:cs="宋体"/>
          <w:color w:val="000000"/>
        </w:rPr>
      </w:pPr>
      <w:r/>
      <w:bookmarkStart w:id="69" w:name="_Toc20823284"/>
      <w:r/>
      <w:bookmarkStart w:id="70" w:name="_Toc462564071"/>
      <w:r/>
      <w:bookmarkStart w:id="71" w:name="_Toc513029212"/>
      <w:r/>
      <w:bookmarkStart w:id="72" w:name="_Toc16938528"/>
      <w:r>
        <w:rPr>
          <w:rFonts w:hint="eastAsia" w:ascii="宋体" w:hAnsi="宋体" w:cs="宋体"/>
          <w:color w:val="000000"/>
        </w:rPr>
        <w:t xml:space="preserve">7、招标文件的修改</w:t>
      </w:r>
      <w:bookmarkEnd w:id="69"/>
      <w:r/>
      <w:bookmarkEnd w:id="70"/>
      <w:r/>
      <w:bookmarkEnd w:id="71"/>
      <w:r/>
      <w:bookmarkEnd w:id="72"/>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7.1</w:t>
      </w:r>
      <w:r>
        <w:rPr>
          <w:rFonts w:hint="eastAsia" w:ascii="宋体" w:hAnsi="宋体" w:cs="宋体"/>
          <w:color w:val="000000"/>
        </w:rPr>
        <w:t xml:space="preserve"> 在投标截止时间前，代理机构可以对招标文件进行修改。</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7.2 </w:t>
      </w:r>
      <w:r>
        <w:rPr>
          <w:rFonts w:hint="eastAsia" w:ascii="宋体" w:hAnsi="宋体" w:cs="宋体"/>
          <w:color w:val="000000"/>
        </w:rPr>
        <w:t xml:space="preserve">代理机构有权按照法定的要求推迟投标截止日期和开标日期。</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7.3 </w:t>
      </w:r>
      <w:r>
        <w:rPr>
          <w:rFonts w:hint="eastAsia" w:ascii="宋体" w:hAnsi="宋体" w:cs="宋体"/>
          <w:color w:val="000000"/>
        </w:rPr>
        <w:t xml:space="preserve">招标文件的修改将在江苏政府采购网公布，补充文件将作为招标文件的组成部分，并对投标人具有约束力。</w:t>
      </w:r>
      <w:r/>
    </w:p>
    <w:p>
      <w:pPr>
        <w:ind w:firstLine="422"/>
        <w:keepLines/>
        <w:keepNext/>
        <w:pageBreakBefore w:val="0"/>
        <w:spacing w:line="360" w:lineRule="exact"/>
        <w:widowControl w:val="off"/>
        <w:rPr>
          <w:rFonts w:hint="eastAsia" w:ascii="宋体" w:hAnsi="宋体" w:cs="宋体"/>
          <w:b/>
          <w:bCs/>
          <w:color w:val="000000"/>
        </w:rPr>
      </w:pPr>
      <w:r/>
      <w:bookmarkStart w:id="73" w:name="_Toc462564072"/>
      <w:r/>
      <w:bookmarkStart w:id="74" w:name="_Toc16938529"/>
      <w:r/>
      <w:bookmarkStart w:id="75" w:name="_Toc513029213"/>
      <w:r/>
      <w:bookmarkStart w:id="76" w:name="_Toc20823285"/>
      <w:r/>
      <w:bookmarkStart w:id="77" w:name="_Toc120614216"/>
      <w:r>
        <w:rPr>
          <w:rFonts w:hint="eastAsia" w:ascii="宋体" w:hAnsi="宋体" w:cs="宋体"/>
          <w:b/>
          <w:bCs/>
          <w:color w:val="000000"/>
        </w:rPr>
        <w:t xml:space="preserve">三、投标文件的编制</w:t>
      </w:r>
      <w:bookmarkEnd w:id="73"/>
      <w:r/>
      <w:bookmarkEnd w:id="74"/>
      <w:r/>
      <w:bookmarkEnd w:id="75"/>
      <w:r/>
      <w:bookmarkEnd w:id="76"/>
      <w:r/>
      <w:bookmarkEnd w:id="77"/>
      <w:r/>
      <w:r/>
    </w:p>
    <w:p>
      <w:pPr>
        <w:ind w:firstLine="420"/>
        <w:keepLines/>
        <w:keepNext/>
        <w:pageBreakBefore w:val="0"/>
        <w:spacing w:line="360" w:lineRule="exact"/>
        <w:widowControl w:val="off"/>
        <w:rPr>
          <w:rFonts w:hint="eastAsia" w:ascii="宋体" w:hAnsi="宋体" w:cs="宋体"/>
          <w:b/>
          <w:color w:val="000000"/>
        </w:rPr>
      </w:pPr>
      <w:r/>
      <w:bookmarkStart w:id="78" w:name="_Toc513029214"/>
      <w:r/>
      <w:bookmarkStart w:id="79" w:name="_Toc16938530"/>
      <w:r/>
      <w:bookmarkStart w:id="80" w:name="_Toc462564073"/>
      <w:r/>
      <w:bookmarkStart w:id="81" w:name="_Toc20823286"/>
      <w:r>
        <w:rPr>
          <w:rFonts w:hint="eastAsia" w:ascii="宋体" w:hAnsi="宋体" w:cs="宋体"/>
          <w:color w:val="000000"/>
        </w:rPr>
        <w:t xml:space="preserve">8、投标文件的语言及度量衡单位</w:t>
      </w:r>
      <w:bookmarkEnd w:id="78"/>
      <w:r/>
      <w:bookmarkEnd w:id="79"/>
      <w:r/>
      <w:bookmarkEnd w:id="80"/>
      <w:r/>
      <w:bookmarkEnd w:id="81"/>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8.1</w:t>
      </w:r>
      <w:r>
        <w:rPr>
          <w:rFonts w:hint="eastAsia" w:ascii="宋体" w:hAnsi="宋体" w:cs="宋体"/>
          <w:color w:val="000000"/>
        </w:rPr>
        <w:t xml:space="preserve"> 投标人提交的投标文件以及投标人与代理机构就有关投标的所有来往通知、函件和文件均应使用</w:t>
      </w:r>
      <w:r>
        <w:rPr>
          <w:rFonts w:hint="eastAsia" w:ascii="宋体" w:hAnsi="宋体" w:cs="宋体"/>
          <w:b/>
          <w:bCs/>
          <w:color w:val="000000"/>
        </w:rPr>
        <w:t xml:space="preserve">简体中文</w:t>
      </w:r>
      <w:r>
        <w:rPr>
          <w:rFonts w:hint="eastAsia" w:ascii="宋体" w:hAnsi="宋体" w:cs="宋体"/>
          <w:color w:val="000000"/>
        </w:rPr>
        <w:t xml:space="preserve">。</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8.2</w:t>
      </w:r>
      <w:r>
        <w:rPr>
          <w:rFonts w:hint="eastAsia" w:ascii="宋体" w:hAnsi="宋体" w:cs="宋体"/>
          <w:color w:val="000000"/>
        </w:rPr>
        <w:t xml:space="preserve"> 除技术性能另有规定外，投标文件所使用的度量衡单位，均须采用国家法定计量单位。</w:t>
      </w:r>
      <w:r/>
    </w:p>
    <w:p>
      <w:pPr>
        <w:ind w:firstLine="420"/>
        <w:keepLines/>
        <w:keepNext/>
        <w:pageBreakBefore w:val="0"/>
        <w:spacing w:line="360" w:lineRule="exact"/>
        <w:widowControl w:val="off"/>
        <w:rPr>
          <w:rFonts w:hint="eastAsia" w:ascii="宋体" w:hAnsi="宋体" w:cs="宋体"/>
          <w:color w:val="000000"/>
        </w:rPr>
      </w:pPr>
      <w:r/>
      <w:bookmarkStart w:id="82" w:name="_Toc462564074"/>
      <w:r/>
      <w:bookmarkStart w:id="83" w:name="_Toc20823287"/>
      <w:r/>
      <w:bookmarkStart w:id="84" w:name="_Toc513029215"/>
      <w:r/>
      <w:bookmarkStart w:id="85" w:name="_Toc16938531"/>
      <w:r>
        <w:rPr>
          <w:rFonts w:hint="eastAsia" w:ascii="宋体" w:hAnsi="宋体" w:cs="宋体"/>
          <w:color w:val="000000"/>
        </w:rPr>
        <w:t xml:space="preserve">9、投标文件构成</w:t>
      </w:r>
      <w:bookmarkEnd w:id="82"/>
      <w:r/>
      <w:bookmarkEnd w:id="83"/>
      <w:r/>
      <w:bookmarkEnd w:id="84"/>
      <w:r/>
      <w:bookmarkEnd w:id="85"/>
      <w:r/>
      <w:r/>
    </w:p>
    <w:p>
      <w:pPr>
        <w:ind w:firstLine="420"/>
        <w:pageBreakBefore w:val="0"/>
        <w:spacing w:line="360" w:lineRule="exact"/>
        <w:widowControl w:val="off"/>
        <w:rPr>
          <w:rFonts w:hint="eastAsia" w:ascii="宋体" w:hAnsi="宋体" w:cs="宋体"/>
        </w:rPr>
      </w:pPr>
      <w:r>
        <w:rPr>
          <w:rFonts w:hint="eastAsia" w:ascii="宋体" w:hAnsi="宋体" w:cs="宋体"/>
          <w:bCs/>
        </w:rPr>
        <w:t xml:space="preserve">9.1</w:t>
      </w:r>
      <w:r>
        <w:rPr>
          <w:rFonts w:hint="eastAsia" w:ascii="宋体" w:hAnsi="宋体" w:cs="宋体"/>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9.2 如标书制作工具中格式和内容与“江苏政府采购网”发布的招标文件不一致，请以“江苏政府采购网”发布的招标文件为准。</w:t>
      </w:r>
      <w:r/>
    </w:p>
    <w:p>
      <w:pPr>
        <w:ind w:firstLine="420"/>
        <w:keepLines/>
        <w:keepNext/>
        <w:pageBreakBefore w:val="0"/>
        <w:spacing w:line="360" w:lineRule="exact"/>
        <w:widowControl w:val="off"/>
        <w:rPr>
          <w:rFonts w:hint="eastAsia" w:ascii="宋体" w:hAnsi="宋体" w:cs="宋体"/>
          <w:color w:val="000000"/>
        </w:rPr>
      </w:pPr>
      <w:r/>
      <w:bookmarkStart w:id="86" w:name="_Hlt26954838"/>
      <w:r/>
      <w:bookmarkEnd w:id="86"/>
      <w:r/>
      <w:bookmarkStart w:id="87" w:name="_Hlt26670360"/>
      <w:r/>
      <w:bookmarkEnd w:id="87"/>
      <w:r/>
      <w:bookmarkStart w:id="88" w:name="_Hlt26668975"/>
      <w:r/>
      <w:bookmarkEnd w:id="88"/>
      <w:r/>
      <w:bookmarkStart w:id="89" w:name="_Toc49090509"/>
      <w:r/>
      <w:bookmarkStart w:id="90" w:name="_Toc513029219"/>
      <w:r/>
      <w:bookmarkStart w:id="91" w:name="_Toc14577357"/>
      <w:r/>
      <w:bookmarkStart w:id="92" w:name="_Toc14577354"/>
      <w:r/>
      <w:bookmarkStart w:id="93" w:name="_Toc49090507"/>
      <w:r/>
      <w:bookmarkStart w:id="94" w:name="_Toc513029216"/>
      <w:r/>
      <w:bookmarkStart w:id="95" w:name="_Toc49090508"/>
      <w:r/>
      <w:bookmarkStart w:id="96" w:name="_Toc14577355"/>
      <w:r>
        <w:rPr>
          <w:rFonts w:hint="eastAsia" w:ascii="宋体" w:hAnsi="宋体" w:cs="宋体"/>
          <w:color w:val="000000"/>
        </w:rPr>
        <w:t xml:space="preserve">10、证明投标人及投标标的符合招标文件规定的文件</w:t>
      </w:r>
      <w:bookmarkEnd w:id="89"/>
      <w:r/>
      <w:bookmarkEnd w:id="90"/>
      <w:r/>
      <w:bookmarkEnd w:id="91"/>
      <w:r/>
      <w:bookmarkEnd w:id="92"/>
      <w:r/>
      <w:bookmarkEnd w:id="93"/>
      <w:r/>
      <w:bookmarkEnd w:id="94"/>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10.1 投标人应按照招标文件要求提交证明文件，证明其及投标标的符合招标文件规定。</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10.2招标文件对证明文件无明确形式要求的，证明文件可以以文字资料、图纸和数据等形式提交。</w:t>
      </w:r>
      <w:bookmarkEnd w:id="95"/>
      <w:r/>
      <w:bookmarkEnd w:id="96"/>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11、投标分项报价表</w:t>
      </w:r>
      <w:r/>
    </w:p>
    <w:p>
      <w:pPr>
        <w:ind w:firstLine="420"/>
        <w:pageBreakBefore w:val="0"/>
        <w:spacing w:line="360" w:lineRule="exact"/>
        <w:widowControl w:val="off"/>
        <w:rPr>
          <w:rFonts w:hint="eastAsia" w:ascii="宋体" w:hAnsi="宋体" w:cs="宋体"/>
          <w:bCs/>
        </w:rPr>
      </w:pPr>
      <w:r>
        <w:rPr>
          <w:rFonts w:hint="eastAsia" w:ascii="宋体" w:hAnsi="宋体" w:cs="宋体"/>
          <w:bCs/>
        </w:rPr>
        <w:t xml:space="preserve">11.1</w:t>
      </w:r>
      <w:r>
        <w:rPr>
          <w:rFonts w:hint="eastAsia" w:ascii="宋体" w:hAnsi="宋体" w:cs="宋体"/>
        </w:rPr>
        <w:t xml:space="preserve"> 投</w:t>
      </w:r>
      <w:bookmarkStart w:id="97" w:name="_Hlt26954840"/>
      <w:r/>
      <w:bookmarkEnd w:id="97"/>
      <w:r>
        <w:rPr>
          <w:rFonts w:hint="eastAsia" w:ascii="宋体" w:hAnsi="宋体" w:cs="宋体"/>
        </w:rPr>
        <w:t xml:space="preserve">标人按照招标文件规定格式填报投标分项报价表</w:t>
      </w:r>
      <w:bookmarkStart w:id="98" w:name="_Hlt26670399"/>
      <w:r/>
      <w:bookmarkEnd w:id="98"/>
      <w:r>
        <w:rPr>
          <w:rFonts w:hint="eastAsia" w:ascii="宋体" w:hAnsi="宋体" w:cs="宋体"/>
        </w:rPr>
        <w:t xml:space="preserve">。</w:t>
      </w:r>
      <w:r/>
    </w:p>
    <w:p>
      <w:pPr>
        <w:ind w:firstLine="420"/>
        <w:pageBreakBefore w:val="0"/>
        <w:spacing w:line="360" w:lineRule="exact"/>
        <w:widowControl w:val="off"/>
        <w:rPr>
          <w:rFonts w:hint="eastAsia" w:ascii="宋体" w:hAnsi="宋体" w:cs="宋体"/>
          <w:bCs/>
        </w:rPr>
      </w:pPr>
      <w:r>
        <w:rPr>
          <w:rFonts w:hint="eastAsia" w:ascii="宋体" w:hAnsi="宋体" w:cs="宋体"/>
        </w:rPr>
        <w:t xml:space="preserve">11.2</w:t>
      </w:r>
      <w:r>
        <w:rPr>
          <w:rFonts w:hint="eastAsia" w:ascii="宋体" w:hAnsi="宋体" w:cs="宋体"/>
          <w:bCs/>
        </w:rPr>
        <w:t xml:space="preserve">投标货币。投标文件中的单价和总价无特殊规定的采用人民币报价，以元为单位标注。</w:t>
      </w:r>
      <w:r>
        <w:rPr>
          <w:rFonts w:hint="eastAsia" w:ascii="宋体" w:hAnsi="宋体" w:cs="宋体"/>
        </w:rPr>
        <w:t xml:space="preserve">招标文件中另有规定的按规定执行。</w:t>
      </w:r>
      <w:r/>
    </w:p>
    <w:p>
      <w:pPr>
        <w:ind w:firstLine="420"/>
        <w:keepLines/>
        <w:keepNext/>
        <w:pageBreakBefore w:val="0"/>
        <w:spacing w:line="360" w:lineRule="exact"/>
        <w:widowControl w:val="off"/>
        <w:rPr>
          <w:rFonts w:hint="eastAsia" w:ascii="宋体" w:hAnsi="宋体" w:cs="宋体"/>
        </w:rPr>
      </w:pPr>
      <w:r/>
      <w:bookmarkStart w:id="99" w:name="_Hlt26670482"/>
      <w:r/>
      <w:bookmarkEnd w:id="99"/>
      <w:r/>
      <w:bookmarkStart w:id="100" w:name="_Hlt26954848"/>
      <w:r/>
      <w:bookmarkEnd w:id="100"/>
      <w:r/>
      <w:bookmarkStart w:id="101" w:name="_Hlt26954846"/>
      <w:r/>
      <w:bookmarkEnd w:id="101"/>
      <w:r/>
      <w:bookmarkStart w:id="102" w:name="_Hlt26954731"/>
      <w:r/>
      <w:bookmarkEnd w:id="102"/>
      <w:r/>
      <w:bookmarkStart w:id="103" w:name="_Hlt26670486"/>
      <w:r/>
      <w:bookmarkEnd w:id="103"/>
      <w:r>
        <w:rPr>
          <w:rFonts w:hint="eastAsia" w:ascii="宋体" w:hAnsi="宋体" w:cs="宋体"/>
        </w:rPr>
        <w:t xml:space="preserve">12、技术要求响应及偏离表、商务要求响应及偏离表</w:t>
      </w:r>
      <w:r/>
    </w:p>
    <w:p>
      <w:pPr>
        <w:ind w:firstLine="420"/>
        <w:pageBreakBefore w:val="0"/>
        <w:spacing w:line="360" w:lineRule="exact"/>
        <w:widowControl w:val="off"/>
        <w:rPr>
          <w:rFonts w:hint="eastAsia" w:ascii="宋体" w:hAnsi="宋体" w:cs="宋体"/>
          <w:lang w:val="zh-CN"/>
        </w:rPr>
      </w:pPr>
      <w:r>
        <w:rPr>
          <w:rFonts w:hint="eastAsia" w:ascii="宋体" w:hAnsi="宋体" w:cs="宋体"/>
          <w:bCs/>
          <w:lang w:val="zh-CN"/>
        </w:rPr>
        <w:t xml:space="preserve">12.1 </w:t>
      </w:r>
      <w:r>
        <w:rPr>
          <w:rFonts w:hint="eastAsia" w:ascii="宋体" w:hAnsi="宋体" w:cs="宋体"/>
          <w:lang w:val="zh-CN"/>
        </w:rPr>
        <w:t xml:space="preserve">投标人需对招标文件中的技术要求与商务要求逐项作出响应或偏离，并说明原因。</w:t>
      </w:r>
      <w:r/>
    </w:p>
    <w:p>
      <w:pPr>
        <w:ind w:firstLine="420"/>
        <w:pageBreakBefore w:val="0"/>
        <w:spacing w:line="360" w:lineRule="exact"/>
        <w:widowControl w:val="off"/>
        <w:rPr>
          <w:rFonts w:hint="eastAsia" w:ascii="宋体" w:hAnsi="宋体" w:cs="宋体"/>
          <w:lang w:val="zh-CN"/>
        </w:rPr>
      </w:pPr>
      <w:r>
        <w:rPr>
          <w:rFonts w:hint="eastAsia" w:ascii="宋体" w:hAnsi="宋体" w:cs="宋体"/>
          <w:lang w:val="zh-CN"/>
        </w:rPr>
        <w:t xml:space="preserve">12.2 投标人需按照招标文件要求，在投标文件中提供与技术要求和商务要求相关的证明材料。</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13、服务承诺、培训计划、人员安排及其他</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13.1 </w:t>
      </w:r>
      <w:r>
        <w:rPr>
          <w:rFonts w:hint="eastAsia" w:ascii="宋体" w:hAnsi="宋体" w:cs="宋体"/>
          <w:color w:val="000000"/>
        </w:rPr>
        <w:t xml:space="preserve">投标人需根据招标文件要求提供有关售后服务的管理制度，售后服务机构的分布情况，售后服务人员的数量、素质、技术水平及售后服务的反应能力等。</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13.2 投标人需根据招标文件要求提供培训计划。</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13.3投标人需根据招标文件要求提供</w:t>
      </w:r>
      <w:r>
        <w:rPr>
          <w:rFonts w:hint="eastAsia" w:ascii="宋体" w:hAnsi="宋体" w:cs="宋体"/>
          <w:color w:val="000000"/>
          <w:lang w:val="zh-CN"/>
        </w:rPr>
        <w:t xml:space="preserve">所投标的的主要组成部分、功能设计、实现思路及关键技术等。</w:t>
      </w:r>
      <w:r/>
    </w:p>
    <w:p>
      <w:pPr>
        <w:ind w:firstLine="420"/>
        <w:keepLines/>
        <w:keepNext/>
        <w:pageBreakBefore w:val="0"/>
        <w:spacing w:line="360" w:lineRule="exact"/>
        <w:widowControl w:val="off"/>
        <w:rPr>
          <w:rFonts w:hint="eastAsia" w:ascii="宋体" w:hAnsi="宋体" w:cs="宋体"/>
          <w:color w:val="000000"/>
        </w:rPr>
      </w:pPr>
      <w:r/>
      <w:bookmarkStart w:id="104" w:name="_Toc49090510"/>
      <w:r/>
      <w:bookmarkStart w:id="105" w:name="_Toc14577359"/>
      <w:r>
        <w:rPr>
          <w:rFonts w:hint="eastAsia" w:ascii="宋体" w:hAnsi="宋体" w:cs="宋体"/>
          <w:color w:val="000000"/>
        </w:rPr>
        <w:t xml:space="preserve">14、投标函和开标一览表</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14.1</w:t>
      </w:r>
      <w:r>
        <w:rPr>
          <w:rFonts w:hint="eastAsia" w:ascii="宋体" w:hAnsi="宋体" w:cs="宋体"/>
          <w:color w:val="000000"/>
        </w:rPr>
        <w:t xml:space="preserve"> 投标人应按照招标文件中提供的格式完整、正确填写投标函、开标一览表。</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14.2 对于采用货币报价的项目，开标一览表中的投标总报价应与投标分项报价表中的投标总报价一致，如不一致，不作为无效投标处理，但评标时按开标一览表中价格为准。</w:t>
      </w:r>
      <w:bookmarkEnd w:id="104"/>
      <w:r/>
      <w:bookmarkEnd w:id="105"/>
      <w:r/>
      <w:r/>
    </w:p>
    <w:p>
      <w:pPr>
        <w:ind w:firstLine="420"/>
        <w:keepLines/>
        <w:keepNext/>
        <w:pageBreakBefore w:val="0"/>
        <w:spacing w:line="360" w:lineRule="exact"/>
        <w:widowControl w:val="off"/>
        <w:rPr>
          <w:rFonts w:hint="eastAsia" w:ascii="宋体" w:hAnsi="宋体" w:cs="宋体"/>
          <w:color w:val="000000"/>
        </w:rPr>
      </w:pPr>
      <w:r/>
      <w:bookmarkStart w:id="106" w:name="_Toc49090511"/>
      <w:r/>
      <w:bookmarkStart w:id="107" w:name="_Toc14577360"/>
      <w:r>
        <w:rPr>
          <w:rFonts w:hint="eastAsia" w:ascii="宋体" w:hAnsi="宋体" w:cs="宋体"/>
          <w:color w:val="000000"/>
        </w:rPr>
        <w:t xml:space="preserve">15、投标有效期</w:t>
      </w:r>
      <w:bookmarkEnd w:id="106"/>
      <w:r/>
      <w:bookmarkEnd w:id="107"/>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15.1投标有效期为代理机构规定的开标之日后</w:t>
      </w:r>
      <w:r>
        <w:rPr>
          <w:rFonts w:hint="eastAsia" w:ascii="宋体" w:hAnsi="宋体" w:cs="宋体"/>
          <w:b/>
          <w:color w:val="000000"/>
          <w:u w:val="single"/>
        </w:rPr>
        <w:t xml:space="preserve">六十（60）天</w:t>
      </w:r>
      <w:r>
        <w:rPr>
          <w:rFonts w:hint="eastAsia" w:ascii="宋体" w:hAnsi="宋体" w:cs="宋体"/>
          <w:bCs/>
          <w:color w:val="000000"/>
        </w:rPr>
        <w:t xml:space="preserve">。投标有效期比规定短的将被视为未实质性响应招标文件而予以拒绝。</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16、投标有效期的延长</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000000"/>
        </w:rPr>
        <w:t xml:space="preserve">受投标有效期约束的所有权利与义务均延长至新的有效期</w:t>
      </w:r>
      <w:r>
        <w:rPr>
          <w:rFonts w:hint="eastAsia" w:ascii="宋体" w:hAnsi="宋体" w:cs="宋体"/>
          <w:bCs/>
          <w:color w:val="000000"/>
        </w:rPr>
        <w:t xml:space="preserve">。</w:t>
      </w:r>
      <w:r/>
    </w:p>
    <w:p>
      <w:pPr>
        <w:ind w:firstLine="422"/>
        <w:keepLines/>
        <w:keepNext/>
        <w:pageBreakBefore w:val="0"/>
        <w:spacing w:line="360" w:lineRule="exact"/>
        <w:widowControl w:val="off"/>
        <w:rPr>
          <w:rFonts w:hint="eastAsia" w:ascii="宋体" w:hAnsi="宋体" w:cs="宋体"/>
          <w:b/>
          <w:bCs/>
          <w:color w:val="000000"/>
        </w:rPr>
      </w:pPr>
      <w:r/>
      <w:bookmarkStart w:id="108" w:name="_Hlt26954852"/>
      <w:r/>
      <w:bookmarkEnd w:id="108"/>
      <w:r/>
      <w:bookmarkStart w:id="109" w:name="_Hlt26954739"/>
      <w:r/>
      <w:bookmarkEnd w:id="109"/>
      <w:r/>
      <w:bookmarkStart w:id="110" w:name="_Toc20823296"/>
      <w:r/>
      <w:bookmarkStart w:id="111" w:name="_Toc513029224"/>
      <w:r/>
      <w:bookmarkStart w:id="112" w:name="_Toc16938540"/>
      <w:r/>
      <w:bookmarkStart w:id="113" w:name="_Toc120614217"/>
      <w:r>
        <w:rPr>
          <w:rFonts w:hint="eastAsia" w:ascii="宋体" w:hAnsi="宋体" w:cs="宋体"/>
          <w:b/>
          <w:bCs/>
          <w:color w:val="000000"/>
        </w:rPr>
        <w:t xml:space="preserve">四、投标文件的递交</w:t>
      </w:r>
      <w:bookmarkEnd w:id="110"/>
      <w:r/>
      <w:bookmarkEnd w:id="111"/>
      <w:r/>
      <w:bookmarkEnd w:id="112"/>
      <w:r/>
      <w:bookmarkEnd w:id="113"/>
      <w:r/>
      <w:r/>
    </w:p>
    <w:p>
      <w:pPr>
        <w:ind w:firstLine="420"/>
        <w:keepLines/>
        <w:keepNext/>
        <w:pageBreakBefore w:val="0"/>
        <w:spacing w:line="360" w:lineRule="exact"/>
        <w:widowControl w:val="off"/>
        <w:rPr>
          <w:rFonts w:hint="eastAsia" w:ascii="宋体" w:hAnsi="宋体" w:cs="宋体"/>
          <w:color w:val="000000"/>
        </w:rPr>
      </w:pPr>
      <w:r/>
      <w:bookmarkStart w:id="114" w:name="_Toc16938541"/>
      <w:r/>
      <w:bookmarkStart w:id="115" w:name="_Toc513029225"/>
      <w:r/>
      <w:bookmarkStart w:id="116" w:name="_Toc462564084"/>
      <w:r/>
      <w:bookmarkStart w:id="117" w:name="_Toc20823297"/>
      <w:r>
        <w:rPr>
          <w:rFonts w:hint="eastAsia" w:ascii="宋体" w:hAnsi="宋体" w:cs="宋体"/>
          <w:color w:val="000000"/>
        </w:rPr>
        <w:t xml:space="preserve">17、电子投标文件</w:t>
      </w:r>
      <w:bookmarkEnd w:id="114"/>
      <w:r/>
      <w:bookmarkEnd w:id="115"/>
      <w:r/>
      <w:bookmarkEnd w:id="116"/>
      <w:r/>
      <w:bookmarkEnd w:id="117"/>
      <w:r>
        <w:rPr>
          <w:rFonts w:hint="eastAsia" w:ascii="宋体" w:hAnsi="宋体" w:cs="宋体"/>
          <w:color w:val="000000"/>
        </w:rPr>
        <w:t xml:space="preserve">的递交</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17.1投标人应当按照《操作手册》规定，在投标截止时间前制作并上传电子投标文件。</w:t>
      </w:r>
      <w:bookmarkStart w:id="118" w:name="_Toc20823298"/>
      <w:r/>
      <w:bookmarkStart w:id="119" w:name="_Toc16938542"/>
      <w:r/>
      <w:bookmarkStart w:id="120" w:name="_Toc513029226"/>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18、投标截止日期</w:t>
      </w:r>
      <w:bookmarkEnd w:id="118"/>
      <w:r/>
      <w:bookmarkEnd w:id="119"/>
      <w:r/>
      <w:bookmarkEnd w:id="120"/>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18.1</w:t>
      </w:r>
      <w:r>
        <w:rPr>
          <w:rFonts w:hint="eastAsia" w:ascii="宋体" w:hAnsi="宋体" w:cs="宋体"/>
          <w:bCs/>
          <w:color w:val="000000"/>
        </w:rPr>
        <w:t xml:space="preserve"> 投标人上传电子投标文件的时间不得迟于招标公告中规定的投标截止时间。</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投标人应充分考虑到网络环境、网络带宽等风险因素，如因投标人自身原因造成的电子投标文件上传不成功的按照本招标文件第二章第26.1.2条规定做无效投标处理。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18.2</w:t>
      </w:r>
      <w:r>
        <w:rPr>
          <w:rFonts w:hint="eastAsia" w:ascii="宋体" w:hAnsi="宋体" w:cs="宋体"/>
          <w:bCs/>
          <w:color w:val="000000"/>
        </w:rPr>
        <w:t xml:space="preserve">代理机构可以按照规定，通过修改招标文件酌情延长投标截止日期，在此情况下，投标人的所有权利和义务以及投标人受制的截止日期均应以延长后新的截止日期为准。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360" w:lineRule="exact"/>
        <w:widowControl w:val="off"/>
        <w:rPr>
          <w:rFonts w:hint="eastAsia" w:ascii="宋体" w:hAnsi="宋体" w:cs="宋体"/>
          <w:color w:val="000000"/>
        </w:rPr>
      </w:pPr>
      <w:r/>
      <w:bookmarkStart w:id="121" w:name="_Toc20823299"/>
      <w:r/>
      <w:bookmarkStart w:id="122" w:name="_Toc16938543"/>
      <w:r/>
      <w:bookmarkStart w:id="123" w:name="_Toc513029227"/>
      <w:r>
        <w:rPr>
          <w:rFonts w:hint="eastAsia" w:ascii="宋体" w:hAnsi="宋体" w:cs="宋体"/>
          <w:color w:val="000000"/>
        </w:rPr>
        <w:t xml:space="preserve">19、投标文件</w:t>
      </w:r>
      <w:bookmarkEnd w:id="121"/>
      <w:r/>
      <w:bookmarkEnd w:id="122"/>
      <w:r/>
      <w:bookmarkEnd w:id="123"/>
      <w:r>
        <w:rPr>
          <w:rFonts w:hint="eastAsia" w:ascii="宋体" w:hAnsi="宋体" w:cs="宋体"/>
          <w:color w:val="000000"/>
        </w:rPr>
        <w:t xml:space="preserve">的拒收</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19.1 代理机构拒绝接收在其规定的投标截止时间后上传的任何投标文件。</w:t>
      </w:r>
      <w:r/>
    </w:p>
    <w:p>
      <w:pPr>
        <w:ind w:firstLine="420"/>
        <w:keepLines/>
        <w:keepNext/>
        <w:pageBreakBefore w:val="0"/>
        <w:spacing w:line="360" w:lineRule="exact"/>
        <w:widowControl w:val="off"/>
        <w:rPr>
          <w:rFonts w:hint="eastAsia" w:ascii="宋体" w:hAnsi="宋体" w:cs="宋体"/>
          <w:color w:val="000000"/>
        </w:rPr>
      </w:pPr>
      <w:r/>
      <w:bookmarkStart w:id="124" w:name="_Toc20823300"/>
      <w:r/>
      <w:bookmarkStart w:id="125" w:name="_Toc513029228"/>
      <w:r/>
      <w:bookmarkStart w:id="126" w:name="_Toc16938544"/>
      <w:r>
        <w:rPr>
          <w:rFonts w:hint="eastAsia" w:ascii="宋体" w:hAnsi="宋体" w:cs="宋体"/>
          <w:color w:val="000000"/>
        </w:rPr>
        <w:t xml:space="preserve">20、投标文件的撤回和修改</w:t>
      </w:r>
      <w:bookmarkEnd w:id="124"/>
      <w:r/>
      <w:bookmarkEnd w:id="125"/>
      <w:r/>
      <w:bookmarkEnd w:id="126"/>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20.1 投标文件的撤回</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20.1.1 电子投标文件的撤回</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投标人可在投标截止时间前，撤回其电子投标文件，具体操作方法见《操作手册》。</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20.1.2 投标人撤回电子投标文件，则认为其不再参与本项目投标活动。</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20.2 投标文件的修改</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20.2.1投标人可在投标截止时间前，对其电子投标文件进行修改，具体操作方法见《操作手册》。</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20.2.2</w:t>
      </w:r>
      <w:r>
        <w:rPr>
          <w:rFonts w:hint="eastAsia" w:ascii="宋体" w:hAnsi="宋体" w:cs="宋体"/>
          <w:bCs/>
          <w:color w:val="000000"/>
        </w:rPr>
        <w:t xml:space="preserve"> 在投标截止时间之后，投标人不得对其电子投标文件作任何修改。</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20.3</w:t>
      </w:r>
      <w:r>
        <w:rPr>
          <w:rFonts w:hint="eastAsia" w:ascii="宋体" w:hAnsi="宋体" w:cs="宋体"/>
          <w:bCs/>
          <w:color w:val="000000"/>
        </w:rPr>
        <w:t xml:space="preserve">在投标截止时间至招标文件中规定的投标有效期满之间的这段时间内，投标人不得撤回其投标。</w:t>
      </w:r>
      <w:r/>
    </w:p>
    <w:p>
      <w:pPr>
        <w:ind w:firstLine="422"/>
        <w:keepLines/>
        <w:keepNext/>
        <w:pageBreakBefore w:val="0"/>
        <w:spacing w:line="360" w:lineRule="exact"/>
        <w:widowControl w:val="off"/>
        <w:rPr>
          <w:rFonts w:hint="eastAsia" w:ascii="宋体" w:hAnsi="宋体" w:cs="宋体"/>
          <w:b/>
          <w:bCs/>
          <w:color w:val="000000"/>
        </w:rPr>
      </w:pPr>
      <w:r/>
      <w:bookmarkStart w:id="127" w:name="_Toc16938545"/>
      <w:r/>
      <w:bookmarkStart w:id="128" w:name="_Toc20823301"/>
      <w:r/>
      <w:bookmarkStart w:id="129" w:name="_Toc513029229"/>
      <w:r/>
      <w:bookmarkStart w:id="130" w:name="_Toc120614218"/>
      <w:r>
        <w:rPr>
          <w:rFonts w:hint="eastAsia" w:ascii="宋体" w:hAnsi="宋体" w:cs="宋体"/>
          <w:b/>
          <w:bCs/>
          <w:color w:val="000000"/>
        </w:rPr>
        <w:t xml:space="preserve">五、开标与评标</w:t>
      </w:r>
      <w:bookmarkEnd w:id="127"/>
      <w:r/>
      <w:bookmarkEnd w:id="128"/>
      <w:r/>
      <w:bookmarkEnd w:id="129"/>
      <w:r/>
      <w:bookmarkEnd w:id="130"/>
      <w:r/>
      <w:r/>
    </w:p>
    <w:p>
      <w:pPr>
        <w:ind w:firstLine="420"/>
        <w:keepLines/>
        <w:keepNext/>
        <w:pageBreakBefore w:val="0"/>
        <w:spacing w:line="360" w:lineRule="exact"/>
        <w:widowControl w:val="off"/>
        <w:rPr>
          <w:rFonts w:hint="eastAsia" w:ascii="宋体" w:hAnsi="宋体" w:cs="宋体"/>
          <w:color w:val="000000"/>
        </w:rPr>
      </w:pPr>
      <w:r/>
      <w:bookmarkStart w:id="131" w:name="_Toc20823302"/>
      <w:r/>
      <w:bookmarkStart w:id="132" w:name="_Toc513029230"/>
      <w:r/>
      <w:bookmarkStart w:id="133" w:name="_Toc16938546"/>
      <w:r>
        <w:rPr>
          <w:rFonts w:hint="eastAsia" w:ascii="宋体" w:hAnsi="宋体" w:cs="宋体"/>
          <w:color w:val="000000"/>
        </w:rPr>
        <w:t xml:space="preserve">21、开标</w:t>
      </w:r>
      <w:bookmarkEnd w:id="131"/>
      <w:r/>
      <w:bookmarkEnd w:id="132"/>
      <w:r/>
      <w:bookmarkEnd w:id="133"/>
      <w:r/>
      <w:r/>
    </w:p>
    <w:p>
      <w:pPr>
        <w:ind w:firstLine="420"/>
        <w:pageBreakBefore w:val="0"/>
        <w:spacing w:line="360" w:lineRule="exact"/>
        <w:widowControl w:val="off"/>
        <w:rPr>
          <w:rFonts w:hint="eastAsia" w:ascii="宋体" w:hAnsi="宋体" w:cs="宋体"/>
        </w:rPr>
      </w:pPr>
      <w:r>
        <w:rPr>
          <w:rFonts w:hint="eastAsia" w:ascii="宋体" w:hAnsi="宋体" w:cs="宋体"/>
        </w:rPr>
        <w:t xml:space="preserve">21.1</w:t>
      </w:r>
      <w:r>
        <w:rPr>
          <w:rFonts w:hint="eastAsia" w:ascii="宋体" w:hAnsi="宋体" w:cs="宋体"/>
          <w:bCs/>
        </w:rPr>
        <w:t xml:space="preserve">代理机构将在招标公告中规定的时间和地点组织公开开标</w:t>
      </w:r>
      <w:r>
        <w:rPr>
          <w:rFonts w:hint="eastAsia" w:ascii="宋体" w:hAnsi="宋体" w:cs="宋体"/>
        </w:rPr>
        <w:t xml:space="preserve">。投标人应当按照《操作手册》规定，参加开标活动和在苏采云系统规定的时间内对投标文件进行解密。</w:t>
      </w:r>
      <w:r/>
    </w:p>
    <w:p>
      <w:pPr>
        <w:ind w:firstLine="420"/>
        <w:pageBreakBefore w:val="0"/>
        <w:spacing w:line="360" w:lineRule="exact"/>
        <w:widowControl w:val="off"/>
        <w:rPr>
          <w:rFonts w:hint="eastAsia" w:ascii="宋体" w:hAnsi="宋体" w:cs="宋体"/>
        </w:rPr>
      </w:pPr>
      <w:r>
        <w:rPr>
          <w:rFonts w:hint="eastAsia" w:ascii="宋体" w:hAnsi="宋体" w:cs="宋体"/>
          <w:bCs/>
        </w:rPr>
        <w:t xml:space="preserve">21.2</w:t>
      </w:r>
      <w:r>
        <w:rPr>
          <w:rFonts w:hint="eastAsia" w:ascii="宋体" w:hAnsi="宋体" w:cs="宋体"/>
        </w:rPr>
        <w:t xml:space="preserve">开标仪式由代理机构组织。苏采云系统将自动对项目进行开标，并宣布各投标人名称和投标价格。</w:t>
      </w:r>
      <w:r/>
    </w:p>
    <w:p>
      <w:pPr>
        <w:ind w:firstLine="420"/>
        <w:pageBreakBefore w:val="0"/>
        <w:spacing w:line="360" w:lineRule="exact"/>
        <w:widowControl w:val="off"/>
        <w:rPr>
          <w:rFonts w:hint="eastAsia" w:ascii="宋体" w:hAnsi="宋体" w:cs="宋体"/>
        </w:rPr>
      </w:pPr>
      <w:r>
        <w:rPr>
          <w:rFonts w:hint="eastAsia" w:ascii="宋体" w:hAnsi="宋体" w:cs="宋体"/>
          <w:bCs/>
        </w:rPr>
        <w:t xml:space="preserve">21.3投标人在开标过程中涉及到的投标文件解密、开标结果确认等工作，应按照《操作手册》规定执行。</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21.4投标人如果对开标过程和开标记录有疑义，应当根据《操作手册》规定提出，如苏采云系统中《开标记录表》宣布后5分钟内未提出的，视同认可开标结果。</w:t>
      </w:r>
      <w:r/>
    </w:p>
    <w:p>
      <w:pPr>
        <w:ind w:firstLine="420"/>
        <w:keepLines/>
        <w:keepNext/>
        <w:pageBreakBefore w:val="0"/>
        <w:spacing w:line="360" w:lineRule="exact"/>
        <w:widowControl w:val="off"/>
        <w:rPr>
          <w:rFonts w:hint="eastAsia" w:ascii="宋体" w:hAnsi="宋体" w:cs="宋体"/>
        </w:rPr>
      </w:pPr>
      <w:r/>
      <w:bookmarkStart w:id="134" w:name="_Toc20823303"/>
      <w:r/>
      <w:bookmarkStart w:id="135" w:name="_Toc513029231"/>
      <w:r/>
      <w:bookmarkStart w:id="136" w:name="_Toc16938547"/>
      <w:r>
        <w:rPr>
          <w:rFonts w:hint="eastAsia" w:ascii="宋体" w:hAnsi="宋体" w:cs="宋体"/>
        </w:rPr>
        <w:t xml:space="preserve">22、评标委员会</w:t>
      </w:r>
      <w:r/>
    </w:p>
    <w:p>
      <w:pPr>
        <w:ind w:firstLine="420"/>
        <w:pageBreakBefore w:val="0"/>
        <w:spacing w:line="360" w:lineRule="exact"/>
        <w:widowControl w:val="off"/>
        <w:rPr>
          <w:rFonts w:hint="eastAsia" w:ascii="宋体" w:hAnsi="宋体" w:cs="宋体"/>
          <w:b/>
          <w:color w:val="000000"/>
        </w:rPr>
      </w:pPr>
      <w:r>
        <w:rPr>
          <w:rFonts w:hint="eastAsia" w:ascii="宋体" w:hAnsi="宋体" w:cs="宋体"/>
          <w:color w:val="000000"/>
        </w:rPr>
        <w:t xml:space="preserve">22.1</w:t>
      </w:r>
      <w:r>
        <w:rPr>
          <w:rFonts w:hint="eastAsia" w:ascii="宋体" w:hAnsi="宋体" w:cs="宋体"/>
          <w:b/>
          <w:color w:val="000000"/>
        </w:rPr>
        <w:t xml:space="preserve"> </w:t>
      </w:r>
      <w:r>
        <w:rPr>
          <w:rFonts w:hint="eastAsia" w:ascii="宋体" w:hAnsi="宋体" w:cs="宋体"/>
          <w:color w:val="000000"/>
        </w:rPr>
        <w:t xml:space="preserve">开标后，代理机构将立即组织评标委员会进行评标。</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22.2评标委员会由采购人代表和有关技术、经济等方面的专家组成，且人员构成符合政府采购有关规定。</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22.3评标委员会独立工作，负责评审所有投标文件并确定中标侯选人。</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23、评标过程的保密与公正</w:t>
      </w:r>
      <w:bookmarkEnd w:id="134"/>
      <w:r/>
      <w:bookmarkEnd w:id="135"/>
      <w:r/>
      <w:bookmarkEnd w:id="136"/>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23.1</w:t>
      </w:r>
      <w:r>
        <w:rPr>
          <w:rFonts w:hint="eastAsia" w:ascii="宋体" w:hAnsi="宋体" w:cs="宋体"/>
          <w:bCs/>
          <w:color w:val="000000"/>
        </w:rPr>
        <w:t xml:space="preserve">凡是与审查、澄清、评价和比较投标的有关资料以及授标建议等，采购人、评委、代理机构均不得向投标人或与评标无关的其他人员透露。</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23.2在评标过程中，投标人不得以任何行为影响评标过程，否则其投标文件将被作为无效投标文件。</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23.3代理机构和评标委员会不向未中标的投标人解释未中标原因，也不公布评标过程中的相关细节。</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23.4采用综合评分法的项目，未中标的投标人可于中标结果公告期限届满之日起通过苏采云系统查看自己的评审得分及排序情况。</w:t>
      </w:r>
      <w:r/>
    </w:p>
    <w:p>
      <w:pPr>
        <w:ind w:firstLine="420"/>
        <w:keepLines/>
        <w:keepNext/>
        <w:pageBreakBefore w:val="0"/>
        <w:spacing w:line="360" w:lineRule="exact"/>
        <w:widowControl w:val="off"/>
        <w:rPr>
          <w:rFonts w:hint="eastAsia" w:ascii="宋体" w:hAnsi="宋体" w:cs="宋体"/>
          <w:color w:val="000000"/>
        </w:rPr>
      </w:pPr>
      <w:r/>
      <w:bookmarkStart w:id="137" w:name="_Toc513029232"/>
      <w:r/>
      <w:bookmarkStart w:id="138" w:name="_Toc20823304"/>
      <w:r/>
      <w:bookmarkStart w:id="139" w:name="_Toc16938548"/>
      <w:r>
        <w:rPr>
          <w:rFonts w:hint="eastAsia" w:ascii="宋体" w:hAnsi="宋体" w:cs="宋体"/>
          <w:color w:val="000000"/>
        </w:rPr>
        <w:t xml:space="preserve">24、投标文件的澄清</w:t>
      </w:r>
      <w:bookmarkEnd w:id="137"/>
      <w:r/>
      <w:bookmarkEnd w:id="138"/>
      <w:r/>
      <w:bookmarkEnd w:id="139"/>
      <w:r/>
      <w:r/>
    </w:p>
    <w:p>
      <w:pPr>
        <w:ind w:firstLine="420"/>
        <w:pageBreakBefore w:val="0"/>
        <w:spacing w:line="360" w:lineRule="exact"/>
        <w:widowControl w:val="off"/>
        <w:rPr>
          <w:rFonts w:hint="eastAsia" w:ascii="宋体" w:hAnsi="宋体" w:cs="宋体"/>
          <w:color w:val="000000"/>
        </w:rPr>
      </w:pPr>
      <w:r/>
      <w:bookmarkStart w:id="140" w:name="_Toc513029233"/>
      <w:r/>
      <w:bookmarkStart w:id="141" w:name="_Toc16938549"/>
      <w:r/>
      <w:bookmarkStart w:id="142" w:name="_Toc20823305"/>
      <w:r>
        <w:rPr>
          <w:rFonts w:hint="eastAsia" w:ascii="宋体" w:hAnsi="宋体" w:cs="宋体"/>
          <w:color w:val="000000"/>
        </w:rPr>
        <w:t xml:space="preserve">24.1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24.2需要供应商进行澄清、说明和补正的，评标委员会</w:t>
      </w:r>
      <w:r>
        <w:rPr>
          <w:rFonts w:hint="eastAsia" w:ascii="宋体" w:hAnsi="宋体" w:cs="宋体"/>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24.3接到评标委员会澄清、说明和补正要求的投标人如未按规定做出澄清、说明和补正，其风险由投标人自行承担。</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25、对投标文件的初审</w:t>
      </w:r>
      <w:bookmarkEnd w:id="140"/>
      <w:r/>
      <w:bookmarkEnd w:id="141"/>
      <w:r/>
      <w:bookmarkEnd w:id="142"/>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25.1</w:t>
      </w:r>
      <w:r>
        <w:rPr>
          <w:rFonts w:hint="eastAsia" w:ascii="宋体" w:hAnsi="宋体" w:cs="宋体"/>
          <w:bCs/>
          <w:color w:val="000000"/>
        </w:rPr>
        <w:t xml:space="preserve">投标文件初审分为资格审查和符合性审查。</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color w:val="000000"/>
        </w:rPr>
        <w:t xml:space="preserve">5</w:t>
      </w:r>
      <w:r>
        <w:rPr>
          <w:rFonts w:hint="eastAsia" w:ascii="宋体" w:hAnsi="宋体" w:cs="宋体"/>
          <w:bCs/>
          <w:color w:val="000000"/>
        </w:rPr>
        <w:t xml:space="preserve">.1.1资格审查：依据法律法规和招标文件的规定，由采购人对投标文件中的资格证明文件进行审查。资格审查的结论，采购人以书面形式向评标委员会进行反馈。</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color w:val="000000"/>
        </w:rPr>
        <w:t xml:space="preserve">5</w:t>
      </w:r>
      <w:r>
        <w:rPr>
          <w:rFonts w:hint="eastAsia" w:ascii="宋体" w:hAnsi="宋体" w:cs="宋体"/>
          <w:bCs/>
          <w:color w:val="000000"/>
        </w:rPr>
        <w:t xml:space="preserve">.1.2符合性审查：依据招标文件的规定，由评标委员会从投标文件的有效性、完整性和对招标文件的响应程度进行审查，以确定是否对招标文件的实质性要求作出响应。</w:t>
      </w:r>
      <w:r/>
    </w:p>
    <w:p>
      <w:pPr>
        <w:ind w:firstLine="420"/>
        <w:pageBreakBefore w:val="0"/>
        <w:spacing w:line="360" w:lineRule="exact"/>
        <w:widowControl w:val="off"/>
        <w:rPr>
          <w:rFonts w:hint="eastAsia" w:ascii="宋体" w:hAnsi="宋体" w:cs="宋体"/>
          <w:bCs/>
        </w:rPr>
      </w:pPr>
      <w:r>
        <w:rPr>
          <w:rFonts w:hint="eastAsia" w:ascii="宋体" w:hAnsi="宋体" w:cs="宋体"/>
          <w:bCs/>
          <w:color w:val="000000"/>
        </w:rPr>
        <w:t xml:space="preserve">2</w:t>
      </w:r>
      <w:r>
        <w:rPr>
          <w:rFonts w:hint="eastAsia" w:ascii="宋体" w:hAnsi="宋体" w:cs="宋体"/>
          <w:color w:val="000000"/>
        </w:rPr>
        <w:t xml:space="preserve">5</w:t>
      </w:r>
      <w:r>
        <w:rPr>
          <w:rFonts w:hint="eastAsia" w:ascii="宋体" w:hAnsi="宋体" w:cs="宋体"/>
          <w:bCs/>
          <w:color w:val="000000"/>
        </w:rPr>
        <w:t xml:space="preserve">.1.3未通过资格审查或符合性审查的投标人，代理机构将</w:t>
      </w:r>
      <w:r>
        <w:rPr>
          <w:rFonts w:hint="eastAsia" w:ascii="宋体" w:hAnsi="宋体" w:cs="宋体"/>
          <w:bCs/>
        </w:rPr>
        <w:t xml:space="preserve">在</w:t>
      </w:r>
      <w:r>
        <w:rPr>
          <w:rFonts w:hint="eastAsia" w:ascii="宋体" w:hAnsi="宋体" w:cs="宋体"/>
        </w:rPr>
        <w:t xml:space="preserve">苏采云系统</w:t>
      </w:r>
      <w:r>
        <w:rPr>
          <w:rFonts w:hint="eastAsia" w:ascii="宋体" w:hAnsi="宋体" w:cs="宋体"/>
          <w:bCs/>
        </w:rPr>
        <w:t xml:space="preserve">中告知未通过资格审查或符合性审查的原因，评审结束后，代理机构将不再告知未通过资格审查或符合性审查的原因。</w:t>
      </w:r>
      <w:r/>
    </w:p>
    <w:p>
      <w:pPr>
        <w:ind w:firstLine="420"/>
        <w:pageBreakBefore w:val="0"/>
        <w:spacing w:line="360" w:lineRule="exact"/>
        <w:widowControl w:val="off"/>
        <w:rPr>
          <w:rFonts w:hint="eastAsia" w:ascii="宋体" w:hAnsi="宋体" w:cs="宋体"/>
          <w:color w:val="000000"/>
        </w:rPr>
      </w:pPr>
      <w:r>
        <w:rPr>
          <w:rFonts w:hint="eastAsia" w:ascii="宋体" w:hAnsi="宋体" w:cs="宋体"/>
        </w:rPr>
        <w:t xml:space="preserve">2</w:t>
      </w:r>
      <w:r>
        <w:rPr>
          <w:rFonts w:hint="eastAsia" w:ascii="宋体" w:hAnsi="宋体" w:cs="宋体"/>
          <w:color w:val="000000"/>
        </w:rPr>
        <w:t xml:space="preserve">5</w:t>
      </w:r>
      <w:r>
        <w:rPr>
          <w:rFonts w:hint="eastAsia" w:ascii="宋体" w:hAnsi="宋体" w:cs="宋体"/>
        </w:rPr>
        <w:t xml:space="preserve">.2在详细评标之前，评标委员会</w:t>
      </w:r>
      <w:r>
        <w:rPr>
          <w:rFonts w:hint="eastAsia" w:ascii="宋体" w:hAnsi="宋体" w:cs="宋体"/>
          <w:color w:val="000000"/>
        </w:rPr>
        <w:t xml:space="preserve">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cs="宋体"/>
          <w:bCs/>
          <w:color w:val="000000"/>
        </w:rPr>
        <w:t xml:space="preserve">评委决定投标文件的响应性只根据投标文件本身的内容，而不寻求外部的证据。</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25.3</w:t>
      </w:r>
      <w:r>
        <w:rPr>
          <w:rFonts w:hint="eastAsia" w:ascii="宋体" w:hAnsi="宋体" w:cs="宋体"/>
          <w:bCs/>
          <w:color w:val="000000"/>
        </w:rPr>
        <w:t xml:space="preserve">如果投标文件实质上没有响应招标文件的要求，评标委员会将予以拒绝，投标人不得通过修改或撤销不合要求的偏离或保留而使其投标成为实质性响应的投标。</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25.4</w:t>
      </w:r>
      <w:r>
        <w:rPr>
          <w:rFonts w:hint="eastAsia" w:ascii="宋体" w:hAnsi="宋体" w:cs="宋体"/>
          <w:bCs/>
          <w:color w:val="000000"/>
        </w:rPr>
        <w:t xml:space="preserve">评标委员会将对确定为实质性响应的投标进行进一步审核，看其是否有计算上或累加上的算术错误，修正错误的原则如下：</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（1）投标文件中开标一览表内容与投标文件中相应内容不一致的，以开标一览表为准。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（2）大写金额和小写金额不一致的，以大写金额为准。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（3）单价金额小数点或者百分比有明显错位的，以开标一览表的总价为准，并修改单价。</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（4）总价金额与按单价汇总金额不一致的，以单价金额计算结果为准。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同时出现两种以上错误的，按照前款规定的顺序修正。</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25.5</w:t>
      </w:r>
      <w:r>
        <w:rPr>
          <w:rFonts w:hint="eastAsia" w:ascii="宋体" w:hAnsi="宋体" w:cs="宋体"/>
          <w:bCs/>
          <w:color w:val="000000"/>
        </w:rPr>
        <w:t xml:space="preserve">评标委员会将按上述修正错误的方法调整投标文件中的投标报价</w:t>
      </w:r>
      <w:r>
        <w:rPr>
          <w:rFonts w:hint="eastAsia" w:ascii="宋体" w:hAnsi="宋体" w:cs="宋体"/>
          <w:bCs/>
        </w:rPr>
        <w:t xml:space="preserve">，并通过</w:t>
      </w:r>
      <w:r>
        <w:rPr>
          <w:rFonts w:hint="eastAsia" w:ascii="宋体" w:hAnsi="宋体" w:cs="宋体"/>
        </w:rPr>
        <w:t xml:space="preserve">苏采云系统</w:t>
      </w:r>
      <w:r>
        <w:rPr>
          <w:rFonts w:hint="eastAsia" w:ascii="宋体" w:hAnsi="宋体" w:cs="宋体"/>
          <w:bCs/>
        </w:rPr>
        <w:t xml:space="preserve">告知投标人，调整后的价格应对投标人具有约束力。如果投标人不接受修正后的价格，则其投标将被拒绝。</w:t>
      </w:r>
      <w:r/>
    </w:p>
    <w:p>
      <w:pPr>
        <w:ind w:firstLine="420"/>
        <w:pageBreakBefore w:val="0"/>
        <w:spacing w:line="360" w:lineRule="exact"/>
        <w:widowControl w:val="off"/>
        <w:rPr>
          <w:rFonts w:hint="eastAsia" w:ascii="宋体" w:hAnsi="宋体" w:cs="宋体"/>
          <w:color w:val="000000"/>
        </w:rPr>
      </w:pPr>
      <w:r/>
      <w:bookmarkStart w:id="143" w:name="_Toc513029234"/>
      <w:r/>
      <w:bookmarkStart w:id="144" w:name="_Toc16938550"/>
      <w:r/>
      <w:bookmarkStart w:id="145" w:name="_Toc20823306"/>
      <w:r>
        <w:rPr>
          <w:rFonts w:hint="eastAsia" w:ascii="宋体" w:hAnsi="宋体" w:cs="宋体"/>
          <w:color w:val="000000"/>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非单一产品采购项目，招标文件中将载明其中的核心产品。多家投标人提供的核心产品品牌相同的，按前两款规定处理。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25.7投标人在开、评标全过程中应保持通</w:t>
      </w:r>
      <w:r>
        <w:rPr>
          <w:rFonts w:hint="eastAsia" w:ascii="宋体" w:hAnsi="宋体" w:cs="宋体"/>
        </w:rPr>
        <w:t xml:space="preserve">讯畅通，及时登录苏采云系统查阅、答复相关信息，并安排专</w:t>
      </w:r>
      <w:r>
        <w:rPr>
          <w:rFonts w:hint="eastAsia" w:ascii="宋体" w:hAnsi="宋体" w:cs="宋体"/>
          <w:color w:val="000000"/>
        </w:rPr>
        <w:t xml:space="preserve">人与代理机构及评标委员会联系。</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25.8 异常低价投标审查</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25.8.1</w:t>
      </w:r>
      <w:r>
        <w:rPr>
          <w:rFonts w:ascii="宋体" w:hAnsi="宋体" w:cs="宋体"/>
          <w:color w:val="000000"/>
        </w:rPr>
        <w:t xml:space="preserve">评标过程中出现下列情形之一的，评标委员会应当启动异常低价投标审查程序：</w:t>
      </w:r>
      <w:r/>
    </w:p>
    <w:p>
      <w:pPr>
        <w:ind w:firstLine="422"/>
        <w:pageBreakBefore w:val="0"/>
        <w:spacing w:line="360" w:lineRule="exact"/>
        <w:widowControl w:val="off"/>
        <w:rPr>
          <w:rFonts w:hint="eastAsia" w:ascii="宋体" w:hAnsi="宋体" w:cs="宋体"/>
          <w:b/>
          <w:bCs/>
          <w:color w:val="000000"/>
          <w:highlight w:val="none"/>
        </w:rPr>
      </w:pPr>
      <w:r>
        <w:rPr>
          <w:rFonts w:hint="eastAsia" w:ascii="宋体" w:hAnsi="宋体" w:cs="宋体"/>
          <w:b/>
          <w:bCs/>
          <w:color w:val="000000"/>
          <w:highlight w:val="none"/>
        </w:rPr>
        <w:t xml:space="preserve">（</w:t>
      </w:r>
      <w:r>
        <w:rPr>
          <w:rFonts w:ascii="宋体" w:hAnsi="宋体" w:cs="宋体"/>
          <w:b/>
          <w:bCs/>
          <w:color w:val="000000"/>
          <w:highlight w:val="none"/>
        </w:rPr>
        <w:t xml:space="preserve">1</w:t>
      </w:r>
      <w:r>
        <w:rPr>
          <w:rFonts w:hint="eastAsia" w:ascii="宋体" w:hAnsi="宋体" w:cs="宋体"/>
          <w:b/>
          <w:bCs/>
          <w:color w:val="000000"/>
          <w:highlight w:val="none"/>
        </w:rPr>
        <w:t xml:space="preserve">）</w:t>
      </w:r>
      <w:r>
        <w:rPr>
          <w:rFonts w:ascii="宋体" w:hAnsi="宋体" w:cs="宋体"/>
          <w:b/>
          <w:bCs/>
          <w:color w:val="000000"/>
          <w:highlight w:val="none"/>
        </w:rPr>
        <w:t xml:space="preserve">投标报价低于全部通过符合性审查供应商投标报价平均值65%的，即投标报价&lt;全部通过符合性审查供应商投标报价平均值×65%；</w:t>
      </w:r>
      <w:r/>
    </w:p>
    <w:p>
      <w:pPr>
        <w:ind w:firstLine="422"/>
        <w:pageBreakBefore w:val="0"/>
        <w:spacing w:line="360" w:lineRule="exact"/>
        <w:widowControl w:val="off"/>
        <w:rPr>
          <w:rFonts w:hint="eastAsia" w:ascii="宋体" w:hAnsi="宋体" w:cs="宋体"/>
          <w:b/>
          <w:bCs/>
          <w:color w:val="000000"/>
          <w:highlight w:val="none"/>
        </w:rPr>
      </w:pPr>
      <w:r>
        <w:rPr>
          <w:rFonts w:hint="eastAsia" w:ascii="宋体" w:hAnsi="宋体" w:cs="宋体"/>
          <w:b/>
          <w:bCs/>
          <w:color w:val="000000"/>
          <w:highlight w:val="none"/>
        </w:rPr>
        <w:t xml:space="preserve">（</w:t>
      </w:r>
      <w:r>
        <w:rPr>
          <w:rFonts w:ascii="宋体" w:hAnsi="宋体" w:cs="宋体"/>
          <w:b/>
          <w:bCs/>
          <w:color w:val="000000"/>
          <w:highlight w:val="none"/>
        </w:rPr>
        <w:t xml:space="preserve">2</w:t>
      </w:r>
      <w:r>
        <w:rPr>
          <w:rFonts w:hint="eastAsia" w:ascii="宋体" w:hAnsi="宋体" w:cs="宋体"/>
          <w:b/>
          <w:bCs/>
          <w:color w:val="000000"/>
          <w:highlight w:val="none"/>
        </w:rPr>
        <w:t xml:space="preserve">）</w:t>
      </w:r>
      <w:r>
        <w:rPr>
          <w:rFonts w:ascii="宋体" w:hAnsi="宋体" w:cs="宋体"/>
          <w:b/>
          <w:bCs/>
          <w:color w:val="000000"/>
          <w:highlight w:val="none"/>
        </w:rPr>
        <w:t xml:space="preserve">投标报价低于通过符合性审查的次低报价供应商投标报价65%的，即投标报价&lt;通过符合性审查的次低报价供应商投标报价×65%；</w:t>
      </w:r>
      <w:r/>
    </w:p>
    <w:p>
      <w:pPr>
        <w:ind w:firstLine="422"/>
        <w:pageBreakBefore w:val="0"/>
        <w:spacing w:line="360" w:lineRule="exact"/>
        <w:widowControl w:val="off"/>
        <w:rPr>
          <w:rFonts w:hint="eastAsia" w:ascii="宋体" w:hAnsi="宋体" w:cs="宋体"/>
          <w:b/>
          <w:bCs/>
          <w:color w:val="000000"/>
          <w:highlight w:val="none"/>
        </w:rPr>
      </w:pPr>
      <w:r>
        <w:rPr>
          <w:rFonts w:hint="eastAsia" w:ascii="宋体" w:hAnsi="宋体" w:cs="宋体"/>
          <w:b/>
          <w:bCs/>
          <w:color w:val="000000"/>
          <w:highlight w:val="none"/>
        </w:rPr>
        <w:t xml:space="preserve">（</w:t>
      </w:r>
      <w:r>
        <w:rPr>
          <w:rFonts w:ascii="宋体" w:hAnsi="宋体" w:cs="宋体"/>
          <w:b/>
          <w:bCs/>
          <w:color w:val="000000"/>
          <w:highlight w:val="none"/>
        </w:rPr>
        <w:t xml:space="preserve">3</w:t>
      </w:r>
      <w:r>
        <w:rPr>
          <w:rFonts w:hint="eastAsia" w:ascii="宋体" w:hAnsi="宋体" w:cs="宋体"/>
          <w:b/>
          <w:bCs/>
          <w:color w:val="000000"/>
          <w:highlight w:val="none"/>
        </w:rPr>
        <w:t xml:space="preserve">）</w:t>
      </w:r>
      <w:r>
        <w:rPr>
          <w:rFonts w:ascii="宋体" w:hAnsi="宋体" w:cs="宋体"/>
          <w:b/>
          <w:bCs/>
          <w:color w:val="000000"/>
          <w:highlight w:val="none"/>
        </w:rPr>
        <w:t xml:space="preserve">投标报价低于采购项目最高限价65%的，即投标报价&lt;采购项目最高限价×65%；</w:t>
      </w:r>
      <w:r/>
    </w:p>
    <w:p>
      <w:pPr>
        <w:ind w:firstLine="422"/>
        <w:pageBreakBefore w:val="0"/>
        <w:spacing w:line="360" w:lineRule="exact"/>
        <w:widowControl w:val="off"/>
        <w:rPr>
          <w:rFonts w:hint="eastAsia" w:ascii="宋体" w:hAnsi="宋体" w:cs="宋体"/>
          <w:b/>
          <w:bCs/>
          <w:color w:val="000000"/>
          <w:highlight w:val="none"/>
        </w:rPr>
      </w:pPr>
      <w:r>
        <w:rPr>
          <w:rFonts w:hint="eastAsia" w:ascii="宋体" w:hAnsi="宋体" w:cs="宋体"/>
          <w:b/>
          <w:bCs/>
          <w:color w:val="000000"/>
          <w:highlight w:val="none"/>
        </w:rPr>
        <w:t xml:space="preserve">（</w:t>
      </w:r>
      <w:r>
        <w:rPr>
          <w:rFonts w:ascii="宋体" w:hAnsi="宋体" w:cs="宋体"/>
          <w:b/>
          <w:bCs/>
          <w:color w:val="000000"/>
          <w:highlight w:val="none"/>
        </w:rPr>
        <w:t xml:space="preserve">4</w:t>
      </w:r>
      <w:r>
        <w:rPr>
          <w:rFonts w:hint="eastAsia" w:ascii="宋体" w:hAnsi="宋体" w:cs="宋体"/>
          <w:b/>
          <w:bCs/>
          <w:color w:val="000000"/>
          <w:highlight w:val="none"/>
        </w:rPr>
        <w:t xml:space="preserve">）</w:t>
      </w:r>
      <w:r>
        <w:rPr>
          <w:rFonts w:ascii="宋体" w:hAnsi="宋体" w:cs="宋体"/>
          <w:b/>
          <w:bCs/>
          <w:color w:val="000000"/>
          <w:highlight w:val="none"/>
        </w:rPr>
        <w:t xml:space="preserve">评标委员会基于专业判断，认为供应商报价过低，有可能影响产品质量或者不能诚信履约的其他情形。</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25.8.2</w:t>
      </w:r>
      <w:r>
        <w:rPr>
          <w:rFonts w:ascii="宋体" w:hAnsi="宋体" w:cs="宋体"/>
          <w:color w:val="000000"/>
        </w:rPr>
        <w:t xml:space="preserve">评标委员会启动异常低价投标审查后，属于前述第</w:t>
      </w:r>
      <w:r>
        <w:rPr>
          <w:rFonts w:hint="eastAsia" w:ascii="宋体" w:hAnsi="宋体" w:cs="宋体"/>
          <w:color w:val="000000"/>
        </w:rPr>
        <w:t xml:space="preserve">（</w:t>
      </w:r>
      <w:r>
        <w:rPr>
          <w:rFonts w:ascii="宋体" w:hAnsi="宋体" w:cs="宋体"/>
          <w:color w:val="000000"/>
        </w:rPr>
        <w:t xml:space="preserve">1</w:t>
      </w:r>
      <w:r>
        <w:rPr>
          <w:rFonts w:hint="eastAsia" w:ascii="宋体" w:hAnsi="宋体" w:cs="宋体"/>
          <w:color w:val="000000"/>
        </w:rPr>
        <w:t xml:space="preserve">）</w:t>
      </w:r>
      <w:r>
        <w:rPr>
          <w:rFonts w:ascii="宋体" w:hAnsi="宋体" w:cs="宋体"/>
          <w:color w:val="000000"/>
        </w:rPr>
        <w:t xml:space="preserve">项至第</w:t>
      </w:r>
      <w:r>
        <w:rPr>
          <w:rFonts w:hint="eastAsia" w:ascii="宋体" w:hAnsi="宋体" w:cs="宋体"/>
          <w:color w:val="000000"/>
        </w:rPr>
        <w:t xml:space="preserve">（</w:t>
      </w:r>
      <w:r>
        <w:rPr>
          <w:rFonts w:ascii="宋体" w:hAnsi="宋体" w:cs="宋体"/>
          <w:color w:val="000000"/>
        </w:rPr>
        <w:t xml:space="preserve">4</w:t>
      </w:r>
      <w:r>
        <w:rPr>
          <w:rFonts w:hint="eastAsia" w:ascii="宋体" w:hAnsi="宋体" w:cs="宋体"/>
          <w:color w:val="000000"/>
        </w:rPr>
        <w:t xml:space="preserve">）</w:t>
      </w:r>
      <w:r>
        <w:rPr>
          <w:rFonts w:ascii="宋体" w:hAnsi="宋体" w:cs="宋体"/>
          <w:color w:val="000000"/>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rPr>
        <w:t xml:space="preserve">（</w:t>
      </w:r>
      <w:r>
        <w:rPr>
          <w:rFonts w:ascii="宋体" w:hAnsi="宋体" w:cs="宋体"/>
          <w:color w:val="000000"/>
        </w:rPr>
        <w:t xml:space="preserve">3</w:t>
      </w:r>
      <w:r>
        <w:rPr>
          <w:rFonts w:hint="eastAsia" w:ascii="宋体" w:hAnsi="宋体" w:cs="宋体"/>
          <w:color w:val="000000"/>
        </w:rPr>
        <w:t xml:space="preserve">）</w:t>
      </w:r>
      <w:r>
        <w:rPr>
          <w:rFonts w:ascii="宋体" w:hAnsi="宋体" w:cs="宋体"/>
          <w:color w:val="000000"/>
        </w:rPr>
        <w:t xml:space="preserve">项情形，供应商已随投标文件一并提交相关书面说明及必要的证明材料的，在评标现场可不再重复提交。</w:t>
      </w:r>
      <w:r/>
    </w:p>
    <w:p>
      <w:pPr>
        <w:ind w:firstLine="420"/>
        <w:pageBreakBefore w:val="0"/>
        <w:spacing w:line="360" w:lineRule="exact"/>
        <w:widowControl w:val="off"/>
        <w:rPr>
          <w:rFonts w:hint="eastAsia" w:ascii="宋体" w:hAnsi="宋体" w:cs="宋体"/>
          <w:color w:val="000000"/>
        </w:rPr>
      </w:pPr>
      <w:r>
        <w:rPr>
          <w:rFonts w:ascii="宋体" w:hAnsi="宋体" w:cs="宋体"/>
          <w:color w:val="000000"/>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pageBreakBefore w:val="0"/>
        <w:spacing w:line="360" w:lineRule="exact"/>
        <w:widowControl w:val="off"/>
        <w:rPr>
          <w:rFonts w:hint="eastAsia" w:ascii="宋体" w:hAnsi="宋体" w:cs="宋体"/>
        </w:rPr>
      </w:pPr>
      <w:r>
        <w:rPr>
          <w:rFonts w:hint="eastAsia" w:ascii="宋体" w:hAnsi="宋体" w:cs="宋体"/>
        </w:rPr>
        <w:t xml:space="preserve">26、</w:t>
      </w:r>
      <w:bookmarkEnd w:id="143"/>
      <w:r/>
      <w:bookmarkEnd w:id="144"/>
      <w:r/>
      <w:bookmarkEnd w:id="145"/>
      <w:r>
        <w:rPr>
          <w:rFonts w:hint="eastAsia" w:ascii="宋体" w:hAnsi="宋体" w:cs="宋体"/>
        </w:rPr>
        <w:t xml:space="preserve">无效投标条款和废标条款</w:t>
      </w:r>
      <w:r/>
    </w:p>
    <w:p>
      <w:pPr>
        <w:ind w:firstLine="420"/>
        <w:pageBreakBefore w:val="0"/>
        <w:spacing w:line="360" w:lineRule="exact"/>
        <w:widowControl w:val="off"/>
        <w:rPr>
          <w:rFonts w:hint="eastAsia" w:ascii="宋体" w:hAnsi="宋体" w:cs="宋体"/>
          <w:bCs/>
        </w:rPr>
      </w:pPr>
      <w:r/>
      <w:bookmarkStart w:id="146" w:name="_Toc20823307"/>
      <w:r/>
      <w:bookmarkStart w:id="147" w:name="_Toc513029235"/>
      <w:r/>
      <w:bookmarkStart w:id="148" w:name="_Toc16938551"/>
      <w:r>
        <w:rPr>
          <w:rFonts w:hint="eastAsia" w:ascii="宋体" w:hAnsi="宋体" w:cs="宋体"/>
          <w:bCs/>
        </w:rPr>
        <w:t xml:space="preserve">26.1无效投标条款</w:t>
      </w:r>
      <w:r/>
    </w:p>
    <w:p>
      <w:pPr>
        <w:ind w:firstLine="420"/>
        <w:pageBreakBefore w:val="0"/>
        <w:spacing w:line="360" w:lineRule="exact"/>
        <w:widowControl w:val="off"/>
        <w:rPr>
          <w:rFonts w:hint="eastAsia" w:ascii="宋体" w:hAnsi="宋体" w:cs="宋体"/>
          <w:bCs/>
        </w:rPr>
      </w:pPr>
      <w:r>
        <w:rPr>
          <w:rFonts w:hint="eastAsia" w:ascii="宋体" w:hAnsi="宋体" w:cs="宋体"/>
          <w:bCs/>
        </w:rPr>
        <w:t xml:space="preserve">26.1.1 投标人在</w:t>
      </w:r>
      <w:r>
        <w:rPr>
          <w:rFonts w:hint="eastAsia" w:ascii="宋体" w:hAnsi="宋体" w:cs="宋体"/>
        </w:rPr>
        <w:t xml:space="preserve">苏采云系统</w:t>
      </w:r>
      <w:r>
        <w:rPr>
          <w:rFonts w:hint="eastAsia" w:ascii="宋体" w:hAnsi="宋体" w:cs="宋体"/>
          <w:bCs/>
        </w:rPr>
        <w:t xml:space="preserve">规定的时间内未成功解密电子投标文件的。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rPr>
        <w:t xml:space="preserve">26.1.2 投标人未按照招标文件</w:t>
      </w:r>
      <w:r>
        <w:rPr>
          <w:rFonts w:hint="eastAsia" w:ascii="宋体" w:hAnsi="宋体" w:cs="宋体"/>
          <w:bCs/>
          <w:color w:val="000000"/>
        </w:rPr>
        <w:t xml:space="preserve">要求上传电子投标文件的。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.1.3 投标人</w:t>
      </w:r>
      <w:r>
        <w:rPr>
          <w:rFonts w:hint="eastAsia" w:ascii="宋体" w:hAnsi="宋体" w:cs="宋体"/>
          <w:bCs/>
        </w:rPr>
        <w:t xml:space="preserve">同一采购包提</w:t>
      </w:r>
      <w:r>
        <w:rPr>
          <w:rFonts w:hint="eastAsia" w:ascii="宋体" w:hAnsi="宋体" w:cs="宋体"/>
          <w:bCs/>
          <w:color w:val="000000"/>
        </w:rPr>
        <w:t xml:space="preserve">交两个（含两个）以上不同的投标报价的。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.1.4投标人不具备招标文件中规定资格要求的。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.1.5投标人的报价超过了采购预算或最高限价的。</w:t>
      </w:r>
      <w:r/>
    </w:p>
    <w:p>
      <w:pPr>
        <w:ind w:firstLine="420"/>
        <w:pageBreakBefore w:val="0"/>
        <w:spacing w:line="360" w:lineRule="exact"/>
        <w:widowControl w:val="off"/>
        <w:rPr>
          <w:rFonts w:hint="eastAsia" w:ascii="宋体" w:hAnsi="宋体" w:cs="宋体"/>
          <w:bCs/>
          <w:i/>
          <w:color w:val="000000"/>
          <w:u w:val="single"/>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.1.6未通过符合性审查的。</w:t>
      </w:r>
      <w:r/>
    </w:p>
    <w:p>
      <w:pPr>
        <w:ind w:firstLine="420"/>
        <w:pageBreakBefore w:val="0"/>
        <w:spacing w:line="360" w:lineRule="exact"/>
        <w:widowControl w:val="off"/>
        <w:rPr>
          <w:rFonts w:hint="eastAsia" w:ascii="宋体" w:hAnsi="宋体" w:cs="宋体"/>
          <w:bCs/>
          <w:i/>
          <w:color w:val="000000"/>
          <w:u w:val="single"/>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.1.7不符合招标文件中规定的实质性要求的</w:t>
      </w:r>
      <w:r>
        <w:rPr>
          <w:rFonts w:hint="eastAsia" w:ascii="宋体" w:hAnsi="宋体" w:cs="宋体"/>
          <w:b/>
          <w:bCs/>
        </w:rPr>
        <w:t xml:space="preserve">（本招标文件中</w:t>
      </w:r>
      <w:r>
        <w:rPr>
          <w:rFonts w:hint="eastAsia" w:ascii="宋体" w:hAnsi="宋体" w:cs="宋体"/>
          <w:b/>
          <w:bCs/>
          <w:i/>
          <w:u w:val="single"/>
        </w:rPr>
        <w:t xml:space="preserve">斜体且有下划线部分</w:t>
      </w:r>
      <w:r>
        <w:rPr>
          <w:rFonts w:hint="eastAsia" w:ascii="宋体" w:hAnsi="宋体" w:cs="宋体"/>
          <w:b/>
          <w:bCs/>
        </w:rPr>
        <w:t xml:space="preserve">或加*号条款为实质性要求）</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.1.9 投标文件含有采购人不能接受的附加条件的。</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26.1.10评标委员会按照本招标文件规定对投标人进行异常低价投标审查后，认为投标人不能证明其报价合理性的。</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.1.12 投标文件未按照招标文件要求加盖CA电子公章的。</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26.1.13 投标人所投标产品不符合招标文件中所列国家强制性标准的。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.1.14其他法律、法规及本招标文件规定的属无效投标的情形。</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.2废标条款 </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.2.1符合专业条件的供应商或者对招标文件作实质响应的供应商不足三家的。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26.2.2出现影响采购公正的违法、违规行为的。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.2.3因重大变故，采购任务取消的。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26.2.4评标委员会认定招标文件存在歧义、重大缺陷导致评审工作无法进行。</w:t>
      </w:r>
      <w:r/>
    </w:p>
    <w:p>
      <w:pPr>
        <w:ind w:firstLine="420"/>
        <w:pageBreakBefore w:val="0"/>
        <w:spacing w:line="360" w:lineRule="exact"/>
        <w:widowControl w:val="off"/>
        <w:rPr>
          <w:rFonts w:hint="eastAsia" w:ascii="宋体" w:hAnsi="宋体" w:cs="宋体"/>
          <w:bCs/>
        </w:rPr>
      </w:pPr>
      <w:r>
        <w:rPr>
          <w:rFonts w:hint="eastAsia" w:ascii="宋体" w:hAnsi="宋体" w:cs="宋体"/>
          <w:bCs/>
          <w:color w:val="000000"/>
        </w:rPr>
        <w:t xml:space="preserve">26.2</w:t>
      </w:r>
      <w:r>
        <w:rPr>
          <w:rFonts w:hint="eastAsia" w:ascii="宋体" w:hAnsi="宋体" w:cs="宋体"/>
          <w:bCs/>
        </w:rPr>
        <w:t xml:space="preserve">.5 因</w:t>
      </w:r>
      <w:r>
        <w:rPr>
          <w:rFonts w:hint="eastAsia" w:ascii="宋体" w:hAnsi="宋体" w:cs="宋体"/>
        </w:rPr>
        <w:t xml:space="preserve">苏采云</w:t>
      </w:r>
      <w:r>
        <w:rPr>
          <w:rFonts w:hint="eastAsia" w:ascii="宋体" w:hAnsi="宋体" w:cs="宋体"/>
          <w:bCs/>
        </w:rPr>
        <w:t xml:space="preserve">系统故障原因造成开标不成功的。  </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rPr>
        <w:t xml:space="preserve">26.3 投标截止时间结束后</w:t>
      </w:r>
      <w:r>
        <w:rPr>
          <w:rFonts w:hint="eastAsia" w:ascii="宋体" w:hAnsi="宋体" w:cs="宋体"/>
          <w:bCs/>
          <w:color w:val="000000"/>
        </w:rPr>
        <w:t xml:space="preserve">参加投标的供应商不足三家的处理：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26.3.1如出现投标截止时间结束后参加投标的供应商或者在评标期间对招标文件做出实质响应的供应商不足三家情况，按政府采购相关规定执行。</w:t>
      </w:r>
      <w:r/>
    </w:p>
    <w:p>
      <w:pPr>
        <w:ind w:firstLine="422"/>
        <w:keepLines/>
        <w:keepNext/>
        <w:pageBreakBefore w:val="0"/>
        <w:spacing w:line="360" w:lineRule="exact"/>
        <w:widowControl w:val="off"/>
        <w:rPr>
          <w:rFonts w:hint="eastAsia" w:ascii="宋体" w:hAnsi="宋体" w:cs="宋体"/>
          <w:b/>
          <w:bCs/>
          <w:color w:val="000000"/>
        </w:rPr>
      </w:pPr>
      <w:r/>
      <w:bookmarkStart w:id="149" w:name="_Toc120614219"/>
      <w:r>
        <w:rPr>
          <w:rFonts w:hint="eastAsia" w:ascii="宋体" w:hAnsi="宋体" w:cs="宋体"/>
          <w:b/>
          <w:bCs/>
          <w:color w:val="000000"/>
        </w:rPr>
        <w:t xml:space="preserve">六、</w:t>
      </w:r>
      <w:bookmarkEnd w:id="146"/>
      <w:r/>
      <w:bookmarkEnd w:id="147"/>
      <w:r/>
      <w:bookmarkEnd w:id="148"/>
      <w:r>
        <w:rPr>
          <w:rFonts w:hint="eastAsia" w:ascii="宋体" w:hAnsi="宋体" w:cs="宋体"/>
          <w:b/>
          <w:bCs/>
          <w:color w:val="000000"/>
        </w:rPr>
        <w:t xml:space="preserve">定标</w:t>
      </w:r>
      <w:bookmarkEnd w:id="149"/>
      <w:r/>
      <w:r/>
    </w:p>
    <w:p>
      <w:pPr>
        <w:ind w:firstLine="420"/>
        <w:keepLines/>
        <w:keepNext/>
        <w:pageBreakBefore w:val="0"/>
        <w:spacing w:line="360" w:lineRule="exact"/>
        <w:widowControl w:val="off"/>
        <w:rPr>
          <w:rFonts w:hint="eastAsia" w:ascii="宋体" w:hAnsi="宋体" w:cs="宋体"/>
          <w:bCs/>
          <w:color w:val="000000"/>
        </w:rPr>
      </w:pPr>
      <w:r/>
      <w:bookmarkStart w:id="150" w:name="_Toc513029238"/>
      <w:r/>
      <w:bookmarkStart w:id="151" w:name="_Toc20823310"/>
      <w:r/>
      <w:bookmarkStart w:id="152" w:name="_Toc16938554"/>
      <w:r>
        <w:rPr>
          <w:rFonts w:hint="eastAsia" w:ascii="宋体" w:hAnsi="宋体" w:cs="宋体"/>
          <w:bCs/>
          <w:color w:val="000000"/>
        </w:rPr>
        <w:t xml:space="preserve">27、</w:t>
      </w:r>
      <w:bookmarkEnd w:id="150"/>
      <w:r>
        <w:rPr>
          <w:rFonts w:hint="eastAsia" w:ascii="宋体" w:hAnsi="宋体" w:cs="宋体"/>
          <w:bCs/>
          <w:color w:val="000000"/>
        </w:rPr>
        <w:t xml:space="preserve">确定</w:t>
      </w:r>
      <w:bookmarkEnd w:id="151"/>
      <w:r/>
      <w:bookmarkEnd w:id="152"/>
      <w:r>
        <w:rPr>
          <w:rFonts w:hint="eastAsia" w:ascii="宋体" w:hAnsi="宋体" w:cs="宋体"/>
          <w:bCs/>
          <w:color w:val="000000"/>
        </w:rPr>
        <w:t xml:space="preserve">中标单位</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27.1中标候选人的选取原则和数量见招标文件第五章规定。 </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27.2 采购人应根据评标委员会推荐的中标候选人确定中标供应商。</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27.3 </w:t>
      </w:r>
      <w:r>
        <w:rPr>
          <w:rFonts w:hint="eastAsia" w:ascii="宋体" w:hAnsi="宋体" w:cs="宋体"/>
          <w:color w:val="000000"/>
        </w:rPr>
        <w:t xml:space="preserve">代理机构将在“江苏政府采购网”发布中标公告，公告期限为1个工作日。</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 若有充分证据证明，中标供应商出现下列情况之一的，一经查实，将被取消中标资格：</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27.4.1提供虚假材料谋取中标的。</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27.4.2向采购人、代理机构行贿或者提供其他不正当利益的。</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27.4.3属于本文件规定的无效条件，但在评标过程中又未被评标委员会发现的。</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27.4.4与采购人或者其他供应商恶意串通的。</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27.4.5采取不正当手段诋毁、排挤其他供应商的。</w:t>
      </w:r>
      <w:r/>
    </w:p>
    <w:p>
      <w:pPr>
        <w:ind w:firstLine="420"/>
        <w:pageBreakBefore w:val="0"/>
        <w:spacing w:line="360" w:lineRule="exact"/>
        <w:widowControl w:val="off"/>
        <w:rPr>
          <w:rFonts w:hint="eastAsia" w:ascii="宋体" w:hAnsi="宋体" w:cs="宋体"/>
          <w:color w:val="000000"/>
        </w:rPr>
      </w:pPr>
      <w:r/>
      <w:bookmarkStart w:id="153" w:name="_Toc200451960"/>
      <w:r>
        <w:rPr>
          <w:rFonts w:hint="eastAsia" w:ascii="宋体" w:hAnsi="宋体" w:cs="宋体"/>
          <w:color w:val="000000"/>
        </w:rPr>
        <w:t xml:space="preserve">27.5 </w:t>
      </w:r>
      <w:r>
        <w:rPr>
          <w:rFonts w:hint="eastAsia" w:ascii="宋体" w:hAnsi="宋体" w:cs="宋体"/>
          <w:color w:val="000000"/>
        </w:rPr>
        <w:t xml:space="preserve">有下列情形之一的，视为投标人串通投标，投标无效：</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27.5.1不同投标人的投标文件由同一单位或者个人编制。</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27.5.2不同投标人委托同一单位或者个人办理投标事宜。</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27.5.3 不同投标人的投标文件载明的项目管理成员或者联系人员为同一人。</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27.5.4不同投标人的投标文件异常一致或者投标报价呈规律性差异。</w:t>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28、质疑处理</w:t>
      </w:r>
      <w:bookmarkEnd w:id="153"/>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28.2.1</w:t>
      </w:r>
      <w:r>
        <w:rPr>
          <w:rFonts w:hint="eastAsia" w:ascii="宋体" w:hAnsi="宋体" w:cs="宋体"/>
          <w:color w:val="000000"/>
        </w:rPr>
        <w:t xml:space="preserve">对可以质疑的采购文件提出质疑的，为收到采购文件之日或者采购文件公告期限届满之日；</w:t>
      </w:r>
      <w:r>
        <w:rPr>
          <w:rFonts w:hint="eastAsia" w:ascii="宋体" w:hAnsi="宋体" w:cs="宋体"/>
          <w:color w:val="000000"/>
        </w:rPr>
        <w:br/>
      </w:r>
      <w:r>
        <w:rPr>
          <w:rFonts w:hint="eastAsia" w:ascii="宋体" w:hAnsi="宋体" w:cs="宋体"/>
          <w:color w:val="000000"/>
        </w:rPr>
        <w:t xml:space="preserve">　　</w:t>
      </w:r>
      <w:r>
        <w:rPr>
          <w:rFonts w:hint="eastAsia" w:ascii="宋体" w:hAnsi="宋体" w:cs="宋体"/>
          <w:color w:val="000000"/>
        </w:rPr>
        <w:t xml:space="preserve">28.2.2</w:t>
      </w:r>
      <w:r>
        <w:rPr>
          <w:rFonts w:hint="eastAsia" w:ascii="宋体" w:hAnsi="宋体" w:cs="宋体"/>
          <w:color w:val="000000"/>
        </w:rPr>
        <w:t xml:space="preserve">对采购过程提出质疑的，为各采购程序环节结束之日；</w:t>
      </w:r>
      <w:r>
        <w:rPr>
          <w:rFonts w:hint="eastAsia" w:ascii="宋体" w:hAnsi="宋体" w:cs="宋体"/>
          <w:color w:val="000000"/>
        </w:rPr>
        <w:br/>
      </w:r>
      <w:r>
        <w:rPr>
          <w:rFonts w:hint="eastAsia" w:ascii="宋体" w:hAnsi="宋体" w:cs="宋体"/>
          <w:color w:val="000000"/>
        </w:rPr>
        <w:t xml:space="preserve">　　</w:t>
      </w:r>
      <w:r>
        <w:rPr>
          <w:rFonts w:hint="eastAsia" w:ascii="宋体" w:hAnsi="宋体" w:cs="宋体"/>
          <w:color w:val="000000"/>
        </w:rPr>
        <w:t xml:space="preserve">28.2.3</w:t>
      </w:r>
      <w:r>
        <w:rPr>
          <w:rFonts w:hint="eastAsia" w:ascii="宋体" w:hAnsi="宋体" w:cs="宋体"/>
          <w:color w:val="000000"/>
        </w:rPr>
        <w:t xml:space="preserve">对中标或者成交结果提出质疑的，为中标或者成交结果公告期限届满之日。</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28.4</w:t>
      </w:r>
      <w:r>
        <w:rPr>
          <w:rFonts w:ascii="宋体" w:hAnsi="宋体" w:cs="宋体"/>
          <w:color w:val="000000"/>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20"/>
        <w:pageBreakBefore w:val="0"/>
        <w:spacing w:line="360" w:lineRule="exact"/>
        <w:widowControl w:val="off"/>
        <w:rPr>
          <w:rFonts w:hint="eastAsia" w:ascii="宋体" w:hAnsi="宋体" w:cs="宋体"/>
          <w:color w:val="000000"/>
        </w:rPr>
      </w:pPr>
      <w:r>
        <w:rPr>
          <w:rFonts w:ascii="宋体" w:hAnsi="宋体" w:cs="宋体"/>
          <w:color w:val="000000"/>
        </w:rPr>
        <w:t xml:space="preserve">代理机构及采购人只接收以纸质原件形式送达的质疑,建议供应商尽量通过邮寄方式提交质疑（采购人和代理机构不接受无快递运单号的快递）。</w:t>
      </w:r>
      <w:r/>
    </w:p>
    <w:p>
      <w:pPr>
        <w:ind w:firstLine="420"/>
        <w:pageBreakBefore w:val="0"/>
        <w:spacing w:line="360" w:lineRule="exact"/>
        <w:widowControl w:val="off"/>
        <w:rPr>
          <w:rFonts w:hint="eastAsia" w:ascii="宋体" w:hAnsi="宋体" w:cs="宋体"/>
          <w:color w:val="000000"/>
        </w:rPr>
      </w:pPr>
      <w:r>
        <w:rPr>
          <w:rFonts w:ascii="宋体" w:hAnsi="宋体" w:cs="宋体"/>
          <w:color w:val="000000"/>
        </w:rPr>
        <w:t xml:space="preserve">代理机构质疑接收部门为质疑处理科（快递运单上的收件人填写“质疑处理科”即可），联系地址：南京市鼓楼区集庆门大街268号苏宁慧谷E08-1幢2205、2206室。</w:t>
      </w:r>
      <w:r/>
    </w:p>
    <w:p>
      <w:pPr>
        <w:ind w:firstLine="420"/>
        <w:pageBreakBefore w:val="0"/>
        <w:spacing w:line="360" w:lineRule="exact"/>
        <w:widowControl w:val="off"/>
        <w:rPr>
          <w:rFonts w:hint="eastAsia" w:ascii="宋体" w:hAnsi="宋体" w:cs="宋体"/>
          <w:color w:val="000000"/>
        </w:rPr>
      </w:pPr>
      <w:r>
        <w:rPr>
          <w:rFonts w:ascii="宋体" w:hAnsi="宋体" w:cs="宋体"/>
          <w:color w:val="000000"/>
        </w:rPr>
        <w:t xml:space="preserve">采购人质疑接收人及联系方式见招标文件第一章。</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 以下情形的质疑不予受理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28.5.1 内容不符合《政府采购质疑和投诉办法》第十二条规定的质疑。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28.5.2 超出政府采购法定期限的质疑。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28.5.3 以传真、电子邮件等方式递交的非原件形式的质疑。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28.5.4 未参加投标活动的供应商或在投标活动中自身权益未受到损害的供应商所提出的质疑。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28.5.5供应商组成联合体参加投标，联合体中任何一方或多方未按要求签字、盖章、加盖公章的质疑。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29、中标通知书</w:t>
      </w:r>
      <w:r/>
    </w:p>
    <w:p>
      <w:pPr>
        <w:ind w:firstLine="420"/>
        <w:pageBreakBefore w:val="0"/>
        <w:spacing w:line="360" w:lineRule="exact"/>
        <w:widowControl w:val="off"/>
        <w:rPr>
          <w:rFonts w:hint="eastAsia" w:ascii="宋体" w:hAnsi="宋体" w:cs="宋体"/>
        </w:rPr>
      </w:pPr>
      <w:r>
        <w:rPr>
          <w:rFonts w:hint="eastAsia" w:ascii="宋体" w:hAnsi="宋体" w:cs="宋体"/>
          <w:color w:val="000000"/>
        </w:rPr>
        <w:t xml:space="preserve">29.l中标结果确定后，代理机构将向中标供应商发出中标通知书。请中标供应商在中标结果公告届满之日起30日内,使用CA</w:t>
      </w:r>
      <w:r>
        <w:rPr>
          <w:rFonts w:hint="eastAsia" w:ascii="宋体" w:hAnsi="宋体" w:cs="宋体"/>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22"/>
        <w:keepLines/>
        <w:keepNext/>
        <w:pageBreakBefore w:val="0"/>
        <w:spacing w:line="360" w:lineRule="exact"/>
        <w:widowControl w:val="off"/>
        <w:rPr>
          <w:rFonts w:hint="eastAsia" w:ascii="宋体" w:hAnsi="宋体" w:cs="宋体"/>
          <w:b/>
          <w:bCs/>
          <w:color w:val="000000"/>
        </w:rPr>
      </w:pPr>
      <w:r/>
      <w:bookmarkStart w:id="154" w:name="_Toc120614220"/>
      <w:r/>
      <w:bookmarkStart w:id="155" w:name="_Toc20823308"/>
      <w:r/>
      <w:bookmarkStart w:id="156" w:name="_Toc16938552"/>
      <w:r/>
      <w:bookmarkStart w:id="157" w:name="_Toc513029236"/>
      <w:r>
        <w:rPr>
          <w:rFonts w:hint="eastAsia" w:ascii="宋体" w:hAnsi="宋体" w:cs="宋体"/>
          <w:b/>
          <w:bCs/>
          <w:color w:val="000000"/>
        </w:rPr>
        <w:t xml:space="preserve">七、授予合同</w:t>
      </w:r>
      <w:bookmarkEnd w:id="154"/>
      <w:r/>
      <w:bookmarkEnd w:id="155"/>
      <w:r/>
      <w:bookmarkEnd w:id="156"/>
      <w:r/>
      <w:bookmarkEnd w:id="157"/>
      <w:r/>
      <w:r/>
    </w:p>
    <w:p>
      <w:pPr>
        <w:ind w:firstLine="420"/>
        <w:keepLines/>
        <w:keepNext/>
        <w:pageBreakBefore w:val="0"/>
        <w:spacing w:line="360" w:lineRule="exact"/>
        <w:widowControl w:val="off"/>
        <w:rPr>
          <w:rFonts w:hint="eastAsia" w:ascii="宋体" w:hAnsi="宋体" w:cs="宋体"/>
          <w:bCs/>
          <w:color w:val="000000"/>
        </w:rPr>
      </w:pPr>
      <w:r/>
      <w:bookmarkStart w:id="158" w:name="_Toc513029237"/>
      <w:r/>
      <w:bookmarkStart w:id="159" w:name="_Toc20823309"/>
      <w:r/>
      <w:bookmarkStart w:id="160" w:name="_Toc16938553"/>
      <w:r>
        <w:rPr>
          <w:rFonts w:hint="eastAsia" w:ascii="宋体" w:hAnsi="宋体" w:cs="宋体"/>
          <w:bCs/>
          <w:color w:val="000000"/>
        </w:rPr>
        <w:t xml:space="preserve">30、签订合同</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30.</w:t>
      </w:r>
      <w:r>
        <w:rPr>
          <w:rFonts w:hint="eastAsia" w:ascii="宋体" w:hAnsi="宋体" w:cs="宋体"/>
          <w:color w:val="000000"/>
        </w:rPr>
        <w:t xml:space="preserve">l中标供应商应当在中标通知书发出之日起三十日内，按照招标文件确定的事项与采购人签订政府采购合同。</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30.2</w:t>
      </w:r>
      <w:r>
        <w:rPr>
          <w:rFonts w:hint="eastAsia" w:ascii="宋体" w:hAnsi="宋体" w:cs="宋体"/>
          <w:b/>
          <w:color w:val="000000"/>
        </w:rPr>
        <w:t xml:space="preserve"> </w:t>
      </w:r>
      <w:r>
        <w:rPr>
          <w:rFonts w:hint="eastAsia" w:ascii="宋体" w:hAnsi="宋体" w:cs="宋体"/>
          <w:color w:val="000000"/>
        </w:rPr>
        <w:t xml:space="preserve">招标文件、中标供应商的投标文件及招标过程中有关澄清、承诺文件均应作为合同附件。</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31、货物（包含与货物相关的服务）的追加</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58"/>
      <w:r/>
      <w:bookmarkEnd w:id="159"/>
      <w:r/>
      <w:bookmarkEnd w:id="160"/>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32、政府采购履约资金扶持政策</w:t>
      </w:r>
      <w:r/>
    </w:p>
    <w:p>
      <w:pPr>
        <w:ind w:firstLine="420"/>
        <w:pageBreakBefore w:val="0"/>
        <w:spacing w:line="360" w:lineRule="exact"/>
        <w:widowControl w:val="off"/>
        <w:rPr>
          <w:rFonts w:hint="eastAsia" w:ascii="宋体" w:hAnsi="宋体"/>
          <w:bCs/>
          <w:color w:val="ff0000"/>
          <w:sz w:val="24"/>
          <w:szCs w:val="24"/>
          <w:highlight w:val="yellow"/>
        </w:rPr>
      </w:pPr>
      <w:r>
        <w:rPr>
          <w:rFonts w:hint="eastAsia" w:ascii="宋体" w:hAnsi="宋体" w:cs="宋体"/>
          <w:bCs/>
          <w:color w:val="000000"/>
        </w:rPr>
        <w:t xml:space="preserve">中标供应商可凭政府采购合同办理融资贷款，详情请见江苏政府采购网“政采贷”专栏。</w:t>
      </w:r>
      <w:bookmarkEnd w:id="38"/>
      <w:r/>
      <w:bookmarkEnd w:id="39"/>
      <w:r/>
      <w:bookmarkEnd w:id="40"/>
      <w:r/>
      <w:bookmarkEnd w:id="41"/>
      <w:r/>
      <w:bookmarkEnd w:id="42"/>
      <w:r/>
      <w:bookmarkStart w:id="161" w:name="_Toc20823315"/>
      <w:r/>
      <w:bookmarkStart w:id="162" w:name="_Toc16938559"/>
      <w:r/>
      <w:bookmarkStart w:id="163" w:name="_Toc513029243"/>
      <w:r/>
      <w:bookmarkStart w:id="164" w:name="_Toc3995"/>
      <w:r/>
      <w:bookmarkStart w:id="165" w:name="_Hlt16619350"/>
      <w:r/>
      <w:bookmarkStart w:id="166" w:name="_Toc120614244"/>
      <w:r/>
      <w:bookmarkStart w:id="167" w:name="_Toc20823346"/>
      <w:r/>
      <w:bookmarkStart w:id="168" w:name="_Toc16938590"/>
      <w:r/>
      <w:bookmarkStart w:id="169" w:name="_Toc479757211"/>
      <w:r/>
      <w:bookmarkStart w:id="170" w:name="_Toc462564139"/>
      <w:r/>
      <w:bookmarkEnd w:id="161"/>
      <w:r/>
      <w:bookmarkEnd w:id="162"/>
      <w:r/>
      <w:bookmarkEnd w:id="163"/>
      <w:r/>
      <w:bookmarkEnd w:id="164"/>
      <w:r/>
      <w:r/>
    </w:p>
    <w:p>
      <w:pPr>
        <w:rPr>
          <w:rFonts w:eastAsia="黑体"/>
          <w:bCs/>
          <w:sz w:val="44"/>
        </w:rPr>
      </w:pPr>
      <w:r>
        <w:rPr>
          <w:rFonts w:eastAsia="黑体"/>
          <w:bCs/>
          <w:sz w:val="44"/>
        </w:rPr>
        <w:br w:type="page" w:clear="all"/>
      </w:r>
      <w:r/>
    </w:p>
    <w:p>
      <w:r/>
      <w:bookmarkStart w:id="171" w:name="_Toc12034"/>
      <w:r/>
      <w:r/>
    </w:p>
    <w:p>
      <w:r/>
      <w:r/>
    </w:p>
    <w:p>
      <w:r/>
      <w:r/>
    </w:p>
    <w:p>
      <w:r/>
      <w:r/>
    </w:p>
    <w:p>
      <w:r/>
      <w:r/>
    </w:p>
    <w:p>
      <w:r/>
      <w:r/>
    </w:p>
    <w:p>
      <w:r/>
      <w:r/>
    </w:p>
    <w:p>
      <w:r/>
      <w:r/>
    </w:p>
    <w:p>
      <w:r/>
      <w:r/>
    </w:p>
    <w:p>
      <w:pPr>
        <w:pStyle w:val="1027"/>
        <w:ind w:firstLine="0"/>
        <w:jc w:val="center"/>
        <w:rPr>
          <w:rFonts w:ascii="Times New Roman" w:eastAsia="黑体"/>
          <w:bCs/>
          <w:sz w:val="44"/>
        </w:rPr>
      </w:pPr>
      <w:r>
        <w:rPr>
          <w:rFonts w:ascii="Times New Roman" w:eastAsia="黑体"/>
          <w:bCs/>
          <w:sz w:val="44"/>
        </w:rPr>
        <w:t xml:space="preserve">第三章  合同文本</w:t>
      </w:r>
      <w:bookmarkEnd w:id="171"/>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t xml:space="preserve">政府采购合同</w:t>
      </w:r>
      <w:r/>
    </w:p>
    <w:p>
      <w:pPr>
        <w:jc w:val="center"/>
        <w:widowControl/>
        <w:rPr>
          <w:rFonts w:hint="eastAsia" w:ascii="宋体" w:hAnsi="宋体" w:cs="宋体"/>
          <w:b/>
          <w:bCs/>
          <w:sz w:val="32"/>
          <w:szCs w:val="32"/>
        </w:rPr>
      </w:pPr>
      <w:r>
        <w:rPr>
          <w:rFonts w:hint="eastAsia" w:ascii="宋体" w:hAnsi="宋体" w:cs="宋体"/>
          <w:b/>
          <w:bCs/>
          <w:sz w:val="32"/>
          <w:szCs w:val="32"/>
        </w:rPr>
        <w:t xml:space="preserve">（拟签订的合同文本）</w:t>
      </w:r>
      <w:r/>
    </w:p>
    <w:p>
      <w:pPr>
        <w:widowControl/>
        <w:rPr>
          <w:rFonts w:hint="eastAsia" w:ascii="宋体" w:hAnsi="宋体" w:cs="宋体"/>
          <w:b/>
          <w:bCs/>
          <w:sz w:val="36"/>
          <w:szCs w:val="36"/>
        </w:rPr>
      </w:pPr>
      <w:r>
        <w:rPr>
          <w:rFonts w:hint="eastAsia" w:ascii="宋体" w:hAnsi="宋体" w:cs="宋体"/>
          <w:b/>
          <w:bCs/>
          <w:sz w:val="36"/>
          <w:szCs w:val="36"/>
        </w:rPr>
      </w:r>
      <w:r/>
    </w:p>
    <w:p>
      <w:pPr>
        <w:ind w:firstLine="315"/>
        <w:widowControl/>
        <w:rPr>
          <w:rFonts w:hint="eastAsia" w:ascii="宋体" w:hAnsi="宋体" w:cs="宋体"/>
        </w:rPr>
      </w:pPr>
      <w:r>
        <w:rPr>
          <w:rFonts w:hint="eastAsia" w:ascii="宋体" w:hAnsi="宋体" w:cs="宋体"/>
        </w:rPr>
      </w:r>
      <w:r/>
    </w:p>
    <w:p>
      <w:pPr>
        <w:widowControl/>
        <w:rPr>
          <w:rFonts w:hint="eastAsia" w:ascii="宋体" w:hAnsi="宋体" w:cs="宋体"/>
        </w:rPr>
      </w:pPr>
      <w:r>
        <w:rPr>
          <w:rFonts w:hint="eastAsia" w:ascii="宋体" w:hAnsi="宋体" w:cs="宋体"/>
        </w:rPr>
      </w:r>
      <w:r/>
    </w:p>
    <w:p>
      <w:pPr>
        <w:widowControl/>
        <w:rPr>
          <w:rFonts w:hint="eastAsia" w:ascii="宋体" w:hAnsi="宋体" w:cs="宋体"/>
        </w:rPr>
      </w:pPr>
      <w:r>
        <w:rPr>
          <w:rFonts w:hint="eastAsia" w:ascii="宋体" w:hAnsi="宋体" w:cs="宋体"/>
        </w:rPr>
      </w:r>
      <w:r/>
    </w:p>
    <w:p>
      <w:pPr>
        <w:ind w:firstLine="1918"/>
        <w:widowControl/>
        <w:rPr>
          <w:rFonts w:hint="eastAsia" w:ascii="宋体" w:hAnsi="宋体" w:cs="宋体"/>
          <w:sz w:val="30"/>
          <w:szCs w:val="30"/>
        </w:rPr>
      </w:pPr>
      <w:r>
        <w:rPr>
          <w:rFonts w:hint="eastAsia" w:ascii="宋体" w:hAnsi="宋体" w:cs="宋体"/>
          <w:b/>
          <w:bCs/>
          <w:sz w:val="30"/>
          <w:szCs w:val="30"/>
        </w:rPr>
        <w:t xml:space="preserve">合同编号：</w:t>
      </w:r>
      <w:r>
        <w:rPr>
          <w:rFonts w:hint="eastAsia" w:ascii="宋体" w:hAnsi="宋体" w:cs="宋体"/>
          <w:b/>
          <w:bCs/>
          <w:sz w:val="30"/>
          <w:szCs w:val="30"/>
          <w:u w:val="single"/>
        </w:rPr>
        <w:t xml:space="preserve">           </w:t>
      </w:r>
      <w:r/>
    </w:p>
    <w:p>
      <w:pPr>
        <w:ind w:firstLine="1918"/>
        <w:widowControl/>
        <w:rPr>
          <w:rFonts w:hint="eastAsia" w:ascii="宋体" w:hAnsi="宋体" w:cs="宋体"/>
          <w:sz w:val="30"/>
          <w:szCs w:val="30"/>
        </w:rPr>
      </w:pPr>
      <w:r>
        <w:rPr>
          <w:rFonts w:hint="eastAsia" w:ascii="宋体" w:hAnsi="宋体" w:cs="宋体"/>
          <w:b/>
          <w:bCs/>
          <w:sz w:val="30"/>
          <w:szCs w:val="30"/>
        </w:rPr>
        <w:t xml:space="preserve">项目名称：</w:t>
      </w:r>
      <w:r>
        <w:rPr>
          <w:rFonts w:hint="eastAsia" w:ascii="宋体" w:hAnsi="宋体" w:cs="宋体"/>
          <w:b/>
          <w:bCs/>
          <w:sz w:val="30"/>
          <w:szCs w:val="30"/>
          <w:u w:val="single"/>
        </w:rPr>
        <w:t xml:space="preserve">           </w:t>
      </w:r>
      <w:r/>
    </w:p>
    <w:p>
      <w:pPr>
        <w:ind w:firstLine="1918"/>
        <w:widowControl/>
        <w:rPr>
          <w:rFonts w:hint="eastAsia" w:ascii="宋体" w:hAnsi="宋体" w:cs="宋体"/>
          <w:sz w:val="30"/>
          <w:szCs w:val="30"/>
        </w:rPr>
      </w:pPr>
      <w:r>
        <w:rPr>
          <w:rFonts w:hint="eastAsia" w:ascii="宋体" w:hAnsi="宋体" w:cs="宋体"/>
          <w:b/>
          <w:bCs/>
          <w:sz w:val="30"/>
          <w:szCs w:val="30"/>
        </w:rPr>
        <w:t xml:space="preserve">采购人（甲方）：</w:t>
      </w:r>
      <w:r>
        <w:rPr>
          <w:rFonts w:hint="eastAsia" w:ascii="宋体" w:hAnsi="宋体" w:cs="宋体"/>
          <w:b/>
          <w:bCs/>
          <w:sz w:val="30"/>
          <w:szCs w:val="30"/>
          <w:u w:val="single"/>
        </w:rPr>
        <w:t xml:space="preserve">        </w:t>
      </w:r>
      <w:r/>
    </w:p>
    <w:p>
      <w:pPr>
        <w:ind w:firstLine="1916"/>
        <w:widowControl/>
        <w:rPr>
          <w:rFonts w:hint="eastAsia" w:ascii="宋体" w:hAnsi="宋体" w:cs="宋体"/>
          <w:sz w:val="30"/>
          <w:szCs w:val="30"/>
        </w:rPr>
      </w:pPr>
      <w:r>
        <w:rPr>
          <w:rFonts w:hint="eastAsia" w:ascii="宋体" w:hAnsi="宋体" w:cs="宋体"/>
          <w:b/>
          <w:bCs/>
          <w:sz w:val="30"/>
          <w:szCs w:val="30"/>
        </w:rPr>
        <w:t xml:space="preserve">供应商（乙方）：</w:t>
      </w:r>
      <w:r>
        <w:rPr>
          <w:rFonts w:hint="eastAsia" w:ascii="宋体" w:hAnsi="宋体" w:cs="宋体"/>
          <w:b/>
          <w:bCs/>
          <w:sz w:val="30"/>
          <w:szCs w:val="30"/>
          <w:u w:val="single"/>
        </w:rPr>
        <w:t xml:space="preserve">        </w:t>
      </w:r>
      <w:r/>
    </w:p>
    <w:p>
      <w:pPr>
        <w:ind w:firstLine="1916"/>
        <w:widowControl/>
        <w:rPr>
          <w:rFonts w:hint="eastAsia" w:ascii="宋体" w:hAnsi="宋体" w:cs="宋体"/>
          <w:sz w:val="30"/>
          <w:szCs w:val="30"/>
        </w:rPr>
      </w:pPr>
      <w:r>
        <w:rPr>
          <w:rFonts w:hint="eastAsia" w:ascii="宋体" w:hAnsi="宋体" w:cs="宋体"/>
          <w:b/>
          <w:bCs/>
          <w:sz w:val="30"/>
          <w:szCs w:val="30"/>
        </w:rPr>
        <w:t xml:space="preserve">签订日期：</w:t>
      </w:r>
      <w:r>
        <w:rPr>
          <w:rFonts w:hint="eastAsia" w:ascii="宋体" w:hAnsi="宋体" w:cs="宋体"/>
          <w:b/>
          <w:bCs/>
          <w:sz w:val="30"/>
          <w:szCs w:val="30"/>
          <w:u w:val="single"/>
        </w:rPr>
        <w:t xml:space="preserve">           </w:t>
      </w:r>
      <w:r/>
    </w:p>
    <w:p>
      <w:pPr>
        <w:jc w:val="left"/>
        <w:rPr>
          <w:rFonts w:hint="eastAsia" w:ascii="宋体" w:hAnsi="宋体" w:cs="宋体"/>
          <w:sz w:val="32"/>
          <w:szCs w:val="32"/>
        </w:rPr>
      </w:pPr>
      <w:r>
        <w:rPr>
          <w:rFonts w:hint="eastAsia" w:ascii="宋体" w:hAnsi="宋体" w:cs="宋体"/>
          <w:sz w:val="32"/>
          <w:szCs w:val="32"/>
        </w:rPr>
      </w:r>
      <w:r/>
    </w:p>
    <w:p>
      <w:pPr>
        <w:ind w:left="-420" w:right="-313" w:firstLine="241"/>
        <w:jc w:val="left"/>
        <w:rPr>
          <w:rFonts w:hint="eastAsia" w:ascii="宋体" w:hAnsi="宋体" w:cs="宋体"/>
          <w:b/>
          <w:bCs/>
          <w:sz w:val="24"/>
          <w:szCs w:val="24"/>
        </w:rPr>
      </w:pPr>
      <w:r>
        <w:rPr>
          <w:rFonts w:hint="eastAsia" w:ascii="宋体" w:hAnsi="宋体" w:cs="宋体"/>
          <w:b/>
          <w:bCs/>
          <w:sz w:val="24"/>
          <w:szCs w:val="24"/>
        </w:rPr>
      </w:r>
      <w:r/>
    </w:p>
    <w:p>
      <w:pPr>
        <w:ind w:left="108" w:firstLine="482"/>
        <w:jc w:val="left"/>
        <w:spacing w:line="480" w:lineRule="exact"/>
        <w:tabs>
          <w:tab w:val="left" w:pos="4785" w:leader="none"/>
        </w:tabs>
        <w:rPr>
          <w:rFonts w:hint="eastAsia" w:ascii="宋体" w:hAnsi="宋体" w:cs="宋体"/>
          <w:b/>
          <w:bCs/>
          <w:i/>
          <w:iCs/>
          <w:sz w:val="24"/>
          <w:szCs w:val="24"/>
        </w:rPr>
        <w:sectPr>
          <w:footerReference w:type="default" r:id="rId13"/>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cs="宋体"/>
          <w:b/>
          <w:bCs/>
          <w:i/>
          <w:iCs/>
          <w:sz w:val="24"/>
          <w:szCs w:val="24"/>
        </w:rPr>
        <w:t xml:space="preserve">注：货物类采购合同参考格式，本合同内容条款在正式签署前可具体补充细化，仅作参考，最终合同以采购人法务审查通过的版本为准。</w:t>
      </w:r>
      <w:r/>
    </w:p>
    <w:p>
      <w:pPr>
        <w:ind w:firstLine="293"/>
        <w:spacing w:line="400" w:lineRule="exact"/>
        <w:rPr>
          <w:rFonts w:hint="eastAsia" w:ascii="宋体" w:hAnsi="宋体" w:cs="宋体"/>
          <w:b/>
          <w:bCs/>
        </w:rPr>
      </w:pPr>
      <w:r>
        <w:rPr>
          <w:rFonts w:hint="eastAsia" w:ascii="宋体" w:hAnsi="宋体" w:cs="宋体"/>
          <w:b/>
          <w:bCs/>
        </w:rPr>
        <w:t xml:space="preserve">甲方：江苏省特种设备安全监督检验研究院</w:t>
      </w:r>
      <w:r/>
    </w:p>
    <w:p>
      <w:pPr>
        <w:ind w:firstLine="293"/>
        <w:spacing w:line="400" w:lineRule="exact"/>
        <w:rPr>
          <w:rFonts w:hint="eastAsia" w:ascii="宋体" w:hAnsi="宋体" w:cs="宋体"/>
          <w:b/>
          <w:bCs/>
        </w:rPr>
      </w:pPr>
      <w:r>
        <w:rPr>
          <w:rFonts w:hint="eastAsia" w:ascii="宋体" w:hAnsi="宋体" w:cs="宋体"/>
          <w:b/>
          <w:bCs/>
        </w:rPr>
        <w:t xml:space="preserve">乙方：</w:t>
      </w:r>
      <w:r/>
    </w:p>
    <w:p>
      <w:pPr>
        <w:ind w:firstLine="293"/>
        <w:spacing w:line="400" w:lineRule="exact"/>
        <w:rPr>
          <w:rFonts w:hint="eastAsia" w:ascii="宋体" w:hAnsi="宋体" w:cs="宋体"/>
          <w:b/>
          <w:bCs/>
        </w:rPr>
      </w:pPr>
      <w:r>
        <w:rPr>
          <w:rFonts w:hint="eastAsia" w:ascii="宋体" w:hAnsi="宋体" w:cs="宋体"/>
          <w:b/>
          <w:bCs/>
        </w:rPr>
        <w:t xml:space="preserve">采购代理机构：</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一、说明：</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受甲方委托，采购代理机构于</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日组织了</w:t>
      </w:r>
      <w:r>
        <w:rPr>
          <w:rFonts w:hint="eastAsia" w:ascii="宋体" w:hAnsi="宋体" w:cs="宋体"/>
          <w:u w:val="single"/>
          <w:lang w:val="en-US" w:eastAsia="zh-CN"/>
        </w:rPr>
        <w:t xml:space="preserve">               </w:t>
      </w:r>
      <w:r>
        <w:rPr>
          <w:rFonts w:hint="eastAsia" w:ascii="宋体" w:hAnsi="宋体" w:cs="宋体"/>
        </w:rPr>
        <w:t xml:space="preserve">采购</w:t>
      </w:r>
      <w:r>
        <w:rPr>
          <w:rFonts w:hint="eastAsia" w:ascii="宋体" w:hAnsi="宋体" w:cs="宋体"/>
          <w:lang w:val="en-US" w:eastAsia="zh-CN"/>
        </w:rPr>
        <w:t xml:space="preserve">分包一（二次）</w:t>
      </w:r>
      <w:r>
        <w:rPr>
          <w:rFonts w:hint="eastAsia" w:ascii="宋体" w:hAnsi="宋体" w:cs="宋体"/>
        </w:rPr>
        <w:t xml:space="preserve">项目（项目编号：</w:t>
      </w:r>
      <w:r>
        <w:rPr>
          <w:rFonts w:hint="eastAsia" w:ascii="宋体" w:hAnsi="宋体" w:cs="宋体"/>
          <w:u w:val="single"/>
        </w:rPr>
        <w:t xml:space="preserve">       </w:t>
      </w:r>
      <w:r>
        <w:rPr>
          <w:rFonts w:hint="eastAsia" w:ascii="宋体" w:hAnsi="宋体" w:cs="宋体"/>
        </w:rPr>
        <w:t xml:space="preserve">）的评审活动，经评委认真严格地评审，确定由乙方成交。</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二、合同条款：</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合同由甲乙双方签订，并依据</w:t>
      </w:r>
      <w:r>
        <w:rPr>
          <w:rFonts w:hint="eastAsia" w:ascii="宋体" w:hAnsi="宋体" w:cs="宋体"/>
          <w:u w:val="single"/>
        </w:rPr>
        <w:t xml:space="preserve">       </w:t>
      </w:r>
      <w:r>
        <w:rPr>
          <w:rFonts w:hint="eastAsia" w:ascii="宋体" w:hAnsi="宋体" w:cs="宋体"/>
        </w:rPr>
        <w:t xml:space="preserve">号招标文件规定，按下列合同条款甲方同意购入，乙方同意出售下列设备及服务。</w:t>
      </w:r>
      <w:r/>
    </w:p>
    <w:p>
      <w:pPr>
        <w:pStyle w:val="1159"/>
        <w:ind w:left="0" w:firstLine="420"/>
        <w:spacing w:line="400" w:lineRule="exact"/>
        <w:tabs>
          <w:tab w:val="left" w:pos="4785" w:leader="none"/>
        </w:tabs>
        <w:rPr>
          <w:rFonts w:hint="eastAsia" w:ascii="宋体" w:hAnsi="宋体" w:cs="宋体"/>
          <w:color w:val="auto"/>
          <w:sz w:val="21"/>
          <w:lang w:eastAsia="zh-CN"/>
        </w:rPr>
      </w:pPr>
      <w:r>
        <w:rPr>
          <w:rFonts w:hint="eastAsia" w:ascii="宋体" w:hAnsi="宋体" w:cs="宋体"/>
          <w:color w:val="auto"/>
          <w:sz w:val="21"/>
          <w:lang w:eastAsia="zh-CN"/>
        </w:rPr>
        <w:t xml:space="preserve">1.设备名称、型号规格、数量及服务内容。</w:t>
      </w:r>
      <w:r/>
    </w:p>
    <w:tbl>
      <w:tblPr>
        <w:tblStyle w:val="10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5"/>
        <w:gridCol w:w="1435"/>
        <w:gridCol w:w="1220"/>
        <w:gridCol w:w="993"/>
        <w:gridCol w:w="889"/>
        <w:gridCol w:w="1517"/>
        <w:gridCol w:w="1444"/>
      </w:tblGrid>
      <w:tr>
        <w:trPr>
          <w:jc w:val="center"/>
          <w:trHeight w:val="19"/>
        </w:trPr>
        <w:tc>
          <w:tcPr>
            <w:tcW w:w="808"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t xml:space="preserve">设备名称</w:t>
            </w:r>
            <w:r/>
          </w:p>
        </w:tc>
        <w:tc>
          <w:tcPr>
            <w:tcW w:w="802"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t xml:space="preserve">品牌</w:t>
            </w:r>
            <w:r/>
          </w:p>
        </w:tc>
        <w:tc>
          <w:tcPr>
            <w:tcW w:w="682"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t xml:space="preserve">型号</w:t>
            </w:r>
            <w:r/>
          </w:p>
        </w:tc>
        <w:tc>
          <w:tcPr>
            <w:tcW w:w="555"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t xml:space="preserve">单位</w:t>
            </w:r>
            <w:r/>
          </w:p>
        </w:tc>
        <w:tc>
          <w:tcPr>
            <w:tcW w:w="497"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t xml:space="preserve">数量</w:t>
            </w:r>
            <w:r/>
          </w:p>
        </w:tc>
        <w:tc>
          <w:tcPr>
            <w:tcW w:w="848"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t xml:space="preserve">单价（元）</w:t>
            </w:r>
            <w:r/>
          </w:p>
        </w:tc>
        <w:tc>
          <w:tcPr>
            <w:tcW w:w="806"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t xml:space="preserve">总价（元）</w:t>
            </w:r>
            <w:r/>
          </w:p>
        </w:tc>
      </w:tr>
      <w:tr>
        <w:trPr>
          <w:jc w:val="center"/>
          <w:trHeight w:val="19"/>
        </w:trPr>
        <w:tc>
          <w:tcPr>
            <w:tcW w:w="808" w:type="pct"/>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r>
            <w:r/>
          </w:p>
        </w:tc>
        <w:tc>
          <w:tcPr>
            <w:tcW w:w="802" w:type="pct"/>
            <w:vAlign w:val="center"/>
            <w:textDirection w:val="lrTb"/>
            <w:noWrap w:val="false"/>
          </w:tcPr>
          <w:p>
            <w:pPr>
              <w:pStyle w:val="1038"/>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682" w:type="pct"/>
            <w:vAlign w:val="center"/>
            <w:textDirection w:val="lrTb"/>
            <w:noWrap w:val="false"/>
          </w:tcPr>
          <w:p>
            <w:pPr>
              <w:pStyle w:val="1038"/>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555"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97" w:type="pct"/>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r>
            <w:r/>
          </w:p>
        </w:tc>
        <w:tc>
          <w:tcPr>
            <w:tcW w:w="848"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806"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r>
            <w:r/>
          </w:p>
        </w:tc>
      </w:tr>
      <w:tr>
        <w:trPr>
          <w:jc w:val="center"/>
          <w:trHeight w:val="19"/>
        </w:trPr>
        <w:tc>
          <w:tcPr>
            <w:tcW w:w="808" w:type="pct"/>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r>
            <w:r/>
          </w:p>
        </w:tc>
        <w:tc>
          <w:tcPr>
            <w:tcW w:w="802"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682" w:type="pct"/>
            <w:vAlign w:val="center"/>
            <w:textDirection w:val="lrTb"/>
            <w:noWrap w:val="false"/>
          </w:tcPr>
          <w:p>
            <w:pPr>
              <w:pStyle w:val="1038"/>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555"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97" w:type="pct"/>
            <w:vAlign w:val="center"/>
            <w:textDirection w:val="lrTb"/>
            <w:noWrap w:val="false"/>
          </w:tcPr>
          <w:p>
            <w:pPr>
              <w:jc w:val="center"/>
              <w:spacing w:line="400" w:lineRule="exact"/>
              <w:rPr>
                <w:rFonts w:hint="eastAsia" w:ascii="宋体" w:hAnsi="宋体" w:cs="宋体"/>
              </w:rPr>
            </w:pPr>
            <w:r>
              <w:rPr>
                <w:rFonts w:hint="eastAsia" w:ascii="宋体" w:hAnsi="宋体" w:cs="宋体"/>
              </w:rPr>
            </w:r>
            <w:r/>
          </w:p>
        </w:tc>
        <w:tc>
          <w:tcPr>
            <w:tcW w:w="848"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806"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r>
            <w:r/>
          </w:p>
        </w:tc>
      </w:tr>
      <w:tr>
        <w:trPr>
          <w:jc w:val="center"/>
          <w:trHeight w:val="19"/>
        </w:trPr>
        <w:tc>
          <w:tcPr>
            <w:tcW w:w="808" w:type="pct"/>
            <w:vAlign w:val="center"/>
            <w:textDirection w:val="lrTb"/>
            <w:noWrap w:val="false"/>
          </w:tcPr>
          <w:p>
            <w:pPr>
              <w:jc w:val="center"/>
              <w:spacing w:line="400" w:lineRule="exact"/>
              <w:widowControl/>
              <w:rPr>
                <w:rFonts w:hint="eastAsia" w:ascii="宋体" w:hAnsi="宋体" w:cs="宋体"/>
                <w:szCs w:val="22"/>
              </w:rPr>
            </w:pPr>
            <w:r>
              <w:rPr>
                <w:rFonts w:hint="eastAsia" w:ascii="宋体" w:hAnsi="宋体" w:cs="宋体"/>
                <w:szCs w:val="22"/>
              </w:rPr>
            </w:r>
            <w:r/>
          </w:p>
        </w:tc>
        <w:tc>
          <w:tcPr>
            <w:tcW w:w="802"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682" w:type="pct"/>
            <w:vAlign w:val="center"/>
            <w:textDirection w:val="lrTb"/>
            <w:noWrap w:val="false"/>
          </w:tcPr>
          <w:p>
            <w:pPr>
              <w:pStyle w:val="1038"/>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555"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97" w:type="pct"/>
            <w:vAlign w:val="center"/>
            <w:textDirection w:val="lrTb"/>
            <w:noWrap w:val="false"/>
          </w:tcPr>
          <w:p>
            <w:pPr>
              <w:jc w:val="center"/>
              <w:spacing w:line="400" w:lineRule="exact"/>
              <w:rPr>
                <w:rFonts w:hint="eastAsia" w:ascii="宋体" w:hAnsi="宋体" w:cs="宋体"/>
              </w:rPr>
            </w:pPr>
            <w:r>
              <w:rPr>
                <w:rFonts w:hint="eastAsia" w:ascii="宋体" w:hAnsi="宋体" w:cs="宋体"/>
              </w:rPr>
            </w:r>
            <w:r/>
          </w:p>
        </w:tc>
        <w:tc>
          <w:tcPr>
            <w:tcW w:w="848"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806"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r>
            <w:r/>
          </w:p>
        </w:tc>
      </w:tr>
      <w:tr>
        <w:trPr>
          <w:jc w:val="center"/>
          <w:trHeight w:val="19"/>
        </w:trPr>
        <w:tc>
          <w:tcPr>
            <w:tcW w:w="808" w:type="pct"/>
            <w:vAlign w:val="center"/>
            <w:textDirection w:val="lrTb"/>
            <w:noWrap w:val="false"/>
          </w:tcPr>
          <w:p>
            <w:pPr>
              <w:jc w:val="center"/>
              <w:spacing w:line="400" w:lineRule="exact"/>
              <w:widowControl/>
              <w:rPr>
                <w:rFonts w:hint="eastAsia" w:ascii="宋体" w:hAnsi="宋体" w:cs="宋体"/>
                <w:szCs w:val="22"/>
              </w:rPr>
            </w:pPr>
            <w:r>
              <w:rPr>
                <w:rFonts w:hint="eastAsia" w:ascii="宋体" w:hAnsi="宋体" w:cs="宋体"/>
                <w:szCs w:val="22"/>
              </w:rPr>
            </w:r>
            <w:r/>
          </w:p>
        </w:tc>
        <w:tc>
          <w:tcPr>
            <w:tcW w:w="802"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682" w:type="pct"/>
            <w:vAlign w:val="center"/>
            <w:textDirection w:val="lrTb"/>
            <w:noWrap w:val="false"/>
          </w:tcPr>
          <w:p>
            <w:pPr>
              <w:pStyle w:val="1038"/>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555"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97" w:type="pct"/>
            <w:vAlign w:val="center"/>
            <w:textDirection w:val="lrTb"/>
            <w:noWrap w:val="false"/>
          </w:tcPr>
          <w:p>
            <w:pPr>
              <w:jc w:val="center"/>
              <w:spacing w:line="400" w:lineRule="exact"/>
              <w:rPr>
                <w:rFonts w:hint="eastAsia" w:ascii="宋体" w:hAnsi="宋体" w:cs="宋体"/>
              </w:rPr>
            </w:pPr>
            <w:r>
              <w:rPr>
                <w:rFonts w:hint="eastAsia" w:ascii="宋体" w:hAnsi="宋体" w:cs="宋体"/>
              </w:rPr>
            </w:r>
            <w:r/>
          </w:p>
        </w:tc>
        <w:tc>
          <w:tcPr>
            <w:tcW w:w="848"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806"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rPr>
            </w:r>
            <w:r/>
          </w:p>
        </w:tc>
      </w:tr>
      <w:tr>
        <w:trPr>
          <w:jc w:val="center"/>
          <w:trHeight w:val="19"/>
        </w:trPr>
        <w:tc>
          <w:tcPr>
            <w:gridSpan w:val="4"/>
            <w:tcW w:w="2847" w:type="pct"/>
            <w:vAlign w:val="center"/>
            <w:textDirection w:val="lrTb"/>
            <w:noWrap w:val="false"/>
          </w:tcPr>
          <w:p>
            <w:pPr>
              <w:pStyle w:val="1038"/>
              <w:ind w:firstLine="0"/>
              <w:jc w:val="center"/>
              <w:spacing w:line="400" w:lineRule="exact"/>
              <w:tabs>
                <w:tab w:val="left" w:pos="-235" w:leader="none"/>
              </w:tabs>
              <w:rPr>
                <w:rFonts w:hint="eastAsia" w:ascii="宋体" w:hAnsi="宋体" w:cs="宋体"/>
              </w:rPr>
            </w:pPr>
            <w:r>
              <w:rPr>
                <w:rFonts w:hint="eastAsia" w:ascii="宋体" w:hAnsi="宋体" w:cs="宋体"/>
                <w:bCs/>
              </w:rPr>
              <w:t xml:space="preserve">合计（元）</w:t>
            </w:r>
            <w:r/>
          </w:p>
        </w:tc>
        <w:tc>
          <w:tcPr>
            <w:gridSpan w:val="3"/>
            <w:tcW w:w="2152" w:type="pct"/>
            <w:vAlign w:val="center"/>
            <w:textDirection w:val="lrTb"/>
            <w:noWrap w:val="false"/>
          </w:tcPr>
          <w:p>
            <w:pPr>
              <w:pStyle w:val="1038"/>
              <w:ind w:firstLine="0"/>
              <w:spacing w:line="400" w:lineRule="exact"/>
              <w:tabs>
                <w:tab w:val="left" w:pos="-235" w:leader="none"/>
              </w:tabs>
              <w:rPr>
                <w:rFonts w:hint="eastAsia" w:ascii="宋体" w:hAnsi="宋体" w:cs="宋体"/>
              </w:rPr>
            </w:pPr>
            <w:r>
              <w:rPr>
                <w:rFonts w:hint="eastAsia" w:ascii="宋体" w:hAnsi="宋体" w:cs="宋体"/>
              </w:rPr>
              <w:t xml:space="preserve">￥</w:t>
            </w:r>
            <w:r/>
          </w:p>
        </w:tc>
      </w:tr>
    </w:tbl>
    <w:p>
      <w:pPr>
        <w:ind w:firstLine="420"/>
        <w:jc w:val="left"/>
        <w:spacing w:line="400" w:lineRule="exact"/>
        <w:tabs>
          <w:tab w:val="left" w:pos="4785" w:leader="none"/>
        </w:tabs>
        <w:rPr>
          <w:rFonts w:hint="eastAsia" w:ascii="宋体" w:hAnsi="宋体" w:cs="宋体"/>
          <w:bCs/>
        </w:rPr>
      </w:pPr>
      <w:r>
        <w:rPr>
          <w:rFonts w:hint="eastAsia" w:ascii="宋体" w:hAnsi="宋体" w:cs="宋体"/>
        </w:rPr>
        <w:t xml:space="preserve">2.合同总价（大写）：</w:t>
      </w:r>
      <w:r>
        <w:rPr>
          <w:rFonts w:hint="eastAsia" w:ascii="宋体" w:hAnsi="宋体" w:cs="宋体"/>
          <w:b/>
          <w:bCs/>
        </w:rPr>
        <w:t xml:space="preserve">人民币</w:t>
      </w:r>
      <w:r>
        <w:rPr>
          <w:rFonts w:hint="eastAsia" w:ascii="宋体" w:hAnsi="宋体" w:cs="宋体"/>
          <w:b/>
          <w:bCs/>
          <w:u w:val="single"/>
        </w:rPr>
        <w:t xml:space="preserve">               </w:t>
      </w:r>
      <w:r>
        <w:rPr>
          <w:rFonts w:hint="eastAsia" w:ascii="宋体" w:hAnsi="宋体" w:cs="宋体"/>
        </w:rPr>
        <w:t xml:space="preserve">。</w:t>
      </w:r>
      <w:r>
        <w:rPr>
          <w:rFonts w:hint="eastAsia" w:ascii="宋体" w:hAnsi="宋体" w:cs="宋体"/>
          <w:bCs/>
        </w:rPr>
        <w:t xml:space="preserve">（含13%增值税）</w:t>
      </w:r>
      <w:r/>
    </w:p>
    <w:p>
      <w:pPr>
        <w:ind w:left="108" w:firstLine="1470"/>
        <w:jc w:val="left"/>
        <w:spacing w:line="400" w:lineRule="exact"/>
        <w:tabs>
          <w:tab w:val="left" w:pos="4785" w:leader="none"/>
        </w:tabs>
        <w:rPr>
          <w:rFonts w:hint="eastAsia" w:ascii="宋体" w:hAnsi="宋体" w:cs="宋体"/>
          <w:bCs/>
        </w:rPr>
      </w:pPr>
      <w:r>
        <w:rPr>
          <w:rFonts w:hint="eastAsia" w:ascii="宋体" w:hAnsi="宋体" w:cs="宋体"/>
          <w:bCs/>
        </w:rPr>
        <w:t xml:space="preserve">（小写）：</w:t>
      </w:r>
      <w:r>
        <w:rPr>
          <w:rFonts w:hint="eastAsia" w:ascii="宋体" w:hAnsi="宋体" w:cs="宋体"/>
          <w:b/>
          <w:bCs/>
        </w:rPr>
        <w:t xml:space="preserve">￥</w:t>
      </w:r>
      <w:r>
        <w:rPr>
          <w:rFonts w:hint="eastAsia" w:ascii="宋体" w:hAnsi="宋体" w:cs="宋体"/>
          <w:b/>
          <w:bCs/>
          <w:u w:val="single"/>
        </w:rPr>
        <w:t xml:space="preserve">       </w:t>
      </w:r>
      <w:r>
        <w:rPr>
          <w:rFonts w:hint="eastAsia" w:ascii="宋体" w:hAnsi="宋体" w:cs="宋体"/>
          <w:b/>
          <w:bCs/>
        </w:rPr>
        <w:t xml:space="preserve">元。</w:t>
      </w:r>
      <w:r/>
    </w:p>
    <w:p>
      <w:pPr>
        <w:ind w:firstLine="420"/>
        <w:spacing w:line="400" w:lineRule="exact"/>
        <w:rPr>
          <w:rFonts w:hint="eastAsia" w:ascii="宋体" w:hAnsi="宋体" w:cs="宋体"/>
        </w:rPr>
      </w:pPr>
      <w:r>
        <w:rPr>
          <w:rFonts w:hint="eastAsia" w:ascii="宋体" w:hAnsi="宋体" w:cs="宋体"/>
        </w:rPr>
        <w:t xml:space="preserve">2.1合同总</w:t>
      </w:r>
      <w:r>
        <w:rPr>
          <w:rFonts w:hint="eastAsia" w:ascii="宋体" w:hAnsi="宋体" w:cs="宋体"/>
          <w:bCs/>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3. 交付使用时间：</w:t>
      </w:r>
      <w:r>
        <w:rPr>
          <w:rFonts w:hint="eastAsia" w:ascii="宋体" w:hAnsi="宋体" w:cs="宋体"/>
          <w:b/>
          <w:u w:val="single"/>
        </w:rPr>
        <w:t xml:space="preserve">合同签订后    日历天内供齐所有货物及服务，完成安装、调试及初步验收。</w:t>
      </w:r>
      <w:r/>
    </w:p>
    <w:p>
      <w:pPr>
        <w:ind w:firstLine="525"/>
        <w:spacing w:line="400" w:lineRule="exact"/>
        <w:rPr>
          <w:rFonts w:hint="eastAsia" w:ascii="宋体" w:hAnsi="宋体" w:cs="宋体"/>
        </w:rPr>
      </w:pPr>
      <w:r>
        <w:rPr>
          <w:rFonts w:hint="eastAsia" w:ascii="宋体" w:hAnsi="宋体" w:cs="宋体"/>
        </w:rPr>
        <w:t xml:space="preserve">4. 收货人：</w:t>
      </w:r>
      <w:r>
        <w:rPr>
          <w:rFonts w:hint="eastAsia" w:ascii="宋体" w:hAnsi="宋体" w:cs="宋体"/>
          <w:b/>
          <w:u w:val="single"/>
        </w:rPr>
        <w:t xml:space="preserve">江苏省特种设备安全监督检验研究院</w:t>
      </w:r>
      <w:r>
        <w:rPr>
          <w:rFonts w:hint="eastAsia" w:ascii="宋体" w:hAnsi="宋体" w:cs="宋体"/>
          <w:u w:val="single"/>
        </w:rPr>
        <w:t xml:space="preserve">。</w:t>
      </w:r>
      <w:r/>
    </w:p>
    <w:p>
      <w:pPr>
        <w:pStyle w:val="1038"/>
        <w:ind w:firstLine="525"/>
        <w:spacing w:line="400" w:lineRule="exact"/>
        <w:tabs>
          <w:tab w:val="left" w:pos="-235" w:leader="none"/>
        </w:tabs>
        <w:rPr>
          <w:rFonts w:hint="eastAsia" w:ascii="宋体" w:hAnsi="宋体" w:cs="宋体"/>
          <w:u w:val="single"/>
        </w:rPr>
      </w:pPr>
      <w:r>
        <w:rPr>
          <w:rFonts w:hint="eastAsia" w:ascii="宋体" w:hAnsi="宋体" w:cs="宋体"/>
        </w:rPr>
        <w:t xml:space="preserve">5. 交货地点：</w:t>
      </w:r>
      <w:r>
        <w:rPr>
          <w:rFonts w:hint="eastAsia" w:ascii="宋体" w:hAnsi="宋体" w:cs="宋体"/>
          <w:b/>
          <w:bCs/>
          <w:u w:val="single"/>
        </w:rPr>
        <w:t xml:space="preserve">甲方指定地点。</w:t>
      </w:r>
      <w:r/>
    </w:p>
    <w:p>
      <w:pPr>
        <w:pStyle w:val="1038"/>
        <w:ind w:firstLine="525"/>
        <w:spacing w:line="400" w:lineRule="exact"/>
        <w:tabs>
          <w:tab w:val="left" w:pos="-235" w:leader="none"/>
        </w:tabs>
        <w:rPr>
          <w:rFonts w:hint="eastAsia" w:ascii="宋体" w:hAnsi="宋体" w:cs="宋体"/>
          <w:u w:val="single"/>
        </w:rPr>
      </w:pPr>
      <w:r>
        <w:rPr>
          <w:rFonts w:hint="eastAsia" w:ascii="宋体" w:hAnsi="宋体" w:cs="宋体"/>
        </w:rPr>
        <w:t xml:space="preserve">6. 设备的制造应符合下列标准或规范并据此验收：</w:t>
      </w:r>
      <w:r>
        <w:rPr>
          <w:rFonts w:hint="eastAsia" w:ascii="宋体" w:hAnsi="宋体" w:cs="宋体"/>
          <w:b/>
          <w:bCs/>
          <w:u w:val="single"/>
        </w:rPr>
        <w:t xml:space="preserve">招标文件、投标文件、双方签订的技术协议和国家的相关标准。</w:t>
      </w:r>
      <w:r>
        <w:rPr>
          <w:rFonts w:hint="eastAsia" w:ascii="宋体" w:hAnsi="宋体" w:cs="宋体"/>
        </w:rPr>
        <w:t xml:space="preserve">（上述标准或规范不一致时，则以要求较高者为准。）</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7. 包装要求：全部货物的外包装，必须采用防漏、防潮、防震、防锈、防盗和考虑到可能会发生的野蛮装卸等长途内陆运输及多次装卸之需要。</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8.2履约保函</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（1）履约保函金额：合同总价10%；</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（2）履约保函的形式：乙方应当以支票、汇票、本票或者金融机构、担保机构出具的保函等非现金形式提交；</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（3）履约保函的退还：在设备通过甲方验收合格且满12个月无质量问题后的15个工作日内，甲方将无息退还乙方的履约保函；</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（4）逾期退还履约保函的处理：甲方未按照规定退还履约保函的（因乙方自身原因导致无法及时退还的除外），由财政部门依照《中华人民共和国政府采购法》等有关规定处理；</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2"/>
        </w:num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交付和验收</w:t>
      </w:r>
      <w:r/>
    </w:p>
    <w:p>
      <w:pPr>
        <w:ind w:firstLine="630"/>
        <w:jc w:val="left"/>
        <w:spacing w:line="400" w:lineRule="exact"/>
        <w:rPr>
          <w:rFonts w:hint="eastAsia" w:ascii="宋体" w:hAnsi="宋体" w:cs="宋体"/>
        </w:rPr>
      </w:pPr>
      <w:r>
        <w:rPr>
          <w:rFonts w:hint="eastAsia" w:ascii="宋体" w:hAnsi="宋体" w:cs="宋体"/>
        </w:rPr>
        <w:t xml:space="preserve">9.1乙方应当在合同签订后，根据招标文件及投标文件的要求完成服务事项。</w:t>
      </w:r>
      <w:r/>
    </w:p>
    <w:p>
      <w:pPr>
        <w:ind w:firstLine="630"/>
        <w:jc w:val="left"/>
        <w:spacing w:line="400" w:lineRule="exact"/>
        <w:rPr>
          <w:rFonts w:hint="eastAsia" w:ascii="宋体" w:hAnsi="宋体" w:cs="宋体"/>
        </w:rPr>
      </w:pPr>
      <w:r>
        <w:rPr>
          <w:rFonts w:hint="eastAsia" w:ascii="宋体" w:hAnsi="宋体" w:cs="宋体"/>
        </w:rPr>
        <w:t xml:space="preserve">9.2验收标准：按行业通行标准和乙方投标文件的承诺（不低于国家相关标准）。</w:t>
      </w:r>
      <w:r/>
    </w:p>
    <w:p>
      <w:pPr>
        <w:ind w:firstLine="630"/>
        <w:jc w:val="left"/>
        <w:spacing w:line="400" w:lineRule="exact"/>
        <w:rPr>
          <w:rFonts w:hint="eastAsia" w:ascii="宋体" w:hAnsi="宋体" w:cs="宋体"/>
        </w:rPr>
      </w:pPr>
      <w:r>
        <w:rPr>
          <w:rFonts w:hint="eastAsia" w:ascii="宋体" w:hAnsi="宋体" w:cs="宋体"/>
        </w:rPr>
        <w:t xml:space="preserve">9.3验收方式：所提供的设备（含服务）符合招标文件及投标文件、双方签订的技术协议和国家的相关标准，综合验收合格后，经甲方项目负责人确认填写项目验收报告。</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10. 质保期及售后服务</w:t>
      </w:r>
      <w:r/>
    </w:p>
    <w:p>
      <w:pPr>
        <w:ind w:left="108" w:firstLine="420"/>
        <w:jc w:val="left"/>
        <w:spacing w:line="400" w:lineRule="exact"/>
        <w:tabs>
          <w:tab w:val="left" w:pos="4785" w:leader="none"/>
        </w:tabs>
        <w:rPr>
          <w:rFonts w:hint="eastAsia" w:ascii="宋体" w:hAnsi="宋体" w:cs="宋体"/>
          <w:b/>
          <w:bCs/>
        </w:rPr>
      </w:pPr>
      <w:r>
        <w:rPr>
          <w:rFonts w:hint="eastAsia" w:ascii="宋体" w:hAnsi="宋体" w:cs="宋体"/>
        </w:rPr>
        <w:t xml:space="preserve">10.1 乙方所供设备、材料及安装的质量保证期：</w:t>
      </w:r>
      <w:r>
        <w:rPr>
          <w:rFonts w:hint="eastAsia" w:ascii="宋体" w:hAnsi="宋体" w:cs="宋体"/>
          <w:b/>
          <w:bCs/>
          <w:u w:val="single"/>
        </w:rPr>
        <w:t xml:space="preserve">安装验收合格后  年。</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10.3 在质保期内，因甲方使用不当原因出现设备故障时，乙方在接到甲方通知后，应在10.2条款中所述的时限内响应并派</w:t>
      </w:r>
      <w:r>
        <w:rPr>
          <w:rFonts w:hint="eastAsia" w:ascii="宋体" w:hAnsi="宋体" w:cs="宋体"/>
        </w:rPr>
        <w:t xml:space="preserve">设备厂家工程师</w:t>
      </w:r>
      <w:r>
        <w:rPr>
          <w:rFonts w:hint="eastAsia" w:ascii="宋体" w:hAnsi="宋体" w:cs="宋体"/>
        </w:rPr>
        <w:t xml:space="preserve">赶到甲方现场，帮助排除故障、修复或更换零部件，需购买零部件时，仅收取成本费。</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10.4 质保期满后，如设备出现故障，</w:t>
      </w:r>
      <w:r>
        <w:rPr>
          <w:rFonts w:hint="eastAsia" w:ascii="宋体" w:hAnsi="宋体" w:cs="宋体"/>
        </w:rPr>
        <w:t xml:space="preserve">乙方</w:t>
      </w:r>
      <w:r>
        <w:rPr>
          <w:rFonts w:hint="eastAsia" w:ascii="宋体" w:hAnsi="宋体" w:cs="宋体"/>
        </w:rPr>
        <w:t xml:space="preserve">在接到甲方通知后，仍应在上述时限内响应、派</w:t>
      </w:r>
      <w:r>
        <w:rPr>
          <w:rFonts w:hint="eastAsia" w:ascii="宋体" w:hAnsi="宋体" w:cs="宋体"/>
        </w:rPr>
        <w:t xml:space="preserve">设备厂家工程师</w:t>
      </w:r>
      <w:r>
        <w:rPr>
          <w:rFonts w:hint="eastAsia" w:ascii="宋体" w:hAnsi="宋体" w:cs="宋体"/>
        </w:rPr>
        <w:t xml:space="preserve">赶到甲方现场，帮助排除故障、修复或更换零部件，需购买零部件时，酌情收取成本费。</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11. 技术资料</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按第四章技术规格、参数及其他要求中的要求提供相关资料（见附件）。</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12.货物风险承担</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12.1乙方应当按照甲方指定的地点交货，需要运输的货物，乙方应当妥善保障货物在运输过程中的安全。</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12.2乙方将货物运输至甲方指定的地点后，应当及时通知甲方进行接收，由甲方进行检验。</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12.3在货物验收合格之前毁损、灭失的风险由乙方承担，因甲方原因造成货物毁损、灭失的除外。</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 乙方的违约责任</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13.1乙方未按合同规定的质量要求交货，甲方有权拒收，由此造成的直接损失和间接损失由乙方承担。</w:t>
      </w:r>
      <w:r/>
    </w:p>
    <w:p>
      <w:pPr>
        <w:ind w:firstLine="420"/>
        <w:jc w:val="left"/>
        <w:spacing w:line="400" w:lineRule="exact"/>
        <w:widowControl/>
        <w:rPr>
          <w:rFonts w:hint="eastAsia" w:ascii="宋体" w:hAnsi="宋体" w:cs="宋体"/>
        </w:rPr>
      </w:pPr>
      <w:r>
        <w:rPr>
          <w:rFonts w:hint="eastAsia" w:ascii="宋体" w:hAnsi="宋体" w:cs="宋体"/>
        </w:rPr>
        <w:t xml:space="preserve">13.2</w:t>
      </w:r>
      <w:r>
        <w:rPr>
          <w:rFonts w:hint="eastAsia" w:ascii="宋体" w:hAnsi="宋体" w:cs="宋体"/>
        </w:rPr>
        <w:t xml:space="preserve">乙方逾期交付的，每逾期1天，乙方应向甲方支付合同总价款的5‰的逾期违约金。</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13.3货物有合格证及说明书等资料的，在交付货物时，乙方应当一并交付合格证及说明书等资料，未交付的甲方有权拒绝接收。因此造成的损失由乙方承担。</w:t>
      </w:r>
      <w:r/>
    </w:p>
    <w:p>
      <w:pPr>
        <w:ind w:firstLine="420"/>
        <w:spacing w:line="400" w:lineRule="exact"/>
        <w:tabs>
          <w:tab w:val="left" w:pos="4785" w:leader="none"/>
        </w:tabs>
        <w:rPr>
          <w:rFonts w:hint="eastAsia" w:ascii="宋体" w:hAnsi="宋体" w:cs="宋体"/>
        </w:rPr>
      </w:pPr>
      <w:r>
        <w:rPr>
          <w:rFonts w:hint="eastAsia" w:ascii="宋体" w:hAnsi="宋体" w:cs="宋体"/>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rPr>
        <w:t xml:space="preserve">。</w:t>
      </w:r>
      <w:r/>
    </w:p>
    <w:p>
      <w:pPr>
        <w:ind w:firstLine="420"/>
        <w:jc w:val="left"/>
        <w:spacing w:line="400" w:lineRule="exact"/>
        <w:widowControl/>
        <w:rPr>
          <w:rFonts w:hint="eastAsia" w:ascii="宋体" w:hAnsi="宋体" w:cs="宋体"/>
        </w:rPr>
      </w:pPr>
      <w:r>
        <w:rPr>
          <w:rFonts w:hint="eastAsia" w:ascii="宋体" w:hAnsi="宋体" w:cs="宋体"/>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400" w:lineRule="exact"/>
        <w:widowControl/>
        <w:rPr>
          <w:rFonts w:hint="eastAsia" w:ascii="宋体" w:hAnsi="宋体" w:cs="宋体"/>
        </w:rPr>
      </w:pPr>
      <w:r>
        <w:rPr>
          <w:rFonts w:hint="eastAsia" w:ascii="宋体" w:hAnsi="宋体" w:cs="宋体"/>
        </w:rPr>
        <w:t xml:space="preserve">13.7</w:t>
      </w:r>
      <w:r>
        <w:rPr>
          <w:rFonts w:hint="eastAsia" w:ascii="宋体" w:hAnsi="宋体" w:cs="宋体"/>
        </w:rPr>
        <w:t xml:space="preserve">乙方所交付的货物或服务不符合合同规定的，甲方有权拒收。甲方拒收的，乙方应向甲方支付违约金</w:t>
      </w:r>
      <w:bookmarkStart w:id="172" w:name="OLE_LINK8"/>
      <w:r>
        <w:rPr>
          <w:rFonts w:hint="eastAsia" w:ascii="宋体" w:hAnsi="宋体" w:cs="宋体"/>
        </w:rPr>
        <w:t xml:space="preserve">（违约金标准：合同金额50万（含）以下的违约金按照合同总价款的20%计算，合同金额50万至100万（含）的违约金按照合同总价款的10%计算，合同金额超过100万元的违约金按照合同总价款的5%计算）</w:t>
      </w:r>
      <w:bookmarkEnd w:id="172"/>
      <w:r>
        <w:rPr>
          <w:rFonts w:hint="eastAsia" w:ascii="宋体" w:hAnsi="宋体" w:cs="宋体"/>
        </w:rPr>
        <w:t xml:space="preserve">。甲方未拒收的，采购代理机构发现后将向有关部门反映，并责成乙方按照采购结果提供服务。</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13.8乙方履行义务不符合合同约定时，甲方将扣减合同总价款10%的尾款，同时甲方有权按照本合同的约定追究乙方的违约责任。</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rPr>
        <w:tab/>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14.甲方的违约责任</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14.1甲方未按合同规定的时间和要求向乙方提供技术资料等，乙方交付时间顺延。</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16. 乙方在设备安装、调试、验收过程中，甲方提供下列条件和配合，超出下列范围的由乙方自理：</w:t>
      </w:r>
      <w:r>
        <w:rPr>
          <w:rFonts w:hint="eastAsia" w:ascii="宋体" w:hAnsi="宋体" w:cs="宋体"/>
          <w:u w:val="single"/>
        </w:rPr>
        <w:t xml:space="preserve">无</w:t>
      </w:r>
      <w:r>
        <w:rPr>
          <w:rFonts w:hint="eastAsia" w:ascii="宋体" w:hAnsi="宋体" w:cs="宋体"/>
        </w:rPr>
        <w:t xml:space="preserve">。</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lang w:val="zh-CN"/>
        </w:rPr>
        <w:t xml:space="preserve">甲方为解决纠纷支付的律师费、诉讼费、差旅费等合理费用</w:t>
      </w:r>
      <w:r>
        <w:rPr>
          <w:rFonts w:hint="eastAsia" w:ascii="宋体" w:hAnsi="宋体" w:cs="宋体"/>
        </w:rPr>
        <w:t xml:space="preserve">。</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三、合同的变更和终止</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1、除《政府采购法》第50条第二款规定的情形外，本合同一经签订，甲乙双方不得擅自变更、中止或终止合同。</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2、除发生法律规定的不能预见、不能避免并不能克服的客观情况外，甲乙双方不得放弃或拒绝履行合同。</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400" w:lineRule="exact"/>
        <w:tabs>
          <w:tab w:val="left" w:pos="4785" w:leader="none"/>
        </w:tabs>
        <w:rPr>
          <w:rFonts w:hint="eastAsia" w:ascii="宋体" w:hAnsi="宋体" w:cs="宋体"/>
        </w:rPr>
      </w:pPr>
      <w:r/>
      <w:bookmarkStart w:id="173" w:name="_Toc19018"/>
      <w:r>
        <w:rPr>
          <w:rFonts w:hint="eastAsia" w:ascii="宋体" w:hAnsi="宋体" w:cs="宋体"/>
        </w:rPr>
        <w:t xml:space="preserve">四、合同权利义务的转让</w:t>
      </w:r>
      <w:bookmarkEnd w:id="173"/>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五、货物、服务的购买或租赁权利瑕疵</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乙方应保证提供的货物、设备或服务不存在所有权、抵押权、使用权、知识产权等权利瑕疵。</w:t>
      </w:r>
      <w:r/>
    </w:p>
    <w:p>
      <w:pPr>
        <w:ind w:firstLine="420"/>
        <w:jc w:val="left"/>
        <w:spacing w:line="400" w:lineRule="exact"/>
        <w:tabs>
          <w:tab w:val="left" w:pos="4785" w:leader="none"/>
        </w:tabs>
        <w:rPr>
          <w:rFonts w:hint="eastAsia" w:ascii="宋体" w:hAnsi="宋体" w:cs="宋体"/>
        </w:rPr>
      </w:pPr>
      <w:r/>
      <w:bookmarkStart w:id="174" w:name="_Toc30322"/>
      <w:r>
        <w:rPr>
          <w:rFonts w:hint="eastAsia" w:ascii="宋体" w:hAnsi="宋体" w:cs="宋体"/>
        </w:rPr>
        <w:t xml:space="preserve">六、争议解决条款</w:t>
      </w:r>
      <w:bookmarkEnd w:id="174"/>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400" w:lineRule="exact"/>
        <w:tabs>
          <w:tab w:val="left" w:pos="4785" w:leader="none"/>
        </w:tabs>
        <w:rPr>
          <w:rFonts w:hint="eastAsia" w:ascii="宋体" w:hAnsi="宋体" w:cs="宋体"/>
        </w:rPr>
      </w:pPr>
      <w:r/>
      <w:bookmarkStart w:id="175" w:name="_Toc20895"/>
      <w:r>
        <w:rPr>
          <w:rFonts w:hint="eastAsia" w:ascii="宋体" w:hAnsi="宋体" w:cs="宋体"/>
        </w:rPr>
        <w:t xml:space="preserve">七、</w:t>
      </w:r>
      <w:bookmarkEnd w:id="175"/>
      <w:r>
        <w:rPr>
          <w:rFonts w:hint="eastAsia" w:ascii="宋体" w:hAnsi="宋体" w:cs="宋体"/>
        </w:rPr>
        <w:t xml:space="preserve">廉洁条款</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八、保密条款</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1067"/>
        <w:ind w:firstLine="420"/>
        <w:spacing w:before="0" w:beforeAutospacing="0" w:after="0" w:afterAutospacing="0" w:line="400" w:lineRule="exact"/>
        <w:rPr>
          <w:rFonts w:hint="eastAsia"/>
          <w:sz w:val="21"/>
          <w:szCs w:val="21"/>
        </w:rPr>
      </w:pPr>
      <w:r>
        <w:rPr>
          <w:rFonts w:hint="eastAsia"/>
          <w:sz w:val="21"/>
          <w:szCs w:val="21"/>
        </w:rPr>
        <w:t xml:space="preserve">九、不可抗力</w:t>
      </w:r>
      <w:r/>
    </w:p>
    <w:p>
      <w:pPr>
        <w:pStyle w:val="1067"/>
        <w:ind w:firstLine="420"/>
        <w:spacing w:before="0" w:beforeAutospacing="0" w:after="0" w:afterAutospacing="0" w:line="400" w:lineRule="exact"/>
        <w:rPr>
          <w:rFonts w:hint="eastAsia"/>
          <w:sz w:val="21"/>
          <w:szCs w:val="21"/>
        </w:rPr>
      </w:pPr>
      <w:r>
        <w:rPr>
          <w:rFonts w:hint="eastAsia"/>
          <w:sz w:val="21"/>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十、送达条款</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1067"/>
        <w:ind w:firstLine="420"/>
        <w:spacing w:before="0" w:beforeAutospacing="0" w:after="0" w:afterAutospacing="0" w:line="400" w:lineRule="exact"/>
        <w:rPr>
          <w:rFonts w:hint="eastAsia"/>
          <w:sz w:val="21"/>
          <w:szCs w:val="21"/>
        </w:rPr>
      </w:pPr>
      <w:r>
        <w:rPr>
          <w:rFonts w:hint="eastAsia"/>
          <w:sz w:val="21"/>
          <w:szCs w:val="21"/>
        </w:rPr>
        <w:t xml:space="preserve">十一、其他</w:t>
      </w:r>
      <w:r/>
    </w:p>
    <w:p>
      <w:pPr>
        <w:pStyle w:val="1067"/>
        <w:ind w:firstLine="420"/>
        <w:spacing w:before="0" w:beforeAutospacing="0" w:after="0" w:afterAutospacing="0" w:line="400" w:lineRule="exact"/>
        <w:rPr>
          <w:rFonts w:hint="eastAsia"/>
          <w:sz w:val="21"/>
          <w:szCs w:val="21"/>
        </w:rPr>
      </w:pPr>
      <w:r>
        <w:rPr>
          <w:rFonts w:hint="eastAsia"/>
          <w:sz w:val="21"/>
          <w:szCs w:val="21"/>
        </w:rPr>
        <w:t xml:space="preserve">11.1、合同的生效：本合同一式陆份，自甲乙双方签字并加盖骑缝章之日起生效。</w:t>
      </w:r>
      <w:r/>
    </w:p>
    <w:p>
      <w:pPr>
        <w:pStyle w:val="1067"/>
        <w:ind w:firstLine="420"/>
        <w:spacing w:before="0" w:beforeAutospacing="0" w:after="0" w:afterAutospacing="0" w:line="400" w:lineRule="exact"/>
        <w:rPr>
          <w:rFonts w:hint="eastAsia"/>
          <w:sz w:val="21"/>
          <w:szCs w:val="21"/>
        </w:rPr>
      </w:pPr>
      <w:r>
        <w:rPr>
          <w:rFonts w:hint="eastAsia"/>
          <w:sz w:val="21"/>
          <w:szCs w:val="21"/>
        </w:rPr>
        <w:t xml:space="preserve">11.2、未尽事宜、双方协商解决，并按《中华人民共和国民法典》及相关法律、法规的规定调整。</w:t>
      </w:r>
      <w:r/>
    </w:p>
    <w:p>
      <w:pPr>
        <w:pStyle w:val="1067"/>
        <w:ind w:firstLine="420"/>
        <w:spacing w:before="0" w:beforeAutospacing="0" w:after="0" w:afterAutospacing="0" w:line="400" w:lineRule="exact"/>
        <w:rPr>
          <w:rFonts w:hint="eastAsia"/>
          <w:sz w:val="21"/>
          <w:szCs w:val="21"/>
        </w:rPr>
      </w:pPr>
      <w:r>
        <w:rPr>
          <w:rFonts w:hint="eastAsia"/>
          <w:sz w:val="21"/>
          <w:szCs w:val="21"/>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tbl>
      <w:tblPr>
        <w:tblStyle w:val="1037"/>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spacing w:line="400" w:lineRule="exact"/>
              <w:rPr>
                <w:rFonts w:hint="eastAsia" w:ascii="宋体" w:hAnsi="宋体" w:cs="宋体"/>
              </w:rPr>
            </w:pPr>
            <w:r>
              <w:rPr>
                <w:rFonts w:hint="eastAsia" w:ascii="宋体" w:hAnsi="宋体" w:cs="宋体"/>
              </w:rPr>
              <w:t xml:space="preserve">甲方（盖章）：</w:t>
            </w:r>
            <w:r/>
          </w:p>
          <w:p>
            <w:pPr>
              <w:spacing w:line="400" w:lineRule="exact"/>
              <w:rPr>
                <w:rFonts w:hint="eastAsia" w:ascii="宋体" w:hAnsi="宋体" w:cs="宋体"/>
              </w:rPr>
            </w:pPr>
            <w:r>
              <w:rPr>
                <w:rFonts w:hint="eastAsia" w:ascii="宋体" w:hAnsi="宋体" w:cs="宋体"/>
              </w:rPr>
              <w:t xml:space="preserve">单位名称：江苏省特种设备安全监督检验研究院</w:t>
            </w:r>
            <w:r/>
          </w:p>
          <w:p>
            <w:pPr>
              <w:spacing w:line="400" w:lineRule="exact"/>
              <w:rPr>
                <w:rFonts w:hint="eastAsia" w:ascii="宋体" w:hAnsi="宋体" w:cs="宋体"/>
              </w:rPr>
            </w:pPr>
            <w:r>
              <w:rPr>
                <w:rFonts w:hint="eastAsia" w:ascii="宋体" w:hAnsi="宋体" w:cs="宋体"/>
              </w:rPr>
              <w:t xml:space="preserve">单位地址：江苏省南京市鼓楼区草场门大街107号龙江大厦</w:t>
            </w:r>
            <w:r/>
          </w:p>
          <w:p>
            <w:pPr>
              <w:spacing w:line="400" w:lineRule="exact"/>
              <w:rPr>
                <w:rFonts w:hint="eastAsia" w:ascii="宋体" w:hAnsi="宋体" w:cs="宋体"/>
              </w:rPr>
            </w:pPr>
            <w:r>
              <w:rPr>
                <w:rFonts w:hint="eastAsia" w:ascii="宋体" w:hAnsi="宋体" w:cs="宋体"/>
              </w:rPr>
              <w:t xml:space="preserve">法定代表人：</w:t>
            </w:r>
            <w:r/>
          </w:p>
          <w:p>
            <w:pPr>
              <w:spacing w:line="400" w:lineRule="exact"/>
              <w:rPr>
                <w:rFonts w:hint="eastAsia" w:ascii="宋体" w:hAnsi="宋体" w:cs="宋体"/>
              </w:rPr>
            </w:pPr>
            <w:r>
              <w:rPr>
                <w:rFonts w:hint="eastAsia" w:ascii="宋体" w:hAnsi="宋体" w:cs="宋体"/>
              </w:rPr>
              <w:t xml:space="preserve">委托代理人（签字）：</w:t>
            </w:r>
            <w:r/>
          </w:p>
          <w:p>
            <w:pPr>
              <w:spacing w:line="400" w:lineRule="exact"/>
              <w:rPr>
                <w:rFonts w:hint="eastAsia" w:ascii="宋体" w:hAnsi="宋体" w:cs="宋体"/>
              </w:rPr>
            </w:pPr>
            <w:r>
              <w:rPr>
                <w:rFonts w:hint="eastAsia" w:ascii="宋体" w:hAnsi="宋体" w:cs="宋体"/>
              </w:rPr>
              <w:t xml:space="preserve">联系方式：</w:t>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t xml:space="preserve">签订日期：  年  月  日</w:t>
            </w:r>
            <w:r/>
          </w:p>
        </w:tc>
        <w:tc>
          <w:tcPr>
            <w:tcW w:w="4684" w:type="dxa"/>
            <w:textDirection w:val="lrTb"/>
            <w:noWrap w:val="false"/>
          </w:tcPr>
          <w:p>
            <w:pPr>
              <w:spacing w:line="400" w:lineRule="exact"/>
              <w:rPr>
                <w:rFonts w:hint="eastAsia" w:ascii="宋体" w:hAnsi="宋体" w:cs="宋体"/>
              </w:rPr>
            </w:pPr>
            <w:r>
              <w:rPr>
                <w:rFonts w:hint="eastAsia" w:ascii="宋体" w:hAnsi="宋体" w:cs="宋体"/>
              </w:rPr>
              <w:t xml:space="preserve">乙方（盖章）：</w:t>
            </w:r>
            <w:r/>
          </w:p>
          <w:p>
            <w:pPr>
              <w:spacing w:line="400" w:lineRule="exact"/>
              <w:rPr>
                <w:rFonts w:hint="eastAsia" w:ascii="宋体" w:hAnsi="宋体" w:cs="宋体"/>
              </w:rPr>
            </w:pPr>
            <w:r>
              <w:rPr>
                <w:rFonts w:hint="eastAsia" w:ascii="宋体" w:hAnsi="宋体" w:cs="宋体"/>
              </w:rPr>
              <w:t xml:space="preserve">单位名称：</w:t>
            </w:r>
            <w:r/>
          </w:p>
          <w:p>
            <w:pPr>
              <w:spacing w:line="400" w:lineRule="exact"/>
              <w:rPr>
                <w:rFonts w:hint="eastAsia" w:ascii="宋体" w:hAnsi="宋体" w:cs="宋体"/>
              </w:rPr>
            </w:pPr>
            <w:r>
              <w:rPr>
                <w:rFonts w:hint="eastAsia" w:ascii="宋体" w:hAnsi="宋体" w:cs="宋体"/>
              </w:rPr>
              <w:t xml:space="preserve">单位地址：</w:t>
            </w:r>
            <w:r/>
          </w:p>
          <w:p>
            <w:pPr>
              <w:spacing w:line="400" w:lineRule="exact"/>
              <w:rPr>
                <w:rFonts w:hint="eastAsia" w:ascii="宋体" w:hAnsi="宋体" w:cs="宋体"/>
              </w:rPr>
            </w:pPr>
            <w:r>
              <w:rPr>
                <w:rFonts w:hint="eastAsia" w:ascii="宋体" w:hAnsi="宋体" w:cs="宋体"/>
              </w:rPr>
              <w:t xml:space="preserve">法定代表人：</w:t>
            </w:r>
            <w:r/>
          </w:p>
          <w:p>
            <w:pPr>
              <w:spacing w:line="400" w:lineRule="exact"/>
              <w:rPr>
                <w:rFonts w:hint="eastAsia" w:ascii="宋体" w:hAnsi="宋体" w:cs="宋体"/>
              </w:rPr>
            </w:pPr>
            <w:r>
              <w:rPr>
                <w:rFonts w:hint="eastAsia" w:ascii="宋体" w:hAnsi="宋体" w:cs="宋体"/>
              </w:rPr>
              <w:t xml:space="preserve">委托代理人（签字）：</w:t>
            </w:r>
            <w:r/>
          </w:p>
          <w:p>
            <w:pPr>
              <w:spacing w:line="400" w:lineRule="exact"/>
              <w:rPr>
                <w:rFonts w:hint="eastAsia" w:ascii="宋体" w:hAnsi="宋体" w:cs="宋体"/>
              </w:rPr>
            </w:pPr>
            <w:r>
              <w:rPr>
                <w:rFonts w:hint="eastAsia" w:ascii="宋体" w:hAnsi="宋体" w:cs="宋体"/>
              </w:rPr>
              <w:t xml:space="preserve">电话：</w:t>
            </w:r>
            <w:r/>
          </w:p>
          <w:p>
            <w:pPr>
              <w:spacing w:line="400" w:lineRule="exact"/>
              <w:rPr>
                <w:rFonts w:hint="eastAsia" w:ascii="宋体" w:hAnsi="宋体" w:cs="宋体"/>
              </w:rPr>
            </w:pPr>
            <w:r>
              <w:rPr>
                <w:rFonts w:hint="eastAsia" w:ascii="宋体" w:hAnsi="宋体" w:cs="宋体"/>
              </w:rPr>
              <w:t xml:space="preserve">传真：</w:t>
            </w:r>
            <w:r/>
          </w:p>
          <w:p>
            <w:pPr>
              <w:spacing w:line="400" w:lineRule="exact"/>
              <w:rPr>
                <w:rFonts w:hint="eastAsia" w:ascii="宋体" w:hAnsi="宋体" w:cs="宋体"/>
              </w:rPr>
            </w:pPr>
            <w:r>
              <w:rPr>
                <w:rFonts w:hint="eastAsia" w:ascii="宋体" w:hAnsi="宋体" w:cs="宋体"/>
              </w:rPr>
              <w:t xml:space="preserve">开户银行：</w:t>
            </w:r>
            <w:r/>
          </w:p>
          <w:p>
            <w:pPr>
              <w:spacing w:line="400" w:lineRule="exact"/>
              <w:rPr>
                <w:rFonts w:hint="eastAsia" w:ascii="宋体" w:hAnsi="宋体" w:cs="宋体"/>
              </w:rPr>
            </w:pPr>
            <w:r>
              <w:rPr>
                <w:rFonts w:hint="eastAsia" w:ascii="宋体" w:hAnsi="宋体" w:cs="宋体"/>
              </w:rPr>
              <w:t xml:space="preserve">帐号：</w:t>
            </w:r>
            <w:r/>
          </w:p>
          <w:p>
            <w:pPr>
              <w:spacing w:line="400" w:lineRule="exact"/>
              <w:rPr>
                <w:rFonts w:hint="eastAsia" w:ascii="宋体" w:hAnsi="宋体" w:cs="宋体"/>
              </w:rPr>
            </w:pPr>
            <w:r>
              <w:rPr>
                <w:rFonts w:hint="eastAsia" w:ascii="宋体" w:hAnsi="宋体" w:cs="宋体"/>
              </w:rPr>
              <w:t xml:space="preserve">税号：</w:t>
            </w:r>
            <w:r/>
          </w:p>
          <w:p>
            <w:pPr>
              <w:spacing w:line="400" w:lineRule="exact"/>
              <w:rPr>
                <w:rFonts w:hint="eastAsia" w:ascii="宋体" w:hAnsi="宋体" w:cs="宋体"/>
              </w:rPr>
            </w:pPr>
            <w:r>
              <w:rPr>
                <w:rFonts w:hint="eastAsia" w:ascii="宋体" w:hAnsi="宋体" w:cs="宋体"/>
              </w:rPr>
              <w:t xml:space="preserve">签订日期：  年  月  日</w:t>
            </w:r>
            <w:r/>
          </w:p>
        </w:tc>
      </w:tr>
    </w:tbl>
    <w:p>
      <w:pPr>
        <w:spacing w:before="120" w:after="120" w:line="0" w:lineRule="atLeast"/>
        <w:rPr>
          <w:rFonts w:ascii="黑体" w:hAnsi="Courier New" w:eastAsia="黑体" w:cs="Courier New"/>
          <w:bCs/>
          <w:color w:val="000000"/>
          <w:sz w:val="44"/>
        </w:rPr>
      </w:pPr>
      <w:r>
        <w:rPr>
          <w:rFonts w:ascii="黑体" w:hAnsi="Courier New" w:eastAsia="黑体" w:cs="Courier New"/>
          <w:bCs/>
          <w:color w:val="000000"/>
          <w:sz w:val="44"/>
        </w:rPr>
      </w:r>
      <w:r/>
    </w:p>
    <w:p>
      <w:pPr>
        <w:jc w:val="center"/>
        <w:spacing w:line="560" w:lineRule="exact"/>
        <w:rPr>
          <w:sz w:val="24"/>
          <w:szCs w:val="24"/>
        </w:rPr>
        <w:outlineLvl w:val="0"/>
      </w:pPr>
      <w:r>
        <w:rPr>
          <w:rFonts w:eastAsia="黑体"/>
          <w:bCs/>
          <w:sz w:val="44"/>
        </w:rPr>
        <w:br w:type="page" w:clear="all"/>
      </w:r>
      <w:bookmarkStart w:id="176" w:name="_Toc31681"/>
      <w:r>
        <w:rPr>
          <w:rFonts w:eastAsia="黑体"/>
          <w:bCs/>
          <w:sz w:val="44"/>
        </w:rPr>
        <w:t xml:space="preserve">第</w:t>
      </w:r>
      <w:bookmarkEnd w:id="165"/>
      <w:r>
        <w:rPr>
          <w:rFonts w:eastAsia="黑体"/>
          <w:bCs/>
          <w:sz w:val="44"/>
        </w:rPr>
        <w:t xml:space="preserve">四章 采购需求</w:t>
      </w:r>
      <w:bookmarkEnd w:id="166"/>
      <w:r/>
      <w:bookmarkEnd w:id="167"/>
      <w:r/>
      <w:bookmarkEnd w:id="168"/>
      <w:r/>
      <w:bookmarkEnd w:id="176"/>
      <w:r/>
      <w:r/>
    </w:p>
    <w:p>
      <w:pPr>
        <w:ind w:firstLine="420"/>
        <w:keepLines w:val="0"/>
        <w:keepNext w:val="0"/>
        <w:pageBreakBefore w:val="0"/>
        <w:spacing w:line="320" w:lineRule="exact"/>
        <w:rPr>
          <w:rFonts w:hint="eastAsia" w:ascii="宋体" w:hAnsi="宋体" w:cs="宋体"/>
          <w:b/>
          <w:bCs/>
          <w:sz w:val="18"/>
          <w:szCs w:val="18"/>
        </w:rPr>
      </w:pPr>
      <w:r/>
      <w:bookmarkStart w:id="177" w:name="_Toc49090575"/>
      <w:r/>
      <w:bookmarkStart w:id="178" w:name="_Toc26554093"/>
      <w:r>
        <w:rPr>
          <w:rFonts w:hint="eastAsia" w:ascii="宋体" w:hAnsi="宋体" w:cs="宋体"/>
          <w:b/>
          <w:bCs/>
          <w:sz w:val="18"/>
          <w:szCs w:val="18"/>
        </w:rPr>
        <w:t xml:space="preserve">一、采购标的清单</w:t>
      </w:r>
      <w:r/>
    </w:p>
    <w:tbl>
      <w:tblPr>
        <w:tblStyle w:val="1037"/>
        <w:tblW w:w="47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7"/>
        <w:gridCol w:w="2288"/>
        <w:gridCol w:w="458"/>
        <w:gridCol w:w="819"/>
        <w:gridCol w:w="1567"/>
        <w:gridCol w:w="981"/>
        <w:gridCol w:w="1006"/>
        <w:gridCol w:w="1118"/>
      </w:tblGrid>
      <w:tr>
        <w:trPr>
          <w:jc w:val="center"/>
          <w:trHeight w:val="861"/>
        </w:trPr>
        <w:tc>
          <w:tcPr>
            <w:tcW w:w="191" w:type="pct"/>
            <w:vAlign w:val="center"/>
            <w:textDirection w:val="lrTb"/>
            <w:noWrap w:val="false"/>
          </w:tcPr>
          <w:p>
            <w:pPr>
              <w:ind w:right="-107"/>
              <w:jc w:val="center"/>
              <w:spacing w:line="360" w:lineRule="exact"/>
              <w:tabs>
                <w:tab w:val="left" w:pos="4788" w:leader="none"/>
              </w:tabs>
              <w:rPr>
                <w:bCs/>
                <w:highlight w:val="none"/>
              </w:rPr>
            </w:pPr>
            <w:r>
              <w:rPr>
                <w:rFonts w:hint="eastAsia"/>
                <w:bCs/>
                <w:highlight w:val="none"/>
              </w:rPr>
              <w:t xml:space="preserve">分包号</w:t>
            </w:r>
            <w:r/>
          </w:p>
        </w:tc>
        <w:tc>
          <w:tcPr>
            <w:tcW w:w="1335" w:type="pct"/>
            <w:vAlign w:val="center"/>
            <w:textDirection w:val="lrTb"/>
            <w:noWrap w:val="false"/>
          </w:tcPr>
          <w:p>
            <w:pPr>
              <w:ind w:right="-107"/>
              <w:jc w:val="center"/>
              <w:spacing w:line="360" w:lineRule="exact"/>
              <w:tabs>
                <w:tab w:val="left" w:pos="4788" w:leader="none"/>
              </w:tabs>
              <w:rPr>
                <w:bCs/>
                <w:highlight w:val="none"/>
              </w:rPr>
            </w:pPr>
            <w:r>
              <w:rPr>
                <w:bCs/>
                <w:highlight w:val="none"/>
              </w:rPr>
              <w:t xml:space="preserve">设备名称</w:t>
            </w:r>
            <w:r/>
          </w:p>
        </w:tc>
        <w:tc>
          <w:tcPr>
            <w:tcW w:w="267" w:type="pct"/>
            <w:vAlign w:val="center"/>
            <w:textDirection w:val="lrTb"/>
            <w:noWrap w:val="false"/>
          </w:tcPr>
          <w:p>
            <w:pPr>
              <w:jc w:val="center"/>
              <w:spacing w:line="360" w:lineRule="exact"/>
              <w:tabs>
                <w:tab w:val="left" w:pos="4788" w:leader="none"/>
              </w:tabs>
              <w:rPr>
                <w:bCs/>
                <w:highlight w:val="none"/>
              </w:rPr>
            </w:pPr>
            <w:r>
              <w:rPr>
                <w:bCs/>
                <w:highlight w:val="none"/>
              </w:rPr>
              <w:t xml:space="preserve">数量</w:t>
            </w:r>
            <w:r/>
          </w:p>
        </w:tc>
        <w:tc>
          <w:tcPr>
            <w:tcW w:w="478" w:type="pct"/>
            <w:vAlign w:val="center"/>
            <w:textDirection w:val="lrTb"/>
            <w:noWrap w:val="false"/>
          </w:tcPr>
          <w:p>
            <w:pPr>
              <w:jc w:val="center"/>
              <w:spacing w:line="360" w:lineRule="exact"/>
              <w:tabs>
                <w:tab w:val="left" w:pos="4788" w:leader="none"/>
              </w:tabs>
              <w:rPr>
                <w:bCs/>
                <w:highlight w:val="none"/>
              </w:rPr>
            </w:pPr>
            <w:r>
              <w:rPr>
                <w:rFonts w:hint="eastAsia"/>
                <w:bCs/>
                <w:highlight w:val="none"/>
              </w:rPr>
              <w:t xml:space="preserve">简要技术要求</w:t>
            </w:r>
            <w:r/>
          </w:p>
        </w:tc>
        <w:tc>
          <w:tcPr>
            <w:tcW w:w="914" w:type="pct"/>
            <w:vAlign w:val="center"/>
            <w:textDirection w:val="lrTb"/>
            <w:noWrap w:val="false"/>
          </w:tcPr>
          <w:p>
            <w:pPr>
              <w:jc w:val="center"/>
              <w:spacing w:line="360" w:lineRule="exact"/>
              <w:tabs>
                <w:tab w:val="left" w:pos="4788" w:leader="none"/>
              </w:tabs>
              <w:rPr>
                <w:bCs/>
                <w:highlight w:val="none"/>
              </w:rPr>
            </w:pPr>
            <w:r>
              <w:rPr>
                <w:bCs/>
                <w:highlight w:val="none"/>
              </w:rPr>
              <w:t xml:space="preserve">预算金额</w:t>
            </w:r>
            <w:r/>
          </w:p>
          <w:p>
            <w:pPr>
              <w:jc w:val="center"/>
              <w:spacing w:line="360" w:lineRule="exact"/>
              <w:tabs>
                <w:tab w:val="left" w:pos="4788" w:leader="none"/>
              </w:tabs>
              <w:rPr>
                <w:bCs/>
                <w:highlight w:val="none"/>
              </w:rPr>
            </w:pPr>
            <w:r>
              <w:rPr>
                <w:highlight w:val="none"/>
              </w:rPr>
              <w:t xml:space="preserve">及最高限价</w:t>
            </w:r>
            <w:r/>
          </w:p>
          <w:p>
            <w:pPr>
              <w:jc w:val="center"/>
              <w:spacing w:line="360" w:lineRule="exact"/>
              <w:tabs>
                <w:tab w:val="left" w:pos="4788" w:leader="none"/>
              </w:tabs>
              <w:rPr>
                <w:bCs/>
                <w:highlight w:val="none"/>
              </w:rPr>
            </w:pPr>
            <w:r>
              <w:rPr>
                <w:rFonts w:hint="eastAsia"/>
                <w:bCs/>
                <w:highlight w:val="none"/>
              </w:rPr>
              <w:t xml:space="preserve">（</w:t>
            </w:r>
            <w:r>
              <w:rPr>
                <w:bCs/>
                <w:highlight w:val="none"/>
              </w:rPr>
              <w:t xml:space="preserve">万元/人民币</w:t>
            </w:r>
            <w:r>
              <w:rPr>
                <w:rFonts w:hint="eastAsia"/>
                <w:bCs/>
                <w:highlight w:val="none"/>
              </w:rPr>
              <w:t xml:space="preserve">）</w:t>
            </w:r>
            <w:r/>
          </w:p>
        </w:tc>
        <w:tc>
          <w:tcPr>
            <w:tcW w:w="572" w:type="pct"/>
            <w:vAlign w:val="center"/>
            <w:textDirection w:val="lrTb"/>
            <w:noWrap w:val="false"/>
          </w:tcPr>
          <w:p>
            <w:pPr>
              <w:jc w:val="center"/>
              <w:spacing w:line="360" w:lineRule="exact"/>
              <w:tabs>
                <w:tab w:val="left" w:pos="4788" w:leader="none"/>
              </w:tabs>
              <w:rPr>
                <w:bCs/>
                <w:highlight w:val="none"/>
              </w:rPr>
            </w:pPr>
            <w:r>
              <w:rPr>
                <w:rFonts w:hint="eastAsia"/>
                <w:bCs/>
                <w:highlight w:val="none"/>
              </w:rPr>
              <w:t xml:space="preserve">合同</w:t>
            </w:r>
            <w:r/>
          </w:p>
          <w:p>
            <w:pPr>
              <w:jc w:val="center"/>
              <w:spacing w:line="360" w:lineRule="exact"/>
              <w:tabs>
                <w:tab w:val="left" w:pos="4788" w:leader="none"/>
              </w:tabs>
              <w:rPr>
                <w:bCs/>
                <w:highlight w:val="none"/>
              </w:rPr>
            </w:pPr>
            <w:r>
              <w:rPr>
                <w:rFonts w:hint="eastAsia"/>
                <w:bCs/>
                <w:highlight w:val="none"/>
              </w:rPr>
              <w:t xml:space="preserve">履行期限</w:t>
            </w:r>
            <w:r/>
          </w:p>
        </w:tc>
        <w:tc>
          <w:tcPr>
            <w:tcW w:w="587" w:type="pct"/>
            <w:vAlign w:val="center"/>
            <w:textDirection w:val="lrTb"/>
            <w:noWrap w:val="false"/>
          </w:tcPr>
          <w:p>
            <w:pPr>
              <w:jc w:val="center"/>
              <w:spacing w:line="360" w:lineRule="exact"/>
              <w:tabs>
                <w:tab w:val="left" w:pos="4788" w:leader="none"/>
              </w:tabs>
              <w:rPr>
                <w:bCs/>
                <w:highlight w:val="none"/>
              </w:rPr>
            </w:pPr>
            <w:r>
              <w:rPr>
                <w:rFonts w:hint="eastAsia"/>
                <w:bCs/>
                <w:highlight w:val="none"/>
              </w:rPr>
              <w:t xml:space="preserve">是否接受进口产品投标</w:t>
            </w:r>
            <w:r/>
          </w:p>
        </w:tc>
        <w:tc>
          <w:tcPr>
            <w:tcW w:w="652" w:type="pct"/>
            <w:vAlign w:val="center"/>
            <w:textDirection w:val="lrTb"/>
            <w:noWrap w:val="false"/>
          </w:tcPr>
          <w:p>
            <w:pPr>
              <w:jc w:val="center"/>
              <w:spacing w:line="360" w:lineRule="exact"/>
              <w:tabs>
                <w:tab w:val="left" w:pos="4788" w:leader="none"/>
              </w:tabs>
              <w:rPr>
                <w:bCs/>
                <w:highlight w:val="none"/>
              </w:rPr>
            </w:pPr>
            <w:r>
              <w:rPr>
                <w:rFonts w:hint="eastAsia"/>
                <w:bCs/>
                <w:highlight w:val="none"/>
              </w:rPr>
              <w:t xml:space="preserve">备注</w:t>
            </w:r>
            <w:r/>
          </w:p>
        </w:tc>
      </w:tr>
      <w:tr>
        <w:trPr>
          <w:jc w:val="center"/>
          <w:trHeight w:val="2030"/>
        </w:trPr>
        <w:tc>
          <w:tcPr>
            <w:tcW w:w="191" w:type="pct"/>
            <w:vAlign w:val="center"/>
            <w:vMerge w:val="restart"/>
            <w:textDirection w:val="lrTb"/>
            <w:noWrap w:val="false"/>
          </w:tcPr>
          <w:p>
            <w:pPr>
              <w:jc w:val="center"/>
              <w:spacing w:line="360" w:lineRule="exact"/>
              <w:widowControl/>
              <w:rPr>
                <w:highlight w:val="none"/>
              </w:rPr>
            </w:pPr>
            <w:r>
              <w:rPr>
                <w:highlight w:val="none"/>
              </w:rPr>
              <w:t xml:space="preserve">1</w:t>
            </w:r>
            <w:r/>
          </w:p>
        </w:tc>
        <w:tc>
          <w:tcPr>
            <w:tcW w:w="1335" w:type="pct"/>
            <w:vAlign w:val="center"/>
            <w:textDirection w:val="lrTb"/>
            <w:noWrap w:val="false"/>
          </w:tcPr>
          <w:p>
            <w:pPr>
              <w:jc w:val="center"/>
              <w:spacing w:line="360" w:lineRule="exact"/>
              <w:widowControl/>
              <w:rPr>
                <w:highlight w:val="none"/>
              </w:rPr>
            </w:pPr>
            <w:r>
              <w:rPr>
                <w:rFonts w:hint="eastAsia" w:ascii="宋体" w:hAnsi="宋体" w:cs="宋体"/>
                <w:highlight w:val="none"/>
              </w:rPr>
              <w:t xml:space="preserve">显微应变测量系统（包含原位拉伸测试台）</w:t>
            </w:r>
            <w:r/>
          </w:p>
        </w:tc>
        <w:tc>
          <w:tcPr>
            <w:tcW w:w="267" w:type="pct"/>
            <w:vAlign w:val="center"/>
            <w:textDirection w:val="lrTb"/>
            <w:noWrap w:val="false"/>
          </w:tcPr>
          <w:p>
            <w:pPr>
              <w:jc w:val="center"/>
              <w:spacing w:line="360" w:lineRule="exact"/>
              <w:widowControl/>
              <w:rPr>
                <w:highlight w:val="none"/>
              </w:rPr>
            </w:pPr>
            <w:r>
              <w:rPr>
                <w:rFonts w:hint="eastAsia"/>
                <w:highlight w:val="none"/>
              </w:rPr>
              <w:t xml:space="preserve">1</w:t>
            </w:r>
            <w:r/>
          </w:p>
        </w:tc>
        <w:tc>
          <w:tcPr>
            <w:tcW w:w="478" w:type="pct"/>
            <w:vAlign w:val="center"/>
            <w:vMerge w:val="restart"/>
            <w:textDirection w:val="lrTb"/>
            <w:noWrap w:val="false"/>
          </w:tcPr>
          <w:p>
            <w:pPr>
              <w:jc w:val="center"/>
              <w:spacing w:line="360" w:lineRule="exact"/>
              <w:widowControl/>
              <w:rPr>
                <w:highlight w:val="none"/>
              </w:rPr>
            </w:pPr>
            <w:r>
              <w:rPr>
                <w:rFonts w:hint="eastAsia"/>
                <w:highlight w:val="none"/>
              </w:rPr>
              <w:t xml:space="preserve">详见招标文件第四章技术规格及要求</w:t>
            </w:r>
            <w:r/>
          </w:p>
        </w:tc>
        <w:tc>
          <w:tcPr>
            <w:tcW w:w="914" w:type="pct"/>
            <w:vAlign w:val="center"/>
            <w:textDirection w:val="lrTb"/>
            <w:noWrap w:val="false"/>
          </w:tcPr>
          <w:p>
            <w:pPr>
              <w:jc w:val="center"/>
              <w:spacing w:line="360" w:lineRule="exact"/>
              <w:widowControl/>
              <w:rPr>
                <w:highlight w:val="none"/>
              </w:rPr>
            </w:pPr>
            <w:r>
              <w:rPr>
                <w:rFonts w:hint="eastAsia"/>
                <w:highlight w:val="none"/>
              </w:rPr>
              <w:t xml:space="preserve">76</w:t>
            </w:r>
            <w:r/>
          </w:p>
        </w:tc>
        <w:tc>
          <w:tcPr>
            <w:tcW w:w="572" w:type="pct"/>
            <w:vAlign w:val="center"/>
            <w:vMerge w:val="restart"/>
            <w:textDirection w:val="lrTb"/>
            <w:noWrap w:val="false"/>
          </w:tcPr>
          <w:p>
            <w:pPr>
              <w:jc w:val="center"/>
              <w:spacing w:line="360" w:lineRule="exact"/>
              <w:widowControl/>
              <w:rPr>
                <w:highlight w:val="none"/>
              </w:rPr>
            </w:pPr>
            <w:r>
              <w:rPr>
                <w:rFonts w:hint="eastAsia"/>
                <w:highlight w:val="none"/>
              </w:rPr>
              <w:t xml:space="preserve">合同签订后2个月内货到江苏省特种设备安全监督检验研究院指定地点。</w:t>
            </w:r>
            <w:r/>
          </w:p>
        </w:tc>
        <w:tc>
          <w:tcPr>
            <w:tcW w:w="587" w:type="pct"/>
            <w:vAlign w:val="center"/>
            <w:vMerge w:val="restart"/>
            <w:textDirection w:val="lrTb"/>
            <w:noWrap w:val="false"/>
          </w:tcPr>
          <w:p>
            <w:pPr>
              <w:jc w:val="center"/>
              <w:spacing w:line="360" w:lineRule="exact"/>
              <w:widowControl/>
              <w:rPr>
                <w:highlight w:val="none"/>
              </w:rPr>
            </w:pPr>
            <w:r>
              <w:rPr>
                <w:rFonts w:hint="eastAsia"/>
                <w:highlight w:val="none"/>
              </w:rPr>
              <w:t xml:space="preserve">否</w:t>
            </w:r>
            <w:r/>
          </w:p>
        </w:tc>
        <w:tc>
          <w:tcPr>
            <w:tcW w:w="652" w:type="pct"/>
            <w:vAlign w:val="center"/>
            <w:textDirection w:val="lrTb"/>
            <w:noWrap w:val="false"/>
          </w:tcPr>
          <w:p>
            <w:pPr>
              <w:jc w:val="center"/>
              <w:spacing w:line="360" w:lineRule="exact"/>
              <w:tabs>
                <w:tab w:val="left" w:pos="4788" w:leader="none"/>
              </w:tabs>
              <w:rPr>
                <w:highlight w:val="none"/>
              </w:rPr>
            </w:pPr>
            <w:r>
              <w:rPr>
                <w:rFonts w:hint="eastAsia"/>
                <w:highlight w:val="none"/>
              </w:rPr>
              <w:t xml:space="preserve">核心产品</w:t>
            </w:r>
            <w:r/>
          </w:p>
        </w:tc>
      </w:tr>
      <w:tr>
        <w:trPr>
          <w:jc w:val="center"/>
          <w:trHeight w:val="1665"/>
        </w:trPr>
        <w:tc>
          <w:tcPr>
            <w:tcW w:w="191" w:type="pct"/>
            <w:vAlign w:val="center"/>
            <w:vMerge w:val="continue"/>
            <w:textDirection w:val="lrTb"/>
            <w:noWrap w:val="false"/>
          </w:tcPr>
          <w:p>
            <w:pPr>
              <w:jc w:val="center"/>
              <w:spacing w:line="360" w:lineRule="exact"/>
              <w:widowControl/>
              <w:rPr>
                <w:highlight w:val="none"/>
              </w:rPr>
            </w:pPr>
            <w:r>
              <w:rPr>
                <w:highlight w:val="none"/>
              </w:rPr>
            </w:r>
            <w:r/>
          </w:p>
        </w:tc>
        <w:tc>
          <w:tcPr>
            <w:tcW w:w="1335" w:type="pct"/>
            <w:vAlign w:val="center"/>
            <w:textDirection w:val="lrTb"/>
            <w:noWrap w:val="false"/>
          </w:tcPr>
          <w:p>
            <w:pPr>
              <w:jc w:val="center"/>
              <w:spacing w:line="360" w:lineRule="exact"/>
              <w:widowControl/>
              <w:rPr>
                <w:highlight w:val="none"/>
              </w:rPr>
            </w:pPr>
            <w:r>
              <w:rPr>
                <w:rFonts w:hint="eastAsia"/>
                <w:highlight w:val="none"/>
              </w:rPr>
              <w:t xml:space="preserve">视频引伸计</w:t>
            </w:r>
            <w:r/>
          </w:p>
        </w:tc>
        <w:tc>
          <w:tcPr>
            <w:tcW w:w="267" w:type="pct"/>
            <w:vAlign w:val="center"/>
            <w:textDirection w:val="lrTb"/>
            <w:noWrap w:val="false"/>
          </w:tcPr>
          <w:p>
            <w:pPr>
              <w:jc w:val="center"/>
              <w:spacing w:line="360" w:lineRule="exact"/>
              <w:widowControl/>
              <w:rPr>
                <w:highlight w:val="none"/>
              </w:rPr>
            </w:pPr>
            <w:r>
              <w:rPr>
                <w:rFonts w:hint="eastAsia"/>
                <w:highlight w:val="none"/>
              </w:rPr>
              <w:t xml:space="preserve">1</w:t>
            </w:r>
            <w:r/>
          </w:p>
        </w:tc>
        <w:tc>
          <w:tcPr>
            <w:tcW w:w="478" w:type="pct"/>
            <w:vAlign w:val="center"/>
            <w:vMerge w:val="continue"/>
            <w:textDirection w:val="lrTb"/>
            <w:noWrap w:val="false"/>
          </w:tcPr>
          <w:p>
            <w:pPr>
              <w:jc w:val="center"/>
              <w:spacing w:line="360" w:lineRule="exact"/>
              <w:widowControl/>
              <w:rPr>
                <w:highlight w:val="none"/>
              </w:rPr>
            </w:pPr>
            <w:r>
              <w:rPr>
                <w:highlight w:val="none"/>
              </w:rPr>
            </w:r>
            <w:r/>
          </w:p>
        </w:tc>
        <w:tc>
          <w:tcPr>
            <w:tcW w:w="914" w:type="pct"/>
            <w:vAlign w:val="center"/>
            <w:textDirection w:val="lrTb"/>
            <w:noWrap w:val="false"/>
          </w:tcPr>
          <w:p>
            <w:pPr>
              <w:jc w:val="center"/>
              <w:spacing w:line="360" w:lineRule="exact"/>
              <w:widowControl/>
              <w:rPr>
                <w:highlight w:val="none"/>
              </w:rPr>
            </w:pPr>
            <w:r>
              <w:rPr>
                <w:rFonts w:hint="eastAsia"/>
                <w:highlight w:val="none"/>
              </w:rPr>
              <w:t xml:space="preserve">21</w:t>
            </w:r>
            <w:r/>
          </w:p>
        </w:tc>
        <w:tc>
          <w:tcPr>
            <w:tcW w:w="572" w:type="pct"/>
            <w:vAlign w:val="center"/>
            <w:vMerge w:val="continue"/>
            <w:textDirection w:val="lrTb"/>
            <w:noWrap w:val="false"/>
          </w:tcPr>
          <w:p>
            <w:pPr>
              <w:jc w:val="center"/>
              <w:spacing w:line="360" w:lineRule="exact"/>
              <w:widowControl/>
              <w:rPr>
                <w:highlight w:val="none"/>
              </w:rPr>
            </w:pPr>
            <w:r>
              <w:rPr>
                <w:highlight w:val="none"/>
              </w:rPr>
            </w:r>
            <w:r/>
          </w:p>
        </w:tc>
        <w:tc>
          <w:tcPr>
            <w:tcW w:w="587" w:type="pct"/>
            <w:vAlign w:val="center"/>
            <w:vMerge w:val="continue"/>
            <w:textDirection w:val="lrTb"/>
            <w:noWrap w:val="false"/>
          </w:tcPr>
          <w:p>
            <w:pPr>
              <w:jc w:val="center"/>
              <w:spacing w:line="360" w:lineRule="exact"/>
              <w:widowControl/>
              <w:rPr>
                <w:highlight w:val="none"/>
              </w:rPr>
            </w:pPr>
            <w:r>
              <w:rPr>
                <w:highlight w:val="none"/>
              </w:rPr>
            </w:r>
            <w:r/>
          </w:p>
        </w:tc>
        <w:tc>
          <w:tcPr>
            <w:tcW w:w="652" w:type="pct"/>
            <w:vAlign w:val="center"/>
            <w:textDirection w:val="lrTb"/>
            <w:noWrap w:val="false"/>
          </w:tcPr>
          <w:p>
            <w:pPr>
              <w:jc w:val="center"/>
              <w:spacing w:line="360" w:lineRule="exact"/>
              <w:tabs>
                <w:tab w:val="left" w:pos="4788" w:leader="none"/>
              </w:tabs>
              <w:rPr>
                <w:bCs/>
                <w:highlight w:val="none"/>
              </w:rPr>
            </w:pPr>
            <w:r>
              <w:rPr>
                <w:bCs/>
                <w:highlight w:val="none"/>
              </w:rPr>
            </w:r>
            <w:r/>
          </w:p>
        </w:tc>
      </w:tr>
    </w:tbl>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注:</w:t>
      </w:r>
      <w:r/>
    </w:p>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1.投标人需按上表各个设备分别报价，并以分包为单位合并计入投标总价。</w:t>
      </w:r>
      <w:r/>
    </w:p>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2.投标人的投标总价不得超过本项目对应的预算金额，否则作无效响应处理；投标人所投分项报价表中的单台设备报价不得超过该设备所对应的预算金额，否则作无效投标处理。</w:t>
      </w:r>
      <w:r/>
    </w:p>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3.投标人报价为最终报价，如因国家政策调整，增加的税费由投标人自行承担。</w:t>
      </w:r>
      <w:r/>
    </w:p>
    <w:p>
      <w:pPr>
        <w:ind w:firstLine="361"/>
        <w:keepLines w:val="0"/>
        <w:keepNext w:val="0"/>
        <w:pageBreakBefore w:val="0"/>
        <w:spacing w:line="320" w:lineRule="exact"/>
        <w:widowControl w:val="off"/>
        <w:rPr>
          <w:rFonts w:hint="eastAsia" w:ascii="宋体" w:hAnsi="宋体" w:eastAsia="宋体" w:cs="宋体"/>
          <w:b/>
          <w:bCs/>
          <w:sz w:val="18"/>
          <w:szCs w:val="18"/>
          <w:highlight w:val="yellow"/>
        </w:rPr>
      </w:pPr>
      <w:r>
        <w:rPr>
          <w:rFonts w:hint="eastAsia" w:ascii="宋体" w:hAnsi="宋体" w:eastAsia="宋体" w:cs="宋体"/>
          <w:b/>
          <w:bCs/>
          <w:sz w:val="18"/>
          <w:szCs w:val="18"/>
          <w:highlight w:val="none"/>
        </w:rPr>
        <w:t xml:space="preserve">4.招标文件中标注的“</w:t>
      </w:r>
      <w:r>
        <w:rPr>
          <w:rFonts w:hint="eastAsia" w:ascii="宋体" w:hAnsi="宋体" w:eastAsia="宋体" w:cs="宋体"/>
          <w:sz w:val="18"/>
          <w:szCs w:val="18"/>
          <w:highlight w:val="none"/>
        </w:rPr>
        <w:t xml:space="preserve">★</w:t>
      </w:r>
      <w:r>
        <w:rPr>
          <w:rFonts w:hint="eastAsia" w:ascii="宋体" w:hAnsi="宋体" w:eastAsia="宋体" w:cs="宋体"/>
          <w:b/>
          <w:bCs/>
          <w:sz w:val="18"/>
          <w:szCs w:val="18"/>
          <w:highlight w:val="none"/>
        </w:rPr>
        <w:t xml:space="preserve">”条款，若不满足，经评委一致认定的作无效投标处理。</w:t>
      </w:r>
      <w:r/>
    </w:p>
    <w:p>
      <w:pPr>
        <w:ind w:firstLine="361"/>
        <w:keepLines w:val="0"/>
        <w:keepNext w:val="0"/>
        <w:pageBreakBefore w:val="0"/>
        <w:spacing w:line="320" w:lineRule="exact"/>
        <w:widowControl w:val="off"/>
        <w:rPr>
          <w:rFonts w:hint="eastAsia" w:ascii="宋体" w:hAnsi="宋体" w:eastAsia="宋体" w:cs="宋体"/>
          <w:b/>
          <w:bCs/>
          <w:sz w:val="18"/>
          <w:szCs w:val="18"/>
        </w:rPr>
      </w:pPr>
      <w:r>
        <w:rPr>
          <w:rFonts w:hint="eastAsia" w:ascii="宋体" w:hAnsi="宋体" w:eastAsia="宋体" w:cs="宋体"/>
          <w:b/>
          <w:bCs/>
          <w:sz w:val="18"/>
          <w:szCs w:val="18"/>
        </w:rPr>
        <w:t xml:space="preserve">二、政府采购中实施本国产品标准及相关政策</w:t>
      </w:r>
      <w:r/>
    </w:p>
    <w:p>
      <w:pPr>
        <w:ind w:firstLine="360"/>
        <w:keepLines w:val="0"/>
        <w:keepNext w:val="0"/>
        <w:pageBreakBefore w:val="0"/>
        <w:spacing w:line="32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1.本项目对采购本国产品给予政策支持，具体内容见招标文件“第五章 评标方法与评标标准”。</w:t>
      </w:r>
      <w:r/>
    </w:p>
    <w:p>
      <w:pPr>
        <w:ind w:firstLine="360"/>
        <w:keepLines w:val="0"/>
        <w:keepNext w:val="0"/>
        <w:pageBreakBefore w:val="0"/>
        <w:spacing w:line="32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360"/>
        <w:keepLines w:val="0"/>
        <w:keepNext w:val="0"/>
        <w:pageBreakBefore w:val="0"/>
        <w:spacing w:line="32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bookmarkStart w:id="179" w:name="_Toc120614281"/>
      <w:r>
        <w:rPr>
          <w:rFonts w:hint="eastAsia" w:ascii="宋体" w:hAnsi="宋体" w:eastAsia="宋体" w:cs="宋体"/>
          <w:b/>
          <w:bCs/>
          <w:sz w:val="18"/>
          <w:szCs w:val="18"/>
          <w:highlight w:val="none"/>
        </w:rPr>
        <w:t xml:space="preserve">三、技术规格及要求</w:t>
      </w:r>
      <w:r/>
    </w:p>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bookmarkStart w:id="180" w:name="_Hlk202974628"/>
      <w:r>
        <w:rPr>
          <w:rFonts w:hint="eastAsia" w:ascii="宋体" w:hAnsi="宋体" w:eastAsia="宋体" w:cs="宋体"/>
          <w:b/>
          <w:bCs/>
          <w:sz w:val="18"/>
          <w:szCs w:val="18"/>
          <w:highlight w:val="none"/>
        </w:rPr>
        <w:t xml:space="preserve">分包一：</w:t>
      </w:r>
      <w:r/>
    </w:p>
    <w:tbl>
      <w:tblPr>
        <w:tblStyle w:val="10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125"/>
        <w:gridCol w:w="5967"/>
        <w:gridCol w:w="1211"/>
      </w:tblGrid>
      <w:tr>
        <w:trPr>
          <w:jc w:val="center"/>
          <w:trHeight w:val="702"/>
        </w:trPr>
        <w:tc>
          <w:tcPr>
            <w:tcW w:w="64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b/>
                <w:bCs/>
                <w:sz w:val="18"/>
                <w:szCs w:val="18"/>
                <w:highlight w:val="none"/>
                <w:vertAlign w:val="baseline"/>
                <w:lang w:val="en-US" w:eastAsia="zh-CN"/>
              </w:rPr>
            </w:pPr>
            <w:r>
              <w:rPr>
                <w:rFonts w:hint="eastAsia" w:ascii="宋体" w:hAnsi="宋体" w:cs="宋体"/>
                <w:b/>
                <w:bCs/>
                <w:sz w:val="18"/>
                <w:szCs w:val="18"/>
                <w:highlight w:val="none"/>
                <w:vertAlign w:val="baseline"/>
                <w:lang w:val="en-US" w:eastAsia="zh-CN"/>
              </w:rPr>
              <w:t xml:space="preserve">序号</w:t>
            </w:r>
            <w:r/>
          </w:p>
        </w:tc>
        <w:tc>
          <w:tcPr>
            <w:tcW w:w="1125" w:type="dxa"/>
            <w:vAlign w:val="center"/>
            <w:textDirection w:val="lrTb"/>
            <w:noWrap w:val="false"/>
          </w:tcPr>
          <w:p>
            <w:pPr>
              <w:jc w:val="center"/>
              <w:keepLines w:val="0"/>
              <w:keepNext w:val="0"/>
              <w:pageBreakBefore w:val="0"/>
              <w:spacing w:line="260" w:lineRule="exact"/>
              <w:widowControl w:val="off"/>
              <w:rPr>
                <w:rFonts w:hint="default" w:ascii="宋体" w:hAnsi="宋体" w:eastAsia="宋体" w:cs="宋体"/>
                <w:b/>
                <w:bCs/>
                <w:sz w:val="18"/>
                <w:szCs w:val="18"/>
                <w:highlight w:val="none"/>
                <w:vertAlign w:val="baseline"/>
                <w:lang w:val="en-US" w:eastAsia="zh-CN"/>
              </w:rPr>
            </w:pPr>
            <w:r>
              <w:rPr>
                <w:rFonts w:hint="eastAsia" w:ascii="宋体" w:hAnsi="宋体" w:cs="宋体"/>
                <w:b/>
                <w:bCs/>
                <w:sz w:val="18"/>
                <w:szCs w:val="18"/>
                <w:highlight w:val="none"/>
                <w:vertAlign w:val="baseline"/>
                <w:lang w:val="en-US" w:eastAsia="zh-CN"/>
              </w:rPr>
              <w:t xml:space="preserve">设备名称</w:t>
            </w:r>
            <w:r/>
          </w:p>
        </w:tc>
        <w:tc>
          <w:tcPr>
            <w:tcW w:w="5967" w:type="dxa"/>
            <w:vAlign w:val="center"/>
            <w:textDirection w:val="lrTb"/>
            <w:noWrap w:val="false"/>
          </w:tcPr>
          <w:p>
            <w:pPr>
              <w:jc w:val="center"/>
              <w:keepLines w:val="0"/>
              <w:keepNext w:val="0"/>
              <w:pageBreakBefore w:val="0"/>
              <w:spacing w:line="260" w:lineRule="exact"/>
              <w:widowControl w:val="off"/>
              <w:rPr>
                <w:rFonts w:hint="default" w:ascii="宋体" w:hAnsi="宋体" w:eastAsia="宋体" w:cs="宋体"/>
                <w:b/>
                <w:bCs/>
                <w:sz w:val="18"/>
                <w:szCs w:val="18"/>
                <w:highlight w:val="none"/>
                <w:vertAlign w:val="baseline"/>
                <w:lang w:val="en-US" w:eastAsia="zh-CN"/>
              </w:rPr>
            </w:pPr>
            <w:r>
              <w:rPr>
                <w:rFonts w:hint="eastAsia" w:ascii="宋体" w:hAnsi="宋体" w:cs="宋体"/>
                <w:b/>
                <w:bCs/>
                <w:sz w:val="18"/>
                <w:szCs w:val="18"/>
                <w:highlight w:val="none"/>
                <w:vertAlign w:val="baseline"/>
                <w:lang w:val="en-US" w:eastAsia="zh-CN"/>
              </w:rPr>
              <w:t xml:space="preserve">技术参数</w:t>
            </w:r>
            <w:r/>
          </w:p>
        </w:tc>
        <w:tc>
          <w:tcPr>
            <w:tcW w:w="1211" w:type="dxa"/>
            <w:vAlign w:val="center"/>
            <w:textDirection w:val="lrTb"/>
            <w:noWrap w:val="false"/>
          </w:tcPr>
          <w:p>
            <w:pPr>
              <w:jc w:val="center"/>
              <w:keepLines w:val="0"/>
              <w:keepNext w:val="0"/>
              <w:pageBreakBefore w:val="0"/>
              <w:spacing w:line="260" w:lineRule="exact"/>
              <w:widowControl w:val="off"/>
              <w:rPr>
                <w:rFonts w:hint="default" w:ascii="宋体" w:hAnsi="宋体" w:cs="宋体"/>
                <w:b/>
                <w:bCs/>
                <w:sz w:val="18"/>
                <w:szCs w:val="18"/>
                <w:highlight w:val="none"/>
                <w:vertAlign w:val="baseline"/>
                <w:lang w:val="en-US" w:eastAsia="zh-CN"/>
              </w:rPr>
            </w:pPr>
            <w:r>
              <w:rPr>
                <w:rFonts w:hint="eastAsia" w:ascii="宋体" w:hAnsi="宋体" w:cs="宋体"/>
                <w:b/>
                <w:bCs/>
                <w:sz w:val="18"/>
                <w:szCs w:val="18"/>
                <w:highlight w:val="none"/>
                <w:vertAlign w:val="baseline"/>
                <w:lang w:val="en-US" w:eastAsia="zh-CN"/>
              </w:rPr>
              <w:t xml:space="preserve">备注</w:t>
            </w:r>
            <w:r/>
          </w:p>
        </w:tc>
      </w:tr>
      <w:tr>
        <w:trPr>
          <w:jc w:val="center"/>
        </w:trPr>
        <w:tc>
          <w:tcPr>
            <w:tcW w:w="64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3.1</w:t>
            </w:r>
            <w:r/>
          </w:p>
        </w:tc>
        <w:tc>
          <w:tcPr>
            <w:tcW w:w="1125"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显微应变测量系统（包含原位拉伸测试台）</w:t>
            </w:r>
            <w:r/>
          </w:p>
        </w:tc>
        <w:tc>
          <w:tcPr>
            <w:tcW w:w="5967" w:type="dxa"/>
            <w:textDirection w:val="lrTb"/>
            <w:noWrap w:val="false"/>
          </w:tcPr>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3.1.1硬件配置和参数</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★3.1.1.1分辨率≥4096*3000，满幅帧率≥30fps，镜头数量：≥2台，芯片类型：CMOS，像素尺寸：3.45um*3.45um。 </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★3.1.1.2应变测量范围：0.005~2000%，2D应变测量精度：≤20με，3D应变测量精度：≤50με，位移测量精度：≤0.01mm。（投标文件中提供第三方校准报告复印件，注明页码）</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★3.1.1.3配置显微镜，视场范围至少覆盖1mm×0.8mm - 12mm×10mm，放大倍数不少于0.64-8倍，变倍比：不小于12.5：1，最大数值孔径（NA）：不小于0.288，分辨率：1.0x 物镜时432 lp/mm，工作距离≥61.5mm。</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3.1.1.4标定系统，电动标定装置，尺寸：φ100mm×100mm，功率：＜10W，接口：TypeC，标定板：四种标定板规格，适用于所有显微幅面的三维标定。</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3.1.1.5多功能同步控制器，支持宽幅3-30V的TTL电平，上升沿/下降沿触发方式；4路触发通道独立控制，同步触发可编程延迟时间。</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★3.1.1.6微小试样极端环境加载单元不少于1套：拉力量程不小于0-2000N，精度：不低于0.5% FS；双向同步加载，最大位移≥40mm，配备位移传感器；支持拉伸、压缩、弯曲力学模式，配备对应夹具；配备气密腔室，可充保护气氛实现气氛控制；温度控制范围不小于-190℃~600℃，温控精度不低于±0.1℃，分辨率≤0.1℃；控温速度不低于0~30℃/min；适配哑铃状试样尺寸（长*宽*厚度）≦10mm*10mm*1mm。（投标文件中提供此设备图，要求清晰可见传动加载结构及夹具结构，有历史业绩优先考虑）</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3.1.2系统软件配置和参数</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highlight w:val="none"/>
              </w:rPr>
              <w:t xml:space="preserve">3.1.2.1软件：三维变形及应变测量分析软件1套，三维扫描软件1套，工业检</w:t>
            </w:r>
            <w:r>
              <w:rPr>
                <w:rFonts w:hint="eastAsia" w:ascii="宋体" w:hAnsi="宋体" w:eastAsia="宋体" w:cs="宋体"/>
                <w:sz w:val="18"/>
                <w:szCs w:val="18"/>
              </w:rPr>
              <w:t xml:space="preserve">测分析软件1套，为保证数据可靠性及便捷性，该3套软件须有合法证明（提供该3套软件的软件著作权登记证书予以证明），该3套软件需用同一个加密狗打开，加密数量：≥1个。</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3.1.2.2系统标定：提供两种标定模式：全自动标定，采用专用全自动标定软件和电动标定台，可实现一键式高精度自动标定；系统基本手动标定模式，通过对标定板的不同姿态手动调整摆放实现标定。（提供该功能详细视频予以证明。</w:t>
            </w:r>
            <w:r>
              <w:rPr>
                <w:rFonts w:hint="eastAsia" w:ascii="宋体" w:hAnsi="宋体" w:eastAsia="宋体" w:cs="宋体"/>
                <w:b/>
                <w:bCs/>
                <w:sz w:val="18"/>
                <w:szCs w:val="18"/>
              </w:rPr>
              <w:t xml:space="preserve">投标人需按照招标文件规定的内容制作功能证明视频文件，视频文件的格式为x.mp4或x.avi,投标人须将视频文件分段压缩为x.zip文件上传(单个文件不得大于50M，所有文件总共不得大于300M)。文件上传方式见《操作手册》规定，上传的演示视频将作为投标文件的组成部分，视频时长总计不超过15分钟。下同</w:t>
            </w:r>
            <w:r>
              <w:rPr>
                <w:rFonts w:hint="eastAsia" w:ascii="宋体" w:hAnsi="宋体" w:eastAsia="宋体" w:cs="宋体"/>
                <w:sz w:val="18"/>
                <w:szCs w:val="18"/>
              </w:rPr>
              <w:t xml:space="preserve">）</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3.1.2.3支持百万至千万像素、低速到高速、千兆网、USB3.0、Camera Link、CXP等多种相机接口。</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3.1.3软件功能</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3.1.3.1实时计算：采集图像、温度、载荷的同时，可以实时进行三维全场应变计算，具备在线和离线两种计算处理模式。</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3.1.3.2根据实验条件，图像质量，软件可自动进行散斑图质量分析及步长面片大小推荐，提升数据处理效率和精度。</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3.1.3.3实时输出：软件包含计算结果的实时UDP千兆网输出，为实验系统的闭环反馈与控制提供软件支持。</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3.1.3.4三维变形及应变测量分析软件至少有如下变形应变计算功能：如X、Y、Z、E三维位移；Z值投影；径向距离、径向距离差；径向角、径向角差；应变X、应变Y和应变XY；最大主应变；最小主应变；厚度减薄量；Mises应变；Tresca应变；剪切角等。</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★3.1.3.5三维变形及应变测量分析软件具备测量结果：全场三维坐标、应变、位移、速度、加速度、角速度、角加速度。</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3.1.3.6三维变形及应变测量分析软件须有元素创建功能：三维点、线、面、圆、槽孔、矩形孔、球、圆柱、圆锥。</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3.1.3.7三维变形及应变测量分析软件具有分析创建功能：点点距离、点线距离、点面距离、线线夹角、线面夹角、面面夹角。</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3.1.3.8三维变形及应变测量分析软件须有Ring-Buffer采集模式，可设置高帧频采集，前期自动储存低帧频数据，在实验结束时储存高帧频数据，实现一次实验过程中的变频率采集与存储。</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3.1.3.9三维变形及应变测量分析软件须有疲劳采集模块，无需跟踪一个完整的疲劳周期即可自动完成疲劳实验波形曲线（三角波，正弦波）的相位信息的识别，计数，抓取和停止，自动识别疲劳频率，波峰和波谷，完成低频图像采集设备对高频疲劳实验的长时间监测。</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3.1.3.10三维变形及应变测量分析软件须有裂纹COD分析功能：支持裂纹创建好后以带颜色的贴图形式显示，支持分析测量裂纹尖端开裂位移，支持全时域计算裂纹开口，支持绘制开裂曲线，显示裂尖位置和开裂位移。（提供该功能详细视频予以证明）</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3.1.3.11三维变形及应变测量分析软件须有散斑评估插件：包含质量评估、自动识别和最佳尺寸推荐，最佳尺寸推荐通过在样件表面选择小块区域软件自动计算得出最佳尺寸，质量评估通过选择样件全部区域软件自动计算出不同颜色的区域，通过拖动进度条调整区域颜色分布，自动识别通过再次选择样件全部区域软件自动在绿色区域划出网格。（提供该功能详细视频予以证明）</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★3.1.3.12三维变形及应变测量分析软件FEM 有限元比对模块：支持 DIC 计算结果和 Ansys，ABAQUS 的有限元结果的对比分析，以色谱图的形式显示 DIC 结果和有限元计算结果的偏差。支持手动设置RT 矩阵，以及导入导出坐标对齐点的功能。</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▲3.1.3.13三维变形及应变测量分析软件须有CTE 计算功能：支持线性热膨胀系数的快速计算。可视化交互点选与图表显示，可根据两点距离变化求解材料温胀系数，可手动设置温度区间，可选择不同点对和温度区间创建多组 CTE 分析数据，进行比对分析。（提供该功能详细视频予以证明）</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3.1.3.14三维变形及应变测量分析软件支持统计直方图功能，统计直方图里包含噪声分析，平均灰度，灰度中位数和灰度标准差数值显示。（提供该功能详细视频予以证明）</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3.1.3.15三维变形及应变测量分析软件支持图像预处理功能，包含背景剔除，滤波，对比度增强和图像亮度调整。（提供该功能详细视频予以证明）</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3.1.3.16虚功场功能：支持材料本构参数识别。支持多阶段单向拉伸、三点弯曲加载下各向同性和正交各向异性材料本构参数识别。</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3.1.3.17三维变形及应变测量分析软件支持散斑质量评估系统辅助模块：从图像对比度、锐度、直方图等多个维度自动化综合评估散斑图像的优劣，判断拍摄的图像是否能够满足测量需求。</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3.1.4系统附件配置和参数</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▲3.1.4.1移动数据分析处理终端：处理器：I7或同档次；固态硬盘：≥3T； 内存：≥32G；显卡：T1000或同档次；显示器：≥24英寸液晶,数量≥1。</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3.1.4.2配备固定支架1套。</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3.1.4.3配备定制显微散斑制备工具1套。</w:t>
            </w:r>
            <w:r/>
          </w:p>
          <w:p>
            <w:pPr>
              <w:ind w:firstLine="360"/>
              <w:keepLines w:val="0"/>
              <w:keepNext w:val="0"/>
              <w:pageBreakBefore w:val="0"/>
              <w:spacing w:line="260" w:lineRule="exact"/>
              <w:widowControl w:val="off"/>
              <w:rPr>
                <w:rFonts w:hint="eastAsia" w:ascii="宋体" w:hAnsi="宋体" w:eastAsia="宋体" w:cs="宋体"/>
                <w:b/>
                <w:bCs/>
                <w:sz w:val="18"/>
                <w:szCs w:val="18"/>
                <w:highlight w:val="none"/>
                <w:vertAlign w:val="baseline"/>
              </w:rPr>
            </w:pPr>
            <w:r>
              <w:rPr>
                <w:rFonts w:hint="eastAsia" w:ascii="宋体" w:hAnsi="宋体" w:eastAsia="宋体" w:cs="宋体"/>
                <w:sz w:val="18"/>
                <w:szCs w:val="18"/>
              </w:rPr>
              <w:t xml:space="preserve">3.1.4.4配备光学隔振平台。</w:t>
            </w:r>
            <w:r/>
          </w:p>
        </w:tc>
        <w:tc>
          <w:tcPr>
            <w:tcW w:w="121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1台</w:t>
            </w:r>
            <w:r/>
          </w:p>
          <w:p>
            <w:pPr>
              <w:jc w:val="center"/>
              <w:keepLines w:val="0"/>
              <w:keepNext w:val="0"/>
              <w:pageBreakBefore w:val="0"/>
              <w:spacing w:line="260" w:lineRule="exact"/>
              <w:widowControl w:val="off"/>
              <w:rPr>
                <w:rFonts w:hint="eastAsia" w:ascii="宋体" w:hAnsi="宋体" w:eastAsia="宋体" w:cs="宋体"/>
                <w:b/>
                <w:bCs/>
                <w:sz w:val="18"/>
                <w:szCs w:val="18"/>
                <w:highlight w:val="none"/>
              </w:rPr>
            </w:pPr>
            <w:r>
              <w:rPr>
                <w:rFonts w:hint="eastAsia" w:ascii="宋体" w:hAnsi="宋体" w:eastAsia="宋体" w:cs="宋体"/>
                <w:sz w:val="18"/>
                <w:szCs w:val="18"/>
                <w:highlight w:val="none"/>
                <w:lang w:val="en-US" w:eastAsia="zh-CN"/>
              </w:rPr>
              <w:t xml:space="preserve">核心产品</w:t>
            </w:r>
            <w:r/>
          </w:p>
          <w:p>
            <w:pPr>
              <w:keepLines w:val="0"/>
              <w:keepNext w:val="0"/>
              <w:pageBreakBefore w:val="0"/>
              <w:spacing w:line="260" w:lineRule="exact"/>
              <w:widowControl w:val="off"/>
              <w:rPr>
                <w:rFonts w:hint="eastAsia" w:ascii="宋体" w:hAnsi="宋体" w:eastAsia="宋体" w:cs="宋体"/>
                <w:b/>
                <w:bCs/>
                <w:sz w:val="18"/>
                <w:szCs w:val="18"/>
                <w:highlight w:val="yellow"/>
                <w:vertAlign w:val="baseline"/>
              </w:rPr>
            </w:pPr>
            <w:r>
              <w:rPr>
                <w:rFonts w:hint="eastAsia" w:ascii="宋体" w:hAnsi="宋体" w:eastAsia="宋体" w:cs="宋体"/>
                <w:b/>
                <w:bCs/>
                <w:sz w:val="18"/>
                <w:szCs w:val="18"/>
                <w:highlight w:val="yellow"/>
                <w:vertAlign w:val="baseline"/>
              </w:rPr>
            </w:r>
            <w:r/>
          </w:p>
        </w:tc>
      </w:tr>
      <w:tr>
        <w:trPr>
          <w:jc w:val="center"/>
        </w:trPr>
        <w:tc>
          <w:tcPr>
            <w:tcW w:w="64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b/>
                <w:bCs/>
                <w:sz w:val="18"/>
                <w:szCs w:val="18"/>
                <w:highlight w:val="none"/>
                <w:vertAlign w:val="baseline"/>
              </w:rPr>
            </w:pPr>
            <w:r>
              <w:rPr>
                <w:rFonts w:hint="eastAsia" w:ascii="宋体" w:hAnsi="宋体" w:eastAsia="宋体" w:cs="宋体"/>
                <w:sz w:val="18"/>
                <w:szCs w:val="18"/>
              </w:rPr>
              <w:t xml:space="preserve">3.2</w:t>
            </w:r>
            <w:r/>
          </w:p>
        </w:tc>
        <w:tc>
          <w:tcPr>
            <w:tcW w:w="1125"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b/>
                <w:bCs/>
                <w:sz w:val="18"/>
                <w:szCs w:val="18"/>
                <w:highlight w:val="none"/>
                <w:vertAlign w:val="baseline"/>
              </w:rPr>
            </w:pPr>
            <w:r>
              <w:rPr>
                <w:rFonts w:hint="eastAsia" w:ascii="宋体" w:hAnsi="宋体" w:eastAsia="宋体" w:cs="宋体"/>
                <w:sz w:val="18"/>
                <w:szCs w:val="18"/>
              </w:rPr>
              <w:t xml:space="preserve">视频引伸计</w:t>
            </w:r>
            <w:r/>
          </w:p>
        </w:tc>
        <w:tc>
          <w:tcPr>
            <w:tcW w:w="5967" w:type="dxa"/>
            <w:textDirection w:val="lrTb"/>
            <w:noWrap w:val="false"/>
          </w:tcPr>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★3.2.1视野范围：不小于500mm。</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★3.2.2精度等级：不低于1级。</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★3.2.3分辨率：不小于1μm。</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★3.2.4应变测量范围：不小于0.002%~100%。</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▲3.2.5相机分辨率：不低于8.9Mpx。</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3.2.6帧率：不小于32HZ（全分辨率）。</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3.2.7传感器类型：COMS。</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3.2.8工作距离：≥350mm。</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3.2.9测量方式：全程跟踪到断裂。</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3.2.10接口类型：USB3.0。</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3.2.11轴向测量模块：实时测量轴向应变，包含点探头、线探头和极值线探头。</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3.2.12 2D DIC全场测量模块：提供用户定义区域上的位移或应变分布图，通过单击画布并拖动任何角点，可以将DIC Area作为常规矩形插入。</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3.2.13数据后处理模块：用于处理之前记录的测试，并附带试验后回放和数据导出等功能；每个实时测量方法可以有多个离线记录与自定义探针布局；后处理是测量独特或昂贵的样品和组件的最佳解决方案。</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▲3.2.14工业相机：分辨率8.9Mpx。</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▲3.2.15镜头：视野范围：500mm分辨率：1μm。</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★3.2.16视频引伸计需要适配本实验室已有的深圳万测试验设备有限公司的微机控制电子万能试验机（型号：ETM104B）。</w:t>
            </w:r>
            <w:r/>
          </w:p>
          <w:p>
            <w:pPr>
              <w:keepLines w:val="0"/>
              <w:keepNext w:val="0"/>
              <w:pageBreakBefore w:val="0"/>
              <w:spacing w:line="260" w:lineRule="exact"/>
              <w:widowControl w:val="off"/>
              <w:rPr>
                <w:rFonts w:hint="eastAsia" w:ascii="宋体" w:hAnsi="宋体" w:eastAsia="宋体" w:cs="宋体"/>
                <w:b/>
                <w:bCs/>
                <w:sz w:val="18"/>
                <w:szCs w:val="18"/>
                <w:highlight w:val="none"/>
                <w:vertAlign w:val="baseline"/>
              </w:rPr>
            </w:pPr>
            <w:r>
              <w:rPr>
                <w:rFonts w:hint="eastAsia" w:ascii="宋体" w:hAnsi="宋体" w:eastAsia="宋体" w:cs="宋体"/>
                <w:sz w:val="18"/>
                <w:szCs w:val="18"/>
              </w:rPr>
              <w:t xml:space="preserve">3.2.17配置：视频引伸计一套。光源、安装线缆、安装配件、视频引伸计支架。</w:t>
            </w:r>
            <w:r/>
          </w:p>
        </w:tc>
        <w:tc>
          <w:tcPr>
            <w:tcW w:w="121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1台</w:t>
            </w:r>
            <w:r/>
          </w:p>
        </w:tc>
      </w:tr>
    </w:tbl>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注:1.本技术规格及要求提出的是最低限度的技术条件。投标人应注意在技术要求中如果出现了参考品牌或规格型号，其目的是为了方便投标人直观和准确地把握相应材料和产品的技术标准，不具有指定或唯一的意思表示，投标人应当参考所列品牌的材料和产品，采购相当于或高于所列品牌技术标准的材料和产品。</w:t>
      </w:r>
      <w:r/>
    </w:p>
    <w:p>
      <w:pPr>
        <w:ind w:firstLine="361"/>
        <w:keepLines w:val="0"/>
        <w:keepNext w:val="0"/>
        <w:pageBreakBefore w:val="0"/>
        <w:spacing w:line="320" w:lineRule="exact"/>
        <w:widowControl w:val="off"/>
        <w:rPr>
          <w:rFonts w:hint="eastAsia" w:ascii="宋体" w:hAnsi="宋体" w:eastAsia="宋体" w:cs="宋体"/>
          <w:sz w:val="18"/>
          <w:szCs w:val="18"/>
          <w:highlight w:val="none"/>
        </w:rPr>
      </w:pPr>
      <w:r>
        <w:rPr>
          <w:rFonts w:hint="eastAsia" w:ascii="宋体" w:hAnsi="宋体" w:eastAsia="宋体" w:cs="宋体"/>
          <w:b/>
          <w:bCs/>
          <w:sz w:val="18"/>
          <w:szCs w:val="18"/>
          <w:highlight w:val="none"/>
        </w:rPr>
        <w:t xml:space="preserve">2.技术参数中提到的证明材料，均需投标人在投标文件中提供复印件并加盖公章，原件备查。</w:t>
      </w:r>
      <w:bookmarkEnd w:id="180"/>
      <w:r/>
      <w:r/>
    </w:p>
    <w:p>
      <w:pPr>
        <w:ind w:firstLine="361"/>
        <w:keepLines w:val="0"/>
        <w:keepNext w:val="0"/>
        <w:pageBreakBefore w:val="0"/>
        <w:spacing w:line="320" w:lineRule="exact"/>
        <w:widowControl w:val="off"/>
        <w:rPr>
          <w:rFonts w:hint="eastAsia" w:ascii="宋体" w:hAnsi="宋体" w:eastAsia="宋体" w:cs="宋体"/>
          <w:b/>
          <w:bCs/>
          <w:sz w:val="18"/>
          <w:szCs w:val="18"/>
        </w:rPr>
      </w:pPr>
      <w:r>
        <w:rPr>
          <w:rFonts w:hint="eastAsia" w:ascii="宋体" w:hAnsi="宋体" w:eastAsia="宋体" w:cs="宋体"/>
          <w:b/>
          <w:bCs/>
          <w:sz w:val="18"/>
          <w:szCs w:val="18"/>
        </w:rPr>
        <w:t xml:space="preserve">四、商务条款</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1、响应报价：</w:t>
      </w:r>
      <w:r/>
    </w:p>
    <w:p>
      <w:pPr>
        <w:ind w:firstLine="360"/>
        <w:keepLines w:val="0"/>
        <w:keepNext w:val="0"/>
        <w:pageBreakBefore w:val="0"/>
        <w:spacing w:line="320" w:lineRule="exact"/>
        <w:widowControl w:val="off"/>
        <w:rPr>
          <w:rFonts w:hint="eastAsia" w:ascii="宋体" w:hAnsi="宋体" w:eastAsia="宋体" w:cs="宋体"/>
          <w:i/>
          <w:color w:val="000000"/>
          <w:sz w:val="18"/>
          <w:szCs w:val="18"/>
          <w:highlight w:val="none"/>
          <w:u w:val="single"/>
        </w:rPr>
      </w:pPr>
      <w:r>
        <w:rPr>
          <w:rFonts w:hint="eastAsia" w:ascii="宋体" w:hAnsi="宋体" w:eastAsia="宋体" w:cs="宋体"/>
          <w:i/>
          <w:color w:val="000000"/>
          <w:sz w:val="18"/>
          <w:szCs w:val="18"/>
          <w:highlight w:val="none"/>
          <w:u w:val="single"/>
        </w:rPr>
        <w:t xml:space="preserve">1.1应包括本次招标范围内全部设备、材料、随设备提供的备品配件及专用工具的价格、全部税费、包装费、运杂费（运抵采购人项目现场）、保险费、安装费、调试费、采购人操作维护人员培训费、验收检定费（取得法定计量检定机构有效溯源证书并证明合格）及供应商认为需要的其他费用等。发现漏项、缺项，供应商应无条件无偿补齐，必须保证各系统正常运行，所发生的一切费用，视为已包含在投标人投标报价中，且并不因此而影响交付使用时间。</w:t>
      </w:r>
      <w:r/>
    </w:p>
    <w:p>
      <w:pPr>
        <w:ind w:firstLine="360"/>
        <w:keepLines w:val="0"/>
        <w:keepNext w:val="0"/>
        <w:pageBreakBefore w:val="0"/>
        <w:spacing w:line="320" w:lineRule="exact"/>
        <w:widowControl w:val="off"/>
        <w:rPr>
          <w:rFonts w:hint="eastAsia" w:ascii="宋体" w:hAnsi="宋体" w:eastAsia="宋体" w:cs="宋体"/>
          <w:i/>
          <w:color w:val="000000"/>
          <w:sz w:val="18"/>
          <w:szCs w:val="18"/>
          <w:highlight w:val="none"/>
          <w:u w:val="single"/>
        </w:rPr>
      </w:pPr>
      <w:r>
        <w:rPr>
          <w:rFonts w:hint="eastAsia" w:ascii="宋体" w:hAnsi="宋体" w:eastAsia="宋体" w:cs="宋体"/>
          <w:i/>
          <w:color w:val="000000"/>
          <w:sz w:val="18"/>
          <w:szCs w:val="18"/>
          <w:highlight w:val="none"/>
          <w:u w:val="single"/>
        </w:rPr>
        <w:t xml:space="preserve">1.2在安装、调试、验收过程中，如发现有漏项、缺件，供应商应无条件、无偿补齐，所发生的一切费用，视为已包含在供应商投标时的投标报价之中，且并不因此而影响交付采购人使用的时间。</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2、付款方式：</w:t>
      </w:r>
      <w:r/>
    </w:p>
    <w:p>
      <w:pPr>
        <w:ind w:firstLine="360"/>
        <w:keepLines w:val="0"/>
        <w:keepNext w:val="0"/>
        <w:pageBreakBefore w:val="0"/>
        <w:spacing w:line="320" w:lineRule="exact"/>
        <w:widowControl w:val="off"/>
        <w:rPr>
          <w:rFonts w:hint="eastAsia" w:ascii="宋体" w:hAnsi="宋体" w:eastAsia="宋体" w:cs="宋体"/>
          <w:i/>
          <w:color w:val="000000"/>
          <w:sz w:val="18"/>
          <w:szCs w:val="18"/>
          <w:highlight w:val="none"/>
          <w:u w:val="single"/>
        </w:rPr>
      </w:pPr>
      <w:r>
        <w:rPr>
          <w:rFonts w:hint="eastAsia" w:ascii="宋体" w:hAnsi="宋体" w:eastAsia="宋体" w:cs="宋体"/>
          <w:i/>
          <w:color w:val="000000"/>
          <w:sz w:val="18"/>
          <w:szCs w:val="18"/>
          <w:highlight w:val="none"/>
          <w:u w:val="single"/>
        </w:rPr>
        <w:t xml:space="preserve">2.1合同签订生效后，采购人向</w:t>
      </w:r>
      <w:bookmarkStart w:id="181" w:name="OLE_LINK3"/>
      <w:r/>
      <w:bookmarkStart w:id="182" w:name="OLE_LINK4"/>
      <w:r>
        <w:rPr>
          <w:rFonts w:hint="eastAsia" w:ascii="宋体" w:hAnsi="宋体" w:eastAsia="宋体" w:cs="宋体"/>
          <w:i/>
          <w:color w:val="000000"/>
          <w:sz w:val="18"/>
          <w:szCs w:val="18"/>
          <w:highlight w:val="none"/>
          <w:u w:val="single"/>
        </w:rPr>
        <w:t xml:space="preserve">供应商</w:t>
      </w:r>
      <w:bookmarkEnd w:id="181"/>
      <w:r/>
      <w:bookmarkEnd w:id="182"/>
      <w:r>
        <w:rPr>
          <w:rFonts w:hint="eastAsia" w:ascii="宋体" w:hAnsi="宋体" w:eastAsia="宋体" w:cs="宋体"/>
          <w:i/>
          <w:color w:val="000000"/>
          <w:sz w:val="18"/>
          <w:szCs w:val="18"/>
          <w:highlight w:val="none"/>
          <w:u w:val="single"/>
        </w:rPr>
        <w:t xml:space="preserve">支付合同总价的50%；供应商在按照合同规定的期限内将设备、材料全部运抵交货地点，并安装调试结束，初步验收合格后，采购人收到供应商提供的合同总价10%的履约保函后向供应商支付合同总价的50%；在设备通过采购人验收合格且满12个月无质量问题后的15个工作日内，采购人将无息退还供应商的履约保函。</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3、交货期及交货地点：</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3.1、交货期：合同签订后2个月内。</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3.2、交货地点：江苏省特种设备安全监督检验研究院指定地点。</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4、设备包装要求：</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全部货物的外包装，必须采用防漏、防潮、防震、防锈、防盗和考虑到可能会发生的野蛮装卸等长途内陆运输及多次装卸之需要。</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5、安装、调试和验收</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5.1、由</w:t>
      </w:r>
      <w:r>
        <w:rPr>
          <w:rFonts w:hint="eastAsia" w:ascii="宋体" w:hAnsi="宋体" w:eastAsia="宋体" w:cs="宋体"/>
          <w:i/>
          <w:color w:val="000000"/>
          <w:sz w:val="18"/>
          <w:szCs w:val="18"/>
          <w:highlight w:val="none"/>
          <w:u w:val="single"/>
        </w:rPr>
        <w:t xml:space="preserve">供应商</w:t>
      </w:r>
      <w:r>
        <w:rPr>
          <w:rFonts w:hint="eastAsia" w:ascii="宋体" w:hAnsi="宋体" w:eastAsia="宋体" w:cs="宋体"/>
          <w:i/>
          <w:sz w:val="18"/>
          <w:szCs w:val="18"/>
          <w:highlight w:val="none"/>
          <w:u w:val="single"/>
        </w:rPr>
        <w:t xml:space="preserve">负责设备的现场安装和调试，按合同规定的时间、地点完成交货、组装、调试、验收完毕。在设备的搬运、安装、调试、试运行期间，</w:t>
      </w:r>
      <w:r>
        <w:rPr>
          <w:rFonts w:hint="eastAsia" w:ascii="宋体" w:hAnsi="宋体" w:eastAsia="宋体" w:cs="宋体"/>
          <w:i/>
          <w:color w:val="000000"/>
          <w:sz w:val="18"/>
          <w:szCs w:val="18"/>
          <w:highlight w:val="none"/>
          <w:u w:val="single"/>
        </w:rPr>
        <w:t xml:space="preserve">供应商</w:t>
      </w:r>
      <w:r>
        <w:rPr>
          <w:rFonts w:hint="eastAsia" w:ascii="宋体" w:hAnsi="宋体" w:eastAsia="宋体" w:cs="宋体"/>
          <w:i/>
          <w:sz w:val="18"/>
          <w:szCs w:val="18"/>
          <w:highlight w:val="none"/>
          <w:u w:val="single"/>
        </w:rPr>
        <w:t xml:space="preserve">安装调试人员一切费用自理。</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5.2、调试检验验收要求：设备和配件是否齐全，外观是否完好，设备各部分功能是否能正常使用，所提供设备及零配件规格是否与采购人要求相符。</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5.3、最终验收要求：技术指标要求符合招标要求。</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6、技术培训及售后服务</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i/>
          <w:sz w:val="18"/>
          <w:szCs w:val="18"/>
          <w:highlight w:val="none"/>
          <w:u w:val="single"/>
        </w:rPr>
        <w:t xml:space="preserve">6.1、</w:t>
      </w:r>
      <w:r>
        <w:rPr>
          <w:rFonts w:hint="eastAsia" w:ascii="宋体" w:hAnsi="宋体" w:eastAsia="宋体" w:cs="宋体"/>
          <w:i/>
          <w:color w:val="000000"/>
          <w:sz w:val="18"/>
          <w:szCs w:val="18"/>
          <w:highlight w:val="none"/>
          <w:u w:val="single"/>
        </w:rPr>
        <w:t xml:space="preserve">供应商</w:t>
      </w:r>
      <w:r>
        <w:rPr>
          <w:rFonts w:hint="eastAsia" w:ascii="宋体" w:hAnsi="宋体" w:eastAsia="宋体" w:cs="宋体"/>
          <w:bCs/>
          <w:i/>
          <w:sz w:val="18"/>
          <w:szCs w:val="18"/>
          <w:highlight w:val="none"/>
          <w:u w:val="single"/>
        </w:rPr>
        <w:t xml:space="preserve">应在安装调试时免费为</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bCs/>
          <w:i/>
          <w:sz w:val="18"/>
          <w:szCs w:val="18"/>
          <w:highlight w:val="none"/>
          <w:u w:val="single"/>
        </w:rPr>
        <w:t xml:space="preserve">培训2名以上的操作人员，培训时间根据</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bCs/>
          <w:i/>
          <w:sz w:val="18"/>
          <w:szCs w:val="18"/>
          <w:highlight w:val="none"/>
          <w:u w:val="single"/>
        </w:rPr>
        <w:t xml:space="preserve">实际情况来定，内容包括仪器的基本原理、结构、基本操作、维护知识，并指导</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bCs/>
          <w:i/>
          <w:sz w:val="18"/>
          <w:szCs w:val="18"/>
          <w:highlight w:val="none"/>
          <w:u w:val="single"/>
        </w:rPr>
        <w:t xml:space="preserve">进行样品分析检测。</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6.2、在设备使用过程中，供应商向</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i/>
          <w:sz w:val="18"/>
          <w:szCs w:val="18"/>
          <w:highlight w:val="none"/>
          <w:u w:val="single"/>
        </w:rPr>
        <w:t xml:space="preserve">及时提供相关技术咨询，现场技术服务及维修用零备件，并提供跟踪服务。</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6.3、质保期：验收合格后</w:t>
      </w:r>
      <w:r>
        <w:rPr>
          <w:rFonts w:hint="eastAsia" w:ascii="宋体" w:hAnsi="宋体" w:cs="宋体"/>
          <w:i/>
          <w:sz w:val="18"/>
          <w:szCs w:val="18"/>
          <w:highlight w:val="none"/>
          <w:u w:val="single"/>
          <w:lang w:val="en-US" w:eastAsia="zh-CN"/>
        </w:rPr>
        <w:t xml:space="preserve">1</w:t>
      </w:r>
      <w:r>
        <w:rPr>
          <w:rFonts w:hint="eastAsia" w:ascii="宋体" w:hAnsi="宋体" w:eastAsia="宋体" w:cs="宋体"/>
          <w:i/>
          <w:sz w:val="18"/>
          <w:szCs w:val="18"/>
          <w:highlight w:val="none"/>
          <w:u w:val="single"/>
        </w:rPr>
        <w:t xml:space="preserve">年。</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6.4、质保期内售后服务由供应商免费负责。供应商在接到服务通知（传真或信函）后1小时内给予答复，如</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i/>
          <w:sz w:val="18"/>
          <w:szCs w:val="18"/>
          <w:highlight w:val="none"/>
          <w:u w:val="single"/>
        </w:rPr>
        <w:t xml:space="preserve">不能自行解决的问题，供应商需要派员到厂处理时，保证在2个工作日内到达采购人现场排除故障。</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7、维护保养</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供应商应在质保期内免费提供一次全面的保养，在质保期外应根据采购人需要提供全面保养服务，且保养费用不得超过投标时提交的报价。</w:t>
      </w:r>
      <w:r/>
    </w:p>
    <w:p>
      <w:pPr>
        <w:pStyle w:val="1045"/>
        <w:ind w:firstLine="600"/>
        <w:rPr>
          <w:rFonts w:ascii="Times New Roman" w:hAnsi="Times New Roman"/>
        </w:rPr>
      </w:pPr>
      <w:r>
        <w:rPr>
          <w:rFonts w:ascii="Times New Roman" w:hAnsi="Times New Roman"/>
        </w:rPr>
      </w:r>
      <w:r/>
    </w:p>
    <w:p>
      <w:pPr>
        <w:jc w:val="center"/>
        <w:widowControl/>
        <w:rPr>
          <w:rFonts w:eastAsia="黑体"/>
          <w:bCs/>
          <w:sz w:val="44"/>
        </w:rPr>
        <w:outlineLvl w:val="0"/>
      </w:pPr>
      <w:r>
        <w:rPr>
          <w:rFonts w:eastAsia="黑体"/>
          <w:bCs/>
          <w:sz w:val="44"/>
        </w:rPr>
        <w:br w:type="page" w:clear="all"/>
      </w:r>
      <w:bookmarkStart w:id="183" w:name="_Toc5841"/>
      <w:r>
        <w:rPr>
          <w:rFonts w:eastAsia="黑体"/>
          <w:bCs/>
          <w:sz w:val="44"/>
        </w:rPr>
        <w:t xml:space="preserve">第五章  </w:t>
      </w:r>
      <w:r>
        <w:rPr>
          <w:rFonts w:eastAsia="黑体"/>
          <w:b/>
          <w:bCs/>
          <w:sz w:val="44"/>
        </w:rPr>
        <w:t xml:space="preserve">评标方法与评标标准</w:t>
      </w:r>
      <w:bookmarkEnd w:id="183"/>
      <w:r/>
      <w:r/>
    </w:p>
    <w:p>
      <w:r/>
      <w:r/>
    </w:p>
    <w:p>
      <w:pPr>
        <w:ind w:firstLine="420"/>
        <w:spacing w:line="360" w:lineRule="exact"/>
        <w:rPr>
          <w:szCs w:val="24"/>
        </w:rPr>
      </w:pPr>
      <w:r>
        <w:rPr>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szCs w:val="24"/>
        </w:rPr>
        <w:t xml:space="preserve">技术参数</w:t>
      </w:r>
      <w:r>
        <w:rPr>
          <w:szCs w:val="24"/>
        </w:rPr>
        <w:t xml:space="preserve">优劣顺序排列，由评标委员会确定中标供应商。</w:t>
      </w:r>
      <w:r/>
    </w:p>
    <w:tbl>
      <w:tblPr>
        <w:tblStyle w:val="1037"/>
        <w:tblW w:w="49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176"/>
        <w:gridCol w:w="6312"/>
        <w:gridCol w:w="677"/>
      </w:tblGrid>
      <w:tr>
        <w:trPr>
          <w:jc w:val="center"/>
          <w:trHeight w:val="584"/>
          <w:tblHeader/>
        </w:trPr>
        <w:tc>
          <w:tcPr>
            <w:tcW w:w="387" w:type="pct"/>
            <w:vAlign w:val="center"/>
            <w:textDirection w:val="lrTb"/>
            <w:noWrap/>
          </w:tcPr>
          <w:p>
            <w:pPr>
              <w:jc w:val="center"/>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p>
        </w:tc>
        <w:tc>
          <w:tcPr>
            <w:tcW w:w="664" w:type="pct"/>
            <w:vAlign w:val="center"/>
            <w:textDirection w:val="lrTb"/>
            <w:noWrap/>
          </w:tcPr>
          <w:p>
            <w:pPr>
              <w:jc w:val="center"/>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评审因素</w:t>
            </w:r>
            <w:r/>
          </w:p>
        </w:tc>
        <w:tc>
          <w:tcPr>
            <w:tcW w:w="3566" w:type="pct"/>
            <w:vAlign w:val="center"/>
            <w:textDirection w:val="lrTb"/>
            <w:noWrap/>
          </w:tcPr>
          <w:p>
            <w:pPr>
              <w:jc w:val="center"/>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评审标准</w:t>
            </w:r>
            <w:r/>
          </w:p>
        </w:tc>
        <w:tc>
          <w:tcPr>
            <w:tcW w:w="382" w:type="pct"/>
            <w:vAlign w:val="center"/>
            <w:textDirection w:val="lrTb"/>
            <w:noWrap/>
          </w:tcPr>
          <w:p>
            <w:pPr>
              <w:jc w:val="center"/>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p>
        </w:tc>
      </w:tr>
      <w:tr>
        <w:trPr>
          <w:jc w:val="center"/>
          <w:trHeight w:val="930"/>
        </w:trPr>
        <w:tc>
          <w:tcPr>
            <w:tcW w:w="387" w:type="pct"/>
            <w:vAlign w:val="center"/>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w:t>
            </w:r>
            <w:r/>
          </w:p>
        </w:tc>
        <w:tc>
          <w:tcPr>
            <w:tcW w:w="664" w:type="pct"/>
            <w:vAlign w:val="center"/>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价格</w:t>
            </w:r>
            <w:r/>
          </w:p>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部分</w:t>
            </w:r>
            <w:r/>
          </w:p>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（30分）</w:t>
            </w:r>
            <w:r/>
          </w:p>
        </w:tc>
        <w:tc>
          <w:tcPr>
            <w:tcW w:w="3566" w:type="pct"/>
            <w:vAlign w:val="center"/>
            <w:textDirection w:val="lrTb"/>
            <w:noWrap/>
          </w:tcPr>
          <w:p>
            <w:pP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1.1价格分。满足招标文件要求且投标报价最低的投标人的价格为投标基准价，其价格分为满分。其他投标人的价格分数统一按照下列公式计算：投标报价得分=（投标基准价/投标报</w:t>
            </w:r>
            <w:r>
              <w:rPr>
                <w:rFonts w:hint="eastAsia" w:ascii="宋体" w:hAnsi="宋体" w:eastAsia="宋体" w:cs="宋体"/>
                <w:sz w:val="21"/>
                <w:szCs w:val="21"/>
                <w:highlight w:val="none"/>
              </w:rPr>
              <w:t xml:space="preserve">价）×30。</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r>
      <w:tr>
        <w:trPr>
          <w:jc w:val="center"/>
          <w:trHeight w:val="2943"/>
        </w:trPr>
        <w:tc>
          <w:tcPr>
            <w:tcW w:w="387" w:type="pct"/>
            <w:vAlign w:val="center"/>
            <w:vMerge w:val="restart"/>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w:t>
            </w:r>
            <w:r/>
          </w:p>
        </w:tc>
        <w:tc>
          <w:tcPr>
            <w:tcW w:w="664" w:type="pct"/>
            <w:vAlign w:val="center"/>
            <w:vMerge w:val="restart"/>
            <w:textDirection w:val="lrTb"/>
            <w:noWrap/>
          </w:tcPr>
          <w:p>
            <w:pPr>
              <w:jc w:val="center"/>
              <w:spacing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技术部分</w:t>
            </w:r>
            <w:r/>
          </w:p>
          <w:p>
            <w:pPr>
              <w:jc w:val="center"/>
              <w:spacing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（44分）</w:t>
            </w:r>
            <w:r/>
          </w:p>
        </w:tc>
        <w:tc>
          <w:tcPr>
            <w:tcW w:w="3566" w:type="pct"/>
            <w:vAlign w:val="center"/>
            <w:textDirection w:val="lrTb"/>
            <w:noWrap/>
          </w:tcPr>
          <w:p>
            <w:pP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2.1技术要求。根据投标文件第四章中“三、技术规格及要求”内容的响应情况进行打分。</w:t>
            </w:r>
            <w:r>
              <w:rPr>
                <w:rFonts w:hint="eastAsia" w:ascii="宋体" w:hAnsi="宋体" w:eastAsia="宋体" w:cs="宋体"/>
                <w:sz w:val="21"/>
                <w:szCs w:val="21"/>
                <w:highlight w:val="none"/>
              </w:rPr>
              <w:t xml:space="preserve">完全满足招标文件要求的得30分。其中技术参数</w:t>
            </w:r>
            <w:r>
              <w:rPr>
                <w:rFonts w:hint="eastAsia" w:ascii="宋体" w:hAnsi="宋体" w:eastAsia="宋体" w:cs="宋体"/>
                <w:color w:val="000000" w:themeColor="text1"/>
                <w:sz w:val="21"/>
                <w:szCs w:val="21"/>
                <w:highlight w:val="none"/>
                <w14:textFill>
                  <w14:solidFill>
                    <w14:schemeClr w14:val="tx1"/>
                  </w14:solidFill>
                </w14:textFill>
              </w:rPr>
              <w:t xml:space="preserve">标注“★”条款为实质性技术参数，每有一条负偏离项</w:t>
            </w:r>
            <w:r>
              <w:rPr>
                <w:rFonts w:hint="eastAsia" w:ascii="宋体" w:hAnsi="宋体" w:eastAsia="宋体" w:cs="宋体"/>
                <w:sz w:val="21"/>
                <w:szCs w:val="21"/>
                <w:highlight w:val="none"/>
              </w:rPr>
              <w:t xml:space="preserve">作无效投标处理</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sz w:val="21"/>
                <w:szCs w:val="21"/>
                <w:highlight w:val="none"/>
              </w:rPr>
              <w:t xml:space="preserve">标注“▲”的内容为重要技术参数，如有负偏离的，每项扣2分；其他参数为普通技术参数，如有负偏离的，则每项扣1分；扣完为止</w:t>
            </w:r>
            <w:r>
              <w:rPr>
                <w:rFonts w:hint="eastAsia" w:ascii="宋体" w:hAnsi="宋体" w:eastAsia="宋体" w:cs="宋体"/>
                <w:sz w:val="21"/>
                <w:szCs w:val="21"/>
                <w:highlight w:val="none"/>
              </w:rPr>
              <w:t xml:space="preserve">。</w:t>
            </w:r>
            <w:r/>
          </w:p>
          <w:p>
            <w:pPr>
              <w:spacing w:line="30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备注：投标人须对标注“▲”的参数提供相应技术支持资料(如彩页或者白皮书或者检测报告或者截图证明等)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r>
      <w:tr>
        <w:trPr>
          <w:jc w:val="center"/>
          <w:trHeight w:val="1463"/>
        </w:trPr>
        <w:tc>
          <w:tcPr>
            <w:tcW w:w="387" w:type="pct"/>
            <w:vAlign w:val="center"/>
            <w:vMerge w:val="continue"/>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664" w:type="pct"/>
            <w:vAlign w:val="center"/>
            <w:vMerge w:val="continue"/>
            <w:textDirection w:val="lrTb"/>
            <w:noWrap/>
          </w:tcPr>
          <w:p>
            <w:pPr>
              <w:jc w:val="center"/>
              <w:spacing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技术方案评价。投标人根据项目需求提供完善的技术方案，评委对产品选型、规格、设计的科学性、合理性、材质选用、制造设备、工艺水平等进行打分。选型及规格高、设计方案清楚合理、可操作性强、材质选用及制造工艺水平高，优于项目需求的得10分；选型及规格较高、设计方案较合理、可操作性较强、材质选用及制造工艺水平较高，满足项目需求的得7分；选型及规格一般、可操作性一般、材质选用及制造工艺水平一般，基本满足项目需求的得4分；不满足或未提供的不得分。</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jc w:val="center"/>
          <w:trHeight w:val="1303"/>
        </w:trPr>
        <w:tc>
          <w:tcPr>
            <w:tcW w:w="387" w:type="pct"/>
            <w:vAlign w:val="center"/>
            <w:vMerge w:val="continue"/>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664" w:type="pct"/>
            <w:vAlign w:val="center"/>
            <w:vMerge w:val="continue"/>
            <w:textDirection w:val="lrTb"/>
            <w:noWrap/>
          </w:tcPr>
          <w:p>
            <w:pPr>
              <w:jc w:val="center"/>
              <w:spacing w:line="3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产品质量保证。投标文件中可提供产品图片、使用说明书、检测报告、产品用户评价等证明材料，评委根据投标供应商的产品的稳定性、先进性、耐用性、材料选择等对投标产品进行综合评审。稳定性、先进性、耐用性高，优于项目需求的得4分；稳定性、先进性、耐用性一般，满足项目需求的得2分；不满足或未提供的不得分。</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r>
      <w:tr>
        <w:trPr>
          <w:jc w:val="center"/>
          <w:trHeight w:val="238"/>
        </w:trPr>
        <w:tc>
          <w:tcPr>
            <w:tcW w:w="387" w:type="pct"/>
            <w:vAlign w:val="center"/>
            <w:vMerge w:val="restart"/>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w:t>
            </w:r>
            <w:r/>
          </w:p>
        </w:tc>
        <w:tc>
          <w:tcPr>
            <w:tcW w:w="664" w:type="pct"/>
            <w:vAlign w:val="center"/>
            <w:vMerge w:val="restart"/>
            <w:textDirection w:val="lrTb"/>
            <w:noWrap/>
          </w:tcPr>
          <w:p>
            <w:pPr>
              <w:jc w:val="center"/>
              <w:spacing w:line="3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项目方案</w:t>
            </w:r>
            <w:r/>
          </w:p>
          <w:p>
            <w:pPr>
              <w:jc w:val="center"/>
              <w:spacing w:line="3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（20分）</w:t>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实施方案。投标人根据项目需求提供实施方案，内容包括但不限于组织计划、实施流程、人员安排、设备安装方案（含调试验收）、进度计划、质量保证措施、紧急预案等：方案包含上述全部内容，实施流程清晰，安装及进度计划内容详细，措施完善，预案可操作性强，优于项目需求的得6分；方案包含上述全部内容，流程较清晰，安装及进度计划内容较详细，有对应措施，预案可操作性较强，满足项目需求的得4分；上述内容有缺项，内容合理性一般，措施简单粗糙，可操作性不强，基本满足项目需求的得2分；不满足或未提供的不得分。</w:t>
            </w:r>
            <w:r/>
          </w:p>
        </w:tc>
        <w:tc>
          <w:tcPr>
            <w:tcW w:w="382" w:type="pct"/>
            <w:vAlign w:val="center"/>
            <w:textDirection w:val="lrTb"/>
            <w:noWrap/>
          </w:tcPr>
          <w:p>
            <w:pPr>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r>
      <w:tr>
        <w:trPr>
          <w:jc w:val="center"/>
          <w:trHeight w:val="238"/>
        </w:trPr>
        <w:tc>
          <w:tcPr>
            <w:tcW w:w="387" w:type="pct"/>
            <w:vAlign w:val="center"/>
            <w:vMerge w:val="continue"/>
            <w:textDirection w:val="lrTb"/>
            <w:noWrap/>
          </w:tcPr>
          <w:p>
            <w:pPr>
              <w:jc w:val="center"/>
              <w:spacing w:line="300" w:lineRule="exact"/>
              <w:widowControl/>
              <w:rPr>
                <w:rFonts w:hint="eastAsia" w:ascii="宋体" w:hAnsi="宋体" w:eastAsia="宋体" w:cs="宋体"/>
                <w:b/>
                <w:sz w:val="21"/>
                <w:szCs w:val="21"/>
                <w:highlight w:val="yellow"/>
              </w:rPr>
            </w:pPr>
            <w:r>
              <w:rPr>
                <w:rFonts w:hint="eastAsia" w:ascii="宋体" w:hAnsi="宋体" w:eastAsia="宋体" w:cs="宋体"/>
                <w:b/>
                <w:sz w:val="21"/>
                <w:szCs w:val="21"/>
                <w:highlight w:val="yellow"/>
              </w:rPr>
            </w:r>
            <w:r/>
          </w:p>
        </w:tc>
        <w:tc>
          <w:tcPr>
            <w:tcW w:w="664" w:type="pct"/>
            <w:vAlign w:val="center"/>
            <w:vMerge w:val="continue"/>
            <w:textDirection w:val="lrTb"/>
            <w:noWrap/>
          </w:tcPr>
          <w:p>
            <w:pPr>
              <w:jc w:val="center"/>
              <w:spacing w:line="300" w:lineRule="exact"/>
              <w:rPr>
                <w:rFonts w:hint="eastAsia" w:ascii="宋体" w:hAnsi="宋体" w:eastAsia="宋体" w:cs="宋体"/>
                <w:b/>
                <w:sz w:val="21"/>
                <w:szCs w:val="21"/>
                <w:highlight w:val="yellow"/>
              </w:rPr>
            </w:pPr>
            <w:r>
              <w:rPr>
                <w:rFonts w:hint="eastAsia" w:ascii="宋体" w:hAnsi="宋体" w:eastAsia="宋体" w:cs="宋体"/>
                <w:b/>
                <w:sz w:val="21"/>
                <w:szCs w:val="21"/>
                <w:highlight w:val="yellow"/>
              </w:rPr>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用户培训方案。投标人根据项目需求提供培训方案，内容包括但不限于培训计划、培训内容、培训对象等，根据项目组织实施管理方案的合理性、人员安排、培训内容（含培训材料）及时间安排等方面进行打分。培训内容丰富，科学合理，培训形式多样，优于项目需求的得4分；培训内容较丰富，较合理，培训形式较多样，满足项目需求的得2分；培训内容简单，合理性一般，形式单一，基本满足项目需求的得1分；不满足或未提供的不得分。</w:t>
            </w:r>
            <w:r/>
          </w:p>
        </w:tc>
        <w:tc>
          <w:tcPr>
            <w:tcW w:w="382" w:type="pct"/>
            <w:vAlign w:val="center"/>
            <w:textDirection w:val="lrTb"/>
            <w:noWrap/>
          </w:tcPr>
          <w:p>
            <w:pPr>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r>
      <w:tr>
        <w:trPr>
          <w:jc w:val="center"/>
          <w:trHeight w:val="238"/>
        </w:trPr>
        <w:tc>
          <w:tcPr>
            <w:tcW w:w="387" w:type="pct"/>
            <w:vAlign w:val="center"/>
            <w:vMerge w:val="continue"/>
            <w:textDirection w:val="lrTb"/>
            <w:noWrap/>
          </w:tcPr>
          <w:p>
            <w:pPr>
              <w:jc w:val="center"/>
              <w:spacing w:line="300" w:lineRule="exact"/>
              <w:widowControl/>
              <w:rPr>
                <w:rFonts w:hint="eastAsia" w:ascii="宋体" w:hAnsi="宋体" w:eastAsia="宋体" w:cs="宋体"/>
                <w:b/>
                <w:sz w:val="21"/>
                <w:szCs w:val="21"/>
                <w:highlight w:val="yellow"/>
              </w:rPr>
            </w:pPr>
            <w:r>
              <w:rPr>
                <w:rFonts w:hint="eastAsia" w:ascii="宋体" w:hAnsi="宋体" w:eastAsia="宋体" w:cs="宋体"/>
                <w:b/>
                <w:sz w:val="21"/>
                <w:szCs w:val="21"/>
                <w:highlight w:val="yellow"/>
              </w:rPr>
            </w:r>
            <w:r/>
          </w:p>
        </w:tc>
        <w:tc>
          <w:tcPr>
            <w:tcW w:w="664" w:type="pct"/>
            <w:vAlign w:val="center"/>
            <w:vMerge w:val="continue"/>
            <w:textDirection w:val="lrTb"/>
            <w:noWrap/>
          </w:tcPr>
          <w:p>
            <w:pPr>
              <w:jc w:val="center"/>
              <w:spacing w:line="300" w:lineRule="exact"/>
              <w:rPr>
                <w:rFonts w:hint="eastAsia" w:ascii="宋体" w:hAnsi="宋体" w:eastAsia="宋体" w:cs="宋体"/>
                <w:b/>
                <w:sz w:val="21"/>
                <w:szCs w:val="21"/>
                <w:highlight w:val="yellow"/>
              </w:rPr>
            </w:pPr>
            <w:r>
              <w:rPr>
                <w:rFonts w:hint="eastAsia" w:ascii="宋体" w:hAnsi="宋体" w:eastAsia="宋体" w:cs="宋体"/>
                <w:b/>
                <w:sz w:val="21"/>
                <w:szCs w:val="21"/>
                <w:highlight w:val="yellow"/>
              </w:rPr>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3.3售后服务方案。投标人根据项目需求提供售后服务方案，内容包括但不限于服务</w:t>
            </w:r>
            <w:r>
              <w:rPr>
                <w:rFonts w:hint="eastAsia" w:ascii="宋体" w:hAnsi="宋体" w:eastAsia="宋体" w:cs="宋体"/>
                <w:color w:val="000000"/>
                <w:sz w:val="21"/>
                <w:szCs w:val="21"/>
                <w:highlight w:val="none"/>
              </w:rPr>
              <w:t xml:space="preserve">内容、响应时间、故障处理、恢复时效、人员力量、支撑保障、服务培训、服务保障体系等：方案阐述详细，响应时间及故障处理及时，人员配备合理，支撑保障措施完善，具备完善的服务保障体系，优于项目需求的得6分；方案阐述较详细，响应时间及故障处理较及时，人员配备较合理，支撑保障措施较完善，具有较完善的服务保障体系，满足项目需求的得4分；方案内容简单粗糙，上述内容有缺项，响应时间及故障处理不够及时，人员配备不够合理，支撑保障措施不够完善，服务保障体系不够完善，可实施性一般，基本满足项目需求的得2分；不满足或未提供的不得分。</w:t>
            </w:r>
            <w:r/>
          </w:p>
        </w:tc>
        <w:tc>
          <w:tcPr>
            <w:tcW w:w="382" w:type="pct"/>
            <w:vAlign w:val="center"/>
            <w:textDirection w:val="lrTb"/>
            <w:noWrap/>
          </w:tcPr>
          <w:p>
            <w:pPr>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r>
      <w:tr>
        <w:trPr>
          <w:jc w:val="center"/>
          <w:trHeight w:val="663"/>
        </w:trPr>
        <w:tc>
          <w:tcPr>
            <w:tcW w:w="387" w:type="pct"/>
            <w:vAlign w:val="center"/>
            <w:vMerge w:val="continue"/>
            <w:textDirection w:val="lrTb"/>
            <w:noWrap/>
          </w:tcPr>
          <w:p>
            <w:pPr>
              <w:jc w:val="center"/>
              <w:spacing w:line="320" w:lineRule="exact"/>
              <w:widowControl/>
              <w:rPr>
                <w:rFonts w:hint="eastAsia" w:ascii="宋体" w:hAnsi="宋体" w:eastAsia="宋体" w:cs="宋体"/>
                <w:b/>
                <w:sz w:val="21"/>
                <w:szCs w:val="21"/>
                <w:highlight w:val="yellow"/>
              </w:rPr>
            </w:pPr>
            <w:r>
              <w:rPr>
                <w:rFonts w:hint="eastAsia" w:ascii="宋体" w:hAnsi="宋体" w:eastAsia="宋体" w:cs="宋体"/>
                <w:b/>
                <w:sz w:val="21"/>
                <w:szCs w:val="21"/>
                <w:highlight w:val="yellow"/>
              </w:rPr>
            </w:r>
            <w:r/>
          </w:p>
        </w:tc>
        <w:tc>
          <w:tcPr>
            <w:tcW w:w="664" w:type="pct"/>
            <w:vAlign w:val="center"/>
            <w:vMerge w:val="continue"/>
            <w:textDirection w:val="lrTb"/>
            <w:noWrap/>
          </w:tcPr>
          <w:p>
            <w:pPr>
              <w:jc w:val="center"/>
              <w:spacing w:line="320" w:lineRule="exact"/>
              <w:rPr>
                <w:rFonts w:hint="eastAsia" w:ascii="宋体" w:hAnsi="宋体" w:eastAsia="宋体" w:cs="宋体"/>
                <w:b/>
                <w:sz w:val="21"/>
                <w:szCs w:val="21"/>
                <w:highlight w:val="yellow"/>
              </w:rPr>
            </w:pPr>
            <w:r>
              <w:rPr>
                <w:rFonts w:hint="eastAsia" w:ascii="宋体" w:hAnsi="宋体" w:eastAsia="宋体" w:cs="宋体"/>
                <w:b/>
                <w:sz w:val="21"/>
                <w:szCs w:val="21"/>
                <w:highlight w:val="yellow"/>
              </w:rPr>
            </w:r>
            <w:r/>
          </w:p>
        </w:tc>
        <w:tc>
          <w:tcPr>
            <w:tcW w:w="3566" w:type="pct"/>
            <w:vAlign w:val="center"/>
            <w:textDirection w:val="lrTb"/>
            <w:noWrap/>
          </w:tcPr>
          <w:p>
            <w:pPr>
              <w:spacing w:line="3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none"/>
              </w:rPr>
              <w:t xml:space="preserve">3.4</w:t>
            </w:r>
            <w:r>
              <w:rPr>
                <w:rFonts w:hint="eastAsia" w:ascii="宋体" w:hAnsi="宋体" w:cs="宋体"/>
                <w:color w:val="000000"/>
                <w:sz w:val="21"/>
                <w:szCs w:val="21"/>
                <w:highlight w:val="none"/>
                <w:lang w:val="en-US" w:eastAsia="zh-CN"/>
              </w:rPr>
              <w:t xml:space="preserve">免费质保期。投标人所投所有产品均满足招标文件基本要求的，不得分；在此基础上，投标人所投所有产品都增加1年免费质保期的得2分，都增加2年免费质保期的得4分，本项最多得4分</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若投标文件中出现质保</w:t>
            </w:r>
            <w:r>
              <w:rPr>
                <w:rFonts w:hint="eastAsia" w:ascii="宋体" w:hAnsi="宋体" w:cs="宋体"/>
                <w:color w:val="000000"/>
                <w:sz w:val="21"/>
                <w:szCs w:val="21"/>
                <w:highlight w:val="none"/>
                <w:lang w:val="en-US" w:eastAsia="zh-CN"/>
              </w:rPr>
              <w:t xml:space="preserve">期</w:t>
            </w:r>
            <w:r>
              <w:rPr>
                <w:rFonts w:hint="eastAsia" w:ascii="宋体" w:hAnsi="宋体" w:eastAsia="宋体" w:cs="宋体"/>
                <w:color w:val="000000"/>
                <w:sz w:val="21"/>
                <w:szCs w:val="21"/>
                <w:highlight w:val="none"/>
              </w:rPr>
              <w:t xml:space="preserve">前后不一致或多个产品质保</w:t>
            </w:r>
            <w:r>
              <w:rPr>
                <w:rFonts w:hint="eastAsia" w:ascii="宋体" w:hAnsi="宋体" w:cs="宋体"/>
                <w:color w:val="000000"/>
                <w:sz w:val="21"/>
                <w:szCs w:val="21"/>
                <w:highlight w:val="none"/>
                <w:lang w:val="en-US" w:eastAsia="zh-CN"/>
              </w:rPr>
              <w:t xml:space="preserve">期</w:t>
            </w:r>
            <w:r>
              <w:rPr>
                <w:rFonts w:hint="eastAsia" w:ascii="宋体" w:hAnsi="宋体" w:eastAsia="宋体" w:cs="宋体"/>
                <w:color w:val="000000"/>
                <w:sz w:val="21"/>
                <w:szCs w:val="21"/>
                <w:highlight w:val="none"/>
              </w:rPr>
              <w:t xml:space="preserve">不统一的，以</w:t>
            </w:r>
            <w:r>
              <w:rPr>
                <w:rFonts w:hint="eastAsia" w:ascii="宋体" w:hAnsi="宋体" w:cs="宋体"/>
                <w:color w:val="000000"/>
                <w:sz w:val="21"/>
                <w:szCs w:val="21"/>
                <w:highlight w:val="none"/>
                <w:lang w:val="en-US" w:eastAsia="zh-CN"/>
              </w:rPr>
              <w:t xml:space="preserve">投标文件中</w:t>
            </w:r>
            <w:r>
              <w:rPr>
                <w:rFonts w:hint="eastAsia" w:ascii="宋体" w:hAnsi="宋体" w:eastAsia="宋体" w:cs="宋体"/>
                <w:color w:val="000000"/>
                <w:sz w:val="21"/>
                <w:szCs w:val="21"/>
                <w:highlight w:val="none"/>
              </w:rPr>
              <w:t xml:space="preserve">最低免费质保期作为评分依据</w:t>
            </w:r>
            <w:r>
              <w:rPr>
                <w:rFonts w:hint="eastAsia" w:ascii="宋体" w:hAnsi="宋体" w:cs="宋体"/>
                <w:color w:val="000000"/>
                <w:sz w:val="21"/>
                <w:szCs w:val="21"/>
                <w:highlight w:val="none"/>
                <w:lang w:eastAsia="zh-CN"/>
              </w:rPr>
              <w:t xml:space="preserve">。）</w:t>
            </w:r>
            <w:r/>
          </w:p>
        </w:tc>
        <w:tc>
          <w:tcPr>
            <w:tcW w:w="382" w:type="pct"/>
            <w:vAlign w:val="center"/>
            <w:textDirection w:val="lrTb"/>
            <w:noWrap/>
          </w:tcPr>
          <w:p>
            <w:pPr>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r>
      <w:tr>
        <w:trPr>
          <w:jc w:val="center"/>
          <w:trHeight w:val="716"/>
        </w:trPr>
        <w:tc>
          <w:tcPr>
            <w:tcW w:w="387" w:type="pct"/>
            <w:vAlign w:val="center"/>
            <w:textDirection w:val="lrTb"/>
            <w:noWrap/>
          </w:tcPr>
          <w:p>
            <w:pPr>
              <w:jc w:val="center"/>
              <w:spacing w:line="3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w:t>
            </w:r>
            <w:r/>
          </w:p>
        </w:tc>
        <w:tc>
          <w:tcPr>
            <w:tcW w:w="664" w:type="pct"/>
            <w:vAlign w:val="center"/>
            <w:textDirection w:val="lrTb"/>
            <w:noWrap/>
          </w:tcPr>
          <w:p>
            <w:pPr>
              <w:jc w:val="center"/>
              <w:spacing w:line="3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业绩</w:t>
            </w:r>
            <w:r/>
          </w:p>
          <w:p>
            <w:pPr>
              <w:jc w:val="center"/>
              <w:spacing w:line="3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（6分）</w:t>
            </w:r>
            <w:r/>
          </w:p>
        </w:tc>
        <w:tc>
          <w:tcPr>
            <w:tcW w:w="3566" w:type="pct"/>
            <w:vAlign w:val="center"/>
            <w:textDirection w:val="lrTb"/>
            <w:noWrap/>
          </w:tcPr>
          <w:p>
            <w:pPr>
              <w:spacing w:line="315" w:lineRule="atLeast"/>
              <w:rPr>
                <w:rFonts w:hint="eastAsia" w:ascii="宋体" w:hAnsi="宋体" w:eastAsia="宋体" w:cs="宋体"/>
                <w:b/>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4.1自2023年1月1日(含)以来，投标人(或所投分包核心产品制造商)具有所投本分包核心产品同类或类似产品销售业绩，每份业绩须同时提供对应销售合同及至少一笔有效对应发票，业绩认定时间以合同签订时间为准。每提供1份完整、合规的有效业绩得2分，本项最高得6分。未提供、资料不完整或无法佐证业绩真实性及符合性的，本项不得分。</w:t>
            </w:r>
            <w:r/>
          </w:p>
        </w:tc>
        <w:tc>
          <w:tcPr>
            <w:tcW w:w="382" w:type="pct"/>
            <w:vAlign w:val="center"/>
            <w:textDirection w:val="lrTb"/>
            <w:noWrap/>
          </w:tcPr>
          <w:p>
            <w:pPr>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r>
    </w:tbl>
    <w:p>
      <w:pPr>
        <w:pStyle w:val="1089"/>
        <w:ind w:firstLine="482"/>
        <w:spacing w:before="0" w:after="0" w:line="360" w:lineRule="exact"/>
        <w:rPr>
          <w:rFonts w:ascii="Times New Roman" w:hAnsi="Times New Roman"/>
          <w:b/>
          <w:sz w:val="21"/>
          <w:szCs w:val="21"/>
        </w:rPr>
      </w:pPr>
      <w:r>
        <w:rPr>
          <w:rFonts w:ascii="Times New Roman" w:hAnsi="Times New Roman"/>
          <w:b/>
          <w:sz w:val="21"/>
          <w:szCs w:val="21"/>
        </w:rPr>
        <w:t xml:space="preserve">政府采购政策功能落实</w:t>
      </w:r>
      <w:r/>
    </w:p>
    <w:p>
      <w:pPr>
        <w:pStyle w:val="1089"/>
        <w:spacing w:before="0" w:after="0" w:line="360" w:lineRule="exact"/>
        <w:rPr>
          <w:rFonts w:ascii="Times New Roman" w:hAnsi="Times New Roman"/>
          <w:sz w:val="21"/>
          <w:szCs w:val="21"/>
        </w:rPr>
      </w:pPr>
      <w:r>
        <w:rPr>
          <w:rFonts w:ascii="Times New Roman" w:hAnsi="Times New Roman"/>
          <w:sz w:val="21"/>
          <w:szCs w:val="21"/>
        </w:rPr>
        <w:t xml:space="preserve">1、小微型企业价格扣除</w:t>
      </w:r>
      <w:r/>
    </w:p>
    <w:p>
      <w:pPr>
        <w:pStyle w:val="1089"/>
        <w:ind w:firstLine="315"/>
        <w:spacing w:before="0" w:after="0" w:line="360" w:lineRule="exact"/>
        <w:rPr>
          <w:rFonts w:ascii="Times New Roman" w:hAnsi="Times New Roman"/>
          <w:sz w:val="21"/>
          <w:szCs w:val="21"/>
        </w:rPr>
      </w:pPr>
      <w:r>
        <w:rPr>
          <w:rFonts w:ascii="Times New Roman" w:hAnsi="Times New Roman"/>
          <w:sz w:val="21"/>
          <w:szCs w:val="21"/>
        </w:rPr>
        <w:t xml:space="preserve">（1）本项目对小型和微型企业产品给予10%的扣除价格，用扣除后的价格参与评审。</w:t>
      </w:r>
      <w:r/>
    </w:p>
    <w:p>
      <w:pPr>
        <w:pStyle w:val="1089"/>
        <w:ind w:firstLine="315"/>
        <w:spacing w:before="0" w:after="0" w:line="360" w:lineRule="exact"/>
        <w:rPr>
          <w:rFonts w:ascii="Times New Roman" w:hAnsi="Times New Roman"/>
          <w:sz w:val="21"/>
          <w:szCs w:val="21"/>
        </w:rPr>
      </w:pPr>
      <w:r>
        <w:rPr>
          <w:rFonts w:ascii="Times New Roman" w:hAnsi="Times New Roman"/>
          <w:sz w:val="21"/>
          <w:szCs w:val="21"/>
        </w:rPr>
        <w:t xml:space="preserve">（2）供应商需按照采购文件的要求提供相应的《企业声明函》。</w:t>
      </w:r>
      <w:r/>
    </w:p>
    <w:p>
      <w:pPr>
        <w:pStyle w:val="1089"/>
        <w:ind w:firstLine="315"/>
        <w:spacing w:before="0" w:after="0" w:line="360" w:lineRule="exact"/>
        <w:rPr>
          <w:rFonts w:ascii="Times New Roman" w:hAnsi="Times New Roman"/>
          <w:sz w:val="21"/>
          <w:szCs w:val="21"/>
        </w:rPr>
      </w:pPr>
      <w:r>
        <w:rPr>
          <w:rFonts w:ascii="Times New Roman" w:hAnsi="Times New Roman"/>
          <w:sz w:val="21"/>
          <w:szCs w:val="21"/>
        </w:rPr>
        <w:t xml:space="preserve">（3）企业标准请参照《关于印发中小企业划型标准规定的通知》（工信部联企业[2011]300号）文件规定自行填写。</w:t>
      </w:r>
      <w:r/>
    </w:p>
    <w:p>
      <w:pPr>
        <w:pStyle w:val="1089"/>
        <w:spacing w:before="0" w:after="0" w:line="360" w:lineRule="exact"/>
        <w:rPr>
          <w:rFonts w:ascii="Times New Roman" w:hAnsi="Times New Roman"/>
          <w:sz w:val="21"/>
          <w:szCs w:val="21"/>
        </w:rPr>
      </w:pPr>
      <w:r>
        <w:rPr>
          <w:rFonts w:ascii="Times New Roman" w:hAnsi="Times New Roman"/>
          <w:sz w:val="21"/>
          <w:szCs w:val="21"/>
        </w:rPr>
        <w:t xml:space="preserve">2、残疾人福利单位价格扣除</w:t>
      </w:r>
      <w:r/>
    </w:p>
    <w:p>
      <w:pPr>
        <w:pStyle w:val="1089"/>
        <w:ind w:left="120" w:firstLine="315"/>
        <w:spacing w:before="0" w:after="0" w:line="360" w:lineRule="exact"/>
        <w:rPr>
          <w:rFonts w:ascii="Times New Roman" w:hAnsi="Times New Roman"/>
          <w:sz w:val="21"/>
          <w:szCs w:val="21"/>
        </w:rPr>
      </w:pPr>
      <w:r>
        <w:rPr>
          <w:rFonts w:ascii="Times New Roman" w:hAnsi="Times New Roman"/>
          <w:sz w:val="21"/>
          <w:szCs w:val="21"/>
        </w:rPr>
        <w:t xml:space="preserve">（1）本项目对残疾人福利性单位视同小型、微型企业，给予10%的价格扣除，用扣除后的价格参与评审。</w:t>
      </w:r>
      <w:r/>
    </w:p>
    <w:p>
      <w:pPr>
        <w:pStyle w:val="1089"/>
        <w:ind w:left="120" w:firstLine="315"/>
        <w:spacing w:before="0" w:after="0" w:line="360" w:lineRule="exact"/>
        <w:rPr>
          <w:rFonts w:ascii="Times New Roman" w:hAnsi="Times New Roman"/>
          <w:sz w:val="21"/>
          <w:szCs w:val="21"/>
        </w:rPr>
      </w:pPr>
      <w:r>
        <w:rPr>
          <w:rFonts w:ascii="Times New Roman" w:hAnsi="Times New Roman"/>
          <w:sz w:val="21"/>
          <w:szCs w:val="21"/>
        </w:rPr>
        <w:t xml:space="preserve">（2）残疾人福利单位需按照采购文件的要求提供《残疾人福利性单位声明函》。</w:t>
      </w:r>
      <w:r/>
    </w:p>
    <w:p>
      <w:pPr>
        <w:pStyle w:val="1089"/>
        <w:ind w:left="120" w:firstLine="315"/>
        <w:spacing w:before="0" w:after="0" w:line="360" w:lineRule="exact"/>
        <w:rPr>
          <w:rFonts w:ascii="Times New Roman" w:hAnsi="Times New Roman"/>
          <w:sz w:val="21"/>
          <w:szCs w:val="21"/>
        </w:rPr>
      </w:pPr>
      <w:r>
        <w:rPr>
          <w:rFonts w:ascii="Times New Roman" w:hAnsi="Times New Roman"/>
          <w:sz w:val="21"/>
          <w:szCs w:val="21"/>
        </w:rPr>
        <w:t xml:space="preserve">（3）残疾人福利单位标准请参照《关于促进残疾人就业政府采购政策的通知》（财库〔2017〕141号）。</w:t>
      </w:r>
      <w:r/>
    </w:p>
    <w:p>
      <w:pPr>
        <w:pStyle w:val="1089"/>
        <w:spacing w:before="0" w:after="0" w:line="360" w:lineRule="exact"/>
        <w:rPr>
          <w:rFonts w:ascii="Times New Roman" w:hAnsi="Times New Roman"/>
          <w:sz w:val="21"/>
          <w:szCs w:val="21"/>
        </w:rPr>
      </w:pPr>
      <w:r>
        <w:rPr>
          <w:rFonts w:ascii="Times New Roman" w:hAnsi="Times New Roman"/>
          <w:sz w:val="21"/>
          <w:szCs w:val="21"/>
        </w:rPr>
        <w:t xml:space="preserve">3、监狱和戒毒企业价格扣除</w:t>
      </w:r>
      <w:r/>
    </w:p>
    <w:p>
      <w:pPr>
        <w:pStyle w:val="1089"/>
        <w:spacing w:before="0" w:after="0" w:line="360" w:lineRule="exact"/>
        <w:rPr>
          <w:rFonts w:ascii="Times New Roman" w:hAnsi="Times New Roman"/>
          <w:sz w:val="21"/>
          <w:szCs w:val="21"/>
        </w:rPr>
      </w:pPr>
      <w:r>
        <w:rPr>
          <w:rFonts w:ascii="Times New Roman" w:hAnsi="Times New Roman"/>
          <w:sz w:val="21"/>
          <w:szCs w:val="21"/>
        </w:rPr>
        <w:t xml:space="preserve">（1）本项目对监狱和戒毒企业（简称监狱企业）视同小型、微型企业，给予10%的价格扣除，用扣除后的价格参与评审。</w:t>
      </w:r>
      <w:r/>
    </w:p>
    <w:p>
      <w:pPr>
        <w:pStyle w:val="1089"/>
        <w:spacing w:before="0" w:after="0" w:line="360" w:lineRule="exact"/>
        <w:rPr>
          <w:rFonts w:ascii="Times New Roman" w:hAnsi="Times New Roman"/>
          <w:sz w:val="21"/>
          <w:szCs w:val="21"/>
        </w:rPr>
      </w:pPr>
      <w:r>
        <w:rPr>
          <w:rFonts w:ascii="Times New Roman" w:hAnsi="Times New Roman"/>
          <w:sz w:val="21"/>
          <w:szCs w:val="21"/>
        </w:rPr>
        <w:t xml:space="preserve">（2）监狱企业参加政府采购活动时，需提供由省级以上监狱管理局、戒毒管理局</w:t>
      </w:r>
      <w:r>
        <w:rPr>
          <w:rFonts w:hint="eastAsia" w:ascii="Times New Roman" w:hAnsi="Times New Roman"/>
          <w:sz w:val="21"/>
          <w:szCs w:val="21"/>
        </w:rPr>
        <w:t xml:space="preserve">（</w:t>
      </w:r>
      <w:r>
        <w:rPr>
          <w:rFonts w:ascii="Times New Roman" w:hAnsi="Times New Roman"/>
          <w:sz w:val="21"/>
          <w:szCs w:val="21"/>
        </w:rPr>
        <w:t xml:space="preserve">含新疆生产建设兵团</w:t>
      </w:r>
      <w:r>
        <w:rPr>
          <w:rFonts w:hint="eastAsia" w:ascii="Times New Roman" w:hAnsi="Times New Roman"/>
          <w:sz w:val="21"/>
          <w:szCs w:val="21"/>
        </w:rPr>
        <w:t xml:space="preserve">）</w:t>
      </w:r>
      <w:r>
        <w:rPr>
          <w:rFonts w:ascii="Times New Roman" w:hAnsi="Times New Roman"/>
          <w:sz w:val="21"/>
          <w:szCs w:val="21"/>
        </w:rPr>
        <w:t xml:space="preserve">出具的属于监狱企业的证明文件。供应商如不提供上述证明文件，价格将不做相应扣除。</w:t>
      </w:r>
      <w:r/>
    </w:p>
    <w:p>
      <w:pPr>
        <w:pStyle w:val="1089"/>
        <w:spacing w:before="0" w:after="0" w:line="360" w:lineRule="exact"/>
        <w:rPr>
          <w:rFonts w:ascii="Times New Roman" w:hAnsi="Times New Roman"/>
          <w:sz w:val="21"/>
          <w:szCs w:val="21"/>
        </w:rPr>
      </w:pPr>
      <w:r>
        <w:rPr>
          <w:rFonts w:ascii="Times New Roman" w:hAnsi="Times New Roman"/>
          <w:sz w:val="21"/>
          <w:szCs w:val="21"/>
        </w:rPr>
        <w:t xml:space="preserve">（3）监狱企业标准请参照《关于政府采购支持监狱企业发展有关问题的通知》（财库[2014]68号）。</w:t>
      </w:r>
      <w:r/>
    </w:p>
    <w:p>
      <w:pPr>
        <w:pStyle w:val="1089"/>
        <w:spacing w:before="0" w:after="0" w:line="360" w:lineRule="exact"/>
        <w:rPr>
          <w:rFonts w:ascii="Times New Roman" w:hAnsi="Times New Roman"/>
          <w:sz w:val="21"/>
          <w:szCs w:val="21"/>
        </w:rPr>
      </w:pPr>
      <w:r>
        <w:rPr>
          <w:rFonts w:ascii="Times New Roman" w:hAnsi="Times New Roman"/>
          <w:sz w:val="21"/>
          <w:szCs w:val="21"/>
        </w:rPr>
        <w:t xml:space="preserve">4、残疾人福利单位、监狱企业属于小型、微型企业的，不重复享受政策。</w:t>
      </w:r>
      <w:r/>
    </w:p>
    <w:p>
      <w:pPr>
        <w:pStyle w:val="1089"/>
        <w:spacing w:before="0" w:after="0"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如果本项目同意联合体投标或同意分包履行合同的,</w:t>
      </w:r>
      <w:r>
        <w:rPr>
          <w:rFonts w:ascii="Times New Roman" w:hAnsi="Times New Roman"/>
          <w:sz w:val="21"/>
          <w:szCs w:val="21"/>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pStyle w:val="1089"/>
        <w:spacing w:before="0" w:after="0" w:line="360" w:lineRule="exact"/>
        <w:rPr>
          <w:rFonts w:ascii="Times New Roman" w:hAnsi="Times New Roman"/>
          <w:sz w:val="21"/>
          <w:szCs w:val="21"/>
        </w:rPr>
      </w:pPr>
      <w:r>
        <w:rPr>
          <w:rFonts w:ascii="Times New Roman" w:hAnsi="Times New Roman"/>
          <w:sz w:val="21"/>
          <w:szCs w:val="21"/>
        </w:rPr>
        <w:t xml:space="preserve">6、联合体各方均为小型、微型企业（残疾人福利单位、监狱企业）的，联合体享受10%价格扣除，用扣除后的价格参与评审。</w:t>
      </w:r>
      <w:r/>
    </w:p>
    <w:p>
      <w:pPr>
        <w:ind w:firstLine="420"/>
        <w:jc w:val="left"/>
        <w:spacing w:line="400" w:lineRule="exact"/>
      </w:pPr>
      <w:r>
        <w:rPr>
          <w:rFonts w:hint="eastAsia"/>
        </w:rPr>
        <w:t xml:space="preserve">7、采购本国产品的支持政策</w:t>
      </w:r>
      <w:r/>
    </w:p>
    <w:p>
      <w:pPr>
        <w:ind w:firstLine="420"/>
        <w:jc w:val="left"/>
        <w:spacing w:line="400" w:lineRule="exact"/>
      </w:pPr>
      <w:r>
        <w:rPr>
          <w:rFonts w:hint="eastAsia"/>
        </w:rPr>
        <w:t xml:space="preserve">7.1 本项目政府采购活动中既有本国产品又有非本国产品参与竞争的，依法对本国产品给予价格评审优惠，对本国产品的报价给予20%的价格扣除，用扣除后的价格参与评审。</w:t>
      </w:r>
      <w:r/>
    </w:p>
    <w:p>
      <w:pPr>
        <w:ind w:firstLine="420"/>
        <w:jc w:val="left"/>
        <w:spacing w:line="400" w:lineRule="exact"/>
      </w:pPr>
      <w:r>
        <w:rPr>
          <w:rFonts w:hint="eastAsi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jc w:val="left"/>
        <w:spacing w:line="400" w:lineRule="exact"/>
      </w:pPr>
      <w:r>
        <w:rPr>
          <w:rFonts w:hint="eastAsia"/>
        </w:rPr>
        <w:t xml:space="preserve">7.3 供应商需按照招标文件的要求提供《关于符合本国产品标准的声明函》（以下简称《声明函》），如不提供将不享受本国产品价格评审优惠。</w:t>
      </w:r>
      <w:r/>
    </w:p>
    <w:p>
      <w:pPr>
        <w:ind w:firstLine="420"/>
        <w:jc w:val="left"/>
        <w:spacing w:line="400" w:lineRule="exact"/>
      </w:pPr>
      <w:r>
        <w:rPr>
          <w:rFonts w:hint="eastAsia"/>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1089"/>
        <w:spacing w:before="0" w:after="0" w:line="360" w:lineRule="exact"/>
      </w:pPr>
      <w:r>
        <w:rPr>
          <w:rFonts w:hint="eastAsia" w:ascii="Times New Roman" w:hAnsi="Times New Roman"/>
          <w:sz w:val="21"/>
          <w:szCs w:val="21"/>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sz w:val="21"/>
          <w:szCs w:val="21"/>
        </w:rPr>
        <w:tab/>
      </w:r>
      <w:r>
        <w:rPr>
          <w:rFonts w:ascii="Times New Roman" w:hAnsi="Times New Roman"/>
          <w:sz w:val="21"/>
          <w:szCs w:val="21"/>
        </w:rPr>
        <w:br w:type="page" w:clear="all"/>
      </w:r>
      <w:bookmarkEnd w:id="169"/>
      <w:r/>
      <w:bookmarkEnd w:id="170"/>
      <w:r/>
      <w:bookmarkEnd w:id="177"/>
      <w:r/>
      <w:bookmarkEnd w:id="178"/>
      <w:r/>
      <w:bookmarkEnd w:id="179"/>
      <w:r/>
      <w:r/>
    </w:p>
    <w:p>
      <w:r/>
      <w:r/>
    </w:p>
    <w:p>
      <w:r/>
      <w:r/>
    </w:p>
    <w:p>
      <w:r/>
      <w:r/>
    </w:p>
    <w:p>
      <w:pPr>
        <w:pStyle w:val="1027"/>
        <w:rPr>
          <w:rFonts w:ascii="Times New Roman" w:eastAsia="黑体"/>
          <w:bCs/>
          <w:sz w:val="44"/>
        </w:rPr>
      </w:pPr>
      <w:r/>
      <w:bookmarkStart w:id="184" w:name="_Toc5737"/>
      <w:r>
        <w:rPr>
          <w:rFonts w:ascii="Times New Roman" w:eastAsia="黑体"/>
          <w:bCs/>
          <w:sz w:val="44"/>
        </w:rPr>
        <w:t xml:space="preserve">第六章  投标文件格式</w:t>
      </w:r>
      <w:bookmarkEnd w:id="184"/>
      <w:r>
        <w:rPr>
          <w:rFonts w:ascii="Times New Roman" w:eastAsia="黑体"/>
          <w:bCs/>
          <w:sz w:val="44"/>
        </w:rPr>
        <w:t xml:space="preserve"> </w:t>
      </w:r>
      <w:r/>
    </w:p>
    <w:p>
      <w:pPr>
        <w:jc w:val="center"/>
        <w:rPr>
          <w:b/>
          <w:sz w:val="72"/>
        </w:rPr>
      </w:pPr>
      <w:r/>
      <w:bookmarkStart w:id="185" w:name="_Hlt26671244"/>
      <w:r/>
      <w:bookmarkEnd w:id="185"/>
      <w:r/>
      <w:bookmarkStart w:id="186" w:name="_Hlt26955039"/>
      <w:r/>
      <w:bookmarkEnd w:id="186"/>
      <w:r/>
      <w:bookmarkStart w:id="187" w:name="_Toc49090576"/>
      <w:r/>
      <w:bookmarkStart w:id="188" w:name="_Toc26554094"/>
      <w:r/>
      <w:bookmarkStart w:id="189" w:name="_Toc120614282"/>
      <w:r/>
      <w:r/>
    </w:p>
    <w:p>
      <w:pPr>
        <w:jc w:val="center"/>
        <w:rPr>
          <w:b/>
          <w:sz w:val="72"/>
        </w:rPr>
      </w:pPr>
      <w:r>
        <w:rPr>
          <w:b/>
          <w:sz w:val="72"/>
        </w:rPr>
        <w:t xml:space="preserve">投  标  文  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b/>
          <w:sz w:val="36"/>
        </w:rPr>
        <w:t xml:space="preserve">项 目 名 称：</w:t>
      </w:r>
      <w:r>
        <w:rPr>
          <w:b/>
          <w:sz w:val="36"/>
          <w:u w:val="single"/>
        </w:rPr>
        <w:t xml:space="preserve">                     </w:t>
      </w:r>
      <w:r/>
    </w:p>
    <w:p>
      <w:pPr>
        <w:ind w:firstLine="1084"/>
        <w:rPr>
          <w:b/>
          <w:sz w:val="36"/>
          <w:u w:val="single"/>
        </w:rPr>
      </w:pPr>
      <w:r>
        <w:rPr>
          <w:b/>
          <w:sz w:val="36"/>
        </w:rPr>
        <w:t xml:space="preserve">招 标 编 号：</w:t>
      </w:r>
      <w:r>
        <w:rPr>
          <w:b/>
          <w:sz w:val="36"/>
          <w:u w:val="single"/>
        </w:rPr>
        <w:t xml:space="preserve">                     </w:t>
      </w:r>
      <w:r/>
    </w:p>
    <w:p>
      <w:pPr>
        <w:rPr>
          <w:b/>
          <w:sz w:val="36"/>
          <w:u w:val="single"/>
        </w:rPr>
      </w:pPr>
      <w:r>
        <w:rPr>
          <w:b/>
          <w:sz w:val="36"/>
        </w:rPr>
        <w:t xml:space="preserve">      投标人名称 ：</w:t>
      </w:r>
      <w:r>
        <w:rPr>
          <w:b/>
          <w:bCs/>
          <w:color w:val="000000"/>
          <w:sz w:val="36"/>
          <w:szCs w:val="36"/>
          <w:u w:val="single"/>
        </w:rPr>
        <w:t xml:space="preserve">（加盖CA电子公章）</w:t>
      </w:r>
      <w:r>
        <w:rPr>
          <w:b/>
          <w:sz w:val="36"/>
          <w:u w:val="single"/>
        </w:rPr>
        <w:t xml:space="preserve"> </w:t>
      </w:r>
      <w:r/>
    </w:p>
    <w:p>
      <w:pPr>
        <w:rPr>
          <w:b/>
          <w:sz w:val="36"/>
        </w:rPr>
      </w:pPr>
      <w:r>
        <w:rPr>
          <w:b/>
          <w:sz w:val="36"/>
        </w:rPr>
        <w:t xml:space="preserve">      日      期 ：</w:t>
      </w:r>
      <w:r>
        <w:rPr>
          <w:b/>
          <w:sz w:val="36"/>
          <w:u w:val="single"/>
        </w:rPr>
        <w:t xml:space="preserve">                     </w:t>
      </w:r>
      <w:r/>
    </w:p>
    <w:p>
      <w:pPr>
        <w:jc w:val="center"/>
        <w:spacing w:line="440" w:lineRule="exact"/>
        <w:rPr>
          <w:b/>
          <w:bCs/>
          <w:sz w:val="32"/>
          <w:szCs w:val="32"/>
        </w:rPr>
      </w:pPr>
      <w:r>
        <w:rPr>
          <w:b/>
          <w:bCs/>
          <w:sz w:val="32"/>
          <w:szCs w:val="32"/>
        </w:rPr>
      </w:r>
      <w:r/>
    </w:p>
    <w:p>
      <w:pPr>
        <w:jc w:val="left"/>
        <w:widowControl/>
        <w:rPr>
          <w:b/>
          <w:bCs/>
          <w:sz w:val="32"/>
          <w:szCs w:val="32"/>
        </w:rPr>
      </w:pPr>
      <w:r>
        <w:rPr>
          <w:b/>
          <w:bCs/>
          <w:sz w:val="32"/>
          <w:szCs w:val="32"/>
        </w:rPr>
        <w:br w:type="page" w:clear="all"/>
      </w:r>
      <w:bookmarkEnd w:id="187"/>
      <w:r/>
      <w:bookmarkEnd w:id="188"/>
      <w:r/>
      <w:bookmarkEnd w:id="189"/>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rPr>
      </w:pPr>
      <w:r>
        <w:rPr>
          <w:rFonts w:hint="eastAsia" w:ascii="宋体" w:hAnsi="宋体"/>
          <w:b/>
        </w:rPr>
        <w:t xml:space="preserve">一、基本目录</w:t>
      </w:r>
      <w:r/>
    </w:p>
    <w:p>
      <w:pPr>
        <w:ind w:left="480"/>
        <w:spacing w:line="400" w:lineRule="exact"/>
        <w:rPr>
          <w:rFonts w:hint="eastAsia" w:ascii="宋体" w:hAnsi="宋体"/>
        </w:rPr>
      </w:pPr>
      <w:r>
        <w:rPr>
          <w:rFonts w:ascii="宋体" w:hAnsi="宋体"/>
        </w:rPr>
        <w:t xml:space="preserve">1.</w:t>
      </w:r>
      <w:r>
        <w:rPr>
          <w:rFonts w:hint="eastAsia" w:ascii="宋体" w:hAnsi="宋体"/>
        </w:rPr>
        <w:t xml:space="preserve">开标一览表（格式见附件</w:t>
      </w:r>
      <w:r>
        <w:rPr>
          <w:rFonts w:ascii="宋体" w:hAnsi="宋体"/>
        </w:rPr>
        <w:t xml:space="preserve">1</w:t>
      </w:r>
      <w:r>
        <w:rPr>
          <w:rFonts w:hint="eastAsia" w:ascii="宋体" w:hAnsi="宋体"/>
        </w:rPr>
        <w:t xml:space="preserve">）</w:t>
      </w:r>
      <w:r/>
    </w:p>
    <w:p>
      <w:pPr>
        <w:ind w:left="480"/>
        <w:spacing w:line="400" w:lineRule="exact"/>
        <w:rPr>
          <w:rFonts w:hint="eastAsia" w:ascii="宋体" w:hAnsi="宋体"/>
        </w:rPr>
      </w:pPr>
      <w:r>
        <w:rPr>
          <w:rFonts w:ascii="宋体" w:hAnsi="宋体"/>
        </w:rPr>
        <w:t xml:space="preserve">2.</w:t>
      </w:r>
      <w:r>
        <w:rPr>
          <w:rFonts w:hint="eastAsia" w:ascii="宋体" w:hAnsi="宋体"/>
        </w:rPr>
        <w:t xml:space="preserve">投标分项报价表（格式见</w:t>
      </w:r>
      <w:r>
        <w:rPr>
          <w:rFonts w:ascii="宋体" w:hAnsi="宋体"/>
        </w:rPr>
        <w:t xml:space="preserve">附件2</w:t>
      </w:r>
      <w:r>
        <w:rPr>
          <w:rFonts w:hint="eastAsia" w:ascii="宋体" w:hAnsi="宋体"/>
        </w:rPr>
        <w:t xml:space="preserve">）</w:t>
      </w:r>
      <w:r/>
    </w:p>
    <w:p>
      <w:pPr>
        <w:ind w:left="480"/>
        <w:spacing w:line="400" w:lineRule="exact"/>
        <w:rPr>
          <w:rFonts w:hint="eastAsia" w:ascii="宋体" w:hAnsi="宋体"/>
        </w:rPr>
      </w:pPr>
      <w:r>
        <w:rPr>
          <w:rFonts w:ascii="宋体" w:hAnsi="宋体"/>
        </w:rPr>
        <w:t xml:space="preserve">3.</w:t>
      </w:r>
      <w:r>
        <w:rPr>
          <w:rFonts w:hint="eastAsia" w:ascii="宋体" w:hAnsi="宋体"/>
        </w:rPr>
        <w:t xml:space="preserve">技术要求响应及偏离表（格式见</w:t>
      </w:r>
      <w:r>
        <w:rPr>
          <w:rFonts w:ascii="宋体" w:hAnsi="宋体"/>
        </w:rPr>
        <w:t xml:space="preserve">附件3</w:t>
      </w:r>
      <w:r>
        <w:rPr>
          <w:rFonts w:hint="eastAsia" w:ascii="宋体" w:hAnsi="宋体"/>
        </w:rPr>
        <w:t xml:space="preserve">）</w:t>
      </w:r>
      <w:r/>
    </w:p>
    <w:p>
      <w:pPr>
        <w:ind w:firstLine="420"/>
        <w:spacing w:line="400" w:lineRule="exact"/>
        <w:rPr>
          <w:rFonts w:hint="eastAsia" w:ascii="宋体" w:hAnsi="宋体"/>
        </w:rPr>
      </w:pPr>
      <w:r>
        <w:rPr>
          <w:rFonts w:ascii="宋体" w:hAnsi="宋体"/>
        </w:rPr>
        <w:t xml:space="preserve">4.</w:t>
      </w:r>
      <w:r>
        <w:rPr>
          <w:rFonts w:hint="eastAsia" w:ascii="宋体" w:hAnsi="宋体"/>
        </w:rPr>
        <w:t xml:space="preserve">商务要求响应及偏离表（格式见</w:t>
      </w:r>
      <w:r>
        <w:rPr>
          <w:rFonts w:ascii="宋体" w:hAnsi="宋体"/>
        </w:rPr>
        <w:t xml:space="preserve">附件4</w:t>
      </w:r>
      <w:r>
        <w:rPr>
          <w:rFonts w:hint="eastAsia" w:ascii="宋体" w:hAnsi="宋体"/>
        </w:rPr>
        <w:t xml:space="preserve">）</w:t>
      </w:r>
      <w:r/>
    </w:p>
    <w:p>
      <w:pPr>
        <w:ind w:left="480"/>
        <w:spacing w:line="400" w:lineRule="exact"/>
        <w:rPr>
          <w:rFonts w:hint="eastAsia" w:ascii="宋体" w:hAnsi="宋体"/>
          <w:b/>
        </w:rPr>
      </w:pPr>
      <w:r>
        <w:rPr>
          <w:rFonts w:hint="eastAsia" w:ascii="宋体" w:hAnsi="宋体"/>
          <w:b/>
        </w:rPr>
        <w:t xml:space="preserve">二</w:t>
      </w:r>
      <w:r>
        <w:rPr>
          <w:rFonts w:ascii="宋体" w:hAnsi="宋体"/>
          <w:b/>
        </w:rPr>
        <w:t xml:space="preserve">、资格审查内容</w:t>
      </w:r>
      <w:r/>
    </w:p>
    <w:p>
      <w:pPr>
        <w:ind w:left="480"/>
        <w:spacing w:line="400" w:lineRule="exact"/>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法人或者其他组织的营业执照等证明文件，自然人的身份证明</w:t>
      </w:r>
      <w:r/>
    </w:p>
    <w:p>
      <w:pPr>
        <w:ind w:left="480"/>
        <w:spacing w:line="400" w:lineRule="exact"/>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上一年度的财务状况报告（投标人成立不满一年无需提供）</w:t>
      </w:r>
      <w:r/>
    </w:p>
    <w:p>
      <w:pPr>
        <w:ind w:left="480"/>
        <w:spacing w:line="400" w:lineRule="exact"/>
        <w:rPr>
          <w:rFonts w:hint="eastAsia" w:ascii="宋体" w:hAnsi="宋体"/>
        </w:rPr>
      </w:pPr>
      <w:r>
        <w:rPr>
          <w:rFonts w:hint="eastAsia" w:ascii="宋体" w:hAnsi="宋体"/>
        </w:rPr>
        <w:t xml:space="preserve">3</w:t>
      </w:r>
      <w:r>
        <w:rPr>
          <w:rFonts w:ascii="宋体" w:hAnsi="宋体"/>
        </w:rPr>
        <w:t xml:space="preserve">.</w:t>
      </w:r>
      <w:r>
        <w:rPr>
          <w:rFonts w:hint="eastAsia" w:ascii="宋体" w:hAnsi="宋体"/>
        </w:rPr>
        <w:t xml:space="preserve">依法缴纳税收和社会保障资金的相关材料（提供提交投标文件截止时间</w:t>
      </w:r>
      <w:r/>
    </w:p>
    <w:p>
      <w:pPr>
        <w:spacing w:line="400" w:lineRule="exact"/>
        <w:rPr>
          <w:rFonts w:hint="eastAsia" w:ascii="宋体" w:hAnsi="宋体"/>
        </w:rPr>
      </w:pPr>
      <w:r>
        <w:rPr>
          <w:rFonts w:hint="eastAsia" w:ascii="宋体" w:hAnsi="宋体"/>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具备履行合同所必需的设备和专业技术能力的书面声明（格式见</w:t>
      </w:r>
      <w:r>
        <w:rPr>
          <w:rFonts w:ascii="宋体" w:hAnsi="宋体"/>
        </w:rPr>
        <w:t xml:space="preserve">附件5</w:t>
      </w:r>
      <w:r>
        <w:rPr>
          <w:rFonts w:hint="eastAsia" w:ascii="宋体" w:hAnsi="宋体"/>
        </w:rPr>
        <w:t xml:space="preserve">）</w:t>
      </w:r>
      <w:r/>
    </w:p>
    <w:p>
      <w:pPr>
        <w:ind w:left="480"/>
        <w:spacing w:line="400" w:lineRule="exact"/>
        <w:rPr>
          <w:rFonts w:hint="eastAsia" w:ascii="宋体" w:hAnsi="宋体"/>
        </w:rPr>
      </w:pPr>
      <w:r>
        <w:rPr>
          <w:rFonts w:hint="eastAsia" w:ascii="宋体" w:hAnsi="宋体"/>
        </w:rPr>
        <w:t xml:space="preserve">5.参加政府采购活动前 3 年内在经营活动中没有重大违法记录的书面声明（格式见</w:t>
      </w:r>
      <w:r>
        <w:rPr>
          <w:rFonts w:ascii="宋体" w:hAnsi="宋体"/>
        </w:rPr>
        <w:t xml:space="preserve">附件6</w:t>
      </w:r>
      <w:r>
        <w:rPr>
          <w:rFonts w:hint="eastAsia" w:ascii="宋体" w:hAnsi="宋体"/>
        </w:rPr>
        <w:t xml:space="preserve">）</w:t>
      </w:r>
      <w:r/>
    </w:p>
    <w:p>
      <w:pPr>
        <w:ind w:firstLine="420"/>
        <w:spacing w:line="400" w:lineRule="exact"/>
        <w:rPr>
          <w:rFonts w:hint="eastAsia" w:ascii="宋体" w:hAnsi="宋体"/>
        </w:rPr>
      </w:pPr>
      <w:r>
        <w:rPr>
          <w:rFonts w:hint="eastAsia" w:ascii="宋体" w:hAnsi="宋体"/>
        </w:rPr>
        <w:t xml:space="preserve">6</w:t>
      </w:r>
      <w:r>
        <w:rPr>
          <w:rFonts w:ascii="宋体" w:hAnsi="宋体"/>
        </w:rPr>
        <w:t xml:space="preserve">.</w:t>
      </w:r>
      <w:r>
        <w:rPr>
          <w:rFonts w:hint="eastAsia" w:ascii="宋体" w:hAnsi="宋体"/>
        </w:rPr>
        <w:t xml:space="preserve">特定资格要求的证明文件（如果本项目对投标人</w:t>
      </w:r>
      <w:r>
        <w:rPr>
          <w:rFonts w:ascii="宋体" w:hAnsi="宋体"/>
        </w:rPr>
        <w:t xml:space="preserve">做出特定资格要求的</w:t>
      </w:r>
      <w:r>
        <w:rPr>
          <w:rFonts w:hint="eastAsia" w:ascii="宋体" w:hAnsi="宋体"/>
        </w:rPr>
        <w:t xml:space="preserve">，必须提供）</w:t>
      </w:r>
      <w:r/>
    </w:p>
    <w:p>
      <w:pPr>
        <w:ind w:firstLine="420"/>
        <w:spacing w:line="400" w:lineRule="exact"/>
        <w:rPr>
          <w:rFonts w:hint="eastAsia" w:ascii="宋体" w:hAnsi="宋体"/>
        </w:rPr>
      </w:pPr>
      <w:r>
        <w:rPr>
          <w:rFonts w:hint="eastAsia" w:ascii="宋体" w:hAnsi="宋体"/>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spacing w:line="400" w:lineRule="exact"/>
        <w:rPr>
          <w:rFonts w:hint="eastAsia" w:ascii="宋体" w:hAnsi="宋体"/>
        </w:rPr>
      </w:pPr>
      <w:r>
        <w:rPr>
          <w:rFonts w:ascii="宋体" w:hAnsi="宋体"/>
        </w:rPr>
        <w:t xml:space="preserve">8.</w:t>
      </w:r>
      <w:r>
        <w:rPr>
          <w:rFonts w:hint="eastAsia" w:ascii="宋体" w:hAnsi="宋体"/>
        </w:rPr>
        <w:t xml:space="preserve">法人授权书（格式见附件</w:t>
      </w:r>
      <w:r>
        <w:rPr>
          <w:rFonts w:ascii="宋体" w:hAnsi="宋体"/>
        </w:rPr>
        <w:t xml:space="preserve">7</w:t>
      </w:r>
      <w:r>
        <w:rPr>
          <w:rFonts w:hint="eastAsia" w:ascii="宋体" w:hAnsi="宋体"/>
        </w:rPr>
        <w:t xml:space="preserve">）</w:t>
      </w:r>
      <w:r/>
    </w:p>
    <w:p>
      <w:pPr>
        <w:ind w:firstLine="420"/>
        <w:spacing w:line="400" w:lineRule="exact"/>
        <w:rPr>
          <w:rFonts w:hint="eastAsia" w:ascii="宋体" w:hAnsi="宋体"/>
        </w:rPr>
      </w:pPr>
      <w:r>
        <w:rPr>
          <w:rFonts w:ascii="宋体" w:hAnsi="宋体"/>
        </w:rPr>
        <w:t xml:space="preserve">9.</w:t>
      </w:r>
      <w:r>
        <w:rPr>
          <w:rFonts w:hint="eastAsia" w:ascii="宋体" w:hAnsi="宋体"/>
        </w:rPr>
        <w:t xml:space="preserve">投标函（格式见附件</w:t>
      </w:r>
      <w:r>
        <w:rPr>
          <w:rFonts w:ascii="宋体" w:hAnsi="宋体"/>
        </w:rPr>
        <w:t xml:space="preserve">8</w:t>
      </w:r>
      <w:r>
        <w:rPr>
          <w:rFonts w:hint="eastAsia" w:ascii="宋体" w:hAnsi="宋体"/>
        </w:rPr>
        <w:t xml:space="preserve">）</w:t>
      </w:r>
      <w:r/>
    </w:p>
    <w:p>
      <w:pPr>
        <w:ind w:left="480"/>
        <w:spacing w:line="400" w:lineRule="exact"/>
        <w:rPr>
          <w:rFonts w:hint="eastAsia" w:ascii="宋体" w:hAnsi="宋体"/>
        </w:rPr>
      </w:pPr>
      <w:r>
        <w:rPr>
          <w:rFonts w:hint="eastAsia" w:ascii="宋体" w:hAnsi="宋体"/>
        </w:rPr>
        <w:t xml:space="preserve">总备注：上述“资格审查内容”中1-5条、</w:t>
      </w:r>
      <w:r>
        <w:rPr>
          <w:rFonts w:ascii="宋体" w:hAnsi="宋体"/>
        </w:rPr>
        <w:t xml:space="preserve">8</w:t>
      </w:r>
      <w:r>
        <w:rPr>
          <w:rFonts w:hint="eastAsia" w:ascii="宋体" w:hAnsi="宋体"/>
        </w:rPr>
        <w:t xml:space="preserve">、9条投标人必须在投标文件</w:t>
      </w:r>
      <w:r/>
    </w:p>
    <w:p>
      <w:pPr>
        <w:spacing w:line="400" w:lineRule="exact"/>
        <w:rPr>
          <w:rFonts w:hint="eastAsia" w:ascii="宋体" w:hAnsi="宋体"/>
        </w:rPr>
      </w:pPr>
      <w:r>
        <w:rPr>
          <w:rFonts w:hint="eastAsia" w:ascii="宋体" w:hAnsi="宋体"/>
        </w:rPr>
        <w:t xml:space="preserve">中提供相关材料，否则作无效投标处理；6条如招标文件要求必须提供相关材料而未提供的，作无效投标处理。</w:t>
      </w:r>
      <w:r/>
    </w:p>
    <w:p>
      <w:pPr>
        <w:ind w:left="480"/>
        <w:spacing w:line="400" w:lineRule="exact"/>
        <w:rPr>
          <w:rFonts w:hint="eastAsia" w:ascii="宋体" w:hAnsi="宋体"/>
          <w:b/>
        </w:rPr>
      </w:pPr>
      <w:r>
        <w:rPr>
          <w:rFonts w:hint="eastAsia" w:ascii="宋体" w:hAnsi="宋体"/>
          <w:b/>
        </w:rPr>
        <w:t xml:space="preserve">三</w:t>
      </w:r>
      <w:r>
        <w:rPr>
          <w:rFonts w:ascii="宋体" w:hAnsi="宋体"/>
          <w:b/>
        </w:rPr>
        <w:t xml:space="preserve">、</w:t>
      </w:r>
      <w:r>
        <w:rPr>
          <w:rFonts w:hint="eastAsia" w:ascii="宋体" w:hAnsi="宋体"/>
          <w:b/>
        </w:rPr>
        <w:t xml:space="preserve">符合性</w:t>
      </w:r>
      <w:r>
        <w:rPr>
          <w:rFonts w:ascii="宋体" w:hAnsi="宋体"/>
          <w:b/>
        </w:rPr>
        <w:t xml:space="preserve">审查内容</w:t>
      </w:r>
      <w:r/>
    </w:p>
    <w:p>
      <w:pPr>
        <w:ind w:firstLine="420"/>
        <w:spacing w:line="400" w:lineRule="exact"/>
        <w:rPr>
          <w:rFonts w:hint="eastAsia" w:ascii="宋体" w:hAnsi="宋体"/>
        </w:rPr>
      </w:pPr>
      <w:r>
        <w:rPr>
          <w:rFonts w:hint="eastAsia" w:ascii="宋体" w:hAnsi="宋体"/>
        </w:rPr>
        <w:t xml:space="preserve">投标人必须</w:t>
      </w:r>
      <w:r>
        <w:rPr>
          <w:rFonts w:ascii="宋体" w:hAnsi="宋体"/>
        </w:rPr>
        <w:t xml:space="preserve">对</w:t>
      </w:r>
      <w:r>
        <w:rPr>
          <w:rFonts w:hint="eastAsia" w:ascii="宋体" w:hAnsi="宋体"/>
        </w:rPr>
        <w:t xml:space="preserve">招标文件（含技术</w:t>
      </w:r>
      <w:r>
        <w:rPr>
          <w:rFonts w:ascii="宋体" w:hAnsi="宋体"/>
        </w:rPr>
        <w:t xml:space="preserve">要求和商务</w:t>
      </w:r>
      <w:r>
        <w:rPr>
          <w:rFonts w:hint="eastAsia" w:ascii="宋体" w:hAnsi="宋体"/>
        </w:rPr>
        <w:t xml:space="preserve">要求）</w:t>
      </w:r>
      <w:r>
        <w:rPr>
          <w:rFonts w:ascii="宋体" w:hAnsi="宋体"/>
        </w:rPr>
        <w:t xml:space="preserve">中</w:t>
      </w:r>
      <w:r>
        <w:rPr>
          <w:rFonts w:hint="eastAsia" w:ascii="宋体" w:hAnsi="宋体"/>
          <w:b/>
          <w:bCs/>
          <w:i/>
          <w:u w:val="single"/>
        </w:rPr>
        <w:t xml:space="preserve">斜体且有下划线部分</w:t>
      </w:r>
      <w:r>
        <w:rPr>
          <w:rFonts w:hint="eastAsia" w:ascii="宋体" w:hAnsi="宋体"/>
          <w:b/>
          <w:bCs/>
        </w:rPr>
        <w:t xml:space="preserve">或加*号条款</w:t>
      </w:r>
      <w:r>
        <w:rPr>
          <w:rFonts w:ascii="宋体" w:hAnsi="宋体"/>
        </w:rPr>
        <w:t xml:space="preserve">的实质性要求</w:t>
      </w:r>
      <w:r>
        <w:rPr>
          <w:rFonts w:hint="eastAsia" w:ascii="宋体" w:hAnsi="宋体"/>
        </w:rPr>
        <w:t xml:space="preserve">逐条</w:t>
      </w:r>
      <w:r>
        <w:rPr>
          <w:rFonts w:ascii="宋体" w:hAnsi="宋体"/>
        </w:rPr>
        <w:t xml:space="preserve">做出响应，并按照招标</w:t>
      </w:r>
      <w:r>
        <w:rPr>
          <w:rFonts w:hint="eastAsia" w:ascii="宋体" w:hAnsi="宋体"/>
        </w:rPr>
        <w:t xml:space="preserve">文件</w:t>
      </w:r>
      <w:r>
        <w:rPr>
          <w:rFonts w:ascii="宋体" w:hAnsi="宋体"/>
        </w:rPr>
        <w:t xml:space="preserve">要求提供</w:t>
      </w:r>
      <w:r>
        <w:rPr>
          <w:rFonts w:hint="eastAsia" w:ascii="宋体" w:hAnsi="宋体"/>
        </w:rPr>
        <w:t xml:space="preserve">证明</w:t>
      </w:r>
      <w:r>
        <w:rPr>
          <w:rFonts w:ascii="宋体" w:hAnsi="宋体"/>
        </w:rPr>
        <w:t xml:space="preserve">材料</w:t>
      </w:r>
      <w:r>
        <w:rPr>
          <w:rFonts w:hint="eastAsia" w:ascii="宋体" w:hAnsi="宋体"/>
        </w:rPr>
        <w:t xml:space="preserve">，否则作无效投标处理。（格式见</w:t>
      </w:r>
      <w:r>
        <w:rPr>
          <w:rFonts w:ascii="宋体" w:hAnsi="宋体"/>
        </w:rPr>
        <w:t xml:space="preserve">附件</w:t>
      </w:r>
      <w:r>
        <w:rPr>
          <w:rFonts w:hint="eastAsia" w:ascii="宋体" w:hAnsi="宋体"/>
        </w:rPr>
        <w:t xml:space="preserve">11）</w:t>
      </w:r>
      <w:r/>
    </w:p>
    <w:p>
      <w:pPr>
        <w:ind w:firstLine="480"/>
        <w:rPr>
          <w:rFonts w:hint="eastAsia" w:ascii="宋体" w:hAnsi="宋体"/>
          <w:b/>
        </w:rPr>
      </w:pPr>
      <w:r>
        <w:rPr>
          <w:rFonts w:hint="eastAsia" w:ascii="宋体" w:hAnsi="宋体"/>
          <w:b/>
        </w:rPr>
        <w:t xml:space="preserve">四、价格</w:t>
      </w:r>
      <w:r>
        <w:rPr>
          <w:rFonts w:ascii="宋体" w:hAnsi="宋体"/>
          <w:b/>
        </w:rPr>
        <w:t xml:space="preserve">扣除证明文件</w:t>
      </w:r>
      <w:r/>
    </w:p>
    <w:p>
      <w:pPr>
        <w:ind w:firstLine="420"/>
        <w:spacing w:line="400" w:lineRule="exact"/>
        <w:rPr>
          <w:rFonts w:hint="eastAsia" w:ascii="宋体" w:hAnsi="宋体"/>
        </w:rPr>
      </w:pPr>
      <w:r>
        <w:rPr>
          <w:rFonts w:ascii="宋体" w:hAnsi="宋体"/>
        </w:rPr>
        <w:t xml:space="preserve">1.</w:t>
      </w:r>
      <w:r>
        <w:rPr>
          <w:rFonts w:hint="eastAsia" w:ascii="宋体" w:hAnsi="宋体"/>
        </w:rPr>
        <w:t xml:space="preserve">中小微企业声明函（</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p>
    <w:p>
      <w:pPr>
        <w:ind w:firstLine="420"/>
        <w:spacing w:line="400" w:lineRule="exact"/>
        <w:rPr>
          <w:rFonts w:hint="eastAsia" w:ascii="宋体" w:hAnsi="宋体"/>
        </w:rPr>
      </w:pPr>
      <w:r>
        <w:rPr>
          <w:rFonts w:ascii="宋体" w:hAnsi="宋体"/>
        </w:rPr>
        <w:t xml:space="preserve">2.</w:t>
      </w:r>
      <w:r>
        <w:rPr>
          <w:rFonts w:hint="eastAsia" w:ascii="宋体" w:hAnsi="宋体"/>
        </w:rPr>
        <w:t xml:space="preserve">残疾人福利性单位声明函（</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ind w:firstLine="420"/>
        <w:spacing w:line="400" w:lineRule="exact"/>
        <w:rPr>
          <w:rFonts w:hint="eastAsia" w:ascii="宋体" w:hAnsi="宋体"/>
          <w:sz w:val="24"/>
        </w:rPr>
      </w:pPr>
      <w:r>
        <w:rPr>
          <w:rFonts w:hint="eastAsia" w:ascii="宋体" w:hAnsi="宋体"/>
        </w:rPr>
        <w:t xml:space="preserve">3.关于符合本国产品标准的声明函（格式见附件12）</w:t>
      </w:r>
      <w:r/>
    </w:p>
    <w:p>
      <w:pPr>
        <w:ind w:firstLine="480"/>
        <w:spacing w:line="400" w:lineRule="exact"/>
        <w:rPr>
          <w:rFonts w:hint="eastAsia" w:ascii="宋体" w:hAnsi="宋体"/>
          <w:sz w:val="24"/>
        </w:rPr>
      </w:pPr>
      <w:r>
        <w:rPr>
          <w:rFonts w:hint="eastAsia" w:ascii="宋体" w:hAnsi="宋体"/>
          <w:sz w:val="24"/>
        </w:rPr>
      </w:r>
      <w:r/>
    </w:p>
    <w:p>
      <w:pPr>
        <w:rPr>
          <w:rFonts w:hint="eastAsia" w:ascii="宋体" w:hAnsi="宋体"/>
          <w:b/>
          <w:sz w:val="24"/>
          <w:szCs w:val="24"/>
        </w:rPr>
      </w:pPr>
      <w:r>
        <w:rPr>
          <w:rFonts w:hint="eastAsia" w:ascii="宋体" w:hAnsi="宋体"/>
          <w:b/>
          <w:sz w:val="24"/>
          <w:szCs w:val="24"/>
        </w:rPr>
        <w:br w:type="page" w:clear="all"/>
      </w:r>
      <w:r/>
    </w:p>
    <w:p>
      <w:pPr>
        <w:rPr>
          <w:rFonts w:eastAsia="仿宋_GB2312"/>
        </w:rPr>
      </w:pPr>
      <w:r>
        <w:rPr>
          <w:rFonts w:hint="eastAsia" w:ascii="宋体" w:hAnsi="宋体"/>
          <w:b/>
        </w:rPr>
        <w:t xml:space="preserve">附件</w:t>
      </w:r>
      <w:r>
        <w:rPr>
          <w:rFonts w:ascii="宋体" w:hAnsi="宋体"/>
          <w:b/>
        </w:rPr>
        <w:t xml:space="preserve">1 </w:t>
      </w:r>
      <w:r>
        <w:rPr>
          <w:rFonts w:hint="eastAsia" w:ascii="宋体" w:hAnsi="宋体"/>
          <w:b/>
        </w:rPr>
        <w:t xml:space="preserve">开标一览表</w:t>
      </w:r>
      <w:r/>
    </w:p>
    <w:p>
      <w:pPr>
        <w:ind w:firstLine="482"/>
        <w:spacing w:line="400" w:lineRule="exact"/>
        <w:rPr>
          <w:rFonts w:hint="eastAsia" w:ascii="宋体" w:hAnsi="宋体"/>
        </w:rPr>
      </w:pPr>
      <w:r>
        <w:rPr>
          <w:rFonts w:hint="eastAsia" w:ascii="宋体" w:hAnsi="宋体"/>
        </w:rPr>
        <w:t xml:space="preserve">投标人全称（加盖CA电子签章）：</w:t>
      </w:r>
      <w:r/>
    </w:p>
    <w:p>
      <w:pPr>
        <w:ind w:firstLine="482"/>
        <w:spacing w:line="400" w:lineRule="exact"/>
      </w:pPr>
      <w:r>
        <w:rPr>
          <w:rFonts w:hint="eastAsia" w:ascii="宋体" w:hAnsi="宋体"/>
        </w:rPr>
        <w:t xml:space="preserve">项目名称：</w:t>
      </w:r>
      <w:r/>
    </w:p>
    <w:p>
      <w:pPr>
        <w:ind w:firstLine="482"/>
        <w:spacing w:line="400" w:lineRule="exact"/>
        <w:rPr>
          <w:rFonts w:hint="eastAsia" w:ascii="宋体" w:hAnsi="宋体"/>
        </w:rPr>
      </w:pPr>
      <w:r>
        <w:rPr>
          <w:rFonts w:hint="eastAsia" w:ascii="宋体" w:hAnsi="宋体"/>
        </w:rPr>
        <w:t xml:space="preserve">采购编号：                                   </w:t>
      </w:r>
      <w:r/>
    </w:p>
    <w:p>
      <w:pPr>
        <w:ind w:firstLine="482"/>
        <w:spacing w:line="400" w:lineRule="exact"/>
        <w:rPr>
          <w:rFonts w:hint="eastAsia" w:ascii="宋体" w:hAnsi="宋体"/>
        </w:rPr>
      </w:pPr>
      <w:r>
        <w:rPr>
          <w:rFonts w:hint="eastAsia" w:ascii="宋体" w:hAnsi="宋体"/>
        </w:rPr>
        <w:t xml:space="preserve">采购包号：</w:t>
      </w:r>
      <w:r/>
    </w:p>
    <w:tbl>
      <w:tblPr>
        <w:tblStyle w:val="10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rPr>
            </w:pPr>
            <w:r>
              <w:rPr>
                <w:rFonts w:hint="eastAsia" w:ascii="宋体" w:hAnsi="宋体" w:cs="宋体"/>
              </w:rPr>
              <w:t xml:space="preserve">                      </w:t>
            </w:r>
            <w:r>
              <w:rPr>
                <w:rFonts w:hint="eastAsia" w:ascii="宋体" w:hAnsi="宋体"/>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rPr>
            </w:pPr>
            <w:r>
              <w:rPr>
                <w:rFonts w:hint="eastAsia" w:ascii="宋体" w:hAnsi="宋体" w:cs="宋体"/>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rPr>
            </w:pPr>
            <w:r>
              <w:rPr>
                <w:rFonts w:hint="eastAsia" w:ascii="宋体" w:hAnsi="宋体" w:cs="宋体"/>
              </w:rPr>
              <w:t xml:space="preserve">核心产品品牌</w:t>
            </w:r>
            <w:r/>
          </w:p>
        </w:tc>
        <w:tc>
          <w:tcPr>
            <w:tcW w:w="6405" w:type="dxa"/>
            <w:vAlign w:val="center"/>
            <w:textDirection w:val="lrTb"/>
            <w:noWrap w:val="false"/>
          </w:tcPr>
          <w:p>
            <w:pPr>
              <w:jc w:val="left"/>
              <w:spacing w:line="500" w:lineRule="exact"/>
              <w:rPr>
                <w:rFonts w:hint="eastAsia" w:ascii="宋体" w:hAnsi="宋体" w:cs="宋体"/>
              </w:rPr>
            </w:pPr>
            <w:r>
              <w:rPr>
                <w:rFonts w:hint="eastAsia" w:ascii="宋体" w:hAnsi="宋体" w:cs="宋体"/>
              </w:rPr>
            </w:r>
            <w:r/>
          </w:p>
        </w:tc>
      </w:tr>
    </w:tbl>
    <w:p>
      <w:pP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p>
    <w:p>
      <w:pPr>
        <w:jc w:val="left"/>
        <w:rPr>
          <w:rFonts w:hint="eastAsia" w:ascii="宋体" w:hAnsi="宋体" w:cs="宋体"/>
          <w:b/>
        </w:rPr>
      </w:pPr>
      <w:r>
        <w:rPr>
          <w:rFonts w:hint="eastAsia" w:ascii="宋体" w:hAnsi="宋体" w:cs="宋体"/>
          <w:b/>
        </w:rPr>
        <w:t xml:space="preserve">附件2 </w:t>
      </w:r>
      <w:r/>
    </w:p>
    <w:p>
      <w:pPr>
        <w:jc w:val="center"/>
        <w:rPr>
          <w:rFonts w:hint="eastAsia" w:ascii="宋体" w:hAnsi="宋体" w:cs="宋体"/>
          <w:b/>
        </w:rPr>
      </w:pPr>
      <w:r>
        <w:rPr>
          <w:rFonts w:hint="eastAsia" w:ascii="宋体" w:hAnsi="宋体" w:cs="宋体"/>
          <w:b/>
        </w:rPr>
        <w:t xml:space="preserve">投标分项报价表</w:t>
      </w:r>
      <w:r>
        <w:rPr>
          <w:rFonts w:hint="eastAsia" w:ascii="宋体" w:hAnsi="宋体" w:cs="宋体"/>
          <w:b/>
          <w:szCs w:val="21"/>
        </w:rPr>
        <w:t xml:space="preserve">（采购包号：**）</w:t>
      </w:r>
      <w:r/>
    </w:p>
    <w:tbl>
      <w:tblPr>
        <w:tblStyle w:val="1037"/>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cs="宋体"/>
              </w:rPr>
            </w:pPr>
            <w:r>
              <w:rPr>
                <w:rFonts w:hint="eastAsia" w:ascii="宋体" w:hAnsi="宋体" w:cs="宋体"/>
              </w:rPr>
              <w:t xml:space="preserve">序号</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1</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2</w:t>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3</w:t>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4</w:t>
            </w:r>
            <w:r/>
          </w:p>
        </w:tc>
        <w:tc>
          <w:tcPr>
            <w:tcW w:w="1106"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5</w:t>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6</w:t>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7</w:t>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8</w:t>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1</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产品</w:t>
            </w:r>
            <w:r/>
          </w:p>
          <w:p>
            <w:pPr>
              <w:jc w:val="center"/>
              <w:spacing w:line="0" w:lineRule="atLeast"/>
              <w:rPr>
                <w:rFonts w:hint="eastAsia" w:ascii="宋体" w:hAnsi="宋体" w:cs="宋体"/>
              </w:rPr>
            </w:pPr>
            <w:r>
              <w:rPr>
                <w:rFonts w:hint="eastAsia" w:ascii="宋体" w:hAnsi="宋体" w:cs="宋体"/>
              </w:rPr>
              <w:t xml:space="preserve">名称</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品牌</w:t>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规格</w:t>
            </w:r>
            <w:r/>
          </w:p>
          <w:p>
            <w:pPr>
              <w:jc w:val="center"/>
              <w:spacing w:line="0" w:lineRule="atLeast"/>
              <w:rPr>
                <w:rFonts w:hint="eastAsia" w:ascii="宋体" w:hAnsi="宋体" w:cs="宋体"/>
              </w:rPr>
            </w:pPr>
            <w:r>
              <w:rPr>
                <w:rFonts w:hint="eastAsia" w:ascii="宋体" w:hAnsi="宋体" w:cs="宋体"/>
              </w:rPr>
              <w:t xml:space="preserve">型号</w:t>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制造商名称</w:t>
            </w:r>
            <w:r/>
          </w:p>
        </w:tc>
        <w:tc>
          <w:tcPr>
            <w:tcW w:w="1106"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产地</w:t>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交货期</w:t>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数量</w:t>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分项</w:t>
            </w:r>
            <w:r/>
          </w:p>
          <w:p>
            <w:pPr>
              <w:jc w:val="center"/>
              <w:spacing w:line="0" w:lineRule="atLeast"/>
              <w:rPr>
                <w:rFonts w:hint="eastAsia" w:ascii="宋体" w:hAnsi="宋体" w:cs="宋体"/>
              </w:rPr>
            </w:pPr>
            <w:r>
              <w:rPr>
                <w:rFonts w:hint="eastAsia" w:ascii="宋体" w:hAnsi="宋体" w:cs="宋体"/>
              </w:rPr>
              <w:t xml:space="preserve">单价</w:t>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分项</w:t>
            </w:r>
            <w:r/>
          </w:p>
          <w:p>
            <w:pPr>
              <w:jc w:val="center"/>
              <w:spacing w:line="0" w:lineRule="atLeast"/>
              <w:rPr>
                <w:rFonts w:hint="eastAsia" w:ascii="宋体" w:hAnsi="宋体" w:cs="宋体"/>
              </w:rPr>
            </w:pPr>
            <w:r>
              <w:rPr>
                <w:rFonts w:hint="eastAsia" w:ascii="宋体" w:hAnsi="宋体" w:cs="宋体"/>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2</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80" w:type="dxa"/>
            <w:vAlign w:val="center"/>
            <w:textDirection w:val="lrTb"/>
            <w:noWrap w:val="false"/>
          </w:tcPr>
          <w:p>
            <w:pPr>
              <w:jc w:val="center"/>
              <w:spacing w:line="0" w:lineRule="atLeast"/>
              <w:rPr>
                <w:rFonts w:hint="eastAsia" w:ascii="宋体" w:hAnsi="宋体" w:cs="宋体"/>
                <w:highlight w:val="cyan"/>
              </w:rPr>
            </w:pPr>
            <w:r>
              <w:rPr>
                <w:rFonts w:hint="eastAsia" w:ascii="宋体" w:hAnsi="宋体" w:cs="宋体"/>
                <w:highlight w:val="cyan"/>
              </w:rPr>
            </w:r>
            <w:r/>
          </w:p>
        </w:tc>
        <w:tc>
          <w:tcPr>
            <w:tcW w:w="1106" w:type="dxa"/>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385" w:type="dxa"/>
            <w:vAlign w:val="center"/>
            <w:textDirection w:val="lrTb"/>
            <w:noWrap w:val="false"/>
          </w:tcPr>
          <w:p>
            <w:pPr>
              <w:jc w:val="center"/>
              <w:spacing w:line="0" w:lineRule="atLeast"/>
              <w:rPr>
                <w:rFonts w:hint="eastAsia" w:ascii="宋体" w:hAnsi="宋体" w:cs="宋体"/>
                <w:u w:val="single"/>
              </w:rPr>
            </w:pPr>
            <w:r>
              <w:rPr>
                <w:rFonts w:hint="eastAsia" w:ascii="宋体" w:hAnsi="宋体" w:cs="宋体"/>
                <w:u w:val="single"/>
              </w:rPr>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r>
      <w:tr>
        <w:trPr>
          <w:cantSplit/>
          <w:trHeight w:val="724"/>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3</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106" w:type="dxa"/>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r>
      <w:tr>
        <w:trPr>
          <w:cantSplit/>
          <w:trHeight w:val="640"/>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4</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106" w:type="dxa"/>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r>
      <w:tr>
        <w:trPr>
          <w:cantSplit/>
          <w:trHeight w:val="580"/>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106" w:type="dxa"/>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r>
      <w:tr>
        <w:trPr>
          <w:cantSplit/>
          <w:trHeight w:val="434"/>
        </w:trPr>
        <w:tc>
          <w:tcPr>
            <w:gridSpan w:val="10"/>
            <w:tcW w:w="9263" w:type="dxa"/>
            <w:textDirection w:val="lrTb"/>
            <w:noWrap w:val="false"/>
          </w:tcPr>
          <w:p>
            <w:pPr>
              <w:rPr>
                <w:rFonts w:hint="eastAsia" w:ascii="宋体" w:hAnsi="宋体" w:cs="宋体"/>
                <w:u w:val="single"/>
              </w:rPr>
            </w:pPr>
            <w:r>
              <w:rPr>
                <w:rFonts w:hint="eastAsia" w:ascii="宋体" w:hAnsi="宋体" w:cs="宋体"/>
              </w:rPr>
              <w:t xml:space="preserve">投标总报价（人民币：元）</w:t>
            </w:r>
            <w:r>
              <w:rPr>
                <w:rFonts w:hint="eastAsia" w:ascii="宋体" w:hAnsi="宋体" w:cs="宋体"/>
                <w:u w:val="single"/>
              </w:rPr>
              <w:t xml:space="preserve">                             </w:t>
            </w:r>
            <w:r/>
          </w:p>
        </w:tc>
      </w:tr>
      <w:tr>
        <w:trPr>
          <w:cantSplit/>
          <w:trHeight w:val="767"/>
        </w:trPr>
        <w:tc>
          <w:tcPr>
            <w:gridSpan w:val="10"/>
            <w:tcW w:w="9263" w:type="dxa"/>
            <w:textDirection w:val="lrTb"/>
            <w:noWrap w:val="false"/>
          </w:tcPr>
          <w:p>
            <w:pPr>
              <w:pStyle w:val="1067"/>
              <w:spacing w:before="0" w:beforeAutospacing="0" w:after="0" w:afterAutospacing="0" w:line="0" w:lineRule="atLeast"/>
              <w:rPr>
                <w:rFonts w:hint="eastAsia"/>
                <w:sz w:val="21"/>
                <w:szCs w:val="21"/>
              </w:rPr>
            </w:pPr>
            <w:r>
              <w:rPr>
                <w:rFonts w:hint="eastAsia"/>
                <w:sz w:val="21"/>
                <w:szCs w:val="21"/>
              </w:rPr>
              <w:t xml:space="preserve">本采购包中提供的符合本国产品标准的产品成本之和占该采购包提供的全部产品成本之和的比例为</w:t>
            </w:r>
            <w:r>
              <w:rPr>
                <w:rFonts w:hint="eastAsia"/>
                <w:sz w:val="21"/>
                <w:szCs w:val="21"/>
                <w:u w:val="single"/>
              </w:rPr>
              <w:t xml:space="preserve">***</w:t>
            </w:r>
            <w:r>
              <w:rPr>
                <w:rFonts w:hint="eastAsia"/>
                <w:sz w:val="21"/>
                <w:szCs w:val="21"/>
              </w:rPr>
              <w:t xml:space="preserve">%。</w:t>
            </w:r>
            <w:r/>
          </w:p>
        </w:tc>
      </w:tr>
    </w:tbl>
    <w:p>
      <w:pPr>
        <w:spacing w:line="400" w:lineRule="exact"/>
        <w:rPr>
          <w:rFonts w:hint="eastAsia" w:ascii="宋体" w:hAnsi="宋体" w:cs="宋体"/>
        </w:rPr>
      </w:pPr>
      <w:r>
        <w:rPr>
          <w:rFonts w:hint="eastAsia" w:ascii="宋体" w:hAnsi="宋体" w:cs="宋体"/>
        </w:rPr>
        <w:t xml:space="preserve">备注：</w:t>
      </w:r>
      <w:r/>
    </w:p>
    <w:p>
      <w:pPr>
        <w:spacing w:line="400" w:lineRule="exact"/>
        <w:rPr>
          <w:rFonts w:hint="eastAsia" w:ascii="宋体" w:hAnsi="宋体" w:cs="宋体"/>
        </w:rPr>
      </w:pPr>
      <w:r>
        <w:rPr>
          <w:rFonts w:hint="eastAsia" w:ascii="宋体" w:hAnsi="宋体" w:cs="宋体"/>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cs="宋体"/>
        </w:rPr>
      </w:pPr>
      <w:r>
        <w:rPr>
          <w:rFonts w:hint="eastAsia" w:ascii="宋体" w:hAnsi="宋体" w:cs="宋体"/>
        </w:rPr>
        <w:t xml:space="preserve">2.“投标分项报价表”中“投标总报价”数额应当与“开标一览表”中“投标总报价”数额一致。</w:t>
      </w:r>
      <w:r/>
    </w:p>
    <w:p>
      <w:pPr>
        <w:spacing w:line="400" w:lineRule="exact"/>
        <w:rPr>
          <w:rFonts w:hint="eastAsia" w:ascii="宋体" w:hAnsi="宋体" w:cs="宋体"/>
        </w:rPr>
      </w:pPr>
      <w:r>
        <w:rPr>
          <w:rFonts w:hint="eastAsia" w:ascii="宋体" w:hAnsi="宋体" w:cs="宋体"/>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宋体" w:hAnsi="宋体" w:cs="宋体"/>
          <w:b/>
        </w:rPr>
      </w:pPr>
      <w:r>
        <w:rPr>
          <w:rFonts w:hint="eastAsia" w:ascii="宋体" w:hAnsi="宋体" w:cs="宋体"/>
          <w:b/>
        </w:rPr>
        <w:t xml:space="preserve">4.投标人需认真填写本报价表，尤其注意规格型号的准确填写。</w:t>
      </w:r>
      <w:r/>
    </w:p>
    <w:p>
      <w:pPr>
        <w:spacing w:line="400" w:lineRule="exact"/>
        <w:rPr>
          <w:rFonts w:hint="eastAsia" w:ascii="宋体" w:hAnsi="宋体" w:cs="宋体"/>
        </w:rPr>
      </w:pPr>
      <w:r>
        <w:rPr>
          <w:rFonts w:hint="eastAsia" w:ascii="宋体" w:hAnsi="宋体" w:cs="宋体"/>
        </w:rPr>
        <w:t xml:space="preserve">5.项目经办人可以根据项目实际需要对表格结构进行调整。</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p>
    <w:p>
      <w:pPr>
        <w:jc w:val="left"/>
        <w:rPr>
          <w:rFonts w:hint="eastAsia" w:ascii="宋体" w:hAnsi="宋体"/>
          <w:b/>
        </w:rPr>
      </w:pPr>
      <w:r>
        <w:rPr>
          <w:rFonts w:hint="eastAsia" w:ascii="宋体" w:hAnsi="宋体"/>
          <w:b/>
        </w:rPr>
        <w:t xml:space="preserve">附件</w:t>
      </w:r>
      <w:r>
        <w:rPr>
          <w:rFonts w:ascii="宋体" w:hAnsi="宋体"/>
          <w:b/>
        </w:rPr>
        <w:t xml:space="preserve">3 </w:t>
      </w:r>
      <w:r/>
    </w:p>
    <w:p>
      <w:pPr>
        <w:jc w:val="center"/>
        <w:rPr>
          <w:rFonts w:hint="eastAsia" w:ascii="宋体" w:hAnsi="宋体"/>
          <w:b/>
        </w:rPr>
      </w:pPr>
      <w:r>
        <w:rPr>
          <w:rFonts w:hint="eastAsia" w:ascii="宋体" w:hAnsi="宋体"/>
          <w:b/>
        </w:rPr>
        <w:t xml:space="preserve">技术要求响应及偏离表</w:t>
      </w:r>
      <w:r>
        <w:rPr>
          <w:rFonts w:hint="eastAsia" w:ascii="宋体" w:hAnsi="宋体" w:cs="宋体"/>
          <w:b/>
          <w:szCs w:val="21"/>
        </w:rPr>
        <w:t xml:space="preserve">（采购包号：**）</w:t>
      </w:r>
      <w:r/>
    </w:p>
    <w:tbl>
      <w:tblPr>
        <w:tblStyle w:val="10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rPr>
            </w:pPr>
            <w:r>
              <w:rPr>
                <w:rFonts w:hint="eastAsia" w:ascii="宋体" w:hAnsi="宋体"/>
              </w:rPr>
              <w:t xml:space="preserve">序号</w:t>
            </w:r>
            <w:r/>
          </w:p>
        </w:tc>
        <w:tc>
          <w:tcPr>
            <w:tcW w:w="3063" w:type="dxa"/>
            <w:vAlign w:val="center"/>
            <w:textDirection w:val="lrTb"/>
            <w:noWrap w:val="false"/>
          </w:tcPr>
          <w:p>
            <w:pPr>
              <w:jc w:val="center"/>
              <w:spacing w:line="400" w:lineRule="exact"/>
              <w:rPr>
                <w:rFonts w:hint="eastAsia" w:ascii="宋体" w:hAnsi="宋体"/>
              </w:rPr>
            </w:pPr>
            <w:r>
              <w:rPr>
                <w:rFonts w:hint="eastAsia" w:ascii="宋体" w:hAnsi="宋体"/>
              </w:rPr>
              <w:t xml:space="preserve">技术要求</w:t>
            </w:r>
            <w:r/>
          </w:p>
        </w:tc>
        <w:tc>
          <w:tcPr>
            <w:tcW w:w="3191" w:type="dxa"/>
            <w:vAlign w:val="center"/>
            <w:textDirection w:val="lrTb"/>
            <w:noWrap w:val="false"/>
          </w:tcPr>
          <w:p>
            <w:pPr>
              <w:jc w:val="center"/>
              <w:spacing w:line="400" w:lineRule="exact"/>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jc w:val="center"/>
              <w:spacing w:line="400" w:lineRule="exact"/>
              <w:rPr>
                <w:rFonts w:hint="eastAsia"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rPr>
            </w:pPr>
            <w:r>
              <w:rPr>
                <w:rFonts w:hint="eastAsia" w:ascii="宋体" w:hAnsi="宋体"/>
              </w:rPr>
              <w:t xml:space="preserve">1</w:t>
            </w:r>
            <w:r/>
          </w:p>
        </w:tc>
        <w:tc>
          <w:tcPr>
            <w:tcW w:w="3063" w:type="dxa"/>
            <w:textDirection w:val="lrTb"/>
            <w:noWrap w:val="false"/>
          </w:tcPr>
          <w:p>
            <w:pPr>
              <w:jc w:val="center"/>
              <w:spacing w:line="400" w:lineRule="exact"/>
              <w:rPr>
                <w:rFonts w:hint="eastAsia" w:ascii="宋体" w:hAnsi="宋体"/>
              </w:rPr>
            </w:pPr>
            <w:r>
              <w:rPr>
                <w:rFonts w:hint="eastAsia" w:ascii="宋体" w:hAnsi="宋体"/>
              </w:rPr>
            </w:r>
            <w:r/>
          </w:p>
        </w:tc>
        <w:tc>
          <w:tcPr>
            <w:tcW w:w="3191" w:type="dxa"/>
            <w:textDirection w:val="lrTb"/>
            <w:noWrap w:val="false"/>
          </w:tcPr>
          <w:p>
            <w:pPr>
              <w:jc w:val="center"/>
              <w:spacing w:line="400" w:lineRule="exact"/>
              <w:rPr>
                <w:rFonts w:hint="eastAsia" w:ascii="宋体" w:hAnsi="宋体"/>
              </w:rPr>
            </w:pPr>
            <w:r>
              <w:rPr>
                <w:rFonts w:hint="eastAsia" w:ascii="宋体" w:hAnsi="宋体"/>
              </w:rPr>
            </w:r>
            <w:r/>
          </w:p>
        </w:tc>
        <w:tc>
          <w:tcPr>
            <w:tcW w:w="2128" w:type="dxa"/>
            <w:textDirection w:val="lrTb"/>
            <w:noWrap w:val="false"/>
          </w:tcPr>
          <w:p>
            <w:pPr>
              <w:jc w:val="center"/>
              <w:spacing w:line="400" w:lineRule="exact"/>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spacing w:line="400" w:lineRule="exact"/>
              <w:rPr>
                <w:rFonts w:hint="eastAsia" w:ascii="宋体" w:hAnsi="宋体"/>
              </w:rPr>
            </w:pPr>
            <w:r>
              <w:rPr>
                <w:rFonts w:hint="eastAsia" w:ascii="宋体" w:hAnsi="宋体"/>
              </w:rPr>
            </w:r>
            <w:r/>
          </w:p>
        </w:tc>
        <w:tc>
          <w:tcPr>
            <w:tcW w:w="3063" w:type="dxa"/>
            <w:textDirection w:val="lrTb"/>
            <w:noWrap w:val="false"/>
          </w:tcPr>
          <w:p>
            <w:pPr>
              <w:jc w:val="center"/>
              <w:spacing w:line="400" w:lineRule="exact"/>
              <w:rPr>
                <w:rFonts w:hint="eastAsia" w:ascii="宋体" w:hAnsi="宋体"/>
              </w:rPr>
            </w:pPr>
            <w:r>
              <w:rPr>
                <w:rFonts w:ascii="宋体" w:hAnsi="宋体"/>
              </w:rPr>
              <w:t xml:space="preserve">……</w:t>
            </w:r>
            <w:r/>
          </w:p>
        </w:tc>
        <w:tc>
          <w:tcPr>
            <w:tcW w:w="3191" w:type="dxa"/>
            <w:textDirection w:val="lrTb"/>
            <w:noWrap w:val="false"/>
          </w:tcPr>
          <w:p>
            <w:pPr>
              <w:jc w:val="center"/>
              <w:spacing w:line="400" w:lineRule="exact"/>
              <w:rPr>
                <w:rFonts w:hint="eastAsia" w:ascii="宋体" w:hAnsi="宋体"/>
              </w:rPr>
            </w:pPr>
            <w:r>
              <w:rPr>
                <w:rFonts w:hint="eastAsia" w:ascii="宋体" w:hAnsi="宋体"/>
              </w:rPr>
            </w:r>
            <w:r/>
          </w:p>
        </w:tc>
        <w:tc>
          <w:tcPr>
            <w:tcW w:w="2128" w:type="dxa"/>
            <w:textDirection w:val="lrTb"/>
            <w:noWrap w:val="false"/>
          </w:tcPr>
          <w:p>
            <w:pPr>
              <w:jc w:val="center"/>
              <w:spacing w:line="400" w:lineRule="exact"/>
              <w:rPr>
                <w:rFonts w:hint="eastAsia" w:ascii="宋体" w:hAnsi="宋体"/>
              </w:rPr>
            </w:pPr>
            <w:r>
              <w:rPr>
                <w:rFonts w:hint="eastAsia" w:ascii="宋体" w:hAnsi="宋体"/>
              </w:rPr>
            </w:r>
            <w:r/>
          </w:p>
        </w:tc>
      </w:tr>
    </w:tbl>
    <w:p>
      <w:pPr>
        <w:spacing w:line="400" w:lineRule="exact"/>
        <w:rPr>
          <w:rFonts w:hint="eastAsia" w:ascii="宋体" w:hAnsi="宋体"/>
        </w:rPr>
      </w:pPr>
      <w:r>
        <w:rPr>
          <w:rFonts w:hint="eastAsia" w:ascii="宋体" w:hAnsi="宋体"/>
        </w:rPr>
        <w:t xml:space="preserve">附件</w:t>
      </w:r>
      <w:r>
        <w:rPr>
          <w:rFonts w:ascii="宋体" w:hAnsi="宋体"/>
        </w:rPr>
        <w:t xml:space="preserve">3</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t xml:space="preserve">备注</w:t>
      </w:r>
      <w:r>
        <w:rPr>
          <w:rFonts w:ascii="宋体" w:hAnsi="宋体"/>
        </w:rPr>
        <w:t xml:space="preserve">：</w:t>
      </w:r>
      <w:r/>
    </w:p>
    <w:p>
      <w:pPr>
        <w:spacing w:line="400" w:lineRule="exact"/>
        <w:rPr>
          <w:rFonts w:hint="eastAsia" w:ascii="宋体" w:hAnsi="宋体"/>
        </w:rPr>
      </w:pPr>
      <w:r>
        <w:rPr>
          <w:rFonts w:hint="eastAsia" w:ascii="宋体" w:hAnsi="宋体" w:cs="宋体"/>
        </w:rPr>
        <w:t xml:space="preserve">1.投标人需对招标文件技术要求中非实质性要求（</w:t>
      </w:r>
      <w:r>
        <w:rPr>
          <w:rFonts w:hint="eastAsia" w:ascii="宋体" w:hAnsi="宋体" w:cs="宋体"/>
          <w:b/>
        </w:rPr>
        <w:t xml:space="preserve">未加</w:t>
      </w:r>
      <w:r>
        <w:rPr>
          <w:rFonts w:hint="eastAsia" w:ascii="宋体" w:hAnsi="宋体" w:cs="宋体"/>
          <w:b/>
          <w:i/>
          <w:u w:val="single"/>
        </w:rPr>
        <w:t xml:space="preserve">斜体下划线</w:t>
      </w:r>
      <w:r>
        <w:rPr>
          <w:rFonts w:hint="eastAsia" w:ascii="宋体" w:hAnsi="宋体" w:cs="宋体"/>
          <w:b/>
          <w:iCs/>
        </w:rPr>
        <w:t xml:space="preserve">部分</w:t>
      </w:r>
      <w:r>
        <w:rPr>
          <w:rFonts w:hint="eastAsia" w:ascii="宋体" w:hAnsi="宋体" w:cs="宋体"/>
          <w:b/>
        </w:rPr>
        <w:t xml:space="preserve">或未加*号条款</w:t>
      </w:r>
      <w:r>
        <w:rPr>
          <w:rFonts w:hint="eastAsia" w:ascii="宋体" w:hAnsi="宋体" w:cs="宋体"/>
        </w:rPr>
        <w:t xml:space="preserve">）</w:t>
      </w:r>
      <w:r>
        <w:rPr>
          <w:rFonts w:ascii="宋体" w:hAnsi="宋体"/>
        </w:rPr>
        <w:t xml:space="preserve">逐条做出明确响应</w:t>
      </w:r>
      <w:r>
        <w:rPr>
          <w:rFonts w:hint="eastAsia" w:ascii="宋体" w:hAnsi="宋体"/>
        </w:rPr>
        <w:t xml:space="preserve">。</w:t>
      </w:r>
      <w:r/>
    </w:p>
    <w:p>
      <w:pPr>
        <w:spacing w:line="400" w:lineRule="exact"/>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材料，投标人</w:t>
      </w:r>
      <w:r>
        <w:rPr>
          <w:rFonts w:hint="eastAsia" w:ascii="宋体" w:hAnsi="宋体"/>
        </w:rPr>
        <w:t xml:space="preserve">需</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r>
      <w:r/>
    </w:p>
    <w:p>
      <w:pPr>
        <w:jc w:val="left"/>
        <w:rPr>
          <w:rFonts w:hint="eastAsia" w:ascii="宋体" w:hAnsi="宋体"/>
          <w:b/>
        </w:rPr>
      </w:pPr>
      <w:r>
        <w:rPr>
          <w:rFonts w:hint="eastAsia" w:ascii="宋体" w:hAnsi="宋体"/>
          <w:b/>
        </w:rPr>
        <w:t xml:space="preserve">附件</w:t>
      </w:r>
      <w:r>
        <w:rPr>
          <w:rFonts w:ascii="宋体" w:hAnsi="宋体"/>
          <w:b/>
        </w:rPr>
        <w:t xml:space="preserve">4 </w:t>
      </w:r>
      <w:r/>
    </w:p>
    <w:p>
      <w:pPr>
        <w:jc w:val="center"/>
        <w:rPr>
          <w:rFonts w:hint="eastAsia" w:ascii="宋体" w:hAnsi="宋体"/>
          <w:b/>
        </w:rPr>
      </w:pPr>
      <w:r>
        <w:rPr>
          <w:rFonts w:hint="eastAsia" w:ascii="宋体" w:hAnsi="宋体"/>
          <w:b/>
        </w:rPr>
        <w:t xml:space="preserve">商务要求响应及偏离表</w:t>
      </w:r>
      <w:r>
        <w:rPr>
          <w:rFonts w:hint="eastAsia" w:ascii="宋体" w:hAnsi="宋体" w:cs="宋体"/>
          <w:b/>
          <w:szCs w:val="21"/>
        </w:rPr>
        <w:t xml:space="preserve">（采购包号：**）</w:t>
      </w:r>
      <w:r/>
    </w:p>
    <w:tbl>
      <w:tblPr>
        <w:tblStyle w:val="10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rPr>
            </w:pPr>
            <w:r>
              <w:rPr>
                <w:rFonts w:hint="eastAsia" w:ascii="宋体" w:hAnsi="宋体"/>
              </w:rPr>
              <w:t xml:space="preserve">序号</w:t>
            </w:r>
            <w:r/>
          </w:p>
        </w:tc>
        <w:tc>
          <w:tcPr>
            <w:tcW w:w="3063" w:type="dxa"/>
            <w:vAlign w:val="center"/>
            <w:textDirection w:val="lrTb"/>
            <w:noWrap w:val="false"/>
          </w:tcPr>
          <w:p>
            <w:pPr>
              <w:jc w:val="center"/>
              <w:spacing w:line="400" w:lineRule="exact"/>
              <w:rPr>
                <w:rFonts w:hint="eastAsia" w:ascii="宋体" w:hAnsi="宋体"/>
              </w:rPr>
            </w:pPr>
            <w:r>
              <w:rPr>
                <w:rFonts w:hint="eastAsia" w:ascii="宋体" w:hAnsi="宋体"/>
              </w:rPr>
              <w:t xml:space="preserve">商务要求</w:t>
            </w:r>
            <w:r/>
          </w:p>
        </w:tc>
        <w:tc>
          <w:tcPr>
            <w:tcW w:w="3191" w:type="dxa"/>
            <w:vAlign w:val="center"/>
            <w:textDirection w:val="lrTb"/>
            <w:noWrap w:val="false"/>
          </w:tcPr>
          <w:p>
            <w:pPr>
              <w:jc w:val="center"/>
              <w:spacing w:line="400" w:lineRule="exact"/>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jc w:val="center"/>
              <w:spacing w:line="400" w:lineRule="exact"/>
              <w:rPr>
                <w:rFonts w:hint="eastAsia"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rPr>
            </w:pPr>
            <w:r>
              <w:rPr>
                <w:rFonts w:hint="eastAsia" w:ascii="宋体" w:hAnsi="宋体"/>
              </w:rPr>
              <w:t xml:space="preserve">1</w:t>
            </w:r>
            <w:r/>
          </w:p>
        </w:tc>
        <w:tc>
          <w:tcPr>
            <w:tcW w:w="3063" w:type="dxa"/>
            <w:textDirection w:val="lrTb"/>
            <w:noWrap w:val="false"/>
          </w:tcPr>
          <w:p>
            <w:pPr>
              <w:jc w:val="center"/>
              <w:spacing w:line="400" w:lineRule="exact"/>
              <w:rPr>
                <w:rFonts w:hint="eastAsia" w:ascii="宋体" w:hAnsi="宋体"/>
              </w:rPr>
            </w:pPr>
            <w:r>
              <w:rPr>
                <w:rFonts w:hint="eastAsia" w:ascii="宋体" w:hAnsi="宋体"/>
              </w:rPr>
            </w:r>
            <w:r/>
          </w:p>
        </w:tc>
        <w:tc>
          <w:tcPr>
            <w:tcW w:w="3191" w:type="dxa"/>
            <w:textDirection w:val="lrTb"/>
            <w:noWrap w:val="false"/>
          </w:tcPr>
          <w:p>
            <w:pPr>
              <w:jc w:val="center"/>
              <w:spacing w:line="400" w:lineRule="exact"/>
              <w:rPr>
                <w:rFonts w:hint="eastAsia" w:ascii="宋体" w:hAnsi="宋体"/>
              </w:rPr>
            </w:pPr>
            <w:r>
              <w:rPr>
                <w:rFonts w:hint="eastAsia" w:ascii="宋体" w:hAnsi="宋体"/>
              </w:rPr>
            </w:r>
            <w:r/>
          </w:p>
        </w:tc>
        <w:tc>
          <w:tcPr>
            <w:tcW w:w="2128" w:type="dxa"/>
            <w:textDirection w:val="lrTb"/>
            <w:noWrap w:val="false"/>
          </w:tcPr>
          <w:p>
            <w:pPr>
              <w:jc w:val="center"/>
              <w:spacing w:line="400" w:lineRule="exact"/>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spacing w:line="400" w:lineRule="exact"/>
              <w:rPr>
                <w:rFonts w:hint="eastAsia" w:ascii="宋体" w:hAnsi="宋体"/>
              </w:rPr>
            </w:pPr>
            <w:r>
              <w:rPr>
                <w:rFonts w:hint="eastAsia" w:ascii="宋体" w:hAnsi="宋体"/>
              </w:rPr>
            </w:r>
            <w:r/>
          </w:p>
        </w:tc>
        <w:tc>
          <w:tcPr>
            <w:tcW w:w="3063" w:type="dxa"/>
            <w:textDirection w:val="lrTb"/>
            <w:noWrap w:val="false"/>
          </w:tcPr>
          <w:p>
            <w:pPr>
              <w:jc w:val="center"/>
              <w:spacing w:line="400" w:lineRule="exact"/>
              <w:rPr>
                <w:rFonts w:hint="eastAsia" w:ascii="宋体" w:hAnsi="宋体"/>
              </w:rPr>
            </w:pPr>
            <w:r>
              <w:rPr>
                <w:rFonts w:ascii="宋体" w:hAnsi="宋体"/>
              </w:rPr>
              <w:t xml:space="preserve">……</w:t>
            </w:r>
            <w:r/>
          </w:p>
        </w:tc>
        <w:tc>
          <w:tcPr>
            <w:tcW w:w="3191" w:type="dxa"/>
            <w:textDirection w:val="lrTb"/>
            <w:noWrap w:val="false"/>
          </w:tcPr>
          <w:p>
            <w:pPr>
              <w:jc w:val="center"/>
              <w:spacing w:line="400" w:lineRule="exact"/>
              <w:rPr>
                <w:rFonts w:hint="eastAsia" w:ascii="宋体" w:hAnsi="宋体"/>
              </w:rPr>
            </w:pPr>
            <w:r>
              <w:rPr>
                <w:rFonts w:hint="eastAsia" w:ascii="宋体" w:hAnsi="宋体"/>
              </w:rPr>
            </w:r>
            <w:r/>
          </w:p>
        </w:tc>
        <w:tc>
          <w:tcPr>
            <w:tcW w:w="2128" w:type="dxa"/>
            <w:textDirection w:val="lrTb"/>
            <w:noWrap w:val="false"/>
          </w:tcPr>
          <w:p>
            <w:pPr>
              <w:jc w:val="center"/>
              <w:spacing w:line="400" w:lineRule="exact"/>
              <w:rPr>
                <w:rFonts w:hint="eastAsia" w:ascii="宋体" w:hAnsi="宋体"/>
              </w:rPr>
            </w:pPr>
            <w:r>
              <w:rPr>
                <w:rFonts w:hint="eastAsia" w:ascii="宋体" w:hAnsi="宋体"/>
              </w:rPr>
            </w:r>
            <w:r/>
          </w:p>
        </w:tc>
      </w:tr>
    </w:tbl>
    <w:p>
      <w:pPr>
        <w:spacing w:line="400" w:lineRule="exact"/>
        <w:rPr>
          <w:rFonts w:hint="eastAsia" w:ascii="宋体" w:hAnsi="宋体"/>
        </w:rPr>
      </w:pPr>
      <w:r>
        <w:rPr>
          <w:rFonts w:hint="eastAsia" w:ascii="宋体" w:hAnsi="宋体"/>
        </w:rPr>
        <w:t xml:space="preserve">附件</w:t>
      </w:r>
      <w:r>
        <w:rPr>
          <w:rFonts w:ascii="宋体" w:hAnsi="宋体"/>
        </w:rPr>
        <w:t xml:space="preserve">4</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t xml:space="preserve">备注</w:t>
      </w:r>
      <w:r>
        <w:rPr>
          <w:rFonts w:ascii="宋体" w:hAnsi="宋体"/>
        </w:rPr>
        <w:t xml:space="preserve">：</w:t>
      </w:r>
      <w:r/>
    </w:p>
    <w:p>
      <w:pPr>
        <w:spacing w:line="400" w:lineRule="exact"/>
        <w:rPr>
          <w:rFonts w:hint="eastAsia" w:ascii="宋体" w:hAnsi="宋体"/>
        </w:rPr>
      </w:pPr>
      <w:r>
        <w:rPr>
          <w:rFonts w:hint="eastAsia" w:ascii="宋体" w:hAnsi="宋体" w:cs="宋体"/>
        </w:rPr>
        <w:t xml:space="preserve">1.投标人需对招标文件商务要求中非实质性要求（</w:t>
      </w:r>
      <w:r>
        <w:rPr>
          <w:rFonts w:hint="eastAsia" w:ascii="宋体" w:hAnsi="宋体" w:cs="宋体"/>
          <w:b/>
        </w:rPr>
        <w:t xml:space="preserve">未加</w:t>
      </w:r>
      <w:r>
        <w:rPr>
          <w:rFonts w:hint="eastAsia" w:ascii="宋体" w:hAnsi="宋体" w:cs="宋体"/>
          <w:b/>
          <w:i/>
          <w:u w:val="single"/>
        </w:rPr>
        <w:t xml:space="preserve">斜体下划线</w:t>
      </w:r>
      <w:r>
        <w:rPr>
          <w:rFonts w:hint="eastAsia" w:ascii="宋体" w:hAnsi="宋体" w:cs="宋体"/>
          <w:b/>
          <w:iCs/>
        </w:rPr>
        <w:t xml:space="preserve">部分</w:t>
      </w:r>
      <w:r>
        <w:rPr>
          <w:rFonts w:hint="eastAsia" w:ascii="宋体" w:hAnsi="宋体" w:cs="宋体"/>
          <w:b/>
        </w:rPr>
        <w:t xml:space="preserve">或未加*号条款</w:t>
      </w:r>
      <w:r>
        <w:rPr>
          <w:rFonts w:hint="eastAsia" w:ascii="宋体" w:hAnsi="宋体" w:cs="宋体"/>
        </w:rPr>
        <w:t xml:space="preserve">）</w:t>
      </w:r>
      <w:r>
        <w:rPr>
          <w:rFonts w:ascii="宋体" w:hAnsi="宋体"/>
        </w:rPr>
        <w:t xml:space="preserve">逐条做出明确响应</w:t>
      </w:r>
      <w:r>
        <w:rPr>
          <w:rFonts w:hint="eastAsia" w:ascii="宋体" w:hAnsi="宋体"/>
        </w:rPr>
        <w:t xml:space="preserve">。</w:t>
      </w:r>
      <w:r/>
    </w:p>
    <w:p>
      <w:pPr>
        <w:spacing w:line="400" w:lineRule="exact"/>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材料，投标人</w:t>
      </w:r>
      <w:r>
        <w:rPr>
          <w:rFonts w:hint="eastAsia" w:ascii="宋体" w:hAnsi="宋体"/>
        </w:rPr>
        <w:t xml:space="preserve">需</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rPr>
          <w:rFonts w:hint="eastAsia" w:ascii="宋体" w:hAnsi="宋体"/>
          <w:b/>
          <w:sz w:val="24"/>
        </w:rPr>
      </w:pPr>
      <w:r>
        <w:rPr>
          <w:rFonts w:hint="eastAsia" w:ascii="宋体" w:hAnsi="宋体"/>
          <w:b/>
          <w:sz w:val="24"/>
        </w:rPr>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r>
      <w:r/>
    </w:p>
    <w:p>
      <w:pPr>
        <w:rPr>
          <w:rFonts w:hint="eastAsia" w:ascii="宋体" w:hAnsi="宋体"/>
          <w:b/>
          <w:color w:val="000000"/>
          <w:sz w:val="24"/>
        </w:rPr>
      </w:pPr>
      <w:r>
        <w:rPr>
          <w:rFonts w:hint="eastAsia" w:ascii="宋体" w:hAnsi="宋体"/>
          <w:b/>
          <w:color w:val="000000"/>
          <w:sz w:val="24"/>
        </w:rPr>
        <w:br w:type="page" w:clear="all"/>
      </w:r>
      <w:r/>
    </w:p>
    <w:p>
      <w:pPr>
        <w:ind w:left="480"/>
        <w:rPr>
          <w:rFonts w:hint="eastAsia" w:ascii="宋体" w:hAnsi="宋体" w:cs="宋体"/>
          <w:b/>
          <w:color w:val="000000"/>
        </w:rPr>
      </w:pPr>
      <w:r>
        <w:rPr>
          <w:rFonts w:hint="eastAsia" w:ascii="宋体" w:hAnsi="宋体" w:cs="宋体"/>
          <w:b/>
          <w:color w:val="000000"/>
        </w:rPr>
        <w:t xml:space="preserve">附件5 </w:t>
      </w:r>
      <w:r/>
    </w:p>
    <w:p>
      <w:pPr>
        <w:ind w:left="480"/>
        <w:jc w:val="center"/>
        <w:rPr>
          <w:rFonts w:hint="eastAsia" w:ascii="宋体" w:hAnsi="宋体" w:cs="宋体"/>
          <w:b/>
          <w:color w:val="000000"/>
        </w:rPr>
      </w:pPr>
      <w:r>
        <w:rPr>
          <w:rFonts w:hint="eastAsia" w:ascii="宋体" w:hAnsi="宋体" w:cs="宋体"/>
          <w:b/>
          <w:color w:val="000000"/>
        </w:rPr>
        <w:t xml:space="preserve">具备履行合同所必需的设备和专业技术能力的书面声明</w:t>
      </w:r>
      <w:r/>
    </w:p>
    <w:p>
      <w:pPr>
        <w:ind w:firstLine="492"/>
        <w:spacing w:line="460" w:lineRule="exact"/>
        <w:rPr>
          <w:rFonts w:hint="eastAsia" w:ascii="宋体" w:hAnsi="宋体" w:cs="宋体"/>
          <w:bCs/>
          <w:color w:val="000000"/>
        </w:rPr>
      </w:pPr>
      <w:r>
        <w:rPr>
          <w:rFonts w:hint="eastAsia" w:ascii="宋体" w:hAnsi="宋体" w:cs="宋体"/>
          <w:bCs/>
          <w:color w:val="000000"/>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000000"/>
        </w:rPr>
      </w:pPr>
      <w:r>
        <w:rPr>
          <w:rFonts w:hint="eastAsia" w:ascii="宋体" w:hAnsi="宋体" w:cs="宋体"/>
          <w:bCs/>
          <w:color w:val="000000"/>
        </w:rPr>
        <w:t xml:space="preserve">主要设备有：</w:t>
      </w:r>
      <w:r>
        <w:rPr>
          <w:rFonts w:hint="eastAsia" w:ascii="宋体" w:hAnsi="宋体" w:cs="宋体"/>
          <w:bCs/>
          <w:color w:val="000000"/>
          <w:u w:val="single"/>
        </w:rPr>
        <w:t xml:space="preserve">      </w:t>
      </w:r>
      <w:r>
        <w:rPr>
          <w:rFonts w:hint="eastAsia" w:ascii="宋体" w:hAnsi="宋体" w:cs="宋体"/>
          <w:bCs/>
          <w:color w:val="000000"/>
        </w:rPr>
        <w:t xml:space="preserve">。</w:t>
      </w:r>
      <w:r/>
    </w:p>
    <w:p>
      <w:pPr>
        <w:ind w:firstLine="492"/>
        <w:spacing w:line="460" w:lineRule="exact"/>
        <w:rPr>
          <w:rFonts w:hint="eastAsia" w:ascii="宋体" w:hAnsi="宋体" w:cs="宋体"/>
          <w:bCs/>
          <w:color w:val="000000"/>
        </w:rPr>
      </w:pPr>
      <w:r>
        <w:rPr>
          <w:rFonts w:hint="eastAsia" w:ascii="宋体" w:hAnsi="宋体" w:cs="宋体"/>
          <w:bCs/>
          <w:color w:val="000000"/>
        </w:rPr>
        <w:t xml:space="preserve">主要专业技术能力有：</w:t>
      </w:r>
      <w:r>
        <w:rPr>
          <w:rFonts w:hint="eastAsia" w:ascii="宋体" w:hAnsi="宋体" w:cs="宋体"/>
          <w:bCs/>
          <w:color w:val="000000"/>
          <w:u w:val="single"/>
        </w:rPr>
        <w:t xml:space="preserve">         </w:t>
      </w:r>
      <w:r>
        <w:rPr>
          <w:rFonts w:hint="eastAsia" w:ascii="宋体" w:hAnsi="宋体" w:cs="宋体"/>
          <w:bCs/>
          <w:color w:val="000000"/>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rPr>
      </w:pPr>
      <w:r>
        <w:rPr>
          <w:rFonts w:hint="eastAsia" w:ascii="宋体" w:hAnsi="宋体"/>
          <w:b/>
          <w:color w:val="000000"/>
        </w:rPr>
        <w:t xml:space="preserve">附件</w:t>
      </w:r>
      <w:r>
        <w:rPr>
          <w:rFonts w:ascii="宋体" w:hAnsi="宋体"/>
          <w:b/>
          <w:color w:val="000000"/>
        </w:rPr>
        <w:t xml:space="preserve">6 </w:t>
      </w:r>
      <w:r/>
    </w:p>
    <w:p>
      <w:pPr>
        <w:ind w:left="480"/>
        <w:jc w:val="center"/>
        <w:rPr>
          <w:rFonts w:hint="eastAsia" w:ascii="宋体" w:hAnsi="宋体"/>
          <w:b/>
          <w:color w:val="000000"/>
        </w:rPr>
      </w:pPr>
      <w:r>
        <w:rPr>
          <w:rFonts w:hint="eastAsia" w:ascii="宋体" w:hAnsi="宋体"/>
          <w:b/>
          <w:color w:val="000000"/>
        </w:rPr>
        <w:t xml:space="preserve">参加政府采购活动前 3 年内在经营活动中没有重大违法记录的书面声明</w:t>
      </w:r>
      <w:r/>
    </w:p>
    <w:p>
      <w:pPr>
        <w:ind w:firstLine="480"/>
        <w:spacing w:line="460" w:lineRule="exact"/>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bookmarkStart w:id="190" w:name="_Toc120614284"/>
      <w:r/>
      <w:r/>
    </w:p>
    <w:p>
      <w:pPr>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rPr>
          <w:rFonts w:hint="eastAsia" w:ascii="宋体" w:hAnsi="宋体"/>
          <w:b/>
          <w:color w:val="000000"/>
          <w:sz w:val="24"/>
        </w:rPr>
      </w:pPr>
      <w:r>
        <w:rPr>
          <w:rFonts w:hint="eastAsia" w:ascii="宋体" w:hAnsi="宋体"/>
          <w:b/>
          <w:color w:val="000000"/>
          <w:sz w:val="24"/>
        </w:rPr>
        <w:br w:type="page" w:clear="all"/>
      </w:r>
      <w:r/>
    </w:p>
    <w:p>
      <w:pPr>
        <w:ind w:firstLine="480"/>
        <w:spacing w:line="460" w:lineRule="exact"/>
        <w:rPr>
          <w:rFonts w:hint="eastAsia" w:ascii="宋体" w:hAnsi="宋体" w:cs="宋体"/>
          <w:b/>
          <w:color w:val="000000"/>
        </w:rPr>
      </w:pPr>
      <w:r>
        <w:rPr>
          <w:rFonts w:hint="eastAsia" w:ascii="宋体" w:hAnsi="宋体" w:cs="宋体"/>
          <w:b/>
          <w:color w:val="000000"/>
        </w:rPr>
        <w:t xml:space="preserve">附件7                         </w:t>
      </w:r>
      <w:r/>
    </w:p>
    <w:p>
      <w:pPr>
        <w:ind w:firstLine="480"/>
        <w:jc w:val="center"/>
        <w:spacing w:line="460" w:lineRule="exact"/>
        <w:rPr>
          <w:rFonts w:hint="eastAsia" w:ascii="宋体" w:hAnsi="宋体" w:cs="宋体"/>
          <w:bCs/>
          <w:color w:val="000000"/>
        </w:rPr>
      </w:pPr>
      <w:r>
        <w:rPr>
          <w:rFonts w:hint="eastAsia" w:ascii="宋体" w:hAnsi="宋体" w:cs="宋体"/>
          <w:b/>
          <w:color w:val="000000"/>
        </w:rPr>
        <w:t xml:space="preserve">法人授权书</w:t>
      </w:r>
      <w:r/>
    </w:p>
    <w:p>
      <w:pPr>
        <w:ind w:firstLine="420"/>
        <w:spacing w:line="400" w:lineRule="exact"/>
        <w:tabs>
          <w:tab w:val="left" w:pos="360" w:leader="none"/>
        </w:tabs>
        <w:rPr>
          <w:rFonts w:hint="eastAsia" w:ascii="宋体" w:hAnsi="宋体" w:cs="宋体"/>
          <w:color w:val="000000"/>
        </w:rPr>
      </w:pPr>
      <w:r>
        <w:rPr>
          <w:rFonts w:hint="eastAsia" w:ascii="宋体" w:hAnsi="宋体" w:cs="宋体"/>
          <w:color w:val="000000"/>
        </w:rPr>
        <w:t xml:space="preserve">本授权书声明：____________（投标人名称）授权________________（被授权人的姓名）为我方就采购编号为</w:t>
      </w:r>
      <w:r>
        <w:rPr>
          <w:rFonts w:hint="eastAsia" w:ascii="宋体" w:hAnsi="宋体" w:cs="宋体"/>
          <w:color w:val="000000"/>
          <w:u w:val="single"/>
        </w:rPr>
        <w:t xml:space="preserve">     </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项目（项目名称）采购活动的合法代理人，以本单位名义全权处理一切与该项目采购有关的事务。</w:t>
      </w:r>
      <w:r/>
    </w:p>
    <w:p>
      <w:pPr>
        <w:ind w:firstLine="420"/>
        <w:spacing w:line="400" w:lineRule="exact"/>
        <w:tabs>
          <w:tab w:val="left" w:pos="360" w:leader="none"/>
        </w:tabs>
        <w:rPr>
          <w:rFonts w:hint="eastAsia" w:ascii="宋体" w:hAnsi="宋体" w:cs="宋体"/>
          <w:color w:val="000000"/>
        </w:rPr>
      </w:pPr>
      <w:r>
        <w:rPr>
          <w:rFonts w:hint="eastAsia" w:ascii="宋体" w:hAnsi="宋体" w:cs="宋体"/>
          <w:color w:val="000000"/>
        </w:rPr>
        <w:t xml:space="preserve">本授权书于______年____月____日起生效，特此声明。</w:t>
      </w:r>
      <w:r/>
    </w:p>
    <w:p>
      <w:pPr>
        <w:spacing w:line="400" w:lineRule="exact"/>
        <w:tabs>
          <w:tab w:val="left" w:pos="360" w:leader="none"/>
        </w:tabs>
        <w:rPr>
          <w:rFonts w:hint="eastAsia" w:ascii="宋体" w:hAnsi="宋体" w:cs="宋体"/>
          <w:color w:val="000000"/>
          <w:u w:val="single"/>
        </w:rPr>
      </w:pPr>
      <w:r>
        <w:rPr>
          <w:rFonts w:hint="eastAsia" w:ascii="宋体" w:hAnsi="宋体" w:cs="宋体"/>
          <w:color w:val="000000"/>
        </w:rPr>
        <w:t xml:space="preserve">          被授权人身份证号码：</w:t>
      </w:r>
      <w:r>
        <w:rPr>
          <w:rFonts w:hint="eastAsia" w:ascii="宋体" w:hAnsi="宋体" w:cs="宋体"/>
          <w:color w:val="000000"/>
          <w:u w:val="single"/>
        </w:rPr>
        <w:t xml:space="preserve">                              </w:t>
      </w:r>
      <w:r/>
    </w:p>
    <w:p>
      <w:pPr>
        <w:spacing w:line="400" w:lineRule="exact"/>
        <w:tabs>
          <w:tab w:val="left" w:pos="360" w:leader="none"/>
        </w:tabs>
        <w:rPr>
          <w:rFonts w:hint="eastAsia" w:ascii="宋体" w:hAnsi="宋体" w:cs="宋体"/>
          <w:color w:val="000000"/>
          <w:u w:val="single"/>
        </w:rPr>
      </w:pPr>
      <w:r>
        <w:rPr>
          <w:rFonts w:hint="eastAsia" w:ascii="宋体" w:hAnsi="宋体" w:cs="宋体"/>
          <w:color w:val="000000"/>
        </w:rPr>
        <w:t xml:space="preserve">          被授权人联系电话：（手机）</w:t>
      </w:r>
      <w:r>
        <w:rPr>
          <w:rFonts w:hint="eastAsia" w:ascii="宋体" w:hAnsi="宋体" w:cs="宋体"/>
          <w:color w:val="000000"/>
          <w:u w:val="single"/>
        </w:rPr>
        <w:t xml:space="preserve">                          </w:t>
      </w:r>
      <w:r/>
    </w:p>
    <w:p>
      <w:pPr>
        <w:ind w:firstLine="1050"/>
        <w:spacing w:line="400" w:lineRule="exact"/>
        <w:tabs>
          <w:tab w:val="left" w:pos="360" w:leader="none"/>
        </w:tabs>
        <w:rPr>
          <w:rFonts w:hint="eastAsia" w:ascii="宋体" w:hAnsi="宋体" w:cs="宋体"/>
          <w:u w:val="single"/>
        </w:rPr>
      </w:pPr>
      <w:r>
        <w:rPr>
          <w:rFonts w:hint="eastAsia" w:ascii="宋体" w:hAnsi="宋体" w:cs="宋体"/>
        </w:rPr>
        <w:t xml:space="preserve">被授权人电子邮箱：</w:t>
      </w:r>
      <w:r>
        <w:rPr>
          <w:rFonts w:hint="eastAsia" w:ascii="宋体" w:hAnsi="宋体" w:cs="宋体"/>
          <w:u w:val="single"/>
        </w:rPr>
        <w:t xml:space="preserve">                </w:t>
      </w:r>
      <w:r/>
    </w:p>
    <w:p>
      <w:pPr>
        <w:ind w:firstLine="1050"/>
        <w:spacing w:line="400" w:lineRule="exact"/>
        <w:tabs>
          <w:tab w:val="left" w:pos="360" w:leader="none"/>
        </w:tabs>
        <w:rPr>
          <w:rFonts w:hint="eastAsia" w:ascii="宋体" w:hAnsi="宋体" w:cs="宋体"/>
          <w:color w:val="000000"/>
        </w:rPr>
      </w:pPr>
      <w:r>
        <w:rPr>
          <w:rFonts w:hint="eastAsia" w:ascii="宋体" w:hAnsi="宋体" w:cs="宋体"/>
          <w:color w:val="000000"/>
        </w:rPr>
        <w:t xml:space="preserve">授权单位名称：</w:t>
      </w:r>
      <w:r>
        <w:rPr>
          <w:rFonts w:hint="eastAsia" w:ascii="宋体" w:hAnsi="宋体" w:cs="宋体"/>
          <w:color w:val="000000"/>
          <w:u w:val="single"/>
        </w:rPr>
        <w:t xml:space="preserve">（加盖CA电子公章）</w:t>
      </w:r>
      <w:r/>
    </w:p>
    <w:p>
      <w:pPr>
        <w:ind w:firstLine="420"/>
        <w:spacing w:line="400" w:lineRule="exact"/>
        <w:tabs>
          <w:tab w:val="left" w:pos="360" w:leader="none"/>
        </w:tabs>
        <w:rPr>
          <w:rFonts w:hint="eastAsia" w:ascii="宋体" w:hAnsi="宋体" w:cs="宋体"/>
          <w:color w:val="000000"/>
          <w:u w:val="single"/>
        </w:rPr>
      </w:pPr>
      <w:r>
        <w:rPr>
          <w:rFonts w:hint="eastAsia" w:ascii="宋体" w:hAnsi="宋体" w:cs="宋体"/>
          <w:color w:val="000000"/>
        </w:rPr>
        <w:t xml:space="preserve">      单位地址：</w:t>
      </w:r>
      <w:r>
        <w:rPr>
          <w:rFonts w:hint="eastAsia" w:ascii="宋体" w:hAnsi="宋体" w:cs="宋体"/>
          <w:color w:val="000000"/>
          <w:u w:val="single"/>
        </w:rPr>
        <w:t xml:space="preserve">                                         </w:t>
      </w:r>
      <w:r/>
    </w:p>
    <w:p>
      <w:pPr>
        <w:ind w:firstLine="420"/>
        <w:spacing w:line="400" w:lineRule="exact"/>
        <w:tabs>
          <w:tab w:val="left" w:pos="360" w:leader="none"/>
        </w:tabs>
        <w:rPr>
          <w:rFonts w:hint="eastAsia" w:ascii="宋体" w:hAnsi="宋体" w:cs="宋体"/>
          <w:color w:val="000000"/>
        </w:rPr>
      </w:pPr>
      <w:r>
        <w:rPr>
          <w:rFonts w:hint="eastAsia" w:ascii="宋体" w:hAnsi="宋体" w:cs="宋体"/>
          <w:color w:val="000000"/>
        </w:rPr>
        <w:t xml:space="preserve">      日期：</w:t>
      </w:r>
      <w:bookmarkStart w:id="191" w:name="_Hlt26671380"/>
      <w:r/>
      <w:bookmarkEnd w:id="191"/>
      <w:r/>
      <w:bookmarkStart w:id="192" w:name="_Hlt26955070"/>
      <w:r/>
      <w:bookmarkEnd w:id="192"/>
      <w:r/>
      <w:bookmarkStart w:id="193" w:name="_格式3__银行出具的资信证明"/>
      <w:r/>
      <w:bookmarkEnd w:id="193"/>
      <w:r>
        <w:rPr>
          <w:rFonts w:hint="eastAsia" w:ascii="宋体" w:hAnsi="宋体" w:cs="宋体"/>
          <w:color w:val="000000"/>
          <w:u w:val="single"/>
        </w:rPr>
        <w:t xml:space="preserve">                                         </w:t>
      </w:r>
      <w:r/>
    </w:p>
    <w:p>
      <w:pPr>
        <w:keepLines/>
        <w:keepNext/>
        <w:spacing w:before="260" w:after="260" w:line="416" w:lineRule="auto"/>
        <w:rPr>
          <w:rFonts w:hint="eastAsia" w:asciiTheme="majorEastAsia" w:hAnsiTheme="majorEastAsia" w:eastAsiaTheme="majorEastAsia" w:cstheme="majorEastAsia"/>
          <w:b/>
          <w:color w:val="000000"/>
        </w:rPr>
      </w:pPr>
      <w:r>
        <w:rPr>
          <w:rFonts w:ascii="宋体" w:hAnsi="宋体" w:eastAsia="幼圆" w:cs="Arial"/>
          <w:b/>
          <w:color w:val="000000"/>
          <w:sz w:val="24"/>
          <w:szCs w:val="44"/>
        </w:rPr>
        <w:br w:type="page" w:clear="all"/>
      </w:r>
      <w:r>
        <w:rPr>
          <w:rFonts w:hint="eastAsia" w:asciiTheme="majorEastAsia" w:hAnsiTheme="majorEastAsia" w:eastAsiaTheme="majorEastAsia" w:cstheme="majorEastAsia"/>
          <w:b/>
          <w:color w:val="000000"/>
        </w:rPr>
        <w:t xml:space="preserve">附件8                            </w:t>
      </w:r>
      <w:r/>
    </w:p>
    <w:p>
      <w:pPr>
        <w:jc w:val="center"/>
        <w:keepLines/>
        <w:keepNext/>
        <w:spacing w:before="260" w:after="260" w:line="416" w:lineRule="auto"/>
        <w:rPr>
          <w:rFonts w:hint="eastAsia" w:asciiTheme="majorEastAsia" w:hAnsiTheme="majorEastAsia" w:eastAsiaTheme="majorEastAsia" w:cstheme="majorEastAsia"/>
          <w:b/>
          <w:i/>
          <w:color w:val="000000"/>
          <w:u w:val="single"/>
        </w:rPr>
      </w:pPr>
      <w:r>
        <w:rPr>
          <w:rFonts w:hint="eastAsia" w:asciiTheme="majorEastAsia" w:hAnsiTheme="majorEastAsia" w:eastAsiaTheme="majorEastAsia" w:cstheme="majorEastAsia"/>
          <w:b/>
          <w:color w:val="000000"/>
        </w:rPr>
        <w:t xml:space="preserve">投标函</w:t>
      </w:r>
      <w:r/>
    </w:p>
    <w:p>
      <w:pPr>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致：江苏励邦招标代理有限公司</w:t>
      </w:r>
      <w:r/>
    </w:p>
    <w:p>
      <w:pPr>
        <w:ind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根据贵方</w:t>
      </w:r>
      <w:r>
        <w:rPr>
          <w:rFonts w:hint="eastAsia" w:asciiTheme="majorEastAsia" w:hAnsiTheme="majorEastAsia" w:eastAsiaTheme="majorEastAsia" w:cstheme="majorEastAsia"/>
        </w:rPr>
        <w:t xml:space="preserve">采购编号为</w:t>
      </w:r>
      <w:r>
        <w:rPr>
          <w:rFonts w:hint="eastAsia" w:ascii="宋体" w:hAnsi="宋体" w:cs="宋体"/>
          <w:color w:val="000000"/>
          <w:u w:val="single"/>
        </w:rPr>
        <w:t xml:space="preserve">     </w:t>
      </w:r>
      <w:r>
        <w:rPr>
          <w:rFonts w:hint="eastAsia" w:asciiTheme="majorEastAsia" w:hAnsiTheme="majorEastAsia" w:eastAsiaTheme="majorEastAsia" w:cstheme="majorEastAsia"/>
        </w:rPr>
        <w:t xml:space="preserve">，</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项目（项目名称）</w:t>
      </w:r>
      <w:r>
        <w:rPr>
          <w:rFonts w:hint="eastAsia" w:asciiTheme="majorEastAsia" w:hAnsiTheme="majorEastAsia" w:eastAsiaTheme="majorEastAsia" w:cstheme="majorEastAsia"/>
          <w:color w:val="000000"/>
        </w:rPr>
        <w:t xml:space="preserve">的招标文件，正式授权下述签字人_____(姓名)代表我方_______（投标人的名称），全权处理本次项目投标的有关事宜。</w:t>
      </w:r>
      <w:r/>
    </w:p>
    <w:p>
      <w:pPr>
        <w:ind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据此函，__________签字人兹宣布同意如下：</w:t>
      </w:r>
      <w:r/>
    </w:p>
    <w:p>
      <w:pPr>
        <w:ind w:firstLine="48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1.按招标文件规定的各项要求，向买方提供所需货物（包含与货物相关的服务）。</w:t>
      </w:r>
      <w:r/>
    </w:p>
    <w:p>
      <w:pPr>
        <w:ind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2.我们完全理解贵方不一定将合同授予最低报价的投标人。</w:t>
      </w:r>
      <w:r/>
    </w:p>
    <w:p>
      <w:pPr>
        <w:ind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3.我们已详细审核全部招标文件及其有效补充文件，我们知道必须放弃提出含糊不清或误解问题的权利。</w:t>
      </w:r>
      <w:r/>
    </w:p>
    <w:p>
      <w:pPr>
        <w:ind w:firstLine="48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4.我们同意从规定的开标日期起遵循本投标文件，并在规定的投标有效期期满之前均具有约束力。</w:t>
      </w:r>
      <w:r/>
    </w:p>
    <w:p>
      <w:pPr>
        <w:ind w:firstLine="48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7.与本投标有关的正式通讯地址为：</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地          址：</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邮          编：</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电          话：</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传          真：</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投标人开户行：</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账          号： </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日           期：___年____月____日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11"/>
        <w:jc w:val="left"/>
        <w:spacing w:line="560" w:lineRule="exact"/>
        <w:rPr>
          <w:rFonts w:hint="eastAsia" w:ascii="宋体" w:hAnsi="宋体" w:cs="宋体"/>
          <w:b/>
        </w:rPr>
      </w:pPr>
      <w:r>
        <w:rPr>
          <w:rFonts w:hint="eastAsia" w:ascii="宋体" w:hAnsi="宋体" w:cs="宋体"/>
          <w:b/>
        </w:rPr>
      </w:r>
      <w:r/>
    </w:p>
    <w:p>
      <w:pPr>
        <w:ind w:firstLine="211"/>
        <w:jc w:val="left"/>
        <w:spacing w:line="560" w:lineRule="exact"/>
        <w:rPr>
          <w:rFonts w:hint="eastAsia" w:ascii="宋体" w:hAnsi="宋体" w:cs="宋体"/>
          <w:b/>
        </w:rPr>
      </w:pPr>
      <w:r>
        <w:rPr>
          <w:rFonts w:hint="eastAsia" w:ascii="宋体" w:hAnsi="宋体" w:cs="宋体"/>
          <w:b/>
        </w:rPr>
        <w:t xml:space="preserve">附件9  </w:t>
      </w:r>
      <w:r/>
    </w:p>
    <w:p>
      <w:pPr>
        <w:ind w:firstLine="211"/>
        <w:jc w:val="center"/>
        <w:spacing w:line="560" w:lineRule="exact"/>
        <w:rPr>
          <w:rFonts w:hint="eastAsia" w:ascii="宋体" w:hAnsi="宋体" w:cs="宋体"/>
          <w:b/>
        </w:rPr>
      </w:pPr>
      <w:r>
        <w:rPr>
          <w:rFonts w:hint="eastAsia" w:ascii="宋体" w:hAnsi="宋体" w:cs="宋体"/>
          <w:b/>
        </w:rPr>
        <w:t xml:space="preserve">中小微企业声明函（货物类项目）</w:t>
      </w:r>
      <w:r>
        <w:rPr>
          <w:rFonts w:hint="eastAsia" w:ascii="宋体" w:hAnsi="宋体" w:cs="宋体"/>
          <w:b/>
          <w:szCs w:val="21"/>
        </w:rPr>
        <w:t xml:space="preserve">（采购包号：**）</w:t>
      </w:r>
      <w:r/>
    </w:p>
    <w:p>
      <w:pPr>
        <w:ind w:firstLine="315"/>
        <w:spacing w:line="400" w:lineRule="exact"/>
        <w:rPr>
          <w:rFonts w:hint="eastAsia" w:ascii="宋体" w:hAnsi="宋体" w:cs="宋体"/>
        </w:rPr>
      </w:pPr>
      <w:r>
        <w:rPr>
          <w:rFonts w:hint="eastAsia" w:ascii="宋体" w:hAnsi="宋体" w:cs="宋体"/>
        </w:rPr>
        <w:t xml:space="preserve">本公司（联合体）郑重声明，根据《政府采购促进中小企业发展管理办法》(财库〔2020〕46号)的规定，本公司（联合体）参加江苏励邦招标代理有限公司组织的</w:t>
      </w:r>
      <w:r>
        <w:rPr>
          <w:rFonts w:hint="eastAsia" w:ascii="宋体" w:hAnsi="宋体" w:cs="宋体"/>
          <w:u w:val="single"/>
        </w:rPr>
        <w:t xml:space="preserve">（单位名称）</w:t>
      </w:r>
      <w:r>
        <w:rPr>
          <w:rFonts w:hint="eastAsia" w:ascii="宋体" w:hAnsi="宋体" w:cs="宋体"/>
        </w:rPr>
        <w:t xml:space="preserve">采购编号为</w:t>
      </w:r>
      <w:r>
        <w:rPr>
          <w:rFonts w:hint="eastAsia" w:ascii="宋体" w:hAnsi="宋体" w:cs="宋体"/>
          <w:color w:val="000000"/>
          <w:u w:val="single"/>
        </w:rPr>
        <w:t xml:space="preserve">     </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项目（项目名称）的采购活动，提供的货物全部由符合政策要求的中小微企业制造。相关企业（含联合体中的中小微企业、签订采购包意向协议的中小微企业）的具体情况如下：</w:t>
      </w:r>
      <w:r/>
    </w:p>
    <w:p>
      <w:pPr>
        <w:ind w:firstLine="315"/>
        <w:spacing w:line="400" w:lineRule="exact"/>
        <w:rPr>
          <w:rFonts w:hint="eastAsia" w:ascii="宋体" w:hAnsi="宋体" w:cs="宋体"/>
          <w:i/>
          <w:u w:val="single"/>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（供应商填写招标文件中明确的所属行业）</w:t>
      </w:r>
      <w:r>
        <w:rPr>
          <w:rFonts w:hint="eastAsia" w:ascii="宋体" w:hAnsi="宋体" w:cs="宋体"/>
        </w:rPr>
        <w:t xml:space="preserve">行业；投标产品制造商为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 □小型企业 □微型企业）；</w:t>
      </w:r>
      <w:r/>
    </w:p>
    <w:p>
      <w:pPr>
        <w:ind w:firstLine="315"/>
        <w:spacing w:line="400" w:lineRule="exact"/>
        <w:rPr>
          <w:rFonts w:hint="eastAsia" w:ascii="宋体" w:hAnsi="宋体" w:cs="宋体"/>
          <w:i/>
          <w:u w:val="single"/>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（供应商填写招标文件中明确的所属行业）</w:t>
      </w:r>
      <w:r>
        <w:rPr>
          <w:rFonts w:hint="eastAsia" w:ascii="宋体" w:hAnsi="宋体" w:cs="宋体"/>
        </w:rPr>
        <w:t xml:space="preserve">行业；投标产品制造商为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 □小型企业 □微型企业）；</w:t>
      </w:r>
      <w:r/>
    </w:p>
    <w:p>
      <w:pPr>
        <w:ind w:firstLine="315"/>
        <w:spacing w:line="400" w:lineRule="exact"/>
        <w:rPr>
          <w:rFonts w:hint="eastAsia" w:ascii="宋体" w:hAnsi="宋体" w:cs="宋体"/>
        </w:rPr>
      </w:pPr>
      <w:r>
        <w:rPr>
          <w:rFonts w:hint="eastAsia" w:ascii="宋体" w:hAnsi="宋体" w:cs="宋体"/>
        </w:rPr>
        <w:t xml:space="preserve">……</w:t>
      </w:r>
      <w:r/>
    </w:p>
    <w:p>
      <w:pPr>
        <w:ind w:firstLine="315"/>
        <w:spacing w:line="400" w:lineRule="exact"/>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315"/>
        <w:spacing w:line="400" w:lineRule="exact"/>
        <w:rPr>
          <w:rFonts w:hint="eastAsia" w:ascii="宋体" w:hAnsi="宋体" w:cs="宋体"/>
        </w:rPr>
      </w:pPr>
      <w:r>
        <w:rPr>
          <w:rFonts w:hint="eastAsia" w:ascii="宋体" w:hAnsi="宋体" w:cs="宋体"/>
        </w:rPr>
        <w:t xml:space="preserve">本企业对上述声明内容的真实性负责。如有虚假，将依法承担相应责任</w:t>
      </w:r>
      <w:r/>
    </w:p>
    <w:p>
      <w:pPr>
        <w:ind w:right="720"/>
        <w:spacing w:line="400" w:lineRule="exact"/>
        <w:rPr>
          <w:rFonts w:hint="eastAsia" w:ascii="宋体" w:hAnsi="宋体" w:cs="宋体"/>
        </w:rPr>
      </w:pPr>
      <w:r>
        <w:rPr>
          <w:rFonts w:hint="eastAsia" w:ascii="宋体" w:hAnsi="宋体" w:cs="宋体"/>
        </w:rPr>
      </w:r>
      <w:r/>
    </w:p>
    <w:p>
      <w:pPr>
        <w:ind w:right="180" w:firstLine="315"/>
        <w:jc w:val="right"/>
        <w:spacing w:line="400" w:lineRule="exact"/>
        <w:rPr>
          <w:rFonts w:hint="eastAsia" w:ascii="宋体" w:hAnsi="宋体" w:cs="宋体"/>
        </w:rPr>
      </w:pPr>
      <w:r>
        <w:rPr>
          <w:rFonts w:hint="eastAsia" w:ascii="宋体" w:hAnsi="宋体" w:cs="宋体"/>
        </w:rPr>
        <w:t xml:space="preserve">企业名称（加盖CA电子公章）：</w:t>
      </w:r>
      <w:r/>
    </w:p>
    <w:p>
      <w:pPr>
        <w:ind w:right="480" w:firstLine="5670"/>
        <w:spacing w:line="400" w:lineRule="exact"/>
        <w:rPr>
          <w:rFonts w:hint="eastAsia" w:ascii="宋体" w:hAnsi="宋体" w:cs="宋体"/>
        </w:rPr>
      </w:pPr>
      <w:r>
        <w:rPr>
          <w:rFonts w:hint="eastAsia" w:ascii="宋体" w:hAnsi="宋体" w:cs="宋体"/>
        </w:rPr>
        <w:t xml:space="preserve">日  期：</w:t>
      </w:r>
      <w:r>
        <w:rPr>
          <w:rFonts w:hint="eastAsia" w:ascii="宋体" w:hAnsi="宋体" w:cs="宋体"/>
          <w:color w:val="000000"/>
        </w:rPr>
        <w:t xml:space="preserve">___年____月____日</w:t>
      </w:r>
      <w:r/>
    </w:p>
    <w:p>
      <w:pPr>
        <w:spacing w:line="400" w:lineRule="exact"/>
        <w:rPr>
          <w:rFonts w:hint="eastAsia" w:ascii="宋体" w:hAnsi="宋体" w:cs="宋体"/>
        </w:rPr>
      </w:pPr>
      <w:r>
        <w:rPr>
          <w:rFonts w:hint="eastAsia" w:ascii="宋体" w:hAnsi="宋体" w:cs="宋体"/>
        </w:rPr>
      </w:r>
      <w:r/>
    </w:p>
    <w:p>
      <w:pPr>
        <w:ind w:firstLine="420"/>
        <w:spacing w:line="400" w:lineRule="exact"/>
        <w:rPr>
          <w:rFonts w:hint="eastAsia" w:ascii="宋体" w:hAnsi="宋体" w:cs="宋体"/>
        </w:rPr>
      </w:pPr>
      <w:r>
        <w:rPr>
          <w:rFonts w:hint="eastAsia" w:ascii="宋体" w:hAnsi="宋体" w:cs="宋体"/>
        </w:rPr>
        <w:t xml:space="preserve">备注：</w:t>
      </w:r>
      <w:r/>
    </w:p>
    <w:p>
      <w:pPr>
        <w:ind w:firstLine="420"/>
        <w:spacing w:line="400" w:lineRule="exact"/>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spacing w:line="400" w:lineRule="exact"/>
        <w:rPr>
          <w:rFonts w:hint="eastAsia" w:ascii="宋体" w:hAnsi="宋体" w:cs="宋体"/>
        </w:rPr>
      </w:pPr>
      <w:r>
        <w:rPr>
          <w:rFonts w:hint="eastAsia" w:ascii="宋体" w:hAnsi="宋体" w:cs="宋体"/>
        </w:rPr>
        <w:t xml:space="preserve">2.专门面向中小微型企业采购的项目，供应商如不提供此声明函，则不能通过资格审查；非专门面向中小微型企业采购的项目，供应商如不提供此声明函，价格将不做相应扣除。</w:t>
      </w:r>
      <w:r/>
    </w:p>
    <w:p>
      <w:pPr>
        <w:ind w:left="525" w:hanging="105"/>
        <w:spacing w:line="400" w:lineRule="exact"/>
        <w:rPr>
          <w:rFonts w:hint="eastAsia" w:ascii="宋体" w:hAnsi="宋体" w:cs="宋体"/>
        </w:rPr>
      </w:pPr>
      <w:r>
        <w:rPr>
          <w:rFonts w:hint="eastAsia" w:ascii="宋体" w:hAnsi="宋体" w:cs="宋体"/>
        </w:rPr>
        <w:t xml:space="preserve">3.供应商应对照《工业和信息化部、国家统计局、国家发展和改革委员会、</w:t>
      </w:r>
      <w:r/>
    </w:p>
    <w:p>
      <w:pPr>
        <w:spacing w:line="400" w:lineRule="exact"/>
        <w:rPr>
          <w:rFonts w:hint="eastAsia" w:ascii="宋体" w:hAnsi="宋体" w:cs="宋体"/>
          <w:b/>
        </w:rPr>
      </w:pPr>
      <w:r>
        <w:rPr>
          <w:rFonts w:hint="eastAsia" w:ascii="宋体" w:hAnsi="宋体" w:cs="宋体"/>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宋体" w:hAnsi="宋体" w:cs="宋体"/>
          <w:color w:val="ff0000"/>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cs="宋体"/>
          <w:b/>
        </w:rPr>
        <w:t xml:space="preserve">附件10</w:t>
      </w:r>
      <w:r/>
    </w:p>
    <w:p>
      <w:pPr>
        <w:jc w:val="center"/>
        <w:spacing w:line="400" w:lineRule="exact"/>
        <w:rPr>
          <w:rFonts w:hint="eastAsia" w:ascii="宋体" w:hAnsi="宋体" w:cs="宋体"/>
          <w:color w:val="ff0000"/>
        </w:rPr>
      </w:pPr>
      <w:r>
        <w:rPr>
          <w:rFonts w:hint="eastAsia" w:ascii="宋体" w:hAnsi="宋体" w:cs="宋体"/>
          <w:b/>
        </w:rPr>
        <w:t xml:space="preserve">残疾人福利性单位声明函（货物类项目）</w:t>
      </w:r>
      <w:r>
        <w:rPr>
          <w:rFonts w:hint="eastAsia" w:ascii="宋体" w:hAnsi="宋体" w:cs="宋体"/>
          <w:b/>
          <w:szCs w:val="21"/>
        </w:rPr>
        <w:t xml:space="preserve">（采购包号：**）</w:t>
      </w:r>
      <w:r/>
    </w:p>
    <w:p>
      <w:pPr>
        <w:ind w:firstLine="420"/>
        <w:spacing w:line="400" w:lineRule="exact"/>
        <w:rPr>
          <w:rFonts w:hint="eastAsia"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宋体" w:hAnsi="宋体" w:cs="宋体"/>
          <w:color w:val="000000"/>
          <w:u w:val="single"/>
        </w:rPr>
        <w:t xml:space="preserve">     </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项目（项目名称）采购活动提供本单位制造的货物，或者提供其他残疾人福利性单位制造的货物（不包括使用非残疾人福利性单位注册商标的货物）。</w:t>
      </w:r>
      <w:r/>
    </w:p>
    <w:p>
      <w:pPr>
        <w:ind w:firstLine="420"/>
        <w:spacing w:line="400" w:lineRule="exact"/>
        <w:rPr>
          <w:rFonts w:hint="eastAsia" w:ascii="宋体" w:hAnsi="宋体" w:cs="宋体"/>
        </w:rPr>
      </w:pPr>
      <w:r>
        <w:rPr>
          <w:rFonts w:hint="eastAsia" w:ascii="宋体" w:hAnsi="宋体" w:cs="宋体"/>
        </w:rPr>
        <w:t xml:space="preserve">本单位对上述声明的真实性负责。如有虚假，将依法承担相应责任。</w:t>
      </w:r>
      <w:r/>
    </w:p>
    <w:p>
      <w:pPr>
        <w:ind w:firstLine="420"/>
        <w:spacing w:line="400" w:lineRule="exact"/>
        <w:rPr>
          <w:rFonts w:hint="eastAsia" w:ascii="宋体" w:hAnsi="宋体" w:cs="宋体"/>
        </w:rPr>
      </w:pPr>
      <w:r>
        <w:rPr>
          <w:rFonts w:hint="eastAsia" w:ascii="宋体" w:hAnsi="宋体" w:cs="宋体"/>
        </w:rPr>
      </w:r>
      <w:r/>
    </w:p>
    <w:p>
      <w:pPr>
        <w:ind w:firstLine="420"/>
        <w:spacing w:line="400" w:lineRule="exact"/>
        <w:rPr>
          <w:rFonts w:hint="eastAsia" w:ascii="宋体" w:hAnsi="宋体" w:cs="宋体"/>
        </w:rPr>
      </w:pPr>
      <w:r>
        <w:rPr>
          <w:rFonts w:hint="eastAsia" w:ascii="宋体" w:hAnsi="宋体" w:cs="宋体"/>
        </w:rPr>
        <w:t xml:space="preserve">备注：</w:t>
      </w:r>
      <w:r/>
    </w:p>
    <w:p>
      <w:pPr>
        <w:ind w:firstLine="420"/>
        <w:spacing w:line="400" w:lineRule="exact"/>
        <w:rPr>
          <w:rFonts w:hint="eastAsia" w:ascii="宋体" w:hAnsi="宋体" w:cs="宋体"/>
        </w:rPr>
      </w:pPr>
      <w:r>
        <w:rPr>
          <w:rFonts w:hint="eastAsia" w:ascii="宋体" w:hAnsi="宋体" w:cs="宋体"/>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20"/>
        <w:spacing w:line="400" w:lineRule="exact"/>
        <w:rPr>
          <w:rFonts w:hint="eastAsia" w:ascii="宋体" w:hAnsi="宋体" w:cs="宋体"/>
        </w:rPr>
      </w:pPr>
      <w:r>
        <w:rPr>
          <w:rFonts w:hint="eastAsia" w:ascii="宋体" w:hAnsi="宋体" w:cs="宋体"/>
        </w:rPr>
        <w:t xml:space="preserve">2. 非专门面向中小微型企业采购的项目，供应商如不提供此声明函，价格将不做相应扣除。</w:t>
      </w:r>
      <w:r/>
    </w:p>
    <w:p>
      <w:pPr>
        <w:ind w:firstLine="420"/>
        <w:spacing w:line="400" w:lineRule="exact"/>
        <w:rPr>
          <w:rFonts w:hint="eastAsia" w:ascii="宋体" w:hAnsi="宋体" w:cs="宋体"/>
        </w:rPr>
      </w:pPr>
      <w:r>
        <w:rPr>
          <w:rFonts w:hint="eastAsia" w:ascii="宋体" w:hAnsi="宋体" w:cs="宋体"/>
        </w:rPr>
        <w:t xml:space="preserve">3.中标/成交供应商为残疾人福利性单位的，此声明函将随中标/成交结果同时公告，接受社会监督。</w:t>
      </w:r>
      <w:r/>
    </w:p>
    <w:p>
      <w:pPr>
        <w:ind w:firstLine="444"/>
        <w:spacing w:line="588" w:lineRule="exact"/>
        <w:rPr>
          <w:rFonts w:hint="eastAsia" w:ascii="宋体" w:hAnsi="宋体" w:cs="宋体"/>
          <w:spacing w:val="6"/>
        </w:rPr>
      </w:pPr>
      <w:r>
        <w:rPr>
          <w:rFonts w:hint="eastAsia" w:ascii="宋体" w:hAnsi="宋体" w:cs="宋体"/>
          <w:spacing w:val="6"/>
        </w:rPr>
      </w:r>
      <w:r/>
    </w:p>
    <w:p>
      <w:pPr>
        <w:ind w:right="1559" w:firstLine="444"/>
        <w:jc w:val="center"/>
        <w:spacing w:line="400" w:lineRule="exact"/>
        <w:tabs>
          <w:tab w:val="left" w:pos="4860" w:leader="none"/>
        </w:tabs>
        <w:rPr>
          <w:rFonts w:hint="eastAsia" w:ascii="宋体" w:hAnsi="宋体" w:cs="宋体"/>
        </w:rPr>
      </w:pPr>
      <w:r>
        <w:rPr>
          <w:rFonts w:hint="eastAsia" w:ascii="宋体" w:hAnsi="宋体" w:cs="宋体"/>
          <w:spacing w:val="6"/>
        </w:rPr>
        <w:t xml:space="preserve">             </w:t>
      </w:r>
      <w:r>
        <w:rPr>
          <w:rFonts w:hint="eastAsia" w:ascii="宋体" w:hAnsi="宋体" w:cs="宋体"/>
        </w:rPr>
        <w:t xml:space="preserve">   供应商全称（加盖CA电子公章）：</w:t>
      </w:r>
      <w:r/>
    </w:p>
    <w:p>
      <w:pPr>
        <w:ind w:right="1559" w:firstLine="420"/>
        <w:jc w:val="center"/>
        <w:spacing w:line="400" w:lineRule="exact"/>
        <w:tabs>
          <w:tab w:val="left" w:pos="4860" w:leader="none"/>
        </w:tabs>
        <w:rPr>
          <w:rFonts w:hint="eastAsia" w:ascii="宋体" w:hAnsi="宋体" w:cs="宋体"/>
        </w:rPr>
      </w:pPr>
      <w:r>
        <w:rPr>
          <w:rFonts w:hint="eastAsia" w:ascii="宋体" w:hAnsi="宋体" w:cs="宋体"/>
        </w:rPr>
        <w:t xml:space="preserve">                  日  期：</w:t>
      </w:r>
      <w:r>
        <w:rPr>
          <w:rFonts w:hint="eastAsia" w:ascii="宋体" w:hAnsi="宋体" w:cs="宋体"/>
          <w:color w:val="000000"/>
        </w:rPr>
        <w:t xml:space="preserve">___年____月____日</w:t>
      </w:r>
      <w:r>
        <w:rPr>
          <w:rFonts w:hint="eastAsia" w:ascii="宋体" w:hAnsi="宋体" w:cs="宋体"/>
          <w:shd w:val="clear" w:color="auto" w:fill="ffffff"/>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b/>
          <w:sz w:val="24"/>
          <w:szCs w:val="24"/>
        </w:rPr>
      </w:pPr>
      <w:r>
        <w:rPr>
          <w:rFonts w:hint="eastAsia" w:ascii="宋体" w:hAnsi="宋体"/>
          <w:b/>
          <w:sz w:val="24"/>
          <w:szCs w:val="24"/>
        </w:rPr>
        <w:br w:type="page" w:clear="all"/>
      </w:r>
      <w:r/>
    </w:p>
    <w:p>
      <w:pPr>
        <w:jc w:val="left"/>
        <w:rPr>
          <w:rFonts w:hint="eastAsia" w:ascii="宋体" w:hAnsi="宋体" w:cs="宋体"/>
          <w:b/>
        </w:rPr>
      </w:pPr>
      <w:r>
        <w:rPr>
          <w:rFonts w:hint="eastAsia" w:ascii="宋体" w:hAnsi="宋体" w:cs="宋体"/>
          <w:b/>
        </w:rPr>
        <w:t xml:space="preserve">附件11</w:t>
      </w:r>
      <w:r/>
    </w:p>
    <w:p>
      <w:pPr>
        <w:jc w:val="center"/>
        <w:rPr>
          <w:rFonts w:hint="eastAsia" w:ascii="宋体" w:hAnsi="宋体" w:cs="宋体"/>
          <w:b/>
        </w:rPr>
      </w:pPr>
      <w:r>
        <w:rPr>
          <w:rFonts w:hint="eastAsia" w:ascii="宋体" w:hAnsi="宋体" w:cs="宋体"/>
          <w:b/>
        </w:rPr>
      </w:r>
      <w:r/>
    </w:p>
    <w:p>
      <w:pPr>
        <w:jc w:val="center"/>
        <w:rPr>
          <w:rFonts w:hint="eastAsia" w:ascii="宋体" w:hAnsi="宋体" w:cs="宋体"/>
          <w:b/>
        </w:rPr>
      </w:pPr>
      <w:r>
        <w:rPr>
          <w:rFonts w:hint="eastAsia" w:ascii="宋体" w:hAnsi="宋体" w:cs="宋体"/>
          <w:b/>
        </w:rPr>
        <w:t xml:space="preserve">实质性要求响应及偏离表</w:t>
      </w:r>
      <w:r>
        <w:rPr>
          <w:rFonts w:hint="eastAsia" w:ascii="宋体" w:hAnsi="宋体" w:cs="宋体"/>
          <w:b/>
          <w:szCs w:val="21"/>
        </w:rPr>
        <w:t xml:space="preserve">（采购包号：**）</w:t>
      </w:r>
      <w:r/>
    </w:p>
    <w:tbl>
      <w:tblPr>
        <w:tblStyle w:val="1037"/>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序号</w:t>
            </w:r>
            <w:r/>
          </w:p>
        </w:tc>
        <w:tc>
          <w:tcPr>
            <w:tcW w:w="3609"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招标文件（含技术要求和商务要求）中的实质性要求</w:t>
            </w:r>
            <w:r>
              <w:rPr>
                <w:rFonts w:hint="eastAsia" w:ascii="宋体" w:hAnsi="宋体" w:cs="宋体"/>
                <w:b/>
                <w:bCs/>
              </w:rPr>
              <w:t xml:space="preserve">（</w:t>
            </w:r>
            <w:r>
              <w:rPr>
                <w:rFonts w:hint="eastAsia" w:ascii="宋体" w:hAnsi="宋体" w:cs="宋体"/>
                <w:b/>
                <w:bCs/>
                <w:i/>
                <w:u w:val="single"/>
              </w:rPr>
              <w:t xml:space="preserve">斜体且有下划线部分</w:t>
            </w:r>
            <w:r>
              <w:rPr>
                <w:rFonts w:hint="eastAsia" w:ascii="宋体" w:hAnsi="宋体" w:cs="宋体"/>
                <w:b/>
                <w:bCs/>
              </w:rPr>
              <w:t xml:space="preserve">或加*号条款）</w:t>
            </w:r>
            <w:r/>
          </w:p>
        </w:tc>
        <w:tc>
          <w:tcPr>
            <w:tcW w:w="3317"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投标响应情况</w:t>
            </w:r>
            <w:r/>
          </w:p>
        </w:tc>
        <w:tc>
          <w:tcPr>
            <w:tcW w:w="1526"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cs="宋体"/>
              </w:rPr>
            </w:pPr>
            <w:r>
              <w:rPr>
                <w:rFonts w:hint="eastAsia" w:ascii="宋体" w:hAnsi="宋体" w:cs="宋体"/>
              </w:rPr>
              <w:t xml:space="preserve">1</w:t>
            </w:r>
            <w:r/>
          </w:p>
        </w:tc>
        <w:tc>
          <w:tcPr>
            <w:tcW w:w="3609"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3317"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1526" w:type="dxa"/>
            <w:textDirection w:val="lrTb"/>
            <w:noWrap w:val="false"/>
          </w:tcPr>
          <w:p>
            <w:pPr>
              <w:jc w:val="center"/>
              <w:spacing w:line="400" w:lineRule="exact"/>
              <w:rPr>
                <w:rFonts w:hint="eastAsia" w:ascii="宋体" w:hAnsi="宋体" w:cs="宋体"/>
              </w:rPr>
            </w:pPr>
            <w:r>
              <w:rPr>
                <w:rFonts w:hint="eastAsia" w:ascii="宋体" w:hAnsi="宋体" w:cs="宋体"/>
              </w:rPr>
            </w:r>
            <w:r/>
          </w:p>
        </w:tc>
      </w:tr>
      <w:tr>
        <w:trPr>
          <w:cantSplit/>
          <w:trHeight w:val="640"/>
        </w:trPr>
        <w:tc>
          <w:tcPr>
            <w:tcW w:w="545" w:type="dxa"/>
            <w:textDirection w:val="lrTb"/>
            <w:noWrap w:val="false"/>
          </w:tcPr>
          <w:p>
            <w:pPr>
              <w:jc w:val="center"/>
              <w:spacing w:line="400" w:lineRule="exact"/>
              <w:rPr>
                <w:rFonts w:hint="eastAsia" w:ascii="宋体" w:hAnsi="宋体" w:cs="宋体"/>
              </w:rPr>
            </w:pPr>
            <w:r>
              <w:rPr>
                <w:rFonts w:hint="eastAsia" w:ascii="宋体" w:hAnsi="宋体" w:cs="宋体"/>
              </w:rPr>
              <w:t xml:space="preserve">2</w:t>
            </w:r>
            <w:r/>
          </w:p>
        </w:tc>
        <w:tc>
          <w:tcPr>
            <w:tcW w:w="3609"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3317"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1526" w:type="dxa"/>
            <w:textDirection w:val="lrTb"/>
            <w:noWrap w:val="false"/>
          </w:tcPr>
          <w:p>
            <w:pPr>
              <w:jc w:val="center"/>
              <w:spacing w:line="400" w:lineRule="exact"/>
              <w:rPr>
                <w:rFonts w:hint="eastAsia" w:ascii="宋体" w:hAnsi="宋体" w:cs="宋体"/>
              </w:rPr>
            </w:pPr>
            <w:r>
              <w:rPr>
                <w:rFonts w:hint="eastAsia" w:ascii="宋体" w:hAnsi="宋体" w:cs="宋体"/>
              </w:rPr>
            </w:r>
            <w:r/>
          </w:p>
        </w:tc>
      </w:tr>
      <w:tr>
        <w:trPr>
          <w:cantSplit/>
          <w:trHeight w:val="640"/>
        </w:trPr>
        <w:tc>
          <w:tcPr>
            <w:tcW w:w="545"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3609" w:type="dxa"/>
            <w:textDirection w:val="lrTb"/>
            <w:noWrap w:val="false"/>
          </w:tcPr>
          <w:p>
            <w:pPr>
              <w:jc w:val="center"/>
              <w:spacing w:line="400" w:lineRule="exact"/>
              <w:rPr>
                <w:rFonts w:hint="eastAsia" w:ascii="宋体" w:hAnsi="宋体" w:cs="宋体"/>
              </w:rPr>
            </w:pPr>
            <w:r>
              <w:rPr>
                <w:rFonts w:hint="eastAsia" w:ascii="宋体" w:hAnsi="宋体" w:cs="宋体"/>
              </w:rPr>
              <w:t xml:space="preserve">……</w:t>
            </w:r>
            <w:r/>
          </w:p>
        </w:tc>
        <w:tc>
          <w:tcPr>
            <w:tcW w:w="3317"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1526" w:type="dxa"/>
            <w:textDirection w:val="lrTb"/>
            <w:noWrap w:val="false"/>
          </w:tcPr>
          <w:p>
            <w:pPr>
              <w:jc w:val="center"/>
              <w:spacing w:line="400" w:lineRule="exact"/>
              <w:rPr>
                <w:rFonts w:hint="eastAsia" w:ascii="宋体" w:hAnsi="宋体" w:cs="宋体"/>
              </w:rPr>
            </w:pPr>
            <w:r>
              <w:rPr>
                <w:rFonts w:hint="eastAsia" w:ascii="宋体" w:hAnsi="宋体" w:cs="宋体"/>
              </w:rPr>
            </w:r>
            <w:r/>
          </w:p>
        </w:tc>
      </w:tr>
    </w:tbl>
    <w:p>
      <w:pPr>
        <w:spacing w:line="400" w:lineRule="exact"/>
        <w:rPr>
          <w:rFonts w:hint="eastAsia" w:ascii="宋体" w:hAnsi="宋体" w:cs="宋体"/>
        </w:rPr>
      </w:pPr>
      <w:r>
        <w:rPr>
          <w:rFonts w:hint="eastAsia" w:ascii="宋体" w:hAnsi="宋体" w:cs="宋体"/>
        </w:rPr>
        <w:t xml:space="preserve">附件11-1 证明材料1，证明材料2，……</w:t>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t xml:space="preserve">备注：</w:t>
      </w:r>
      <w:r/>
    </w:p>
    <w:p>
      <w:pPr>
        <w:spacing w:line="400" w:lineRule="exact"/>
        <w:rPr>
          <w:rFonts w:hint="eastAsia" w:ascii="宋体" w:hAnsi="宋体" w:cs="宋体"/>
        </w:rPr>
      </w:pPr>
      <w:r>
        <w:rPr>
          <w:rFonts w:hint="eastAsia" w:ascii="宋体" w:hAnsi="宋体" w:cs="宋体"/>
        </w:rPr>
        <w:t xml:space="preserve">1.投标人必须对招标文件（含技术要求和商务要求）中的实质性要求</w:t>
      </w:r>
      <w:r>
        <w:rPr>
          <w:rFonts w:hint="eastAsia" w:ascii="宋体" w:hAnsi="宋体" w:cs="宋体"/>
          <w:b/>
          <w:bCs/>
        </w:rPr>
        <w:t xml:space="preserve">（</w:t>
      </w:r>
      <w:r>
        <w:rPr>
          <w:rFonts w:hint="eastAsia" w:ascii="宋体" w:hAnsi="宋体" w:cs="宋体"/>
          <w:b/>
          <w:bCs/>
          <w:i/>
          <w:u w:val="single"/>
        </w:rPr>
        <w:t xml:space="preserve">斜体且有下划线部分</w:t>
      </w:r>
      <w:r>
        <w:rPr>
          <w:rFonts w:hint="eastAsia" w:ascii="宋体" w:hAnsi="宋体" w:cs="宋体"/>
          <w:b/>
          <w:bCs/>
        </w:rPr>
        <w:t xml:space="preserve">或加*号条款）</w:t>
      </w:r>
      <w:r>
        <w:rPr>
          <w:rFonts w:hint="eastAsia" w:ascii="宋体" w:hAnsi="宋体" w:cs="宋体"/>
        </w:rPr>
        <w:t xml:space="preserve">逐条做出明确响应。</w:t>
      </w:r>
      <w:r/>
    </w:p>
    <w:p>
      <w:pPr>
        <w:spacing w:line="400" w:lineRule="exact"/>
        <w:rPr>
          <w:rFonts w:hint="eastAsia" w:ascii="宋体" w:hAnsi="宋体" w:cs="宋体"/>
        </w:rPr>
      </w:pPr>
      <w:r>
        <w:rPr>
          <w:rFonts w:hint="eastAsia" w:ascii="宋体" w:hAnsi="宋体" w:cs="宋体"/>
        </w:rPr>
        <w:t xml:space="preserve">2.如招标文件（含技术要求和商务要求）中没有实质性要求</w:t>
      </w:r>
      <w:r>
        <w:rPr>
          <w:rFonts w:hint="eastAsia" w:ascii="宋体" w:hAnsi="宋体" w:cs="宋体"/>
          <w:b/>
          <w:bCs/>
        </w:rPr>
        <w:t xml:space="preserve">（</w:t>
      </w:r>
      <w:r>
        <w:rPr>
          <w:rFonts w:hint="eastAsia" w:ascii="宋体" w:hAnsi="宋体" w:cs="宋体"/>
          <w:b/>
          <w:bCs/>
          <w:i/>
          <w:u w:val="single"/>
        </w:rPr>
        <w:t xml:space="preserve">斜体且有下划线部分</w:t>
      </w:r>
      <w:r>
        <w:rPr>
          <w:rFonts w:hint="eastAsia" w:ascii="宋体" w:hAnsi="宋体" w:cs="宋体"/>
          <w:b/>
          <w:bCs/>
        </w:rPr>
        <w:t xml:space="preserve">或加*号条款）</w:t>
      </w:r>
      <w:r>
        <w:rPr>
          <w:rFonts w:hint="eastAsia" w:ascii="宋体" w:hAnsi="宋体" w:cs="宋体"/>
        </w:rPr>
        <w:t xml:space="preserve">的则无需提供此表格。</w:t>
      </w:r>
      <w:r/>
    </w:p>
    <w:p>
      <w:pPr>
        <w:spacing w:line="400" w:lineRule="exact"/>
        <w:rPr>
          <w:rFonts w:hint="eastAsia" w:ascii="宋体" w:hAnsi="宋体" w:cs="宋体"/>
        </w:rPr>
      </w:pPr>
      <w:r>
        <w:rPr>
          <w:rFonts w:hint="eastAsia" w:ascii="宋体" w:hAnsi="宋体" w:cs="宋体"/>
        </w:rPr>
        <w:t xml:space="preserve">3.如果招标文件要求提供证明材料，投标人必须将证明材料列于该表之下。</w:t>
      </w:r>
      <w:r/>
    </w:p>
    <w:p>
      <w:pPr>
        <w:spacing w:line="400" w:lineRule="exact"/>
        <w:rPr>
          <w:rFonts w:hint="eastAsia" w:ascii="宋体" w:hAnsi="宋体" w:cs="宋体"/>
        </w:rPr>
      </w:pPr>
      <w:r>
        <w:rPr>
          <w:rFonts w:hint="eastAsia" w:ascii="宋体" w:hAnsi="宋体" w:cs="宋体"/>
        </w:rPr>
        <w:t xml:space="preserve">4.投标人未对实质性要求逐条作出明确响应的，或未按招标文件要求提供证明材料的，该采购包作无效投标处理。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cs="宋体"/>
          <w:b/>
        </w:rPr>
        <w:t xml:space="preserve">附件12 </w:t>
      </w:r>
      <w:r/>
    </w:p>
    <w:p>
      <w:pPr>
        <w:jc w:val="center"/>
        <w:rPr>
          <w:rFonts w:hint="eastAsia" w:ascii="宋体" w:hAnsi="宋体" w:cs="宋体"/>
        </w:rPr>
      </w:pPr>
      <w:r>
        <w:rPr>
          <w:rFonts w:hint="eastAsia" w:ascii="宋体" w:hAnsi="宋体" w:cs="宋体"/>
          <w:b/>
        </w:rPr>
        <w:t xml:space="preserve"> 关于符合本国产品标准的声明函</w:t>
      </w:r>
      <w:r/>
    </w:p>
    <w:p>
      <w:pPr>
        <w:pStyle w:val="1067"/>
        <w:ind w:firstLine="420"/>
        <w:spacing w:before="0" w:beforeAutospacing="0" w:after="0" w:afterAutospacing="0" w:line="0" w:lineRule="atLeast"/>
        <w:rPr>
          <w:rFonts w:hint="eastAsia"/>
          <w:sz w:val="21"/>
          <w:szCs w:val="21"/>
        </w:rPr>
      </w:pPr>
      <w:r>
        <w:rPr>
          <w:rFonts w:hint="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7"/>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1.</w:t>
      </w:r>
      <w:r>
        <w:rPr>
          <w:rStyle w:val="1075"/>
          <w:rFonts w:hint="eastAsia"/>
          <w:sz w:val="21"/>
          <w:szCs w:val="21"/>
          <w:u w:val="single"/>
          <w:shd w:val="clear" w:color="auto" w:fill="ffffff"/>
        </w:rPr>
        <w:t xml:space="preserve">（产品名称1）</w:t>
      </w:r>
      <w:r>
        <w:rPr>
          <w:rStyle w:val="1075"/>
          <w:rFonts w:hint="eastAsia"/>
          <w:sz w:val="21"/>
          <w:szCs w:val="21"/>
          <w:shd w:val="clear" w:color="auto" w:fill="ffffff"/>
          <w:vertAlign w:val="superscript"/>
        </w:rPr>
        <w:t xml:space="preserve">1</w:t>
      </w:r>
      <w:r>
        <w:rPr>
          <w:rFonts w:hint="eastAsia"/>
          <w:sz w:val="21"/>
          <w:szCs w:val="21"/>
          <w:shd w:val="clear" w:color="auto" w:fill="ffffff"/>
        </w:rPr>
        <w:t xml:space="preserve">，生产厂为</w:t>
      </w:r>
      <w:r>
        <w:rPr>
          <w:rStyle w:val="1075"/>
          <w:rFonts w:hint="eastAsia"/>
          <w:sz w:val="21"/>
          <w:szCs w:val="21"/>
          <w:u w:val="single"/>
          <w:shd w:val="clear" w:color="auto" w:fill="ffffff"/>
        </w:rPr>
        <w:t xml:space="preserve">（厂名）</w:t>
      </w:r>
      <w:r>
        <w:rPr>
          <w:rStyle w:val="1075"/>
          <w:rFonts w:hint="eastAsia"/>
          <w:sz w:val="21"/>
          <w:szCs w:val="21"/>
          <w:shd w:val="clear" w:color="auto" w:fill="ffffff"/>
          <w:vertAlign w:val="superscript"/>
        </w:rPr>
        <w:t xml:space="preserve">2</w:t>
      </w:r>
      <w:r>
        <w:rPr>
          <w:rFonts w:hint="eastAsia"/>
          <w:sz w:val="21"/>
          <w:szCs w:val="21"/>
          <w:shd w:val="clear" w:color="auto" w:fill="ffffff"/>
        </w:rPr>
        <w:t xml:space="preserve">，厂址为</w:t>
      </w:r>
      <w:r>
        <w:rPr>
          <w:rStyle w:val="1075"/>
          <w:rFonts w:hint="eastAsia"/>
          <w:sz w:val="21"/>
          <w:szCs w:val="21"/>
          <w:u w:val="single"/>
          <w:shd w:val="clear" w:color="auto" w:fill="ffffff"/>
        </w:rPr>
        <w:t xml:space="preserve">（生产厂址）</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75"/>
          <w:rFonts w:hint="eastAsia"/>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Fonts w:hint="eastAsia"/>
          <w:sz w:val="21"/>
          <w:szCs w:val="21"/>
          <w:u w:val="single"/>
          <w:shd w:val="clear" w:color="auto" w:fill="ffffff"/>
        </w:rPr>
        <w:t xml:space="preserve">  </w:t>
      </w:r>
      <w:r>
        <w:rPr>
          <w:rStyle w:val="1075"/>
          <w:rFonts w:hint="eastAsia"/>
          <w:sz w:val="21"/>
          <w:szCs w:val="21"/>
          <w:u w:val="single"/>
          <w:shd w:val="clear" w:color="auto" w:fill="ffffff"/>
        </w:rPr>
        <w:t xml:space="preserve">/  </w:t>
      </w:r>
      <w:r>
        <w:rPr>
          <w:rStyle w:val="1075"/>
          <w:rFonts w:hint="eastAsia"/>
          <w:sz w:val="21"/>
          <w:szCs w:val="21"/>
          <w:shd w:val="clear" w:color="auto" w:fill="ffffff"/>
          <w:vertAlign w:val="superscript"/>
        </w:rPr>
        <w:t xml:space="preserve">3</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75"/>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75"/>
          <w:rFonts w:hint="eastAsia"/>
          <w:sz w:val="21"/>
          <w:szCs w:val="21"/>
          <w:u w:val="single"/>
          <w:shd w:val="clear" w:color="auto" w:fill="ffffff"/>
        </w:rPr>
        <w:t xml:space="preserve">/  </w:t>
      </w:r>
      <w:r>
        <w:rPr>
          <w:rStyle w:val="1075"/>
          <w:rFonts w:hint="eastAsia"/>
          <w:sz w:val="21"/>
          <w:szCs w:val="21"/>
          <w:shd w:val="clear" w:color="auto" w:fill="ffffff"/>
          <w:vertAlign w:val="superscript"/>
        </w:rPr>
        <w:t xml:space="preserve">4</w:t>
      </w:r>
      <w:r>
        <w:rPr>
          <w:rFonts w:hint="eastAsia"/>
          <w:sz w:val="21"/>
          <w:szCs w:val="21"/>
          <w:shd w:val="clear" w:color="auto" w:fill="ffffff"/>
        </w:rPr>
        <w:t xml:space="preserve">在中国境内生产。</w:t>
      </w:r>
      <w:r>
        <w:rPr>
          <w:rFonts w:hint="eastAsia"/>
          <w:sz w:val="21"/>
          <w:szCs w:val="21"/>
          <w:u w:val="single"/>
          <w:shd w:val="clear" w:color="auto" w:fill="ffffff"/>
        </w:rPr>
        <w:t xml:space="preserve">  </w:t>
      </w:r>
      <w:r>
        <w:rPr>
          <w:rStyle w:val="1075"/>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75"/>
          <w:rFonts w:hint="eastAsia"/>
          <w:sz w:val="21"/>
          <w:szCs w:val="21"/>
          <w:u w:val="single"/>
          <w:shd w:val="clear" w:color="auto" w:fill="ffffff"/>
        </w:rPr>
        <w:t xml:space="preserve">/  </w:t>
      </w:r>
      <w:r>
        <w:rPr>
          <w:rStyle w:val="1075"/>
          <w:rFonts w:hint="eastAsia"/>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1067"/>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2.</w:t>
      </w:r>
      <w:r>
        <w:rPr>
          <w:rStyle w:val="1075"/>
          <w:rFonts w:hint="eastAsia"/>
          <w:sz w:val="21"/>
          <w:szCs w:val="21"/>
          <w:u w:val="single"/>
          <w:shd w:val="clear" w:color="auto" w:fill="ffffff"/>
        </w:rPr>
        <w:t xml:space="preserve">（产品名称2）</w:t>
      </w:r>
      <w:r>
        <w:rPr>
          <w:rFonts w:hint="eastAsia"/>
          <w:sz w:val="21"/>
          <w:szCs w:val="21"/>
          <w:shd w:val="clear" w:color="auto" w:fill="ffffff"/>
        </w:rPr>
        <w:t xml:space="preserve">，生产厂为</w:t>
      </w:r>
      <w:r>
        <w:rPr>
          <w:rStyle w:val="1075"/>
          <w:rFonts w:hint="eastAsia"/>
          <w:sz w:val="21"/>
          <w:szCs w:val="21"/>
          <w:u w:val="single"/>
          <w:shd w:val="clear" w:color="auto" w:fill="ffffff"/>
        </w:rPr>
        <w:t xml:space="preserve">（厂名）</w:t>
      </w:r>
      <w:r>
        <w:rPr>
          <w:rFonts w:hint="eastAsia"/>
          <w:sz w:val="21"/>
          <w:szCs w:val="21"/>
          <w:shd w:val="clear" w:color="auto" w:fill="ffffff"/>
        </w:rPr>
        <w:t xml:space="preserve">，厂址为</w:t>
      </w:r>
      <w:r>
        <w:rPr>
          <w:rStyle w:val="1075"/>
          <w:rFonts w:hint="eastAsia"/>
          <w:sz w:val="21"/>
          <w:szCs w:val="21"/>
          <w:u w:val="single"/>
          <w:shd w:val="clear" w:color="auto" w:fill="ffffff"/>
        </w:rPr>
        <w:t xml:space="preserve">（生产厂址）</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75"/>
          <w:rFonts w:hint="eastAsia"/>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Fonts w:hint="eastAsia"/>
          <w:sz w:val="21"/>
          <w:szCs w:val="21"/>
          <w:u w:val="single"/>
          <w:shd w:val="clear" w:color="auto" w:fill="ffffff"/>
        </w:rPr>
        <w:t xml:space="preserve">  </w:t>
      </w:r>
      <w:r>
        <w:rPr>
          <w:rStyle w:val="1075"/>
          <w:rFonts w:hint="eastAsia"/>
          <w:sz w:val="21"/>
          <w:szCs w:val="21"/>
          <w:u w:val="single"/>
          <w:shd w:val="clear" w:color="auto" w:fill="ffffff"/>
        </w:rPr>
        <w:t xml:space="preserve">/  </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75"/>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75"/>
          <w:rFonts w:hint="eastAsia"/>
          <w:sz w:val="21"/>
          <w:szCs w:val="21"/>
          <w:u w:val="single"/>
          <w:shd w:val="clear" w:color="auto" w:fill="ffffff"/>
        </w:rPr>
        <w:t xml:space="preserve">/  </w:t>
      </w:r>
      <w:r>
        <w:rPr>
          <w:rFonts w:hint="eastAsia"/>
          <w:sz w:val="21"/>
          <w:szCs w:val="21"/>
          <w:shd w:val="clear" w:color="auto" w:fill="ffffff"/>
        </w:rPr>
        <w:t xml:space="preserve">在中国境内生产。</w:t>
      </w:r>
      <w:r>
        <w:rPr>
          <w:rFonts w:hint="eastAsia"/>
          <w:sz w:val="21"/>
          <w:szCs w:val="21"/>
          <w:u w:val="single"/>
          <w:shd w:val="clear" w:color="auto" w:fill="ffffff"/>
        </w:rPr>
        <w:t xml:space="preserve">  </w:t>
      </w:r>
      <w:r>
        <w:rPr>
          <w:rStyle w:val="1075"/>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75"/>
          <w:rFonts w:hint="eastAsia"/>
          <w:sz w:val="21"/>
          <w:szCs w:val="21"/>
          <w:u w:val="single"/>
          <w:shd w:val="clear" w:color="auto" w:fill="ffffff"/>
        </w:rPr>
        <w:t xml:space="preserve">/  </w:t>
      </w:r>
      <w:r>
        <w:rPr>
          <w:rFonts w:hint="eastAsia"/>
          <w:sz w:val="21"/>
          <w:szCs w:val="21"/>
          <w:shd w:val="clear" w:color="auto" w:fill="ffffff"/>
        </w:rPr>
        <w:t xml:space="preserve">在中国境内完成。</w:t>
      </w:r>
      <w:r/>
    </w:p>
    <w:p>
      <w:pPr>
        <w:pStyle w:val="1067"/>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w:t>
      </w:r>
      <w:r/>
    </w:p>
    <w:p>
      <w:pPr>
        <w:pStyle w:val="1067"/>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本公司（单位）对上述声明内容的真实性负责。如有虚假，愿承担相应法律责任。</w:t>
      </w:r>
      <w:r/>
    </w:p>
    <w:p>
      <w:pPr>
        <w:pStyle w:val="1067"/>
        <w:spacing w:before="30" w:beforeAutospacing="0" w:after="30" w:afterAutospacing="0" w:line="0" w:lineRule="atLeast"/>
        <w:rPr>
          <w:rFonts w:hint="eastAsia"/>
          <w:sz w:val="21"/>
          <w:szCs w:val="21"/>
        </w:rPr>
      </w:pPr>
      <w:r>
        <w:rPr>
          <w:rFonts w:hint="eastAsia"/>
          <w:sz w:val="21"/>
          <w:szCs w:val="21"/>
        </w:rPr>
      </w:r>
      <w:r/>
    </w:p>
    <w:p>
      <w:pPr>
        <w:pStyle w:val="1067"/>
        <w:jc w:val="right"/>
        <w:spacing w:before="30" w:beforeAutospacing="0" w:after="30" w:afterAutospacing="0" w:line="0" w:lineRule="atLeast"/>
        <w:rPr>
          <w:rFonts w:hint="eastAsia"/>
          <w:sz w:val="21"/>
          <w:szCs w:val="21"/>
        </w:rPr>
      </w:pPr>
      <w:r>
        <w:rPr>
          <w:rFonts w:hint="eastAsia"/>
          <w:sz w:val="21"/>
          <w:szCs w:val="21"/>
          <w:shd w:val="clear" w:color="auto" w:fill="ffffff"/>
        </w:rPr>
        <w:t xml:space="preserve">   公司（单位）名称（加盖CA电子公章）：　        </w:t>
      </w:r>
      <w:r/>
    </w:p>
    <w:p>
      <w:pPr>
        <w:pStyle w:val="1067"/>
        <w:jc w:val="center"/>
        <w:spacing w:before="30" w:beforeAutospacing="0" w:after="30" w:afterAutospacing="0" w:line="0" w:lineRule="atLeast"/>
        <w:rPr>
          <w:rFonts w:hint="eastAsia"/>
          <w:sz w:val="21"/>
          <w:szCs w:val="21"/>
        </w:rPr>
      </w:pPr>
      <w:r>
        <w:rPr>
          <w:rFonts w:hint="eastAsia"/>
          <w:sz w:val="21"/>
          <w:szCs w:val="21"/>
          <w:shd w:val="clear" w:color="auto" w:fill="ffffff"/>
        </w:rPr>
        <w:t xml:space="preserve">     日期：</w:t>
      </w:r>
      <w:r>
        <w:rPr>
          <w:rFonts w:hint="eastAsia"/>
          <w:color w:val="000000"/>
          <w:sz w:val="21"/>
          <w:szCs w:val="21"/>
        </w:rPr>
        <w:t xml:space="preserve">___年____月____日</w:t>
      </w:r>
      <w:r>
        <w:rPr>
          <w:rFonts w:hint="eastAsia"/>
          <w:sz w:val="21"/>
          <w:szCs w:val="21"/>
          <w:shd w:val="clear" w:color="auto" w:fill="ffffff"/>
        </w:rPr>
        <w:t xml:space="preserve">        </w:t>
      </w:r>
      <w:r/>
    </w:p>
    <w:p>
      <w:pPr>
        <w:pStyle w:val="1067"/>
        <w:spacing w:before="30" w:beforeAutospacing="0" w:after="30" w:afterAutospacing="0" w:line="0" w:lineRule="atLeast"/>
        <w:rPr>
          <w:rFonts w:hint="eastAsia"/>
          <w:sz w:val="21"/>
          <w:szCs w:val="21"/>
        </w:rPr>
      </w:pPr>
      <w:r>
        <w:rPr>
          <w:rFonts w:hint="eastAsia"/>
          <w:sz w:val="21"/>
          <w:szCs w:val="21"/>
          <w:shd w:val="clear" w:color="auto" w:fill="ffffff"/>
        </w:rPr>
        <w:t xml:space="preserve">__________________</w:t>
      </w:r>
      <w:r/>
    </w:p>
    <w:p>
      <w:pPr>
        <w:pStyle w:val="1067"/>
        <w:spacing w:before="30" w:beforeAutospacing="0" w:after="30" w:afterAutospacing="0" w:line="0" w:lineRule="atLeast"/>
        <w:rPr>
          <w:rFonts w:hint="eastAsia"/>
          <w:sz w:val="21"/>
          <w:szCs w:val="21"/>
        </w:rPr>
      </w:pPr>
      <w:r>
        <w:rPr>
          <w:rFonts w:hint="eastAsia"/>
          <w:sz w:val="21"/>
          <w:szCs w:val="21"/>
          <w:shd w:val="clear" w:color="auto" w:fill="ffffff"/>
        </w:rPr>
        <w:t xml:space="preserve">1.产品如有型号，请在“产品名称”栏一并填写。</w:t>
      </w:r>
      <w:r/>
    </w:p>
    <w:p>
      <w:pPr>
        <w:pStyle w:val="1067"/>
        <w:spacing w:before="30" w:beforeAutospacing="0" w:after="30" w:afterAutospacing="0" w:line="0" w:lineRule="atLeast"/>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1067"/>
        <w:spacing w:before="30" w:beforeAutospacing="0" w:after="30" w:afterAutospacing="0" w:line="0" w:lineRule="atLeast"/>
        <w:rPr>
          <w:rFonts w:hint="eastAsia"/>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1067"/>
        <w:spacing w:before="30" w:beforeAutospacing="0" w:after="30" w:afterAutospacing="0" w:line="0" w:lineRule="atLeast"/>
        <w:rPr>
          <w:rFonts w:hint="eastAsia"/>
          <w:sz w:val="21"/>
          <w:szCs w:val="21"/>
        </w:rPr>
      </w:pPr>
      <w:r>
        <w:rPr>
          <w:rFonts w:hint="eastAsia"/>
          <w:sz w:val="21"/>
          <w:szCs w:val="21"/>
          <w:shd w:val="clear" w:color="auto" w:fill="ffffff"/>
        </w:rPr>
        <w:t xml:space="preserve">4.该产品的关键组件要求实施前，“关键组件”栏可不填，下同。</w:t>
      </w:r>
      <w:r/>
    </w:p>
    <w:p>
      <w:pPr>
        <w:pStyle w:val="1067"/>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pStyle w:val="1067"/>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t xml:space="preserve">6.《声明函》中标注“</w:t>
      </w:r>
      <w:r>
        <w:rPr>
          <w:rFonts w:hint="eastAsia"/>
          <w:sz w:val="21"/>
          <w:szCs w:val="21"/>
          <w:u w:val="single"/>
          <w:shd w:val="clear" w:color="auto" w:fill="ffffff"/>
        </w:rPr>
        <w:t xml:space="preserve">  </w:t>
      </w:r>
      <w:r>
        <w:rPr>
          <w:rStyle w:val="1075"/>
          <w:rFonts w:hint="eastAsia"/>
          <w:sz w:val="21"/>
          <w:szCs w:val="21"/>
          <w:u w:val="single"/>
          <w:shd w:val="clear" w:color="auto" w:fill="ffffff"/>
        </w:rPr>
        <w:t xml:space="preserve">/  </w:t>
      </w:r>
      <w:r>
        <w:rPr>
          <w:rFonts w:hint="eastAsia"/>
          <w:sz w:val="21"/>
          <w:szCs w:val="21"/>
          <w:shd w:val="clear" w:color="auto" w:fill="ffffff"/>
        </w:rPr>
        <w:t xml:space="preserve">”的地方无需填写。</w:t>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90"/>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hint="eastAsia" w:ascii="宋体" w:hAnsi="宋体" w:cs="宋体"/>
          <w:b/>
          <w:bCs/>
          <w:color w:val="000000"/>
        </w:rPr>
      </w:pPr>
      <w:r>
        <w:rPr>
          <w:rFonts w:hint="eastAsia" w:ascii="宋体" w:hAnsi="宋体" w:cs="宋体"/>
          <w:b/>
          <w:bCs/>
          <w:color w:val="000000"/>
        </w:rPr>
        <w:t xml:space="preserve">质疑函范本</w:t>
      </w:r>
      <w:r/>
    </w:p>
    <w:p>
      <w:pPr>
        <w:spacing w:before="290" w:line="360" w:lineRule="auto"/>
        <w:rPr>
          <w:rFonts w:hint="eastAsia" w:ascii="宋体" w:hAnsi="宋体" w:cs="宋体"/>
          <w:bCs/>
          <w:color w:val="000000"/>
        </w:rPr>
      </w:pPr>
      <w:r>
        <w:rPr>
          <w:rFonts w:hint="eastAsia" w:ascii="宋体" w:hAnsi="宋体" w:cs="宋体"/>
          <w:bCs/>
          <w:color w:val="000000"/>
        </w:rPr>
        <w:t xml:space="preserve">一、质疑供应商基本信息</w:t>
      </w:r>
      <w:r/>
    </w:p>
    <w:p>
      <w:pPr>
        <w:spacing w:line="360" w:lineRule="auto"/>
        <w:rPr>
          <w:rFonts w:hint="eastAsia" w:ascii="宋体" w:hAnsi="宋体" w:cs="宋体"/>
          <w:color w:val="000000"/>
          <w:u w:val="single"/>
        </w:rPr>
      </w:pPr>
      <w:r>
        <w:rPr>
          <w:rFonts w:hint="eastAsia" w:ascii="宋体" w:hAnsi="宋体" w:cs="宋体"/>
          <w:color w:val="000000"/>
        </w:rPr>
        <w:t xml:space="preserve">质疑供应商：</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rPr>
        <w:t xml:space="preserve">联系电话：</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授权代表：</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p>
    <w:p>
      <w:pPr>
        <w:spacing w:line="360" w:lineRule="auto"/>
        <w:rPr>
          <w:rFonts w:hint="eastAsia" w:ascii="宋体" w:hAnsi="宋体" w:cs="宋体"/>
          <w:bCs/>
          <w:color w:val="000000"/>
        </w:rPr>
      </w:pPr>
      <w:r>
        <w:rPr>
          <w:rFonts w:hint="eastAsia" w:ascii="宋体" w:hAnsi="宋体" w:cs="宋体"/>
          <w:bCs/>
          <w:color w:val="000000"/>
        </w:rPr>
        <w:t xml:space="preserve">二、质疑项目基本情况</w:t>
      </w:r>
      <w:r/>
    </w:p>
    <w:p>
      <w:pPr>
        <w:spacing w:line="360" w:lineRule="auto"/>
        <w:rPr>
          <w:rFonts w:hint="eastAsia" w:ascii="宋体" w:hAnsi="宋体" w:cs="宋体"/>
          <w:color w:val="000000"/>
        </w:rPr>
      </w:pPr>
      <w:r>
        <w:rPr>
          <w:rFonts w:hint="eastAsia" w:ascii="宋体" w:hAnsi="宋体" w:cs="宋体"/>
          <w:color w:val="000000"/>
        </w:rPr>
        <w:t xml:space="preserve">质疑项目的名称：</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hint="eastAsia" w:ascii="宋体" w:hAnsi="宋体" w:cs="宋体"/>
          <w:color w:val="000000"/>
        </w:rPr>
        <w:t xml:space="preserve">包号：</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采购人名称：</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p>
    <w:p>
      <w:pPr>
        <w:spacing w:line="360" w:lineRule="auto"/>
        <w:rPr>
          <w:rFonts w:hint="eastAsia" w:ascii="宋体" w:hAnsi="宋体" w:cs="宋体"/>
          <w:bCs/>
          <w:color w:val="000000"/>
        </w:rPr>
      </w:pPr>
      <w:r>
        <w:rPr>
          <w:rFonts w:hint="eastAsia" w:ascii="宋体" w:hAnsi="宋体" w:cs="宋体"/>
          <w:bCs/>
          <w:color w:val="000000"/>
        </w:rPr>
        <w:t xml:space="preserve">三、质疑事项具体内容</w:t>
      </w:r>
      <w:r/>
    </w:p>
    <w:p>
      <w:pPr>
        <w:spacing w:line="360" w:lineRule="auto"/>
        <w:rPr>
          <w:rFonts w:hint="eastAsia" w:ascii="宋体" w:hAnsi="宋体" w:cs="宋体"/>
          <w:color w:val="000000"/>
          <w:u w:val="single"/>
        </w:rPr>
      </w:pPr>
      <w:r>
        <w:rPr>
          <w:rFonts w:hint="eastAsia" w:ascii="宋体" w:hAnsi="宋体" w:cs="宋体"/>
          <w:color w:val="000000"/>
        </w:rPr>
        <w:t xml:space="preserve">质疑事项1：</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事实依据：</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法律依据：</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质疑事项2</w:t>
      </w:r>
      <w:r/>
    </w:p>
    <w:p>
      <w:pPr>
        <w:spacing w:line="360" w:lineRule="auto"/>
        <w:rPr>
          <w:rFonts w:hint="eastAsia" w:ascii="宋体" w:hAnsi="宋体" w:cs="宋体"/>
          <w:color w:val="000000"/>
        </w:rPr>
      </w:pPr>
      <w:r>
        <w:rPr>
          <w:rFonts w:hint="eastAsia" w:ascii="宋体" w:hAnsi="宋体" w:cs="宋体"/>
          <w:color w:val="000000"/>
        </w:rPr>
        <w:t xml:space="preserve">……</w:t>
      </w:r>
      <w:r/>
    </w:p>
    <w:p>
      <w:pPr>
        <w:spacing w:line="360" w:lineRule="auto"/>
        <w:rPr>
          <w:rFonts w:hint="eastAsia" w:ascii="宋体" w:hAnsi="宋体" w:cs="宋体"/>
          <w:bCs/>
          <w:color w:val="000000"/>
        </w:rPr>
      </w:pPr>
      <w:r>
        <w:rPr>
          <w:rFonts w:hint="eastAsia" w:ascii="宋体" w:hAnsi="宋体" w:cs="宋体"/>
          <w:bCs/>
          <w:color w:val="000000"/>
        </w:rPr>
        <w:t xml:space="preserve">四、与质疑事项相关的质疑请求</w:t>
      </w:r>
      <w:r/>
    </w:p>
    <w:p>
      <w:pPr>
        <w:spacing w:line="360" w:lineRule="auto"/>
        <w:rPr>
          <w:rFonts w:hint="eastAsia" w:ascii="宋体" w:hAnsi="宋体" w:cs="宋体"/>
          <w:color w:val="000000"/>
          <w:u w:val="single"/>
        </w:rPr>
      </w:pPr>
      <w:r>
        <w:rPr>
          <w:rFonts w:hint="eastAsia" w:ascii="宋体" w:hAnsi="宋体" w:cs="宋体"/>
          <w:color w:val="000000"/>
        </w:rPr>
        <w:t xml:space="preserve">请求：</w:t>
      </w:r>
      <w:r>
        <w:rPr>
          <w:rFonts w:hint="eastAsia" w:ascii="宋体" w:hAnsi="宋体" w:cs="宋体"/>
          <w:color w:val="000000"/>
          <w:u w:val="single"/>
        </w:rPr>
        <w:t xml:space="preserve">                                                                     </w:t>
      </w:r>
      <w:r/>
    </w:p>
    <w:p>
      <w:pPr>
        <w:rPr>
          <w:rFonts w:hint="eastAsia" w:ascii="宋体" w:hAnsi="宋体" w:cs="宋体"/>
          <w:color w:val="000000"/>
        </w:rPr>
      </w:pPr>
      <w:r>
        <w:rPr>
          <w:rFonts w:hint="eastAsia" w:ascii="宋体" w:hAnsi="宋体" w:cs="宋体"/>
          <w:color w:val="000000"/>
        </w:rPr>
        <w:t xml:space="preserve">签字(签章)：                   公章：                      </w:t>
      </w:r>
      <w:r/>
    </w:p>
    <w:p>
      <w:pPr>
        <w:rPr>
          <w:rFonts w:hint="eastAsia" w:ascii="宋体" w:hAnsi="宋体" w:cs="宋体"/>
          <w:color w:val="000000"/>
        </w:rPr>
      </w:pPr>
      <w:r>
        <w:rPr>
          <w:rFonts w:hint="eastAsia" w:ascii="宋体" w:hAnsi="宋体" w:cs="宋体"/>
          <w:color w:val="000000"/>
        </w:rPr>
        <w:t xml:space="preserve">日期：    </w:t>
      </w:r>
      <w:r/>
    </w:p>
    <w:p>
      <w:pPr>
        <w:spacing w:line="400" w:lineRule="exact"/>
        <w:rPr>
          <w:rFonts w:hint="eastAsia" w:ascii="宋体" w:hAnsi="宋体" w:cs="宋体"/>
          <w:b/>
          <w:color w:val="000000"/>
        </w:rPr>
      </w:pPr>
      <w:r>
        <w:rPr>
          <w:rFonts w:hint="eastAsia" w:ascii="宋体" w:hAnsi="宋体" w:cs="宋体"/>
          <w:b/>
          <w:color w:val="000000"/>
        </w:rPr>
        <w:t xml:space="preserve">质疑函制作说明：</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1.供应商提出质疑时，应提交质疑函和必要的证明材料。</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2.质疑供应商若委托代理人进行质疑的，质疑函应按要求列明“授权代表”的有关内容，并在附件中提交由质疑</w:t>
      </w:r>
      <w:r>
        <w:rPr>
          <w:rFonts w:hint="eastAsia" w:ascii="宋体" w:hAnsi="宋体" w:cs="宋体"/>
          <w:color w:val="000000"/>
        </w:rPr>
        <w:t xml:space="preserve">供应商签署的授权委托书。授权委托书应载明代理人的姓名或者名称、代理事项、具体权限、期限和相关事项。</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3.质疑供应商若对项目的某一采购包进行质疑，质疑函中应列明具体采购包号。</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4.质疑函的质疑事项应具体、明确，并有必要的事实依据和法律依据。</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5.质疑函的质疑请求应与质疑事项相关。</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jc w:val="center"/>
        <w:spacing w:line="440" w:lineRule="exact"/>
        <w:rPr>
          <w:sz w:val="24"/>
          <w:szCs w:val="24"/>
        </w:rPr>
      </w:pPr>
      <w:r>
        <w:rPr>
          <w:sz w:val="24"/>
          <w:szCs w:val="24"/>
        </w:rPr>
      </w:r>
      <w:r/>
    </w:p>
    <w:sectPr>
      <w:footerReference w:type="default" r:id="rId14"/>
      <w:footerReference w:type="first"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DFKai-SB">
    <w:panose1 w:val="03050502040202030202"/>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rPr>
                              <w:rStyle w:val="1073"/>
                              <w:rFonts w:eastAsia="仿宋"/>
                              <w:spacing w:val="-30"/>
                              <w:sz w:val="21"/>
                              <w:szCs w:val="21"/>
                            </w:rPr>
                          </w:pPr>
                          <w:r>
                            <w:rPr>
                              <w:rFonts w:eastAsia="仿宋"/>
                              <w:spacing w:val="-30"/>
                              <w:sz w:val="21"/>
                              <w:szCs w:val="21"/>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rPr>
                        <w:rStyle w:val="1073"/>
                        <w:rFonts w:eastAsia="仿宋"/>
                        <w:spacing w:val="-30"/>
                        <w:sz w:val="21"/>
                        <w:szCs w:val="21"/>
                      </w:rPr>
                    </w:pPr>
                    <w:r>
                      <w:rPr>
                        <w:rFonts w:eastAsia="仿宋"/>
                        <w:spacing w:val="-30"/>
                        <w:sz w:val="21"/>
                        <w:szCs w:val="21"/>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rPr>
        <w:rStyle w:val="1073"/>
      </w:rPr>
      <w:framePr w:wrap="around" w:vAnchor="text" w:hAnchor="margin" w:xAlign="center" w:y="1"/>
    </w:pPr>
    <w:r>
      <w:fldChar w:fldCharType="begin"/>
    </w:r>
    <w:r>
      <w:rPr>
        <w:rStyle w:val="1073"/>
      </w:rPr>
      <w:instrText xml:space="preserve">PAGE  </w:instrText>
    </w:r>
    <w:r>
      <w:fldChar w:fldCharType="separate"/>
    </w:r>
    <w:r>
      <w:rPr>
        <w:rStyle w:val="1073"/>
      </w:rPr>
      <w:t xml:space="preserve">1</w:t>
    </w:r>
    <w:r>
      <w:fldChar w:fldCharType="end"/>
    </w:r>
    <w:r/>
  </w:p>
  <w:p>
    <w:pPr>
      <w:pStyle w:val="10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0200" cy="41529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55"/>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55"/>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v:textbox>
            </v:shape>
          </w:pict>
        </mc:Fallback>
      </mc:AlternateContent>
    </w:r>
    <w:r>
      <w:b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72415" cy="178435"/>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272415" cy="1784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rPr>
                              <w:rStyle w:val="1073"/>
                              <w:rFonts w:eastAsia="仿宋"/>
                              <w:spacing w:val="-30"/>
                              <w:sz w:val="21"/>
                              <w:szCs w:val="21"/>
                            </w:rPr>
                          </w:pPr>
                          <w:r>
                            <w:rPr>
                              <w:rFonts w:eastAsia="仿宋"/>
                              <w:spacing w:val="-30"/>
                              <w:sz w:val="21"/>
                              <w:szCs w:val="21"/>
                            </w:rPr>
                            <w:fldChar w:fldCharType="begin"/>
                          </w:r>
                          <w:r>
                            <w:rPr>
                              <w:rStyle w:val="1073"/>
                              <w:rFonts w:eastAsia="仿宋"/>
                              <w:spacing w:val="-30"/>
                              <w:sz w:val="21"/>
                              <w:szCs w:val="21"/>
                            </w:rPr>
                            <w:instrText xml:space="preserve">PAGE  </w:instrText>
                          </w:r>
                          <w:r>
                            <w:rPr>
                              <w:rFonts w:eastAsia="仿宋"/>
                              <w:spacing w:val="-30"/>
                              <w:sz w:val="21"/>
                              <w:szCs w:val="21"/>
                            </w:rPr>
                            <w:fldChar w:fldCharType="separate"/>
                          </w:r>
                          <w:r>
                            <w:rPr>
                              <w:rStyle w:val="1073"/>
                              <w:rFonts w:eastAsia="仿宋"/>
                              <w:spacing w:val="-30"/>
                              <w:sz w:val="21"/>
                              <w:szCs w:val="21"/>
                            </w:rPr>
                            <w:t xml:space="preserve">2</w:t>
                          </w:r>
                          <w:r>
                            <w:rPr>
                              <w:rFonts w:eastAsia="仿宋"/>
                              <w:spacing w:val="-30"/>
                              <w:sz w:val="21"/>
                              <w:szCs w:val="21"/>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21.4pt;height:14.0pt;mso-wrap-distance-left:9.0pt;mso-wrap-distance-top:0.0pt;mso-wrap-distance-right:9.0pt;mso-wrap-distance-bottom:0.0pt;v-text-anchor:top;visibility:visible;" filled="f" stroked="f" strokeweight="0.50pt">
              <v:textbox inset="0,0,0,0">
                <w:txbxContent>
                  <w:p>
                    <w:pPr>
                      <w:pStyle w:val="1055"/>
                      <w:rPr>
                        <w:rStyle w:val="1073"/>
                        <w:rFonts w:eastAsia="仿宋"/>
                        <w:spacing w:val="-30"/>
                        <w:sz w:val="21"/>
                        <w:szCs w:val="21"/>
                      </w:rPr>
                    </w:pPr>
                    <w:r>
                      <w:rPr>
                        <w:rFonts w:eastAsia="仿宋"/>
                        <w:spacing w:val="-30"/>
                        <w:sz w:val="21"/>
                        <w:szCs w:val="21"/>
                      </w:rPr>
                      <w:fldChar w:fldCharType="begin"/>
                    </w:r>
                    <w:r>
                      <w:rPr>
                        <w:rStyle w:val="1073"/>
                        <w:rFonts w:eastAsia="仿宋"/>
                        <w:spacing w:val="-30"/>
                        <w:sz w:val="21"/>
                        <w:szCs w:val="21"/>
                      </w:rPr>
                      <w:instrText xml:space="preserve">PAGE  </w:instrText>
                    </w:r>
                    <w:r>
                      <w:rPr>
                        <w:rFonts w:eastAsia="仿宋"/>
                        <w:spacing w:val="-30"/>
                        <w:sz w:val="21"/>
                        <w:szCs w:val="21"/>
                      </w:rPr>
                      <w:fldChar w:fldCharType="separate"/>
                    </w:r>
                    <w:r>
                      <w:rPr>
                        <w:rStyle w:val="1073"/>
                        <w:rFonts w:eastAsia="仿宋"/>
                        <w:spacing w:val="-30"/>
                        <w:sz w:val="21"/>
                        <w:szCs w:val="21"/>
                      </w:rPr>
                      <w:t xml:space="preserve">2</w:t>
                    </w:r>
                    <w:r>
                      <w:rPr>
                        <w:rFonts w:eastAsia="仿宋"/>
                        <w:spacing w:val="-30"/>
                        <w:sz w:val="21"/>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right"/>
      <w:spacing w:line="220" w:lineRule="exact"/>
      <w:rPr>
        <w:rFonts w:hint="eastAsia" w:ascii="华文楷体" w:hAnsi="华文楷体" w:eastAsia="华文楷体"/>
      </w:rPr>
    </w:pPr>
    <w:r>
      <w:rPr>
        <w:rFonts w:ascii="华文楷体" w:hAnsi="华文楷体" w:eastAsia="华文楷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wp:posOffset>
              </wp:positionH>
              <wp:positionV relativeFrom="paragraph">
                <wp:posOffset>-30480</wp:posOffset>
              </wp:positionV>
              <wp:extent cx="1622425" cy="300355"/>
              <wp:effectExtent l="0" t="0" r="15875" b="4445"/>
              <wp:wrapSquare wrapText="bothSides"/>
              <wp:docPr id="1"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0" descr="公司logo.jpg"/>
                      <pic:cNvPicPr>
                        <a:picLocks noChangeAspect="1"/>
                      </pic:cNvPicPr>
                      <pic:nvPr/>
                    </pic:nvPicPr>
                    <pic:blipFill>
                      <a:blip r:embed="rId1"/>
                      <a:stretch/>
                    </pic:blipFill>
                    <pic:spPr bwMode="auto">
                      <a:xfrm>
                        <a:off x="0" y="0"/>
                        <a:ext cx="1622425" cy="30035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0.5pt;mso-position-horizontal:absolute;mso-position-vertical-relative:text;margin-top:-2.4pt;mso-position-vertical:absolute;width:127.8pt;height:23.6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             </w:t>
    </w:r>
    <w:r>
      <w:rPr>
        <w:rFonts w:ascii="华文楷体" w:hAnsi="华文楷体" w:eastAsia="华文楷体"/>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-52705</wp:posOffset>
              </wp:positionH>
              <wp:positionV relativeFrom="paragraph">
                <wp:posOffset>-32385</wp:posOffset>
              </wp:positionV>
              <wp:extent cx="1622425" cy="300355"/>
              <wp:effectExtent l="0" t="0" r="15875" b="4445"/>
              <wp:wrapSquare wrapText="bothSides"/>
              <wp:docPr id="2"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0" descr="公司logo.jpg"/>
                      <pic:cNvPicPr>
                        <a:picLocks noChangeAspect="1"/>
                      </pic:cNvPicPr>
                      <pic:nvPr/>
                    </pic:nvPicPr>
                    <pic:blipFill>
                      <a:blip r:embed="rId1"/>
                      <a:stretch/>
                    </pic:blipFill>
                    <pic:spPr bwMode="auto">
                      <a:xfrm>
                        <a:off x="0" y="0"/>
                        <a:ext cx="1622425" cy="30035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5408;o:allowoverlap:true;o:allowincell:true;mso-position-horizontal-relative:text;margin-left:-4.1pt;mso-position-horizontal:absolute;mso-position-vertical-relative:text;margin-top:-2.5pt;mso-position-vertical:absolute;width:127.8pt;height:23.6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江苏省特种设备安全监督检验研究院</w:t>
    </w:r>
    <w:r/>
  </w:p>
  <w:p>
    <w:pPr>
      <w:pStyle w:val="1057"/>
      <w:jc w:val="both"/>
      <w:spacing w:line="220" w:lineRule="exact"/>
    </w:pPr>
    <w:r>
      <w:rPr>
        <w:rFonts w:hint="eastAsia" w:ascii="华文楷体" w:hAnsi="华文楷体" w:eastAsia="华文楷体"/>
      </w:rPr>
      <w:t xml:space="preserve">材料与失效分析实验室技术能力提升设备采购</w:t>
    </w:r>
    <w:r>
      <w:rPr>
        <w:rFonts w:hint="eastAsia" w:ascii="华文楷体" w:hAnsi="华文楷体" w:eastAsia="华文楷体"/>
        <w:lang w:val="en-US" w:eastAsia="zh-CN"/>
      </w:rPr>
      <w:t xml:space="preserve">分包一</w:t>
    </w:r>
    <w:r>
      <w:rPr>
        <w:rFonts w:hint="eastAsia" w:ascii="华文楷体" w:hAnsi="华文楷体" w:eastAsia="华文楷体"/>
        <w:lang w:eastAsia="zh-CN"/>
      </w:rPr>
      <w:t xml:space="preserve">（</w:t>
    </w:r>
    <w:r>
      <w:rPr>
        <w:rFonts w:hint="eastAsia" w:ascii="华文楷体" w:hAnsi="华文楷体" w:eastAsia="华文楷体"/>
        <w:lang w:val="en-US" w:eastAsia="zh-CN"/>
      </w:rPr>
      <w:t xml:space="preserve">二次</w:t>
    </w:r>
    <w:r>
      <w:rPr>
        <w:rFonts w:hint="eastAsia" w:ascii="华文楷体" w:hAnsi="华文楷体" w:eastAsia="华文楷体"/>
        <w:lang w:eastAsia="zh-CN"/>
      </w:rPr>
      <w:t xml:space="preserve">）</w:t>
    </w:r>
    <w:r>
      <w:rPr>
        <w:rFonts w:hint="eastAsia" w:ascii="华文楷体" w:hAnsi="华文楷体" w:eastAsia="华文楷体"/>
      </w:rPr>
      <w:t xml:space="preserve">项目公开招标文件</w:t>
    </w:r>
    <w:r/>
  </w:p>
  <w:p>
    <w:pPr>
      <w:pStyle w:val="105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right"/>
      <w:spacing w:line="220" w:lineRule="exact"/>
      <w:rPr>
        <w:rFonts w:hint="eastAsia" w:ascii="华文楷体" w:hAnsi="华文楷体" w:eastAsia="华文楷体"/>
      </w:rPr>
    </w:pPr>
    <w:r>
      <w:rPr>
        <w:rFonts w:ascii="华文楷体" w:hAnsi="华文楷体" w:eastAsia="华文楷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-52705</wp:posOffset>
              </wp:positionH>
              <wp:positionV relativeFrom="paragraph">
                <wp:posOffset>-32385</wp:posOffset>
              </wp:positionV>
              <wp:extent cx="1622425" cy="300355"/>
              <wp:effectExtent l="0" t="0" r="15875" b="4445"/>
              <wp:wrapSquare wrapText="bothSides"/>
              <wp:docPr id="3"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公司logo.jpg"/>
                      <pic:cNvPicPr>
                        <a:picLocks noChangeAspect="1"/>
                      </pic:cNvPicPr>
                      <pic:nvPr/>
                    </pic:nvPicPr>
                    <pic:blipFill>
                      <a:blip r:embed="rId1"/>
                      <a:stretch/>
                    </pic:blipFill>
                    <pic:spPr bwMode="auto">
                      <a:xfrm>
                        <a:off x="0" y="0"/>
                        <a:ext cx="1622425" cy="30035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4.1pt;mso-position-horizontal:absolute;mso-position-vertical-relative:text;margin-top:-2.5pt;mso-position-vertical:absolute;width:127.8pt;height:23.6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江苏省特种设备安全监督检验研究院</w:t>
    </w:r>
    <w:r/>
  </w:p>
  <w:p>
    <w:pPr>
      <w:pStyle w:val="1057"/>
      <w:jc w:val="both"/>
      <w:spacing w:line="220" w:lineRule="exact"/>
      <w:rPr>
        <w:rFonts w:hint="eastAsia" w:ascii="华文楷体" w:hAnsi="华文楷体" w:eastAsia="华文楷体"/>
      </w:rPr>
    </w:pPr>
    <w:r>
      <w:rPr>
        <w:rFonts w:hint="eastAsia" w:ascii="华文楷体" w:hAnsi="华文楷体" w:eastAsia="华文楷体"/>
      </w:rPr>
      <w:t xml:space="preserve">材料与失效分析实验室技术能力提升设备采购</w:t>
    </w:r>
    <w:r>
      <w:rPr>
        <w:rFonts w:hint="eastAsia" w:ascii="华文楷体" w:hAnsi="华文楷体" w:eastAsia="华文楷体"/>
        <w:lang w:val="en-US" w:eastAsia="zh-CN"/>
      </w:rPr>
      <w:t xml:space="preserve">分包一</w:t>
    </w:r>
    <w:r>
      <w:rPr>
        <w:rFonts w:hint="eastAsia" w:ascii="华文楷体" w:hAnsi="华文楷体" w:eastAsia="华文楷体"/>
        <w:lang w:eastAsia="zh-CN"/>
      </w:rPr>
      <w:t xml:space="preserve">（</w:t>
    </w:r>
    <w:r>
      <w:rPr>
        <w:rFonts w:hint="eastAsia" w:ascii="华文楷体" w:hAnsi="华文楷体" w:eastAsia="华文楷体"/>
        <w:lang w:val="en-US" w:eastAsia="zh-CN"/>
      </w:rPr>
      <w:t xml:space="preserve">二次</w:t>
    </w:r>
    <w:r>
      <w:rPr>
        <w:rFonts w:hint="eastAsia" w:ascii="华文楷体" w:hAnsi="华文楷体" w:eastAsia="华文楷体"/>
        <w:lang w:eastAsia="zh-CN"/>
      </w:rPr>
      <w:t xml:space="preserve">）</w:t>
    </w:r>
    <w:r>
      <w:rPr>
        <w:rFonts w:hint="eastAsia" w:ascii="华文楷体" w:hAnsi="华文楷体" w:eastAsia="华文楷体"/>
      </w:rPr>
      <w:t xml:space="preserve">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1032"/>
      <w:isLgl w:val="false"/>
      <w:suff w:val="nothing"/>
      <w:lvlText w:val=""/>
      <w:lvlJc w:val="left"/>
      <w:pPr>
        <w:ind w:left="0" w:firstLine="0"/>
      </w:pPr>
      <w:rPr>
        <w:rFonts w:hint="eastAsia"/>
      </w:rPr>
    </w:lvl>
    <w:lvl w:ilvl="6">
      <w:start w:val="1"/>
      <w:numFmt w:val="none"/>
      <w:pStyle w:val="1033"/>
      <w:isLgl w:val="false"/>
      <w:suff w:val="nothing"/>
      <w:lvlText w:val=""/>
      <w:lvlJc w:val="left"/>
      <w:pPr>
        <w:ind w:left="0" w:firstLine="0"/>
      </w:pPr>
      <w:rPr>
        <w:rFonts w:hint="eastAsia"/>
      </w:rPr>
    </w:lvl>
    <w:lvl w:ilvl="7">
      <w:start w:val="1"/>
      <w:numFmt w:val="none"/>
      <w:pStyle w:val="1034"/>
      <w:isLgl w:val="false"/>
      <w:suff w:val="nothing"/>
      <w:lvlText w:val=""/>
      <w:lvlJc w:val="left"/>
      <w:pPr>
        <w:ind w:left="0" w:firstLine="0"/>
      </w:pPr>
      <w:rPr>
        <w:rFonts w:hint="eastAsia"/>
      </w:rPr>
    </w:lvl>
    <w:lvl w:ilvl="8">
      <w:start w:val="1"/>
      <w:numFmt w:val="none"/>
      <w:pStyle w:val="1035"/>
      <w:isLgl w:val="false"/>
      <w:suff w:val="nothing"/>
      <w:lvlText w:val=""/>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2">
    <w:name w:val="Heading 1 Char"/>
    <w:basedOn w:val="1036"/>
    <w:link w:val="1027"/>
    <w:uiPriority w:val="9"/>
    <w:rPr>
      <w:rFonts w:ascii="Arial" w:hAnsi="Arial" w:eastAsia="Arial" w:cs="Arial"/>
      <w:sz w:val="40"/>
      <w:szCs w:val="40"/>
    </w:rPr>
  </w:style>
  <w:style w:type="character" w:styleId="873">
    <w:name w:val="Heading 2 Char"/>
    <w:basedOn w:val="1036"/>
    <w:link w:val="1028"/>
    <w:uiPriority w:val="9"/>
    <w:rPr>
      <w:rFonts w:ascii="Arial" w:hAnsi="Arial" w:eastAsia="Arial" w:cs="Arial"/>
      <w:sz w:val="34"/>
    </w:rPr>
  </w:style>
  <w:style w:type="character" w:styleId="874">
    <w:name w:val="Heading 3 Char"/>
    <w:basedOn w:val="1036"/>
    <w:link w:val="1029"/>
    <w:uiPriority w:val="9"/>
    <w:rPr>
      <w:rFonts w:ascii="Arial" w:hAnsi="Arial" w:eastAsia="Arial" w:cs="Arial"/>
      <w:sz w:val="30"/>
      <w:szCs w:val="30"/>
    </w:rPr>
  </w:style>
  <w:style w:type="character" w:styleId="875">
    <w:name w:val="Heading 4 Char"/>
    <w:basedOn w:val="1036"/>
    <w:link w:val="1030"/>
    <w:uiPriority w:val="9"/>
    <w:rPr>
      <w:rFonts w:ascii="Arial" w:hAnsi="Arial" w:eastAsia="Arial" w:cs="Arial"/>
      <w:b/>
      <w:bCs/>
      <w:sz w:val="26"/>
      <w:szCs w:val="26"/>
    </w:rPr>
  </w:style>
  <w:style w:type="character" w:styleId="876">
    <w:name w:val="Heading 5 Char"/>
    <w:basedOn w:val="1036"/>
    <w:link w:val="1031"/>
    <w:uiPriority w:val="9"/>
    <w:rPr>
      <w:rFonts w:ascii="Arial" w:hAnsi="Arial" w:eastAsia="Arial" w:cs="Arial"/>
      <w:b/>
      <w:bCs/>
      <w:sz w:val="24"/>
      <w:szCs w:val="24"/>
    </w:rPr>
  </w:style>
  <w:style w:type="character" w:styleId="877">
    <w:name w:val="Heading 6 Char"/>
    <w:basedOn w:val="1036"/>
    <w:link w:val="1032"/>
    <w:uiPriority w:val="9"/>
    <w:rPr>
      <w:rFonts w:ascii="Arial" w:hAnsi="Arial" w:eastAsia="Arial" w:cs="Arial"/>
      <w:b/>
      <w:bCs/>
      <w:sz w:val="22"/>
      <w:szCs w:val="22"/>
    </w:rPr>
  </w:style>
  <w:style w:type="character" w:styleId="878">
    <w:name w:val="Heading 7 Char"/>
    <w:basedOn w:val="1036"/>
    <w:link w:val="1033"/>
    <w:uiPriority w:val="9"/>
    <w:rPr>
      <w:rFonts w:ascii="Arial" w:hAnsi="Arial" w:eastAsia="Arial" w:cs="Arial"/>
      <w:b/>
      <w:bCs/>
      <w:i/>
      <w:iCs/>
      <w:sz w:val="22"/>
      <w:szCs w:val="22"/>
    </w:rPr>
  </w:style>
  <w:style w:type="character" w:styleId="879">
    <w:name w:val="Heading 8 Char"/>
    <w:basedOn w:val="1036"/>
    <w:link w:val="1034"/>
    <w:uiPriority w:val="9"/>
    <w:rPr>
      <w:rFonts w:ascii="Arial" w:hAnsi="Arial" w:eastAsia="Arial" w:cs="Arial"/>
      <w:i/>
      <w:iCs/>
      <w:sz w:val="22"/>
      <w:szCs w:val="22"/>
    </w:rPr>
  </w:style>
  <w:style w:type="character" w:styleId="880">
    <w:name w:val="Heading 9 Char"/>
    <w:basedOn w:val="1036"/>
    <w:link w:val="1035"/>
    <w:uiPriority w:val="9"/>
    <w:rPr>
      <w:rFonts w:ascii="Arial" w:hAnsi="Arial" w:eastAsia="Arial" w:cs="Arial"/>
      <w:i/>
      <w:iCs/>
      <w:sz w:val="21"/>
      <w:szCs w:val="21"/>
    </w:rPr>
  </w:style>
  <w:style w:type="paragraph" w:styleId="881">
    <w:name w:val="No Spacing"/>
    <w:uiPriority w:val="1"/>
    <w:qFormat/>
    <w:pPr>
      <w:spacing w:before="0" w:after="0" w:line="240" w:lineRule="auto"/>
    </w:pPr>
  </w:style>
  <w:style w:type="paragraph" w:styleId="882">
    <w:name w:val="Title"/>
    <w:basedOn w:val="1026"/>
    <w:next w:val="1026"/>
    <w:link w:val="883"/>
    <w:uiPriority w:val="10"/>
    <w:qFormat/>
    <w:pPr>
      <w:contextualSpacing/>
      <w:spacing w:before="300" w:after="200"/>
    </w:pPr>
    <w:rPr>
      <w:sz w:val="48"/>
      <w:szCs w:val="48"/>
    </w:rPr>
  </w:style>
  <w:style w:type="character" w:styleId="883">
    <w:name w:val="Title Char"/>
    <w:basedOn w:val="1036"/>
    <w:link w:val="882"/>
    <w:uiPriority w:val="10"/>
    <w:rPr>
      <w:sz w:val="48"/>
      <w:szCs w:val="48"/>
    </w:rPr>
  </w:style>
  <w:style w:type="paragraph" w:styleId="884">
    <w:name w:val="Subtitle"/>
    <w:basedOn w:val="1026"/>
    <w:next w:val="1026"/>
    <w:link w:val="885"/>
    <w:uiPriority w:val="11"/>
    <w:qFormat/>
    <w:pPr>
      <w:spacing w:before="200" w:after="200"/>
    </w:pPr>
    <w:rPr>
      <w:sz w:val="24"/>
      <w:szCs w:val="24"/>
    </w:rPr>
  </w:style>
  <w:style w:type="character" w:styleId="885">
    <w:name w:val="Subtitle Char"/>
    <w:basedOn w:val="1036"/>
    <w:link w:val="884"/>
    <w:uiPriority w:val="11"/>
    <w:rPr>
      <w:sz w:val="24"/>
      <w:szCs w:val="24"/>
    </w:rPr>
  </w:style>
  <w:style w:type="paragraph" w:styleId="886">
    <w:name w:val="Quote"/>
    <w:basedOn w:val="1026"/>
    <w:next w:val="1026"/>
    <w:link w:val="887"/>
    <w:uiPriority w:val="29"/>
    <w:qFormat/>
    <w:pPr>
      <w:ind w:left="720" w:right="720"/>
    </w:pPr>
    <w:rPr>
      <w:i/>
    </w:rPr>
  </w:style>
  <w:style w:type="character" w:styleId="887">
    <w:name w:val="Quote Char"/>
    <w:link w:val="886"/>
    <w:uiPriority w:val="29"/>
    <w:rPr>
      <w:i/>
    </w:rPr>
  </w:style>
  <w:style w:type="paragraph" w:styleId="888">
    <w:name w:val="Intense Quote"/>
    <w:basedOn w:val="1026"/>
    <w:next w:val="1026"/>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Intense Quote Char"/>
    <w:link w:val="888"/>
    <w:uiPriority w:val="30"/>
    <w:rPr>
      <w:i/>
    </w:rPr>
  </w:style>
  <w:style w:type="character" w:styleId="890">
    <w:name w:val="Header Char"/>
    <w:basedOn w:val="1036"/>
    <w:link w:val="1057"/>
    <w:uiPriority w:val="99"/>
  </w:style>
  <w:style w:type="character" w:styleId="891">
    <w:name w:val="Footer Char"/>
    <w:basedOn w:val="1036"/>
    <w:link w:val="1055"/>
    <w:uiPriority w:val="99"/>
  </w:style>
  <w:style w:type="paragraph" w:styleId="892">
    <w:name w:val="Caption"/>
    <w:basedOn w:val="1026"/>
    <w:next w:val="1026"/>
    <w:uiPriority w:val="35"/>
    <w:semiHidden/>
    <w:unhideWhenUsed/>
    <w:qFormat/>
    <w:pPr>
      <w:spacing w:line="276" w:lineRule="auto"/>
    </w:pPr>
    <w:rPr>
      <w:b/>
      <w:bCs/>
      <w:color w:val="4f81bd" w:themeColor="accent1"/>
      <w:sz w:val="18"/>
      <w:szCs w:val="18"/>
    </w:rPr>
  </w:style>
  <w:style w:type="character" w:styleId="893">
    <w:name w:val="Caption Char"/>
    <w:basedOn w:val="892"/>
    <w:link w:val="1055"/>
    <w:uiPriority w:val="99"/>
  </w:style>
  <w:style w:type="table" w:styleId="894">
    <w:name w:val="Table Grid Light"/>
    <w:basedOn w:val="10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5">
    <w:name w:val="Plain Table 1"/>
    <w:basedOn w:val="10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2"/>
    <w:basedOn w:val="10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3"/>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name w:val="Plain Table 4"/>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name w:val="Plain Table 5"/>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0">
    <w:name w:val="Grid Table 1 Light"/>
    <w:basedOn w:val="10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1">
    <w:name w:val="Grid Table 1 Light - Accent 1"/>
    <w:basedOn w:val="10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2">
    <w:name w:val="Grid Table 1 Light - Accent 2"/>
    <w:basedOn w:val="10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3">
    <w:name w:val="Grid Table 1 Light - Accent 3"/>
    <w:basedOn w:val="10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4">
    <w:name w:val="Grid Table 1 Light - Accent 4"/>
    <w:basedOn w:val="10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5">
    <w:name w:val="Grid Table 1 Light - Accent 5"/>
    <w:basedOn w:val="10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6">
    <w:name w:val="Grid Table 1 Light - Accent 6"/>
    <w:basedOn w:val="10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7">
    <w:name w:val="Grid Table 2"/>
    <w:basedOn w:val="10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8">
    <w:name w:val="Grid Table 2 - Accent 1"/>
    <w:basedOn w:val="10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9">
    <w:name w:val="Grid Table 2 - Accent 2"/>
    <w:basedOn w:val="10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2 - Accent 3"/>
    <w:basedOn w:val="10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2 - Accent 4"/>
    <w:basedOn w:val="10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2 - Accent 5"/>
    <w:basedOn w:val="10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3">
    <w:name w:val="Grid Table 2 - Accent 6"/>
    <w:basedOn w:val="10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4">
    <w:name w:val="Grid Table 3"/>
    <w:basedOn w:val="10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1"/>
    <w:basedOn w:val="10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2"/>
    <w:basedOn w:val="10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3"/>
    <w:basedOn w:val="10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4"/>
    <w:basedOn w:val="10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5"/>
    <w:basedOn w:val="10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6"/>
    <w:basedOn w:val="10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4"/>
    <w:basedOn w:val="10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name w:val="Grid Table 4 - Accent 1"/>
    <w:basedOn w:val="10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3">
    <w:name w:val="Grid Table 4 - Accent 2"/>
    <w:basedOn w:val="10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4">
    <w:name w:val="Grid Table 4 - Accent 3"/>
    <w:basedOn w:val="10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5">
    <w:name w:val="Grid Table 4 - Accent 4"/>
    <w:basedOn w:val="10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6">
    <w:name w:val="Grid Table 4 - Accent 5"/>
    <w:basedOn w:val="10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7">
    <w:name w:val="Grid Table 4 - Accent 6"/>
    <w:basedOn w:val="10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8">
    <w:name w:val="Grid Table 5 Dark"/>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9">
    <w:name w:val="Grid Table 5 Dark- Accent 1"/>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0">
    <w:name w:val="Grid Table 5 Dark - Accent 2"/>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1">
    <w:name w:val="Grid Table 5 Dark - Accent 3"/>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2">
    <w:name w:val="Grid Table 5 Dark- Accent 4"/>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3">
    <w:name w:val="Grid Table 5 Dark - Accent 5"/>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4">
    <w:name w:val="Grid Table 5 Dark - Accent 6"/>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5">
    <w:name w:val="Grid Table 6 Colorful"/>
    <w:basedOn w:val="10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6">
    <w:name w:val="Grid Table 6 Colorful - Accent 1"/>
    <w:basedOn w:val="10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7">
    <w:name w:val="Grid Table 6 Colorful - Accent 2"/>
    <w:basedOn w:val="10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8">
    <w:name w:val="Grid Table 6 Colorful - Accent 3"/>
    <w:basedOn w:val="10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9">
    <w:name w:val="Grid Table 6 Colorful - Accent 4"/>
    <w:basedOn w:val="10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0">
    <w:name w:val="Grid Table 6 Colorful - Accent 5"/>
    <w:basedOn w:val="10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6 Colorful - Accent 6"/>
    <w:basedOn w:val="10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7 Colorful"/>
    <w:basedOn w:val="10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Grid Table 7 Colorful - Accent 1"/>
    <w:basedOn w:val="10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4">
    <w:name w:val="Grid Table 7 Colorful - Accent 2"/>
    <w:basedOn w:val="10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7 Colorful - Accent 3"/>
    <w:basedOn w:val="10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7 Colorful - Accent 4"/>
    <w:basedOn w:val="10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7 Colorful - Accent 5"/>
    <w:basedOn w:val="10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8">
    <w:name w:val="Grid Table 7 Colorful - Accent 6"/>
    <w:basedOn w:val="10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9">
    <w:name w:val="List Table 1 Light"/>
    <w:basedOn w:val="10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name w:val="List Table 1 Light - Accent 1"/>
    <w:basedOn w:val="10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1">
    <w:name w:val="List Table 1 Light - Accent 2"/>
    <w:basedOn w:val="10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2">
    <w:name w:val="List Table 1 Light - Accent 3"/>
    <w:basedOn w:val="10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3">
    <w:name w:val="List Table 1 Light - Accent 4"/>
    <w:basedOn w:val="10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4">
    <w:name w:val="List Table 1 Light - Accent 5"/>
    <w:basedOn w:val="10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5">
    <w:name w:val="List Table 1 Light - Accent 6"/>
    <w:basedOn w:val="10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6">
    <w:name w:val="List Table 2"/>
    <w:basedOn w:val="10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7">
    <w:name w:val="List Table 2 - Accent 1"/>
    <w:basedOn w:val="10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8">
    <w:name w:val="List Table 2 - Accent 2"/>
    <w:basedOn w:val="10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9">
    <w:name w:val="List Table 2 - Accent 3"/>
    <w:basedOn w:val="10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0">
    <w:name w:val="List Table 2 - Accent 4"/>
    <w:basedOn w:val="10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1">
    <w:name w:val="List Table 2 - Accent 5"/>
    <w:basedOn w:val="10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2">
    <w:name w:val="List Table 2 - Accent 6"/>
    <w:basedOn w:val="10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3">
    <w:name w:val="List Table 3"/>
    <w:basedOn w:val="10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3 - Accent 1"/>
    <w:basedOn w:val="10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5">
    <w:name w:val="List Table 3 - Accent 2"/>
    <w:basedOn w:val="10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6">
    <w:name w:val="List Table 3 - Accent 3"/>
    <w:basedOn w:val="10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7">
    <w:name w:val="List Table 3 - Accent 4"/>
    <w:basedOn w:val="10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8">
    <w:name w:val="List Table 3 - Accent 5"/>
    <w:basedOn w:val="10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9">
    <w:name w:val="List Table 3 - Accent 6"/>
    <w:basedOn w:val="10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0">
    <w:name w:val="List Table 4"/>
    <w:basedOn w:val="10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4 - Accent 1"/>
    <w:basedOn w:val="10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4 - Accent 2"/>
    <w:basedOn w:val="10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3">
    <w:name w:val="List Table 4 - Accent 3"/>
    <w:basedOn w:val="10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4">
    <w:name w:val="List Table 4 - Accent 4"/>
    <w:basedOn w:val="10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5">
    <w:name w:val="List Table 4 - Accent 5"/>
    <w:basedOn w:val="10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6">
    <w:name w:val="List Table 4 - Accent 6"/>
    <w:basedOn w:val="10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7">
    <w:name w:val="List Table 5 Dark"/>
    <w:basedOn w:val="10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1"/>
    <w:basedOn w:val="10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2"/>
    <w:basedOn w:val="10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3"/>
    <w:basedOn w:val="10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4"/>
    <w:basedOn w:val="10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5"/>
    <w:basedOn w:val="10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6"/>
    <w:basedOn w:val="10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6 Colorful"/>
    <w:basedOn w:val="10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5">
    <w:name w:val="List Table 6 Colorful - Accent 1"/>
    <w:basedOn w:val="10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6">
    <w:name w:val="List Table 6 Colorful - Accent 2"/>
    <w:basedOn w:val="10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7">
    <w:name w:val="List Table 6 Colorful - Accent 3"/>
    <w:basedOn w:val="10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8">
    <w:name w:val="List Table 6 Colorful - Accent 4"/>
    <w:basedOn w:val="10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9">
    <w:name w:val="List Table 6 Colorful - Accent 5"/>
    <w:basedOn w:val="10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0">
    <w:name w:val="List Table 6 Colorful - Accent 6"/>
    <w:basedOn w:val="10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1">
    <w:name w:val="List Table 7 Colorful"/>
    <w:basedOn w:val="10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2">
    <w:name w:val="List Table 7 Colorful - Accent 1"/>
    <w:basedOn w:val="10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3">
    <w:name w:val="List Table 7 Colorful - Accent 2"/>
    <w:basedOn w:val="10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4">
    <w:name w:val="List Table 7 Colorful - Accent 3"/>
    <w:basedOn w:val="10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5">
    <w:name w:val="List Table 7 Colorful - Accent 4"/>
    <w:basedOn w:val="10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6">
    <w:name w:val="List Table 7 Colorful - Accent 5"/>
    <w:basedOn w:val="10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7">
    <w:name w:val="List Table 7 Colorful - Accent 6"/>
    <w:basedOn w:val="10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8">
    <w:name w:val="Lined - Accent"/>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Lined - Accent 1"/>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0">
    <w:name w:val="Lined - Accent 2"/>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1">
    <w:name w:val="Lined - Accent 3"/>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2">
    <w:name w:val="Lined - Accent 4"/>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3">
    <w:name w:val="Lined - Accent 5"/>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4">
    <w:name w:val="Lined - Accent 6"/>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5">
    <w:name w:val="Bordered &amp; Lined - Accent"/>
    <w:basedOn w:val="10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Bordered &amp; Lined - Accent 1"/>
    <w:basedOn w:val="10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Bordered &amp; Lined - Accent 2"/>
    <w:basedOn w:val="10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Bordered &amp; Lined - Accent 3"/>
    <w:basedOn w:val="10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Bordered &amp; Lined - Accent 4"/>
    <w:basedOn w:val="10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Bordered &amp; Lined - Accent 5"/>
    <w:basedOn w:val="10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Bordered &amp; Lined - Accent 6"/>
    <w:basedOn w:val="10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w:basedOn w:val="10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3">
    <w:name w:val="Bordered - Accent 1"/>
    <w:basedOn w:val="10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4">
    <w:name w:val="Bordered - Accent 2"/>
    <w:basedOn w:val="10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5">
    <w:name w:val="Bordered - Accent 3"/>
    <w:basedOn w:val="10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6">
    <w:name w:val="Bordered - Accent 4"/>
    <w:basedOn w:val="10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7">
    <w:name w:val="Bordered - Accent 5"/>
    <w:basedOn w:val="10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8">
    <w:name w:val="Bordered - Accent 6"/>
    <w:basedOn w:val="10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9">
    <w:name w:val="footnote text"/>
    <w:basedOn w:val="1026"/>
    <w:link w:val="1020"/>
    <w:uiPriority w:val="99"/>
    <w:semiHidden/>
    <w:unhideWhenUsed/>
    <w:pPr>
      <w:spacing w:after="40" w:line="240" w:lineRule="auto"/>
    </w:pPr>
    <w:rPr>
      <w:sz w:val="18"/>
    </w:rPr>
  </w:style>
  <w:style w:type="character" w:styleId="1020">
    <w:name w:val="Footnote Text Char"/>
    <w:link w:val="1019"/>
    <w:uiPriority w:val="99"/>
    <w:rPr>
      <w:sz w:val="18"/>
    </w:rPr>
  </w:style>
  <w:style w:type="character" w:styleId="1021">
    <w:name w:val="footnote reference"/>
    <w:basedOn w:val="1036"/>
    <w:uiPriority w:val="99"/>
    <w:unhideWhenUsed/>
    <w:rPr>
      <w:vertAlign w:val="superscript"/>
    </w:rPr>
  </w:style>
  <w:style w:type="paragraph" w:styleId="1022">
    <w:name w:val="endnote text"/>
    <w:basedOn w:val="1026"/>
    <w:link w:val="1023"/>
    <w:uiPriority w:val="99"/>
    <w:semiHidden/>
    <w:unhideWhenUsed/>
    <w:pPr>
      <w:spacing w:after="0" w:line="240" w:lineRule="auto"/>
    </w:pPr>
    <w:rPr>
      <w:sz w:val="20"/>
    </w:rPr>
  </w:style>
  <w:style w:type="character" w:styleId="1023">
    <w:name w:val="Endnote Text Char"/>
    <w:link w:val="1022"/>
    <w:uiPriority w:val="99"/>
    <w:rPr>
      <w:sz w:val="20"/>
    </w:rPr>
  </w:style>
  <w:style w:type="character" w:styleId="1024">
    <w:name w:val="endnote reference"/>
    <w:basedOn w:val="1036"/>
    <w:uiPriority w:val="99"/>
    <w:semiHidden/>
    <w:unhideWhenUsed/>
    <w:rPr>
      <w:vertAlign w:val="superscript"/>
    </w:rPr>
  </w:style>
  <w:style w:type="paragraph" w:styleId="1025">
    <w:name w:val="TOC Heading"/>
    <w:uiPriority w:val="39"/>
    <w:unhideWhenUsed/>
  </w:style>
  <w:style w:type="paragraph" w:styleId="1026" w:default="1">
    <w:name w:val="Normal"/>
    <w:next w:val="1028"/>
    <w:uiPriority w:val="0"/>
    <w:qFormat/>
    <w:pPr>
      <w:jc w:val="both"/>
      <w:widowControl w:val="off"/>
    </w:pPr>
    <w:rPr>
      <w:rFonts w:ascii="Times New Roman" w:hAnsi="Times New Roman" w:eastAsia="宋体" w:cs="Times New Roman"/>
      <w:sz w:val="21"/>
      <w:szCs w:val="21"/>
      <w:lang w:val="en-US" w:eastAsia="zh-CN" w:bidi="ar-SA"/>
    </w:rPr>
  </w:style>
  <w:style w:type="paragraph" w:styleId="1027">
    <w:name w:val="Heading 1"/>
    <w:basedOn w:val="1026"/>
    <w:next w:val="1026"/>
    <w:link w:val="1079"/>
    <w:uiPriority w:val="99"/>
    <w:qFormat/>
    <w:pPr>
      <w:jc w:val="center"/>
      <w:keepNext/>
      <w:outlineLvl w:val="0"/>
    </w:pPr>
    <w:rPr>
      <w:rFonts w:ascii="楷体_GB2312" w:eastAsia="楷体_GB2312"/>
      <w:sz w:val="28"/>
      <w:szCs w:val="28"/>
    </w:rPr>
  </w:style>
  <w:style w:type="paragraph" w:styleId="1028">
    <w:name w:val="Heading 2"/>
    <w:basedOn w:val="1026"/>
    <w:next w:val="1026"/>
    <w:link w:val="114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9">
    <w:name w:val="Heading 3"/>
    <w:basedOn w:val="1026"/>
    <w:next w:val="1038"/>
    <w:link w:val="1080"/>
    <w:uiPriority w:val="0"/>
    <w:qFormat/>
    <w:pPr>
      <w:keepLines/>
      <w:keepNext/>
      <w:spacing w:before="260" w:after="260" w:line="416" w:lineRule="auto"/>
      <w:outlineLvl w:val="2"/>
    </w:pPr>
    <w:rPr>
      <w:b/>
      <w:bCs/>
      <w:sz w:val="32"/>
      <w:szCs w:val="32"/>
    </w:rPr>
  </w:style>
  <w:style w:type="paragraph" w:styleId="1030">
    <w:name w:val="Heading 4"/>
    <w:basedOn w:val="1026"/>
    <w:next w:val="1026"/>
    <w:link w:val="1129"/>
    <w:uiPriority w:val="0"/>
    <w:qFormat/>
    <w:pPr>
      <w:keepLines/>
      <w:keepNext/>
      <w:spacing w:before="280" w:after="290" w:line="376" w:lineRule="auto"/>
      <w:outlineLvl w:val="3"/>
    </w:pPr>
    <w:rPr>
      <w:rFonts w:ascii="Arial" w:hAnsi="Arial" w:eastAsia="黑体" w:cs="Arial"/>
      <w:b/>
      <w:bCs/>
      <w:sz w:val="28"/>
      <w:szCs w:val="28"/>
    </w:rPr>
  </w:style>
  <w:style w:type="paragraph" w:styleId="1031">
    <w:name w:val="Heading 5"/>
    <w:basedOn w:val="1026"/>
    <w:next w:val="1038"/>
    <w:link w:val="1138"/>
    <w:uiPriority w:val="0"/>
    <w:qFormat/>
    <w:pPr>
      <w:keepNext/>
      <w:outlineLvl w:val="4"/>
    </w:pPr>
    <w:rPr>
      <w:rFonts w:ascii="宋体"/>
      <w:color w:val="000000"/>
      <w:sz w:val="28"/>
      <w:szCs w:val="28"/>
    </w:rPr>
  </w:style>
  <w:style w:type="paragraph" w:styleId="1032">
    <w:name w:val="Heading 6"/>
    <w:basedOn w:val="1026"/>
    <w:next w:val="1026"/>
    <w:link w:val="113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3">
    <w:name w:val="Heading 7"/>
    <w:basedOn w:val="1026"/>
    <w:next w:val="1026"/>
    <w:link w:val="1128"/>
    <w:uiPriority w:val="0"/>
    <w:qFormat/>
    <w:pPr>
      <w:numPr>
        <w:ilvl w:val="6"/>
        <w:numId w:val="1"/>
      </w:numPr>
      <w:keepLines/>
      <w:keepNext/>
      <w:spacing w:before="240" w:after="64" w:line="320" w:lineRule="auto"/>
      <w:outlineLvl w:val="6"/>
    </w:pPr>
    <w:rPr>
      <w:b/>
      <w:bCs/>
      <w:sz w:val="24"/>
      <w:szCs w:val="24"/>
    </w:rPr>
  </w:style>
  <w:style w:type="paragraph" w:styleId="1034">
    <w:name w:val="Heading 8"/>
    <w:basedOn w:val="1026"/>
    <w:next w:val="1026"/>
    <w:link w:val="114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35">
    <w:name w:val="Heading 9"/>
    <w:basedOn w:val="1026"/>
    <w:next w:val="1026"/>
    <w:link w:val="1144"/>
    <w:uiPriority w:val="0"/>
    <w:qFormat/>
    <w:pPr>
      <w:numPr>
        <w:ilvl w:val="8"/>
        <w:numId w:val="1"/>
      </w:numPr>
      <w:keepLines/>
      <w:keepNext/>
      <w:spacing w:before="240" w:after="64" w:line="320" w:lineRule="auto"/>
      <w:outlineLvl w:val="8"/>
    </w:pPr>
    <w:rPr>
      <w:rFonts w:ascii="Arial" w:hAnsi="Arial" w:eastAsia="黑体"/>
    </w:rPr>
  </w:style>
  <w:style w:type="character" w:styleId="1036" w:default="1">
    <w:name w:val="Default Paragraph Font"/>
    <w:uiPriority w:val="1"/>
    <w:semiHidden/>
    <w:unhideWhenUsed/>
    <w:qFormat/>
  </w:style>
  <w:style w:type="table" w:styleId="1037" w:default="1">
    <w:name w:val="Normal Table"/>
    <w:uiPriority w:val="99"/>
    <w:semiHidden/>
    <w:unhideWhenUsed/>
    <w:qFormat/>
    <w:tblPr>
      <w:tblCellMar>
        <w:left w:w="108" w:type="dxa"/>
        <w:top w:w="0" w:type="dxa"/>
        <w:right w:w="108" w:type="dxa"/>
        <w:bottom w:w="0" w:type="dxa"/>
      </w:tblCellMar>
    </w:tblPr>
  </w:style>
  <w:style w:type="paragraph" w:styleId="1038">
    <w:name w:val="Normal Indent"/>
    <w:basedOn w:val="1026"/>
    <w:link w:val="1081"/>
    <w:uiPriority w:val="99"/>
    <w:qFormat/>
    <w:pPr>
      <w:ind w:firstLine="420"/>
    </w:pPr>
  </w:style>
  <w:style w:type="paragraph" w:styleId="1039">
    <w:name w:val="List 3"/>
    <w:basedOn w:val="1026"/>
    <w:uiPriority w:val="0"/>
    <w:qFormat/>
    <w:pPr>
      <w:ind w:left="100" w:hanging="200"/>
    </w:pPr>
  </w:style>
  <w:style w:type="paragraph" w:styleId="1040">
    <w:name w:val="toc 7"/>
    <w:basedOn w:val="1026"/>
    <w:next w:val="1026"/>
    <w:uiPriority w:val="0"/>
    <w:semiHidden/>
    <w:qFormat/>
    <w:pPr>
      <w:ind w:left="1260"/>
      <w:jc w:val="left"/>
    </w:pPr>
  </w:style>
  <w:style w:type="paragraph" w:styleId="1041">
    <w:name w:val="Document Map"/>
    <w:basedOn w:val="1026"/>
    <w:link w:val="1141"/>
    <w:uiPriority w:val="0"/>
    <w:semiHidden/>
    <w:qFormat/>
    <w:pPr>
      <w:shd w:val="clear" w:color="auto" w:fill="000080"/>
    </w:pPr>
  </w:style>
  <w:style w:type="paragraph" w:styleId="1042">
    <w:name w:val="annotation text"/>
    <w:basedOn w:val="1026"/>
    <w:link w:val="1133"/>
    <w:uiPriority w:val="99"/>
    <w:qFormat/>
    <w:pPr>
      <w:jc w:val="left"/>
    </w:pPr>
  </w:style>
  <w:style w:type="paragraph" w:styleId="1043">
    <w:name w:val="Body Text 3"/>
    <w:basedOn w:val="1026"/>
    <w:link w:val="1136"/>
    <w:uiPriority w:val="0"/>
    <w:qFormat/>
    <w:rPr>
      <w:rFonts w:ascii="仿宋_GB2312" w:hAnsi="Arial" w:eastAsia="仿宋_GB2312"/>
      <w:sz w:val="32"/>
      <w:szCs w:val="32"/>
    </w:rPr>
  </w:style>
  <w:style w:type="paragraph" w:styleId="1044">
    <w:name w:val="Body Text"/>
    <w:basedOn w:val="1026"/>
    <w:next w:val="1045"/>
    <w:link w:val="1127"/>
    <w:uiPriority w:val="0"/>
    <w:qFormat/>
    <w:rPr>
      <w:rFonts w:ascii="楷体_GB2312" w:hAnsi="Arial" w:eastAsia="楷体_GB2312"/>
      <w:sz w:val="28"/>
      <w:szCs w:val="28"/>
    </w:rPr>
  </w:style>
  <w:style w:type="paragraph" w:styleId="1045">
    <w:name w:val="Body Text First Indent"/>
    <w:basedOn w:val="1044"/>
    <w:link w:val="1130"/>
    <w:uiPriority w:val="0"/>
    <w:qFormat/>
    <w:pPr>
      <w:ind w:firstLine="200"/>
      <w:spacing w:line="360" w:lineRule="auto"/>
    </w:pPr>
    <w:rPr>
      <w:rFonts w:ascii="仿宋_GB2312" w:eastAsia="仿宋_GB2312"/>
      <w:sz w:val="30"/>
      <w:szCs w:val="30"/>
    </w:rPr>
  </w:style>
  <w:style w:type="paragraph" w:styleId="1046">
    <w:name w:val="Body Text Indent"/>
    <w:basedOn w:val="1026"/>
    <w:link w:val="1139"/>
    <w:uiPriority w:val="0"/>
    <w:qFormat/>
    <w:pPr>
      <w:ind w:firstLine="645"/>
    </w:pPr>
    <w:rPr>
      <w:rFonts w:ascii="楷体_GB2312" w:eastAsia="楷体_GB2312"/>
      <w:sz w:val="32"/>
      <w:szCs w:val="32"/>
    </w:rPr>
  </w:style>
  <w:style w:type="paragraph" w:styleId="1047">
    <w:name w:val="List 2"/>
    <w:basedOn w:val="1026"/>
    <w:uiPriority w:val="0"/>
    <w:qFormat/>
    <w:pPr>
      <w:ind w:left="100" w:hanging="200"/>
    </w:pPr>
  </w:style>
  <w:style w:type="paragraph" w:styleId="1048">
    <w:name w:val="toc 5"/>
    <w:basedOn w:val="1026"/>
    <w:next w:val="1026"/>
    <w:uiPriority w:val="0"/>
    <w:semiHidden/>
    <w:qFormat/>
    <w:pPr>
      <w:ind w:left="840"/>
      <w:jc w:val="left"/>
    </w:pPr>
  </w:style>
  <w:style w:type="paragraph" w:styleId="1049">
    <w:name w:val="toc 3"/>
    <w:basedOn w:val="1026"/>
    <w:next w:val="1026"/>
    <w:uiPriority w:val="0"/>
    <w:semiHidden/>
    <w:qFormat/>
    <w:pPr>
      <w:ind w:left="420"/>
      <w:jc w:val="left"/>
    </w:pPr>
    <w:rPr>
      <w:i/>
      <w:iCs/>
      <w:szCs w:val="24"/>
    </w:rPr>
  </w:style>
  <w:style w:type="paragraph" w:styleId="1050">
    <w:name w:val="Plain Text"/>
    <w:basedOn w:val="1026"/>
    <w:link w:val="1082"/>
    <w:uiPriority w:val="0"/>
    <w:qFormat/>
    <w:rPr>
      <w:rFonts w:ascii="宋体" w:hAnsi="Courier New" w:cs="Courier New"/>
    </w:rPr>
  </w:style>
  <w:style w:type="paragraph" w:styleId="1051">
    <w:name w:val="toc 8"/>
    <w:basedOn w:val="1026"/>
    <w:next w:val="1026"/>
    <w:uiPriority w:val="0"/>
    <w:semiHidden/>
    <w:qFormat/>
    <w:pPr>
      <w:ind w:left="1470"/>
      <w:jc w:val="left"/>
    </w:pPr>
  </w:style>
  <w:style w:type="paragraph" w:styleId="1052">
    <w:name w:val="Date"/>
    <w:basedOn w:val="1026"/>
    <w:next w:val="1026"/>
    <w:link w:val="1140"/>
    <w:uiPriority w:val="0"/>
    <w:qFormat/>
    <w:rPr>
      <w:sz w:val="24"/>
      <w:szCs w:val="24"/>
    </w:rPr>
  </w:style>
  <w:style w:type="paragraph" w:styleId="1053">
    <w:name w:val="Body Text Indent 2"/>
    <w:basedOn w:val="1026"/>
    <w:link w:val="1143"/>
    <w:uiPriority w:val="0"/>
    <w:qFormat/>
    <w:pPr>
      <w:ind w:left="630" w:firstLine="645"/>
    </w:pPr>
    <w:rPr>
      <w:rFonts w:ascii="Arial" w:hAnsi="Arial" w:eastAsia="仿宋_GB2312" w:cs="Arial"/>
      <w:sz w:val="32"/>
      <w:szCs w:val="32"/>
    </w:rPr>
  </w:style>
  <w:style w:type="paragraph" w:styleId="1054">
    <w:name w:val="Balloon Text"/>
    <w:basedOn w:val="1026"/>
    <w:link w:val="1135"/>
    <w:uiPriority w:val="0"/>
    <w:semiHidden/>
    <w:qFormat/>
    <w:rPr>
      <w:sz w:val="18"/>
      <w:szCs w:val="18"/>
    </w:rPr>
  </w:style>
  <w:style w:type="paragraph" w:styleId="1055">
    <w:name w:val="Footer"/>
    <w:basedOn w:val="1026"/>
    <w:link w:val="1137"/>
    <w:uiPriority w:val="0"/>
    <w:qFormat/>
    <w:pPr>
      <w:jc w:val="left"/>
      <w:tabs>
        <w:tab w:val="center" w:pos="4153" w:leader="none"/>
        <w:tab w:val="right" w:pos="8306" w:leader="none"/>
      </w:tabs>
    </w:pPr>
    <w:rPr>
      <w:sz w:val="18"/>
      <w:szCs w:val="18"/>
    </w:rPr>
  </w:style>
  <w:style w:type="paragraph" w:styleId="1056">
    <w:name w:val="envelope return"/>
    <w:basedOn w:val="1026"/>
    <w:uiPriority w:val="0"/>
    <w:qFormat/>
    <w:pPr>
      <w:jc w:val="left"/>
      <w:tabs>
        <w:tab w:val="left" w:pos="1630" w:leader="none"/>
      </w:tabs>
    </w:pPr>
    <w:rPr>
      <w:rFonts w:ascii="Arial" w:hAnsi="Arial" w:eastAsia="DFKai-SB" w:cs="Arial"/>
      <w:sz w:val="28"/>
      <w:lang w:eastAsia="zh-TW"/>
    </w:rPr>
  </w:style>
  <w:style w:type="paragraph" w:styleId="1057">
    <w:name w:val="Header"/>
    <w:basedOn w:val="1026"/>
    <w:link w:val="1131"/>
    <w:uiPriority w:val="0"/>
    <w:qFormat/>
    <w:pPr>
      <w:jc w:val="center"/>
      <w:tabs>
        <w:tab w:val="center" w:pos="4153" w:leader="none"/>
        <w:tab w:val="right" w:pos="8306" w:leader="none"/>
      </w:tabs>
      <w:pBdr>
        <w:bottom w:val="single" w:color="auto" w:sz="6" w:space="1"/>
      </w:pBdr>
    </w:pPr>
    <w:rPr>
      <w:sz w:val="18"/>
      <w:szCs w:val="18"/>
    </w:rPr>
  </w:style>
  <w:style w:type="paragraph" w:styleId="1058">
    <w:name w:val="toc 1"/>
    <w:basedOn w:val="1026"/>
    <w:next w:val="1026"/>
    <w:uiPriority w:val="0"/>
    <w:semiHidden/>
    <w:qFormat/>
    <w:pPr>
      <w:jc w:val="left"/>
      <w:spacing w:before="120" w:after="120" w:line="400" w:lineRule="exact"/>
      <w:tabs>
        <w:tab w:val="right" w:pos="8720" w:leader="dot"/>
      </w:tabs>
    </w:pPr>
    <w:rPr>
      <w:rFonts w:ascii="宋体" w:hAnsi="宋体"/>
      <w:caps/>
      <w:sz w:val="24"/>
      <w:szCs w:val="24"/>
    </w:rPr>
  </w:style>
  <w:style w:type="paragraph" w:styleId="1059">
    <w:name w:val="toc 4"/>
    <w:basedOn w:val="1026"/>
    <w:next w:val="1026"/>
    <w:uiPriority w:val="0"/>
    <w:semiHidden/>
    <w:qFormat/>
    <w:pPr>
      <w:ind w:left="630"/>
      <w:jc w:val="left"/>
    </w:pPr>
  </w:style>
  <w:style w:type="paragraph" w:styleId="1060">
    <w:name w:val="List"/>
    <w:basedOn w:val="1026"/>
    <w:uiPriority w:val="0"/>
    <w:qFormat/>
    <w:pPr>
      <w:ind w:left="200" w:hanging="200"/>
    </w:pPr>
  </w:style>
  <w:style w:type="paragraph" w:styleId="1061">
    <w:name w:val="toc 6"/>
    <w:basedOn w:val="1026"/>
    <w:next w:val="1026"/>
    <w:uiPriority w:val="0"/>
    <w:semiHidden/>
    <w:qFormat/>
    <w:pPr>
      <w:ind w:left="1050"/>
      <w:jc w:val="left"/>
    </w:pPr>
  </w:style>
  <w:style w:type="paragraph" w:styleId="1062">
    <w:name w:val="Body Text Indent 3"/>
    <w:basedOn w:val="1026"/>
    <w:link w:val="1145"/>
    <w:uiPriority w:val="0"/>
    <w:qFormat/>
    <w:pPr>
      <w:ind w:left="645" w:firstLine="645"/>
    </w:pPr>
    <w:rPr>
      <w:rFonts w:ascii="Arial" w:hAnsi="Arial" w:eastAsia="仿宋_GB2312" w:cs="Arial"/>
      <w:color w:val="ffff00"/>
      <w:sz w:val="32"/>
      <w:szCs w:val="32"/>
    </w:rPr>
  </w:style>
  <w:style w:type="paragraph" w:styleId="1063">
    <w:name w:val="table of figures"/>
    <w:basedOn w:val="1026"/>
    <w:next w:val="1026"/>
    <w:uiPriority w:val="0"/>
    <w:semiHidden/>
    <w:qFormat/>
    <w:pPr>
      <w:ind w:left="840" w:hanging="420"/>
    </w:pPr>
  </w:style>
  <w:style w:type="paragraph" w:styleId="1064">
    <w:name w:val="toc 2"/>
    <w:basedOn w:val="1026"/>
    <w:next w:val="1026"/>
    <w:uiPriority w:val="0"/>
    <w:semiHidden/>
    <w:qFormat/>
    <w:pPr>
      <w:ind w:left="210"/>
      <w:jc w:val="left"/>
    </w:pPr>
    <w:rPr>
      <w:smallCaps/>
      <w:szCs w:val="24"/>
    </w:rPr>
  </w:style>
  <w:style w:type="paragraph" w:styleId="1065">
    <w:name w:val="toc 9"/>
    <w:basedOn w:val="1026"/>
    <w:next w:val="1026"/>
    <w:uiPriority w:val="0"/>
    <w:semiHidden/>
    <w:qFormat/>
    <w:pPr>
      <w:ind w:left="1680"/>
      <w:jc w:val="left"/>
    </w:pPr>
  </w:style>
  <w:style w:type="paragraph" w:styleId="1066">
    <w:name w:val="Body Text 2"/>
    <w:basedOn w:val="1026"/>
    <w:link w:val="1126"/>
    <w:uiPriority w:val="0"/>
    <w:qFormat/>
    <w:pPr>
      <w:jc w:val="center"/>
      <w:widowControl/>
    </w:pPr>
    <w:rPr>
      <w:rFonts w:ascii="楷体_GB2312" w:eastAsia="楷体_GB2312"/>
      <w:sz w:val="28"/>
      <w:szCs w:val="28"/>
    </w:rPr>
  </w:style>
  <w:style w:type="paragraph" w:styleId="1067">
    <w:name w:val="Normal (Web)"/>
    <w:basedOn w:val="1026"/>
    <w:uiPriority w:val="0"/>
    <w:qFormat/>
    <w:pPr>
      <w:jc w:val="left"/>
      <w:spacing w:before="100" w:beforeAutospacing="1" w:after="100" w:afterAutospacing="1"/>
      <w:widowControl/>
    </w:pPr>
    <w:rPr>
      <w:rFonts w:ascii="宋体" w:hAnsi="宋体" w:cs="宋体"/>
      <w:sz w:val="24"/>
      <w:szCs w:val="24"/>
    </w:rPr>
  </w:style>
  <w:style w:type="paragraph" w:styleId="1068">
    <w:name w:val="index 1"/>
    <w:basedOn w:val="1026"/>
    <w:next w:val="1026"/>
    <w:uiPriority w:val="0"/>
    <w:semiHidden/>
    <w:qFormat/>
    <w:pPr>
      <w:spacing w:line="240" w:lineRule="atLeast"/>
    </w:pPr>
    <w:rPr>
      <w:b/>
      <w:bCs/>
    </w:rPr>
  </w:style>
  <w:style w:type="paragraph" w:styleId="1069">
    <w:name w:val="annotation subject"/>
    <w:basedOn w:val="1042"/>
    <w:next w:val="1042"/>
    <w:link w:val="1132"/>
    <w:uiPriority w:val="0"/>
    <w:semiHidden/>
    <w:qFormat/>
    <w:rPr>
      <w:b/>
      <w:bCs/>
    </w:rPr>
  </w:style>
  <w:style w:type="paragraph" w:styleId="1070">
    <w:name w:val="Body Text First Indent 2"/>
    <w:basedOn w:val="1046"/>
    <w:link w:val="1142"/>
    <w:uiPriority w:val="0"/>
    <w:qFormat/>
    <w:pPr>
      <w:ind w:firstLine="420"/>
      <w:spacing w:line="360" w:lineRule="auto"/>
    </w:pPr>
    <w:rPr>
      <w:rFonts w:ascii="宋体" w:hAnsi="宋体" w:eastAsia="宋体"/>
      <w:sz w:val="21"/>
      <w:szCs w:val="20"/>
    </w:rPr>
  </w:style>
  <w:style w:type="table" w:styleId="1071">
    <w:name w:val="Table Grid"/>
    <w:basedOn w:val="103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1072">
    <w:name w:val="Strong"/>
    <w:uiPriority w:val="0"/>
    <w:qFormat/>
    <w:rPr>
      <w:b/>
      <w:bCs/>
    </w:rPr>
  </w:style>
  <w:style w:type="character" w:styleId="1073">
    <w:name w:val="page number"/>
    <w:basedOn w:val="1036"/>
    <w:uiPriority w:val="0"/>
    <w:qFormat/>
  </w:style>
  <w:style w:type="character" w:styleId="1074">
    <w:name w:val="FollowedHyperlink"/>
    <w:uiPriority w:val="99"/>
    <w:qFormat/>
    <w:rPr>
      <w:color w:val="800080"/>
      <w:u w:val="single"/>
    </w:rPr>
  </w:style>
  <w:style w:type="character" w:styleId="1075">
    <w:name w:val="Emphasis"/>
    <w:basedOn w:val="1036"/>
    <w:uiPriority w:val="0"/>
    <w:qFormat/>
    <w:rPr>
      <w:color w:val="cc0000"/>
    </w:rPr>
  </w:style>
  <w:style w:type="character" w:styleId="1076">
    <w:name w:val="Hyperlink"/>
    <w:uiPriority w:val="99"/>
    <w:qFormat/>
    <w:rPr>
      <w:color w:val="0000ff"/>
      <w:u w:val="single"/>
    </w:rPr>
  </w:style>
  <w:style w:type="character" w:styleId="1077">
    <w:name w:val="annotation reference"/>
    <w:uiPriority w:val="0"/>
    <w:semiHidden/>
    <w:qFormat/>
    <w:rPr>
      <w:sz w:val="21"/>
      <w:szCs w:val="21"/>
    </w:rPr>
  </w:style>
  <w:style w:type="paragraph" w:styleId="1078" w:customStyle="1">
    <w:name w:val="标题 41"/>
    <w:basedOn w:val="1026"/>
    <w:next w:val="1026"/>
    <w:uiPriority w:val="0"/>
    <w:qFormat/>
    <w:pPr>
      <w:keepLines/>
      <w:keepNext/>
      <w:spacing w:before="280" w:after="290" w:line="376" w:lineRule="auto"/>
      <w:outlineLvl w:val="3"/>
    </w:pPr>
    <w:rPr>
      <w:rFonts w:ascii="Arial" w:hAnsi="Arial" w:eastAsia="黑体" w:cs="Arial"/>
      <w:b/>
      <w:bCs/>
      <w:sz w:val="28"/>
      <w:szCs w:val="28"/>
    </w:rPr>
  </w:style>
  <w:style w:type="character" w:styleId="1079" w:customStyle="1">
    <w:name w:val="标题 1 字符"/>
    <w:basedOn w:val="1036"/>
    <w:link w:val="1027"/>
    <w:uiPriority w:val="99"/>
    <w:qFormat/>
    <w:rPr>
      <w:rFonts w:ascii="楷体_GB2312" w:eastAsia="楷体_GB2312"/>
      <w:sz w:val="28"/>
      <w:szCs w:val="28"/>
    </w:rPr>
  </w:style>
  <w:style w:type="character" w:styleId="1080" w:customStyle="1">
    <w:name w:val="标题 3 字符"/>
    <w:basedOn w:val="1036"/>
    <w:link w:val="1029"/>
    <w:uiPriority w:val="0"/>
    <w:qFormat/>
    <w:rPr>
      <w:b/>
      <w:bCs/>
      <w:sz w:val="32"/>
      <w:szCs w:val="32"/>
    </w:rPr>
  </w:style>
  <w:style w:type="character" w:styleId="1081" w:customStyle="1">
    <w:name w:val="正文缩进 字符"/>
    <w:link w:val="1038"/>
    <w:uiPriority w:val="99"/>
    <w:qFormat/>
    <w:rPr>
      <w:sz w:val="21"/>
      <w:szCs w:val="21"/>
    </w:rPr>
  </w:style>
  <w:style w:type="character" w:styleId="1082" w:customStyle="1">
    <w:name w:val="纯文本 字符"/>
    <w:basedOn w:val="1036"/>
    <w:link w:val="1050"/>
    <w:uiPriority w:val="0"/>
    <w:qFormat/>
    <w:rPr>
      <w:rFonts w:ascii="宋体" w:hAnsi="Courier New" w:cs="Courier New"/>
      <w:sz w:val="21"/>
      <w:szCs w:val="21"/>
    </w:rPr>
  </w:style>
  <w:style w:type="character" w:styleId="1083" w:customStyle="1">
    <w:name w:val="font5 Char"/>
    <w:uiPriority w:val="0"/>
    <w:qFormat/>
    <w:rPr>
      <w:rFonts w:ascii="宋体" w:hAnsi="宋体" w:eastAsia="宋体"/>
      <w:sz w:val="28"/>
      <w:szCs w:val="28"/>
      <w:lang w:val="en-US" w:eastAsia="zh-CN" w:bidi="ar-SA"/>
    </w:rPr>
  </w:style>
  <w:style w:type="character" w:styleId="1084" w:customStyle="1">
    <w:name w:val="二级目录 Char"/>
    <w:link w:val="1085"/>
    <w:uiPriority w:val="0"/>
    <w:qFormat/>
    <w:rPr>
      <w:b/>
      <w:sz w:val="30"/>
      <w:szCs w:val="28"/>
    </w:rPr>
  </w:style>
  <w:style w:type="paragraph" w:styleId="1085" w:customStyle="1">
    <w:name w:val="二级目录"/>
    <w:next w:val="1026"/>
    <w:link w:val="108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86" w:customStyle="1">
    <w:name w:val="列出段落 Char"/>
    <w:link w:val="1087"/>
    <w:uiPriority w:val="0"/>
    <w:qFormat/>
    <w:rPr>
      <w:rFonts w:ascii="Calibri" w:hAnsi="Calibri"/>
      <w:sz w:val="24"/>
      <w:szCs w:val="24"/>
      <w:lang w:eastAsia="en-US" w:bidi="en-US"/>
    </w:rPr>
  </w:style>
  <w:style w:type="paragraph" w:styleId="1087" w:customStyle="1">
    <w:name w:val="列出段落1"/>
    <w:basedOn w:val="1026"/>
    <w:link w:val="1086"/>
    <w:uiPriority w:val="0"/>
    <w:qFormat/>
    <w:pPr>
      <w:contextualSpacing/>
      <w:ind w:left="720"/>
      <w:jc w:val="left"/>
      <w:widowControl/>
    </w:pPr>
    <w:rPr>
      <w:rFonts w:ascii="Calibri" w:hAnsi="Calibri"/>
      <w:sz w:val="24"/>
      <w:szCs w:val="24"/>
      <w:lang w:eastAsia="en-US" w:bidi="en-US"/>
    </w:rPr>
  </w:style>
  <w:style w:type="paragraph" w:styleId="1088" w:customStyle="1">
    <w:name w:val="Char Char Char Char Char Char Char Char Char Char"/>
    <w:basedOn w:val="1026"/>
    <w:uiPriority w:val="0"/>
    <w:qFormat/>
    <w:pPr>
      <w:spacing w:line="360" w:lineRule="auto"/>
    </w:pPr>
    <w:rPr>
      <w:sz w:val="24"/>
      <w:szCs w:val="20"/>
    </w:rPr>
  </w:style>
  <w:style w:type="paragraph" w:styleId="1089" w:customStyle="1">
    <w:name w:val="普通正文"/>
    <w:basedOn w:val="1026"/>
    <w:uiPriority w:val="0"/>
    <w:qFormat/>
    <w:pPr>
      <w:ind w:firstLine="480"/>
      <w:jc w:val="left"/>
      <w:spacing w:before="120" w:after="120" w:line="360" w:lineRule="auto"/>
    </w:pPr>
    <w:rPr>
      <w:rFonts w:ascii="Arial" w:hAnsi="Arial"/>
      <w:sz w:val="24"/>
      <w:szCs w:val="24"/>
    </w:rPr>
  </w:style>
  <w:style w:type="paragraph" w:styleId="1090" w:customStyle="1">
    <w:name w:val="xl28"/>
    <w:basedOn w:val="102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91" w:customStyle="1">
    <w:name w:val="图标"/>
    <w:basedOn w:val="1026"/>
    <w:next w:val="102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2" w:customStyle="1">
    <w:name w:val="Char"/>
    <w:basedOn w:val="1026"/>
    <w:uiPriority w:val="0"/>
    <w:qFormat/>
    <w:pPr>
      <w:ind w:firstLine="200"/>
      <w:tabs>
        <w:tab w:val="left" w:pos="360" w:leader="none"/>
      </w:tabs>
    </w:pPr>
    <w:rPr>
      <w:sz w:val="28"/>
      <w:szCs w:val="30"/>
    </w:rPr>
  </w:style>
  <w:style w:type="paragraph" w:styleId="1093" w:customStyle="1">
    <w:name w:val="xl26"/>
    <w:basedOn w:val="10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4" w:customStyle="1">
    <w:name w:val="xl30"/>
    <w:basedOn w:val="1026"/>
    <w:uiPriority w:val="0"/>
    <w:qFormat/>
    <w:pPr>
      <w:jc w:val="center"/>
      <w:spacing w:before="100" w:beforeAutospacing="1" w:after="100" w:afterAutospacing="1"/>
      <w:widowControl/>
    </w:pPr>
    <w:rPr>
      <w:rFonts w:ascii="宋体" w:hAnsi="宋体"/>
      <w:b/>
      <w:bCs/>
      <w:sz w:val="36"/>
      <w:szCs w:val="36"/>
    </w:rPr>
  </w:style>
  <w:style w:type="paragraph" w:styleId="1095" w:customStyle="1">
    <w:name w:val="Char1"/>
    <w:basedOn w:val="1041"/>
    <w:uiPriority w:val="0"/>
    <w:qFormat/>
    <w:rPr>
      <w:rFonts w:ascii="Tahoma" w:hAnsi="Tahoma"/>
      <w:sz w:val="24"/>
      <w:szCs w:val="24"/>
    </w:rPr>
  </w:style>
  <w:style w:type="paragraph" w:styleId="1096" w:customStyle="1">
    <w:name w:val="标题1"/>
    <w:basedOn w:val="1026"/>
    <w:next w:val="102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7" w:customStyle="1">
    <w:name w:val="table_lines"/>
    <w:basedOn w:val="1026"/>
    <w:uiPriority w:val="0"/>
    <w:qFormat/>
    <w:pPr>
      <w:jc w:val="left"/>
      <w:widowControl/>
    </w:pPr>
    <w:rPr>
      <w:sz w:val="20"/>
      <w:szCs w:val="20"/>
      <w:lang w:val="de-DE" w:eastAsia="de-DE"/>
    </w:rPr>
  </w:style>
  <w:style w:type="paragraph" w:styleId="1098" w:customStyle="1">
    <w:name w:val="xl25"/>
    <w:basedOn w:val="102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9" w:customStyle="1">
    <w:name w:val="xl27"/>
    <w:basedOn w:val="10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00" w:customStyle="1">
    <w:name w:val="font5"/>
    <w:basedOn w:val="1026"/>
    <w:uiPriority w:val="0"/>
    <w:qFormat/>
    <w:pPr>
      <w:jc w:val="left"/>
      <w:spacing w:before="100" w:beforeAutospacing="1" w:after="100" w:afterAutospacing="1"/>
      <w:widowControl/>
    </w:pPr>
    <w:rPr>
      <w:rFonts w:hint="eastAsia" w:ascii="宋体" w:hAnsi="宋体"/>
      <w:sz w:val="28"/>
      <w:szCs w:val="28"/>
    </w:rPr>
  </w:style>
  <w:style w:type="paragraph" w:styleId="1101"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02" w:customStyle="1">
    <w:name w:val="font7"/>
    <w:basedOn w:val="1026"/>
    <w:uiPriority w:val="0"/>
    <w:qFormat/>
    <w:pPr>
      <w:jc w:val="left"/>
      <w:spacing w:before="100" w:beforeAutospacing="1" w:after="100" w:afterAutospacing="1"/>
      <w:widowControl/>
    </w:pPr>
    <w:rPr>
      <w:rFonts w:hint="eastAsia" w:ascii="宋体" w:hAnsi="宋体"/>
      <w:sz w:val="18"/>
      <w:szCs w:val="18"/>
    </w:rPr>
  </w:style>
  <w:style w:type="paragraph" w:styleId="1103" w:customStyle="1">
    <w:name w:val="普通 (Web)"/>
    <w:basedOn w:val="1026"/>
    <w:uiPriority w:val="0"/>
    <w:qFormat/>
    <w:pPr>
      <w:jc w:val="left"/>
      <w:spacing w:before="100" w:beforeAutospacing="1" w:after="100" w:afterAutospacing="1"/>
      <w:widowControl/>
    </w:pPr>
    <w:rPr>
      <w:rFonts w:ascii="宋体" w:hAnsi="宋体"/>
      <w:sz w:val="24"/>
      <w:szCs w:val="24"/>
    </w:rPr>
  </w:style>
  <w:style w:type="paragraph" w:styleId="1104" w:customStyle="1">
    <w:name w:val="font6"/>
    <w:basedOn w:val="1026"/>
    <w:uiPriority w:val="0"/>
    <w:qFormat/>
    <w:pPr>
      <w:jc w:val="left"/>
      <w:spacing w:before="100" w:beforeAutospacing="1" w:after="100" w:afterAutospacing="1"/>
      <w:widowControl/>
    </w:pPr>
    <w:rPr>
      <w:rFonts w:hint="eastAsia" w:ascii="宋体" w:hAnsi="宋体"/>
      <w:sz w:val="28"/>
      <w:szCs w:val="28"/>
      <w:u w:val="single"/>
    </w:rPr>
  </w:style>
  <w:style w:type="paragraph" w:styleId="1105" w:customStyle="1">
    <w:name w:val="Body Text(ch)"/>
    <w:basedOn w:val="1026"/>
    <w:next w:val="1044"/>
    <w:uiPriority w:val="0"/>
    <w:qFormat/>
    <w:pPr>
      <w:spacing w:after="120"/>
    </w:pPr>
    <w:rPr>
      <w:rFonts w:ascii="宋体" w:hAnsi="Arial"/>
      <w:bCs/>
      <w:iCs/>
      <w:szCs w:val="24"/>
    </w:rPr>
  </w:style>
  <w:style w:type="paragraph" w:styleId="1106" w:customStyle="1">
    <w:name w:val="Char Char Char Char"/>
    <w:basedOn w:val="1041"/>
    <w:uiPriority w:val="0"/>
    <w:qFormat/>
    <w:pPr>
      <w:spacing w:line="360" w:lineRule="auto"/>
    </w:pPr>
    <w:rPr>
      <w:rFonts w:ascii="Tahoma" w:hAnsi="Tahoma"/>
      <w:sz w:val="24"/>
      <w:szCs w:val="24"/>
    </w:rPr>
  </w:style>
  <w:style w:type="paragraph" w:styleId="1107" w:customStyle="1">
    <w:name w:val="样式1"/>
    <w:basedOn w:val="1026"/>
    <w:uiPriority w:val="0"/>
    <w:qFormat/>
    <w:pPr>
      <w:ind w:left="709" w:hanging="709"/>
      <w:tabs>
        <w:tab w:val="left" w:pos="709" w:leader="none"/>
      </w:tabs>
    </w:pPr>
    <w:rPr>
      <w:rFonts w:ascii="宋体" w:hAnsi="宋体"/>
    </w:rPr>
  </w:style>
  <w:style w:type="paragraph" w:styleId="1108" w:customStyle="1">
    <w:name w:val="标题3"/>
    <w:basedOn w:val="1026"/>
    <w:next w:val="1026"/>
    <w:uiPriority w:val="0"/>
    <w:qFormat/>
    <w:pPr>
      <w:ind w:firstLine="624"/>
      <w:spacing w:line="590" w:lineRule="atLeast"/>
    </w:pPr>
    <w:rPr>
      <w:rFonts w:ascii="方正黑体_GBK" w:eastAsia="方正黑体_GBK"/>
      <w:sz w:val="32"/>
      <w:szCs w:val="32"/>
    </w:rPr>
  </w:style>
  <w:style w:type="paragraph" w:styleId="1109" w:customStyle="1">
    <w:name w:val="xl24"/>
    <w:basedOn w:val="10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10">
    <w:name w:val="List Paragraph"/>
    <w:basedOn w:val="1026"/>
    <w:link w:val="1152"/>
    <w:uiPriority w:val="34"/>
    <w:qFormat/>
    <w:pPr>
      <w:contextualSpacing/>
      <w:ind w:left="720"/>
      <w:jc w:val="left"/>
      <w:widowControl/>
    </w:pPr>
    <w:rPr>
      <w:rFonts w:ascii="Calibri" w:hAnsi="Calibri"/>
      <w:sz w:val="24"/>
      <w:szCs w:val="24"/>
      <w:lang w:eastAsia="en-US" w:bidi="en-US"/>
    </w:rPr>
  </w:style>
  <w:style w:type="paragraph" w:styleId="1111" w:customStyle="1">
    <w:name w:val="4"/>
    <w:basedOn w:val="1026"/>
    <w:next w:val="1062"/>
    <w:uiPriority w:val="0"/>
    <w:qFormat/>
    <w:pPr>
      <w:ind w:firstLine="420"/>
      <w:spacing w:line="360" w:lineRule="auto"/>
    </w:pPr>
    <w:rPr>
      <w:color w:val="ff0000"/>
      <w:sz w:val="24"/>
      <w:szCs w:val="24"/>
    </w:rPr>
  </w:style>
  <w:style w:type="paragraph" w:styleId="1112" w:customStyle="1">
    <w:name w:val="xl29"/>
    <w:basedOn w:val="102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13" w:customStyle="1">
    <w:name w:val="table_1stline"/>
    <w:basedOn w:val="1026"/>
    <w:uiPriority w:val="0"/>
    <w:qFormat/>
    <w:pPr>
      <w:jc w:val="left"/>
      <w:spacing w:before="120"/>
      <w:widowControl/>
    </w:pPr>
    <w:rPr>
      <w:bCs/>
      <w:sz w:val="20"/>
      <w:szCs w:val="20"/>
      <w:lang w:val="de-DE" w:eastAsia="de-DE"/>
    </w:rPr>
  </w:style>
  <w:style w:type="paragraph" w:styleId="1114" w:customStyle="1">
    <w:name w:val="Char Char Char Char Char Char Char Char"/>
    <w:basedOn w:val="1026"/>
    <w:uiPriority w:val="0"/>
    <w:qFormat/>
    <w:pPr>
      <w:jc w:val="left"/>
      <w:spacing w:after="160" w:line="240" w:lineRule="exact"/>
      <w:widowControl/>
    </w:pPr>
    <w:rPr>
      <w:rFonts w:ascii="Verdana" w:hAnsi="Verdana"/>
      <w:sz w:val="20"/>
      <w:szCs w:val="20"/>
      <w:lang w:eastAsia="en-US"/>
    </w:rPr>
  </w:style>
  <w:style w:type="paragraph" w:styleId="1115" w:customStyle="1">
    <w:name w:val="Char Char Char Char Char Char Char Char1"/>
    <w:basedOn w:val="1026"/>
    <w:uiPriority w:val="0"/>
    <w:qFormat/>
    <w:pPr>
      <w:jc w:val="left"/>
      <w:spacing w:after="160" w:line="240" w:lineRule="exact"/>
      <w:widowControl/>
    </w:pPr>
    <w:rPr>
      <w:rFonts w:ascii="Verdana" w:hAnsi="Verdana"/>
      <w:sz w:val="20"/>
      <w:szCs w:val="20"/>
      <w:lang w:eastAsia="en-US"/>
    </w:rPr>
  </w:style>
  <w:style w:type="paragraph" w:styleId="1116" w:customStyle="1">
    <w:name w:val="Char Char Char Char1"/>
    <w:basedOn w:val="1041"/>
    <w:uiPriority w:val="0"/>
    <w:qFormat/>
    <w:pPr>
      <w:spacing w:line="360" w:lineRule="auto"/>
    </w:pPr>
    <w:rPr>
      <w:rFonts w:ascii="Tahoma" w:hAnsi="Tahoma"/>
      <w:sz w:val="24"/>
      <w:szCs w:val="24"/>
    </w:rPr>
  </w:style>
  <w:style w:type="character" w:styleId="1117" w:customStyle="1">
    <w:name w:val="正文2 Char"/>
    <w:link w:val="1118"/>
    <w:uiPriority w:val="0"/>
    <w:qFormat/>
    <w:rPr>
      <w:lang w:val="en-GB"/>
    </w:rPr>
  </w:style>
  <w:style w:type="paragraph" w:styleId="1118" w:customStyle="1">
    <w:name w:val="正文2"/>
    <w:basedOn w:val="1026"/>
    <w:link w:val="1117"/>
    <w:uiPriority w:val="0"/>
    <w:qFormat/>
    <w:pPr>
      <w:spacing w:line="360" w:lineRule="auto"/>
    </w:pPr>
    <w:rPr>
      <w:sz w:val="20"/>
      <w:szCs w:val="20"/>
      <w:lang w:val="en-GB"/>
    </w:rPr>
  </w:style>
  <w:style w:type="paragraph" w:styleId="1119" w:customStyle="1">
    <w:name w:val="修订1"/>
    <w:hidden/>
    <w:uiPriority w:val="99"/>
    <w:unhideWhenUsed/>
    <w:qFormat/>
    <w:rPr>
      <w:rFonts w:ascii="Times New Roman" w:hAnsi="Times New Roman" w:eastAsia="宋体" w:cs="Times New Roman"/>
      <w:sz w:val="21"/>
      <w:szCs w:val="21"/>
      <w:lang w:val="en-US" w:eastAsia="zh-CN" w:bidi="ar-SA"/>
    </w:rPr>
  </w:style>
  <w:style w:type="character" w:styleId="1120" w:customStyle="1">
    <w:name w:val="ant-descriptions-item-label"/>
    <w:basedOn w:val="1036"/>
    <w:uiPriority w:val="0"/>
    <w:qFormat/>
  </w:style>
  <w:style w:type="table" w:styleId="1121" w:customStyle="1">
    <w:name w:val="Table Normal"/>
    <w:basedOn w:val="1037"/>
    <w:uiPriority w:val="0"/>
    <w:qFormat/>
    <w:rPr>
      <w:rFonts w:eastAsia="Times New Roman"/>
    </w:rPr>
    <w:tblPr>
      <w:tblCellMar>
        <w:left w:w="0" w:type="dxa"/>
        <w:right w:w="0" w:type="dxa"/>
      </w:tblCellMar>
    </w:tblPr>
  </w:style>
  <w:style w:type="paragraph" w:styleId="1122" w:customStyle="1">
    <w:name w:val="列出段落2"/>
    <w:basedOn w:val="1026"/>
    <w:uiPriority w:val="0"/>
    <w:qFormat/>
    <w:pPr>
      <w:ind w:firstLine="420"/>
    </w:pPr>
    <w:rPr>
      <w:rFonts w:ascii="Calibri" w:hAnsi="Calibri"/>
    </w:rPr>
  </w:style>
  <w:style w:type="paragraph" w:styleId="1123" w:customStyle="1">
    <w:name w:val="Table Paragraph"/>
    <w:basedOn w:val="1026"/>
    <w:uiPriority w:val="0"/>
    <w:qFormat/>
    <w:pPr>
      <w:jc w:val="left"/>
    </w:pPr>
    <w:rPr>
      <w:rFonts w:ascii="宋体" w:hAnsi="宋体" w:cs="宋体"/>
      <w:sz w:val="22"/>
      <w:szCs w:val="22"/>
    </w:rPr>
  </w:style>
  <w:style w:type="character" w:styleId="1124" w:customStyle="1">
    <w:name w:val="15"/>
    <w:basedOn w:val="1036"/>
    <w:uiPriority w:val="0"/>
    <w:qFormat/>
    <w:rPr>
      <w:rFonts w:hint="default" w:ascii="Calibri" w:hAnsi="Calibri" w:cs="Calibri"/>
      <w:color w:val="0000ff"/>
      <w:u w:val="single"/>
    </w:rPr>
  </w:style>
  <w:style w:type="paragraph" w:styleId="1125" w:customStyle="1">
    <w:name w:val="List Paragraph1"/>
    <w:basedOn w:val="1026"/>
    <w:uiPriority w:val="0"/>
    <w:qFormat/>
    <w:pPr>
      <w:ind w:firstLine="420"/>
    </w:pPr>
  </w:style>
  <w:style w:type="character" w:styleId="1126" w:customStyle="1">
    <w:name w:val="正文文本 2 字符"/>
    <w:basedOn w:val="1036"/>
    <w:link w:val="1066"/>
    <w:uiPriority w:val="0"/>
    <w:qFormat/>
    <w:rPr>
      <w:rFonts w:ascii="楷体_GB2312" w:eastAsia="楷体_GB2312"/>
      <w:sz w:val="28"/>
      <w:szCs w:val="28"/>
    </w:rPr>
  </w:style>
  <w:style w:type="character" w:styleId="1127" w:customStyle="1">
    <w:name w:val="正文文本 字符"/>
    <w:basedOn w:val="1036"/>
    <w:link w:val="1044"/>
    <w:uiPriority w:val="0"/>
    <w:qFormat/>
    <w:rPr>
      <w:rFonts w:ascii="楷体_GB2312" w:hAnsi="Arial" w:eastAsia="楷体_GB2312"/>
      <w:sz w:val="28"/>
      <w:szCs w:val="28"/>
    </w:rPr>
  </w:style>
  <w:style w:type="character" w:styleId="1128" w:customStyle="1">
    <w:name w:val="标题 7 字符"/>
    <w:basedOn w:val="1036"/>
    <w:link w:val="1033"/>
    <w:uiPriority w:val="0"/>
    <w:qFormat/>
    <w:rPr>
      <w:b/>
      <w:bCs/>
      <w:sz w:val="24"/>
      <w:szCs w:val="24"/>
    </w:rPr>
  </w:style>
  <w:style w:type="character" w:styleId="1129" w:customStyle="1">
    <w:name w:val="标题 4 字符"/>
    <w:basedOn w:val="1036"/>
    <w:link w:val="1030"/>
    <w:uiPriority w:val="0"/>
    <w:qFormat/>
    <w:rPr>
      <w:rFonts w:ascii="Arial" w:hAnsi="Arial" w:eastAsia="黑体" w:cs="Arial"/>
      <w:b/>
      <w:bCs/>
      <w:sz w:val="28"/>
      <w:szCs w:val="28"/>
    </w:rPr>
  </w:style>
  <w:style w:type="character" w:styleId="1130" w:customStyle="1">
    <w:name w:val="正文文本首行缩进 字符"/>
    <w:basedOn w:val="1127"/>
    <w:link w:val="1045"/>
    <w:uiPriority w:val="0"/>
    <w:qFormat/>
    <w:rPr>
      <w:rFonts w:ascii="仿宋_GB2312" w:hAnsi="Arial" w:eastAsia="仿宋_GB2312"/>
      <w:sz w:val="30"/>
      <w:szCs w:val="30"/>
    </w:rPr>
  </w:style>
  <w:style w:type="character" w:styleId="1131" w:customStyle="1">
    <w:name w:val="页眉 字符"/>
    <w:basedOn w:val="1036"/>
    <w:link w:val="1057"/>
    <w:uiPriority w:val="0"/>
    <w:qFormat/>
    <w:rPr>
      <w:sz w:val="18"/>
      <w:szCs w:val="18"/>
    </w:rPr>
  </w:style>
  <w:style w:type="character" w:styleId="1132" w:customStyle="1">
    <w:name w:val="批注主题 字符"/>
    <w:basedOn w:val="1133"/>
    <w:link w:val="1069"/>
    <w:uiPriority w:val="0"/>
    <w:semiHidden/>
    <w:qFormat/>
    <w:rPr>
      <w:b/>
      <w:bCs/>
      <w:sz w:val="21"/>
      <w:szCs w:val="21"/>
    </w:rPr>
  </w:style>
  <w:style w:type="character" w:styleId="1133" w:customStyle="1">
    <w:name w:val="批注文字 字符"/>
    <w:basedOn w:val="1036"/>
    <w:link w:val="1042"/>
    <w:uiPriority w:val="99"/>
    <w:qFormat/>
    <w:rPr>
      <w:sz w:val="21"/>
      <w:szCs w:val="21"/>
    </w:rPr>
  </w:style>
  <w:style w:type="character" w:styleId="1134" w:customStyle="1">
    <w:name w:val="标题 6 字符"/>
    <w:basedOn w:val="1036"/>
    <w:link w:val="1032"/>
    <w:uiPriority w:val="0"/>
    <w:qFormat/>
    <w:rPr>
      <w:rFonts w:ascii="Arial" w:hAnsi="Arial" w:eastAsia="黑体"/>
      <w:b/>
      <w:bCs/>
      <w:sz w:val="24"/>
      <w:szCs w:val="24"/>
    </w:rPr>
  </w:style>
  <w:style w:type="character" w:styleId="1135" w:customStyle="1">
    <w:name w:val="批注框文本 字符"/>
    <w:basedOn w:val="1036"/>
    <w:link w:val="1054"/>
    <w:uiPriority w:val="0"/>
    <w:semiHidden/>
    <w:qFormat/>
    <w:rPr>
      <w:sz w:val="18"/>
      <w:szCs w:val="18"/>
    </w:rPr>
  </w:style>
  <w:style w:type="character" w:styleId="1136" w:customStyle="1">
    <w:name w:val="正文文本 3 字符"/>
    <w:basedOn w:val="1036"/>
    <w:link w:val="1043"/>
    <w:uiPriority w:val="0"/>
    <w:qFormat/>
    <w:rPr>
      <w:rFonts w:ascii="仿宋_GB2312" w:hAnsi="Arial" w:eastAsia="仿宋_GB2312"/>
      <w:sz w:val="32"/>
      <w:szCs w:val="32"/>
    </w:rPr>
  </w:style>
  <w:style w:type="character" w:styleId="1137" w:customStyle="1">
    <w:name w:val="页脚 字符"/>
    <w:basedOn w:val="1036"/>
    <w:link w:val="1055"/>
    <w:uiPriority w:val="0"/>
    <w:qFormat/>
    <w:rPr>
      <w:sz w:val="18"/>
      <w:szCs w:val="18"/>
    </w:rPr>
  </w:style>
  <w:style w:type="character" w:styleId="1138" w:customStyle="1">
    <w:name w:val="标题 5 字符"/>
    <w:basedOn w:val="1036"/>
    <w:link w:val="1031"/>
    <w:uiPriority w:val="0"/>
    <w:qFormat/>
    <w:rPr>
      <w:rFonts w:ascii="宋体"/>
      <w:color w:val="000000"/>
      <w:sz w:val="28"/>
      <w:szCs w:val="28"/>
    </w:rPr>
  </w:style>
  <w:style w:type="character" w:styleId="1139" w:customStyle="1">
    <w:name w:val="正文文本缩进 字符"/>
    <w:basedOn w:val="1036"/>
    <w:link w:val="1046"/>
    <w:uiPriority w:val="0"/>
    <w:qFormat/>
    <w:rPr>
      <w:rFonts w:ascii="楷体_GB2312" w:eastAsia="楷体_GB2312"/>
      <w:sz w:val="32"/>
      <w:szCs w:val="32"/>
    </w:rPr>
  </w:style>
  <w:style w:type="character" w:styleId="1140" w:customStyle="1">
    <w:name w:val="日期 字符"/>
    <w:basedOn w:val="1036"/>
    <w:link w:val="1052"/>
    <w:uiPriority w:val="0"/>
    <w:qFormat/>
    <w:rPr>
      <w:sz w:val="24"/>
      <w:szCs w:val="24"/>
    </w:rPr>
  </w:style>
  <w:style w:type="character" w:styleId="1141" w:customStyle="1">
    <w:name w:val="文档结构图 字符"/>
    <w:basedOn w:val="1036"/>
    <w:link w:val="1041"/>
    <w:uiPriority w:val="0"/>
    <w:semiHidden/>
    <w:qFormat/>
    <w:rPr>
      <w:sz w:val="21"/>
      <w:szCs w:val="21"/>
      <w:shd w:val="clear" w:color="auto" w:fill="000080"/>
    </w:rPr>
  </w:style>
  <w:style w:type="character" w:styleId="1142" w:customStyle="1">
    <w:name w:val="正文文本首行缩进 2 字符"/>
    <w:basedOn w:val="1139"/>
    <w:link w:val="1070"/>
    <w:uiPriority w:val="0"/>
    <w:qFormat/>
    <w:rPr>
      <w:rFonts w:ascii="宋体" w:hAnsi="宋体" w:eastAsia="楷体_GB2312"/>
      <w:sz w:val="21"/>
      <w:szCs w:val="32"/>
    </w:rPr>
  </w:style>
  <w:style w:type="character" w:styleId="1143" w:customStyle="1">
    <w:name w:val="正文文本缩进 2 字符"/>
    <w:basedOn w:val="1036"/>
    <w:link w:val="1053"/>
    <w:uiPriority w:val="0"/>
    <w:qFormat/>
    <w:rPr>
      <w:rFonts w:ascii="Arial" w:hAnsi="Arial" w:eastAsia="仿宋_GB2312" w:cs="Arial"/>
      <w:sz w:val="32"/>
      <w:szCs w:val="32"/>
    </w:rPr>
  </w:style>
  <w:style w:type="character" w:styleId="1144" w:customStyle="1">
    <w:name w:val="标题 9 字符"/>
    <w:basedOn w:val="1036"/>
    <w:link w:val="1035"/>
    <w:uiPriority w:val="0"/>
    <w:qFormat/>
    <w:rPr>
      <w:rFonts w:ascii="Arial" w:hAnsi="Arial" w:eastAsia="黑体"/>
      <w:sz w:val="21"/>
      <w:szCs w:val="21"/>
    </w:rPr>
  </w:style>
  <w:style w:type="character" w:styleId="1145" w:customStyle="1">
    <w:name w:val="正文文本缩进 3 字符"/>
    <w:basedOn w:val="1036"/>
    <w:link w:val="1062"/>
    <w:uiPriority w:val="0"/>
    <w:qFormat/>
    <w:rPr>
      <w:rFonts w:ascii="Arial" w:hAnsi="Arial" w:eastAsia="仿宋_GB2312" w:cs="Arial"/>
      <w:color w:val="ffff00"/>
      <w:sz w:val="32"/>
      <w:szCs w:val="32"/>
    </w:rPr>
  </w:style>
  <w:style w:type="character" w:styleId="1146" w:customStyle="1">
    <w:name w:val="标题 8 字符"/>
    <w:basedOn w:val="1036"/>
    <w:link w:val="1034"/>
    <w:uiPriority w:val="0"/>
    <w:qFormat/>
    <w:rPr>
      <w:rFonts w:ascii="Arial" w:hAnsi="Arial" w:eastAsia="黑体"/>
      <w:sz w:val="24"/>
      <w:szCs w:val="24"/>
    </w:rPr>
  </w:style>
  <w:style w:type="character" w:styleId="1147" w:customStyle="1">
    <w:name w:val="标题 2 字符"/>
    <w:basedOn w:val="1036"/>
    <w:link w:val="1028"/>
    <w:uiPriority w:val="0"/>
    <w:qFormat/>
    <w:rPr>
      <w:rFonts w:ascii="Arial" w:hAnsi="Arial" w:eastAsia="幼圆" w:cs="Arial"/>
      <w:b/>
      <w:bCs/>
      <w:sz w:val="44"/>
      <w:szCs w:val="44"/>
    </w:rPr>
  </w:style>
  <w:style w:type="paragraph" w:styleId="1148" w:customStyle="1">
    <w:name w:val="be358f00-9758-446e-aec5-cde8345aeef3"/>
    <w:basedOn w:val="1044"/>
    <w:link w:val="1149"/>
    <w:uiPriority w:val="0"/>
    <w:qFormat/>
    <w:pPr>
      <w:ind w:firstLine="440"/>
      <w:jc w:val="left"/>
      <w:widowControl/>
    </w:pPr>
    <w:rPr>
      <w:rFonts w:ascii="微软雅黑" w:hAnsi="微软雅黑" w:eastAsia="微软雅黑"/>
      <w:bCs/>
      <w:color w:val="000000"/>
      <w:sz w:val="22"/>
      <w:szCs w:val="20"/>
    </w:rPr>
  </w:style>
  <w:style w:type="character" w:styleId="1149" w:customStyle="1">
    <w:name w:val="be358f00-9758-446e-aec5-cde8345aeef3 字符"/>
    <w:basedOn w:val="1036"/>
    <w:link w:val="1148"/>
    <w:uiPriority w:val="0"/>
    <w:qFormat/>
    <w:rPr>
      <w:rFonts w:ascii="微软雅黑" w:hAnsi="微软雅黑" w:eastAsia="微软雅黑"/>
      <w:bCs/>
      <w:color w:val="000000"/>
      <w:sz w:val="22"/>
    </w:rPr>
  </w:style>
  <w:style w:type="paragraph" w:styleId="115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51" w:customStyle="1">
    <w:name w:val="Char Char Char"/>
    <w:basedOn w:val="1026"/>
    <w:uiPriority w:val="0"/>
    <w:qFormat/>
    <w:rPr>
      <w:rFonts w:ascii="Tahoma" w:hAnsi="Tahoma" w:cs="Tahoma"/>
      <w:color w:val="000000"/>
      <w:sz w:val="24"/>
      <w:szCs w:val="24"/>
    </w:rPr>
  </w:style>
  <w:style w:type="character" w:styleId="1152" w:customStyle="1">
    <w:name w:val="列表段落 字符"/>
    <w:link w:val="1110"/>
    <w:uiPriority w:val="34"/>
    <w:qFormat/>
    <w:rPr>
      <w:rFonts w:ascii="Calibri" w:hAnsi="Calibri"/>
      <w:sz w:val="24"/>
      <w:szCs w:val="24"/>
      <w:lang w:eastAsia="en-US" w:bidi="en-US"/>
    </w:rPr>
  </w:style>
  <w:style w:type="paragraph" w:styleId="1153" w:customStyle="1">
    <w:name w:val="List Paragraph_a5e0b20e-edf6-4aa4-8615-a307d2411a11"/>
    <w:basedOn w:val="1026"/>
    <w:uiPriority w:val="34"/>
    <w:qFormat/>
    <w:pPr>
      <w:ind w:firstLine="420"/>
    </w:pPr>
    <w:rPr>
      <w:szCs w:val="24"/>
    </w:rPr>
  </w:style>
  <w:style w:type="paragraph" w:styleId="1154"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155" w:customStyle="1">
    <w:name w:val="列表段落1"/>
    <w:basedOn w:val="1026"/>
    <w:uiPriority w:val="99"/>
    <w:qFormat/>
    <w:pPr>
      <w:ind w:firstLine="420"/>
    </w:pPr>
    <w:rPr>
      <w:szCs w:val="20"/>
    </w:rPr>
  </w:style>
  <w:style w:type="character" w:styleId="1156" w:customStyle="1">
    <w:name w:val="font11"/>
    <w:basedOn w:val="1036"/>
    <w:uiPriority w:val="0"/>
    <w:qFormat/>
    <w:rPr>
      <w:rFonts w:hint="default" w:ascii="方正仿宋_GBK" w:hAnsi="方正仿宋_GBK" w:eastAsia="方正仿宋_GBK" w:cs="方正仿宋_GBK"/>
      <w:color w:val="000000"/>
      <w:sz w:val="22"/>
      <w:szCs w:val="22"/>
      <w:u w:val="none"/>
    </w:rPr>
  </w:style>
  <w:style w:type="character" w:styleId="1157" w:customStyle="1">
    <w:name w:val="font31"/>
    <w:basedOn w:val="1036"/>
    <w:uiPriority w:val="0"/>
    <w:qFormat/>
    <w:rPr>
      <w:rFonts w:hint="default" w:ascii="方正仿宋_GBK" w:hAnsi="方正仿宋_GBK" w:eastAsia="方正仿宋_GBK" w:cs="方正仿宋_GBK"/>
      <w:color w:val="000000"/>
      <w:sz w:val="22"/>
      <w:szCs w:val="22"/>
      <w:u w:val="none"/>
      <w:vertAlign w:val="superscript"/>
    </w:rPr>
  </w:style>
  <w:style w:type="paragraph" w:styleId="115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59" w:customStyle="1">
    <w:name w:val="彩色列表 - 强调文字颜色 11"/>
    <w:basedOn w:val="1026"/>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160" w:customStyle="1">
    <w:name w:val="正文缩进1"/>
    <w:basedOn w:val="1026"/>
    <w:uiPriority w:val="0"/>
    <w:qFormat/>
    <w:pPr>
      <w:ind w:firstLine="420"/>
    </w:pPr>
    <w:rPr>
      <w:szCs w:val="24"/>
    </w:rPr>
  </w:style>
  <w:style w:type="paragraph" w:styleId="1161" w:customStyle="1">
    <w:name w:val="Revision"/>
    <w:hidden/>
    <w:uiPriority w:val="99"/>
    <w:unhideWhenUsed/>
    <w:qFormat/>
    <w:rPr>
      <w:rFonts w:ascii="Times New Roman" w:hAnsi="Times New Roman" w:eastAsia="宋体" w:cs="Times New Roman"/>
      <w:sz w:val="21"/>
      <w:szCs w:val="21"/>
      <w:lang w:val="en-US" w:eastAsia="zh-CN" w:bidi="ar-SA"/>
    </w:r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5A80A03-CA47-48F5-B607-4E919300801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中国石油大学</Company>
  <DocSecurity>0</DocSecurity>
  <LinksUpToDate>false</LinksUpToDate>
  <ScaleCrop>false</ScaleCrop>
  <Template>财政厅局域网标书.dot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徐萍</cp:lastModifiedBy>
  <cp:revision>174</cp:revision>
  <dcterms:created xsi:type="dcterms:W3CDTF">2024-08-26T01:56:00Z</dcterms:created>
  <dcterms:modified xsi:type="dcterms:W3CDTF">2026-08-31T08:42:08Z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BF1EF7FE944249E196DE1684664B5658_13</vt:lpwstr>
  </property>
  <property fmtid="{D5CDD505-2E9C-101B-9397-08002B2CF9AE}" pid="4" name="KSOTemplateDocerSaveRecord">
    <vt:lpwstr>eyJoZGlkIjoiMjY1NDkyZjA5NGRhOWQ3YTdiYTNjZTI5ZTMyNDkxYWEiLCJ1c2VySWQiOiI2MDM5MTA0MTYifQ==</vt:lpwstr>
  </property>
</Properties>
</file>