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32"/>
        <w:ind w:firstLine="0"/>
        <w:jc w:val="center"/>
        <w:rPr>
          <w:rFonts w:eastAsia="黑体"/>
          <w:b/>
          <w:bCs/>
          <w:sz w:val="84"/>
        </w:rPr>
      </w:pPr>
      <w:r>
        <w:rPr>
          <w:rFonts w:hint="eastAsia" w:eastAsia="黑体"/>
          <w:b/>
          <w:bCs/>
          <w:sz w:val="84"/>
        </w:rPr>
        <w:t xml:space="preserve">竞争性磋商文件</w:t>
      </w:r>
      <w:r/>
    </w:p>
    <w:p>
      <w:pPr>
        <w:ind w:firstLine="1606"/>
        <w:rPr>
          <w:rFonts w:ascii="Arial" w:hAnsi="Arial"/>
          <w:b/>
          <w:bCs/>
          <w:sz w:val="32"/>
          <w:szCs w:val="24"/>
          <w:u w:val="single"/>
        </w:rPr>
      </w:pPr>
      <w:r>
        <w:rPr>
          <w:rFonts w:hint="eastAsia" w:ascii="Arial" w:hAnsi="Arial"/>
          <w:b/>
          <w:bCs/>
          <w:sz w:val="32"/>
          <w:szCs w:val="24"/>
        </w:rPr>
        <w:t xml:space="preserve">项目名称：</w:t>
      </w:r>
      <w:r>
        <w:rPr>
          <w:rFonts w:hint="eastAsia"/>
          <w:b/>
          <w:bCs/>
          <w:color w:val="000000"/>
          <w:sz w:val="32"/>
          <w:szCs w:val="32"/>
          <w:lang w:bidi="ar"/>
        </w:rPr>
        <w:t xml:space="preserve">栖霞区城市运行“一网统管”综合管理平台仙林街道分中心系统二期升级</w:t>
      </w:r>
      <w:r>
        <w:rPr>
          <w:rFonts w:hint="eastAsia"/>
          <w:b/>
          <w:color w:val="0000ff"/>
          <w:sz w:val="32"/>
          <w:szCs w:val="32"/>
        </w:rPr>
        <w:t xml:space="preserve"> </w:t>
      </w:r>
      <w:r/>
    </w:p>
    <w:p>
      <w:pPr>
        <w:ind w:firstLine="1606"/>
        <w:jc w:val="left"/>
        <w:spacing w:before="120" w:after="120" w:line="360" w:lineRule="auto"/>
        <w:rPr>
          <w:color w:val="auto"/>
        </w:rPr>
      </w:pPr>
      <w:r>
        <w:rPr>
          <w:rFonts w:hint="eastAsia" w:ascii="Arial" w:hAnsi="Arial"/>
          <w:b/>
          <w:bCs/>
          <w:sz w:val="32"/>
          <w:szCs w:val="24"/>
        </w:rPr>
        <w:t xml:space="preserve">项目编号：</w:t>
      </w:r>
      <w:r>
        <w:rPr>
          <w:rFonts w:hint="eastAsia"/>
          <w:b/>
          <w:color w:val="auto"/>
          <w:sz w:val="32"/>
          <w:szCs w:val="32"/>
        </w:rPr>
        <w:t xml:space="preserve">JSZC-320100-JZCG-C2026-0239</w:t>
      </w:r>
      <w:r>
        <w:rPr>
          <w:rFonts w:hint="eastAsia"/>
          <w:b/>
          <w:color w:val="auto"/>
          <w:sz w:val="32"/>
          <w:szCs w:val="32"/>
        </w:rPr>
      </w:r>
      <w:r/>
    </w:p>
    <w:p>
      <w:pPr>
        <w:jc w:val="center"/>
        <w:rPr>
          <w:b/>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w:t>
      </w:r>
      <w:r>
        <w:rPr>
          <w:rFonts w:hint="eastAsia"/>
          <w:b/>
          <w:sz w:val="30"/>
          <w:szCs w:val="30"/>
        </w:rPr>
        <w:t xml:space="preserve">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cs="宋体"/>
          <w:b/>
          <w:bCs/>
          <w:color w:val="0000ff"/>
          <w:sz w:val="28"/>
          <w:szCs w:val="28"/>
        </w:rPr>
      </w:pPr>
      <w:r>
        <w:rPr>
          <w:rFonts w:hint="eastAsia" w:ascii="宋体" w:hAnsi="宋体" w:cs="宋体"/>
          <w:b/>
          <w:bCs/>
          <w:color w:val="0000ff"/>
          <w:sz w:val="28"/>
          <w:szCs w:val="28"/>
        </w:rPr>
        <w:t xml:space="preserve"> </w:t>
      </w:r>
      <w:r/>
    </w:p>
    <w:p>
      <w:pPr>
        <w:pStyle w:val="853"/>
        <w:ind w:left="420"/>
        <w:rPr>
          <w:rFonts w:hint="eastAsia"/>
        </w:rPr>
      </w:pPr>
      <w:r>
        <w:rPr>
          <w:rFonts w:hint="eastAsia"/>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32"/>
        <w:ind w:firstLine="0"/>
        <w:jc w:val="center"/>
        <w:rPr>
          <w:b/>
          <w:bCs/>
          <w:sz w:val="32"/>
        </w:rPr>
      </w:pPr>
      <w:r>
        <w:rPr>
          <w:rFonts w:hint="eastAsia"/>
          <w:b/>
          <w:bCs/>
          <w:sz w:val="32"/>
        </w:rPr>
        <w:t xml:space="preserve">南京市公共资源交易中心</w:t>
      </w:r>
      <w:r/>
    </w:p>
    <w:p>
      <w:pPr>
        <w:jc w:val="center"/>
        <w:rPr>
          <w:b/>
          <w:color w:val="0000ff"/>
          <w:sz w:val="32"/>
          <w:szCs w:val="32"/>
        </w:rPr>
      </w:pPr>
      <w:r>
        <w:rPr>
          <w:rFonts w:hint="eastAsia"/>
          <w:b/>
          <w:color w:val="auto"/>
          <w:sz w:val="32"/>
          <w:szCs w:val="32"/>
        </w:rPr>
        <w:t xml:space="preserve">2026年8月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hint="eastAsia" w:ascii="宋体" w:hAnsi="宋体" w:cs="宋体"/>
          <w:b/>
          <w:bCs/>
          <w:color w:val="0000ff"/>
          <w:sz w:val="24"/>
          <w:szCs w:val="24"/>
        </w:rPr>
        <w:outlineLvl w:val="0"/>
      </w:pPr>
      <w:r>
        <w:rPr>
          <w:rFonts w:hint="eastAsia" w:ascii="宋体" w:hAnsi="宋体" w:cs="宋体"/>
          <w:b/>
          <w:bCs/>
          <w:color w:val="0000ff"/>
          <w:sz w:val="24"/>
          <w:szCs w:val="24"/>
        </w:rPr>
      </w:r>
      <w:r/>
    </w:p>
    <w:p>
      <w:pPr>
        <w:jc w:val="center"/>
        <w:spacing w:line="480" w:lineRule="auto"/>
        <w:rPr>
          <w:rFonts w:ascii="黑体" w:hAnsi="Arial" w:eastAsia="黑体"/>
          <w:b/>
          <w:sz w:val="44"/>
          <w:szCs w:val="21"/>
        </w:rPr>
        <w:outlineLvl w:val="0"/>
      </w:pPr>
      <w:r>
        <w:rPr>
          <w:rFonts w:hint="eastAsia" w:ascii="宋体" w:hAnsi="宋体" w:cs="宋体"/>
          <w:b/>
          <w:bCs/>
          <w:color w:val="0000ff"/>
          <w:sz w:val="24"/>
          <w:szCs w:val="24"/>
        </w:rPr>
        <w:t xml:space="preserve"> </w:t>
      </w:r>
      <w:r>
        <w:rPr>
          <w:szCs w:val="21"/>
        </w:rPr>
        <w:br w:type="page" w:clear="all"/>
      </w: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bookmarkStart w:id="0" w:name="_Toc16938516"/>
      <w:r/>
      <w:bookmarkStart w:id="1" w:name="_Toc20823272"/>
      <w:r/>
      <w:bookmarkStart w:id="2" w:name="_Toc120614210"/>
      <w:r/>
      <w:bookmarkStart w:id="3" w:name="_Toc523127445"/>
      <w:r/>
      <w:bookmarkStart w:id="4" w:name="_Toc479757206"/>
      <w:r/>
      <w:bookmarkStart w:id="5" w:name="_Toc513029200"/>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磋商邀请…………………………………… </w:t>
      </w:r>
      <w:r>
        <w:rPr>
          <w:rFonts w:hint="eastAsia" w:ascii="黑体" w:hAnsi="宋体" w:eastAsia="黑体"/>
          <w:sz w:val="36"/>
          <w:szCs w:val="21"/>
          <w:lang w:val="en-US" w:eastAsia="zh-CN"/>
        </w:rPr>
        <w:t xml:space="preserve">2</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lang w:val="en-US" w:eastAsia="zh-CN"/>
        </w:rPr>
        <w:t xml:space="preserve">4</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lang w:val="en-US" w:eastAsia="zh-CN"/>
        </w:rPr>
        <w:t xml:space="preserve">14</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lang w:val="en-US" w:eastAsia="zh-CN"/>
        </w:rPr>
        <w:t xml:space="preserve">17</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评审方法与评审标准………………………</w:t>
      </w:r>
      <w:r>
        <w:rPr>
          <w:rFonts w:hint="eastAsia" w:ascii="黑体" w:hAnsi="宋体" w:eastAsia="黑体"/>
          <w:sz w:val="36"/>
          <w:szCs w:val="21"/>
          <w:lang w:val="en-US" w:eastAsia="zh-CN"/>
        </w:rPr>
        <w:t xml:space="preserve">23</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lang w:val="en-US" w:eastAsia="zh-CN"/>
        </w:rPr>
        <w:t xml:space="preserve">27</w:t>
      </w:r>
      <w:r/>
    </w:p>
    <w:p>
      <w:pPr>
        <w:rPr>
          <w:szCs w:val="21"/>
        </w:rPr>
      </w:pPr>
      <w:r>
        <w:rPr>
          <w:szCs w:val="21"/>
        </w:rPr>
      </w:r>
      <w:r/>
    </w:p>
    <w:p>
      <w:pPr>
        <w:rPr>
          <w:szCs w:val="21"/>
        </w:rPr>
      </w:pPr>
      <w:r>
        <w:rPr>
          <w:szCs w:val="21"/>
        </w:rPr>
      </w:r>
      <w:r/>
    </w:p>
    <w:p>
      <w:pPr>
        <w:rPr>
          <w:szCs w:val="21"/>
        </w:rPr>
      </w:pPr>
      <w:r>
        <w:rPr>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rPr>
          <w:rFonts w:hint="eastAsia" w:ascii="宋体" w:hAnsi="宋体"/>
          <w:sz w:val="24"/>
          <w:szCs w:val="24"/>
        </w:rPr>
        <w:t xml:space="preserve">受</w:t>
      </w:r>
      <w:r>
        <w:rPr>
          <w:rFonts w:hint="eastAsia" w:ascii="宋体" w:hAnsi="宋体"/>
          <w:color w:val="000000"/>
          <w:sz w:val="24"/>
          <w:szCs w:val="24"/>
        </w:rPr>
        <w:t xml:space="preserve">南京市栖霞区人民政府仙林办事处</w:t>
      </w:r>
      <w:r>
        <w:rPr>
          <w:rFonts w:hint="eastAsia" w:ascii="宋体" w:hAnsi="宋体"/>
          <w:sz w:val="24"/>
          <w:szCs w:val="24"/>
        </w:rPr>
        <w:t xml:space="preserve">委托，南京市公共资源交易中心就</w:t>
      </w:r>
      <w:r>
        <w:rPr>
          <w:rFonts w:ascii="宋体" w:hAnsi="宋体"/>
          <w:color w:val="000000"/>
          <w:sz w:val="24"/>
          <w:szCs w:val="24"/>
        </w:rPr>
        <w:t xml:space="preserve">栖霞区城市运行“一网统管”综合管理平台仙林街道分中心二期升级</w:t>
      </w:r>
      <w:r>
        <w:rPr>
          <w:rFonts w:hint="eastAsia" w:ascii="宋体" w:hAnsi="宋体"/>
          <w:sz w:val="24"/>
          <w:szCs w:val="24"/>
        </w:rPr>
        <w:t xml:space="preserve">进行竞争性磋商采购，欢迎符合条件的供应商参加磋商。</w:t>
      </w:r>
      <w:r/>
    </w:p>
    <w:p>
      <w:pPr>
        <w:pStyle w:val="84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64" w:lineRule="auto"/>
        <w:rPr>
          <w:rFonts w:hint="eastAsia" w:ascii="宋体" w:hAnsi="宋体"/>
          <w:color w:val="auto"/>
          <w:sz w:val="24"/>
          <w:szCs w:val="24"/>
        </w:rPr>
      </w:pPr>
      <w:r>
        <w:rPr>
          <w:rFonts w:hint="eastAsia" w:ascii="宋体" w:hAnsi="宋体"/>
          <w:sz w:val="24"/>
          <w:szCs w:val="24"/>
        </w:rPr>
        <w:t xml:space="preserve">1.项目编号</w:t>
      </w:r>
      <w:r>
        <w:rPr>
          <w:rFonts w:hint="eastAsia" w:ascii="宋体" w:hAnsi="宋体"/>
          <w:color w:val="auto"/>
          <w:sz w:val="24"/>
          <w:szCs w:val="24"/>
        </w:rPr>
        <w:t xml:space="preserve">：JSZC-320100-JZCG-C2026-0239</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2.项目名称：</w:t>
      </w:r>
      <w:r>
        <w:rPr>
          <w:rFonts w:ascii="宋体" w:hAnsi="宋体"/>
          <w:color w:val="auto"/>
          <w:sz w:val="24"/>
          <w:szCs w:val="24"/>
        </w:rPr>
        <w:t xml:space="preserve">栖霞区城市运行“一网统管”综合管理平台仙林街道分中心二期升级</w:t>
      </w:r>
      <w:r/>
    </w:p>
    <w:p>
      <w:pPr>
        <w:ind w:firstLine="480"/>
        <w:spacing w:line="264" w:lineRule="auto"/>
        <w:rPr>
          <w:rFonts w:hint="eastAsia" w:ascii="宋体" w:hAnsi="宋体" w:cs="宋体"/>
          <w:color w:val="auto"/>
          <w:sz w:val="24"/>
          <w:szCs w:val="24"/>
        </w:rPr>
      </w:pPr>
      <w:r>
        <w:rPr>
          <w:rFonts w:hint="eastAsia" w:ascii="宋体" w:hAnsi="宋体"/>
          <w:color w:val="auto"/>
          <w:sz w:val="24"/>
          <w:szCs w:val="24"/>
        </w:rPr>
        <w:t xml:space="preserve">3.预算金额：</w:t>
      </w:r>
      <w:r>
        <w:rPr>
          <w:rFonts w:hint="eastAsia" w:ascii="宋体" w:hAnsi="宋体" w:cs="宋体"/>
          <w:color w:val="auto"/>
          <w:sz w:val="24"/>
          <w:szCs w:val="24"/>
        </w:rPr>
        <w:t xml:space="preserve">25万元</w:t>
      </w:r>
      <w:r/>
    </w:p>
    <w:p>
      <w:pPr>
        <w:ind w:firstLine="480"/>
        <w:spacing w:line="252" w:lineRule="auto"/>
        <w:widowControl/>
        <w:rPr>
          <w:rFonts w:hint="eastAsia" w:ascii="宋体" w:hAnsi="宋体"/>
          <w:color w:val="auto"/>
          <w:sz w:val="24"/>
          <w:szCs w:val="24"/>
        </w:rPr>
      </w:pPr>
      <w:r>
        <w:rPr>
          <w:rFonts w:hint="eastAsia" w:ascii="宋体" w:hAnsi="宋体"/>
          <w:color w:val="auto"/>
          <w:sz w:val="24"/>
          <w:szCs w:val="24"/>
        </w:rPr>
        <w:t xml:space="preserve">4.最高限价：25万元</w:t>
      </w:r>
      <w:r/>
    </w:p>
    <w:p>
      <w:pPr>
        <w:ind w:firstLine="480"/>
        <w:spacing w:line="264" w:lineRule="auto"/>
        <w:rPr>
          <w:rFonts w:hint="eastAsia" w:ascii="宋体" w:hAnsi="宋体"/>
          <w:color w:val="auto"/>
          <w:sz w:val="24"/>
          <w:szCs w:val="24"/>
          <w:u w:val="single"/>
        </w:rPr>
      </w:pPr>
      <w:r>
        <w:rPr>
          <w:rFonts w:hint="eastAsia" w:ascii="宋体" w:hAnsi="宋体"/>
          <w:color w:val="auto"/>
          <w:sz w:val="24"/>
          <w:szCs w:val="24"/>
        </w:rPr>
        <w:t xml:space="preserve">5.采购需求（简介）：</w:t>
      </w:r>
      <w:r>
        <w:rPr>
          <w:rFonts w:ascii="宋体" w:hAnsi="宋体"/>
          <w:color w:val="auto"/>
          <w:sz w:val="24"/>
          <w:szCs w:val="24"/>
        </w:rPr>
        <w:t xml:space="preserve">结合栖霞区城市运行“一网统管”综合管理平台仙林街道分中心系统一期建设情况，基于“我的南京”政务版应用，对系统进行迭代升级及个性化功能开发，实现街道级城市治理数据集成分析、多终端协同处置及全流程线上可追溯管理</w:t>
      </w:r>
      <w:r>
        <w:rPr>
          <w:rFonts w:hint="eastAsia" w:ascii="宋体" w:hAnsi="宋体"/>
          <w:color w:val="auto"/>
          <w:sz w:val="24"/>
          <w:szCs w:val="24"/>
          <w:lang w:val="zh-CN"/>
        </w:rPr>
        <w:t xml:space="preserve">。</w:t>
      </w:r>
      <w:r>
        <w:rPr>
          <w:rFonts w:hint="eastAsia" w:ascii="宋体" w:hAnsi="宋体" w:cs="宋体"/>
          <w:color w:val="auto"/>
          <w:sz w:val="24"/>
          <w:szCs w:val="24"/>
        </w:rPr>
        <w:t xml:space="preserve">（详细内容见本磋商文件第四章） </w:t>
      </w:r>
      <w:r/>
    </w:p>
    <w:p>
      <w:pPr>
        <w:ind w:firstLine="480"/>
        <w:spacing w:line="264" w:lineRule="auto"/>
        <w:rPr>
          <w:rFonts w:hint="eastAsia" w:ascii="宋体" w:hAnsi="宋体" w:cs="宋体"/>
          <w:color w:val="auto"/>
          <w:sz w:val="24"/>
          <w:szCs w:val="24"/>
          <w:highlight w:val="yellow"/>
        </w:rPr>
      </w:pPr>
      <w:r>
        <w:rPr>
          <w:rFonts w:hint="eastAsia" w:ascii="宋体" w:hAnsi="宋体"/>
          <w:color w:val="auto"/>
          <w:sz w:val="24"/>
          <w:szCs w:val="24"/>
        </w:rPr>
        <w:t xml:space="preserve">6.合同履行期限：</w:t>
      </w:r>
      <w:r>
        <w:rPr>
          <w:rFonts w:hint="eastAsia" w:ascii="宋体" w:hAnsi="宋体" w:cs="宋体"/>
          <w:color w:val="auto"/>
          <w:sz w:val="24"/>
          <w:szCs w:val="24"/>
        </w:rPr>
        <w:t xml:space="preserve">425天（</w:t>
      </w:r>
      <w:r>
        <w:rPr>
          <w:rFonts w:hint="eastAsia" w:ascii="宋体" w:hAnsi="宋体"/>
          <w:color w:val="auto"/>
          <w:sz w:val="24"/>
          <w:szCs w:val="24"/>
          <w:lang w:val="zh-CN"/>
        </w:rPr>
        <w:t xml:space="preserve">交付期</w:t>
      </w:r>
      <w:r>
        <w:rPr>
          <w:rFonts w:hint="eastAsia" w:ascii="宋体" w:hAnsi="宋体"/>
          <w:color w:val="auto"/>
          <w:sz w:val="24"/>
          <w:szCs w:val="24"/>
        </w:rPr>
        <w:t xml:space="preserve">自合同签订之日起</w:t>
      </w:r>
      <w:r>
        <w:rPr>
          <w:rFonts w:hint="eastAsia" w:ascii="宋体" w:hAnsi="宋体"/>
          <w:color w:val="auto"/>
          <w:sz w:val="24"/>
          <w:szCs w:val="24"/>
          <w:lang w:val="zh-CN"/>
        </w:rPr>
        <w:t xml:space="preserve">60天，运维期为验收合格后365天</w:t>
      </w:r>
      <w:r>
        <w:rPr>
          <w:rFonts w:hint="eastAsia" w:ascii="宋体" w:hAnsi="宋体" w:cs="宋体"/>
          <w:color w:val="auto"/>
          <w:sz w:val="24"/>
          <w:szCs w:val="24"/>
        </w:rPr>
        <w:t xml:space="preserve">）</w:t>
      </w:r>
      <w:r/>
    </w:p>
    <w:p>
      <w:pPr>
        <w:ind w:firstLine="480"/>
        <w:spacing w:line="252" w:lineRule="auto"/>
        <w:rPr>
          <w:rFonts w:hint="eastAsia"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本项目不接受联合体参加磋商。</w:t>
      </w:r>
      <w:r/>
    </w:p>
    <w:p>
      <w:pPr>
        <w:ind w:firstLine="480"/>
        <w:spacing w:line="252" w:lineRule="auto"/>
        <w:rPr>
          <w:rFonts w:hint="eastAsia" w:ascii="宋体" w:hAnsi="宋体" w:cs="宋体"/>
          <w:sz w:val="24"/>
          <w:szCs w:val="24"/>
        </w:rPr>
      </w:pPr>
      <w:r>
        <w:rPr>
          <w:rFonts w:hint="eastAsia" w:ascii="宋体" w:hAnsi="宋体" w:cs="宋体"/>
          <w:color w:val="auto"/>
          <w:sz w:val="24"/>
          <w:szCs w:val="24"/>
        </w:rPr>
        <w:t xml:space="preserve">8.本项目不接受进口产品。</w:t>
      </w:r>
      <w:r/>
    </w:p>
    <w:p>
      <w:pPr>
        <w:ind w:firstLine="600"/>
        <w:spacing w:line="264"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二、申请人的资格要求</w:t>
      </w:r>
      <w:r/>
    </w:p>
    <w:p>
      <w:pPr>
        <w:ind w:firstLine="480"/>
        <w:spacing w:line="264"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color w:val="auto"/>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color w:val="auto"/>
          <w:sz w:val="24"/>
          <w:szCs w:val="24"/>
          <w:lang w:val="zh-CN"/>
        </w:rPr>
        <w:t xml:space="preserve">：无</w:t>
      </w:r>
      <w:r/>
    </w:p>
    <w:p>
      <w:pPr>
        <w:ind w:firstLine="480"/>
        <w:pageBreakBefore w:val="0"/>
        <w:spacing w:line="264" w:lineRule="auto"/>
        <w:rPr>
          <w:rFonts w:hint="eastAsia" w:ascii="宋体" w:hAnsi="宋体"/>
          <w:sz w:val="24"/>
          <w:szCs w:val="24"/>
          <w:lang w:val="zh-CN"/>
        </w:rPr>
      </w:pPr>
      <w:r>
        <w:rPr>
          <w:rFonts w:hint="eastAsia" w:ascii="宋体" w:hAnsi="宋体"/>
          <w:sz w:val="24"/>
          <w:szCs w:val="24"/>
          <w:lang w:val="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pageBreakBefore w:val="0"/>
        <w:spacing w:line="264" w:lineRule="auto"/>
        <w:rPr>
          <w:rFonts w:hint="eastAsia" w:ascii="宋体" w:hAnsi="宋体"/>
          <w:sz w:val="24"/>
          <w:szCs w:val="24"/>
        </w:rPr>
      </w:pPr>
      <w:r>
        <w:rPr>
          <w:rFonts w:hint="eastAsia" w:ascii="宋体" w:hAnsi="宋体"/>
          <w:sz w:val="24"/>
          <w:szCs w:val="24"/>
        </w:rPr>
        <w:t xml:space="preserve">（二）本项目的特定资格要求：无</w:t>
      </w:r>
      <w:r/>
    </w:p>
    <w:p>
      <w:pPr>
        <w:pStyle w:val="844"/>
        <w:ind w:firstLine="465"/>
        <w:pageBreakBefore w:val="0"/>
        <w:spacing w:before="0" w:after="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pageBreakBefore w:val="0"/>
        <w:spacing w:line="264" w:lineRule="auto"/>
        <w:rPr>
          <w:rFonts w:hint="eastAsia" w:ascii="宋体" w:hAnsi="宋体" w:cs="宋体"/>
          <w:sz w:val="24"/>
          <w:szCs w:val="24"/>
        </w:rPr>
      </w:pPr>
      <w:r>
        <w:rPr>
          <w:rFonts w:hint="eastAsia" w:ascii="宋体" w:hAnsi="宋体"/>
          <w:sz w:val="24"/>
          <w:szCs w:val="24"/>
          <w:lang w:val="zh-CN"/>
        </w:rPr>
        <w:t xml:space="preserve">1.时间：自磋商文件</w:t>
      </w:r>
      <w:r>
        <w:rPr>
          <w:rFonts w:hint="eastAsia" w:ascii="宋体" w:hAnsi="宋体" w:cs="宋体"/>
          <w:sz w:val="24"/>
          <w:szCs w:val="24"/>
        </w:rPr>
        <w:t xml:space="preserve">公告发布之日起。</w:t>
      </w:r>
      <w:r/>
    </w:p>
    <w:p>
      <w:pPr>
        <w:ind w:firstLine="480"/>
        <w:pageBreakBefore w:val="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844"/>
        <w:ind w:firstLine="465"/>
        <w:pageBreakBefore w:val="0"/>
        <w:spacing w:before="0" w:after="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ind w:firstLine="372"/>
        <w:pageBreakBefore w:val="0"/>
        <w:spacing w:line="264" w:lineRule="auto"/>
        <w:rPr>
          <w:rFonts w:hint="eastAsia" w:ascii="宋体" w:hAnsi="宋体"/>
          <w:color w:val="auto"/>
          <w:sz w:val="24"/>
          <w:szCs w:val="24"/>
        </w:rPr>
      </w:pPr>
      <w:r>
        <w:rPr>
          <w:rFonts w:hint="eastAsia" w:ascii="宋体" w:hAnsi="宋体" w:cs="宋体"/>
          <w:color w:val="auto"/>
          <w:sz w:val="24"/>
          <w:szCs w:val="24"/>
        </w:rPr>
        <w:t xml:space="preserve"> 20</w:t>
      </w:r>
      <w:r>
        <w:rPr>
          <w:rFonts w:hint="eastAsia" w:ascii="宋体" w:hAnsi="宋体" w:cs="宋体"/>
          <w:color w:val="auto"/>
          <w:sz w:val="24"/>
          <w:szCs w:val="24"/>
        </w:rPr>
        <w:t xml:space="preserve">26</w:t>
      </w:r>
      <w:r>
        <w:rPr>
          <w:rFonts w:hint="eastAsia" w:ascii="宋体" w:hAnsi="宋体"/>
          <w:color w:val="auto"/>
          <w:sz w:val="24"/>
          <w:szCs w:val="24"/>
        </w:rPr>
        <w:t xml:space="preserve">年8</w:t>
      </w:r>
      <w:r>
        <w:rPr>
          <w:rFonts w:hint="eastAsia" w:ascii="宋体" w:hAnsi="宋体"/>
          <w:color w:val="auto"/>
          <w:sz w:val="24"/>
          <w:szCs w:val="24"/>
        </w:rPr>
        <w:t xml:space="preserve">月</w:t>
      </w:r>
      <w:r>
        <w:rPr>
          <w:rFonts w:hint="eastAsia" w:ascii="宋体" w:hAnsi="宋体" w:cs="宋体"/>
          <w:color w:val="auto"/>
          <w:sz w:val="24"/>
          <w:szCs w:val="24"/>
        </w:rPr>
        <w:t xml:space="preserve">14</w:t>
      </w:r>
      <w:r>
        <w:rPr>
          <w:rFonts w:hint="eastAsia" w:ascii="宋体" w:hAnsi="宋体"/>
          <w:color w:val="auto"/>
          <w:sz w:val="24"/>
          <w:szCs w:val="24"/>
        </w:rPr>
        <w:t xml:space="preserve">日9</w:t>
      </w:r>
      <w:r>
        <w:rPr>
          <w:rFonts w:hint="eastAsia"/>
          <w:color w:val="auto"/>
          <w:sz w:val="24"/>
          <w:szCs w:val="24"/>
        </w:rPr>
        <w:t xml:space="preserve">时</w:t>
      </w:r>
      <w:r>
        <w:rPr>
          <w:rFonts w:hint="eastAsia" w:ascii="宋体" w:hAnsi="宋体" w:cs="宋体"/>
          <w:color w:val="auto"/>
          <w:sz w:val="24"/>
          <w:szCs w:val="24"/>
        </w:rPr>
        <w:t xml:space="preserve">30</w:t>
      </w:r>
      <w:r>
        <w:rPr>
          <w:rFonts w:hint="eastAsia" w:ascii="宋体" w:hAnsi="宋体"/>
          <w:color w:val="auto"/>
          <w:sz w:val="24"/>
          <w:szCs w:val="24"/>
        </w:rPr>
        <w:t xml:space="preserve">分（北京时间）。</w:t>
      </w:r>
      <w:r/>
    </w:p>
    <w:p>
      <w:pPr>
        <w:pStyle w:val="844"/>
        <w:ind w:firstLine="465"/>
        <w:pageBreakBefore w:val="0"/>
        <w:spacing w:before="0" w:after="0"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p>
    <w:p>
      <w:pPr>
        <w:ind w:firstLine="480"/>
        <w:pageBreakBefore w:val="0"/>
        <w:spacing w:line="264" w:lineRule="auto"/>
        <w:rPr>
          <w:rFonts w:hint="eastAsia"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p>
    <w:p>
      <w:pPr>
        <w:pStyle w:val="844"/>
        <w:ind w:firstLine="465"/>
        <w:pageBreakBefore w:val="0"/>
        <w:spacing w:before="0" w:after="0" w:line="264"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p>
    <w:p>
      <w:pPr>
        <w:ind w:firstLine="480"/>
        <w:pageBreakBefore w:val="0"/>
        <w:spacing w:line="264" w:lineRule="auto"/>
        <w:rPr>
          <w:rFonts w:hint="eastAsia" w:ascii="宋体" w:hAnsi="宋体" w:cs="宋体"/>
          <w:color w:val="auto"/>
          <w:sz w:val="24"/>
          <w:szCs w:val="24"/>
        </w:rPr>
      </w:pPr>
      <w:r>
        <w:rPr>
          <w:rFonts w:hint="eastAsia" w:ascii="宋体" w:hAnsi="宋体" w:cs="宋体"/>
          <w:color w:val="auto"/>
          <w:sz w:val="24"/>
          <w:szCs w:val="24"/>
        </w:rPr>
        <w:t xml:space="preserve">1.本次磋商不收取磋商保证金。</w:t>
      </w:r>
      <w:r/>
    </w:p>
    <w:p>
      <w:pPr>
        <w:ind w:firstLine="480"/>
        <w:pageBreakBefore w:val="0"/>
        <w:spacing w:line="264" w:lineRule="auto"/>
        <w:tabs>
          <w:tab w:val="left" w:pos="900" w:leader="none"/>
        </w:tabs>
        <w:rPr>
          <w:rFonts w:hint="eastAsia"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p>
    <w:p>
      <w:pPr>
        <w:ind w:firstLine="480"/>
        <w:pageBreakBefore w:val="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pageBreakBefore w:val="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pageBreakBefore w:val="0"/>
        <w:spacing w:line="252" w:lineRule="auto"/>
        <w:rPr>
          <w:rFonts w:hint="eastAsia" w:ascii="宋体" w:hAnsi="宋体"/>
          <w:color w:val="auto"/>
          <w:sz w:val="24"/>
          <w:lang w:val="zh-CN"/>
        </w:rPr>
      </w:pPr>
      <w:r>
        <w:rPr>
          <w:rFonts w:hint="eastAsia" w:ascii="宋体" w:hAnsi="宋体" w:cs="宋体"/>
          <w:b/>
          <w:bCs/>
          <w:color w:val="auto"/>
          <w:sz w:val="24"/>
          <w:szCs w:val="24"/>
        </w:rPr>
        <w:t xml:space="preserve">5.</w:t>
      </w:r>
      <w:r>
        <w:rPr>
          <w:rFonts w:hint="eastAsia" w:ascii="宋体" w:hAnsi="宋体"/>
          <w:b/>
          <w:bCs/>
          <w:color w:val="auto"/>
          <w:sz w:val="24"/>
          <w:lang w:val="zh-CN"/>
        </w:rPr>
        <w:t xml:space="preserve">供应商（含潜在供应商）对采购方式、采购需求、供应商资格条件、评</w:t>
      </w:r>
      <w:r>
        <w:rPr>
          <w:rFonts w:hint="eastAsia" w:ascii="宋体" w:hAnsi="宋体"/>
          <w:b/>
          <w:bCs/>
          <w:color w:val="auto"/>
          <w:sz w:val="24"/>
        </w:rPr>
        <w:t xml:space="preserve">审</w:t>
      </w:r>
      <w:r>
        <w:rPr>
          <w:rFonts w:hint="eastAsia" w:ascii="宋体" w:hAnsi="宋体"/>
          <w:b/>
          <w:bCs/>
          <w:color w:val="auto"/>
          <w:sz w:val="24"/>
          <w:lang w:val="zh-CN"/>
        </w:rPr>
        <w:t xml:space="preserve">方法和评</w:t>
      </w:r>
      <w:r>
        <w:rPr>
          <w:rFonts w:hint="eastAsia" w:ascii="宋体" w:hAnsi="宋体"/>
          <w:b/>
          <w:bCs/>
          <w:color w:val="auto"/>
          <w:sz w:val="24"/>
        </w:rPr>
        <w:t xml:space="preserve">审</w:t>
      </w:r>
      <w:r>
        <w:rPr>
          <w:rFonts w:hint="eastAsia" w:ascii="宋体" w:hAnsi="宋体"/>
          <w:b/>
          <w:bCs/>
          <w:color w:val="auto"/>
          <w:sz w:val="24"/>
          <w:lang w:val="zh-CN"/>
        </w:rPr>
        <w:t xml:space="preserve">标准、合同文本的询问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rPr>
          <w:rFonts w:hint="eastAsia" w:ascii="宋体" w:hAnsi="宋体"/>
          <w:b/>
          <w:bCs/>
          <w:color w:val="auto"/>
          <w:sz w:val="24"/>
        </w:rPr>
        <w:t xml:space="preserve">供应商对上述事项以外</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质疑向交易中心提出，由交易中心负责答复。</w:t>
      </w:r>
      <w:r/>
    </w:p>
    <w:p>
      <w:pPr>
        <w:ind w:firstLine="480"/>
        <w:pageBreakBefore w:val="0"/>
        <w:spacing w:line="252" w:lineRule="auto"/>
        <w:rPr>
          <w:rFonts w:hint="eastAsia" w:ascii="宋体" w:hAnsi="宋体"/>
          <w:color w:val="auto"/>
          <w:sz w:val="24"/>
        </w:rPr>
      </w:pPr>
      <w:r>
        <w:rPr>
          <w:rFonts w:hint="eastAsia" w:ascii="宋体" w:hAnsi="宋体"/>
          <w:color w:val="auto"/>
          <w:sz w:val="24"/>
        </w:rPr>
        <w:t xml:space="preserve">采购人《质疑函》收件人：</w:t>
      </w:r>
      <w:r>
        <w:rPr>
          <w:rFonts w:hint="eastAsia" w:ascii="宋体" w:hAnsi="宋体"/>
          <w:color w:val="auto"/>
          <w:sz w:val="24"/>
          <w:szCs w:val="24"/>
        </w:rPr>
        <w:t xml:space="preserve">代先生</w:t>
      </w:r>
      <w:r>
        <w:rPr>
          <w:rFonts w:hint="eastAsia" w:ascii="宋体" w:hAnsi="宋体"/>
          <w:color w:val="auto"/>
          <w:sz w:val="24"/>
        </w:rPr>
        <w:t xml:space="preserve">，收件地址：</w:t>
      </w:r>
      <w:r>
        <w:rPr>
          <w:rFonts w:hint="eastAsia" w:ascii="宋体" w:hAnsi="宋体"/>
          <w:color w:val="auto"/>
          <w:sz w:val="24"/>
          <w:szCs w:val="24"/>
        </w:rPr>
        <w:t xml:space="preserve">南京市栖霞区仙林街道杉湖西路8号</w:t>
      </w:r>
      <w:r>
        <w:rPr>
          <w:rFonts w:hint="eastAsia" w:ascii="宋体" w:hAnsi="宋体" w:cs="宋体"/>
          <w:color w:val="auto"/>
          <w:sz w:val="24"/>
          <w:szCs w:val="24"/>
        </w:rPr>
        <w:t xml:space="preserve">，</w:t>
      </w:r>
      <w:r>
        <w:rPr>
          <w:rFonts w:hint="eastAsia" w:ascii="宋体" w:hAnsi="宋体"/>
          <w:color w:val="auto"/>
          <w:sz w:val="24"/>
        </w:rPr>
        <w:t xml:space="preserve">联系电话：02585863628。</w:t>
      </w:r>
      <w:r/>
    </w:p>
    <w:p>
      <w:pPr>
        <w:ind w:firstLine="480"/>
        <w:pageBreakBefore w:val="0"/>
        <w:spacing w:line="252" w:lineRule="auto"/>
        <w:widowControl/>
        <w:rPr>
          <w:rFonts w:hint="eastAsia" w:ascii="宋体" w:hAnsi="宋体"/>
          <w:color w:val="auto"/>
          <w:sz w:val="24"/>
          <w:lang w:val="zh-CN"/>
        </w:rPr>
      </w:pPr>
      <w:r>
        <w:rPr>
          <w:rFonts w:hint="eastAsia" w:ascii="宋体" w:hAnsi="宋体"/>
          <w:color w:val="auto"/>
          <w:sz w:val="24"/>
          <w:lang w:val="zh-CN"/>
        </w:rPr>
        <w:t xml:space="preserve">交易中心《质疑函》收件人：南京市公共资源交易中心政府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w:t>
      </w:r>
      <w:r>
        <w:rPr>
          <w:rFonts w:hint="eastAsia" w:ascii="宋体" w:hAnsi="宋体"/>
          <w:color w:val="auto"/>
          <w:sz w:val="24"/>
        </w:rPr>
        <w:t xml:space="preserve">收件</w:t>
      </w:r>
      <w:r>
        <w:rPr>
          <w:rFonts w:hint="eastAsia" w:ascii="宋体" w:hAnsi="宋体"/>
          <w:color w:val="auto"/>
          <w:sz w:val="24"/>
          <w:lang w:val="zh-CN"/>
        </w:rPr>
        <w:t xml:space="preserve">地址：南京市江东中路265号南京市公共资源交易中心北门，联系电话：025-68505926。</w:t>
      </w:r>
      <w:r/>
    </w:p>
    <w:p>
      <w:pPr>
        <w:pStyle w:val="844"/>
        <w:ind w:firstLine="465"/>
        <w:pageBreakBefore w:val="0"/>
        <w:spacing w:before="0" w:after="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pageBreakBefore w:val="0"/>
        <w:spacing w:line="264" w:lineRule="auto"/>
        <w:rPr>
          <w:rFonts w:hint="eastAsia" w:ascii="宋体" w:hAnsi="宋体"/>
          <w:sz w:val="24"/>
          <w:szCs w:val="24"/>
        </w:rPr>
      </w:pPr>
      <w:r>
        <w:rPr>
          <w:rFonts w:hint="eastAsia" w:ascii="宋体" w:hAnsi="宋体"/>
          <w:sz w:val="24"/>
          <w:szCs w:val="24"/>
        </w:rPr>
        <w:t xml:space="preserve">1.采购人</w:t>
      </w:r>
      <w:r/>
    </w:p>
    <w:p>
      <w:pPr>
        <w:ind w:firstLine="480"/>
        <w:pageBreakBefore w:val="0"/>
        <w:spacing w:line="264" w:lineRule="auto"/>
        <w:rPr>
          <w:rFonts w:hint="eastAsia" w:ascii="宋体" w:hAnsi="宋体"/>
          <w:color w:val="auto"/>
          <w:sz w:val="24"/>
          <w:szCs w:val="24"/>
        </w:rPr>
      </w:pPr>
      <w:r>
        <w:rPr>
          <w:rFonts w:hint="eastAsia" w:ascii="宋体" w:hAnsi="宋体"/>
          <w:sz w:val="24"/>
          <w:szCs w:val="24"/>
        </w:rPr>
        <w:t xml:space="preserve">名  称：</w:t>
      </w:r>
      <w:r>
        <w:rPr>
          <w:rFonts w:hint="eastAsia" w:ascii="宋体" w:hAnsi="宋体"/>
          <w:color w:val="auto"/>
          <w:sz w:val="24"/>
          <w:szCs w:val="24"/>
        </w:rPr>
        <w:t xml:space="preserve">南京市栖霞区人民政府仙林街道办事处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地  址：南京市栖霞区仙林街道杉湖西路8号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联系人：代先生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联系电话：025-85863628 </w:t>
      </w:r>
      <w:bookmarkStart w:id="6" w:name="_Toc28359009"/>
      <w:r/>
      <w:bookmarkStart w:id="7" w:name="_Toc28359086"/>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2.交易中心</w:t>
      </w:r>
      <w:bookmarkEnd w:id="6"/>
      <w:r/>
      <w:bookmarkEnd w:id="7"/>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南京市建邺区江东中路265号</w:t>
      </w:r>
      <w:r>
        <w:rPr>
          <w:rFonts w:hint="eastAsia" w:ascii="宋体" w:hAnsi="宋体"/>
          <w:color w:val="auto"/>
          <w:sz w:val="24"/>
          <w:szCs w:val="24"/>
        </w:rPr>
        <w:t xml:space="preserve">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联系人：陈先生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联系电话：025-68505719</w:t>
      </w:r>
      <w:r/>
    </w:p>
    <w:p>
      <w:pPr>
        <w:ind w:firstLine="720"/>
        <w:jc w:val="center"/>
        <w:spacing w:line="264"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8" w:name="_Toc513029203"/>
      <w:r/>
      <w:bookmarkStart w:id="9" w:name="_Toc16938519"/>
      <w:r/>
      <w:bookmarkStart w:id="10" w:name="_Toc120614214"/>
      <w:r/>
      <w:bookmarkStart w:id="11" w:name="_Toc20823275"/>
      <w:r>
        <w:rPr>
          <w:rFonts w:hint="eastAsia" w:ascii="方正黑体_GBK" w:hAnsi="方正黑体_GBK" w:eastAsia="方正黑体_GBK" w:cs="方正黑体_GBK"/>
          <w:b w:val="0"/>
          <w:bCs w:val="0"/>
          <w:sz w:val="30"/>
          <w:szCs w:val="30"/>
        </w:rPr>
        <w:t xml:space="preserve">一、总则</w:t>
      </w:r>
      <w:bookmarkEnd w:id="8"/>
      <w:r/>
      <w:bookmarkEnd w:id="9"/>
      <w:r/>
      <w:bookmarkEnd w:id="10"/>
      <w:r/>
      <w:bookmarkEnd w:id="11"/>
      <w:r/>
      <w:r/>
    </w:p>
    <w:p>
      <w:pPr>
        <w:pStyle w:val="845"/>
        <w:ind w:firstLine="422"/>
        <w:spacing w:before="0" w:after="0" w:line="240" w:lineRule="auto"/>
        <w:rPr>
          <w:rFonts w:hint="eastAsia" w:ascii="方正楷体_GBK" w:hAnsi="方正楷体_GBK" w:eastAsia="方正楷体_GBK" w:cs="方正楷体_GBK"/>
        </w:rPr>
      </w:pPr>
      <w:r/>
      <w:bookmarkStart w:id="12" w:name="_Hlt16619475"/>
      <w:r/>
      <w:bookmarkEnd w:id="12"/>
      <w:r/>
      <w:bookmarkStart w:id="13" w:name="_Toc458694821"/>
      <w:r/>
      <w:bookmarkStart w:id="14" w:name="_Toc20823276"/>
      <w:r/>
      <w:bookmarkStart w:id="15" w:name="_Toc16938520"/>
      <w:r/>
      <w:bookmarkStart w:id="16" w:name="_Toc513029204"/>
      <w:r>
        <w:rPr>
          <w:rFonts w:hint="eastAsia" w:ascii="方正楷体_GBK" w:hAnsi="方正楷体_GBK" w:eastAsia="方正楷体_GBK" w:cs="方正楷体_GBK"/>
        </w:rPr>
        <w:t xml:space="preserve">1</w:t>
      </w:r>
      <w:bookmarkEnd w:id="13"/>
      <w:r>
        <w:rPr>
          <w:rFonts w:hint="eastAsia" w:ascii="方正楷体_GBK" w:hAnsi="方正楷体_GBK" w:eastAsia="方正楷体_GBK" w:cs="方正楷体_GBK"/>
        </w:rPr>
        <w:t xml:space="preserve">.采购方式</w:t>
      </w:r>
      <w:bookmarkEnd w:id="14"/>
      <w:r/>
      <w:bookmarkEnd w:id="15"/>
      <w:r/>
      <w:bookmarkEnd w:id="16"/>
      <w:r/>
      <w:r/>
    </w:p>
    <w:p>
      <w:pPr>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45"/>
        <w:ind w:firstLine="422"/>
        <w:spacing w:before="0" w:after="0" w:line="240" w:lineRule="auto"/>
        <w:rPr>
          <w:rFonts w:hint="eastAsia" w:ascii="方正楷体_GBK" w:hAnsi="方正楷体_GBK" w:eastAsia="方正楷体_GBK" w:cs="方正楷体_GBK"/>
        </w:rPr>
      </w:pPr>
      <w:r/>
      <w:bookmarkStart w:id="17" w:name="_Toc16938521"/>
      <w:r/>
      <w:bookmarkStart w:id="18" w:name="_Toc513029205"/>
      <w:r/>
      <w:bookmarkStart w:id="19" w:name="_Toc20823277"/>
      <w:r>
        <w:rPr>
          <w:rFonts w:hint="eastAsia" w:ascii="方正楷体_GBK" w:hAnsi="方正楷体_GBK" w:eastAsia="方正楷体_GBK" w:cs="方正楷体_GBK"/>
        </w:rPr>
        <w:t xml:space="preserve">2.合格的</w:t>
      </w:r>
      <w:bookmarkEnd w:id="17"/>
      <w:r/>
      <w:bookmarkEnd w:id="18"/>
      <w:r/>
      <w:bookmarkEnd w:id="19"/>
      <w:r>
        <w:rPr>
          <w:rFonts w:hint="eastAsia" w:ascii="方正楷体_GBK" w:hAnsi="方正楷体_GBK" w:eastAsia="方正楷体_GBK" w:cs="方正楷体_GBK"/>
        </w:rPr>
        <w:t xml:space="preserve">供应商</w:t>
      </w:r>
      <w:r/>
    </w:p>
    <w:p>
      <w:pPr>
        <w:ind w:firstLine="420"/>
        <w:rPr>
          <w:rFonts w:hint="eastAsia" w:ascii="宋体" w:hAnsi="宋体"/>
          <w:sz w:val="24"/>
          <w:szCs w:val="21"/>
        </w:rPr>
      </w:pPr>
      <w:r>
        <w:rPr>
          <w:rFonts w:hint="eastAsia" w:ascii="宋体" w:hAnsi="宋体"/>
          <w:sz w:val="24"/>
          <w:szCs w:val="21"/>
        </w:rPr>
        <w:t xml:space="preserve">2.1 满足采购公告对供应商资格要求的规定。</w:t>
      </w:r>
      <w:r/>
    </w:p>
    <w:p>
      <w:pPr>
        <w:ind w:firstLine="420"/>
        <w:rPr>
          <w:rFonts w:hint="eastAsia" w:ascii="宋体" w:hAnsi="宋体"/>
          <w:sz w:val="24"/>
          <w:szCs w:val="21"/>
        </w:rPr>
      </w:pPr>
      <w:r>
        <w:rPr>
          <w:rFonts w:hint="eastAsia" w:ascii="宋体" w:hAnsi="宋体"/>
          <w:sz w:val="24"/>
          <w:szCs w:val="21"/>
        </w:rPr>
        <w:t xml:space="preserve">2.2 满足磋商文件规定的实质性要求和条件。</w:t>
      </w:r>
      <w:r/>
    </w:p>
    <w:p>
      <w:pPr>
        <w:pStyle w:val="845"/>
        <w:ind w:firstLine="422"/>
        <w:spacing w:before="0" w:after="0" w:line="240" w:lineRule="auto"/>
        <w:rPr>
          <w:rFonts w:hint="eastAsia" w:ascii="方正楷体_GBK" w:hAnsi="方正楷体_GBK" w:eastAsia="方正楷体_GBK" w:cs="方正楷体_GBK"/>
        </w:rPr>
      </w:pPr>
      <w:r/>
      <w:bookmarkStart w:id="20" w:name="_Toc20823278"/>
      <w:r/>
      <w:bookmarkStart w:id="21" w:name="_Toc16938522"/>
      <w:r/>
      <w:bookmarkStart w:id="22" w:name="_Toc513029206"/>
      <w:r>
        <w:rPr>
          <w:rFonts w:hint="eastAsia" w:ascii="方正楷体_GBK" w:hAnsi="方正楷体_GBK" w:eastAsia="方正楷体_GBK" w:cs="方正楷体_GBK"/>
        </w:rPr>
        <w:t xml:space="preserve">3.适用法律</w:t>
      </w:r>
      <w:bookmarkEnd w:id="20"/>
      <w:r/>
      <w:bookmarkEnd w:id="21"/>
      <w:r/>
      <w:bookmarkEnd w:id="22"/>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845"/>
        <w:ind w:firstLine="422"/>
        <w:spacing w:before="0" w:after="0" w:line="240" w:lineRule="auto"/>
        <w:rPr>
          <w:rFonts w:hint="eastAsia" w:ascii="方正楷体_GBK" w:hAnsi="方正楷体_GBK" w:eastAsia="方正楷体_GBK" w:cs="方正楷体_GBK"/>
        </w:rPr>
      </w:pPr>
      <w:r/>
      <w:bookmarkStart w:id="23" w:name="_Toc20823279"/>
      <w:r/>
      <w:bookmarkStart w:id="24" w:name="_Toc16938523"/>
      <w:r/>
      <w:bookmarkStart w:id="25" w:name="_Toc513029207"/>
      <w:r/>
      <w:bookmarkStart w:id="26" w:name="_Toc462564067"/>
      <w:r>
        <w:rPr>
          <w:rFonts w:hint="eastAsia" w:ascii="方正楷体_GBK" w:hAnsi="方正楷体_GBK" w:eastAsia="方正楷体_GBK" w:cs="方正楷体_GBK"/>
        </w:rPr>
        <w:t xml:space="preserve">4.磋商费用</w:t>
      </w:r>
      <w:bookmarkEnd w:id="23"/>
      <w:r/>
      <w:bookmarkEnd w:id="24"/>
      <w:r/>
      <w:bookmarkEnd w:id="25"/>
      <w:r/>
      <w:bookmarkEnd w:id="26"/>
      <w:r/>
      <w:r/>
    </w:p>
    <w:p>
      <w:pPr>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27" w:name="_Toc16938525"/>
      <w:r/>
      <w:bookmarkStart w:id="28" w:name="_Toc120614215"/>
      <w:r/>
      <w:bookmarkStart w:id="29" w:name="_Toc20823281"/>
      <w:r/>
      <w:bookmarkStart w:id="30" w:name="_Toc513029209"/>
      <w:r>
        <w:rPr>
          <w:rFonts w:hint="eastAsia" w:ascii="方正黑体_GBK" w:hAnsi="方正黑体_GBK" w:eastAsia="方正黑体_GBK" w:cs="方正黑体_GBK"/>
          <w:b w:val="0"/>
          <w:bCs w:val="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sz w:val="30"/>
          <w:szCs w:val="30"/>
        </w:rPr>
        <w:t xml:space="preserve">磋商文件</w:t>
      </w:r>
      <w:r/>
    </w:p>
    <w:p>
      <w:pPr>
        <w:pStyle w:val="845"/>
        <w:ind w:firstLine="422"/>
        <w:spacing w:before="0" w:after="0" w:line="240" w:lineRule="auto"/>
        <w:rPr>
          <w:rFonts w:hint="eastAsia" w:ascii="方正楷体_GBK" w:hAnsi="方正楷体_GBK" w:eastAsia="方正楷体_GBK" w:cs="方正楷体_GBK"/>
        </w:rPr>
      </w:pPr>
      <w:r/>
      <w:bookmarkStart w:id="31" w:name="_Toc16938526"/>
      <w:r/>
      <w:bookmarkStart w:id="32" w:name="_Toc20823282"/>
      <w:r/>
      <w:bookmarkStart w:id="33" w:name="_Toc513029210"/>
      <w:r>
        <w:rPr>
          <w:rFonts w:hint="eastAsia" w:ascii="方正楷体_GBK" w:hAnsi="方正楷体_GBK" w:eastAsia="方正楷体_GBK" w:cs="方正楷体_GBK"/>
        </w:rPr>
        <w:t xml:space="preserve">6.磋商文件构成</w:t>
      </w:r>
      <w:bookmarkEnd w:id="31"/>
      <w:r/>
      <w:bookmarkEnd w:id="32"/>
      <w:r/>
      <w:bookmarkEnd w:id="33"/>
      <w:r/>
      <w:r/>
    </w:p>
    <w:p>
      <w:pPr>
        <w:ind w:firstLine="420"/>
        <w:rPr>
          <w:rFonts w:hint="eastAsia" w:ascii="宋体" w:hAnsi="宋体"/>
          <w:sz w:val="24"/>
          <w:szCs w:val="21"/>
        </w:rPr>
      </w:pPr>
      <w:r>
        <w:rPr>
          <w:rFonts w:hint="eastAsia" w:ascii="宋体" w:hAnsi="宋体"/>
          <w:sz w:val="24"/>
          <w:szCs w:val="21"/>
        </w:rPr>
        <w:t xml:space="preserve">6.1 磋商文件由以下部分组成：</w:t>
      </w:r>
      <w:r/>
    </w:p>
    <w:p>
      <w:pPr>
        <w:ind w:firstLine="420"/>
        <w:rPr>
          <w:rFonts w:hint="eastAsia" w:ascii="宋体" w:hAnsi="宋体"/>
          <w:sz w:val="24"/>
          <w:szCs w:val="21"/>
        </w:rPr>
      </w:pPr>
      <w:r>
        <w:rPr>
          <w:rFonts w:hint="eastAsia" w:ascii="宋体" w:hAnsi="宋体"/>
          <w:sz w:val="24"/>
          <w:szCs w:val="21"/>
        </w:rPr>
        <w:t xml:space="preserve">（1）磋商邀请</w:t>
      </w:r>
      <w:r/>
    </w:p>
    <w:p>
      <w:pPr>
        <w:ind w:firstLine="420"/>
        <w:rPr>
          <w:rFonts w:hint="eastAsia" w:ascii="宋体" w:hAnsi="宋体"/>
          <w:sz w:val="24"/>
          <w:szCs w:val="21"/>
        </w:rPr>
      </w:pPr>
      <w:r>
        <w:rPr>
          <w:rFonts w:hint="eastAsia" w:ascii="宋体" w:hAnsi="宋体"/>
          <w:sz w:val="24"/>
          <w:szCs w:val="21"/>
        </w:rPr>
        <w:t xml:space="preserve">（2）供应商须知</w:t>
      </w:r>
      <w:r/>
    </w:p>
    <w:p>
      <w:pPr>
        <w:ind w:firstLine="420"/>
        <w:rPr>
          <w:rFonts w:hint="eastAsia" w:ascii="宋体" w:hAnsi="宋体"/>
          <w:sz w:val="24"/>
          <w:szCs w:val="21"/>
        </w:rPr>
      </w:pPr>
      <w:r>
        <w:rPr>
          <w:rFonts w:hint="eastAsia" w:ascii="宋体" w:hAnsi="宋体"/>
          <w:sz w:val="24"/>
          <w:szCs w:val="21"/>
        </w:rPr>
        <w:t xml:space="preserve">（3）合同文本</w:t>
      </w:r>
      <w:r/>
    </w:p>
    <w:p>
      <w:pPr>
        <w:ind w:firstLine="420"/>
        <w:rPr>
          <w:rFonts w:hint="eastAsia" w:ascii="宋体" w:hAnsi="宋体"/>
          <w:sz w:val="24"/>
          <w:szCs w:val="21"/>
        </w:rPr>
      </w:pPr>
      <w:r>
        <w:rPr>
          <w:rFonts w:hint="eastAsia" w:ascii="宋体" w:hAnsi="宋体"/>
          <w:sz w:val="24"/>
          <w:szCs w:val="21"/>
        </w:rPr>
        <w:t xml:space="preserve">（4）采购需求</w:t>
      </w:r>
      <w:r/>
    </w:p>
    <w:p>
      <w:pPr>
        <w:ind w:firstLine="420"/>
        <w:rPr>
          <w:rFonts w:hint="eastAsia" w:ascii="宋体" w:hAnsi="宋体"/>
          <w:sz w:val="24"/>
          <w:szCs w:val="21"/>
        </w:rPr>
      </w:pPr>
      <w:r>
        <w:rPr>
          <w:rFonts w:hint="eastAsia" w:ascii="宋体" w:hAnsi="宋体"/>
          <w:sz w:val="24"/>
          <w:szCs w:val="21"/>
        </w:rPr>
        <w:t xml:space="preserve">（5）评审方法与评审标准</w:t>
      </w:r>
      <w:r/>
    </w:p>
    <w:p>
      <w:pPr>
        <w:ind w:firstLine="420"/>
        <w:rPr>
          <w:rFonts w:hint="eastAsia" w:ascii="宋体" w:hAnsi="宋体"/>
          <w:sz w:val="24"/>
          <w:szCs w:val="21"/>
        </w:rPr>
      </w:pPr>
      <w:r>
        <w:rPr>
          <w:rFonts w:hint="eastAsia" w:ascii="宋体" w:hAnsi="宋体"/>
          <w:sz w:val="24"/>
          <w:szCs w:val="21"/>
        </w:rPr>
        <w:t xml:space="preserve">（6）响应文件格式</w:t>
      </w:r>
      <w:r/>
    </w:p>
    <w:p>
      <w:pPr>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45"/>
        <w:ind w:firstLine="422"/>
        <w:spacing w:before="0" w:after="0" w:line="240" w:lineRule="auto"/>
        <w:rPr>
          <w:rFonts w:hint="eastAsia" w:ascii="方正楷体_GBK" w:hAnsi="方正楷体_GBK" w:eastAsia="方正楷体_GBK" w:cs="方正楷体_GBK"/>
        </w:rPr>
      </w:pPr>
      <w:r/>
      <w:bookmarkStart w:id="34" w:name="_Toc462564070"/>
      <w:r/>
      <w:bookmarkStart w:id="35" w:name="_Toc513029211"/>
      <w:r/>
      <w:bookmarkStart w:id="36" w:name="_Toc16938527"/>
      <w:r/>
      <w:bookmarkStart w:id="37" w:name="_Toc20823283"/>
      <w:r>
        <w:rPr>
          <w:rFonts w:hint="eastAsia" w:ascii="方正楷体_GBK" w:hAnsi="方正楷体_GBK" w:eastAsia="方正楷体_GBK" w:cs="方正楷体_GBK"/>
        </w:rPr>
        <w:t xml:space="preserve">7.磋商文件的澄清</w:t>
      </w:r>
      <w:bookmarkEnd w:id="34"/>
      <w:r/>
      <w:bookmarkEnd w:id="35"/>
      <w:r/>
      <w:bookmarkEnd w:id="36"/>
      <w:r/>
      <w:bookmarkEnd w:id="37"/>
      <w:r/>
      <w:r/>
    </w:p>
    <w:p>
      <w:pPr>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p>
    <w:p>
      <w:pPr>
        <w:pStyle w:val="845"/>
        <w:ind w:firstLine="422"/>
        <w:spacing w:before="0" w:after="0" w:line="240" w:lineRule="auto"/>
        <w:rPr>
          <w:rFonts w:hint="eastAsia" w:ascii="方正楷体_GBK" w:hAnsi="方正楷体_GBK" w:eastAsia="方正楷体_GBK" w:cs="方正楷体_GBK"/>
        </w:rPr>
      </w:pPr>
      <w:r/>
      <w:bookmarkStart w:id="38" w:name="_Toc513029212"/>
      <w:r/>
      <w:bookmarkStart w:id="39" w:name="_Toc16938528"/>
      <w:r/>
      <w:bookmarkStart w:id="40" w:name="_Toc462564071"/>
      <w:r/>
      <w:bookmarkStart w:id="41" w:name="_Toc20823284"/>
      <w:r>
        <w:rPr>
          <w:rFonts w:hint="eastAsia" w:ascii="方正楷体_GBK" w:hAnsi="方正楷体_GBK" w:eastAsia="方正楷体_GBK" w:cs="方正楷体_GBK"/>
        </w:rPr>
        <w:t xml:space="preserve">8.磋商文件的修改</w:t>
      </w:r>
      <w:bookmarkEnd w:id="38"/>
      <w:r/>
      <w:bookmarkEnd w:id="39"/>
      <w:r/>
      <w:bookmarkEnd w:id="40"/>
      <w:r/>
      <w:bookmarkEnd w:id="41"/>
      <w:r/>
      <w:r/>
    </w:p>
    <w:p>
      <w:pPr>
        <w:ind w:firstLine="420"/>
        <w:rPr>
          <w:rFonts w:hint="eastAsia" w:ascii="宋体" w:hAnsi="宋体"/>
          <w:sz w:val="24"/>
          <w:szCs w:val="21"/>
        </w:rPr>
      </w:pPr>
      <w:r/>
      <w:bookmarkStart w:id="42" w:name="_Toc513029213"/>
      <w:r/>
      <w:bookmarkStart w:id="43" w:name="_Toc120614216"/>
      <w:r/>
      <w:bookmarkStart w:id="44" w:name="_Toc462564072"/>
      <w:r/>
      <w:bookmarkStart w:id="45" w:name="_Toc16938529"/>
      <w:r/>
      <w:bookmarkStart w:id="46" w:name="_Toc20823285"/>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2"/>
      <w:r/>
      <w:bookmarkEnd w:id="43"/>
      <w:r/>
      <w:bookmarkEnd w:id="44"/>
      <w:r/>
      <w:bookmarkEnd w:id="45"/>
      <w:r/>
      <w:bookmarkEnd w:id="46"/>
      <w:r/>
      <w:r/>
    </w:p>
    <w:p>
      <w:pPr>
        <w:pStyle w:val="845"/>
        <w:ind w:firstLine="422"/>
        <w:spacing w:before="0" w:after="0" w:line="240" w:lineRule="auto"/>
        <w:rPr>
          <w:rFonts w:hint="eastAsia" w:ascii="方正楷体_GBK" w:hAnsi="方正楷体_GBK" w:eastAsia="方正楷体_GBK" w:cs="方正楷体_GBK"/>
        </w:rPr>
      </w:pPr>
      <w:r/>
      <w:bookmarkStart w:id="47" w:name="_Toc513029214"/>
      <w:r/>
      <w:bookmarkStart w:id="48" w:name="_Toc20823286"/>
      <w:r/>
      <w:bookmarkStart w:id="49" w:name="_Toc16938530"/>
      <w:r/>
      <w:bookmarkStart w:id="50" w:name="_Toc462564073"/>
      <w:r>
        <w:rPr>
          <w:rFonts w:hint="eastAsia" w:ascii="方正楷体_GBK" w:hAnsi="方正楷体_GBK" w:eastAsia="方正楷体_GBK" w:cs="方正楷体_GBK"/>
        </w:rPr>
        <w:t xml:space="preserve">9.响应文件的语言及度量衡单位</w:t>
      </w:r>
      <w:bookmarkEnd w:id="47"/>
      <w:r/>
      <w:bookmarkEnd w:id="48"/>
      <w:r/>
      <w:bookmarkEnd w:id="49"/>
      <w:r/>
      <w:bookmarkEnd w:id="50"/>
      <w:r/>
      <w:r/>
    </w:p>
    <w:p>
      <w:pPr>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p>
    <w:p>
      <w:pPr>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845"/>
        <w:ind w:firstLine="422"/>
        <w:spacing w:before="0" w:after="0" w:line="240" w:lineRule="auto"/>
        <w:rPr>
          <w:rFonts w:hint="eastAsia" w:ascii="方正楷体_GBK" w:hAnsi="方正楷体_GBK" w:eastAsia="方正楷体_GBK" w:cs="方正楷体_GBK"/>
        </w:rPr>
      </w:pPr>
      <w:r/>
      <w:bookmarkStart w:id="51" w:name="_Toc462564074"/>
      <w:r/>
      <w:bookmarkStart w:id="52" w:name="_Toc513029215"/>
      <w:r/>
      <w:bookmarkStart w:id="53" w:name="_Toc20823287"/>
      <w:r/>
      <w:bookmarkStart w:id="54" w:name="_Toc16938531"/>
      <w:r>
        <w:rPr>
          <w:rFonts w:hint="eastAsia" w:ascii="方正楷体_GBK" w:hAnsi="方正楷体_GBK" w:eastAsia="方正楷体_GBK" w:cs="方正楷体_GBK"/>
        </w:rPr>
        <w:t xml:space="preserve">10.响应文件构成</w:t>
      </w:r>
      <w:bookmarkEnd w:id="51"/>
      <w:r/>
      <w:bookmarkEnd w:id="52"/>
      <w:r/>
      <w:bookmarkEnd w:id="53"/>
      <w:r/>
      <w:bookmarkEnd w:id="54"/>
      <w:r/>
      <w:r/>
    </w:p>
    <w:p>
      <w:pPr>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845"/>
        <w:ind w:firstLine="422"/>
        <w:spacing w:before="0" w:after="0" w:line="240" w:lineRule="auto"/>
        <w:rPr>
          <w:rFonts w:hint="eastAsia" w:ascii="方正楷体_GBK" w:hAnsi="方正楷体_GBK" w:eastAsia="方正楷体_GBK" w:cs="方正楷体_GBK"/>
        </w:rPr>
      </w:pPr>
      <w:r/>
      <w:bookmarkStart w:id="55" w:name="_Hlt26954838"/>
      <w:r/>
      <w:bookmarkEnd w:id="55"/>
      <w:r/>
      <w:bookmarkStart w:id="56" w:name="_Hlt26670360"/>
      <w:r/>
      <w:bookmarkEnd w:id="56"/>
      <w:r/>
      <w:bookmarkStart w:id="57" w:name="_Hlt26668975"/>
      <w:r/>
      <w:bookmarkEnd w:id="57"/>
      <w:r/>
      <w:bookmarkStart w:id="58" w:name="_Toc513029219"/>
      <w:r/>
      <w:bookmarkStart w:id="59" w:name="_Toc49090509"/>
      <w:r/>
      <w:bookmarkStart w:id="60" w:name="_Toc14577357"/>
      <w:r/>
      <w:bookmarkStart w:id="61" w:name="_Toc14577354"/>
      <w:r/>
      <w:bookmarkStart w:id="62" w:name="_Toc513029216"/>
      <w:r/>
      <w:bookmarkStart w:id="63" w:name="_Toc49090507"/>
      <w:r/>
      <w:bookmarkStart w:id="64" w:name="_Toc49090508"/>
      <w:r/>
      <w:bookmarkStart w:id="65" w:name="_Toc14577355"/>
      <w:r>
        <w:rPr>
          <w:rFonts w:hint="eastAsia" w:ascii="方正楷体_GBK" w:hAnsi="方正楷体_GBK" w:eastAsia="方正楷体_GBK" w:cs="方正楷体_GBK"/>
        </w:rPr>
        <w:t xml:space="preserve">11.证明磋商响应标的符合磋商文件规定的文件</w:t>
      </w:r>
      <w:bookmarkEnd w:id="58"/>
      <w:r/>
      <w:bookmarkEnd w:id="59"/>
      <w:r/>
      <w:bookmarkEnd w:id="60"/>
      <w:r/>
      <w:bookmarkEnd w:id="61"/>
      <w:r/>
      <w:bookmarkEnd w:id="62"/>
      <w:r/>
      <w:bookmarkEnd w:id="63"/>
      <w:r/>
      <w:r/>
    </w:p>
    <w:p>
      <w:pPr>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bookmarkEnd w:id="64"/>
      <w:r/>
      <w:bookmarkEnd w:id="65"/>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p>
    <w:p>
      <w:pPr>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p>
    <w:p>
      <w:pPr>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845"/>
        <w:ind w:firstLine="422"/>
        <w:spacing w:before="0" w:after="0" w:line="240" w:lineRule="auto"/>
        <w:rPr>
          <w:rFonts w:hint="eastAsia" w:ascii="方正楷体_GBK" w:hAnsi="方正楷体_GBK" w:eastAsia="方正楷体_GBK" w:cs="方正楷体_GBK"/>
        </w:rPr>
      </w:pPr>
      <w:r/>
      <w:bookmarkStart w:id="66" w:name="_Hlt26954848"/>
      <w:r/>
      <w:bookmarkEnd w:id="66"/>
      <w:r/>
      <w:bookmarkStart w:id="67" w:name="_Hlt26670482"/>
      <w:r/>
      <w:bookmarkEnd w:id="67"/>
      <w:r/>
      <w:bookmarkStart w:id="68" w:name="_Hlt26954846"/>
      <w:r/>
      <w:bookmarkEnd w:id="68"/>
      <w:r/>
      <w:bookmarkStart w:id="69" w:name="_Hlt26954731"/>
      <w:r/>
      <w:bookmarkEnd w:id="69"/>
      <w:r/>
      <w:bookmarkStart w:id="70" w:name="_Hlt26670486"/>
      <w:r/>
      <w:bookmarkEnd w:id="70"/>
      <w:r>
        <w:rPr>
          <w:rFonts w:hint="eastAsia" w:ascii="方正楷体_GBK" w:hAnsi="方正楷体_GBK" w:eastAsia="方正楷体_GBK" w:cs="方正楷体_GBK"/>
        </w:rPr>
        <w:t xml:space="preserve">13.响应及偏离表</w:t>
      </w:r>
      <w:r/>
    </w:p>
    <w:p>
      <w:pPr>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45"/>
        <w:ind w:firstLine="422"/>
        <w:spacing w:before="0" w:after="0" w:line="240" w:lineRule="auto"/>
        <w:rPr>
          <w:rFonts w:hint="eastAsia" w:ascii="方正楷体_GBK" w:hAnsi="方正楷体_GBK" w:eastAsia="方正楷体_GBK" w:cs="方正楷体_GBK"/>
        </w:rPr>
      </w:pPr>
      <w:r/>
      <w:bookmarkStart w:id="71" w:name="_Toc14577359"/>
      <w:r/>
      <w:bookmarkStart w:id="72" w:name="_Toc49090510"/>
      <w:r>
        <w:rPr>
          <w:rFonts w:hint="eastAsia" w:ascii="方正楷体_GBK" w:hAnsi="方正楷体_GBK" w:eastAsia="方正楷体_GBK" w:cs="方正楷体_GBK"/>
        </w:rPr>
        <w:t xml:space="preserve">14.磋商响应函</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bookmarkEnd w:id="71"/>
      <w:r/>
      <w:bookmarkEnd w:id="72"/>
      <w:r/>
      <w:r/>
    </w:p>
    <w:p>
      <w:pPr>
        <w:pStyle w:val="845"/>
        <w:ind w:firstLine="422"/>
        <w:spacing w:before="0" w:after="0" w:line="240" w:lineRule="auto"/>
        <w:rPr>
          <w:rFonts w:hint="eastAsia" w:ascii="方正楷体_GBK" w:hAnsi="方正楷体_GBK" w:eastAsia="方正楷体_GBK" w:cs="方正楷体_GBK"/>
        </w:rPr>
      </w:pPr>
      <w:r/>
      <w:bookmarkStart w:id="73" w:name="_Toc14577360"/>
      <w:r/>
      <w:bookmarkStart w:id="74" w:name="_Toc49090511"/>
      <w:r>
        <w:rPr>
          <w:rFonts w:hint="eastAsia" w:ascii="方正楷体_GBK" w:hAnsi="方正楷体_GBK" w:eastAsia="方正楷体_GBK" w:cs="方正楷体_GBK"/>
        </w:rPr>
        <w:t xml:space="preserve">15.磋商有效期</w:t>
      </w:r>
      <w:bookmarkEnd w:id="73"/>
      <w:r/>
      <w:bookmarkEnd w:id="74"/>
      <w:r/>
      <w:r/>
    </w:p>
    <w:p>
      <w:pPr>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p>
    <w:p>
      <w:pPr>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75" w:name="_Hlt26954739"/>
      <w:r/>
      <w:bookmarkEnd w:id="75"/>
      <w:r/>
      <w:bookmarkStart w:id="76" w:name="_Hlt26954852"/>
      <w:r/>
      <w:bookmarkEnd w:id="76"/>
      <w:r/>
      <w:bookmarkStart w:id="77" w:name="_Toc20823296"/>
      <w:r/>
      <w:bookmarkStart w:id="78" w:name="_Toc513029224"/>
      <w:r/>
      <w:bookmarkStart w:id="79" w:name="_Toc16938540"/>
      <w:r/>
      <w:bookmarkStart w:id="80" w:name="_Toc120614217"/>
      <w:r>
        <w:rPr>
          <w:rFonts w:hint="eastAsia" w:ascii="方正黑体_GBK" w:hAnsi="方正黑体_GBK" w:eastAsia="方正黑体_GBK" w:cs="方正黑体_GBK"/>
          <w:b w:val="0"/>
          <w:bCs w:val="0"/>
          <w:sz w:val="30"/>
          <w:szCs w:val="30"/>
        </w:rPr>
        <w:t xml:space="preserve">四、响应文件的递交</w:t>
      </w:r>
      <w:bookmarkEnd w:id="77"/>
      <w:r/>
      <w:bookmarkEnd w:id="78"/>
      <w:r/>
      <w:bookmarkEnd w:id="79"/>
      <w:r/>
      <w:bookmarkEnd w:id="80"/>
      <w:r/>
      <w:r/>
    </w:p>
    <w:p>
      <w:pPr>
        <w:pStyle w:val="845"/>
        <w:ind w:firstLine="422"/>
        <w:spacing w:before="0" w:after="0" w:line="240" w:lineRule="auto"/>
        <w:rPr>
          <w:rFonts w:hint="eastAsia" w:ascii="方正楷体_GBK" w:hAnsi="方正楷体_GBK" w:eastAsia="方正楷体_GBK" w:cs="方正楷体_GBK"/>
        </w:rPr>
      </w:pPr>
      <w:r/>
      <w:bookmarkStart w:id="81" w:name="_Toc462564084"/>
      <w:r/>
      <w:bookmarkStart w:id="82" w:name="_Toc16938541"/>
      <w:r/>
      <w:bookmarkStart w:id="83" w:name="_Toc513029225"/>
      <w:r/>
      <w:bookmarkStart w:id="84" w:name="_Toc20823297"/>
      <w:r>
        <w:rPr>
          <w:rFonts w:hint="eastAsia" w:ascii="方正楷体_GBK" w:hAnsi="方正楷体_GBK" w:eastAsia="方正楷体_GBK" w:cs="方正楷体_GBK"/>
        </w:rPr>
        <w:t xml:space="preserve">17.</w:t>
      </w:r>
      <w:bookmarkEnd w:id="81"/>
      <w:r/>
      <w:bookmarkEnd w:id="82"/>
      <w:r/>
      <w:bookmarkEnd w:id="83"/>
      <w:r/>
      <w:bookmarkEnd w:id="84"/>
      <w:r>
        <w:rPr>
          <w:rFonts w:hint="eastAsia" w:ascii="方正楷体_GBK" w:hAnsi="方正楷体_GBK" w:eastAsia="方正楷体_GBK" w:cs="方正楷体_GBK"/>
        </w:rPr>
        <w:t xml:space="preserve">响应文件的递交</w:t>
      </w:r>
      <w:r/>
    </w:p>
    <w:p>
      <w:pPr>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85" w:name="_Toc20823298"/>
      <w:r/>
      <w:bookmarkStart w:id="86" w:name="_Toc513029226"/>
      <w:r/>
      <w:bookmarkStart w:id="87" w:name="_Toc16938542"/>
      <w:r/>
      <w:bookmarkEnd w:id="85"/>
      <w:r/>
      <w:bookmarkEnd w:id="86"/>
      <w:r/>
      <w:bookmarkEnd w:id="87"/>
      <w:r/>
      <w:r/>
    </w:p>
    <w:p>
      <w:pPr>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p>
    <w:p>
      <w:pPr>
        <w:pStyle w:val="845"/>
        <w:ind w:firstLine="422"/>
        <w:spacing w:before="0" w:after="0" w:line="240" w:lineRule="auto"/>
        <w:rPr>
          <w:rFonts w:hint="eastAsia" w:ascii="方正楷体_GBK" w:hAnsi="方正楷体_GBK" w:eastAsia="方正楷体_GBK" w:cs="方正楷体_GBK"/>
        </w:rPr>
      </w:pPr>
      <w:r/>
      <w:bookmarkStart w:id="88" w:name="_Toc20823299"/>
      <w:r/>
      <w:bookmarkStart w:id="89" w:name="_Toc16938543"/>
      <w:r/>
      <w:bookmarkStart w:id="90" w:name="_Toc513029227"/>
      <w:r>
        <w:rPr>
          <w:rFonts w:hint="eastAsia" w:ascii="方正楷体_GBK" w:hAnsi="方正楷体_GBK" w:eastAsia="方正楷体_GBK" w:cs="方正楷体_GBK"/>
        </w:rPr>
        <w:t xml:space="preserve">18.响应文件</w:t>
      </w:r>
      <w:bookmarkEnd w:id="88"/>
      <w:r/>
      <w:bookmarkEnd w:id="89"/>
      <w:r/>
      <w:bookmarkEnd w:id="90"/>
      <w:r>
        <w:rPr>
          <w:rFonts w:hint="eastAsia" w:ascii="方正楷体_GBK" w:hAnsi="方正楷体_GBK" w:eastAsia="方正楷体_GBK" w:cs="方正楷体_GBK"/>
        </w:rPr>
        <w:t xml:space="preserve">的拒收</w:t>
      </w:r>
      <w:r/>
    </w:p>
    <w:p>
      <w:pPr>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p>
    <w:p>
      <w:pPr>
        <w:pStyle w:val="845"/>
        <w:ind w:firstLine="422"/>
        <w:spacing w:before="0" w:after="0" w:line="240" w:lineRule="auto"/>
        <w:rPr>
          <w:rFonts w:hint="eastAsia" w:ascii="方正楷体_GBK" w:hAnsi="方正楷体_GBK" w:eastAsia="方正楷体_GBK" w:cs="方正楷体_GBK"/>
        </w:rPr>
      </w:pPr>
      <w:r/>
      <w:bookmarkStart w:id="91" w:name="_Toc20823300"/>
      <w:r/>
      <w:bookmarkStart w:id="92" w:name="_Toc16938544"/>
      <w:r/>
      <w:bookmarkStart w:id="93" w:name="_Toc513029228"/>
      <w:r>
        <w:rPr>
          <w:rFonts w:hint="eastAsia" w:ascii="方正楷体_GBK" w:hAnsi="方正楷体_GBK" w:eastAsia="方正楷体_GBK" w:cs="方正楷体_GBK"/>
        </w:rPr>
        <w:t xml:space="preserve">19.响应文件的撤回和修改</w:t>
      </w:r>
      <w:bookmarkEnd w:id="91"/>
      <w:r/>
      <w:bookmarkEnd w:id="92"/>
      <w:r/>
      <w:bookmarkEnd w:id="93"/>
      <w:r/>
      <w:r/>
    </w:p>
    <w:p>
      <w:pPr>
        <w:ind w:firstLine="420"/>
        <w:rPr>
          <w:rFonts w:hint="eastAsia" w:ascii="宋体" w:hAnsi="宋体"/>
          <w:sz w:val="24"/>
          <w:szCs w:val="21"/>
        </w:rPr>
      </w:pPr>
      <w:r>
        <w:rPr>
          <w:rFonts w:hint="eastAsia" w:ascii="宋体" w:hAnsi="宋体"/>
          <w:sz w:val="24"/>
          <w:szCs w:val="21"/>
        </w:rPr>
        <w:t xml:space="preserve">19.1 响应文件的撤回</w:t>
      </w:r>
      <w:r/>
    </w:p>
    <w:p>
      <w:pPr>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p>
    <w:p>
      <w:pPr>
        <w:ind w:firstLine="420"/>
        <w:rPr>
          <w:rFonts w:hint="eastAsia" w:ascii="宋体" w:hAnsi="宋体"/>
          <w:sz w:val="24"/>
          <w:szCs w:val="21"/>
        </w:rPr>
      </w:pPr>
      <w:r>
        <w:rPr>
          <w:rFonts w:hint="eastAsia" w:ascii="宋体" w:hAnsi="宋体"/>
          <w:sz w:val="24"/>
          <w:szCs w:val="21"/>
        </w:rPr>
        <w:t xml:space="preserve">19.2 响应文件的修改</w:t>
      </w:r>
      <w:r/>
    </w:p>
    <w:p>
      <w:pPr>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94" w:name="_Toc513029229"/>
      <w:r/>
      <w:bookmarkStart w:id="95" w:name="_Toc16938545"/>
      <w:r/>
      <w:bookmarkStart w:id="96" w:name="_Toc120614218"/>
      <w:r/>
      <w:bookmarkStart w:id="97" w:name="_Toc20823301"/>
      <w:r>
        <w:rPr>
          <w:rFonts w:hint="eastAsia" w:ascii="方正黑体_GBK" w:hAnsi="方正黑体_GBK" w:eastAsia="方正黑体_GBK" w:cs="方正黑体_GBK"/>
          <w:b w:val="0"/>
          <w:bCs w:val="0"/>
          <w:sz w:val="30"/>
          <w:szCs w:val="30"/>
        </w:rPr>
        <w:t xml:space="preserve">五、响应文件的解密与评审</w:t>
      </w:r>
      <w:bookmarkEnd w:id="94"/>
      <w:r/>
      <w:bookmarkEnd w:id="95"/>
      <w:r/>
      <w:bookmarkEnd w:id="96"/>
      <w:r/>
      <w:bookmarkEnd w:id="97"/>
      <w:r/>
      <w:r/>
    </w:p>
    <w:p>
      <w:pPr>
        <w:pStyle w:val="845"/>
        <w:ind w:firstLine="422"/>
        <w:spacing w:before="0" w:after="0" w:line="240" w:lineRule="auto"/>
        <w:rPr>
          <w:rFonts w:hint="eastAsia" w:ascii="方正楷体_GBK" w:hAnsi="方正楷体_GBK" w:eastAsia="方正楷体_GBK" w:cs="方正楷体_GBK"/>
        </w:rPr>
      </w:pPr>
      <w:r/>
      <w:bookmarkStart w:id="98" w:name="_Toc513029230"/>
      <w:r/>
      <w:bookmarkStart w:id="99" w:name="_Toc20823302"/>
      <w:r/>
      <w:bookmarkStart w:id="100" w:name="_Toc16938546"/>
      <w:r>
        <w:rPr>
          <w:rFonts w:hint="eastAsia" w:ascii="方正楷体_GBK" w:hAnsi="方正楷体_GBK" w:eastAsia="方正楷体_GBK" w:cs="方正楷体_GBK"/>
        </w:rPr>
        <w:t xml:space="preserve">2</w:t>
      </w:r>
      <w:bookmarkEnd w:id="98"/>
      <w:r/>
      <w:bookmarkEnd w:id="99"/>
      <w:r/>
      <w:bookmarkEnd w:id="100"/>
      <w:r>
        <w:rPr>
          <w:rFonts w:hint="eastAsia" w:ascii="方正楷体_GBK" w:hAnsi="方正楷体_GBK" w:eastAsia="方正楷体_GBK" w:cs="方正楷体_GBK"/>
        </w:rPr>
        <w:t xml:space="preserve">0.响应文件解密</w:t>
      </w:r>
      <w:r/>
    </w:p>
    <w:p>
      <w:pPr>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845"/>
        <w:ind w:firstLine="422"/>
        <w:spacing w:before="0" w:after="0" w:line="240" w:lineRule="auto"/>
        <w:rPr>
          <w:rFonts w:hint="eastAsia" w:ascii="方正楷体_GBK" w:hAnsi="方正楷体_GBK" w:eastAsia="方正楷体_GBK" w:cs="方正楷体_GBK"/>
        </w:rPr>
      </w:pPr>
      <w:r/>
      <w:bookmarkStart w:id="101" w:name="_Toc20823303"/>
      <w:r/>
      <w:bookmarkStart w:id="102" w:name="_Toc16938547"/>
      <w:r/>
      <w:bookmarkStart w:id="103" w:name="_Toc513029231"/>
      <w:r>
        <w:rPr>
          <w:rFonts w:hint="eastAsia" w:ascii="方正楷体_GBK" w:hAnsi="方正楷体_GBK" w:eastAsia="方正楷体_GBK" w:cs="方正楷体_GBK"/>
        </w:rPr>
        <w:t xml:space="preserve">21.磋商</w:t>
      </w:r>
      <w:r/>
    </w:p>
    <w:p>
      <w:pPr>
        <w:ind w:firstLine="420"/>
        <w:rPr>
          <w:rFonts w:hint="eastAsia" w:ascii="宋体" w:hAnsi="宋体"/>
          <w:sz w:val="24"/>
          <w:szCs w:val="21"/>
        </w:rPr>
      </w:pPr>
      <w:r>
        <w:rPr>
          <w:rFonts w:hint="eastAsia" w:ascii="宋体" w:hAnsi="宋体"/>
          <w:sz w:val="24"/>
          <w:szCs w:val="21"/>
        </w:rPr>
        <w:t xml:space="preserve">21.1 依法组建的磋商小组对响应文件进行评审。</w:t>
      </w:r>
      <w:r/>
    </w:p>
    <w:p>
      <w:pPr>
        <w:ind w:firstLine="420"/>
        <w:rPr>
          <w:rFonts w:hint="eastAsia" w:ascii="宋体" w:hAnsi="宋体"/>
          <w:sz w:val="24"/>
          <w:szCs w:val="21"/>
        </w:rPr>
      </w:pPr>
      <w:r>
        <w:rPr>
          <w:rFonts w:hint="eastAsia" w:ascii="宋体" w:hAnsi="宋体"/>
          <w:sz w:val="24"/>
          <w:szCs w:val="21"/>
        </w:rPr>
        <w:t xml:space="preserve">21.2 磋商小组由采购人代表和有关方面的专家组成，人员构成符合政府采购有关规定。</w:t>
      </w:r>
      <w:r/>
    </w:p>
    <w:p>
      <w:pPr>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bookmarkEnd w:id="101"/>
      <w:r/>
      <w:bookmarkEnd w:id="102"/>
      <w:r/>
      <w:bookmarkEnd w:id="103"/>
      <w:r/>
      <w:r/>
    </w:p>
    <w:p>
      <w:pPr>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p>
    <w:p>
      <w:pPr>
        <w:pStyle w:val="845"/>
        <w:ind w:firstLine="422"/>
        <w:spacing w:before="0" w:after="0" w:line="240" w:lineRule="auto"/>
        <w:rPr>
          <w:rFonts w:hint="eastAsia" w:ascii="方正楷体_GBK" w:hAnsi="方正楷体_GBK" w:eastAsia="方正楷体_GBK" w:cs="方正楷体_GBK"/>
        </w:rPr>
      </w:pPr>
      <w:r/>
      <w:bookmarkStart w:id="104" w:name="_Toc513029232"/>
      <w:r/>
      <w:bookmarkStart w:id="105" w:name="_Toc20823304"/>
      <w:r/>
      <w:bookmarkStart w:id="106" w:name="_Toc16938548"/>
      <w:r>
        <w:rPr>
          <w:rFonts w:hint="eastAsia" w:ascii="方正楷体_GBK" w:hAnsi="方正楷体_GBK" w:eastAsia="方正楷体_GBK" w:cs="方正楷体_GBK"/>
        </w:rPr>
        <w:t xml:space="preserve">23.评审过程中的澄清</w:t>
      </w:r>
      <w:bookmarkEnd w:id="104"/>
      <w:r/>
      <w:bookmarkEnd w:id="105"/>
      <w:r/>
      <w:bookmarkEnd w:id="106"/>
      <w:r/>
      <w:r/>
    </w:p>
    <w:p>
      <w:pPr>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845"/>
        <w:ind w:firstLine="422"/>
        <w:spacing w:before="0" w:after="0" w:line="240" w:lineRule="auto"/>
        <w:rPr>
          <w:rFonts w:hint="eastAsia" w:ascii="方正楷体_GBK" w:hAnsi="方正楷体_GBK" w:eastAsia="方正楷体_GBK" w:cs="方正楷体_GBK"/>
        </w:rPr>
      </w:pPr>
      <w:r/>
      <w:bookmarkStart w:id="107" w:name="_Toc513029233"/>
      <w:r/>
      <w:bookmarkStart w:id="108" w:name="_Toc16938549"/>
      <w:r/>
      <w:bookmarkStart w:id="109" w:name="_Toc20823305"/>
      <w:r>
        <w:rPr>
          <w:rFonts w:hint="eastAsia" w:ascii="方正楷体_GBK" w:hAnsi="方正楷体_GBK" w:eastAsia="方正楷体_GBK" w:cs="方正楷体_GBK"/>
        </w:rPr>
        <w:t xml:space="preserve">24.响应文件的审</w:t>
      </w:r>
      <w:bookmarkEnd w:id="107"/>
      <w:r/>
      <w:bookmarkEnd w:id="108"/>
      <w:r/>
      <w:bookmarkEnd w:id="109"/>
      <w:r>
        <w:rPr>
          <w:rFonts w:hint="eastAsia" w:ascii="方正楷体_GBK" w:hAnsi="方正楷体_GBK" w:eastAsia="方正楷体_GBK" w:cs="方正楷体_GBK"/>
        </w:rPr>
        <w:t xml:space="preserve">查</w:t>
      </w:r>
      <w:r/>
    </w:p>
    <w:p>
      <w:pPr>
        <w:ind w:firstLine="420"/>
        <w:rPr>
          <w:rFonts w:hint="eastAsia" w:ascii="宋体" w:hAnsi="宋体"/>
          <w:sz w:val="24"/>
          <w:szCs w:val="21"/>
        </w:rPr>
      </w:pPr>
      <w:r>
        <w:rPr>
          <w:rFonts w:hint="eastAsia" w:ascii="宋体" w:hAnsi="宋体"/>
          <w:sz w:val="24"/>
          <w:szCs w:val="21"/>
        </w:rPr>
        <w:t xml:space="preserve">24.1 响应文件审查分为资格审查和符合性审查。</w:t>
      </w:r>
      <w:r/>
    </w:p>
    <w:p>
      <w:pPr>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w:t>
      </w:r>
      <w:bookmarkStart w:id="139" w:name="_GoBack"/>
      <w:r/>
      <w:bookmarkEnd w:id="139"/>
      <w:r>
        <w:rPr>
          <w:rFonts w:hint="eastAsia" w:ascii="宋体" w:hAnsi="宋体"/>
          <w:sz w:val="24"/>
          <w:szCs w:val="21"/>
        </w:rPr>
        <w:t xml:space="preserve">实质性响应了磋商文件的要求。实质性响应的响应文件应该是与磋商文件要求的条款、条件和规格相符，没有重大偏离或保留的文件。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ind w:firstLine="420"/>
        <w:rPr>
          <w:rFonts w:hint="eastAsia" w:ascii="宋体" w:hAnsi="宋体"/>
          <w:color w:val="auto"/>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w:t>
      </w:r>
      <w:r>
        <w:rPr>
          <w:rFonts w:hint="eastAsia" w:ascii="宋体" w:hAnsi="宋体"/>
          <w:color w:val="auto"/>
          <w:sz w:val="24"/>
          <w:lang w:val="zh-CN"/>
        </w:rPr>
        <w:t xml:space="preserve">程中出现下列情形之一的，</w:t>
      </w:r>
      <w:r>
        <w:rPr>
          <w:rFonts w:hint="eastAsia" w:ascii="宋体" w:hAnsi="宋体"/>
          <w:color w:val="auto"/>
          <w:sz w:val="24"/>
          <w:szCs w:val="21"/>
        </w:rPr>
        <w:t xml:space="preserve">磋商小组</w:t>
      </w:r>
      <w:r>
        <w:rPr>
          <w:rFonts w:hint="eastAsia" w:ascii="宋体" w:hAnsi="宋体"/>
          <w:color w:val="auto"/>
          <w:sz w:val="24"/>
          <w:lang w:val="zh-CN"/>
        </w:rPr>
        <w:t xml:space="preserve">应当启动异常低价审查程序：</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szCs w:val="21"/>
        </w:rPr>
        <w:t xml:space="preserve">报价</w:t>
      </w:r>
      <w:r>
        <w:rPr>
          <w:rFonts w:hint="eastAsia" w:ascii="宋体" w:hAnsi="宋体"/>
          <w:color w:val="auto"/>
          <w:sz w:val="24"/>
          <w:lang w:val="zh-CN"/>
        </w:rPr>
        <w:t xml:space="preserve">低于全部通过符合性审查供应商</w:t>
      </w:r>
      <w:r>
        <w:rPr>
          <w:rFonts w:hint="eastAsia" w:ascii="宋体" w:hAnsi="宋体"/>
          <w:color w:val="auto"/>
          <w:sz w:val="24"/>
          <w:szCs w:val="21"/>
        </w:rPr>
        <w:t xml:space="preserve">报价</w:t>
      </w:r>
      <w:r>
        <w:rPr>
          <w:rFonts w:hint="eastAsia" w:ascii="宋体" w:hAnsi="宋体"/>
          <w:color w:val="auto"/>
          <w:sz w:val="24"/>
          <w:lang w:val="zh-CN"/>
        </w:rPr>
        <w:t xml:space="preserve">平均值</w:t>
      </w:r>
      <w:r>
        <w:rPr>
          <w:rFonts w:hint="eastAsia" w:ascii="宋体" w:hAnsi="宋体"/>
          <w:color w:val="auto"/>
          <w:sz w:val="24"/>
          <w:u w:val="single"/>
        </w:rPr>
        <w:t xml:space="preserve">65</w:t>
      </w:r>
      <w:r>
        <w:rPr>
          <w:rFonts w:hint="eastAsia" w:ascii="宋体" w:hAnsi="宋体"/>
          <w:color w:val="auto"/>
          <w:sz w:val="24"/>
          <w:u w:val="single"/>
          <w:lang w:val="zh-CN"/>
        </w:rPr>
        <w:t xml:space="preserve">%</w:t>
      </w:r>
      <w:r>
        <w:rPr>
          <w:rFonts w:hint="eastAsia" w:ascii="宋体" w:hAnsi="宋体"/>
          <w:color w:val="auto"/>
          <w:sz w:val="24"/>
          <w:lang w:val="zh-CN"/>
        </w:rPr>
        <w:t xml:space="preserve">的，即</w:t>
      </w:r>
      <w:r>
        <w:rPr>
          <w:rFonts w:hint="eastAsia" w:ascii="宋体" w:hAnsi="宋体"/>
          <w:color w:val="auto"/>
          <w:sz w:val="24"/>
          <w:szCs w:val="21"/>
        </w:rPr>
        <w:t xml:space="preserve">报价</w:t>
      </w:r>
      <w:r>
        <w:rPr>
          <w:rFonts w:hint="eastAsia" w:ascii="宋体" w:hAnsi="宋体"/>
          <w:color w:val="auto"/>
          <w:sz w:val="24"/>
          <w:lang w:val="zh-CN"/>
        </w:rPr>
        <w:t xml:space="preserve">&lt;全部通过符合性审查供应商</w:t>
      </w:r>
      <w:r>
        <w:rPr>
          <w:rFonts w:hint="eastAsia" w:ascii="宋体" w:hAnsi="宋体"/>
          <w:color w:val="auto"/>
          <w:sz w:val="24"/>
          <w:szCs w:val="21"/>
        </w:rPr>
        <w:t xml:space="preserve">报价</w:t>
      </w:r>
      <w:r>
        <w:rPr>
          <w:rFonts w:hint="eastAsia" w:ascii="宋体" w:hAnsi="宋体"/>
          <w:color w:val="auto"/>
          <w:sz w:val="24"/>
          <w:lang w:val="zh-CN"/>
        </w:rPr>
        <w:t xml:space="preserve">平均值×</w:t>
      </w:r>
      <w:r>
        <w:rPr>
          <w:rFonts w:hint="eastAsia" w:ascii="宋体" w:hAnsi="宋体"/>
          <w:color w:val="auto"/>
          <w:sz w:val="24"/>
          <w:u w:val="single"/>
        </w:rPr>
        <w:t xml:space="preserve">65</w:t>
      </w:r>
      <w:r>
        <w:rPr>
          <w:rFonts w:hint="eastAsia" w:ascii="宋体" w:hAnsi="宋体"/>
          <w:color w:val="auto"/>
          <w:sz w:val="24"/>
          <w:u w:val="single"/>
          <w:lang w:val="zh-CN"/>
        </w:rPr>
        <w:t xml:space="preserve">%</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szCs w:val="21"/>
        </w:rPr>
        <w:t xml:space="preserve">报价</w:t>
      </w:r>
      <w:r>
        <w:rPr>
          <w:rFonts w:hint="eastAsia" w:ascii="宋体" w:hAnsi="宋体"/>
          <w:color w:val="auto"/>
          <w:sz w:val="24"/>
          <w:lang w:val="zh-CN"/>
        </w:rPr>
        <w:t xml:space="preserve">低于通过符合性审查的次低报价供应商</w:t>
      </w:r>
      <w:r>
        <w:rPr>
          <w:rFonts w:hint="eastAsia" w:ascii="宋体" w:hAnsi="宋体"/>
          <w:color w:val="auto"/>
          <w:sz w:val="24"/>
          <w:szCs w:val="21"/>
        </w:rPr>
        <w:t xml:space="preserve">报价</w:t>
      </w:r>
      <w:r>
        <w:rPr>
          <w:rFonts w:hint="eastAsia" w:ascii="宋体" w:hAnsi="宋体"/>
          <w:color w:val="auto"/>
          <w:sz w:val="24"/>
          <w:u w:val="single"/>
        </w:rPr>
        <w:t xml:space="preserve">65</w:t>
      </w:r>
      <w:r>
        <w:rPr>
          <w:rFonts w:hint="eastAsia" w:ascii="宋体" w:hAnsi="宋体"/>
          <w:color w:val="auto"/>
          <w:sz w:val="24"/>
          <w:u w:val="single"/>
          <w:lang w:val="zh-CN"/>
        </w:rPr>
        <w:t xml:space="preserve">%</w:t>
      </w:r>
      <w:r>
        <w:rPr>
          <w:rFonts w:hint="eastAsia" w:ascii="宋体" w:hAnsi="宋体"/>
          <w:color w:val="auto"/>
          <w:sz w:val="24"/>
          <w:lang w:val="zh-CN"/>
        </w:rPr>
        <w:t xml:space="preserve">的，即</w:t>
      </w:r>
      <w:r>
        <w:rPr>
          <w:rFonts w:hint="eastAsia" w:ascii="宋体" w:hAnsi="宋体"/>
          <w:color w:val="auto"/>
          <w:sz w:val="24"/>
          <w:szCs w:val="21"/>
        </w:rPr>
        <w:t xml:space="preserve">报价</w:t>
      </w:r>
      <w:r>
        <w:rPr>
          <w:rFonts w:hint="eastAsia" w:ascii="宋体" w:hAnsi="宋体"/>
          <w:color w:val="auto"/>
          <w:sz w:val="24"/>
          <w:lang w:val="zh-CN"/>
        </w:rPr>
        <w:t xml:space="preserve">&lt;通过符合性审查的次低报价供应商</w:t>
      </w:r>
      <w:r>
        <w:rPr>
          <w:rFonts w:hint="eastAsia" w:ascii="宋体" w:hAnsi="宋体"/>
          <w:color w:val="auto"/>
          <w:sz w:val="24"/>
          <w:szCs w:val="21"/>
        </w:rPr>
        <w:t xml:space="preserve">报价</w:t>
      </w:r>
      <w:r>
        <w:rPr>
          <w:rFonts w:hint="eastAsia" w:ascii="宋体" w:hAnsi="宋体"/>
          <w:color w:val="auto"/>
          <w:sz w:val="24"/>
          <w:lang w:val="zh-CN"/>
        </w:rPr>
        <w:t xml:space="preserve">×</w:t>
      </w:r>
      <w:r>
        <w:rPr>
          <w:rFonts w:hint="eastAsia" w:ascii="宋体" w:hAnsi="宋体"/>
          <w:color w:val="auto"/>
          <w:sz w:val="24"/>
          <w:u w:val="single"/>
        </w:rPr>
        <w:t xml:space="preserve">65</w:t>
      </w:r>
      <w:r>
        <w:rPr>
          <w:rFonts w:hint="eastAsia" w:ascii="宋体" w:hAnsi="宋体"/>
          <w:color w:val="auto"/>
          <w:sz w:val="24"/>
          <w:u w:val="single"/>
          <w:lang w:val="zh-CN"/>
        </w:rPr>
        <w:t xml:space="preserve">%</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szCs w:val="21"/>
        </w:rPr>
        <w:t xml:space="preserve">报价</w:t>
      </w:r>
      <w:r>
        <w:rPr>
          <w:rFonts w:hint="eastAsia" w:ascii="宋体" w:hAnsi="宋体"/>
          <w:color w:val="auto"/>
          <w:sz w:val="24"/>
          <w:lang w:val="zh-CN"/>
        </w:rPr>
        <w:t xml:space="preserve">低于采购项目最高限价</w:t>
      </w:r>
      <w:r>
        <w:rPr>
          <w:rFonts w:hint="eastAsia" w:ascii="宋体" w:hAnsi="宋体"/>
          <w:color w:val="auto"/>
          <w:sz w:val="24"/>
          <w:u w:val="single"/>
        </w:rPr>
        <w:t xml:space="preserve">65</w:t>
      </w:r>
      <w:r>
        <w:rPr>
          <w:rFonts w:hint="eastAsia" w:ascii="宋体" w:hAnsi="宋体"/>
          <w:color w:val="auto"/>
          <w:sz w:val="24"/>
          <w:u w:val="single"/>
          <w:lang w:val="zh-CN"/>
        </w:rPr>
        <w:t xml:space="preserve">%</w:t>
      </w:r>
      <w:r>
        <w:rPr>
          <w:rFonts w:hint="eastAsia" w:ascii="宋体" w:hAnsi="宋体"/>
          <w:color w:val="auto"/>
          <w:sz w:val="24"/>
          <w:lang w:val="zh-CN"/>
        </w:rPr>
        <w:t xml:space="preserve">的，即</w:t>
      </w:r>
      <w:r>
        <w:rPr>
          <w:rFonts w:hint="eastAsia" w:ascii="宋体" w:hAnsi="宋体"/>
          <w:color w:val="auto"/>
          <w:sz w:val="24"/>
          <w:szCs w:val="21"/>
        </w:rPr>
        <w:t xml:space="preserve">报价</w:t>
      </w:r>
      <w:r>
        <w:rPr>
          <w:rFonts w:hint="eastAsia" w:ascii="宋体" w:hAnsi="宋体"/>
          <w:color w:val="auto"/>
          <w:sz w:val="24"/>
          <w:lang w:val="zh-CN"/>
        </w:rPr>
        <w:t xml:space="preserve">&lt;采购项目最高限价×</w:t>
      </w:r>
      <w:r>
        <w:rPr>
          <w:rFonts w:hint="eastAsia" w:ascii="宋体" w:hAnsi="宋体"/>
          <w:color w:val="auto"/>
          <w:sz w:val="24"/>
          <w:u w:val="single"/>
        </w:rPr>
        <w:t xml:space="preserve">65</w:t>
      </w:r>
      <w:r>
        <w:rPr>
          <w:rFonts w:hint="eastAsia" w:ascii="宋体" w:hAnsi="宋体"/>
          <w:color w:val="auto"/>
          <w:sz w:val="24"/>
          <w:u w:val="single"/>
          <w:lang w:val="zh-CN"/>
        </w:rPr>
        <w:t xml:space="preserve">%</w:t>
      </w:r>
      <w:r>
        <w:rPr>
          <w:rFonts w:hint="eastAsia" w:ascii="宋体" w:hAnsi="宋体"/>
          <w:color w:val="auto"/>
          <w:sz w:val="24"/>
          <w:lang w:val="zh-CN"/>
        </w:rPr>
        <w:t xml:space="preserve">；</w:t>
      </w:r>
      <w:r/>
    </w:p>
    <w:p>
      <w:pPr>
        <w:ind w:firstLine="420"/>
        <w:rPr>
          <w:rFonts w:hint="eastAsia" w:ascii="宋体" w:hAnsi="宋体"/>
          <w:sz w:val="24"/>
          <w:lang w:val="zh-CN"/>
        </w:rPr>
      </w:pPr>
      <w:r>
        <w:rPr>
          <w:rFonts w:hint="eastAsia" w:ascii="宋体" w:hAnsi="宋体"/>
          <w:color w:val="auto"/>
          <w:sz w:val="24"/>
          <w:lang w:val="zh-CN"/>
        </w:rPr>
        <w:t xml:space="preserve">（4）</w:t>
      </w:r>
      <w:r>
        <w:rPr>
          <w:rFonts w:hint="eastAsia" w:ascii="宋体" w:hAnsi="宋体"/>
          <w:color w:val="auto"/>
          <w:sz w:val="24"/>
          <w:szCs w:val="21"/>
        </w:rPr>
        <w:t xml:space="preserve">磋商小组</w:t>
      </w:r>
      <w:r>
        <w:rPr>
          <w:rFonts w:hint="eastAsia" w:ascii="宋体" w:hAnsi="宋体"/>
          <w:color w:val="auto"/>
          <w:sz w:val="24"/>
          <w:lang w:val="zh-CN"/>
        </w:rPr>
        <w:t xml:space="preserve">基于专业判断，认为供应商</w:t>
      </w:r>
      <w:r>
        <w:rPr>
          <w:rFonts w:hint="eastAsia" w:ascii="宋体" w:hAnsi="宋体"/>
          <w:color w:val="auto"/>
          <w:sz w:val="24"/>
        </w:rPr>
        <w:t xml:space="preserve">报价</w:t>
      </w:r>
      <w:r>
        <w:rPr>
          <w:rFonts w:hint="eastAsia" w:ascii="宋体" w:hAnsi="宋体"/>
          <w:color w:val="auto"/>
          <w:sz w:val="24"/>
          <w:lang w:val="zh-CN"/>
        </w:rPr>
        <w:t xml:space="preserve">过低，有可能影响产品质量或者不能诚信</w:t>
      </w:r>
      <w:r>
        <w:rPr>
          <w:rFonts w:hint="eastAsia" w:ascii="宋体" w:hAnsi="宋体"/>
          <w:sz w:val="24"/>
          <w:lang w:val="zh-CN"/>
        </w:rPr>
        <w:t xml:space="preserve">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0"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10"/>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20"/>
        <w:rPr>
          <w:rFonts w:hint="eastAsia" w:ascii="宋体" w:hAnsi="宋体"/>
          <w:sz w:val="24"/>
          <w:szCs w:val="21"/>
        </w:rPr>
      </w:pPr>
      <w:r>
        <w:rPr>
          <w:rFonts w:hint="eastAsia" w:ascii="宋体" w:hAnsi="宋体"/>
          <w:sz w:val="24"/>
          <w:szCs w:val="21"/>
        </w:rPr>
        <w:t xml:space="preserve">24.4 未实质性响应磋商文件的情形</w:t>
      </w:r>
      <w:r/>
    </w:p>
    <w:p>
      <w:pPr>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p>
    <w:p>
      <w:pPr>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p>
    <w:p>
      <w:pPr>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同一供应商提交两个（含两个）以上不同的响应文件或者报价。</w:t>
      </w:r>
      <w:r/>
    </w:p>
    <w:p>
      <w:pPr>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p>
    <w:p>
      <w:pPr>
        <w:ind w:firstLine="420"/>
        <w:rPr>
          <w:rFonts w:hint="eastAsia" w:ascii="宋体" w:hAnsi="宋体"/>
          <w:sz w:val="24"/>
          <w:szCs w:val="21"/>
        </w:rPr>
      </w:pPr>
      <w:r>
        <w:rPr>
          <w:rFonts w:hint="eastAsia" w:ascii="宋体" w:hAnsi="宋体"/>
          <w:sz w:val="24"/>
          <w:szCs w:val="21"/>
        </w:rPr>
        <w:t xml:space="preserve">24.4.5 供应商的报价超过了采购预算或最高限价或单价上限。</w:t>
      </w:r>
      <w:r/>
    </w:p>
    <w:p>
      <w:pPr>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p>
    <w:p>
      <w:pPr>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p>
    <w:p>
      <w:pPr>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p>
    <w:p>
      <w:pPr>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p>
    <w:p>
      <w:pPr>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p>
    <w:p>
      <w:pPr>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p>
    <w:p>
      <w:pPr>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sz w:val="24"/>
          <w:szCs w:val="21"/>
        </w:rPr>
      </w:pPr>
      <w:r/>
      <w:bookmarkStart w:id="111" w:name="_Toc20823306"/>
      <w:r/>
      <w:bookmarkStart w:id="112" w:name="_Toc16938550"/>
      <w:r/>
      <w:bookmarkStart w:id="113" w:name="_Toc513029234"/>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11"/>
      <w:r/>
      <w:bookmarkEnd w:id="112"/>
      <w:r/>
      <w:bookmarkEnd w:id="113"/>
      <w:r>
        <w:rPr>
          <w:rFonts w:hint="eastAsia" w:ascii="方正楷体_GBK" w:hAnsi="方正楷体_GBK" w:eastAsia="方正楷体_GBK" w:cs="方正楷体_GBK"/>
        </w:rPr>
        <w:t xml:space="preserve">5.磋商程序及评审方法与评审标准</w:t>
      </w:r>
      <w:r/>
    </w:p>
    <w:p>
      <w:pPr>
        <w:ind w:firstLine="420"/>
        <w:rPr>
          <w:rFonts w:hint="eastAsia" w:ascii="宋体" w:hAnsi="宋体"/>
          <w:sz w:val="24"/>
          <w:szCs w:val="21"/>
        </w:rPr>
      </w:pPr>
      <w:r/>
      <w:bookmarkStart w:id="114" w:name="_Toc120614219"/>
      <w:r/>
      <w:bookmarkStart w:id="115" w:name="_Toc16938551"/>
      <w:r/>
      <w:bookmarkStart w:id="116" w:name="_Toc20823307"/>
      <w:r/>
      <w:bookmarkStart w:id="117" w:name="_Toc513029235"/>
      <w:r>
        <w:rPr>
          <w:rFonts w:hint="eastAsia" w:ascii="宋体" w:hAnsi="宋体"/>
          <w:sz w:val="24"/>
          <w:szCs w:val="21"/>
        </w:rPr>
        <w:t xml:space="preserve">25.1 磋商程序</w:t>
      </w:r>
      <w:r/>
    </w:p>
    <w:p>
      <w:pPr>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hint="eastAsia" w:ascii="宋体" w:hAnsi="宋体"/>
          <w:sz w:val="24"/>
          <w:szCs w:val="21"/>
        </w:rPr>
      </w:pPr>
      <w:r>
        <w:rPr>
          <w:rFonts w:hint="eastAsia" w:ascii="宋体" w:hAnsi="宋体"/>
          <w:sz w:val="24"/>
          <w:szCs w:val="21"/>
        </w:rPr>
        <w:t xml:space="preserve">25.2 评审方法与评审标准</w:t>
      </w:r>
      <w:r/>
    </w:p>
    <w:p>
      <w:pPr>
        <w:ind w:firstLine="420"/>
        <w:rPr>
          <w:rFonts w:hint="eastAsia" w:ascii="宋体" w:hAnsi="宋体"/>
          <w:sz w:val="24"/>
          <w:szCs w:val="21"/>
        </w:rPr>
      </w:pPr>
      <w:r>
        <w:rPr>
          <w:rFonts w:hint="eastAsia" w:ascii="宋体" w:hAnsi="宋体"/>
          <w:sz w:val="24"/>
          <w:szCs w:val="21"/>
        </w:rPr>
        <w:t xml:space="preserve">25.2.1 评审方法。见磋商文件第五章。</w:t>
      </w:r>
      <w:r/>
    </w:p>
    <w:p>
      <w:pPr>
        <w:ind w:firstLine="420"/>
        <w:rPr>
          <w:rFonts w:hint="eastAsia" w:ascii="宋体" w:hAnsi="宋体"/>
          <w:sz w:val="24"/>
          <w:szCs w:val="21"/>
        </w:rPr>
      </w:pPr>
      <w:r>
        <w:rPr>
          <w:rFonts w:hint="eastAsia" w:ascii="宋体" w:hAnsi="宋体"/>
          <w:sz w:val="24"/>
          <w:szCs w:val="21"/>
        </w:rPr>
        <w:t xml:space="preserve">25.2.2 评审标准。见磋商文件第五章。</w:t>
      </w:r>
      <w:r/>
    </w:p>
    <w:p>
      <w:pPr>
        <w:ind w:firstLine="420"/>
        <w:rPr>
          <w:rFonts w:hint="eastAsia" w:ascii="宋体" w:hAnsi="宋体"/>
          <w:sz w:val="24"/>
          <w:szCs w:val="21"/>
        </w:rPr>
      </w:pPr>
      <w:r>
        <w:rPr>
          <w:rFonts w:hint="eastAsia" w:ascii="宋体" w:hAnsi="宋体"/>
          <w:sz w:val="24"/>
          <w:szCs w:val="21"/>
        </w:rPr>
        <w:t xml:space="preserve">25.3 采购活动终止</w:t>
      </w:r>
      <w:r/>
    </w:p>
    <w:p>
      <w:pPr>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p>
    <w:p>
      <w:pPr>
        <w:ind w:firstLine="420"/>
        <w:rPr>
          <w:rFonts w:hint="eastAsia" w:ascii="宋体" w:hAnsi="宋体"/>
          <w:sz w:val="24"/>
          <w:szCs w:val="21"/>
        </w:rPr>
      </w:pPr>
      <w:r>
        <w:rPr>
          <w:rFonts w:hint="eastAsia" w:ascii="宋体" w:hAnsi="宋体"/>
          <w:sz w:val="24"/>
          <w:szCs w:val="21"/>
        </w:rPr>
        <w:t xml:space="preserve">25.3.2 出现影响采购公正的违法、违规行为。</w:t>
      </w:r>
      <w:r/>
    </w:p>
    <w:p>
      <w:pPr>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p>
    <w:p>
      <w:pPr>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hint="eastAsia"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14"/>
      <w:r/>
      <w:bookmarkEnd w:id="115"/>
      <w:r/>
      <w:bookmarkEnd w:id="116"/>
      <w:r/>
      <w:bookmarkEnd w:id="117"/>
      <w:r>
        <w:rPr>
          <w:rFonts w:hint="eastAsia" w:ascii="方正黑体_GBK" w:hAnsi="方正黑体_GBK" w:eastAsia="方正黑体_GBK" w:cs="方正黑体_GBK"/>
          <w:b w:val="0"/>
          <w:bCs w:val="0"/>
          <w:sz w:val="30"/>
          <w:szCs w:val="30"/>
        </w:rPr>
        <w:t xml:space="preserve">成交</w:t>
      </w:r>
      <w:r/>
    </w:p>
    <w:p>
      <w:pPr>
        <w:pStyle w:val="845"/>
        <w:ind w:firstLine="422"/>
        <w:spacing w:before="0" w:after="0" w:line="240" w:lineRule="auto"/>
        <w:rPr>
          <w:rFonts w:hint="eastAsia" w:ascii="方正楷体_GBK" w:hAnsi="方正楷体_GBK" w:eastAsia="方正楷体_GBK" w:cs="方正楷体_GBK"/>
        </w:rPr>
      </w:pPr>
      <w:r/>
      <w:bookmarkStart w:id="118" w:name="_Toc513029238"/>
      <w:r/>
      <w:bookmarkStart w:id="119" w:name="_Toc20823310"/>
      <w:r/>
      <w:bookmarkStart w:id="120" w:name="_Toc16938554"/>
      <w:r>
        <w:rPr>
          <w:rFonts w:hint="eastAsia" w:ascii="方正楷体_GBK" w:hAnsi="方正楷体_GBK" w:eastAsia="方正楷体_GBK" w:cs="方正楷体_GBK"/>
        </w:rPr>
        <w:t xml:space="preserve">2</w:t>
      </w:r>
      <w:bookmarkEnd w:id="118"/>
      <w:r>
        <w:rPr>
          <w:rFonts w:hint="eastAsia" w:ascii="方正楷体_GBK" w:hAnsi="方正楷体_GBK" w:eastAsia="方正楷体_GBK" w:cs="方正楷体_GBK"/>
        </w:rPr>
        <w:t xml:space="preserve">6.确定</w:t>
      </w:r>
      <w:bookmarkEnd w:id="119"/>
      <w:r/>
      <w:bookmarkEnd w:id="120"/>
      <w:r>
        <w:rPr>
          <w:rFonts w:hint="eastAsia" w:ascii="方正楷体_GBK" w:hAnsi="方正楷体_GBK" w:eastAsia="方正楷体_GBK" w:cs="方正楷体_GBK"/>
        </w:rPr>
        <w:t xml:space="preserve">成交单位</w:t>
      </w:r>
      <w:r/>
    </w:p>
    <w:p>
      <w:pPr>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p>
    <w:p>
      <w:pPr>
        <w:ind w:firstLine="420"/>
        <w:rPr>
          <w:rFonts w:hint="eastAsia"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p>
    <w:p>
      <w:pPr>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p>
    <w:p>
      <w:pPr>
        <w:ind w:firstLine="420"/>
        <w:rPr>
          <w:rFonts w:hint="eastAsia" w:ascii="宋体" w:hAnsi="宋体"/>
          <w:sz w:val="24"/>
          <w:szCs w:val="21"/>
        </w:rPr>
      </w:pPr>
      <w:r>
        <w:rPr>
          <w:rFonts w:hint="eastAsia" w:ascii="宋体" w:hAnsi="宋体"/>
          <w:sz w:val="24"/>
          <w:szCs w:val="21"/>
        </w:rPr>
        <w:t xml:space="preserve">26.4.1 提供虚假材料谋取成交。</w:t>
      </w:r>
      <w:r/>
    </w:p>
    <w:p>
      <w:pPr>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p>
    <w:p>
      <w:pPr>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p>
    <w:p>
      <w:pPr>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ind w:firstLine="420"/>
        <w:rPr>
          <w:rFonts w:hint="eastAsia" w:ascii="宋体" w:hAnsi="宋体"/>
          <w:sz w:val="24"/>
          <w:szCs w:val="21"/>
        </w:rPr>
      </w:pPr>
      <w:r>
        <w:rPr>
          <w:rFonts w:hint="eastAsia" w:ascii="宋体" w:hAnsi="宋体"/>
          <w:sz w:val="24"/>
          <w:szCs w:val="21"/>
        </w:rPr>
        <w:t xml:space="preserve">26.4.5 采取不正当手段诋毁、排挤其他供应商。</w:t>
      </w:r>
      <w:r/>
    </w:p>
    <w:p>
      <w:pPr>
        <w:pStyle w:val="845"/>
        <w:ind w:firstLine="422"/>
        <w:spacing w:before="0" w:after="0" w:line="240" w:lineRule="auto"/>
        <w:rPr>
          <w:rFonts w:hint="eastAsia" w:ascii="方正楷体_GBK" w:hAnsi="方正楷体_GBK" w:eastAsia="方正楷体_GBK" w:cs="方正楷体_GBK"/>
        </w:rPr>
      </w:pPr>
      <w:r/>
      <w:bookmarkStart w:id="121" w:name="_Toc200451960"/>
      <w:r>
        <w:rPr>
          <w:rFonts w:hint="eastAsia" w:ascii="方正楷体_GBK" w:hAnsi="方正楷体_GBK" w:eastAsia="方正楷体_GBK" w:cs="方正楷体_GBK"/>
        </w:rPr>
        <w:t xml:space="preserve">27.成交通知书</w:t>
      </w:r>
      <w:r/>
    </w:p>
    <w:p>
      <w:pPr>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21"/>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p>
    <w:p>
      <w:pPr>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43.2本国产品应当符合以下条件：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43.4对本国产品的支持政策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43.5政策执行要求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21"/>
        <w:rPr>
          <w:rFonts w:hint="eastAsia" w:ascii="宋体" w:hAnsi="宋体" w:eastAsia="宋体" w:cs="Times New Roman"/>
          <w:sz w:val="24"/>
        </w:rPr>
      </w:pPr>
      <w:r>
        <w:rPr>
          <w:rFonts w:hint="eastAsia" w:ascii="宋体" w:hAnsi="宋体" w:eastAsia="宋体" w:cs="Times New Roman"/>
          <w:sz w:val="24"/>
        </w:rPr>
      </w:r>
      <w:r/>
    </w:p>
    <w:p>
      <w:pPr>
        <w:pStyle w:val="921"/>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7"/>
        <w:ind w:firstLine="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r/>
      <w:r/>
    </w:p>
    <w:p>
      <w:pPr>
        <w:pStyle w:val="887"/>
        <w:rPr>
          <w:rFonts w:hint="eastAsia"/>
        </w:rPr>
      </w:pPr>
      <w:r>
        <w:rPr>
          <w:rFonts w:hint="eastAsia"/>
        </w:rPr>
      </w:r>
      <w:r/>
    </w:p>
    <w:p>
      <w:r/>
      <w:r/>
    </w:p>
    <w:p>
      <w:pPr>
        <w:pStyle w:val="887"/>
        <w:rPr>
          <w:rFonts w:hint="eastAsia"/>
        </w:rPr>
      </w:pPr>
      <w:r>
        <w:rPr>
          <w:rFonts w:hint="eastAsia"/>
        </w:rPr>
      </w:r>
      <w:r/>
    </w:p>
    <w:p>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21"/>
        <w:ind w:left="0"/>
      </w:p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hint="eastAsia"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乙方（卖方）：</w:t>
      </w:r>
      <w:r/>
    </w:p>
    <w:p>
      <w:pPr>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hint="eastAsia"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hint="eastAsia" w:ascii="宋体" w:hAnsi="宋体" w:cs="Courier New"/>
          <w:color w:val="auto"/>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auto"/>
          <w:sz w:val="24"/>
          <w:szCs w:val="24"/>
        </w:rPr>
        <w:t xml:space="preserve">按磋商文件及响应文件执行。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标的数量（规模）：按磋商文件及响应文件执行。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履行时间（期限）：按磋商文件及响应文件执行。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履行方式：按磋商文件及响应文件执行。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包装方式：按磋商文件及响应文件执行。</w:t>
      </w:r>
      <w:r/>
    </w:p>
    <w:p>
      <w:pPr>
        <w:rPr>
          <w:rFonts w:hint="eastAsia" w:ascii="宋体" w:hAnsi="宋体" w:cs="Courier New"/>
          <w:color w:val="000000"/>
          <w:sz w:val="24"/>
          <w:szCs w:val="24"/>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w:t>
      </w:r>
      <w:r>
        <w:rPr>
          <w:rFonts w:hint="eastAsia" w:ascii="宋体" w:hAnsi="宋体" w:cs="宋体"/>
          <w:color w:val="auto"/>
          <w:sz w:val="24"/>
          <w:szCs w:val="24"/>
        </w:rPr>
        <w:t xml:space="preserve">磋商</w:t>
      </w:r>
      <w:r>
        <w:rPr>
          <w:rFonts w:ascii="宋体" w:hAnsi="宋体" w:cs="宋体"/>
          <w:color w:val="auto"/>
          <w:sz w:val="24"/>
          <w:szCs w:val="24"/>
        </w:rPr>
        <w:t xml:space="preserve">文件、</w:t>
      </w:r>
      <w:r>
        <w:rPr>
          <w:rFonts w:hint="eastAsia" w:ascii="宋体" w:hAnsi="宋体" w:cs="宋体"/>
          <w:color w:val="auto"/>
          <w:sz w:val="24"/>
          <w:szCs w:val="24"/>
        </w:rPr>
        <w:t xml:space="preserve">响应</w:t>
      </w:r>
      <w:r>
        <w:rPr>
          <w:rFonts w:ascii="宋体" w:hAnsi="宋体" w:cs="宋体"/>
          <w:color w:val="auto"/>
          <w:sz w:val="24"/>
          <w:szCs w:val="24"/>
        </w:rPr>
        <w:t xml:space="preserve">文件、</w:t>
      </w:r>
      <w:r>
        <w:rPr>
          <w:rFonts w:ascii="宋体" w:hAnsi="宋体" w:cs="宋体"/>
          <w:sz w:val="24"/>
          <w:szCs w:val="24"/>
        </w:rPr>
        <w:t xml:space="preserve">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67"/>
        <w:rPr>
          <w:rFonts w:hint="eastAsia"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color w:val="0000ff"/>
          <w:sz w:val="24"/>
          <w:szCs w:val="24"/>
        </w:rPr>
        <w:outlineLvl w:val="3"/>
      </w:pPr>
      <w:r>
        <w:rPr>
          <w:rFonts w:hint="eastAsia" w:ascii="宋体" w:hAnsi="宋体" w:cs="Courier New"/>
          <w:sz w:val="24"/>
          <w:szCs w:val="24"/>
        </w:rPr>
        <w:t xml:space="preserve">6.1</w:t>
      </w:r>
      <w:r>
        <w:rPr>
          <w:rFonts w:hint="eastAsia" w:ascii="宋体" w:hAnsi="宋体" w:cs="Courier New"/>
          <w:color w:val="0000ff"/>
          <w:sz w:val="24"/>
          <w:szCs w:val="24"/>
        </w:rPr>
        <w:t xml:space="preserve"> </w:t>
      </w:r>
      <w:r>
        <w:rPr>
          <w:rFonts w:hint="eastAsia" w:ascii="宋体" w:hAnsi="宋体" w:cs="Courier New"/>
          <w:color w:val="auto"/>
          <w:sz w:val="24"/>
          <w:szCs w:val="24"/>
        </w:rPr>
        <w:t xml:space="preserve">本项目乙方无需缴纳履约保证金。</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867"/>
        <w:rPr>
          <w:rFonts w:hint="eastAsia" w:hAnsi="宋体"/>
          <w:sz w:val="24"/>
          <w:szCs w:val="24"/>
        </w:rPr>
        <w:outlineLvl w:val="3"/>
      </w:pPr>
      <w:r>
        <w:rPr>
          <w:rFonts w:hint="eastAsia" w:hAnsi="宋体"/>
          <w:sz w:val="24"/>
          <w:szCs w:val="24"/>
        </w:rPr>
        <w:t xml:space="preserve">8.1 合同款项的支付方式及时间</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8.1.1 合同签订且服务团队人员到位后，甲方支付合同总价款的50%作为预付款。</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8.1.2 </w:t>
      </w:r>
      <w:r>
        <w:rPr>
          <w:rFonts w:ascii="宋体" w:hAnsi="宋体" w:cs="Courier New"/>
          <w:color w:val="auto"/>
          <w:sz w:val="24"/>
          <w:szCs w:val="24"/>
          <w:highlight w:val="none"/>
        </w:rPr>
        <w:t xml:space="preserve">系统开发完成并验收合格后</w:t>
      </w:r>
      <w:r>
        <w:rPr>
          <w:rFonts w:hint="eastAsia" w:ascii="宋体" w:hAnsi="宋体" w:cs="Courier New"/>
          <w:color w:val="auto"/>
          <w:sz w:val="24"/>
          <w:szCs w:val="24"/>
          <w:highlight w:val="none"/>
        </w:rPr>
        <w:t xml:space="preserve">，甲方支付合同总价款的50%。</w:t>
      </w:r>
      <w:r/>
    </w:p>
    <w:p>
      <w:pPr>
        <w:pStyle w:val="867"/>
        <w:rPr>
          <w:rFonts w:hint="eastAsia" w:hAnsi="宋体"/>
          <w:color w:val="auto"/>
          <w:sz w:val="24"/>
          <w:szCs w:val="24"/>
          <w:highlight w:val="none"/>
        </w:rPr>
      </w:pPr>
      <w:r>
        <w:rPr>
          <w:rFonts w:hint="eastAsia" w:hAnsi="宋体"/>
          <w:color w:val="auto"/>
          <w:sz w:val="24"/>
          <w:szCs w:val="24"/>
          <w:highlight w:val="none"/>
        </w:rPr>
        <w:t xml:space="preserve">8.1.3 满足合同约定支付条件的，甲方收到乙方发票后10个工作日内，将资金支付到合同约定的乙方账户。 </w:t>
      </w:r>
      <w:r/>
    </w:p>
    <w:p>
      <w:pPr>
        <w:pStyle w:val="867"/>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color w:val="auto"/>
          <w:highlight w:val="none"/>
        </w:rPr>
      </w:pPr>
      <w:r>
        <w:rPr>
          <w:rFonts w:hint="eastAsia" w:ascii="宋体" w:hAnsi="宋体" w:cs="Courier New"/>
          <w:color w:val="auto"/>
          <w:sz w:val="24"/>
          <w:szCs w:val="24"/>
          <w:highlight w:val="none"/>
        </w:rPr>
        <w:t xml:space="preserve">11.7</w:t>
      </w:r>
      <w:r>
        <w:rPr>
          <w:rFonts w:hint="eastAsia" w:ascii="宋体" w:hAnsi="宋体" w:cs="Courier New"/>
          <w:color w:val="auto"/>
          <w:sz w:val="24"/>
          <w:szCs w:val="24"/>
          <w:highlight w:val="none"/>
          <w:lang w:val="zh-CN"/>
        </w:rPr>
        <w:t xml:space="preserve">网络安全、</w:t>
      </w:r>
      <w:r>
        <w:rPr>
          <w:rFonts w:hint="eastAsia" w:ascii="宋体" w:hAnsi="宋体" w:cs="Courier New"/>
          <w:color w:val="auto"/>
          <w:sz w:val="24"/>
          <w:szCs w:val="24"/>
          <w:highlight w:val="none"/>
        </w:rPr>
        <w:t xml:space="preserve">市场准入</w:t>
      </w:r>
      <w:r>
        <w:rPr>
          <w:rFonts w:hint="eastAsia" w:ascii="宋体" w:hAnsi="宋体" w:cs="Courier New"/>
          <w:color w:val="auto"/>
          <w:sz w:val="24"/>
          <w:szCs w:val="24"/>
          <w:highlight w:val="none"/>
          <w:lang w:val="zh-CN"/>
        </w:rPr>
        <w:t xml:space="preserve">要求（</w:t>
      </w:r>
      <w:r>
        <w:rPr>
          <w:rFonts w:hint="eastAsia" w:ascii="宋体" w:hAnsi="宋体" w:cs="Courier New"/>
          <w:color w:val="auto"/>
          <w:sz w:val="24"/>
          <w:szCs w:val="24"/>
          <w:highlight w:val="none"/>
        </w:rPr>
        <w:t xml:space="preserve">如有</w:t>
      </w:r>
      <w:r>
        <w:rPr>
          <w:rFonts w:hint="eastAsia" w:ascii="宋体" w:hAnsi="宋体" w:cs="Courier New"/>
          <w:color w:val="auto"/>
          <w:sz w:val="24"/>
          <w:szCs w:val="24"/>
          <w:highlight w:val="none"/>
          <w:lang w:val="zh-CN"/>
        </w:rPr>
        <w:t xml:space="preserve">）：</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hint="eastAsia"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auto"/>
          <w:sz w:val="24"/>
          <w:szCs w:val="24"/>
          <w:highlight w:val="none"/>
          <w:u w:val="single"/>
        </w:rPr>
        <w:t xml:space="preserve">百分之五</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万分之三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 万分之三</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百分之五 </w:t>
      </w:r>
      <w:r>
        <w:rPr>
          <w:rFonts w:hint="eastAsia" w:ascii="宋体" w:hAnsi="宋体" w:cs="Courier New"/>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867"/>
        <w:spacing w:before="120" w:after="120"/>
        <w:rPr>
          <w:rFonts w:hint="eastAsia" w:hAnsi="宋体"/>
          <w:sz w:val="24"/>
          <w:szCs w:val="24"/>
        </w:rPr>
      </w:pPr>
      <w:r>
        <w:rPr>
          <w:rFonts w:hint="eastAsia" w:hAnsi="宋体"/>
          <w:sz w:val="24"/>
          <w:szCs w:val="24"/>
        </w:rPr>
        <w:t xml:space="preserve">  </w:t>
      </w:r>
      <w:r/>
    </w:p>
    <w:p>
      <w:pPr>
        <w:pStyle w:val="867"/>
        <w:ind w:firstLine="240"/>
        <w:spacing w:before="120" w:after="120"/>
        <w:rPr>
          <w:rFonts w:hint="eastAsia" w:hAnsi="宋体"/>
          <w:sz w:val="24"/>
          <w:szCs w:val="24"/>
        </w:rPr>
      </w:pPr>
      <w:r>
        <w:rPr>
          <w:rFonts w:hint="eastAsia" w:hAnsi="宋体"/>
          <w:sz w:val="24"/>
          <w:szCs w:val="24"/>
        </w:rPr>
        <w:t xml:space="preserve">甲方：（公章）                       乙方：（公章） </w:t>
      </w:r>
      <w:r/>
    </w:p>
    <w:p>
      <w:pPr>
        <w:pStyle w:val="867"/>
        <w:spacing w:before="120" w:after="120"/>
        <w:rPr>
          <w:rFonts w:hint="eastAsia" w:hAnsi="宋体"/>
          <w:sz w:val="24"/>
          <w:szCs w:val="24"/>
        </w:rPr>
      </w:pPr>
      <w:r>
        <w:rPr>
          <w:rFonts w:hint="eastAsia" w:hAnsi="宋体"/>
          <w:sz w:val="24"/>
          <w:szCs w:val="24"/>
        </w:rPr>
        <w:t xml:space="preserve">  地址：                               地址： </w:t>
      </w:r>
      <w:r/>
    </w:p>
    <w:p>
      <w:pPr>
        <w:pStyle w:val="867"/>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867"/>
        <w:ind w:firstLine="240"/>
        <w:spacing w:before="120" w:after="120"/>
        <w:rPr>
          <w:rFonts w:hint="eastAsia" w:hAnsi="宋体"/>
          <w:sz w:val="24"/>
          <w:szCs w:val="24"/>
        </w:rPr>
      </w:pPr>
      <w:r>
        <w:rPr>
          <w:rFonts w:hint="eastAsia" w:hAnsi="宋体"/>
          <w:sz w:val="24"/>
          <w:szCs w:val="24"/>
        </w:rPr>
        <w:t xml:space="preserve">联系电话：                           联系电话：          </w:t>
      </w:r>
      <w:r/>
    </w:p>
    <w:p>
      <w:pPr>
        <w:pStyle w:val="867"/>
        <w:spacing w:before="120" w:after="120"/>
        <w:rPr>
          <w:rFonts w:hint="eastAsia" w:hAnsi="宋体"/>
          <w:sz w:val="24"/>
          <w:szCs w:val="24"/>
        </w:rPr>
      </w:pPr>
      <w:r>
        <w:rPr>
          <w:rFonts w:hint="eastAsia" w:hAnsi="宋体"/>
          <w:sz w:val="24"/>
          <w:szCs w:val="24"/>
        </w:rPr>
        <w:t xml:space="preserve">                                          </w:t>
      </w:r>
      <w:r/>
    </w:p>
    <w:p>
      <w:pPr>
        <w:pStyle w:val="867"/>
        <w:ind w:firstLine="5280"/>
        <w:spacing w:before="120" w:after="120"/>
        <w:rPr>
          <w:rFonts w:hint="eastAsia" w:hAnsi="宋体"/>
          <w:sz w:val="24"/>
          <w:szCs w:val="24"/>
        </w:rPr>
      </w:pPr>
      <w:r>
        <w:rPr>
          <w:rFonts w:hint="eastAsia" w:hAnsi="宋体"/>
          <w:sz w:val="24"/>
          <w:szCs w:val="24"/>
        </w:rPr>
        <w:t xml:space="preserve">签订日期：      年    月   日</w:t>
      </w:r>
      <w:r/>
    </w:p>
    <w:p>
      <w:pPr>
        <w:pStyle w:val="867"/>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867"/>
        <w:jc w:val="left"/>
        <w:spacing w:before="120" w:after="120"/>
        <w:rPr>
          <w:rFonts w:hint="eastAsia" w:hAnsi="宋体"/>
          <w:color w:val="000000"/>
          <w:sz w:val="24"/>
          <w:szCs w:val="24"/>
        </w:rPr>
      </w:pPr>
      <w:r>
        <w:rPr>
          <w:rFonts w:hint="eastAsia" w:hAnsi="宋体"/>
          <w:color w:val="000000"/>
          <w:sz w:val="24"/>
          <w:szCs w:val="24"/>
        </w:rPr>
        <w:t xml:space="preserve">    如遇磋商文件及合同未约定事项，双方可友好协商签订补充协议。</w:t>
      </w:r>
      <w:r/>
    </w:p>
    <w:p>
      <w:pPr>
        <w:pStyle w:val="867"/>
        <w:jc w:val="center"/>
        <w:rPr>
          <w:rFonts w:hint="eastAsia" w:ascii="方正小标宋简体" w:hAnsi="方正小标宋简体" w:eastAsia="方正小标宋简体" w:cs="方正小标宋简体"/>
          <w:color w:val="000000"/>
          <w:sz w:val="36"/>
          <w:szCs w:val="36"/>
        </w:rPr>
      </w:pPr>
      <w:r>
        <w:rPr>
          <w:rFonts w:hint="eastAsia" w:hAnsi="宋体"/>
          <w:color w:val="000000"/>
          <w:sz w:val="24"/>
          <w:szCs w:val="24"/>
        </w:rPr>
        <w:br w:type="page" w:clear="all"/>
      </w:r>
      <w:bookmarkEnd w:id="0"/>
      <w:r/>
      <w:bookmarkEnd w:id="1"/>
      <w:r/>
      <w:bookmarkEnd w:id="2"/>
      <w:r/>
      <w:bookmarkEnd w:id="3"/>
      <w:r/>
      <w:bookmarkEnd w:id="4"/>
      <w:r/>
      <w:bookmarkEnd w:id="5"/>
      <w:r/>
      <w:bookmarkStart w:id="122" w:name="_Toc26554093"/>
      <w:r/>
      <w:bookmarkStart w:id="123" w:name="_Toc49090575"/>
      <w:r/>
      <w:bookmarkStart w:id="124" w:name="_Toc462564139"/>
      <w:r/>
      <w:bookmarkStart w:id="125" w:name="_Toc479757211"/>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（一）项目背景</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结合项目一期建设情况，对栖霞区城市运行“一网统管”综合管理平台仙林街道分中心系统进行优化升级及个性化功能开发：在街道治理中心PC端，完善统计分析、岗位发布、经济发展项目管理与资源维护、专项任务全流程闭环管理、督查巡访记录跟踪及事件分拨处置；在“我的南京政务版”小程序中，新增专项任务与督查事项处置、督查问题实时记录与推送功能；优化大屏可视化系统的就业民生、经济发展、安全生产等核心指标展示。通过上述建设，实现街道级城市治理数据集成分析、多终端协同处置及全流程线上可追溯管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（二）项目建设遵循标准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遵循国家、行业及地方现行的规范和标准。</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958"/>
        <w:tblW w:w="5107" w:type="pct"/>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4"/>
        <w:gridCol w:w="2348"/>
        <w:gridCol w:w="900"/>
        <w:gridCol w:w="874"/>
        <w:gridCol w:w="1306"/>
        <w:gridCol w:w="1306"/>
        <w:gridCol w:w="1581"/>
        <w:gridCol w:w="982"/>
      </w:tblGrid>
      <w:tr>
        <w:trPr>
          <w:trHeight w:val="943"/>
        </w:trPr>
        <w:tc>
          <w:tcPr>
            <w:tcBorders>
              <w:top w:val="single" w:color="000000" w:sz="2" w:space="0"/>
              <w:bottom w:val="single" w:color="000000" w:sz="2" w:space="0"/>
            </w:tcBorders>
            <w:tcW w:w="338"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1176"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45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438"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65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pPr>
            <w:r>
              <w:rPr>
                <w:rFonts w:hint="eastAsia" w:ascii="宋体" w:hAnsi="宋体" w:cs="宋体"/>
                <w:bCs/>
                <w:sz w:val="24"/>
                <w:szCs w:val="24"/>
              </w:rPr>
              <w:t xml:space="preserve">（元）</w:t>
            </w:r>
            <w:r/>
          </w:p>
        </w:tc>
        <w:tc>
          <w:tcPr>
            <w:tcBorders>
              <w:top w:val="single" w:color="000000" w:sz="2" w:space="0"/>
              <w:bottom w:val="single" w:color="000000" w:sz="2" w:space="0"/>
            </w:tcBorders>
            <w:tcW w:w="65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79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所属行业</w:t>
            </w:r>
            <w:r/>
          </w:p>
        </w:tc>
        <w:tc>
          <w:tcPr>
            <w:tcBorders>
              <w:top w:val="single" w:color="000000" w:sz="2" w:space="0"/>
              <w:bottom w:val="single" w:color="000000" w:sz="2" w:space="0"/>
            </w:tcBorders>
            <w:tcW w:w="49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属性</w:t>
            </w:r>
            <w:r/>
          </w:p>
        </w:tc>
      </w:tr>
      <w:tr>
        <w:trPr>
          <w:trHeight w:val="2918"/>
        </w:trPr>
        <w:tc>
          <w:tcPr>
            <w:tcBorders>
              <w:top w:val="single" w:color="000000" w:sz="2" w:space="0"/>
              <w:bottom w:val="single" w:color="000000" w:sz="2" w:space="0"/>
            </w:tcBorders>
            <w:tcW w:w="338"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176" w:type="pct"/>
            <w:vAlign w:val="center"/>
            <w:textDirection w:val="lrTb"/>
            <w:noWrap w:val="false"/>
          </w:tcPr>
          <w:p>
            <w:pPr>
              <w:jc w:val="left"/>
              <w:keepLines w:val="0"/>
              <w:keepNext w:val="0"/>
              <w:pageBreakBefore w:val="0"/>
              <w:spacing w:line="264" w:lineRule="auto"/>
              <w:widowControl w:val="off"/>
              <w:rPr>
                <w:rFonts w:hint="eastAsia" w:ascii="宋体" w:hAnsi="宋体"/>
                <w:bCs/>
                <w:sz w:val="24"/>
                <w:szCs w:val="24"/>
              </w:rPr>
            </w:pPr>
            <w:r>
              <w:rPr>
                <w:rFonts w:hint="eastAsia" w:ascii="宋体" w:hAnsi="宋体" w:cs="宋体"/>
                <w:sz w:val="24"/>
                <w:szCs w:val="24"/>
              </w:rPr>
              <w:t xml:space="preserve">栖霞区城市运行“一网统管”综合管理平台仙林街道分中心系统二期升级</w:t>
            </w:r>
            <w:r/>
          </w:p>
        </w:tc>
        <w:tc>
          <w:tcPr>
            <w:tcBorders>
              <w:top w:val="single" w:color="000000" w:sz="2" w:space="0"/>
              <w:bottom w:val="single" w:color="000000" w:sz="2" w:space="0"/>
            </w:tcBorders>
            <w:tcW w:w="451" w:type="pct"/>
            <w:vAlign w:val="center"/>
            <w:textDirection w:val="lrTb"/>
            <w:noWrap w:val="false"/>
          </w:tcPr>
          <w:p>
            <w:pPr>
              <w:jc w:val="center"/>
              <w:spacing w:line="240" w:lineRule="auto"/>
              <w:rPr>
                <w:rFonts w:hint="eastAsia" w:ascii="宋体" w:hAnsi="宋体"/>
                <w:bCs/>
                <w:color w:val="0000ff"/>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438" w:type="pct"/>
            <w:vAlign w:val="center"/>
            <w:textDirection w:val="lrTb"/>
            <w:noWrap w:val="false"/>
          </w:tcPr>
          <w:p>
            <w:pPr>
              <w:jc w:val="center"/>
              <w:spacing w:line="240" w:lineRule="auto"/>
              <w:rPr>
                <w:rFonts w:hint="eastAsia" w:ascii="宋体" w:hAnsi="宋体"/>
                <w:bCs/>
                <w:color w:val="0000ff"/>
                <w:sz w:val="24"/>
                <w:szCs w:val="24"/>
              </w:rPr>
            </w:pPr>
            <w:r>
              <w:rPr>
                <w:rFonts w:hint="eastAsia" w:ascii="宋体" w:hAnsi="宋体" w:cs="宋体"/>
                <w:bCs/>
                <w:color w:val="000000"/>
                <w:sz w:val="24"/>
                <w:szCs w:val="24"/>
              </w:rPr>
              <w:t xml:space="preserve">项</w:t>
            </w:r>
            <w:r/>
          </w:p>
        </w:tc>
        <w:tc>
          <w:tcPr>
            <w:tcBorders>
              <w:top w:val="single" w:color="000000" w:sz="2" w:space="0"/>
              <w:bottom w:val="single" w:color="000000" w:sz="2" w:space="0"/>
            </w:tcBorders>
            <w:tcW w:w="654" w:type="pct"/>
            <w:vAlign w:val="center"/>
            <w:textDirection w:val="lrTb"/>
            <w:noWrap w:val="false"/>
          </w:tcPr>
          <w:p>
            <w:pPr>
              <w:jc w:val="center"/>
              <w:spacing w:line="240" w:lineRule="auto"/>
              <w:rPr>
                <w:rFonts w:hint="eastAsia" w:ascii="宋体" w:hAnsi="宋体" w:cs="宋体"/>
                <w:bCs/>
                <w:sz w:val="24"/>
                <w:szCs w:val="24"/>
              </w:rPr>
            </w:pPr>
            <w:r>
              <w:rPr>
                <w:rFonts w:hint="eastAsia" w:ascii="宋体" w:hAnsi="宋体"/>
                <w:bCs/>
                <w:color w:val="000000"/>
                <w:sz w:val="24"/>
                <w:szCs w:val="24"/>
                <w:highlight w:val="none"/>
              </w:rPr>
              <w:t xml:space="preserve">250000</w:t>
            </w:r>
            <w:r/>
          </w:p>
        </w:tc>
        <w:tc>
          <w:tcPr>
            <w:tcBorders>
              <w:top w:val="single" w:color="000000" w:sz="2" w:space="0"/>
              <w:bottom w:val="single" w:color="000000" w:sz="2" w:space="0"/>
            </w:tcBorders>
            <w:tcW w:w="654" w:type="pct"/>
            <w:vAlign w:val="center"/>
            <w:textDirection w:val="lrTb"/>
            <w:noWrap w:val="false"/>
          </w:tcPr>
          <w:p>
            <w:pPr>
              <w:jc w:val="center"/>
              <w:spacing w:line="240" w:lineRule="auto"/>
              <w:rPr>
                <w:rFonts w:hint="eastAsia" w:ascii="宋体" w:hAnsi="宋体" w:cs="宋体"/>
                <w:bCs/>
                <w:color w:val="0000ff"/>
                <w:sz w:val="24"/>
                <w:szCs w:val="24"/>
              </w:rPr>
            </w:pPr>
            <w:r>
              <w:rPr>
                <w:rFonts w:hint="eastAsia" w:ascii="宋体" w:hAnsi="宋体"/>
                <w:bCs/>
                <w:color w:val="000000"/>
                <w:sz w:val="24"/>
                <w:szCs w:val="24"/>
              </w:rPr>
              <w:t xml:space="preserve">主要产品</w:t>
            </w:r>
            <w:r/>
          </w:p>
        </w:tc>
        <w:tc>
          <w:tcPr>
            <w:tcBorders>
              <w:top w:val="single" w:color="000000" w:sz="2" w:space="0"/>
              <w:bottom w:val="single" w:color="000000" w:sz="2" w:space="0"/>
            </w:tcBorders>
            <w:tcW w:w="792" w:type="pct"/>
            <w:vAlign w:val="center"/>
            <w:textDirection w:val="lrTb"/>
            <w:noWrap w:val="false"/>
          </w:tcPr>
          <w:p>
            <w:pPr>
              <w:jc w:val="center"/>
              <w:spacing w:line="240" w:lineRule="auto"/>
              <w:rPr>
                <w:rFonts w:hint="eastAsia" w:ascii="宋体" w:hAnsi="宋体"/>
                <w:bCs/>
                <w:sz w:val="24"/>
                <w:szCs w:val="24"/>
              </w:rPr>
            </w:pPr>
            <w:r>
              <w:rPr>
                <w:rFonts w:hint="eastAsia" w:ascii="宋体" w:hAnsi="宋体" w:cs="宋体"/>
                <w:bCs/>
                <w:color w:val="000000"/>
                <w:sz w:val="24"/>
                <w:szCs w:val="24"/>
              </w:rPr>
              <w:t xml:space="preserve">软件和信息技术服务业</w:t>
            </w:r>
            <w:r/>
          </w:p>
        </w:tc>
        <w:tc>
          <w:tcPr>
            <w:tcBorders>
              <w:top w:val="single" w:color="000000" w:sz="2" w:space="0"/>
              <w:bottom w:val="single" w:color="000000" w:sz="2" w:space="0"/>
            </w:tcBorders>
            <w:tcW w:w="492" w:type="pct"/>
            <w:vAlign w:val="center"/>
            <w:textDirection w:val="lrTb"/>
            <w:noWrap w:val="false"/>
          </w:tcPr>
          <w:p>
            <w:pPr>
              <w:jc w:val="center"/>
              <w:spacing w:line="240" w:lineRule="auto"/>
              <w:rPr>
                <w:rFonts w:hint="eastAsia" w:ascii="宋体" w:hAnsi="宋体" w:cs="宋体"/>
                <w:bCs/>
                <w:color w:val="0000ff"/>
                <w:sz w:val="24"/>
                <w:szCs w:val="24"/>
              </w:rPr>
            </w:pPr>
            <w:r>
              <w:rPr>
                <w:rFonts w:hint="eastAsia" w:ascii="宋体" w:hAnsi="宋体" w:cs="宋体"/>
                <w:bCs/>
                <w:color w:val="000000"/>
                <w:sz w:val="24"/>
                <w:szCs w:val="24"/>
              </w:rPr>
              <w:t xml:space="preserve">服务</w:t>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（一）技术要求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街道城市治理中心（PC端）建设</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搭建街道级综合管理后台，围绕统计分析、为民服务、经济发展、专项任务、督查巡访和事件分拨等核心业务，实现街情基础画像、人口与小区多维分析、走访及事件分层统计、岗位发布、重大项目与资源管理、专项任务下发及问卷管理、督查问题全流程跟踪，并支持与区级平台对接完成智能事件推送，形成覆盖街道、社区、网格的统一工作平台，具体要求如下：</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1.1 统计分析</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1.1.1 街道基本情况</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具备街道基本情况统计功能，能够以街道基本情况信息为主体，自动统计分析并展示街道的社区数量、综合网格数量、专属网格数量、小区数量（并支持对小区类型进行细分统计）、楼栋数量、房屋数量、人口数量、驻街单位数量、党组织数量以及党员数量，形成完整的街道治理基础画像。</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▲1.1.2 人口分析</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支持多维度的人口统计与分析，能够统计街道总人口数、各社区人口数及各社区内综合网格的人口数；支持按人口标签（如标签种类）统计各类标签的人口数量，按年龄段统计人口分布，按人口类型（如户籍常住、非户籍常住、流动人口等）统计人口数量及租客数量；同时具备历史数据统计能力，支持按年度统计人口流动趋势，包括迁入人数、迁出人数及死亡人数。</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1.1.3 小区分析</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提供以小区为单位的分析功能，能够按小区分别统计每个小区的楼栋数量、房屋总数、自住房屋数量、出租房屋数量、空置房屋数量以及人口数量，并支持按照社区维度进行筛选查询，便于基层工作人员掌握各小区的人房底数与居住状态。</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1.1.4 走访分析</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对街道整体走访情况进行统计分析，支持按日、月、年时间维度生成综合网格与专属网格走访次数的趋势图；针对综合网格，需统计房屋总数量、总累计走访次数、一年内走访次数（区分为入户与非入户）及一年内走访进度；针对专属网格，需统计驻街单位总数、总累计走访次数、本周走访次数及本周走访进度。同时，系统需支持按照12个社区分别统计上述走访指标，支持根据社区查询社区内所有网格的走访情况，确保街道、社区、网格三级走访数据的层层穿透与精细化管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1.1.5 事件分析</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系统需提供分层级的事件多维分析能力。在街道层面，需统计走访发现的问题总数（区分综合网格与专属网格），展示当前已</w:t>
      </w:r>
      <w:r>
        <w:rPr>
          <w:rFonts w:hint="eastAsia" w:ascii="宋体" w:hAnsi="宋体" w:cs="宋体"/>
          <w:sz w:val="24"/>
          <w:szCs w:val="24"/>
        </w:rPr>
        <w:t xml:space="preserve">解决、未解决问题数量，并按照未处理、已处理、已完结分类统计；支持按日、月、年统计问题发现量及已解决量；统计网格、社区、街道分中心及各科室协助解决问题的总数，并支持按日、月、年、分类统计各类走访事项的问题发现数量。在社区层面，需支持查询特定社区的事件处理情况，统计社区内问题发现总数、已解决与未解决数，并统计上报至街道分中心的问题数量。在网格层面，需支持按社区、网格查询单一网格内事件处理情况，统计网格内问题总数、当前已解决数、未解决数及上报社区数，并支持按日、月、年统计网格员自行解决及上报的问题数量及分类数量。</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1.1.6 督查工作分析</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具备对辖区内督查工作的全面分析能力，能够按照年、月、周等时间维度，自动统计督查工作的总次数、发现的问题数量、未完结问题数量，并对各类问题出现的频次及未完结的问题数量进行统计分析，为督查考核提供量化依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1.2 为民服务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1.2.1 岗位发布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系统需提供岗位信息发布管理功能，支持业务人员对岗位信息进行新增、修改、删除、查询等日常操作，同时支持按模板批量导入岗位信息以及批量导出岗位信息。</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1.3 经济发展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1.3.1 重大项目管理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在经济发展模块新增重大项目管理功能，系统需支持按年度维护街道重大项目的基本信息，提供对重大项目信息的新增、修改、删除及查询功能，以便主管部门及时掌握辖区内重大项目的建设动态与投资情况。</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1.3.2 可用资源信息管理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在经济发展模块新增可用资源信息管理功能，系统需支持按年度维护街道可用资源（如土地资源）信息，提供对资源信息的新增、修改、删除及查询功能，为招商引资和城市空间规划提供数据支撑。</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1.4 专项任务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★1.4.1 专项任务问卷管理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系统需支持专项任务配套问卷的灵活管理，能够新增、修改、删除及查询各类问卷调查，问卷题目支持单选、多选、填空题等常见题型，满足基层任务调研与意见征集的需要。</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★1.4.2 专项任务发布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支持街道层面由上至下的专项任务发布机制，任务内容在后台发布时可关联提醒接收人员，提醒范围支持整个街道、指定部分社区、指定综合/专属网格及指定科室。系统需实现任务下达、任务状态跟踪、任务完成情况统计汇总等全流程闭环管理，支持对已发布任务的增删改查操作；专项任务需支持挂载问卷调查。</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★1.4.3 参与人员查询</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系统需支持查询参与专项任务的人员列表，若该专项任务绑定了问卷调查，需支持查看各参与人员填写的问卷详细内容，便于任务管理员对执行情况进行过程把控与结果核验。</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★1.4.4 专项任务结果</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展示专项任务信息、任务进度，需支持查看专项任务处理详情，如果有调查问卷，支持查看个人的问卷填写情况，支持按专项任务进行问卷统计查询，需支持导出专项任务总体处理情况。</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1.5 督查巡访</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1.5.1 督查工作记录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系统需提供督查巡防工作日志的查询功能，支持查看督查记录的详细内容、发现的问题列表，点击具体问题可查看问题的详细详情，确保督查工作全流程可追溯。</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1.5.2 督查问题列表</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系统需支持查询在督查过程中发现的所有问题，并提供问题的详情查看与状态跟踪功能，能够实时查看问题处理的流程进度与进展情况，确保督查发现的问题件件有落实。</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1.6 事件分拨处置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1.6.1 中心事件推送</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支持与区级“一网统管”平台对接，自动接收AI智能识别产生的事件信息。系统可根据事件信息人工创建对应的问题，推送到目标对象包括网格员、社区书记及相关职能部门，实现智能事件的完整处理流程闭环。</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小程序应用建设（移动端）</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面向网格员、社区书记、街道分中心等角色的移动办公入口，通过办件中心实现专项任务与督查事项的处置闭环；集成纪工委“三查三比”问题记录与事件处理机制，并在网格总览中新增督查数据统计，方便基层人员随时随地处理任务、跟踪问题、掌握督查成效，具体要求如下：</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2.1 办件中心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★2.1.1 专项任务处置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在移动端统计当前登录用户未完成的专项任务数量，并支持查询街道层面下发的专项任务列表。任务列表应包含未处理与已处理的专项任务信息，支持查看任务详情。支持任务中调查问卷的填写，任务执行完成后支持用户主动关闭该任务，确保任务管理闭环。</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▲2.1.2 督查事项处置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在移动端统计当前登录用户未完成的督查任务数量，并支持查询未处理与已处理的督查事项列表。用户可查看督查事项的详情及问题处理流程。网格员可以处理问题或上报至社区；社区书记可以处理问题、上报至街道；街道分中心可以处理问题或推送至部门；责任部门在接收到问题后可以进行处理、推送至本部门其他人员，若问题无法解决可回退至街道分中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▲2.2 三查三比</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支持纪工委在移动端对历史走访问题进行巡查，监督中发现的问题进行实时记录，记录范围覆盖整个街道。记录完成后，发现问题后按历史问题所在网格进行事件分拨处置，最终需要纪工委发现人进行确认完结。用户可根据社区、网格维度查看督查记录信息列表及督查详情，查看发现的问题信息及进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2.3 网格总览</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在原有网格总览内新增督查工作数据的总览统计功能，支持按年、月、周等时间维度自动统计督查总次数、发现问题数量、未完结问题数量，以及各类问题出现的数量及未完结的数量，帮助管理者随时掌握巡查督查工作的整体成效与短板。</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大屏可视化系统建设优化</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大屏中数据集成模块功能升级，优化就业民生指标呈现，突出上岗人数与多维度岗位发布统计；强化经济发展模块的重大项目、可用资源、经济GDP、企业数量等核心指标集中展示与交互，提升全局数据的直观可视与决策支撑能力，具体要求如下：</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3.1 就业民生优化</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在数据集成大屏页面中，对就业民生模块进行定制化展示优化。将原有的“岗位总数”指标调整为“已成功上岗人数”，右侧展示区域变更为“本月岗位发布数”、“本季度岗位发布数”及“本年岗位发布数”，并支持对岗位信息进行汇总分类展示，直观反映街道就业服务成果与活跃度。</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3.2 经济发展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系统需在大屏数据集成-经济发展模块页面中，实现核心经济指标的集成展示与穿透交互：展示“重大项目数量”，用户点击后可查看详细的重大项目列表及信息；展示“可用资源信息”并支持点击查看资源详情列表；动态展示“经济GDP”年度数据；动态展示“企业数量”数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★（二）商务要求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2.1总体要求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（1）本项目为系统二期建设，要求本项目兼容栖霞区城市运行“一网统管”综合管理平台仙林街道分中心系统一期，不改变现有采购人的使用习惯；</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（2）本次采购的软件要求不影响现有的业务系统，供应商负责系统的部署。</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2.2组织实施要求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实施规划要求供应商的实施规划中应包括完善的分步实施和部署方案、风险分析和规避措施，实施步骤说明等内容。采购人有对项目进度和质量进行监督控制的职责和权利，供应商应保证在项目实施全过程中全面配合采购人，确保人力、物力的定量投入，定期向采购人提交最新的进展情况报告。供应商应保证在项目实施全过程中严格按照软件工程规范进行管理。各阶段应提交相应文档，并经采购人认可后方可进行下阶段工作。</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2.3 对接要求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采购人负责协调对接工作，采购人联系方式详见磋商文件第一章。</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2.4验收要求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2.5运维服务及培训要求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2.5.1本项目软件服务运维期一年(自项目验收通过之日起，进入运维期)。上述所有服务费用包含在总报价中。</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2.5.2如采购人未能正确使用和操作本系统，包括未能正确执行适当的备份等操作，导致系统功能不正常的，供应商应向采购人提供技术上的支持协助，以使采购人的损失减至最低。</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（1）服务要求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1）供应商必须拥有一套切实可行的质量保证体系，确保软件的开发及服务质量，确保软件的开发及服务质量。</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2）为保证系统的正常运行，供应商配有较强的专业技术队伍，能提供快捷的运维服务响应。</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3）服务内容包括现场服务、定期巡检、故障服务。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4）供应商应建立运行维护团队，故障响应要求：①提供7×24小时响应。②故障在1小时内响应，如电话、网络等不能解决问题，4小时到现场，24小时解决问题，紧急状况2小时到现场，4小时解决问题。</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5）如遇紧急、重大服务事项，需在保证提供多人、快速服务响应的情况下配合管理方协调产品的研发单位进行现场应急事件处理。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6）供应商应有完善的文档管理制度，保证运行维护过程中产生的文档。</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7）在提供运维服务的过程中，获悉的一切资讯需严格遵守保密协议，严禁自行使用或向他人传播，泄漏或擅自使用或允许他人使用上述信息，由此造成的损失应承担相应的法律责任。</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（2）培训要求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1）供应商须提供详细的培训计划。</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2）培训授课人必须是承担本项目实施服务工作的工程师、技术人员等。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3）培训时间不少于三天，地点为采购人选定，培训方式包含一人一机集中培训。</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4）培训内容与课程要求：培训内容为系统操作以及常见问题处理，确保相关人员独立使用应用软件，具备独立工作的能力。</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2.6 保密要求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供应商必须保证项目相关技术和数据的秘密，未经采购人许可，不得转存或拷贝平台数据，不得披露平台相关技术和信息。</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3.付款条件</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4.交付时间及地点</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（1）交付时间：合同签订后60天内完成系统开发。</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（2）交付地点：采购人指定地点。</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5.其他要求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（三）视频要求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单个文件不得大于50M，所有文件合计不得大于300M）。文件上传方式见《操作手册》，上传的演示视频将作为响应文件的组成部分。视频时长总计不超过1</w:t>
      </w:r>
      <w:r>
        <w:rPr>
          <w:rFonts w:hint="eastAsia" w:ascii="宋体" w:hAnsi="宋体" w:cs="宋体"/>
          <w:sz w:val="24"/>
          <w:szCs w:val="24"/>
          <w:lang w:val="en-US" w:eastAsia="zh-CN"/>
        </w:rPr>
        <w:t xml:space="preserve">0</w:t>
      </w:r>
      <w:r>
        <w:rPr>
          <w:rFonts w:hint="eastAsia" w:ascii="宋体" w:hAnsi="宋体" w:cs="宋体"/>
          <w:sz w:val="24"/>
          <w:szCs w:val="24"/>
        </w:rPr>
        <w:t xml:space="preserve">分钟。</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2.视频要求详见“第五章  评审方法与评审标准”。</w:t>
      </w:r>
      <w:r/>
    </w:p>
    <w:p>
      <w:pPr>
        <w:spacing w:line="0" w:lineRule="atLeast"/>
        <w:rPr>
          <w:rFonts w:hint="eastAsia" w:ascii="宋体" w:hAnsi="宋体"/>
          <w:sz w:val="24"/>
          <w:szCs w:val="24"/>
        </w:rPr>
      </w:pPr>
      <w:r>
        <w:rPr>
          <w:rFonts w:hint="eastAsia" w:ascii="宋体" w:hAnsi="宋体"/>
          <w:sz w:val="24"/>
          <w:szCs w:val="24"/>
        </w:rPr>
      </w:r>
      <w:r/>
    </w:p>
    <w:p>
      <w:pPr>
        <w:ind w:firstLine="602"/>
        <w:spacing w:line="264" w:lineRule="auto"/>
        <w:rPr>
          <w:b/>
          <w:i/>
          <w:sz w:val="30"/>
          <w:szCs w:val="32"/>
          <w:u w:val="single"/>
        </w:rPr>
      </w:pPr>
      <w:r>
        <w:rPr>
          <w:b/>
          <w:i/>
          <w:sz w:val="30"/>
          <w:szCs w:val="32"/>
          <w:u w:val="single"/>
        </w:rPr>
      </w:r>
      <w:r/>
    </w:p>
    <w:p>
      <w:pPr>
        <w:jc w:val="center"/>
        <w:keepNext/>
        <w:rPr>
          <w:rFonts w:ascii="黑体" w:eastAsia="黑体"/>
          <w:bCs/>
          <w:sz w:val="44"/>
          <w:szCs w:val="28"/>
        </w:rPr>
        <w:outlineLvl w:val="0"/>
      </w:pPr>
      <w:r/>
      <w:bookmarkStart w:id="126" w:name="_Toc120614281"/>
      <w:r>
        <w:rPr>
          <w:rFonts w:hint="eastAsia" w:ascii="黑体" w:eastAsia="黑体"/>
          <w:bCs/>
          <w:sz w:val="44"/>
          <w:szCs w:val="28"/>
        </w:rPr>
        <w:br w:type="page" w:clear="all"/>
      </w:r>
      <w:r>
        <w:rPr>
          <w:rFonts w:hint="eastAsia" w:ascii="黑体" w:eastAsia="黑体"/>
          <w:sz w:val="44"/>
          <w:szCs w:val="44"/>
        </w:rPr>
        <w:t xml:space="preserve">第五章  评审方法与评审标准</w:t>
      </w:r>
      <w:r/>
    </w:p>
    <w:p>
      <w:pPr>
        <w:ind w:firstLine="420"/>
        <w:spacing w:line="264" w:lineRule="auto"/>
        <w:rPr>
          <w:szCs w:val="21"/>
        </w:rPr>
      </w:pPr>
      <w:r>
        <w:rPr>
          <w:szCs w:val="21"/>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cs="宋体"/>
          <w:color w:val="auto"/>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3</w:t>
      </w:r>
      <w:r>
        <w:rPr>
          <w:rFonts w:hint="eastAsia" w:ascii="宋体" w:hAnsi="宋体"/>
          <w:sz w:val="24"/>
          <w:szCs w:val="24"/>
        </w:rPr>
        <w:t xml:space="preserve">名</w:t>
      </w:r>
      <w:r>
        <w:rPr>
          <w:rFonts w:hint="eastAsia" w:ascii="宋体" w:hAnsi="宋体" w:cs="宋体"/>
          <w:sz w:val="24"/>
          <w:szCs w:val="24"/>
        </w:rPr>
        <w:t xml:space="preserve">成交候选供应商，并编写评审报告。符合本磋商文件第二章第25.1.2条第三款情形的，可以推荐2名成交候选供应商。评审</w:t>
      </w:r>
      <w:r>
        <w:rPr>
          <w:rFonts w:hint="eastAsia" w:ascii="宋体" w:hAnsi="宋体" w:cs="宋体"/>
          <w:color w:val="auto"/>
          <w:sz w:val="24"/>
          <w:szCs w:val="24"/>
        </w:rPr>
        <w:t xml:space="preserve">得分相同的，按照最后报价由低到高的顺序推荐。评审得分且最后报价相同的，按照“评审标准-2.技术项”得分由高到低顺序推荐。</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二、小微企业价格扣除</w:t>
      </w:r>
      <w:r/>
    </w:p>
    <w:p>
      <w:pPr>
        <w:ind w:firstLine="480"/>
        <w:spacing w:line="264" w:lineRule="auto"/>
        <w:rPr>
          <w:rFonts w:hint="eastAsia" w:ascii="宋体" w:hAnsi="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本项目服务全部由小微企业承接的，</w:t>
      </w:r>
      <w:r>
        <w:rPr>
          <w:rFonts w:hint="eastAsia" w:ascii="宋体" w:hAnsi="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cs="宋体"/>
          <w:color w:val="auto"/>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ff"/>
          <w:sz w:val="24"/>
          <w:szCs w:val="24"/>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、评审标准</w:t>
      </w:r>
      <w:r/>
    </w:p>
    <w:tbl>
      <w:tblPr>
        <w:tblStyle w:val="958"/>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425"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612" w:type="dxa"/>
            <w:textDirection w:val="lrTb"/>
            <w:noWrap w:val="false"/>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zCs w:val="21"/>
              </w:rPr>
            </w:pPr>
            <w:r>
              <w:rPr>
                <w:rFonts w:ascii="宋体" w:hAnsi="宋体" w:cs="宋体"/>
                <w:spacing w:val="-2"/>
                <w:szCs w:val="21"/>
              </w:rPr>
              <w:t xml:space="preserve">价格分</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hint="eastAsia" w:ascii="宋体" w:hAnsi="宋体" w:cs="宋体"/>
                <w:szCs w:val="21"/>
              </w:rPr>
            </w:pPr>
            <w:r>
              <w:rPr>
                <w:rFonts w:ascii="宋体" w:hAnsi="宋体" w:cs="宋体"/>
                <w:spacing w:val="1"/>
                <w:szCs w:val="21"/>
              </w:rPr>
              <w:t xml:space="preserve">采用低价优先</w:t>
            </w:r>
            <w:r>
              <w:rPr>
                <w:rFonts w:ascii="宋体" w:hAnsi="宋体" w:cs="宋体"/>
                <w:szCs w:val="21"/>
              </w:rPr>
              <w:t xml:space="preserve">法计算</w:t>
            </w:r>
            <w:r>
              <w:rPr>
                <w:rFonts w:hint="eastAsia" w:ascii="宋体" w:hAnsi="宋体" w:cs="宋体"/>
                <w:szCs w:val="21"/>
              </w:rPr>
              <w:t xml:space="preserve">，</w:t>
            </w:r>
            <w:r>
              <w:rPr>
                <w:rFonts w:ascii="宋体" w:hAnsi="宋体" w:cs="宋体"/>
                <w:szCs w:val="21"/>
              </w:rPr>
              <w:t xml:space="preserve">即满足</w:t>
            </w:r>
            <w:r>
              <w:rPr>
                <w:rFonts w:hint="eastAsia" w:ascii="宋体" w:hAnsi="宋体" w:cs="宋体"/>
                <w:szCs w:val="21"/>
              </w:rPr>
              <w:t xml:space="preserve">采购</w:t>
            </w:r>
            <w:r>
              <w:rPr>
                <w:rFonts w:ascii="宋体" w:hAnsi="宋体" w:cs="宋体"/>
                <w:szCs w:val="21"/>
              </w:rPr>
              <w:t xml:space="preserve">文件要求且</w:t>
            </w:r>
            <w:r>
              <w:rPr>
                <w:rFonts w:hint="eastAsia" w:ascii="宋体" w:hAnsi="宋体" w:cs="宋体"/>
                <w:szCs w:val="21"/>
              </w:rPr>
              <w:t xml:space="preserve">最终报价</w:t>
            </w:r>
            <w:r>
              <w:rPr>
                <w:rFonts w:ascii="宋体" w:hAnsi="宋体" w:cs="宋体"/>
                <w:szCs w:val="21"/>
              </w:rPr>
              <w:t xml:space="preserve">最低的</w:t>
            </w:r>
            <w:r>
              <w:rPr>
                <w:rFonts w:hint="eastAsia" w:ascii="宋体" w:hAnsi="宋体" w:cs="宋体"/>
                <w:szCs w:val="21"/>
              </w:rPr>
              <w:t xml:space="preserve">供应商</w:t>
            </w:r>
            <w:r>
              <w:rPr>
                <w:rFonts w:ascii="宋体" w:hAnsi="宋体" w:cs="宋体"/>
                <w:spacing w:val="1"/>
                <w:szCs w:val="21"/>
              </w:rPr>
              <w:t xml:space="preserve">报价为评标基准</w:t>
            </w:r>
            <w:r>
              <w:rPr>
                <w:rFonts w:ascii="宋体" w:hAnsi="宋体" w:cs="宋体"/>
                <w:szCs w:val="21"/>
              </w:rPr>
              <w:t xml:space="preserve">价</w:t>
            </w:r>
            <w:r>
              <w:rPr>
                <w:rFonts w:hint="eastAsia" w:ascii="宋体" w:hAnsi="宋体" w:cs="宋体"/>
                <w:szCs w:val="21"/>
              </w:rPr>
              <w:t xml:space="preserve">，</w:t>
            </w:r>
            <w:r>
              <w:rPr>
                <w:rFonts w:ascii="宋体" w:hAnsi="宋体" w:cs="宋体"/>
                <w:szCs w:val="21"/>
              </w:rPr>
              <w:t xml:space="preserve">其价格分为满分。其他</w:t>
            </w:r>
            <w:r>
              <w:rPr>
                <w:rFonts w:hint="eastAsia" w:ascii="宋体" w:hAnsi="宋体" w:cs="宋体"/>
                <w:szCs w:val="21"/>
              </w:rPr>
              <w:t xml:space="preserve">供应商</w:t>
            </w:r>
            <w:r>
              <w:rPr>
                <w:rFonts w:ascii="宋体" w:hAnsi="宋体" w:cs="宋体"/>
                <w:szCs w:val="21"/>
              </w:rPr>
              <w:t xml:space="preserve">的价格分统一按</w:t>
            </w:r>
            <w:r>
              <w:rPr>
                <w:rFonts w:ascii="宋体" w:hAnsi="宋体" w:cs="宋体"/>
                <w:spacing w:val="-1"/>
                <w:szCs w:val="21"/>
              </w:rPr>
              <w:t xml:space="preserve">照下列公</w:t>
            </w:r>
            <w:r>
              <w:rPr>
                <w:rFonts w:ascii="宋体" w:hAnsi="宋体" w:cs="宋体"/>
                <w:szCs w:val="21"/>
              </w:rPr>
              <w:t xml:space="preserve">式计算：报价得分=(评标基准价/</w:t>
            </w:r>
            <w:r>
              <w:rPr>
                <w:rFonts w:hint="eastAsia" w:ascii="宋体" w:hAnsi="宋体" w:cs="宋体"/>
                <w:szCs w:val="21"/>
              </w:rPr>
              <w:t xml:space="preserve">最终</w:t>
            </w:r>
            <w:r>
              <w:rPr>
                <w:rFonts w:ascii="宋体" w:hAnsi="宋体" w:cs="宋体"/>
                <w:szCs w:val="21"/>
              </w:rPr>
              <w:t xml:space="preserve">报价)×</w:t>
            </w:r>
            <w:r>
              <w:rPr>
                <w:rFonts w:hint="eastAsia" w:ascii="宋体" w:hAnsi="宋体" w:cs="宋体"/>
                <w:szCs w:val="21"/>
              </w:rPr>
              <w:t xml:space="preserve">价格分值（小数点保留两位）</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4"/>
        </w:trPr>
        <w:tc>
          <w:tcPr>
            <w:gridSpan w:val="5"/>
            <w:tcBorders>
              <w:top w:val="single" w:color="000000" w:sz="2" w:space="0"/>
              <w:bottom w:val="single" w:color="000000" w:sz="2" w:space="0"/>
            </w:tcBorders>
            <w:tcW w:w="9612" w:type="dxa"/>
            <w:vAlign w:val="center"/>
            <w:textDirection w:val="lrTb"/>
            <w:noWrap w:val="false"/>
          </w:tcPr>
          <w:p>
            <w:pPr>
              <w:jc w:val="left"/>
              <w:spacing w:before="68" w:line="264" w:lineRule="auto"/>
              <w:rPr>
                <w:color w:val="000000"/>
                <w:szCs w:val="21"/>
                <w:lang w:bidi="ar"/>
              </w:rPr>
            </w:pPr>
            <w:r>
              <w:rPr>
                <w:rFonts w:hint="eastAsia"/>
                <w:color w:val="000000"/>
                <w:szCs w:val="21"/>
                <w:lang w:bidi="ar"/>
              </w:rPr>
              <w:t xml:space="preserve">2.</w:t>
            </w:r>
            <w:r>
              <w:rPr>
                <w:rFonts w:hint="eastAsia" w:ascii="宋体" w:hAnsi="宋体" w:cs="宋体"/>
                <w:b/>
                <w:bCs/>
                <w:spacing w:val="-3"/>
              </w:rPr>
              <w:t xml:space="preserve">.技术</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2.1</w:t>
            </w:r>
            <w:r/>
          </w:p>
        </w:tc>
        <w:tc>
          <w:tcPr>
            <w:tcBorders>
              <w:top w:val="single" w:color="000000" w:sz="2" w:space="0"/>
              <w:bottom w:val="single" w:color="000000" w:sz="2" w:space="0"/>
            </w:tcBorders>
            <w:tcW w:w="1179" w:type="dxa"/>
            <w:vAlign w:val="center"/>
            <w:textDirection w:val="lrTb"/>
            <w:noWrap w:val="false"/>
          </w:tcPr>
          <w:p>
            <w:pPr>
              <w:spacing w:line="264" w:lineRule="auto"/>
              <w:rPr>
                <w:color w:val="auto"/>
                <w:highlight w:val="none"/>
              </w:rPr>
            </w:pPr>
            <w:r>
              <w:rPr>
                <w:rFonts w:hint="eastAsia" w:ascii="宋体" w:hAnsi="宋体" w:cs="宋体"/>
                <w:color w:val="auto"/>
                <w:spacing w:val="-2"/>
                <w:highlight w:val="none"/>
              </w:rPr>
              <w:t xml:space="preserve">产品技术参数</w:t>
            </w:r>
            <w:r/>
          </w:p>
        </w:tc>
        <w:tc>
          <w:tcPr>
            <w:tcBorders>
              <w:top w:val="single" w:color="000000" w:sz="2" w:space="0"/>
              <w:bottom w:val="single" w:color="000000" w:sz="2" w:space="0"/>
            </w:tcBorders>
            <w:tcW w:w="6425" w:type="dxa"/>
            <w:vAlign w:val="center"/>
            <w:textDirection w:val="lrTb"/>
            <w:noWrap w:val="false"/>
          </w:tcPr>
          <w:p>
            <w:pPr>
              <w:spacing w:line="264" w:lineRule="auto"/>
              <w:rPr>
                <w:rFonts w:hint="eastAsia" w:ascii="宋体" w:hAnsi="宋体" w:cs="宋体"/>
                <w:color w:val="auto"/>
                <w:highlight w:val="none"/>
              </w:rPr>
            </w:pPr>
            <w:r>
              <w:rPr>
                <w:rFonts w:ascii="宋体" w:hAnsi="宋体" w:cs="宋体"/>
                <w:color w:val="auto"/>
                <w:spacing w:val="-2"/>
                <w:highlight w:val="none"/>
              </w:rPr>
              <w:t xml:space="preserve">产品技术参数全部满足招标要求的得满分，打★指标为必须满足项，如有负偏离将作为无效投标，打▲指标（共3项）为重要指标，有1项负偏离扣1分，其余指标（共14项）有1项负偏离扣0.5分</w:t>
            </w:r>
            <w:r>
              <w:rPr>
                <w:rFonts w:hint="eastAsia" w:ascii="宋体" w:hAnsi="宋体" w:cs="宋体"/>
                <w:color w:val="auto"/>
                <w:spacing w:val="-2"/>
                <w:highlight w:val="none"/>
              </w:rPr>
              <w:t xml:space="preserve">。</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10</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color w:val="auto"/>
                <w:spacing w:val="-4"/>
                <w:highlight w:val="none"/>
              </w:rPr>
            </w:pPr>
            <w:r>
              <w:rPr>
                <w:rFonts w:hint="eastAsia" w:ascii="宋体" w:hAnsi="宋体" w:cs="宋体"/>
                <w:color w:val="auto"/>
                <w:highlight w:val="none"/>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宋体" w:hAnsi="宋体" w:cs="宋体"/>
                <w:color w:val="auto"/>
                <w:highlight w:val="none"/>
              </w:rPr>
            </w:pPr>
            <w:r>
              <w:rPr>
                <w:rFonts w:hint="eastAsia"/>
                <w:color w:val="auto"/>
                <w:highlight w:val="none"/>
              </w:rPr>
              <w:t xml:space="preserve">需求理解</w:t>
            </w:r>
            <w:r/>
          </w:p>
        </w:tc>
        <w:tc>
          <w:tcPr>
            <w:tcBorders>
              <w:top w:val="single" w:color="000000" w:sz="2" w:space="0"/>
              <w:bottom w:val="single" w:color="000000" w:sz="2" w:space="0"/>
            </w:tcBorders>
            <w:tcW w:w="6425"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根据本项目采购需求及相关要求编制方案，内容</w:t>
            </w:r>
            <w:r>
              <w:rPr>
                <w:rFonts w:ascii="宋体" w:hAnsi="宋体" w:cs="宋体"/>
                <w:color w:val="auto"/>
                <w:highlight w:val="none"/>
              </w:rPr>
              <w:t xml:space="preserve">包括</w:t>
            </w:r>
            <w:r>
              <w:rPr>
                <w:rFonts w:hint="eastAsia" w:ascii="宋体" w:hAnsi="宋体" w:cs="宋体"/>
                <w:color w:val="auto"/>
                <w:highlight w:val="none"/>
              </w:rPr>
              <w:t xml:space="preserve">：1.业务需求与升级必要性分析；2.项目现状分析及建设目标；3.重点难点分析。</w:t>
            </w:r>
            <w:r>
              <w:rPr>
                <w:rFonts w:hint="eastAsia" w:ascii="宋体" w:hAnsi="宋体" w:cs="宋体"/>
                <w:color w:val="auto"/>
                <w:szCs w:val="21"/>
                <w:highlight w:val="none"/>
              </w:rPr>
              <w:t xml:space="preserve">以上每项内容逐项评分：</w:t>
            </w:r>
            <w:r/>
          </w:p>
          <w:p>
            <w:pPr>
              <w:spacing w:line="264" w:lineRule="auto"/>
              <w:rPr>
                <w:rFonts w:cs="宋体"/>
                <w:color w:val="auto"/>
                <w:highlight w:val="none"/>
              </w:rPr>
            </w:pPr>
            <w:r>
              <w:rPr>
                <w:rFonts w:hint="eastAsia" w:ascii="宋体" w:hAnsi="宋体" w:cs="宋体"/>
                <w:color w:val="auto"/>
                <w:highlight w:val="none"/>
              </w:rPr>
              <w:t xml:space="preserve">方案内容</w:t>
            </w:r>
            <w:r>
              <w:rPr>
                <w:rFonts w:ascii="宋体" w:hAnsi="宋体" w:cs="宋体"/>
                <w:color w:val="auto"/>
                <w:highlight w:val="none"/>
              </w:rPr>
              <w:t xml:space="preserve">完整深刻、针对性强、紧贴采购需求的视为符合；</w:t>
            </w:r>
            <w:r>
              <w:rPr>
                <w:rFonts w:hint="eastAsia" w:ascii="宋体" w:hAnsi="宋体" w:cs="宋体"/>
                <w:color w:val="auto"/>
                <w:highlight w:val="none"/>
              </w:rPr>
              <w:t xml:space="preserve">方案内容</w:t>
            </w:r>
            <w:r>
              <w:rPr>
                <w:rFonts w:ascii="宋体" w:hAnsi="宋体" w:cs="宋体"/>
                <w:color w:val="auto"/>
                <w:highlight w:val="none"/>
              </w:rPr>
              <w:t xml:space="preserve">基本完整、具有一定针对性、基本符合采购需求的视为部分符合；</w:t>
            </w:r>
            <w:r>
              <w:rPr>
                <w:rFonts w:hint="eastAsia" w:ascii="宋体" w:hAnsi="宋体" w:cs="宋体"/>
                <w:color w:val="auto"/>
                <w:highlight w:val="none"/>
              </w:rPr>
              <w:t xml:space="preserve">方案内容</w:t>
            </w:r>
            <w:r>
              <w:rPr>
                <w:rFonts w:ascii="宋体" w:hAnsi="宋体" w:cs="宋体"/>
                <w:color w:val="auto"/>
                <w:highlight w:val="none"/>
              </w:rPr>
              <w:t xml:space="preserve">不符合采购需求或未提供需求理解材料的视为</w:t>
            </w:r>
            <w:r>
              <w:rPr>
                <w:rFonts w:hint="eastAsia" w:ascii="宋体" w:hAnsi="宋体" w:cs="宋体"/>
                <w:color w:val="auto"/>
                <w:highlight w:val="none"/>
              </w:rPr>
              <w:t xml:space="preserve">不</w:t>
            </w:r>
            <w:r>
              <w:rPr>
                <w:rFonts w:ascii="宋体" w:hAnsi="宋体" w:cs="宋体"/>
                <w:color w:val="auto"/>
                <w:highlight w:val="none"/>
              </w:rPr>
              <w:t xml:space="preserve">符合。</w:t>
            </w:r>
            <w:r>
              <w:rPr>
                <w:rFonts w:hint="eastAsia" w:ascii="宋体" w:hAnsi="宋体" w:cs="宋体"/>
                <w:color w:val="auto"/>
                <w:highlight w:val="none"/>
              </w:rPr>
              <w:t xml:space="preserve">上述每项内容</w:t>
            </w:r>
            <w:r>
              <w:rPr>
                <w:rFonts w:ascii="宋体" w:hAnsi="宋体" w:cs="宋体"/>
                <w:color w:val="auto"/>
                <w:highlight w:val="none"/>
              </w:rPr>
              <w:t xml:space="preserve">符合得</w:t>
            </w:r>
            <w:r>
              <w:rPr>
                <w:rFonts w:hint="eastAsia" w:ascii="宋体" w:hAnsi="宋体" w:cs="宋体"/>
                <w:color w:val="auto"/>
                <w:highlight w:val="none"/>
              </w:rPr>
              <w:t xml:space="preserve">2</w:t>
            </w:r>
            <w:r>
              <w:rPr>
                <w:rFonts w:ascii="宋体" w:hAnsi="宋体" w:cs="宋体"/>
                <w:color w:val="auto"/>
                <w:highlight w:val="none"/>
              </w:rPr>
              <w:t xml:space="preserve">分；部分符合得</w:t>
            </w:r>
            <w:r>
              <w:rPr>
                <w:rFonts w:hint="eastAsia" w:ascii="宋体" w:hAnsi="宋体" w:cs="宋体"/>
                <w:color w:val="auto"/>
                <w:highlight w:val="none"/>
              </w:rPr>
              <w:t xml:space="preserve">1</w:t>
            </w:r>
            <w:r>
              <w:rPr>
                <w:rFonts w:ascii="宋体" w:hAnsi="宋体" w:cs="宋体"/>
                <w:color w:val="auto"/>
                <w:highlight w:val="none"/>
              </w:rPr>
              <w:t xml:space="preserve">分；不符合或不提供不得分。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highlight w:val="none"/>
              </w:rPr>
              <w:t xml:space="preserve">6</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color w:val="auto"/>
                <w:szCs w:val="21"/>
                <w:highlight w:val="none"/>
                <w:lang w:bidi="ar"/>
              </w:rPr>
            </w:pPr>
            <w:r>
              <w:rPr>
                <w:rFonts w:hint="eastAsia" w:ascii="宋体" w:hAnsi="宋体" w:cs="宋体"/>
                <w:color w:val="auto"/>
                <w:spacing w:val="-4"/>
                <w:highlight w:val="none"/>
              </w:rPr>
              <w:t xml:space="preserve">主观分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3"/>
                <w:szCs w:val="21"/>
              </w:rPr>
            </w:pPr>
            <w:r>
              <w:rPr>
                <w:rFonts w:hint="eastAsia" w:ascii="宋体" w:hAnsi="宋体" w:cs="宋体"/>
                <w:spacing w:val="-3"/>
                <w:szCs w:val="21"/>
              </w:rPr>
              <w:t xml:space="preserve">2.3</w:t>
            </w:r>
            <w:r/>
          </w:p>
          <w:p>
            <w:pPr>
              <w:pStyle w:val="853"/>
              <w:ind w:left="420"/>
              <w:rPr>
                <w:rFonts w:hint="eastAsia"/>
              </w:rPr>
            </w:pPr>
            <w:r>
              <w:rPr>
                <w:rFonts w:hint="eastAsia"/>
              </w:rPr>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宋体" w:hAnsi="宋体" w:cs="宋体"/>
              </w:rPr>
            </w:pPr>
            <w:r>
              <w:rPr>
                <w:rFonts w:hint="eastAsia"/>
                <w:color w:val="000000"/>
              </w:rPr>
              <w:t xml:space="preserve">系统升级设计方案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widowControl/>
              <w:rPr>
                <w:rFonts w:hint="eastAsia" w:ascii="宋体" w:hAnsi="宋体" w:cs="宋体"/>
              </w:rPr>
            </w:pPr>
            <w:r>
              <w:rPr>
                <w:rFonts w:hint="eastAsia"/>
              </w:rPr>
              <w:t xml:space="preserve">根据本项目</w:t>
            </w:r>
            <w:r>
              <w:rPr>
                <w:rFonts w:hint="eastAsia"/>
                <w:color w:val="000000"/>
              </w:rPr>
              <w:t xml:space="preserve">系统升级设计方案</w:t>
            </w:r>
            <w:r>
              <w:rPr>
                <w:rFonts w:hint="eastAsia" w:ascii="宋体" w:hAnsi="宋体" w:cs="宋体"/>
                <w:color w:val="000000"/>
              </w:rPr>
              <w:t xml:space="preserve">综合评分，包括：</w:t>
            </w:r>
            <w:r>
              <w:rPr>
                <w:rFonts w:hint="eastAsia" w:ascii="宋体" w:hAnsi="宋体" w:cs="宋体"/>
              </w:rPr>
              <w:t xml:space="preserve">1.总体架构设计；2.技术路线和业务逻辑流程设计；3.用户界面和应用功能设计；4.系统升级方案。以上每项内容逐项评分：</w:t>
            </w:r>
            <w:r/>
          </w:p>
          <w:p>
            <w:pPr>
              <w:jc w:val="left"/>
              <w:spacing w:line="264" w:lineRule="auto"/>
              <w:widowControl/>
              <w:rPr>
                <w:rFonts w:hint="eastAsia" w:ascii="宋体" w:hAnsi="宋体" w:cs="宋体"/>
              </w:rPr>
            </w:pPr>
            <w:r>
              <w:rPr>
                <w:rFonts w:hint="eastAsia" w:ascii="宋体" w:hAnsi="宋体" w:cs="宋体"/>
              </w:rPr>
              <w:t xml:space="preserve">方案内容</w:t>
            </w:r>
            <w:r>
              <w:rPr>
                <w:rFonts w:ascii="宋体" w:hAnsi="宋体" w:cs="宋体"/>
              </w:rPr>
              <w:t xml:space="preserve">设计思路科学、前瞻性、技术可行</w:t>
            </w:r>
            <w:r>
              <w:rPr>
                <w:rFonts w:hint="eastAsia" w:ascii="宋体" w:hAnsi="宋体" w:cs="宋体"/>
              </w:rPr>
              <w:t xml:space="preserve">、</w:t>
            </w:r>
            <w:r>
              <w:rPr>
                <w:rFonts w:ascii="宋体" w:hAnsi="宋体" w:cs="宋体"/>
              </w:rPr>
              <w:t xml:space="preserve">紧贴采购需求的视为符合； </w:t>
            </w:r>
            <w:r/>
          </w:p>
          <w:p>
            <w:pPr>
              <w:jc w:val="left"/>
              <w:spacing w:line="264" w:lineRule="auto"/>
              <w:widowControl/>
              <w:rPr>
                <w:rFonts w:hint="eastAsia" w:ascii="宋体" w:hAnsi="宋体" w:cs="宋体"/>
              </w:rPr>
            </w:pPr>
            <w:r>
              <w:rPr>
                <w:rFonts w:hint="eastAsia" w:ascii="宋体" w:hAnsi="宋体" w:cs="宋体"/>
              </w:rPr>
              <w:t xml:space="preserve">方案内容</w:t>
            </w:r>
            <w:r>
              <w:rPr>
                <w:rFonts w:ascii="宋体" w:hAnsi="宋体" w:cs="宋体"/>
              </w:rPr>
              <w:t xml:space="preserve">设计思路较科学、前瞻性、技术较可行、能够满足采购需求的视为部分符合；</w:t>
            </w:r>
            <w:r>
              <w:rPr>
                <w:rFonts w:hint="eastAsia" w:ascii="宋体" w:hAnsi="宋体" w:cs="宋体"/>
              </w:rPr>
              <w:t xml:space="preserve">方案内容</w:t>
            </w:r>
            <w:r>
              <w:rPr>
                <w:rFonts w:ascii="宋体" w:hAnsi="宋体" w:cs="宋体"/>
              </w:rPr>
              <w:t xml:space="preserve">设计思路不能满足采购需求或未提供方案的视为</w:t>
            </w:r>
            <w:r>
              <w:rPr>
                <w:rFonts w:hint="eastAsia" w:ascii="宋体" w:hAnsi="宋体" w:cs="宋体"/>
              </w:rPr>
              <w:t xml:space="preserve">不</w:t>
            </w:r>
            <w:r>
              <w:rPr>
                <w:rFonts w:ascii="宋体" w:hAnsi="宋体" w:cs="宋体"/>
              </w:rPr>
              <w:t xml:space="preserve">符合。</w:t>
            </w:r>
            <w:r/>
          </w:p>
          <w:p>
            <w:pPr>
              <w:pStyle w:val="853"/>
              <w:ind w:firstLine="0"/>
              <w:rPr>
                <w:rFonts w:hint="eastAsia"/>
              </w:rPr>
            </w:pPr>
            <w:r>
              <w:rPr>
                <w:rFonts w:hint="eastAsia"/>
              </w:rPr>
              <w:t xml:space="preserve">上述每项内容符合得2分；部分符合得1分；不符合或不提供不得分。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rPr>
              <w:t xml:space="preserve">8</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color w:val="000000"/>
                <w:szCs w:val="21"/>
                <w:lang w:bidi="ar"/>
              </w:rPr>
            </w:pPr>
            <w:r>
              <w:rPr>
                <w:rFonts w:hint="eastAsia" w:ascii="宋体" w:hAnsi="宋体" w:cs="宋体"/>
                <w:spacing w:val="-4"/>
              </w:rPr>
              <w:t xml:space="preserve">主观分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3"/>
                <w:szCs w:val="21"/>
              </w:rPr>
            </w:pPr>
            <w:r>
              <w:rPr>
                <w:rFonts w:hint="eastAsia" w:ascii="宋体" w:hAnsi="宋体" w:cs="宋体"/>
                <w:spacing w:val="-3"/>
                <w:szCs w:val="21"/>
              </w:rPr>
              <w:t xml:space="preserve">2.4</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宋体" w:hAnsi="宋体" w:cs="宋体"/>
              </w:rPr>
            </w:pPr>
            <w:r>
              <w:rPr>
                <w:rFonts w:hint="eastAsia"/>
                <w:color w:val="000000"/>
              </w:rPr>
              <w:t xml:space="preserve">项目实施方案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widowControl/>
              <w:rPr>
                <w:rFonts w:hint="eastAsia" w:ascii="宋体" w:hAnsi="宋体" w:cs="宋体"/>
                <w:color w:val="000000"/>
                <w:highlight w:val="none"/>
              </w:rPr>
            </w:pPr>
            <w:r>
              <w:rPr>
                <w:rFonts w:hint="eastAsia"/>
                <w:color w:val="000000"/>
              </w:rPr>
              <w:t xml:space="preserve">根据本项目采购需求及相关要求编制方案</w:t>
            </w:r>
            <w:r>
              <w:rPr>
                <w:rFonts w:hint="eastAsia" w:ascii="宋体" w:hAnsi="宋体" w:cs="宋体"/>
                <w:color w:val="000000"/>
                <w:szCs w:val="21"/>
              </w:rPr>
              <w:t xml:space="preserve">，内容</w:t>
            </w:r>
            <w:r>
              <w:rPr>
                <w:rFonts w:hint="eastAsia" w:ascii="宋体" w:hAnsi="宋体" w:cs="宋体"/>
                <w:color w:val="000000"/>
              </w:rPr>
              <w:t xml:space="preserve">包括：</w:t>
            </w:r>
            <w:r>
              <w:rPr>
                <w:rFonts w:ascii="宋体" w:hAnsi="宋体" w:cs="宋体"/>
                <w:color w:val="000000"/>
              </w:rPr>
              <w:t xml:space="preserve">1.</w:t>
            </w:r>
            <w:r>
              <w:rPr>
                <w:rFonts w:hint="eastAsia"/>
                <w:color w:val="000000"/>
              </w:rPr>
              <w:t xml:space="preserve">项目进度管理；2.项目质量管理；3.项目沟通管理；4.项目变更管理；5.项目风险管理；6.人员安排</w:t>
            </w:r>
            <w:r>
              <w:rPr>
                <w:rFonts w:hint="eastAsia" w:ascii="宋体" w:hAnsi="宋体" w:cs="宋体"/>
                <w:color w:val="000000"/>
              </w:rPr>
              <w:t xml:space="preserve">。</w:t>
            </w:r>
            <w:r>
              <w:rPr>
                <w:rFonts w:hint="eastAsia" w:ascii="宋体" w:hAnsi="宋体" w:cs="宋体"/>
                <w:color w:val="000000"/>
                <w:szCs w:val="21"/>
              </w:rPr>
              <w:t xml:space="preserve">以上每项内容逐项评分：</w:t>
            </w:r>
            <w:r>
              <w:rPr>
                <w:rFonts w:ascii="宋体" w:hAnsi="宋体" w:cs="宋体"/>
                <w:color w:val="000000"/>
              </w:rPr>
              <w:t xml:space="preserve"> </w:t>
            </w:r>
            <w:r/>
          </w:p>
          <w:p>
            <w:pPr>
              <w:jc w:val="left"/>
              <w:spacing w:line="264" w:lineRule="auto"/>
              <w:widowControl/>
              <w:rPr>
                <w:rFonts w:hint="eastAsia" w:ascii="宋体" w:hAnsi="宋体" w:cs="宋体"/>
                <w:color w:val="000000"/>
              </w:rPr>
            </w:pPr>
            <w:r>
              <w:rPr>
                <w:rFonts w:hint="eastAsia" w:ascii="宋体" w:hAnsi="宋体" w:cs="宋体"/>
                <w:color w:val="000000"/>
                <w:highlight w:val="none"/>
              </w:rPr>
              <w:t xml:space="preserve">方案内容</w:t>
            </w:r>
            <w:r>
              <w:rPr>
                <w:rFonts w:ascii="宋体" w:hAnsi="宋体" w:cs="宋体"/>
                <w:color w:val="000000"/>
                <w:highlight w:val="none"/>
              </w:rPr>
              <w:t xml:space="preserve">完整深刻、可行性强、紧贴采购需求的视为符合；</w:t>
            </w:r>
            <w:r>
              <w:rPr>
                <w:rFonts w:hint="eastAsia" w:ascii="宋体" w:hAnsi="宋体" w:cs="宋体"/>
                <w:color w:val="000000"/>
                <w:highlight w:val="none"/>
              </w:rPr>
              <w:t xml:space="preserve">方案内容</w:t>
            </w:r>
            <w:r>
              <w:rPr>
                <w:rFonts w:ascii="宋体" w:hAnsi="宋体" w:cs="宋体"/>
                <w:color w:val="000000"/>
                <w:highlight w:val="none"/>
              </w:rPr>
              <w:t xml:space="preserve">较为完整深刻、可行性较强、能够满足采购需求的视为部分符合；</w:t>
            </w:r>
            <w:r>
              <w:rPr>
                <w:rFonts w:hint="eastAsia" w:ascii="宋体" w:hAnsi="宋体" w:cs="宋体"/>
                <w:color w:val="000000"/>
                <w:highlight w:val="none"/>
              </w:rPr>
              <w:t xml:space="preserve">方案内</w:t>
            </w:r>
            <w:r>
              <w:rPr>
                <w:rFonts w:hint="eastAsia" w:ascii="宋体" w:hAnsi="宋体" w:cs="宋体"/>
                <w:color w:val="000000"/>
              </w:rPr>
              <w:t xml:space="preserve">容</w:t>
            </w:r>
            <w:r>
              <w:rPr>
                <w:rFonts w:ascii="宋体" w:hAnsi="宋体" w:cs="宋体"/>
                <w:color w:val="000000"/>
              </w:rPr>
              <w:t xml:space="preserve">不合理可行或未提供方案的视为</w:t>
            </w:r>
            <w:r>
              <w:rPr>
                <w:rFonts w:hint="eastAsia" w:ascii="宋体" w:hAnsi="宋体" w:cs="宋体"/>
                <w:color w:val="000000"/>
              </w:rPr>
              <w:t xml:space="preserve">不</w:t>
            </w:r>
            <w:r>
              <w:rPr>
                <w:rFonts w:ascii="宋体" w:hAnsi="宋体" w:cs="宋体"/>
                <w:color w:val="000000"/>
              </w:rPr>
              <w:t xml:space="preserve">符合。</w:t>
            </w:r>
            <w:r/>
          </w:p>
          <w:p>
            <w:pPr>
              <w:pStyle w:val="853"/>
              <w:ind w:firstLine="0"/>
              <w:rPr>
                <w:rFonts w:hint="eastAsia"/>
              </w:rPr>
            </w:pPr>
            <w:r>
              <w:rPr>
                <w:rFonts w:hint="eastAsia"/>
              </w:rPr>
              <w:t xml:space="preserve">上述每项内容符合得1分；部分符合得0.5分；不符合或不提供不得分。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rPr>
              <w:t xml:space="preserve">6</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color w:val="000000"/>
                <w:szCs w:val="21"/>
                <w:lang w:bidi="ar"/>
              </w:rPr>
            </w:pPr>
            <w:r>
              <w:rPr>
                <w:rFonts w:hint="eastAsia" w:ascii="宋体" w:hAnsi="宋体" w:cs="宋体"/>
                <w:spacing w:val="-4"/>
              </w:rPr>
              <w:t xml:space="preserve">主观分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3"/>
                <w:szCs w:val="21"/>
              </w:rPr>
            </w:pPr>
            <w:r>
              <w:rPr>
                <w:rFonts w:hint="eastAsia" w:ascii="宋体" w:hAnsi="宋体" w:cs="宋体"/>
                <w:spacing w:val="-3"/>
                <w:szCs w:val="21"/>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line="264" w:lineRule="auto"/>
              <w:widowControl/>
              <w:rPr>
                <w:rFonts w:hint="eastAsia" w:ascii="宋体" w:hAnsi="宋体" w:cs="宋体"/>
              </w:rPr>
            </w:pPr>
            <w:r>
              <w:rPr>
                <w:rFonts w:hint="eastAsia"/>
                <w:color w:val="000000"/>
              </w:rPr>
              <w:t xml:space="preserve">系统安全方案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widowControl/>
              <w:rPr>
                <w:rFonts w:hint="eastAsia" w:ascii="宋体" w:hAnsi="宋体" w:cs="宋体"/>
                <w:color w:val="000000"/>
              </w:rPr>
            </w:pPr>
            <w:r>
              <w:rPr>
                <w:rFonts w:hint="eastAsia" w:ascii="宋体" w:hAnsi="宋体" w:cs="宋体"/>
                <w:color w:val="000000"/>
              </w:rPr>
              <w:t xml:space="preserve">根据本项目采购需求及相关要求编制方案</w:t>
            </w:r>
            <w:r>
              <w:rPr>
                <w:rFonts w:hint="eastAsia" w:ascii="宋体" w:hAnsi="宋体" w:cs="宋体"/>
                <w:color w:val="000000"/>
                <w:szCs w:val="21"/>
              </w:rPr>
              <w:t xml:space="preserve">，内容</w:t>
            </w:r>
            <w:r>
              <w:rPr>
                <w:rFonts w:hint="eastAsia" w:ascii="宋体" w:hAnsi="宋体" w:cs="宋体"/>
                <w:color w:val="000000"/>
              </w:rPr>
              <w:t xml:space="preserve">包括1.系统层安全；2.数据层安全；3.</w:t>
            </w:r>
            <w:r>
              <w:rPr>
                <w:rFonts w:ascii="宋体" w:hAnsi="宋体" w:cs="宋体"/>
                <w:color w:val="000000"/>
              </w:rPr>
              <w:t xml:space="preserve">应用层安全</w:t>
            </w:r>
            <w:r>
              <w:rPr>
                <w:rFonts w:hint="eastAsia" w:ascii="宋体" w:hAnsi="宋体" w:cs="宋体"/>
                <w:color w:val="000000"/>
              </w:rPr>
              <w:t xml:space="preserve">。</w:t>
            </w:r>
            <w:r>
              <w:rPr>
                <w:rFonts w:hint="eastAsia" w:ascii="宋体" w:hAnsi="宋体" w:cs="宋体"/>
                <w:color w:val="000000"/>
                <w:szCs w:val="21"/>
              </w:rPr>
              <w:t xml:space="preserve">以上每项内容逐项评分：</w:t>
            </w:r>
            <w:r>
              <w:rPr>
                <w:rFonts w:ascii="宋体" w:hAnsi="宋体" w:cs="宋体"/>
                <w:color w:val="000000"/>
              </w:rPr>
              <w:t xml:space="preserve"> </w:t>
            </w:r>
            <w:r/>
          </w:p>
          <w:p>
            <w:pPr>
              <w:jc w:val="left"/>
              <w:spacing w:line="264" w:lineRule="auto"/>
              <w:widowControl/>
              <w:rPr>
                <w:rFonts w:hint="eastAsia" w:ascii="宋体" w:hAnsi="宋体" w:cs="宋体"/>
                <w:color w:val="000000"/>
              </w:rPr>
            </w:pPr>
            <w:r>
              <w:rPr>
                <w:rFonts w:hint="eastAsia" w:ascii="宋体" w:hAnsi="宋体" w:cs="宋体"/>
                <w:color w:val="000000"/>
              </w:rPr>
              <w:t xml:space="preserve">方案内容</w:t>
            </w:r>
            <w:r>
              <w:rPr>
                <w:rFonts w:ascii="宋体" w:hAnsi="宋体" w:cs="宋体"/>
                <w:color w:val="000000"/>
              </w:rPr>
              <w:t xml:space="preserve">紧贴采购需求、详尽合理、针对性强、技术先进可行的视为符合；</w:t>
            </w:r>
            <w:r>
              <w:rPr>
                <w:rFonts w:hint="eastAsia" w:ascii="宋体" w:hAnsi="宋体" w:cs="宋体"/>
                <w:color w:val="000000"/>
              </w:rPr>
              <w:t xml:space="preserve">方案内容</w:t>
            </w:r>
            <w:r>
              <w:rPr>
                <w:rFonts w:ascii="宋体" w:hAnsi="宋体" w:cs="宋体"/>
                <w:color w:val="000000"/>
              </w:rPr>
              <w:t xml:space="preserve">满足采购需求、较为详尽合理、针对性较强、技术较先进可行的视为部分符合；</w:t>
            </w:r>
            <w:r>
              <w:rPr>
                <w:rFonts w:hint="eastAsia" w:ascii="宋体" w:hAnsi="宋体" w:cs="宋体"/>
                <w:color w:val="000000"/>
              </w:rPr>
              <w:t xml:space="preserve">方案内容</w:t>
            </w:r>
            <w:r>
              <w:rPr>
                <w:rFonts w:ascii="宋体" w:hAnsi="宋体" w:cs="宋体"/>
                <w:color w:val="000000"/>
              </w:rPr>
              <w:t xml:space="preserve">不合理可行或未提供方案的视为</w:t>
            </w:r>
            <w:r>
              <w:rPr>
                <w:rFonts w:hint="eastAsia" w:ascii="宋体" w:hAnsi="宋体" w:cs="宋体"/>
                <w:color w:val="000000"/>
              </w:rPr>
              <w:t xml:space="preserve">不</w:t>
            </w:r>
            <w:r>
              <w:rPr>
                <w:rFonts w:ascii="宋体" w:hAnsi="宋体" w:cs="宋体"/>
                <w:color w:val="000000"/>
              </w:rPr>
              <w:t xml:space="preserve">符合。</w:t>
            </w:r>
            <w:r/>
          </w:p>
          <w:p>
            <w:pPr>
              <w:pStyle w:val="853"/>
              <w:ind w:firstLine="0"/>
              <w:rPr>
                <w:rFonts w:hint="eastAsia"/>
              </w:rPr>
            </w:pPr>
            <w:r>
              <w:rPr>
                <w:rFonts w:hint="eastAsia"/>
              </w:rPr>
              <w:t xml:space="preserve">上述每项内容符合得2分；部分符合得1分；不符合或不提供不得分。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rPr>
              <w:t xml:space="preserve">6</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color w:val="000000"/>
                <w:szCs w:val="21"/>
                <w:lang w:bidi="ar"/>
              </w:rPr>
            </w:pPr>
            <w:r>
              <w:rPr>
                <w:rFonts w:hint="eastAsia" w:ascii="宋体" w:hAnsi="宋体" w:cs="宋体"/>
              </w:rPr>
              <w:t xml:space="preserve">主观分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2.6</w:t>
            </w:r>
            <w:r/>
          </w:p>
        </w:tc>
        <w:tc>
          <w:tcPr>
            <w:tcBorders>
              <w:top w:val="single" w:color="000000" w:sz="2" w:space="0"/>
              <w:bottom w:val="single" w:color="000000" w:sz="2" w:space="0"/>
            </w:tcBorders>
            <w:tcW w:w="1179" w:type="dxa"/>
            <w:vAlign w:val="center"/>
            <w:textDirection w:val="lrTb"/>
            <w:noWrap w:val="false"/>
          </w:tcPr>
          <w:p>
            <w:pPr>
              <w:jc w:val="left"/>
              <w:spacing w:line="264" w:lineRule="auto"/>
              <w:widowControl/>
              <w:rPr>
                <w:color w:val="auto"/>
                <w:highlight w:val="none"/>
              </w:rPr>
            </w:pPr>
            <w:r>
              <w:rPr>
                <w:rFonts w:hint="eastAsia" w:ascii="宋体" w:hAnsi="宋体" w:cs="宋体"/>
                <w:color w:val="auto"/>
                <w:highlight w:val="none"/>
              </w:rPr>
              <w:t xml:space="preserve">视频演示</w:t>
            </w:r>
            <w:r/>
          </w:p>
        </w:tc>
        <w:tc>
          <w:tcPr>
            <w:tcBorders>
              <w:top w:val="single" w:color="000000" w:sz="2" w:space="0"/>
              <w:bottom w:val="single" w:color="000000" w:sz="2" w:space="0"/>
            </w:tcBorders>
            <w:tcW w:w="6425" w:type="dxa"/>
            <w:vAlign w:val="center"/>
            <w:textDirection w:val="lrTb"/>
            <w:noWrap w:val="false"/>
          </w:tcPr>
          <w:p>
            <w:pPr>
              <w:jc w:val="left"/>
              <w:spacing w:line="264" w:lineRule="auto"/>
              <w:widowControl/>
              <w:rPr>
                <w:rFonts w:cs="宋体"/>
                <w:color w:val="auto"/>
                <w:highlight w:val="none"/>
              </w:rPr>
            </w:pPr>
            <w:r>
              <w:rPr>
                <w:rFonts w:hint="eastAsia" w:ascii="宋体" w:hAnsi="宋体" w:cs="宋体"/>
                <w:color w:val="auto"/>
                <w:highlight w:val="none"/>
              </w:rPr>
              <w:t xml:space="preserve">评委根据供应商提供的演示视频（总演示时间不超过1</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分钟）综合评分。演示视频包括以下内容： </w:t>
            </w:r>
            <w:r/>
          </w:p>
          <w:p>
            <w:pPr>
              <w:rPr>
                <w:color w:val="auto"/>
                <w:highlight w:val="none"/>
              </w:rPr>
            </w:pPr>
            <w:r>
              <w:rPr>
                <w:rFonts w:hint="eastAsia"/>
                <w:color w:val="auto"/>
                <w:highlight w:val="none"/>
              </w:rPr>
              <w:t xml:space="preserve">一、街道城市治理中心（PC端）</w:t>
            </w:r>
            <w:r/>
          </w:p>
          <w:p>
            <w:pPr>
              <w:rPr>
                <w:color w:val="auto"/>
                <w:highlight w:val="none"/>
              </w:rPr>
            </w:pPr>
            <w:r>
              <w:rPr>
                <w:rFonts w:hint="eastAsia"/>
                <w:color w:val="auto"/>
                <w:highlight w:val="none"/>
              </w:rPr>
              <w:t xml:space="preserve">（1）专项任务问卷管理：演示系统需支持专项任务配套问卷的灵活管理，支持对各类问卷调查进行新增、修改、删除及查询操作，支持单选、多选、填空等常见题型的设置。</w:t>
            </w:r>
            <w:r/>
          </w:p>
          <w:p>
            <w:pPr>
              <w:rPr>
                <w:color w:val="auto"/>
                <w:highlight w:val="none"/>
              </w:rPr>
            </w:pPr>
            <w:r>
              <w:rPr>
                <w:rFonts w:hint="eastAsia"/>
                <w:color w:val="auto"/>
                <w:highlight w:val="none"/>
              </w:rPr>
              <w:t xml:space="preserve">（2）专项任务发布：演示系统需支持由上至下的专项任务发布机制，支持在发布时关联提醒接收人员，提醒范围支持整个街道、指定部分社区、指定综合/专属网格及指定科室。</w:t>
            </w:r>
            <w:r/>
          </w:p>
          <w:p>
            <w:pPr>
              <w:rPr>
                <w:color w:val="auto"/>
                <w:highlight w:val="none"/>
              </w:rPr>
            </w:pPr>
            <w:r>
              <w:rPr>
                <w:rFonts w:hint="eastAsia"/>
                <w:color w:val="auto"/>
                <w:highlight w:val="none"/>
              </w:rPr>
              <w:t xml:space="preserve">（3）参与人员查询：演示系统需支持查询参与专项任务的人员列表，若任务绑定了问卷调查，需支持查看各参与人员填写的问卷详细内容。</w:t>
            </w:r>
            <w:r/>
          </w:p>
          <w:p>
            <w:pPr>
              <w:rPr>
                <w:color w:val="auto"/>
                <w:highlight w:val="none"/>
              </w:rPr>
            </w:pPr>
            <w:r>
              <w:rPr>
                <w:rFonts w:hint="eastAsia"/>
                <w:color w:val="auto"/>
                <w:highlight w:val="none"/>
              </w:rPr>
              <w:t xml:space="preserve">（4）专项任务结果：演示系统需支持展示专项任务信息与任务进度，支持查看任务处理详情及个人的问卷填写情况，支持按专项任务进行问卷统计查询，并支持导出专项任务总体处理情况。</w:t>
            </w:r>
            <w:r/>
          </w:p>
          <w:p>
            <w:pPr>
              <w:rPr>
                <w:color w:val="auto"/>
                <w:highlight w:val="none"/>
              </w:rPr>
            </w:pPr>
            <w:r>
              <w:rPr>
                <w:rFonts w:hint="eastAsia"/>
                <w:color w:val="auto"/>
                <w:highlight w:val="none"/>
              </w:rPr>
              <w:t xml:space="preserve">二、小程序应用建设（移动端）</w:t>
            </w:r>
            <w:r/>
          </w:p>
          <w:p>
            <w:pPr>
              <w:rPr>
                <w:color w:val="auto"/>
                <w:highlight w:val="none"/>
              </w:rPr>
            </w:pPr>
            <w:r>
              <w:rPr>
                <w:rFonts w:hint="eastAsia"/>
                <w:color w:val="auto"/>
                <w:highlight w:val="none"/>
              </w:rPr>
              <w:t xml:space="preserve">（</w:t>
            </w:r>
            <w:r>
              <w:rPr>
                <w:rFonts w:hint="eastAsia"/>
                <w:color w:val="auto"/>
                <w:highlight w:val="none"/>
                <w:lang w:val="en-US" w:eastAsia="zh-CN"/>
              </w:rPr>
              <w:t xml:space="preserve">5</w:t>
            </w:r>
            <w:r>
              <w:rPr>
                <w:rFonts w:hint="eastAsia"/>
                <w:color w:val="auto"/>
                <w:highlight w:val="none"/>
              </w:rPr>
              <w:t xml:space="preserve">）专项任务处置：演示系统需在移动端统计当前登录用户未完成的专项任务数量，支持查询下发的专项任务列表，列表需包含未处理与已处理的专项任务信息，并支持查看任务详情和专项任务提交处理。</w:t>
            </w:r>
            <w:r/>
          </w:p>
          <w:p>
            <w:pPr>
              <w:jc w:val="left"/>
              <w:spacing w:line="264" w:lineRule="auto"/>
              <w:rPr>
                <w:rFonts w:hint="eastAsia" w:ascii="宋体" w:hAnsi="宋体" w:cs="宋体"/>
                <w:color w:val="auto"/>
                <w:highlight w:val="none"/>
              </w:rPr>
            </w:pPr>
            <w:r>
              <w:rPr>
                <w:rFonts w:hint="eastAsia"/>
                <w:color w:val="auto"/>
                <w:highlight w:val="none"/>
              </w:rPr>
              <w:t xml:space="preserve">以上每小项采用类似真实系统演示，</w:t>
            </w:r>
            <w:r>
              <w:rPr>
                <w:color w:val="auto"/>
                <w:highlight w:val="none"/>
              </w:rPr>
              <w:t xml:space="preserve">建设内容理解程度完整、覆盖程度方面准确、界面友好的，得</w:t>
            </w:r>
            <w:r>
              <w:rPr>
                <w:rFonts w:hint="eastAsia"/>
                <w:color w:val="auto"/>
                <w:highlight w:val="none"/>
              </w:rPr>
              <w:t xml:space="preserve">2</w:t>
            </w:r>
            <w:r>
              <w:rPr>
                <w:color w:val="auto"/>
                <w:highlight w:val="none"/>
              </w:rPr>
              <w:t xml:space="preserve">分；建设内容理解程度较完整、覆盖程度方面较准确、界面相对友好的，得</w:t>
            </w:r>
            <w:r>
              <w:rPr>
                <w:rFonts w:hint="eastAsia"/>
                <w:color w:val="auto"/>
                <w:highlight w:val="none"/>
              </w:rPr>
              <w:t xml:space="preserve">1</w:t>
            </w:r>
            <w:r>
              <w:rPr>
                <w:color w:val="auto"/>
                <w:highlight w:val="none"/>
              </w:rPr>
              <w:t xml:space="preserve">分；</w:t>
            </w:r>
            <w:r>
              <w:rPr>
                <w:rFonts w:hint="eastAsia"/>
                <w:color w:val="auto"/>
                <w:highlight w:val="none"/>
              </w:rPr>
              <w:t xml:space="preserve">其他不得</w:t>
            </w:r>
            <w:r>
              <w:rPr>
                <w:color w:val="auto"/>
                <w:highlight w:val="none"/>
              </w:rPr>
              <w:t xml:space="preserve">分</w:t>
            </w:r>
            <w:r>
              <w:rPr>
                <w:rFonts w:hint="eastAsia"/>
                <w:color w:val="auto"/>
                <w:highlight w:val="none"/>
              </w:rPr>
              <w:t xml:space="preserve">；以上采用系统原型（</w:t>
            </w:r>
            <w:r>
              <w:rPr>
                <w:color w:val="auto"/>
                <w:highlight w:val="none"/>
              </w:rPr>
              <w:t xml:space="preserve">DEMO</w:t>
            </w:r>
            <w:r>
              <w:rPr>
                <w:rFonts w:hint="eastAsia"/>
                <w:color w:val="auto"/>
                <w:highlight w:val="none"/>
              </w:rPr>
              <w:t xml:space="preserve">）、PPT等方式演示得一半分值。</w:t>
            </w:r>
            <w:r>
              <w:rPr>
                <w:rFonts w:hint="eastAsia" w:ascii="宋体" w:hAnsi="宋体" w:cs="宋体"/>
                <w:color w:val="auto"/>
                <w:highlight w:val="none"/>
              </w:rPr>
              <w:t xml:space="preserve"> </w:t>
            </w:r>
            <w:r/>
          </w:p>
          <w:p>
            <w:pPr>
              <w:jc w:val="left"/>
              <w:spacing w:line="264" w:lineRule="auto"/>
              <w:widowControl/>
              <w:rPr>
                <w:rFonts w:hint="eastAsia" w:ascii="宋体" w:hAnsi="宋体" w:cs="宋体"/>
                <w:color w:val="auto"/>
                <w:highlight w:val="none"/>
              </w:rPr>
            </w:pPr>
            <w:r>
              <w:rPr>
                <w:rFonts w:hint="eastAsia" w:ascii="宋体" w:hAnsi="宋体" w:cs="宋体"/>
                <w:color w:val="auto"/>
                <w:highlight w:val="none"/>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2"/>
                <w:highlight w:val="none"/>
              </w:rPr>
              <w:t xml:space="preserve">10</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color w:val="auto"/>
                <w:szCs w:val="21"/>
                <w:highlight w:val="none"/>
                <w:lang w:bidi="ar"/>
              </w:rPr>
              <w:t xml:space="preserve">主观分</w:t>
            </w:r>
            <w:r/>
          </w:p>
        </w:tc>
      </w:tr>
      <w:tr>
        <w:trPr>
          <w:jc w:val="center"/>
          <w:trHeight w:val="460"/>
        </w:trPr>
        <w:tc>
          <w:tcPr>
            <w:gridSpan w:val="5"/>
            <w:tcBorders>
              <w:top w:val="single" w:color="000000" w:sz="2" w:space="0"/>
              <w:bottom w:val="single" w:color="000000" w:sz="2" w:space="0"/>
            </w:tcBorders>
            <w:tcW w:w="9612" w:type="dxa"/>
            <w:textDirection w:val="lrTb"/>
            <w:noWrap w:val="false"/>
          </w:tcPr>
          <w:p>
            <w:pPr>
              <w:ind w:left="114"/>
              <w:spacing w:before="123" w:line="264" w:lineRule="auto"/>
              <w:rPr>
                <w:rFonts w:hint="eastAsia" w:ascii="宋体" w:hAnsi="宋体" w:cs="宋体"/>
                <w:b/>
                <w:bCs/>
                <w:spacing w:val="-3"/>
                <w:szCs w:val="21"/>
              </w:rPr>
            </w:pPr>
            <w:r>
              <w:rPr>
                <w:rFonts w:hint="eastAsia" w:ascii="宋体" w:hAnsi="宋体" w:cs="宋体"/>
                <w:b/>
                <w:bCs/>
                <w:spacing w:val="-3"/>
                <w:szCs w:val="21"/>
              </w:rPr>
              <w:t xml:space="preserve">3.服务</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highlight w:val="none"/>
              </w:rPr>
            </w:pPr>
            <w:r>
              <w:rPr>
                <w:rFonts w:hint="eastAsia" w:ascii="宋体" w:hAnsi="宋体" w:cs="宋体"/>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宋体" w:hAnsi="宋体" w:cs="宋体"/>
                <w:spacing w:val="-2"/>
                <w:szCs w:val="21"/>
                <w:highlight w:val="none"/>
              </w:rPr>
            </w:pPr>
            <w:r>
              <w:rPr>
                <w:rFonts w:hint="eastAsia"/>
                <w:color w:val="000000"/>
                <w:highlight w:val="none"/>
              </w:rPr>
              <w:t xml:space="preserve">运维服务方案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widowControl/>
              <w:rPr>
                <w:rFonts w:hint="eastAsia" w:ascii="宋体" w:hAnsi="宋体" w:cs="宋体"/>
                <w:color w:val="0000ff"/>
                <w:highlight w:val="none"/>
              </w:rPr>
            </w:pPr>
            <w:r/>
            <w:bookmarkStart w:id="127" w:name="OLE_LINK5"/>
            <w:r>
              <w:rPr>
                <w:rFonts w:hint="eastAsia" w:ascii="宋体" w:hAnsi="宋体" w:cs="宋体"/>
                <w:highlight w:val="none"/>
              </w:rPr>
              <w:t xml:space="preserve">根据本项目采购需求及相关要求编制方案，内容</w:t>
            </w:r>
            <w:r>
              <w:rPr>
                <w:rFonts w:ascii="宋体" w:hAnsi="宋体" w:cs="宋体"/>
                <w:color w:val="000000"/>
                <w:highlight w:val="none"/>
              </w:rPr>
              <w:t xml:space="preserve">包括</w:t>
            </w:r>
            <w:r>
              <w:rPr>
                <w:rFonts w:hint="eastAsia" w:ascii="宋体" w:hAnsi="宋体" w:cs="宋体"/>
                <w:color w:val="000000"/>
                <w:highlight w:val="none"/>
              </w:rPr>
              <w:t xml:space="preserve">：</w:t>
            </w:r>
            <w:r>
              <w:rPr>
                <w:rFonts w:hint="eastAsia" w:ascii="宋体" w:hAnsi="宋体" w:cs="宋体"/>
                <w:highlight w:val="none"/>
              </w:rPr>
              <w:t xml:space="preserve">1.服务措施；2.应急举措；3.服务流程；4.服务保障体系</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以上每项内容逐项评分：</w:t>
            </w:r>
            <w:r>
              <w:rPr>
                <w:rFonts w:ascii="宋体" w:hAnsi="宋体" w:cs="宋体"/>
                <w:color w:val="0000ff"/>
                <w:highlight w:val="none"/>
              </w:rPr>
              <w:t xml:space="preserve"> </w:t>
            </w:r>
            <w:r/>
          </w:p>
          <w:p>
            <w:pPr>
              <w:rPr>
                <w:highlight w:val="none"/>
              </w:rPr>
            </w:pPr>
            <w:r>
              <w:rPr>
                <w:rFonts w:hint="eastAsia" w:ascii="宋体" w:hAnsi="宋体" w:cs="宋体"/>
                <w:highlight w:val="none"/>
              </w:rPr>
              <w:t xml:space="preserve">方案内容</w:t>
            </w:r>
            <w:r>
              <w:rPr>
                <w:rFonts w:ascii="宋体" w:hAnsi="宋体" w:cs="宋体"/>
                <w:highlight w:val="none"/>
              </w:rPr>
              <w:t xml:space="preserve">完整、合理性、操作性强的视为符合；</w:t>
            </w:r>
            <w:r>
              <w:rPr>
                <w:rFonts w:hint="eastAsia" w:ascii="宋体" w:hAnsi="宋体" w:cs="宋体"/>
                <w:highlight w:val="none"/>
              </w:rPr>
              <w:t xml:space="preserve">方案内容</w:t>
            </w:r>
            <w:r>
              <w:rPr>
                <w:rFonts w:ascii="宋体" w:hAnsi="宋体" w:cs="宋体"/>
                <w:highlight w:val="none"/>
              </w:rPr>
              <w:t xml:space="preserve">基本完整、基本合理，有可操作性的视为部分符合；</w:t>
            </w:r>
            <w:r>
              <w:rPr>
                <w:rFonts w:hint="eastAsia" w:ascii="宋体" w:hAnsi="宋体" w:cs="宋体"/>
                <w:highlight w:val="none"/>
              </w:rPr>
              <w:t xml:space="preserve">方案内容</w:t>
            </w:r>
            <w:r>
              <w:rPr>
                <w:rFonts w:ascii="宋体" w:hAnsi="宋体" w:cs="宋体"/>
                <w:highlight w:val="none"/>
              </w:rPr>
              <w:t xml:space="preserve">不完整、不科学合理、不具可操作性或未提供的视为</w:t>
            </w:r>
            <w:r>
              <w:rPr>
                <w:rFonts w:hint="eastAsia" w:ascii="宋体" w:hAnsi="宋体" w:cs="宋体"/>
                <w:highlight w:val="none"/>
              </w:rPr>
              <w:t xml:space="preserve">不</w:t>
            </w:r>
            <w:r>
              <w:rPr>
                <w:rFonts w:ascii="宋体" w:hAnsi="宋体" w:cs="宋体"/>
                <w:highlight w:val="none"/>
              </w:rPr>
              <w:t xml:space="preserve">符合。</w:t>
            </w:r>
            <w:r/>
          </w:p>
          <w:p>
            <w:pPr>
              <w:jc w:val="left"/>
              <w:spacing w:line="264" w:lineRule="auto"/>
              <w:widowControl/>
              <w:rPr>
                <w:rFonts w:hint="eastAsia" w:ascii="宋体" w:hAnsi="宋体" w:cs="宋体"/>
                <w:spacing w:val="1"/>
                <w:szCs w:val="21"/>
                <w:highlight w:val="none"/>
              </w:rPr>
            </w:pPr>
            <w:r>
              <w:rPr>
                <w:rFonts w:hint="eastAsia"/>
                <w:highlight w:val="none"/>
              </w:rPr>
              <w:t xml:space="preserve">上述每项内容符合得1分；部分符合得0.5分；不符合或不提供不得分。</w:t>
            </w:r>
            <w:bookmarkEnd w:id="127"/>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szCs w:val="21"/>
                <w:highlight w:val="none"/>
              </w:rPr>
            </w:pPr>
            <w:r>
              <w:rPr>
                <w:rFonts w:hint="eastAsia" w:ascii="宋体" w:hAnsi="宋体" w:cs="宋体"/>
                <w:highlight w:val="none"/>
              </w:rPr>
              <w:t xml:space="preserve">4</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zCs w:val="21"/>
                <w:highlight w:val="none"/>
              </w:rPr>
            </w:pPr>
            <w:r>
              <w:rPr>
                <w:rFonts w:ascii="宋体" w:hAnsi="宋体" w:cs="宋体"/>
                <w:spacing w:val="-6"/>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highlight w:val="none"/>
              </w:rPr>
            </w:pPr>
            <w:r>
              <w:rPr>
                <w:rFonts w:hint="eastAsia" w:ascii="宋体" w:hAnsi="宋体" w:cs="宋体"/>
                <w:spacing w:val="-2"/>
                <w:highlight w:val="none"/>
              </w:rPr>
              <w:t xml:space="preserve">3.2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宋体" w:hAnsi="宋体" w:cs="宋体"/>
                <w:spacing w:val="-2"/>
                <w:szCs w:val="21"/>
                <w:highlight w:val="none"/>
              </w:rPr>
            </w:pPr>
            <w:r>
              <w:rPr>
                <w:rFonts w:hint="eastAsia"/>
                <w:color w:val="000000"/>
                <w:highlight w:val="none"/>
              </w:rPr>
              <w:t xml:space="preserve">培训方案</w:t>
            </w:r>
            <w:r/>
          </w:p>
        </w:tc>
        <w:tc>
          <w:tcPr>
            <w:tcBorders>
              <w:top w:val="single" w:color="000000" w:sz="2" w:space="0"/>
              <w:bottom w:val="single" w:color="000000" w:sz="2" w:space="0"/>
            </w:tcBorders>
            <w:tcW w:w="6425" w:type="dxa"/>
            <w:vAlign w:val="center"/>
            <w:textDirection w:val="lrTb"/>
            <w:noWrap w:val="false"/>
          </w:tcPr>
          <w:p>
            <w:pPr>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根据本项目采购需求及相关要求编制方案，内容</w:t>
            </w:r>
            <w:r>
              <w:rPr>
                <w:rFonts w:ascii="宋体" w:hAnsi="宋体" w:cs="宋体"/>
                <w:color w:val="000000"/>
                <w:szCs w:val="21"/>
                <w:highlight w:val="none"/>
              </w:rPr>
              <w:t xml:space="preserve">包括</w:t>
            </w:r>
            <w:r>
              <w:rPr>
                <w:rFonts w:hint="eastAsia" w:ascii="宋体" w:hAnsi="宋体" w:cs="宋体"/>
                <w:color w:val="000000"/>
                <w:szCs w:val="21"/>
                <w:highlight w:val="none"/>
              </w:rPr>
              <w:t xml:space="preserve">1.</w:t>
            </w:r>
            <w:r>
              <w:rPr>
                <w:rFonts w:ascii="宋体" w:hAnsi="宋体" w:cs="宋体"/>
                <w:color w:val="000000"/>
                <w:szCs w:val="21"/>
                <w:highlight w:val="none"/>
              </w:rPr>
              <w:t xml:space="preserve">培训计划</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培训内容</w:t>
            </w:r>
            <w:r>
              <w:rPr>
                <w:rFonts w:hint="eastAsia" w:ascii="宋体" w:hAnsi="宋体" w:cs="宋体"/>
                <w:color w:val="000000"/>
                <w:szCs w:val="21"/>
                <w:highlight w:val="none"/>
              </w:rPr>
              <w:t xml:space="preserve">；3.</w:t>
            </w:r>
            <w:r>
              <w:rPr>
                <w:rFonts w:ascii="宋体" w:hAnsi="宋体" w:cs="宋体"/>
                <w:color w:val="000000"/>
                <w:szCs w:val="21"/>
                <w:highlight w:val="none"/>
              </w:rPr>
              <w:t xml:space="preserve">师资力量</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4.培训时长</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以上每项内容逐项评分：</w:t>
            </w:r>
            <w:r>
              <w:rPr>
                <w:rFonts w:ascii="宋体" w:hAnsi="宋体" w:cs="宋体"/>
                <w:color w:val="000000"/>
                <w:highlight w:val="none"/>
              </w:rPr>
              <w:t xml:space="preserve"> </w:t>
            </w:r>
            <w:r/>
          </w:p>
          <w:p>
            <w:pPr>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方案内容</w:t>
            </w:r>
            <w:r>
              <w:rPr>
                <w:rFonts w:ascii="宋体" w:hAnsi="宋体" w:cs="宋体"/>
                <w:color w:val="000000"/>
                <w:highlight w:val="none"/>
              </w:rPr>
              <w:t xml:space="preserve">完整详细、针对性强的视为符合；</w:t>
            </w:r>
            <w:r>
              <w:rPr>
                <w:rFonts w:hint="eastAsia" w:ascii="宋体" w:hAnsi="宋体" w:cs="宋体"/>
                <w:color w:val="000000"/>
                <w:highlight w:val="none"/>
              </w:rPr>
              <w:t xml:space="preserve">方案内容</w:t>
            </w:r>
            <w:r>
              <w:rPr>
                <w:rFonts w:ascii="宋体" w:hAnsi="宋体" w:cs="宋体"/>
                <w:color w:val="000000"/>
                <w:highlight w:val="none"/>
              </w:rPr>
              <w:t xml:space="preserve">基本满足采购需求，有一定针对性的视为部分符合；</w:t>
            </w:r>
            <w:r>
              <w:rPr>
                <w:rFonts w:hint="eastAsia" w:ascii="宋体" w:hAnsi="宋体" w:cs="宋体"/>
                <w:color w:val="000000"/>
                <w:highlight w:val="none"/>
              </w:rPr>
              <w:t xml:space="preserve">方案内容</w:t>
            </w:r>
            <w:r>
              <w:rPr>
                <w:rFonts w:ascii="宋体" w:hAnsi="宋体" w:cs="宋体"/>
                <w:color w:val="000000"/>
                <w:highlight w:val="none"/>
              </w:rPr>
              <w:t xml:space="preserve">没有针对性或未提供方案的视为</w:t>
            </w:r>
            <w:r>
              <w:rPr>
                <w:rFonts w:hint="eastAsia" w:ascii="宋体" w:hAnsi="宋体" w:cs="宋体"/>
                <w:color w:val="000000"/>
                <w:highlight w:val="none"/>
              </w:rPr>
              <w:t xml:space="preserve">不</w:t>
            </w:r>
            <w:r>
              <w:rPr>
                <w:rFonts w:ascii="宋体" w:hAnsi="宋体" w:cs="宋体"/>
                <w:color w:val="000000"/>
                <w:highlight w:val="none"/>
              </w:rPr>
              <w:t xml:space="preserve">符合。</w:t>
            </w:r>
            <w:r/>
          </w:p>
          <w:p>
            <w:pPr>
              <w:pStyle w:val="853"/>
              <w:ind w:firstLine="0"/>
              <w:rPr>
                <w:rFonts w:hint="eastAsia"/>
                <w:highlight w:val="none"/>
              </w:rPr>
            </w:pPr>
            <w:r>
              <w:rPr>
                <w:rFonts w:hint="eastAsia"/>
                <w:highlight w:val="none"/>
              </w:rPr>
              <w:t xml:space="preserve">上述每项内容符合得1分；部分符合得0.5分；不符合或不提供不得分。</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szCs w:val="21"/>
                <w:highlight w:val="none"/>
              </w:rPr>
            </w:pPr>
            <w:r>
              <w:rPr>
                <w:rFonts w:hint="eastAsia" w:ascii="宋体" w:hAnsi="宋体" w:cs="宋体"/>
                <w:highlight w:val="none"/>
              </w:rPr>
              <w:t xml:space="preserve">4</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zCs w:val="21"/>
                <w:highlight w:val="none"/>
              </w:rPr>
            </w:pPr>
            <w:r>
              <w:rPr>
                <w:rFonts w:ascii="宋体" w:hAnsi="宋体" w:cs="宋体"/>
                <w:spacing w:val="-6"/>
                <w:highlight w:val="none"/>
              </w:rPr>
              <w:t xml:space="preserve">主观分</w:t>
            </w:r>
            <w:r/>
          </w:p>
        </w:tc>
      </w:tr>
      <w:tr>
        <w:trPr>
          <w:jc w:val="center"/>
          <w:trHeight w:val="82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highlight w:val="none"/>
              </w:rPr>
            </w:pPr>
            <w:r>
              <w:rPr>
                <w:rFonts w:hint="eastAsia" w:ascii="宋体" w:hAnsi="宋体" w:cs="宋体"/>
                <w:spacing w:val="-2"/>
                <w:highlight w:val="none"/>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szCs w:val="21"/>
                <w:highlight w:val="none"/>
              </w:rPr>
            </w:pPr>
            <w:r>
              <w:rPr>
                <w:rFonts w:hint="eastAsia"/>
                <w:color w:val="000000"/>
                <w:szCs w:val="21"/>
                <w:highlight w:val="none"/>
              </w:rPr>
              <w:t xml:space="preserve">本地化服务能力</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hint="eastAsia" w:ascii="宋体" w:hAnsi="宋体" w:cs="宋体"/>
                <w:spacing w:val="1"/>
                <w:szCs w:val="21"/>
                <w:highlight w:val="none"/>
              </w:rPr>
            </w:pPr>
            <w:r>
              <w:rPr>
                <w:rFonts w:hint="eastAsia" w:ascii="宋体" w:hAnsi="宋体" w:cs="宋体"/>
                <w:color w:val="000000"/>
                <w:highlight w:val="none"/>
              </w:rPr>
              <w:t xml:space="preserve">供应商</w:t>
            </w:r>
            <w:r>
              <w:rPr>
                <w:rFonts w:hint="eastAsia" w:ascii="宋体" w:hAnsi="宋体" w:cs="宋体"/>
                <w:color w:val="000000"/>
                <w:highlight w:val="none"/>
                <w:lang w:val="en-US" w:eastAsia="zh-CN"/>
              </w:rPr>
              <w:t xml:space="preserve">成交后提供</w:t>
            </w:r>
            <w:r>
              <w:rPr>
                <w:rFonts w:hint="eastAsia" w:ascii="宋体" w:hAnsi="宋体" w:cs="宋体"/>
                <w:color w:val="000000"/>
                <w:highlight w:val="none"/>
              </w:rPr>
              <w:t xml:space="preserve">本地化服务的得3分，未提供不得分。（提供承诺书或有效证明材料，承诺书格式自拟）</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szCs w:val="21"/>
                <w:highlight w:val="none"/>
              </w:rPr>
            </w:pPr>
            <w:r>
              <w:rPr>
                <w:rFonts w:hint="eastAsia" w:ascii="宋体" w:hAnsi="宋体" w:cs="宋体"/>
                <w:highlight w:val="none"/>
              </w:rPr>
              <w:t xml:space="preserve">3</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zCs w:val="21"/>
                <w:highlight w:val="none"/>
              </w:rPr>
            </w:pPr>
            <w:r>
              <w:rPr>
                <w:rFonts w:hint="eastAsia" w:ascii="宋体" w:hAnsi="宋体" w:cs="宋体"/>
                <w:spacing w:val="-6"/>
                <w:highlight w:val="none"/>
              </w:rPr>
              <w:t xml:space="preserve">客观分</w:t>
            </w:r>
            <w:r/>
          </w:p>
        </w:tc>
      </w:tr>
      <w:tr>
        <w:trPr>
          <w:jc w:val="center"/>
          <w:trHeight w:val="455"/>
        </w:trPr>
        <w:tc>
          <w:tcPr>
            <w:gridSpan w:val="5"/>
            <w:tcBorders>
              <w:top w:val="single" w:color="000000" w:sz="2" w:space="0"/>
              <w:bottom w:val="single" w:color="000000" w:sz="2" w:space="0"/>
            </w:tcBorders>
            <w:tcW w:w="9612" w:type="dxa"/>
            <w:vAlign w:val="center"/>
            <w:textDirection w:val="lrTb"/>
            <w:noWrap w:val="false"/>
          </w:tcPr>
          <w:p>
            <w:pPr>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w:t>
            </w:r>
            <w:r>
              <w:rPr>
                <w:rFonts w:ascii="宋体" w:hAnsi="宋体" w:cs="宋体"/>
                <w:spacing w:val="-2"/>
                <w:szCs w:val="21"/>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2"/>
                <w:szCs w:val="21"/>
              </w:rPr>
            </w:pPr>
            <w:r>
              <w:rPr>
                <w:rFonts w:hint="eastAsia" w:ascii="宋体" w:hAnsi="宋体" w:cs="宋体"/>
                <w:color w:val="000000"/>
                <w:spacing w:val="-1"/>
              </w:rPr>
              <w:t xml:space="preserve">供应商</w:t>
            </w:r>
            <w:r>
              <w:rPr>
                <w:rFonts w:ascii="宋体" w:hAnsi="宋体" w:cs="宋体"/>
                <w:color w:val="000000"/>
                <w:spacing w:val="-1"/>
              </w:rPr>
              <w:t xml:space="preserve">业绩</w:t>
            </w:r>
            <w:r/>
          </w:p>
        </w:tc>
        <w:tc>
          <w:tcPr>
            <w:tcBorders>
              <w:top w:val="single" w:color="000000" w:sz="2" w:space="0"/>
              <w:bottom w:val="single" w:color="000000" w:sz="2" w:space="0"/>
            </w:tcBorders>
            <w:tcW w:w="6425" w:type="dxa"/>
            <w:vAlign w:val="center"/>
            <w:textDirection w:val="lrTb"/>
            <w:noWrap w:val="false"/>
          </w:tcPr>
          <w:p>
            <w:pPr>
              <w:spacing w:line="264" w:lineRule="auto"/>
              <w:rPr>
                <w:rFonts w:hint="eastAsia" w:ascii="宋体" w:hAnsi="宋体" w:cs="宋体"/>
                <w:szCs w:val="21"/>
              </w:rPr>
            </w:pPr>
            <w:r>
              <w:rPr>
                <w:rFonts w:hint="eastAsia" w:ascii="宋体" w:hAnsi="宋体" w:cs="宋体"/>
              </w:rPr>
              <w:t xml:space="preserve">供应商提供</w:t>
            </w:r>
            <w:r>
              <w:rPr>
                <w:rFonts w:ascii="宋体" w:hAnsi="宋体" w:cs="宋体"/>
                <w:color w:val="000000"/>
              </w:rPr>
              <w:t xml:space="preserve">20</w:t>
            </w:r>
            <w:r>
              <w:rPr>
                <w:rFonts w:hint="eastAsia" w:ascii="宋体" w:hAnsi="宋体" w:cs="宋体"/>
                <w:color w:val="000000"/>
              </w:rPr>
              <w:t xml:space="preserve">23</w:t>
            </w:r>
            <w:r>
              <w:rPr>
                <w:rFonts w:ascii="宋体" w:hAnsi="宋体" w:cs="宋体"/>
                <w:color w:val="000000"/>
              </w:rPr>
              <w:t xml:space="preserve">年</w:t>
            </w:r>
            <w:r>
              <w:rPr>
                <w:rFonts w:hint="eastAsia" w:ascii="宋体" w:hAnsi="宋体" w:cs="宋体"/>
                <w:color w:val="000000"/>
              </w:rPr>
              <w:t xml:space="preserve">1</w:t>
            </w:r>
            <w:r>
              <w:rPr>
                <w:rFonts w:ascii="宋体" w:hAnsi="宋体" w:cs="宋体"/>
                <w:color w:val="000000"/>
              </w:rPr>
              <w:t xml:space="preserve">月</w:t>
            </w:r>
            <w:r>
              <w:rPr>
                <w:rFonts w:hint="eastAsia" w:ascii="宋体" w:hAnsi="宋体" w:cs="宋体"/>
                <w:color w:val="000000"/>
              </w:rPr>
              <w:t xml:space="preserve">1</w:t>
            </w:r>
            <w:r>
              <w:rPr>
                <w:rFonts w:ascii="宋体" w:hAnsi="宋体" w:cs="宋体"/>
                <w:color w:val="000000"/>
              </w:rPr>
              <w:t xml:space="preserve">日（含</w:t>
            </w:r>
            <w:r>
              <w:rPr>
                <w:rFonts w:ascii="宋体" w:hAnsi="宋体" w:cs="宋体"/>
              </w:rPr>
              <w:t xml:space="preserve">）以来类似项目</w:t>
            </w:r>
            <w:r>
              <w:rPr>
                <w:rFonts w:ascii="宋体" w:hAnsi="宋体" w:cs="宋体"/>
                <w:color w:val="000000"/>
              </w:rPr>
              <w:t xml:space="preserve">业绩</w:t>
            </w:r>
            <w:r>
              <w:rPr>
                <w:rFonts w:hint="eastAsia" w:ascii="宋体" w:hAnsi="宋体" w:cs="宋体"/>
                <w:color w:val="000000"/>
              </w:rPr>
              <w:t xml:space="preserve">（至少包含大数据预警与分析、综合应用或采集交换平台</w:t>
            </w:r>
            <w:r>
              <w:rPr>
                <w:rFonts w:hint="eastAsia" w:ascii="宋体" w:hAnsi="宋体" w:cs="宋体"/>
                <w:color w:val="000000"/>
                <w:lang w:val="en-US" w:eastAsia="zh-CN"/>
              </w:rPr>
              <w:t xml:space="preserve">相关内容</w:t>
            </w:r>
            <w:r>
              <w:rPr>
                <w:rFonts w:hint="eastAsia" w:ascii="宋体" w:hAnsi="宋体" w:cs="宋体"/>
                <w:color w:val="000000"/>
              </w:rPr>
              <w:t xml:space="preserve">）</w:t>
            </w:r>
            <w:r>
              <w:rPr>
                <w:rFonts w:ascii="宋体" w:hAnsi="宋体" w:cs="宋体"/>
                <w:color w:val="000000"/>
              </w:rPr>
              <w:t xml:space="preserve">，</w:t>
            </w:r>
            <w:r>
              <w:rPr>
                <w:rFonts w:ascii="宋体" w:hAnsi="宋体" w:cs="宋体"/>
              </w:rPr>
              <w:t xml:space="preserve">每提供</w:t>
            </w:r>
            <w:r>
              <w:rPr>
                <w:rFonts w:hint="eastAsia" w:ascii="宋体" w:hAnsi="宋体" w:cs="宋体"/>
              </w:rPr>
              <w:t xml:space="preserve">1</w:t>
            </w:r>
            <w:r>
              <w:rPr>
                <w:rFonts w:ascii="宋体" w:hAnsi="宋体" w:cs="宋体"/>
              </w:rPr>
              <w:t xml:space="preserve">个得3分</w:t>
            </w:r>
            <w:r>
              <w:rPr>
                <w:rFonts w:hint="eastAsia" w:ascii="宋体" w:hAnsi="宋体" w:cs="宋体"/>
                <w:color w:val="000000"/>
              </w:rPr>
              <w:t xml:space="preserve">，最多得9分，未提供不得分</w:t>
            </w:r>
            <w:r>
              <w:rPr>
                <w:rFonts w:ascii="宋体" w:hAnsi="宋体" w:cs="宋体"/>
              </w:rPr>
              <w:t xml:space="preserve">。（</w:t>
            </w:r>
            <w:r>
              <w:rPr>
                <w:rFonts w:hint="eastAsia" w:ascii="宋体" w:hAnsi="宋体" w:cs="宋体"/>
                <w:szCs w:val="21"/>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p>
        </w:tc>
        <w:tc>
          <w:tcPr>
            <w:tcBorders>
              <w:top w:val="single" w:color="000000" w:sz="2" w:space="0"/>
              <w:bottom w:val="single" w:color="000000" w:sz="2" w:space="0"/>
            </w:tcBorders>
            <w:tcW w:w="63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rPr>
              <w:t xml:space="preserve">9</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269"/>
        </w:trPr>
        <w:tc>
          <w:tcPr>
            <w:gridSpan w:val="5"/>
            <w:tcBorders>
              <w:top w:val="single" w:color="000000" w:sz="2" w:space="0"/>
              <w:bottom w:val="single" w:color="000000" w:sz="2" w:space="0"/>
            </w:tcBorders>
            <w:tcW w:w="9612" w:type="dxa"/>
            <w:textDirection w:val="lrTb"/>
            <w:noWrap w:val="false"/>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792"/>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5</w:t>
            </w:r>
            <w:r>
              <w:rPr>
                <w:rFonts w:ascii="宋体" w:hAnsi="宋体" w:cs="宋体"/>
                <w:spacing w:val="-2"/>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line="264" w:lineRule="auto"/>
              <w:rPr>
                <w:rFonts w:hint="eastAsia" w:ascii="宋体" w:hAnsi="宋体" w:cs="宋体"/>
                <w:spacing w:val="-1"/>
                <w:szCs w:val="21"/>
              </w:rPr>
            </w:pPr>
            <w:r>
              <w:rPr>
                <w:rFonts w:hint="eastAsia" w:ascii="宋体" w:hAnsi="宋体" w:cs="宋体"/>
              </w:rPr>
              <w:t xml:space="preserve">履约能力1</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1、供应商拟投入本项目的项目经理具备信息系统项目管理师（高级）证书，得3分；</w:t>
            </w:r>
            <w:r/>
          </w:p>
          <w:p>
            <w:pPr>
              <w:jc w:val="left"/>
              <w:spacing w:line="264" w:lineRule="auto"/>
              <w:rPr>
                <w:rFonts w:hint="eastAsia" w:ascii="宋体" w:hAnsi="宋体" w:cs="宋体"/>
              </w:rPr>
            </w:pPr>
            <w:r>
              <w:rPr>
                <w:rFonts w:hint="eastAsia" w:ascii="宋体" w:hAnsi="宋体" w:cs="宋体"/>
              </w:rPr>
              <w:t xml:space="preserve">2、供应商拟投入本项目的技术负责人具有电子信息工程类或数字经济类高级工程师职称证书，得3分；</w:t>
            </w:r>
            <w:r/>
          </w:p>
          <w:p>
            <w:pPr>
              <w:jc w:val="left"/>
              <w:spacing w:line="264" w:lineRule="auto"/>
              <w:rPr>
                <w:rFonts w:hint="eastAsia" w:ascii="宋体" w:hAnsi="宋体" w:cs="宋体"/>
              </w:rPr>
            </w:pPr>
            <w:r>
              <w:rPr>
                <w:rFonts w:hint="eastAsia" w:ascii="宋体" w:hAnsi="宋体" w:cs="宋体"/>
              </w:rPr>
              <w:t xml:space="preserve">3、供应商拟投入本项目的实施经理具有系统集成项目管理工程师（中级）或以上证书，得2分；</w:t>
            </w:r>
            <w:r/>
          </w:p>
          <w:p>
            <w:pPr>
              <w:jc w:val="left"/>
              <w:spacing w:line="264" w:lineRule="auto"/>
              <w:rPr>
                <w:rFonts w:hint="eastAsia" w:ascii="宋体" w:hAnsi="宋体" w:cs="宋体"/>
                <w:spacing w:val="12"/>
                <w:szCs w:val="21"/>
              </w:rPr>
            </w:pPr>
            <w:r>
              <w:rPr>
                <w:rFonts w:hint="eastAsia" w:ascii="宋体" w:hAnsi="宋体" w:cs="宋体"/>
                <w:lang w:val="zh-CN"/>
              </w:rPr>
              <w:t xml:space="preserve">（提供上述人员证书</w:t>
            </w:r>
            <w:r>
              <w:rPr>
                <w:rFonts w:hint="eastAsia" w:ascii="宋体" w:hAnsi="宋体" w:cs="宋体"/>
              </w:rPr>
              <w:t xml:space="preserve">及</w:t>
            </w:r>
            <w:r>
              <w:rPr>
                <w:rFonts w:hint="eastAsia" w:ascii="宋体" w:hAnsi="宋体" w:cs="宋体"/>
                <w:lang w:val="zh-CN"/>
              </w:rPr>
              <w:t xml:space="preserve">供应商为其缴纳的</w:t>
            </w:r>
            <w:r>
              <w:rPr>
                <w:rFonts w:hint="eastAsia" w:ascii="宋体" w:hAnsi="宋体" w:cs="宋体"/>
              </w:rPr>
              <w:t xml:space="preserve">2026</w:t>
            </w:r>
            <w:r>
              <w:rPr>
                <w:rFonts w:hint="eastAsia" w:ascii="宋体" w:hAnsi="宋体" w:cs="宋体"/>
                <w:lang w:val="zh-CN"/>
              </w:rPr>
              <w:t xml:space="preserve">年</w:t>
            </w:r>
            <w:r>
              <w:rPr>
                <w:rFonts w:hint="eastAsia" w:ascii="宋体" w:hAnsi="宋体" w:cs="宋体"/>
              </w:rPr>
              <w:t xml:space="preserve">1</w:t>
            </w:r>
            <w:r>
              <w:rPr>
                <w:rFonts w:hint="eastAsia" w:ascii="宋体" w:hAnsi="宋体" w:cs="宋体"/>
                <w:lang w:val="zh-CN"/>
              </w:rPr>
              <w:t xml:space="preserve">月以来任意一个月的社保证明材料，缺一不可）</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color w:val="0000ff"/>
                <w:szCs w:val="21"/>
              </w:rPr>
            </w:pPr>
            <w:r>
              <w:rPr>
                <w:rFonts w:hint="eastAsia" w:ascii="宋体" w:hAnsi="宋体" w:cs="宋体"/>
              </w:rPr>
              <w:t xml:space="preserve">8</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5</w:t>
            </w:r>
            <w:r>
              <w:rPr>
                <w:rFonts w:ascii="宋体" w:hAnsi="宋体" w:cs="宋体"/>
                <w:spacing w:val="-2"/>
                <w:szCs w:val="21"/>
              </w:rPr>
              <w:t xml:space="preserve">.2</w:t>
            </w:r>
            <w:r/>
          </w:p>
        </w:tc>
        <w:tc>
          <w:tcPr>
            <w:tcBorders>
              <w:top w:val="single" w:color="000000" w:sz="2" w:space="0"/>
              <w:bottom w:val="single" w:color="000000" w:sz="2" w:space="0"/>
            </w:tcBorders>
            <w:tcW w:w="1179" w:type="dxa"/>
            <w:vAlign w:val="center"/>
            <w:textDirection w:val="lrTb"/>
            <w:noWrap w:val="false"/>
          </w:tcPr>
          <w:p>
            <w:pPr>
              <w:jc w:val="left"/>
              <w:spacing w:line="264" w:lineRule="auto"/>
              <w:rPr>
                <w:rFonts w:hint="eastAsia" w:ascii="宋体" w:hAnsi="宋体" w:cs="宋体"/>
                <w:spacing w:val="-1"/>
                <w:szCs w:val="21"/>
              </w:rPr>
            </w:pPr>
            <w:r>
              <w:rPr>
                <w:rFonts w:hint="eastAsia" w:ascii="宋体" w:hAnsi="宋体" w:cs="宋体"/>
              </w:rPr>
              <w:t xml:space="preserve">履约能力2</w:t>
            </w:r>
            <w:r/>
          </w:p>
        </w:tc>
        <w:tc>
          <w:tcPr>
            <w:tcBorders>
              <w:top w:val="single" w:color="000000" w:sz="2" w:space="0"/>
              <w:bottom w:val="single" w:color="000000" w:sz="2" w:space="0"/>
            </w:tcBorders>
            <w:tcW w:w="6425" w:type="dxa"/>
            <w:vAlign w:val="center"/>
            <w:textDirection w:val="lrTb"/>
            <w:noWrap w:val="false"/>
          </w:tcPr>
          <w:p>
            <w:pPr>
              <w:jc w:val="left"/>
              <w:spacing w:line="264" w:lineRule="auto"/>
              <w:rPr>
                <w:rFonts w:ascii="宋体" w:hAnsi="宋体" w:cs="宋体"/>
              </w:rPr>
            </w:pPr>
            <w:r>
              <w:rPr>
                <w:rFonts w:hint="eastAsia" w:ascii="宋体" w:hAnsi="宋体" w:cs="宋体"/>
              </w:rPr>
              <w:t xml:space="preserve">供应商拟投入本项目的项目实施团队能力（不含项目经理、技术负责人及实施经理）：</w:t>
            </w:r>
            <w:r/>
          </w:p>
          <w:p>
            <w:pPr>
              <w:jc w:val="left"/>
              <w:spacing w:line="264" w:lineRule="auto"/>
              <w:rPr>
                <w:rFonts w:hint="eastAsia" w:ascii="宋体" w:hAnsi="宋体" w:cs="宋体"/>
              </w:rPr>
            </w:pPr>
            <w:r>
              <w:rPr>
                <w:rFonts w:hint="eastAsia" w:ascii="宋体" w:hAnsi="宋体" w:cs="宋体"/>
              </w:rPr>
              <w:t xml:space="preserve">具有软件设计师或软件评测师或注册信息安全专业人员（CISP）或信息安全保障人员认证证书（CISAW）或系统集成项目管理工程师（中级或以上）证书的，每提供一个证书得2分，最多得8分。</w:t>
            </w:r>
            <w:r/>
          </w:p>
          <w:p>
            <w:pPr>
              <w:jc w:val="left"/>
              <w:spacing w:line="264" w:lineRule="auto"/>
              <w:rPr>
                <w:rFonts w:hint="eastAsia" w:ascii="宋体" w:hAnsi="宋体" w:cs="宋体"/>
                <w:color w:val="ff0000"/>
                <w:spacing w:val="12"/>
                <w:szCs w:val="21"/>
              </w:rPr>
            </w:pPr>
            <w:r>
              <w:rPr>
                <w:rFonts w:hint="eastAsia" w:ascii="宋体" w:hAnsi="宋体" w:cs="宋体"/>
              </w:rPr>
              <w:t xml:space="preserve">（一证多人或一人多证可重复得分，提供团队成员证书及供应商为其缴纳的2026年1月以来任意一个月的社保证明材料，缺一不可）</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color w:val="0000ff"/>
                <w:szCs w:val="21"/>
              </w:rPr>
            </w:pPr>
            <w:r>
              <w:rPr>
                <w:rFonts w:hint="eastAsia" w:ascii="宋体" w:hAnsi="宋体" w:cs="宋体"/>
              </w:rPr>
              <w:t xml:space="preserve">8</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pacing w:val="-3"/>
                <w:szCs w:val="21"/>
              </w:rPr>
            </w:pPr>
            <w:r>
              <w:rPr>
                <w:rFonts w:hint="eastAsia" w:ascii="宋体" w:hAnsi="宋体" w:cs="宋体"/>
                <w:spacing w:val="-3"/>
                <w:szCs w:val="21"/>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宋体" w:hAnsi="宋体" w:cs="宋体"/>
                <w:spacing w:val="-1"/>
                <w:szCs w:val="21"/>
              </w:rPr>
            </w:pPr>
            <w:r>
              <w:rPr>
                <w:rFonts w:hint="eastAsia" w:ascii="宋体" w:hAnsi="宋体" w:cs="宋体"/>
              </w:rPr>
              <w:t xml:space="preserve">履约能力3</w:t>
            </w:r>
            <w:r/>
          </w:p>
        </w:tc>
        <w:tc>
          <w:tcPr>
            <w:tcBorders>
              <w:top w:val="single" w:color="000000" w:sz="2" w:space="0"/>
              <w:bottom w:val="single" w:color="000000" w:sz="2" w:space="0"/>
            </w:tcBorders>
            <w:tcW w:w="6425" w:type="dxa"/>
            <w:vAlign w:val="center"/>
            <w:textDirection w:val="lrTb"/>
            <w:noWrap w:val="false"/>
          </w:tcPr>
          <w:p>
            <w:pPr>
              <w:jc w:val="left"/>
              <w:spacing w:line="264" w:lineRule="auto"/>
              <w:widowControl/>
              <w:rPr>
                <w:rFonts w:hint="eastAsia" w:ascii="宋体" w:hAnsi="宋体" w:cs="宋体"/>
              </w:rPr>
            </w:pPr>
            <w:r>
              <w:rPr>
                <w:rFonts w:hint="eastAsia" w:ascii="宋体" w:hAnsi="宋体" w:cs="宋体"/>
              </w:rPr>
              <w:t xml:space="preserve">供应商提供与本项目相关的软件著作权证书，包含“数字化管理”、“综合应用平台”、“大数据管理”、“风险排查”、“</w:t>
            </w:r>
            <w:r>
              <w:rPr>
                <w:rFonts w:ascii="宋体" w:hAnsi="宋体" w:cs="宋体"/>
              </w:rPr>
              <w:t xml:space="preserve">后台管理</w:t>
            </w:r>
            <w:r>
              <w:rPr>
                <w:rFonts w:hint="eastAsia" w:ascii="宋体" w:hAnsi="宋体" w:cs="宋体"/>
              </w:rPr>
              <w:t xml:space="preserve">”</w:t>
            </w:r>
            <w:r>
              <w:rPr>
                <w:rFonts w:hint="eastAsia" w:ascii="宋体" w:hAnsi="宋体" w:cs="宋体"/>
                <w:lang w:val="en-US" w:eastAsia="zh-CN"/>
              </w:rPr>
              <w:t xml:space="preserve">等相关内容</w:t>
            </w:r>
            <w:r>
              <w:rPr>
                <w:rFonts w:hint="eastAsia" w:ascii="宋体" w:hAnsi="宋体" w:cs="宋体"/>
              </w:rPr>
              <w:t xml:space="preserve">，每提供一类得2分，最多得8分。 </w:t>
            </w:r>
            <w:r/>
          </w:p>
          <w:p>
            <w:pPr>
              <w:spacing w:line="264" w:lineRule="auto"/>
              <w:rPr>
                <w:rFonts w:hint="eastAsia" w:ascii="宋体" w:hAnsi="宋体" w:cs="宋体"/>
                <w:szCs w:val="21"/>
              </w:rPr>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p>
        </w:tc>
        <w:tc>
          <w:tcPr>
            <w:tcBorders>
              <w:top w:val="single" w:color="000000" w:sz="2" w:space="0"/>
              <w:bottom w:val="single" w:color="000000" w:sz="2" w:space="0"/>
            </w:tcBorders>
            <w:tcW w:w="637" w:type="dxa"/>
            <w:vAlign w:val="center"/>
            <w:textDirection w:val="lrTb"/>
            <w:noWrap w:val="false"/>
          </w:tcPr>
          <w:p>
            <w:pPr>
              <w:jc w:val="center"/>
              <w:spacing w:before="68" w:line="264" w:lineRule="auto"/>
              <w:rPr>
                <w:rFonts w:hint="eastAsia" w:ascii="宋体" w:hAnsi="宋体" w:cs="宋体"/>
                <w:color w:val="0000ff"/>
                <w:szCs w:val="21"/>
              </w:rPr>
            </w:pPr>
            <w:r>
              <w:rPr>
                <w:rFonts w:hint="eastAsia" w:ascii="宋体" w:hAnsi="宋体" w:cs="宋体"/>
              </w:rPr>
              <w:t xml:space="preserve">8</w:t>
            </w:r>
            <w:r/>
          </w:p>
        </w:tc>
        <w:tc>
          <w:tcPr>
            <w:tcBorders>
              <w:top w:val="single" w:color="000000" w:sz="2" w:space="0"/>
              <w:bottom w:val="single" w:color="000000" w:sz="2" w:space="0"/>
            </w:tcBorders>
            <w:tcW w:w="852"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ff0000"/>
                <w:szCs w:val="21"/>
              </w:rPr>
            </w:pPr>
            <w:r>
              <w:rPr>
                <w:rFonts w:ascii="宋体" w:hAnsi="宋体" w:cs="宋体"/>
                <w:spacing w:val="-3"/>
                <w:szCs w:val="21"/>
              </w:rPr>
              <w:t xml:space="preserve">合</w:t>
            </w:r>
            <w:r>
              <w:rPr>
                <w:rFonts w:ascii="宋体" w:hAnsi="宋体" w:cs="宋体"/>
                <w:spacing w:val="-2"/>
                <w:szCs w:val="21"/>
              </w:rPr>
              <w:t xml:space="preserve">计</w:t>
            </w:r>
            <w:r/>
          </w:p>
        </w:tc>
        <w:tc>
          <w:tcPr>
            <w:gridSpan w:val="2"/>
            <w:tcBorders>
              <w:top w:val="single" w:color="000000" w:sz="2" w:space="0"/>
              <w:bottom w:val="single" w:color="000000" w:sz="2" w:space="0"/>
            </w:tcBorders>
            <w:tcW w:w="7604" w:type="dxa"/>
            <w:vAlign w:val="center"/>
            <w:textDirection w:val="lrTb"/>
            <w:noWrap w:val="false"/>
          </w:tcPr>
          <w:p>
            <w:pPr>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Borders>
              <w:top w:val="single" w:color="000000" w:sz="2" w:space="0"/>
              <w:bottom w:val="single" w:color="000000" w:sz="2" w:space="0"/>
            </w:tcBorders>
            <w:tcW w:w="1489" w:type="dxa"/>
            <w:vAlign w:val="center"/>
            <w:textDirection w:val="lrTb"/>
            <w:noWrap w:val="false"/>
          </w:tcPr>
          <w:p>
            <w:pPr>
              <w:jc w:val="center"/>
              <w:spacing w:line="264" w:lineRule="auto"/>
              <w:rPr>
                <w:szCs w:val="21"/>
              </w:rPr>
            </w:pPr>
            <w:r>
              <w:rPr>
                <w:rFonts w:ascii="宋体" w:hAnsi="宋体" w:cs="宋体"/>
                <w:spacing w:val="-11"/>
                <w:szCs w:val="21"/>
              </w:rPr>
              <w:t xml:space="preserve">100分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jc w:val="center"/>
        <w:keepNext/>
        <w:rPr>
          <w:rFonts w:ascii="黑体" w:eastAsia="黑体"/>
          <w:bCs/>
          <w:sz w:val="44"/>
          <w:szCs w:val="28"/>
        </w:rPr>
        <w:outlineLvl w:val="0"/>
      </w:pPr>
      <w:r>
        <w:rPr>
          <w:rFonts w:hint="eastAsia" w:ascii="黑体" w:eastAsia="黑体"/>
          <w:bCs/>
          <w:sz w:val="44"/>
          <w:szCs w:val="28"/>
        </w:rPr>
        <w:br w:type="page" w:clear="all"/>
      </w:r>
      <w:r>
        <w:rPr>
          <w:rFonts w:hint="eastAsia" w:ascii="黑体" w:eastAsia="黑体"/>
          <w:sz w:val="44"/>
          <w:szCs w:val="44"/>
        </w:rPr>
        <w:t xml:space="preserve">第六章  </w:t>
      </w:r>
      <w:bookmarkEnd w:id="122"/>
      <w:r/>
      <w:bookmarkEnd w:id="123"/>
      <w:r/>
      <w:bookmarkEnd w:id="126"/>
      <w:r>
        <w:rPr>
          <w:rFonts w:hint="eastAsia" w:ascii="黑体" w:eastAsia="黑体"/>
          <w:sz w:val="44"/>
          <w:szCs w:val="44"/>
        </w:rPr>
        <w:t xml:space="preserve">响应文件格式 </w:t>
      </w:r>
      <w:r/>
    </w:p>
    <w:p>
      <w:pPr>
        <w:jc w:val="center"/>
        <w:rPr>
          <w:rFonts w:hint="eastAsia" w:ascii="宋体" w:hAnsi="宋体"/>
          <w:b/>
          <w:sz w:val="72"/>
          <w:szCs w:val="21"/>
        </w:rPr>
      </w:pPr>
      <w:r/>
      <w:bookmarkStart w:id="128" w:name="_Hlt26671244"/>
      <w:r/>
      <w:bookmarkEnd w:id="128"/>
      <w:r/>
      <w:bookmarkStart w:id="129" w:name="_Hlt26955039"/>
      <w:r/>
      <w:bookmarkEnd w:id="129"/>
      <w:r/>
      <w:bookmarkStart w:id="130" w:name="_Toc120614282"/>
      <w:r/>
      <w:bookmarkStart w:id="131" w:name="_Toc49090576"/>
      <w:r/>
      <w:bookmarkStart w:id="132"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5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bookmarkEnd w:id="130"/>
      <w:r/>
      <w:bookmarkEnd w:id="131"/>
      <w:r/>
      <w:bookmarkEnd w:id="132"/>
      <w:r/>
      <w:r/>
    </w:p>
    <w:p>
      <w:pPr>
        <w:rPr>
          <w:rFonts w:hint="eastAsia" w:ascii="黑体" w:hAnsi="黑体" w:eastAsia="黑体"/>
          <w:sz w:val="32"/>
          <w:szCs w:val="32"/>
        </w:rPr>
      </w:pPr>
      <w:r/>
      <w:bookmarkStart w:id="133" w:name="_Toc120614284"/>
      <w:r>
        <w:rPr>
          <w:rFonts w:hint="eastAsia" w:ascii="黑体" w:hAnsi="黑体" w:eastAsia="黑体"/>
          <w:sz w:val="32"/>
          <w:szCs w:val="32"/>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p>
    <w:p>
      <w:pPr>
        <w:pStyle w:val="930"/>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30"/>
        <w:ind w:firstLine="480"/>
        <w:spacing w:line="480" w:lineRule="auto"/>
        <w:rPr>
          <w:sz w:val="24"/>
          <w:szCs w:val="24"/>
        </w:rPr>
      </w:pPr>
      <w:r>
        <w:rPr>
          <w:rFonts w:hint="eastAsia"/>
          <w:sz w:val="24"/>
          <w:szCs w:val="24"/>
        </w:rPr>
        <w:t xml:space="preserve">本授权书于______年____月____日起生效，特此声明。</w:t>
      </w:r>
      <w:r/>
    </w:p>
    <w:p>
      <w:pPr>
        <w:pStyle w:val="930"/>
        <w:ind w:firstLine="0"/>
        <w:spacing w:line="480" w:lineRule="auto"/>
        <w:rPr>
          <w:sz w:val="24"/>
          <w:szCs w:val="24"/>
          <w:u w:val="single"/>
        </w:rPr>
      </w:pPr>
      <w:r>
        <w:rPr>
          <w:rFonts w:hint="eastAsia"/>
          <w:sz w:val="24"/>
          <w:szCs w:val="24"/>
        </w:rPr>
        <w:t xml:space="preserve">    被授权人身份证号码：</w:t>
      </w:r>
      <w:r/>
    </w:p>
    <w:p>
      <w:pPr>
        <w:pStyle w:val="930"/>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930"/>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930"/>
        <w:ind w:firstLine="480"/>
        <w:spacing w:line="480" w:lineRule="auto"/>
        <w:rPr>
          <w:sz w:val="24"/>
          <w:szCs w:val="24"/>
          <w:u w:val="single"/>
        </w:rPr>
      </w:pPr>
      <w:r>
        <w:rPr>
          <w:rFonts w:hint="eastAsia"/>
          <w:sz w:val="24"/>
          <w:szCs w:val="24"/>
        </w:rPr>
        <w:t xml:space="preserve">单位地址：</w:t>
      </w:r>
      <w:r/>
    </w:p>
    <w:p>
      <w:pPr>
        <w:pStyle w:val="930"/>
        <w:ind w:firstLine="480"/>
        <w:spacing w:line="480" w:lineRule="auto"/>
        <w:rPr>
          <w:sz w:val="24"/>
          <w:szCs w:val="24"/>
        </w:rPr>
      </w:pPr>
      <w:r>
        <w:rPr>
          <w:rFonts w:hint="eastAsia"/>
          <w:sz w:val="24"/>
          <w:szCs w:val="24"/>
        </w:rPr>
        <w:t xml:space="preserve">日    期：</w:t>
      </w:r>
      <w:bookmarkStart w:id="134" w:name="_Hlt26671380"/>
      <w:r/>
      <w:bookmarkEnd w:id="134"/>
      <w:r/>
      <w:bookmarkStart w:id="135" w:name="_Hlt26955070"/>
      <w:r/>
      <w:bookmarkEnd w:id="135"/>
      <w:r/>
      <w:bookmarkStart w:id="136" w:name="_格式3__银行出具的资信证明"/>
      <w:r/>
      <w:bookmarkEnd w:id="136"/>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rPr>
          <w:rFonts w:hint="eastAsia" w:ascii="黑体" w:hAnsi="黑体" w:eastAsia="黑体"/>
          <w:sz w:val="32"/>
          <w:szCs w:val="32"/>
        </w:rPr>
      </w:pPr>
      <w:r>
        <w:rPr>
          <w:rFonts w:hint="eastAsia" w:ascii="黑体" w:hAnsi="黑体" w:eastAsia="黑体"/>
          <w:sz w:val="32"/>
          <w:szCs w:val="32"/>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p>
    <w:p>
      <w:pPr>
        <w:pStyle w:val="932"/>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87"/>
        <w:ind w:firstLine="480"/>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32"/>
        <w:spacing w:before="0" w:after="0"/>
        <w:rPr>
          <w:rFonts w:hint="eastAsia" w:ascii="宋体" w:hAnsi="宋体"/>
          <w:szCs w:val="21"/>
        </w:rPr>
      </w:pPr>
      <w:r>
        <w:rPr>
          <w:rFonts w:hint="eastAsia" w:ascii="宋体" w:hAnsi="宋体"/>
          <w:szCs w:val="21"/>
        </w:rPr>
        <w:t xml:space="preserve">地  址：</w:t>
      </w:r>
      <w:r/>
    </w:p>
    <w:p>
      <w:pPr>
        <w:pStyle w:val="932"/>
        <w:spacing w:before="0" w:after="0"/>
        <w:rPr>
          <w:rFonts w:hint="eastAsia" w:ascii="宋体" w:hAnsi="宋体"/>
          <w:szCs w:val="21"/>
        </w:rPr>
      </w:pPr>
      <w:r>
        <w:rPr>
          <w:rFonts w:hint="eastAsia" w:ascii="宋体" w:hAnsi="宋体"/>
          <w:szCs w:val="21"/>
        </w:rPr>
        <w:t xml:space="preserve">邮  编：</w:t>
      </w:r>
      <w:r/>
    </w:p>
    <w:p>
      <w:pPr>
        <w:pStyle w:val="932"/>
        <w:spacing w:before="0" w:after="0"/>
        <w:rPr>
          <w:rFonts w:hint="eastAsia" w:ascii="宋体" w:hAnsi="宋体"/>
          <w:szCs w:val="21"/>
          <w:u w:val="single"/>
        </w:rPr>
      </w:pPr>
      <w:r>
        <w:rPr>
          <w:rFonts w:hint="eastAsia" w:ascii="宋体" w:hAnsi="宋体"/>
          <w:szCs w:val="21"/>
        </w:rPr>
        <w:t xml:space="preserve">电  话：</w:t>
      </w:r>
      <w:r/>
    </w:p>
    <w:p>
      <w:pPr>
        <w:pStyle w:val="932"/>
        <w:spacing w:before="0" w:after="0"/>
        <w:rPr>
          <w:rFonts w:hint="eastAsia" w:ascii="宋体" w:hAnsi="宋体"/>
          <w:szCs w:val="21"/>
          <w:u w:val="single"/>
        </w:rPr>
      </w:pPr>
      <w:r>
        <w:rPr>
          <w:rFonts w:hint="eastAsia" w:ascii="宋体" w:hAnsi="宋体"/>
          <w:szCs w:val="21"/>
        </w:rPr>
        <w:t xml:space="preserve">传  真：</w:t>
      </w:r>
      <w:r/>
    </w:p>
    <w:p>
      <w:pPr>
        <w:pStyle w:val="932"/>
        <w:spacing w:before="0" w:after="0"/>
        <w:rPr>
          <w:rFonts w:hint="eastAsia" w:ascii="宋体" w:hAnsi="宋体"/>
          <w:szCs w:val="21"/>
          <w:u w:val="single"/>
        </w:rPr>
      </w:pPr>
      <w:r>
        <w:rPr>
          <w:rFonts w:hint="eastAsia" w:ascii="宋体" w:hAnsi="宋体"/>
          <w:szCs w:val="21"/>
        </w:rPr>
        <w:t xml:space="preserve">开户行：</w:t>
      </w:r>
      <w:r/>
    </w:p>
    <w:p>
      <w:pPr>
        <w:pStyle w:val="932"/>
        <w:spacing w:before="0" w:after="0"/>
        <w:rPr>
          <w:rFonts w:hint="eastAsia" w:ascii="宋体" w:hAnsi="宋体"/>
          <w:szCs w:val="21"/>
          <w:u w:val="single"/>
        </w:rPr>
      </w:pPr>
      <w:r>
        <w:rPr>
          <w:rFonts w:hint="eastAsia" w:ascii="宋体" w:hAnsi="宋体"/>
          <w:szCs w:val="21"/>
        </w:rPr>
        <w:t xml:space="preserve">账  号：</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32"/>
        <w:spacing w:before="0" w:after="0"/>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widowControl/>
        <w:rPr>
          <w:rFonts w:hint="eastAsia" w:ascii="宋体" w:hAnsi="宋体"/>
          <w:sz w:val="24"/>
          <w:szCs w:val="24"/>
        </w:rPr>
      </w:pPr>
      <w:r>
        <w:rPr>
          <w:rFonts w:hint="eastAsia" w:ascii="宋体" w:hAnsi="宋体"/>
          <w:sz w:val="24"/>
          <w:szCs w:val="24"/>
        </w:rPr>
        <w:t xml:space="preserve">项目名称：</w:t>
      </w:r>
      <w:r/>
    </w:p>
    <w:p>
      <w:pPr>
        <w:widowControl/>
        <w:rPr>
          <w:rFonts w:hint="eastAsia" w:ascii="宋体" w:hAnsi="宋体"/>
          <w:sz w:val="24"/>
          <w:szCs w:val="24"/>
        </w:rPr>
      </w:pPr>
      <w:r>
        <w:rPr>
          <w:rFonts w:hint="eastAsia" w:ascii="宋体" w:hAnsi="宋体"/>
          <w:sz w:val="24"/>
          <w:szCs w:val="24"/>
        </w:rPr>
        <w:t xml:space="preserve">项目编号：                                   采购包号：</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32"/>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r/>
      <w:r/>
    </w:p>
    <w:p>
      <w:pPr>
        <w:pStyle w:val="887"/>
        <w:rPr>
          <w:rFonts w:hint="eastAsia"/>
        </w:rPr>
      </w:pPr>
      <w:r>
        <w:rPr>
          <w:rFonts w:hint="eastAsia"/>
        </w:rPr>
      </w:r>
      <w:r/>
    </w:p>
    <w:p>
      <w:r/>
      <w:r/>
    </w:p>
    <w:p>
      <w:pPr>
        <w:pStyle w:val="887"/>
        <w:rPr>
          <w:rFonts w:hint="eastAsia"/>
        </w:rPr>
      </w:pPr>
      <w:r>
        <w:rPr>
          <w:rFonts w:hint="eastAsia"/>
        </w:rPr>
      </w:r>
      <w:r/>
    </w:p>
    <w:p>
      <w:r/>
      <w:r/>
    </w:p>
    <w:p>
      <w:pPr>
        <w:pStyle w:val="887"/>
        <w:rPr>
          <w:rFonts w:hint="eastAsia"/>
        </w:rPr>
      </w:pPr>
      <w:r>
        <w:rPr>
          <w:rFonts w:hint="eastAsia"/>
        </w:rPr>
      </w:r>
      <w:r/>
    </w:p>
    <w:p>
      <w:r/>
      <w:r/>
    </w:p>
    <w:p>
      <w:pPr>
        <w:pStyle w:val="887"/>
        <w:rPr>
          <w:rFonts w:hint="eastAsia"/>
        </w:rPr>
      </w:pPr>
      <w:r>
        <w:rPr>
          <w:rFonts w:hint="eastAsia"/>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center"/>
        <w:spacing w:line="480"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p>
      <w:pPr>
        <w:rPr>
          <w:sz w:val="24"/>
          <w:szCs w:val="24"/>
        </w:rPr>
      </w:pPr>
      <w:r>
        <w:rPr>
          <w:rFonts w:hint="eastAsia" w:ascii="宋体" w:hAnsi="宋体"/>
          <w:sz w:val="24"/>
          <w:szCs w:val="24"/>
        </w:rPr>
        <w:t xml:space="preserve">项目名称：</w:t>
      </w:r>
      <w:r/>
    </w:p>
    <w:p>
      <w:r>
        <w:rPr>
          <w:rFonts w:hint="eastAsia" w:ascii="宋体" w:hAnsi="宋体"/>
          <w:sz w:val="24"/>
          <w:szCs w:val="24"/>
        </w:rPr>
        <w:t xml:space="preserve">项目编号：                                   采购包号：</w:t>
      </w:r>
      <w:r/>
    </w:p>
    <w:tbl>
      <w:tblPr>
        <w:tblStyle w:val="852"/>
        <w:tblW w:w="9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54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总报价（元）：</w:t>
            </w:r>
            <w:r/>
          </w:p>
        </w:tc>
      </w:tr>
    </w:tbl>
    <w:p>
      <w:pPr>
        <w:pStyle w:val="883"/>
        <w:jc w:val="both"/>
        <w:spacing w:before="0" w:beforeAutospacing="0" w:after="0" w:afterAutospacing="0"/>
        <w:rPr>
          <w:rFonts w:hint="eastAsia"/>
          <w:color w:val="000000"/>
        </w:rPr>
      </w:pPr>
      <w:r>
        <w:rPr>
          <w:rFonts w:hint="eastAsia"/>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spacing w:line="360" w:lineRule="auto"/>
        <w:rPr>
          <w:rFonts w:hint="eastAsia" w:ascii="宋体" w:hAnsi="宋体"/>
          <w:sz w:val="24"/>
        </w:rPr>
      </w:pPr>
      <w:r>
        <w:rPr>
          <w:rFonts w:hint="eastAsia" w:ascii="宋体" w:hAnsi="宋体"/>
          <w:sz w:val="24"/>
        </w:rPr>
      </w:r>
      <w:r/>
    </w:p>
    <w:p>
      <w:pPr>
        <w:pStyle w:val="883"/>
        <w:ind w:firstLine="480"/>
        <w:jc w:val="both"/>
        <w:spacing w:before="0" w:beforeAutospacing="0" w:after="0" w:afterAutospacing="0" w:line="360" w:lineRule="auto"/>
        <w:rPr>
          <w:rFonts w:hint="eastAsia"/>
          <w:color w:val="000000"/>
        </w:rPr>
      </w:pPr>
      <w:r>
        <w:rPr>
          <w:color w:val="000000"/>
        </w:rPr>
        <w:t xml:space="preserve">备注： </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3.《分项报价表》中的分项名称须与“第四章-项目清单”中的名称一一对应，如有缺项、漏项，视为无效响应。</w:t>
      </w:r>
      <w:r>
        <w:rPr>
          <w:rFonts w:hint="eastAsia"/>
        </w:rPr>
        <w:t xml:space="preserve">“项目清单”中分项仅为一项的，此表无需提供。</w:t>
      </w:r>
      <w:r/>
    </w:p>
    <w:p>
      <w:pPr>
        <w:pStyle w:val="883"/>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883"/>
        <w:ind w:firstLine="480"/>
        <w:jc w:val="both"/>
        <w:spacing w:before="0" w:beforeAutospacing="0" w:after="0" w:afterAutospacing="0" w:line="360" w:lineRule="auto"/>
        <w:rPr>
          <w:rFonts w:hint="eastAsia"/>
          <w:color w:val="000000"/>
        </w:rPr>
      </w:pPr>
      <w:r>
        <w:rPr>
          <w:rFonts w:hint="eastAsia"/>
          <w:color w:val="000000"/>
        </w:rPr>
      </w:r>
      <w:r/>
    </w:p>
    <w:p>
      <w:pPr>
        <w:pStyle w:val="883"/>
        <w:jc w:val="both"/>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4"/>
      <w:r/>
      <w:bookmarkEnd w:id="125"/>
      <w:r/>
      <w:bookmarkEnd w:id="133"/>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83"/>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rPr>
          <w:rFonts w:hint="eastAsia" w:ascii="宋体" w:hAnsi="宋体"/>
          <w:sz w:val="24"/>
          <w:szCs w:val="24"/>
        </w:rPr>
      </w:pPr>
      <w:r>
        <w:rPr>
          <w:rFonts w:hint="eastAsia" w:ascii="宋体" w:hAnsi="宋体"/>
          <w:sz w:val="24"/>
          <w:szCs w:val="24"/>
        </w:rPr>
      </w:r>
      <w:r/>
    </w:p>
    <w:p>
      <w:pPr>
        <w:pStyle w:val="883"/>
        <w:ind w:firstLine="480"/>
        <w:jc w:val="both"/>
        <w:spacing w:before="0" w:beforeAutospacing="0" w:after="0" w:afterAutospacing="0" w:line="360" w:lineRule="auto"/>
        <w:rPr>
          <w:rFonts w:hint="eastAsia"/>
        </w:rPr>
      </w:pPr>
      <w:r>
        <w:t xml:space="preserve">备注： </w:t>
      </w:r>
      <w:r/>
    </w:p>
    <w:p>
      <w:pPr>
        <w:pStyle w:val="883"/>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p>
    <w:p>
      <w:pPr>
        <w:pStyle w:val="88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另有约定的除外。成交供应商未按采购文件要求和响应文件响应内容提供或者提供的证明材料不符合要求的，视为提供虚假材料谋取成交，采购人将取消其成交资格。</w:t>
      </w:r>
      <w:r/>
    </w:p>
    <w:p>
      <w:pPr>
        <w:pStyle w:val="883"/>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bookmarkStart w:id="137" w:name="_Hlt26955054"/>
      <w:r/>
      <w:bookmarkEnd w:id="137"/>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883"/>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883"/>
        <w:ind w:firstLine="480"/>
        <w:jc w:val="both"/>
        <w:spacing w:before="0" w:beforeAutospacing="0" w:after="0" w:afterAutospacing="0" w:line="360" w:lineRule="auto"/>
        <w:rPr>
          <w:rFonts w:hint="eastAsia"/>
        </w:rPr>
      </w:pPr>
      <w:r>
        <w:rPr>
          <w:rFonts w:hint="eastAsia"/>
        </w:rPr>
        <w:t xml:space="preserve">备注： </w:t>
      </w:r>
      <w:r/>
    </w:p>
    <w:p>
      <w:pPr>
        <w:pStyle w:val="883"/>
        <w:ind w:firstLine="480"/>
        <w:jc w:val="both"/>
        <w:spacing w:before="0" w:beforeAutospacing="0" w:after="0" w:afterAutospacing="0" w:line="360" w:lineRule="auto"/>
        <w:rPr>
          <w:rFonts w:hint="eastAsia"/>
        </w:rPr>
      </w:pPr>
      <w:r>
        <w:rPr>
          <w:rFonts w:hint="eastAsia"/>
        </w:rPr>
        <w:t xml:space="preserve">1.供应商须对磋商文件商务要求中的实质性要求（斜体下划线内容或打“★”内容）做出明确响应，否则视为无效响应。</w:t>
      </w:r>
      <w:r/>
    </w:p>
    <w:p>
      <w:pPr>
        <w:pStyle w:val="883"/>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21"/>
        <w:rPr>
          <w:rFonts w:ascii="宋体" w:hAnsi="宋体" w:cs="仿宋"/>
          <w:b/>
          <w:bCs/>
          <w:sz w:val="32"/>
          <w:szCs w:val="32"/>
        </w:rPr>
      </w:pPr>
      <w:r>
        <w:rPr>
          <w:rFonts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1"/>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bookmarkStart w:id="138" w:name="OLE_LINK6"/>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138"/>
      <w:r>
        <w:rPr>
          <w:rFonts w:hint="eastAsia" w:ascii="宋体" w:hAnsi="宋体"/>
          <w:sz w:val="24"/>
          <w:szCs w:val="24"/>
        </w:rPr>
        <w:t xml:space="preserve">，不对其中涉及的货物的制造商、工程的承建商作出要求。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21"/>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hint="eastAsia"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0"/>
        <w:rFonts w:hint="eastAsia" w:ascii="宋体" w:hAnsi="宋体"/>
      </w:rPr>
      <w:framePr w:wrap="around" w:vAnchor="text" w:hAnchor="margin" w:xAlign="center" w:y="1"/>
    </w:pPr>
    <w:r>
      <w:rPr>
        <w:rFonts w:ascii="宋体" w:hAnsi="宋体"/>
      </w:rPr>
      <w:fldChar w:fldCharType="begin"/>
    </w:r>
    <w:r>
      <w:rPr>
        <w:rStyle w:val="890"/>
        <w:rFonts w:ascii="宋体" w:hAnsi="宋体"/>
      </w:rPr>
      <w:instrText xml:space="preserve">PAGE  </w:instrText>
    </w:r>
    <w:r>
      <w:rPr>
        <w:rFonts w:ascii="宋体" w:hAnsi="宋体"/>
      </w:rPr>
      <w:fldChar w:fldCharType="separate"/>
    </w:r>
    <w:r>
      <w:rPr>
        <w:rStyle w:val="890"/>
        <w:rFonts w:ascii="宋体" w:hAnsi="宋体"/>
      </w:rPr>
      <w:t xml:space="preserve">３９</w:t>
    </w:r>
    <w:r>
      <w:rPr>
        <w:rFonts w:ascii="宋体" w:hAnsi="宋体"/>
      </w:rPr>
      <w:fldChar w:fldCharType="end"/>
    </w:r>
    <w:r/>
  </w:p>
  <w:p>
    <w:pPr>
      <w:pStyle w:val="87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1</w: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3"/>
    <w:uiPriority w:val="99"/>
  </w:style>
  <w:style w:type="character" w:styleId="706">
    <w:name w:val="Footer Char"/>
    <w:basedOn w:val="851"/>
    <w:link w:val="872"/>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2"/>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6"/>
    <w:uiPriority w:val="0"/>
    <w:qFormat/>
    <w:pPr>
      <w:jc w:val="center"/>
      <w:keepNext/>
      <w:outlineLvl w:val="0"/>
    </w:pPr>
    <w:rPr>
      <w:rFonts w:ascii="楷体_GB2312" w:eastAsia="楷体_GB2312"/>
      <w:sz w:val="28"/>
      <w:szCs w:val="28"/>
    </w:rPr>
  </w:style>
  <w:style w:type="paragraph" w:styleId="843">
    <w:name w:val="Heading 2"/>
    <w:basedOn w:val="841"/>
    <w:next w:val="856"/>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899"/>
    <w:uiPriority w:val="0"/>
    <w:qFormat/>
    <w:pPr>
      <w:keepLines/>
      <w:keepNext/>
      <w:spacing w:before="260" w:after="260" w:line="416" w:lineRule="auto"/>
      <w:outlineLvl w:val="2"/>
    </w:pPr>
    <w:rPr>
      <w:b/>
      <w:bCs/>
      <w:sz w:val="32"/>
      <w:szCs w:val="32"/>
    </w:rPr>
  </w:style>
  <w:style w:type="paragraph" w:styleId="845">
    <w:name w:val="Heading 4"/>
    <w:basedOn w:val="841"/>
    <w:next w:val="856"/>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901"/>
    <w:uiPriority w:val="0"/>
    <w:qFormat/>
    <w:pPr>
      <w:keepNext/>
      <w:outlineLvl w:val="4"/>
    </w:pPr>
    <w:rPr>
      <w:rFonts w:ascii="宋体"/>
      <w:color w:val="000000"/>
      <w:sz w:val="28"/>
      <w:szCs w:val="28"/>
    </w:rPr>
  </w:style>
  <w:style w:type="paragraph" w:styleId="847">
    <w:name w:val="Heading 6"/>
    <w:basedOn w:val="841"/>
    <w:next w:val="841"/>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3"/>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5"/>
    <w:uiPriority w:val="0"/>
    <w:qFormat/>
    <w:pPr>
      <w:numPr>
        <w:ilvl w:val="8"/>
        <w:numId w:val="1"/>
      </w:numPr>
      <w:keepLines/>
      <w:keepNext/>
      <w:spacing w:before="240" w:after="64" w:line="320" w:lineRule="auto"/>
      <w:outlineLvl w:val="8"/>
    </w:pPr>
    <w:rPr>
      <w:rFonts w:ascii="Arial" w:hAnsi="Arial" w:eastAsia="黑体"/>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customStyle="1">
    <w:name w:val="正文首行缩进 21"/>
    <w:basedOn w:val="854"/>
    <w:next w:val="841"/>
    <w:uiPriority w:val="0"/>
    <w:qFormat/>
    <w:pPr>
      <w:ind w:left="0" w:firstLine="420"/>
      <w:spacing w:after="0" w:line="360" w:lineRule="auto"/>
    </w:pPr>
    <w:rPr>
      <w:rFonts w:ascii="宋体" w:hAnsi="宋体"/>
      <w:szCs w:val="20"/>
    </w:rPr>
  </w:style>
  <w:style w:type="paragraph" w:styleId="854">
    <w:name w:val="Body Text Indent"/>
    <w:basedOn w:val="841"/>
    <w:next w:val="855"/>
    <w:link w:val="895"/>
    <w:uiPriority w:val="0"/>
    <w:unhideWhenUsed/>
    <w:qFormat/>
    <w:pPr>
      <w:ind w:left="420"/>
      <w:spacing w:after="120"/>
    </w:pPr>
  </w:style>
  <w:style w:type="paragraph" w:styleId="855">
    <w:name w:val="envelope return"/>
    <w:basedOn w:val="841"/>
    <w:uiPriority w:val="0"/>
    <w:qFormat/>
    <w:rPr>
      <w:rFonts w:ascii="Arial" w:hAnsi="Arial" w:cs="宋体"/>
    </w:rPr>
  </w:style>
  <w:style w:type="paragraph" w:styleId="856">
    <w:name w:val="Normal Indent"/>
    <w:basedOn w:val="841"/>
    <w:link w:val="898"/>
    <w:uiPriority w:val="0"/>
    <w:qFormat/>
    <w:pPr>
      <w:ind w:firstLine="420"/>
    </w:pPr>
    <w:rPr>
      <w:szCs w:val="21"/>
    </w:rPr>
  </w:style>
  <w:style w:type="paragraph" w:styleId="857">
    <w:name w:val="List 3"/>
    <w:basedOn w:val="841"/>
    <w:uiPriority w:val="0"/>
    <w:qFormat/>
    <w:pPr>
      <w:ind w:left="100" w:hanging="200"/>
    </w:pPr>
    <w:rPr>
      <w:szCs w:val="21"/>
    </w:rPr>
  </w:style>
  <w:style w:type="paragraph" w:styleId="858">
    <w:name w:val="toc 7"/>
    <w:basedOn w:val="841"/>
    <w:next w:val="841"/>
    <w:uiPriority w:val="0"/>
    <w:semiHidden/>
    <w:qFormat/>
    <w:pPr>
      <w:ind w:left="1260"/>
      <w:jc w:val="left"/>
    </w:pPr>
    <w:rPr>
      <w:szCs w:val="21"/>
    </w:rPr>
  </w:style>
  <w:style w:type="paragraph" w:styleId="859">
    <w:name w:val="Document Map"/>
    <w:basedOn w:val="841"/>
    <w:link w:val="906"/>
    <w:uiPriority w:val="0"/>
    <w:semiHidden/>
    <w:qFormat/>
    <w:pPr>
      <w:shd w:val="clear" w:color="auto" w:fill="000080"/>
    </w:pPr>
    <w:rPr>
      <w:szCs w:val="21"/>
    </w:rPr>
  </w:style>
  <w:style w:type="paragraph" w:styleId="860">
    <w:name w:val="annotation text"/>
    <w:basedOn w:val="841"/>
    <w:link w:val="907"/>
    <w:uiPriority w:val="0"/>
    <w:unhideWhenUsed/>
    <w:qFormat/>
    <w:pPr>
      <w:jc w:val="left"/>
    </w:pPr>
  </w:style>
  <w:style w:type="paragraph" w:styleId="861">
    <w:name w:val="Body Text 3"/>
    <w:basedOn w:val="841"/>
    <w:link w:val="908"/>
    <w:uiPriority w:val="0"/>
    <w:qFormat/>
    <w:rPr>
      <w:rFonts w:ascii="仿宋_GB2312" w:hAnsi="Arial" w:eastAsia="仿宋_GB2312"/>
      <w:sz w:val="32"/>
      <w:szCs w:val="32"/>
    </w:rPr>
  </w:style>
  <w:style w:type="paragraph" w:styleId="862">
    <w:name w:val="Body Text"/>
    <w:basedOn w:val="841"/>
    <w:link w:val="909"/>
    <w:uiPriority w:val="0"/>
    <w:qFormat/>
    <w:rPr>
      <w:rFonts w:ascii="楷体_GB2312" w:hAnsi="Arial" w:eastAsia="楷体_GB2312"/>
      <w:sz w:val="28"/>
      <w:szCs w:val="28"/>
    </w:rPr>
  </w:style>
  <w:style w:type="paragraph" w:styleId="863">
    <w:name w:val="List 2"/>
    <w:basedOn w:val="841"/>
    <w:uiPriority w:val="0"/>
    <w:qFormat/>
    <w:pPr>
      <w:ind w:left="100" w:hanging="200"/>
    </w:pPr>
    <w:rPr>
      <w:szCs w:val="21"/>
    </w:rPr>
  </w:style>
  <w:style w:type="paragraph" w:styleId="864">
    <w:name w:val="index 4"/>
    <w:basedOn w:val="841"/>
    <w:next w:val="841"/>
    <w:uiPriority w:val="0"/>
    <w:semiHidden/>
    <w:qFormat/>
    <w:pPr>
      <w:ind w:left="1260"/>
    </w:pPr>
    <w:rPr>
      <w:rFonts w:ascii="Calibri" w:hAnsi="Calibri" w:eastAsia="Calibri" w:cs="宋体"/>
      <w:sz w:val="20"/>
      <w:lang w:val="zh-CN"/>
    </w:rPr>
  </w:style>
  <w:style w:type="paragraph" w:styleId="865">
    <w:name w:val="toc 5"/>
    <w:basedOn w:val="841"/>
    <w:next w:val="841"/>
    <w:uiPriority w:val="0"/>
    <w:semiHidden/>
    <w:qFormat/>
    <w:pPr>
      <w:ind w:left="840"/>
      <w:jc w:val="left"/>
    </w:pPr>
    <w:rPr>
      <w:szCs w:val="21"/>
    </w:rPr>
  </w:style>
  <w:style w:type="paragraph" w:styleId="866">
    <w:name w:val="toc 3"/>
    <w:basedOn w:val="841"/>
    <w:next w:val="841"/>
    <w:uiPriority w:val="0"/>
    <w:semiHidden/>
    <w:qFormat/>
    <w:pPr>
      <w:ind w:left="420"/>
      <w:jc w:val="left"/>
    </w:pPr>
    <w:rPr>
      <w:i/>
      <w:iCs/>
      <w:szCs w:val="24"/>
    </w:rPr>
  </w:style>
  <w:style w:type="paragraph" w:styleId="867">
    <w:name w:val="Plain Text"/>
    <w:basedOn w:val="841"/>
    <w:link w:val="910"/>
    <w:uiPriority w:val="0"/>
    <w:qFormat/>
    <w:rPr>
      <w:rFonts w:ascii="宋体" w:hAnsi="Courier New" w:cs="Courier New"/>
      <w:szCs w:val="21"/>
    </w:rPr>
  </w:style>
  <w:style w:type="paragraph" w:styleId="868">
    <w:name w:val="toc 8"/>
    <w:basedOn w:val="841"/>
    <w:next w:val="841"/>
    <w:uiPriority w:val="0"/>
    <w:semiHidden/>
    <w:qFormat/>
    <w:pPr>
      <w:ind w:left="1470"/>
      <w:jc w:val="left"/>
    </w:pPr>
    <w:rPr>
      <w:szCs w:val="21"/>
    </w:rPr>
  </w:style>
  <w:style w:type="paragraph" w:styleId="869">
    <w:name w:val="Date"/>
    <w:basedOn w:val="841"/>
    <w:next w:val="841"/>
    <w:link w:val="911"/>
    <w:uiPriority w:val="0"/>
    <w:qFormat/>
    <w:rPr>
      <w:sz w:val="24"/>
      <w:szCs w:val="24"/>
    </w:rPr>
  </w:style>
  <w:style w:type="paragraph" w:styleId="870">
    <w:name w:val="Body Text Indent 2"/>
    <w:basedOn w:val="841"/>
    <w:link w:val="912"/>
    <w:uiPriority w:val="0"/>
    <w:qFormat/>
    <w:pPr>
      <w:ind w:left="630" w:firstLine="645"/>
    </w:pPr>
    <w:rPr>
      <w:rFonts w:ascii="Arial" w:hAnsi="Arial" w:eastAsia="仿宋_GB2312" w:cs="Arial"/>
      <w:sz w:val="32"/>
      <w:szCs w:val="32"/>
    </w:rPr>
  </w:style>
  <w:style w:type="paragraph" w:styleId="871">
    <w:name w:val="Balloon Text"/>
    <w:basedOn w:val="841"/>
    <w:link w:val="913"/>
    <w:uiPriority w:val="0"/>
    <w:semiHidden/>
    <w:qFormat/>
    <w:rPr>
      <w:sz w:val="18"/>
      <w:szCs w:val="18"/>
    </w:rPr>
  </w:style>
  <w:style w:type="paragraph" w:styleId="872">
    <w:name w:val="Footer"/>
    <w:basedOn w:val="841"/>
    <w:link w:val="914"/>
    <w:uiPriority w:val="0"/>
    <w:qFormat/>
    <w:pPr>
      <w:jc w:val="left"/>
      <w:tabs>
        <w:tab w:val="center" w:pos="4153" w:leader="none"/>
        <w:tab w:val="right" w:pos="8306" w:leader="none"/>
      </w:tabs>
    </w:pPr>
    <w:rPr>
      <w:sz w:val="18"/>
      <w:szCs w:val="18"/>
    </w:rPr>
  </w:style>
  <w:style w:type="paragraph" w:styleId="873">
    <w:name w:val="Header"/>
    <w:basedOn w:val="841"/>
    <w:link w:val="915"/>
    <w:uiPriority w:val="0"/>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5">
    <w:name w:val="toc 4"/>
    <w:basedOn w:val="841"/>
    <w:next w:val="841"/>
    <w:uiPriority w:val="0"/>
    <w:semiHidden/>
    <w:qFormat/>
    <w:pPr>
      <w:ind w:left="630"/>
      <w:jc w:val="left"/>
    </w:pPr>
    <w:rPr>
      <w:szCs w:val="21"/>
    </w:rPr>
  </w:style>
  <w:style w:type="paragraph" w:styleId="876">
    <w:name w:val="List"/>
    <w:basedOn w:val="841"/>
    <w:uiPriority w:val="0"/>
    <w:qFormat/>
    <w:pPr>
      <w:ind w:left="200" w:hanging="200"/>
    </w:pPr>
    <w:rPr>
      <w:szCs w:val="21"/>
    </w:rPr>
  </w:style>
  <w:style w:type="paragraph" w:styleId="877">
    <w:name w:val="toc 6"/>
    <w:basedOn w:val="841"/>
    <w:next w:val="841"/>
    <w:uiPriority w:val="0"/>
    <w:semiHidden/>
    <w:qFormat/>
    <w:pPr>
      <w:ind w:left="1050"/>
      <w:jc w:val="left"/>
    </w:pPr>
    <w:rPr>
      <w:szCs w:val="21"/>
    </w:rPr>
  </w:style>
  <w:style w:type="paragraph" w:styleId="878">
    <w:name w:val="Body Text Indent 3"/>
    <w:basedOn w:val="841"/>
    <w:link w:val="916"/>
    <w:uiPriority w:val="0"/>
    <w:qFormat/>
    <w:pPr>
      <w:ind w:left="645" w:firstLine="645"/>
    </w:pPr>
    <w:rPr>
      <w:rFonts w:ascii="Arial" w:hAnsi="Arial" w:eastAsia="仿宋_GB2312" w:cs="Arial"/>
      <w:color w:val="ffff00"/>
      <w:sz w:val="32"/>
      <w:szCs w:val="32"/>
    </w:rPr>
  </w:style>
  <w:style w:type="paragraph" w:styleId="879">
    <w:name w:val="table of figures"/>
    <w:basedOn w:val="841"/>
    <w:next w:val="841"/>
    <w:uiPriority w:val="0"/>
    <w:semiHidden/>
    <w:qFormat/>
    <w:pPr>
      <w:ind w:left="840" w:hanging="420"/>
    </w:pPr>
    <w:rPr>
      <w:szCs w:val="21"/>
    </w:rPr>
  </w:style>
  <w:style w:type="paragraph" w:styleId="880">
    <w:name w:val="toc 2"/>
    <w:basedOn w:val="841"/>
    <w:next w:val="841"/>
    <w:uiPriority w:val="0"/>
    <w:semiHidden/>
    <w:qFormat/>
    <w:pPr>
      <w:ind w:left="210"/>
      <w:jc w:val="left"/>
    </w:pPr>
    <w:rPr>
      <w:smallCaps/>
      <w:szCs w:val="24"/>
    </w:rPr>
  </w:style>
  <w:style w:type="paragraph" w:styleId="881">
    <w:name w:val="toc 9"/>
    <w:basedOn w:val="841"/>
    <w:next w:val="841"/>
    <w:uiPriority w:val="0"/>
    <w:semiHidden/>
    <w:qFormat/>
    <w:pPr>
      <w:ind w:left="1680"/>
      <w:jc w:val="left"/>
    </w:pPr>
    <w:rPr>
      <w:szCs w:val="21"/>
    </w:rPr>
  </w:style>
  <w:style w:type="paragraph" w:styleId="882">
    <w:name w:val="Body Text 2"/>
    <w:basedOn w:val="841"/>
    <w:link w:val="917"/>
    <w:uiPriority w:val="0"/>
    <w:qFormat/>
    <w:pPr>
      <w:jc w:val="center"/>
      <w:widowControl/>
    </w:pPr>
    <w:rPr>
      <w:rFonts w:ascii="楷体_GB2312" w:eastAsia="楷体_GB2312"/>
      <w:sz w:val="28"/>
      <w:szCs w:val="28"/>
    </w:rPr>
  </w:style>
  <w:style w:type="paragraph" w:styleId="883">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4">
    <w:name w:val="index 1"/>
    <w:basedOn w:val="841"/>
    <w:next w:val="841"/>
    <w:uiPriority w:val="0"/>
    <w:semiHidden/>
    <w:qFormat/>
    <w:pPr>
      <w:spacing w:line="240" w:lineRule="atLeast"/>
    </w:pPr>
    <w:rPr>
      <w:b/>
      <w:bCs/>
      <w:szCs w:val="21"/>
    </w:rPr>
  </w:style>
  <w:style w:type="paragraph" w:styleId="885">
    <w:name w:val="annotation subject"/>
    <w:basedOn w:val="860"/>
    <w:next w:val="860"/>
    <w:link w:val="918"/>
    <w:uiPriority w:val="0"/>
    <w:semiHidden/>
    <w:qFormat/>
    <w:rPr>
      <w:b/>
      <w:bCs/>
      <w:szCs w:val="21"/>
    </w:rPr>
  </w:style>
  <w:style w:type="paragraph" w:styleId="886">
    <w:name w:val="Body Text First Indent"/>
    <w:basedOn w:val="841"/>
    <w:link w:val="919"/>
    <w:uiPriority w:val="0"/>
    <w:qFormat/>
    <w:pPr>
      <w:ind w:firstLine="200"/>
      <w:spacing w:line="360" w:lineRule="auto"/>
    </w:pPr>
    <w:rPr>
      <w:rFonts w:ascii="仿宋_GB2312" w:eastAsia="仿宋_GB2312"/>
      <w:sz w:val="30"/>
      <w:szCs w:val="30"/>
    </w:rPr>
  </w:style>
  <w:style w:type="paragraph" w:styleId="887">
    <w:name w:val="Body Text First Indent 2"/>
    <w:basedOn w:val="854"/>
    <w:next w:val="841"/>
    <w:link w:val="920"/>
    <w:uiPriority w:val="0"/>
    <w:qFormat/>
    <w:pPr>
      <w:ind w:left="0" w:firstLine="420"/>
      <w:spacing w:after="0" w:line="360" w:lineRule="auto"/>
    </w:pPr>
    <w:rPr>
      <w:rFonts w:ascii="宋体" w:hAnsi="宋体"/>
      <w:szCs w:val="20"/>
    </w:rPr>
  </w:style>
  <w:style w:type="table" w:styleId="888">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b/>
      <w:bCs/>
    </w:rPr>
  </w:style>
  <w:style w:type="character" w:styleId="890">
    <w:name w:val="page number"/>
    <w:uiPriority w:val="0"/>
    <w:qFormat/>
  </w:style>
  <w:style w:type="character" w:styleId="891">
    <w:name w:val="FollowedHyperlink"/>
    <w:uiPriority w:val="0"/>
    <w:qFormat/>
    <w:rPr>
      <w:color w:val="800080"/>
      <w:u w:val="single"/>
    </w:rPr>
  </w:style>
  <w:style w:type="character" w:styleId="892">
    <w:name w:val="Emphasis"/>
    <w:uiPriority w:val="0"/>
    <w:qFormat/>
    <w:rPr>
      <w:i/>
    </w:rPr>
  </w:style>
  <w:style w:type="character" w:styleId="893">
    <w:name w:val="Hyperlink"/>
    <w:uiPriority w:val="0"/>
    <w:qFormat/>
    <w:rPr>
      <w:color w:val="0000ff"/>
      <w:u w:val="single"/>
    </w:rPr>
  </w:style>
  <w:style w:type="character" w:styleId="894">
    <w:name w:val="annotation reference"/>
    <w:uiPriority w:val="0"/>
    <w:semiHidden/>
    <w:qFormat/>
    <w:rPr>
      <w:sz w:val="21"/>
      <w:szCs w:val="21"/>
    </w:rPr>
  </w:style>
  <w:style w:type="character" w:styleId="895" w:customStyle="1">
    <w:name w:val="正文文本缩进 字符"/>
    <w:basedOn w:val="851"/>
    <w:link w:val="854"/>
    <w:uiPriority w:val="99"/>
    <w:semiHidden/>
    <w:qFormat/>
  </w:style>
  <w:style w:type="character" w:styleId="896" w:customStyle="1">
    <w:name w:val="标题 1 字符"/>
    <w:link w:val="842"/>
    <w:uiPriority w:val="0"/>
    <w:qFormat/>
    <w:rPr>
      <w:rFonts w:ascii="楷体_GB2312" w:hAnsi="Times New Roman" w:eastAsia="楷体_GB2312" w:cs="Times New Roman"/>
      <w:sz w:val="28"/>
      <w:szCs w:val="28"/>
    </w:rPr>
  </w:style>
  <w:style w:type="character" w:styleId="897" w:customStyle="1">
    <w:name w:val="标题 2 字符"/>
    <w:link w:val="843"/>
    <w:uiPriority w:val="0"/>
    <w:qFormat/>
    <w:rPr>
      <w:rFonts w:ascii="Arial" w:hAnsi="Arial" w:eastAsia="幼圆" w:cs="Arial"/>
      <w:b/>
      <w:bCs/>
      <w:sz w:val="44"/>
      <w:szCs w:val="44"/>
    </w:rPr>
  </w:style>
  <w:style w:type="character" w:styleId="898" w:customStyle="1">
    <w:name w:val="正文缩进 字符"/>
    <w:link w:val="856"/>
    <w:uiPriority w:val="0"/>
    <w:qFormat/>
    <w:rPr>
      <w:szCs w:val="21"/>
    </w:rPr>
  </w:style>
  <w:style w:type="character" w:styleId="899" w:customStyle="1">
    <w:name w:val="标题 3 字符"/>
    <w:link w:val="844"/>
    <w:uiPriority w:val="0"/>
    <w:qFormat/>
    <w:rPr>
      <w:rFonts w:ascii="Times New Roman" w:hAnsi="Times New Roman" w:eastAsia="宋体" w:cs="Times New Roman"/>
      <w:b/>
      <w:bCs/>
      <w:sz w:val="32"/>
      <w:szCs w:val="32"/>
    </w:rPr>
  </w:style>
  <w:style w:type="character" w:styleId="900" w:customStyle="1">
    <w:name w:val="标题 4 字符"/>
    <w:link w:val="845"/>
    <w:uiPriority w:val="0"/>
    <w:qFormat/>
    <w:rPr>
      <w:rFonts w:ascii="Arial" w:hAnsi="Arial" w:eastAsia="黑体" w:cs="Arial"/>
      <w:b/>
      <w:bCs/>
      <w:sz w:val="28"/>
      <w:szCs w:val="28"/>
    </w:rPr>
  </w:style>
  <w:style w:type="character" w:styleId="901" w:customStyle="1">
    <w:name w:val="标题 5 字符"/>
    <w:link w:val="846"/>
    <w:uiPriority w:val="0"/>
    <w:qFormat/>
    <w:rPr>
      <w:rFonts w:ascii="宋体" w:hAnsi="Times New Roman" w:eastAsia="宋体" w:cs="Times New Roman"/>
      <w:color w:val="000000"/>
      <w:sz w:val="28"/>
      <w:szCs w:val="28"/>
    </w:rPr>
  </w:style>
  <w:style w:type="character" w:styleId="902" w:customStyle="1">
    <w:name w:val="标题 6 字符"/>
    <w:link w:val="847"/>
    <w:uiPriority w:val="0"/>
    <w:qFormat/>
    <w:rPr>
      <w:rFonts w:ascii="Arial" w:hAnsi="Arial" w:eastAsia="黑体" w:cs="Times New Roman"/>
      <w:b/>
      <w:bCs/>
      <w:sz w:val="24"/>
      <w:szCs w:val="24"/>
    </w:rPr>
  </w:style>
  <w:style w:type="character" w:styleId="903" w:customStyle="1">
    <w:name w:val="标题 7 字符"/>
    <w:link w:val="848"/>
    <w:uiPriority w:val="0"/>
    <w:qFormat/>
    <w:rPr>
      <w:rFonts w:ascii="Times New Roman" w:hAnsi="Times New Roman" w:eastAsia="宋体" w:cs="Times New Roman"/>
      <w:b/>
      <w:bCs/>
      <w:sz w:val="24"/>
      <w:szCs w:val="24"/>
    </w:rPr>
  </w:style>
  <w:style w:type="character" w:styleId="904" w:customStyle="1">
    <w:name w:val="标题 8 字符"/>
    <w:link w:val="849"/>
    <w:uiPriority w:val="0"/>
    <w:qFormat/>
    <w:rPr>
      <w:rFonts w:ascii="Arial" w:hAnsi="Arial" w:eastAsia="黑体" w:cs="Times New Roman"/>
      <w:sz w:val="24"/>
      <w:szCs w:val="24"/>
    </w:rPr>
  </w:style>
  <w:style w:type="character" w:styleId="905" w:customStyle="1">
    <w:name w:val="标题 9 字符"/>
    <w:link w:val="850"/>
    <w:uiPriority w:val="0"/>
    <w:qFormat/>
    <w:rPr>
      <w:rFonts w:ascii="Arial" w:hAnsi="Arial" w:eastAsia="黑体" w:cs="Times New Roman"/>
      <w:szCs w:val="21"/>
    </w:rPr>
  </w:style>
  <w:style w:type="character" w:styleId="906" w:customStyle="1">
    <w:name w:val="文档结构图 字符"/>
    <w:link w:val="859"/>
    <w:uiPriority w:val="0"/>
    <w:semiHidden/>
    <w:qFormat/>
    <w:rPr>
      <w:rFonts w:ascii="Times New Roman" w:hAnsi="Times New Roman" w:eastAsia="宋体" w:cs="Times New Roman"/>
      <w:szCs w:val="21"/>
      <w:shd w:val="clear" w:color="auto" w:fill="000080"/>
    </w:rPr>
  </w:style>
  <w:style w:type="character" w:styleId="907" w:customStyle="1">
    <w:name w:val="批注文字 字符"/>
    <w:basedOn w:val="851"/>
    <w:link w:val="860"/>
    <w:uiPriority w:val="99"/>
    <w:semiHidden/>
    <w:qFormat/>
  </w:style>
  <w:style w:type="character" w:styleId="908" w:customStyle="1">
    <w:name w:val="正文文本 3 字符"/>
    <w:link w:val="861"/>
    <w:uiPriority w:val="0"/>
    <w:qFormat/>
    <w:rPr>
      <w:rFonts w:ascii="仿宋_GB2312" w:hAnsi="Arial" w:eastAsia="仿宋_GB2312" w:cs="Times New Roman"/>
      <w:sz w:val="32"/>
      <w:szCs w:val="32"/>
    </w:rPr>
  </w:style>
  <w:style w:type="character" w:styleId="909" w:customStyle="1">
    <w:name w:val="正文文本 字符"/>
    <w:link w:val="862"/>
    <w:uiPriority w:val="0"/>
    <w:qFormat/>
    <w:rPr>
      <w:rFonts w:ascii="楷体_GB2312" w:hAnsi="Arial" w:eastAsia="楷体_GB2312" w:cs="Times New Roman"/>
      <w:sz w:val="28"/>
      <w:szCs w:val="28"/>
    </w:rPr>
  </w:style>
  <w:style w:type="character" w:styleId="910" w:customStyle="1">
    <w:name w:val="纯文本 字符"/>
    <w:link w:val="867"/>
    <w:uiPriority w:val="0"/>
    <w:qFormat/>
    <w:rPr>
      <w:rFonts w:ascii="宋体" w:hAnsi="Courier New" w:eastAsia="宋体" w:cs="Courier New"/>
      <w:szCs w:val="21"/>
    </w:rPr>
  </w:style>
  <w:style w:type="character" w:styleId="911" w:customStyle="1">
    <w:name w:val="日期 字符"/>
    <w:link w:val="869"/>
    <w:uiPriority w:val="0"/>
    <w:qFormat/>
    <w:rPr>
      <w:rFonts w:ascii="Times New Roman" w:hAnsi="Times New Roman" w:eastAsia="宋体" w:cs="Times New Roman"/>
      <w:sz w:val="24"/>
      <w:szCs w:val="24"/>
    </w:rPr>
  </w:style>
  <w:style w:type="character" w:styleId="912" w:customStyle="1">
    <w:name w:val="正文文本缩进 2 字符"/>
    <w:link w:val="870"/>
    <w:uiPriority w:val="0"/>
    <w:qFormat/>
    <w:rPr>
      <w:rFonts w:ascii="Arial" w:hAnsi="Arial" w:eastAsia="仿宋_GB2312" w:cs="Arial"/>
      <w:sz w:val="32"/>
      <w:szCs w:val="32"/>
    </w:rPr>
  </w:style>
  <w:style w:type="character" w:styleId="913" w:customStyle="1">
    <w:name w:val="批注框文本 字符"/>
    <w:link w:val="871"/>
    <w:uiPriority w:val="0"/>
    <w:semiHidden/>
    <w:qFormat/>
    <w:rPr>
      <w:rFonts w:ascii="Times New Roman" w:hAnsi="Times New Roman" w:eastAsia="宋体" w:cs="Times New Roman"/>
      <w:sz w:val="18"/>
      <w:szCs w:val="18"/>
    </w:rPr>
  </w:style>
  <w:style w:type="character" w:styleId="914" w:customStyle="1">
    <w:name w:val="页脚 字符"/>
    <w:link w:val="872"/>
    <w:uiPriority w:val="0"/>
    <w:qFormat/>
    <w:rPr>
      <w:rFonts w:ascii="Times New Roman" w:hAnsi="Times New Roman" w:eastAsia="宋体" w:cs="Times New Roman"/>
      <w:sz w:val="18"/>
      <w:szCs w:val="18"/>
    </w:rPr>
  </w:style>
  <w:style w:type="character" w:styleId="915" w:customStyle="1">
    <w:name w:val="页眉 字符"/>
    <w:link w:val="873"/>
    <w:uiPriority w:val="0"/>
    <w:qFormat/>
    <w:rPr>
      <w:rFonts w:ascii="Times New Roman" w:hAnsi="Times New Roman" w:eastAsia="宋体" w:cs="Times New Roman"/>
      <w:sz w:val="18"/>
      <w:szCs w:val="18"/>
    </w:rPr>
  </w:style>
  <w:style w:type="character" w:styleId="916" w:customStyle="1">
    <w:name w:val="正文文本缩进 3 字符"/>
    <w:link w:val="878"/>
    <w:uiPriority w:val="0"/>
    <w:qFormat/>
    <w:rPr>
      <w:rFonts w:ascii="Arial" w:hAnsi="Arial" w:eastAsia="仿宋_GB2312" w:cs="Arial"/>
      <w:color w:val="ffff00"/>
      <w:sz w:val="32"/>
      <w:szCs w:val="32"/>
    </w:rPr>
  </w:style>
  <w:style w:type="character" w:styleId="917" w:customStyle="1">
    <w:name w:val="正文文本 2 字符"/>
    <w:link w:val="882"/>
    <w:uiPriority w:val="0"/>
    <w:qFormat/>
    <w:rPr>
      <w:rFonts w:ascii="楷体_GB2312" w:hAnsi="Times New Roman" w:eastAsia="楷体_GB2312" w:cs="Times New Roman"/>
      <w:sz w:val="28"/>
      <w:szCs w:val="28"/>
    </w:rPr>
  </w:style>
  <w:style w:type="character" w:styleId="918" w:customStyle="1">
    <w:name w:val="批注主题 字符"/>
    <w:link w:val="885"/>
    <w:uiPriority w:val="0"/>
    <w:semiHidden/>
    <w:qFormat/>
    <w:rPr>
      <w:rFonts w:ascii="Times New Roman" w:hAnsi="Times New Roman" w:eastAsia="宋体" w:cs="Times New Roman"/>
      <w:b/>
      <w:bCs/>
      <w:szCs w:val="21"/>
    </w:rPr>
  </w:style>
  <w:style w:type="character" w:styleId="919" w:customStyle="1">
    <w:name w:val="正文文本首行缩进 字符"/>
    <w:link w:val="886"/>
    <w:uiPriority w:val="0"/>
    <w:qFormat/>
    <w:rPr>
      <w:rFonts w:ascii="仿宋_GB2312" w:hAnsi="Times New Roman" w:eastAsia="仿宋_GB2312" w:cs="Times New Roman"/>
      <w:sz w:val="30"/>
      <w:szCs w:val="30"/>
    </w:rPr>
  </w:style>
  <w:style w:type="character" w:styleId="920" w:customStyle="1">
    <w:name w:val="正文文本首行缩进 2 字符"/>
    <w:link w:val="887"/>
    <w:uiPriority w:val="0"/>
    <w:qFormat/>
    <w:rPr>
      <w:rFonts w:ascii="宋体" w:hAnsi="宋体" w:eastAsia="宋体" w:cs="Times New Roman"/>
      <w:szCs w:val="20"/>
    </w:rPr>
  </w:style>
  <w:style w:type="paragraph" w:styleId="921" w:customStyle="1">
    <w:name w:val="索引 41"/>
    <w:basedOn w:val="841"/>
    <w:next w:val="841"/>
    <w:uiPriority w:val="0"/>
    <w:semiHidden/>
    <w:qFormat/>
    <w:pPr>
      <w:ind w:left="1260"/>
    </w:pPr>
    <w:rPr>
      <w:rFonts w:ascii="Calibri" w:hAnsi="Calibri" w:eastAsia="Calibri" w:cs="宋体"/>
      <w:sz w:val="20"/>
      <w:lang w:val="zh-CN"/>
    </w:rPr>
  </w:style>
  <w:style w:type="character" w:styleId="922" w:customStyle="1">
    <w:name w:val="font5 Char"/>
    <w:uiPriority w:val="0"/>
    <w:qFormat/>
    <w:rPr>
      <w:rFonts w:ascii="宋体" w:hAnsi="宋体" w:eastAsia="宋体"/>
      <w:sz w:val="28"/>
      <w:szCs w:val="28"/>
      <w:lang w:val="en-US" w:eastAsia="zh-CN" w:bidi="ar-SA"/>
    </w:rPr>
  </w:style>
  <w:style w:type="character" w:styleId="923" w:customStyle="1">
    <w:name w:val="二级目录 Char"/>
    <w:link w:val="924"/>
    <w:uiPriority w:val="0"/>
    <w:qFormat/>
    <w:rPr>
      <w:b/>
      <w:sz w:val="30"/>
      <w:szCs w:val="28"/>
    </w:rPr>
  </w:style>
  <w:style w:type="paragraph" w:styleId="924" w:customStyle="1">
    <w:name w:val="二级目录"/>
    <w:next w:val="841"/>
    <w:link w:val="92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5" w:customStyle="1">
    <w:name w:val="列出段落 Char"/>
    <w:link w:val="926"/>
    <w:uiPriority w:val="0"/>
    <w:qFormat/>
    <w:rPr>
      <w:rFonts w:ascii="Calibri" w:hAnsi="Calibri"/>
      <w:sz w:val="24"/>
      <w:szCs w:val="24"/>
      <w:lang w:eastAsia="en-US" w:bidi="en-US"/>
    </w:rPr>
  </w:style>
  <w:style w:type="paragraph" w:styleId="926" w:customStyle="1">
    <w:name w:val="列出段落1"/>
    <w:basedOn w:val="841"/>
    <w:link w:val="925"/>
    <w:uiPriority w:val="0"/>
    <w:qFormat/>
    <w:pPr>
      <w:contextualSpacing/>
      <w:ind w:left="720"/>
      <w:jc w:val="left"/>
      <w:widowControl/>
    </w:pPr>
    <w:rPr>
      <w:rFonts w:ascii="Calibri" w:hAnsi="Calibri"/>
      <w:sz w:val="24"/>
      <w:szCs w:val="24"/>
      <w:lang w:eastAsia="en-US" w:bidi="en-US"/>
    </w:rPr>
  </w:style>
  <w:style w:type="paragraph" w:styleId="927" w:customStyle="1">
    <w:name w:val="Body Text(ch)"/>
    <w:basedOn w:val="841"/>
    <w:next w:val="862"/>
    <w:uiPriority w:val="0"/>
    <w:qFormat/>
    <w:pPr>
      <w:spacing w:after="120"/>
    </w:pPr>
    <w:rPr>
      <w:rFonts w:ascii="宋体" w:hAnsi="Arial"/>
      <w:bCs/>
      <w:iCs/>
      <w:szCs w:val="24"/>
    </w:rPr>
  </w:style>
  <w:style w:type="paragraph" w:styleId="928"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9"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0" w:customStyle="1">
    <w:name w:val="Char"/>
    <w:basedOn w:val="841"/>
    <w:uiPriority w:val="0"/>
    <w:qFormat/>
    <w:pPr>
      <w:ind w:firstLine="200"/>
      <w:tabs>
        <w:tab w:val="left" w:pos="360" w:leader="none"/>
      </w:tabs>
    </w:pPr>
    <w:rPr>
      <w:sz w:val="28"/>
      <w:szCs w:val="30"/>
    </w:rPr>
  </w:style>
  <w:style w:type="paragraph" w:styleId="931" w:customStyle="1">
    <w:name w:val="Char1"/>
    <w:basedOn w:val="859"/>
    <w:uiPriority w:val="0"/>
    <w:qFormat/>
    <w:rPr>
      <w:rFonts w:ascii="Tahoma" w:hAnsi="Tahoma"/>
      <w:sz w:val="24"/>
      <w:szCs w:val="24"/>
    </w:rPr>
  </w:style>
  <w:style w:type="paragraph" w:styleId="932"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3" w:customStyle="1">
    <w:name w:val="table_lines"/>
    <w:basedOn w:val="841"/>
    <w:uiPriority w:val="0"/>
    <w:qFormat/>
    <w:pPr>
      <w:jc w:val="left"/>
      <w:widowControl/>
    </w:pPr>
    <w:rPr>
      <w:sz w:val="20"/>
      <w:szCs w:val="20"/>
      <w:lang w:val="de-DE" w:eastAsia="de-DE"/>
    </w:rPr>
  </w:style>
  <w:style w:type="paragraph" w:styleId="93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5"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36" w:customStyle="1">
    <w:name w:val="Char Char Char Char"/>
    <w:basedOn w:val="859"/>
    <w:uiPriority w:val="0"/>
    <w:qFormat/>
    <w:pPr>
      <w:spacing w:line="360" w:lineRule="auto"/>
    </w:pPr>
    <w:rPr>
      <w:rFonts w:ascii="Tahoma" w:hAnsi="Tahoma"/>
      <w:sz w:val="24"/>
      <w:szCs w:val="24"/>
    </w:rPr>
  </w:style>
  <w:style w:type="paragraph" w:styleId="937">
    <w:name w:val="List Paragraph"/>
    <w:basedOn w:val="841"/>
    <w:uiPriority w:val="0"/>
    <w:qFormat/>
    <w:pPr>
      <w:contextualSpacing/>
      <w:ind w:left="720"/>
      <w:jc w:val="left"/>
      <w:widowControl/>
    </w:pPr>
    <w:rPr>
      <w:rFonts w:ascii="Calibri" w:hAnsi="Calibri"/>
      <w:sz w:val="24"/>
      <w:szCs w:val="24"/>
      <w:lang w:eastAsia="en-US" w:bidi="en-US"/>
    </w:rPr>
  </w:style>
  <w:style w:type="paragraph" w:styleId="938" w:customStyle="1">
    <w:name w:val="4"/>
    <w:basedOn w:val="841"/>
    <w:next w:val="878"/>
    <w:uiPriority w:val="0"/>
    <w:qFormat/>
    <w:pPr>
      <w:ind w:firstLine="420"/>
      <w:spacing w:line="360" w:lineRule="auto"/>
    </w:pPr>
    <w:rPr>
      <w:color w:val="ff0000"/>
      <w:sz w:val="24"/>
      <w:szCs w:val="24"/>
    </w:rPr>
  </w:style>
  <w:style w:type="paragraph" w:styleId="939"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40" w:customStyle="1">
    <w:name w:val="Char Char Char Char Char Char Char Char Char Char"/>
    <w:basedOn w:val="841"/>
    <w:uiPriority w:val="0"/>
    <w:qFormat/>
    <w:pPr>
      <w:spacing w:line="360" w:lineRule="auto"/>
    </w:pPr>
    <w:rPr>
      <w:sz w:val="24"/>
      <w:szCs w:val="20"/>
    </w:rPr>
  </w:style>
  <w:style w:type="paragraph" w:styleId="941" w:customStyle="1">
    <w:name w:val="样式1"/>
    <w:basedOn w:val="841"/>
    <w:uiPriority w:val="0"/>
    <w:qFormat/>
    <w:pPr>
      <w:numPr>
        <w:ilvl w:val="0"/>
        <w:numId w:val="3"/>
      </w:numPr>
    </w:pPr>
    <w:rPr>
      <w:rFonts w:ascii="宋体" w:hAnsi="宋体"/>
      <w:szCs w:val="21"/>
    </w:rPr>
  </w:style>
  <w:style w:type="paragraph" w:styleId="942"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3"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4"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5"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46"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7"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8"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49"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0"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51"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2" w:customStyle="1">
    <w:name w:val="Char Char Char Char1"/>
    <w:basedOn w:val="859"/>
    <w:uiPriority w:val="0"/>
    <w:qFormat/>
    <w:pPr>
      <w:spacing w:line="360" w:lineRule="auto"/>
    </w:pPr>
    <w:rPr>
      <w:rFonts w:ascii="Tahoma" w:hAnsi="Tahoma"/>
      <w:sz w:val="24"/>
      <w:szCs w:val="24"/>
    </w:rPr>
  </w:style>
  <w:style w:type="paragraph" w:styleId="953" w:customStyle="1">
    <w:name w:val="table_1stline"/>
    <w:basedOn w:val="841"/>
    <w:uiPriority w:val="0"/>
    <w:qFormat/>
    <w:pPr>
      <w:jc w:val="left"/>
      <w:spacing w:before="120"/>
      <w:widowControl/>
    </w:pPr>
    <w:rPr>
      <w:bCs/>
      <w:sz w:val="20"/>
      <w:szCs w:val="20"/>
      <w:lang w:val="de-DE" w:eastAsia="de-DE"/>
    </w:rPr>
  </w:style>
  <w:style w:type="paragraph" w:styleId="954"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55"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6" w:customStyle="1">
    <w:name w:val="_Style 115"/>
    <w:uiPriority w:val="99"/>
    <w:semiHidden/>
    <w:qFormat/>
    <w:rPr>
      <w:rFonts w:ascii="Times New Roman" w:hAnsi="Times New Roman" w:eastAsia="宋体" w:cs="Times New Roman"/>
      <w:sz w:val="21"/>
      <w:szCs w:val="21"/>
      <w:lang w:val="en-US" w:eastAsia="zh-CN" w:bidi="ar-SA"/>
    </w:rPr>
  </w:style>
  <w:style w:type="paragraph" w:styleId="957">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58" w:customStyle="1">
    <w:name w:val="Table Normal"/>
    <w:uiPriority w:val="0"/>
    <w:qFormat/>
    <w:tblPr>
      <w:tblCellMar>
        <w:left w:w="0" w:type="dxa"/>
        <w:top w:w="0" w:type="dxa"/>
        <w:right w:w="0" w:type="dxa"/>
        <w:bottom w:w="0" w:type="dxa"/>
      </w:tblCellMar>
    </w:tblPr>
  </w:style>
  <w:style w:type="paragraph" w:styleId="959" w:customStyle="1">
    <w:name w:val="正文文本 211"/>
    <w:basedOn w:val="841"/>
    <w:uiPriority w:val="99"/>
    <w:qFormat/>
    <w:pPr>
      <w:jc w:val="center"/>
    </w:pPr>
    <w:rPr>
      <w:b/>
      <w:bCs/>
      <w:sz w:val="20"/>
      <w:szCs w:val="20"/>
    </w:rPr>
  </w:style>
  <w:style w:type="paragraph" w:styleId="960" w:customStyle="1">
    <w:name w:val="正文文本1"/>
    <w:basedOn w:val="841"/>
    <w:next w:val="841"/>
    <w:uiPriority w:val="0"/>
    <w:semiHidden/>
    <w:qFormat/>
    <w:rPr>
      <w:rFonts w:ascii="Arial" w:hAnsi="Arial" w:eastAsia="Arial" w:cs="Arial"/>
      <w:szCs w:val="21"/>
      <w:lang w:eastAsia="en-US"/>
    </w:rPr>
  </w:style>
  <w:style w:type="paragraph" w:styleId="961" w:customStyle="1">
    <w:name w:val="正文文本12"/>
    <w:basedOn w:val="841"/>
    <w:uiPriority w:val="1"/>
    <w:qFormat/>
    <w:pPr>
      <w:ind w:left="120"/>
    </w:pPr>
    <w:rPr>
      <w:rFonts w:ascii="宋体" w:hAnsi="宋体" w:cs="宋体"/>
      <w:szCs w:val="21"/>
      <w:lang w:val="zh-CN" w:bidi="zh-CN"/>
    </w:rPr>
  </w:style>
  <w:style w:type="paragraph" w:styleId="962" w:customStyle="1">
    <w:name w:val="纯文本1"/>
    <w:basedOn w:val="841"/>
    <w:uiPriority w:val="0"/>
    <w:qFormat/>
    <w:rPr>
      <w:rFonts w:ascii="宋体" w:hAnsi="Courier New" w:cs="Courier New"/>
    </w:rPr>
  </w:style>
  <w:style w:type="table" w:styleId="963" w:customStyle="1">
    <w:name w:val="网格型1"/>
    <w:basedOn w:val="964"/>
    <w:uiPriority w:val="0"/>
    <w:qFormat/>
    <w:pPr>
      <w:jc w:val="both"/>
      <w:widowControl w:val="off"/>
    </w:pPr>
    <w:tblPr/>
  </w:style>
  <w:style w:type="table" w:styleId="964" w:customStyle="1">
    <w:name w:val="普通表格1"/>
    <w:uiPriority w:val="99"/>
    <w:unhideWhenUsed/>
    <w:qFormat/>
    <w:tblPr>
      <w:tblCellMar>
        <w:left w:w="0" w:type="dxa"/>
        <w:top w:w="0" w:type="dxa"/>
        <w:right w:w="0" w:type="dxa"/>
        <w:bottom w:w="0" w:type="dxa"/>
      </w:tblCellMar>
    </w:tblPr>
  </w:style>
  <w:style w:type="paragraph" w:styleId="965" w:customStyle="1">
    <w:name w:val="正文文本缩进1"/>
    <w:basedOn w:val="841"/>
    <w:next w:val="966"/>
    <w:uiPriority w:val="0"/>
    <w:unhideWhenUsed/>
    <w:qFormat/>
    <w:pPr>
      <w:ind w:left="420"/>
      <w:spacing w:after="120"/>
    </w:pPr>
  </w:style>
  <w:style w:type="paragraph" w:styleId="966" w:customStyle="1">
    <w:name w:val="正文文本首行缩进 21"/>
    <w:basedOn w:val="965"/>
    <w:uiPriority w:val="0"/>
    <w:qFormat/>
    <w:pPr>
      <w:ind w:left="0" w:firstLine="420"/>
      <w:spacing w:after="0" w:line="360" w:lineRule="auto"/>
    </w:pPr>
    <w:rPr>
      <w:rFonts w:ascii="宋体" w:hAnsi="宋体"/>
      <w:sz w:val="20"/>
      <w:szCs w:val="20"/>
      <w:lang w:eastAsia="en-US"/>
    </w:rPr>
  </w:style>
  <w:style w:type="paragraph" w:styleId="967" w:customStyle="1">
    <w:name w:val="正文首行缩进 211"/>
    <w:basedOn w:val="968"/>
    <w:next w:val="841"/>
    <w:uiPriority w:val="0"/>
    <w:qFormat/>
    <w:pPr>
      <w:ind w:left="0" w:firstLine="420"/>
      <w:spacing w:after="0" w:line="360" w:lineRule="auto"/>
    </w:pPr>
    <w:rPr>
      <w:rFonts w:ascii="宋体" w:hAnsi="宋体"/>
      <w:szCs w:val="20"/>
    </w:rPr>
  </w:style>
  <w:style w:type="paragraph" w:styleId="968" w:customStyle="1">
    <w:name w:val="正文文本缩进11"/>
    <w:basedOn w:val="841"/>
    <w:next w:val="969"/>
    <w:uiPriority w:val="0"/>
    <w:unhideWhenUsed/>
    <w:qFormat/>
    <w:pPr>
      <w:ind w:left="420"/>
      <w:spacing w:after="120"/>
    </w:pPr>
  </w:style>
  <w:style w:type="paragraph" w:styleId="969" w:customStyle="1">
    <w:name w:val="寄信人地址1"/>
    <w:basedOn w:val="841"/>
    <w:uiPriority w:val="0"/>
    <w:qFormat/>
    <w:rPr>
      <w:rFonts w:ascii="Arial" w:hAnsi="Arial" w:cs="宋体"/>
    </w:rPr>
  </w:style>
  <w:style w:type="paragraph" w:styleId="970"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2</cp:revision>
  <dcterms:created xsi:type="dcterms:W3CDTF">2023-03-27T07:28:00Z</dcterms:created>
  <dcterms:modified xsi:type="dcterms:W3CDTF">2026-07-31T08:39:32Z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765C54461DFD487DB32A3B5336BD632C_13</vt:lpwstr>
  </property>
  <property fmtid="{D5CDD505-2E9C-101B-9397-08002B2CF9AE}" pid="4" name="KSOTemplateDocerSaveRecord">
    <vt:lpwstr>eyJoZGlkIjoiMDgzNzQ4MDMyZjM3MWUxZWIzN2E4YWJlZjJlNDkzMTUiLCJ1c2VySWQiOiI4Mjk0ODg1NjYifQ==</vt:lpwstr>
  </property>
</Properties>
</file>