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ind w:firstLine="0"/>
        <w:rPr>
          <w:rFonts w:hint="eastAsia" w:eastAsia="黑体"/>
          <w:b/>
          <w:bCs/>
          <w:sz w:val="84"/>
          <w:shd w:val="clear" w:color="ffffff" w:fill="d9d9d9"/>
        </w:rPr>
      </w:pPr>
      <w:r>
        <w:rPr>
          <w:rFonts w:hint="eastAsia" w:eastAsia="黑体"/>
          <w:b/>
          <w:bCs/>
          <w:sz w:val="84"/>
          <w:shd w:val="clear" w:color="ffffff" w:fill="d9d9d9"/>
        </w:rPr>
      </w:r>
      <w:r/>
    </w:p>
    <w:p>
      <w:pPr>
        <w:pStyle w:val="94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40"/>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4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4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4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spacing w:line="360" w:lineRule="auto"/>
        <w:rPr>
          <w:rFonts w:hint="eastAsia" w:ascii="黑体" w:hAnsi="华文中宋" w:eastAsia="黑体"/>
          <w:bCs/>
          <w:color w:val="000000"/>
          <w:sz w:val="32"/>
          <w:szCs w:val="32"/>
          <w:highlight w:val="none"/>
          <w:lang w:val="en-US" w:eastAsia="zh-CN"/>
        </w:rPr>
      </w:pPr>
      <w:r>
        <w:rPr>
          <w:rFonts w:hint="eastAsia" w:ascii="黑体" w:hAnsi="华文中宋" w:eastAsia="黑体"/>
          <w:bCs/>
          <w:color w:val="000000"/>
          <w:sz w:val="32"/>
          <w:szCs w:val="32"/>
          <w:highlight w:val="none"/>
        </w:rPr>
        <w:t xml:space="preserve">项目编号：JSZC-320211-JZCG-G2026-001</w:t>
      </w:r>
      <w:r>
        <w:rPr>
          <w:rFonts w:hint="eastAsia" w:ascii="黑体" w:hAnsi="华文中宋" w:eastAsia="黑体"/>
          <w:bCs/>
          <w:color w:val="000000"/>
          <w:sz w:val="32"/>
          <w:szCs w:val="32"/>
          <w:highlight w:val="none"/>
          <w:lang w:val="en-US" w:eastAsia="zh-CN"/>
        </w:rPr>
        <w:t xml:space="preserve">5</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省锡中滨湖分校智慧校园采购项目</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人：无锡市滨湖区教育局</w:t>
      </w:r>
      <w:r/>
    </w:p>
    <w:p>
      <w:pPr>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4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4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4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40"/>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无锡市滨湖区公共资源交易中心</w:t>
      </w:r>
      <w:r/>
    </w:p>
    <w:p>
      <w:pPr>
        <w:pStyle w:val="940"/>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七</w:t>
      </w:r>
      <w:r>
        <w:rPr>
          <w:rFonts w:hint="eastAsia" w:ascii="黑体" w:hAnsi="华文中宋" w:eastAsia="黑体"/>
          <w:bCs/>
          <w:color w:val="000000"/>
          <w:sz w:val="32"/>
          <w:szCs w:val="32"/>
          <w:highlight w:val="none"/>
        </w:rPr>
        <w:t xml:space="preserve">月</w:t>
      </w:r>
      <w:r/>
    </w:p>
    <w:p>
      <w:pPr>
        <w:pStyle w:val="940"/>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16938516"/>
      <w:r/>
      <w:bookmarkStart w:id="3" w:name="_Toc513029200"/>
      <w:r/>
      <w:bookmarkStart w:id="4" w:name="_Toc523127445"/>
      <w:r/>
      <w:bookmarkStart w:id="5" w:name="_Toc47975720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投标邀请</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合同文本</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采购需求</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无锡市滨湖区教育局</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无锡市滨湖区公共资源交易中心</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省锡中滨湖分校智慧校园采购项目</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val="en-US" w:eastAsia="zh-CN"/>
        </w:rPr>
        <w:t xml:space="preserve">省锡中滨湖分校智慧校园采购项目</w:t>
      </w:r>
      <w:r>
        <w:rPr>
          <w:rFonts w:hint="eastAsia" w:ascii="宋体" w:hAnsi="宋体"/>
          <w:color w:val="000000"/>
          <w:sz w:val="24"/>
          <w:szCs w:val="24"/>
        </w:rPr>
        <w:t xml:space="preserve">的潜在投标人应在“江苏政府采购网”自行浏览</w:t>
      </w:r>
      <w:r>
        <w:rPr>
          <w:rFonts w:hint="eastAsia" w:ascii="宋体" w:hAnsi="宋体"/>
          <w:sz w:val="24"/>
          <w:szCs w:val="24"/>
        </w:rPr>
        <w:t xml:space="preserve">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w:t>
      </w:r>
      <w:r>
        <w:rPr>
          <w:rFonts w:hint="eastAsia" w:ascii="宋体" w:hAnsi="宋体"/>
          <w:color w:val="000000" w:themeColor="text1"/>
          <w:sz w:val="24"/>
          <w:szCs w:val="24"/>
          <w:highlight w:val="none"/>
        </w:rPr>
        <w:t xml:space="preserve">，并于</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08</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12</w:t>
      </w:r>
      <w:r>
        <w:rPr>
          <w:rFonts w:hint="eastAsia" w:ascii="宋体" w:hAnsi="宋体"/>
          <w:b/>
          <w:bCs/>
          <w:color w:val="0000ff"/>
          <w:sz w:val="24"/>
          <w:szCs w:val="24"/>
          <w:highlight w:val="none"/>
        </w:rPr>
        <w:t xml:space="preserve">日</w:t>
      </w:r>
      <w:r>
        <w:rPr>
          <w:rFonts w:hint="eastAsia" w:ascii="宋体" w:hAnsi="宋体"/>
          <w:b/>
          <w:bCs/>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京时间）前递交投标</w:t>
      </w:r>
      <w:r>
        <w:rPr>
          <w:rFonts w:ascii="宋体" w:hAnsi="宋体"/>
          <w:bCs/>
          <w:sz w:val="24"/>
          <w:szCs w:val="24"/>
        </w:rPr>
        <w:t xml:space="preserve">文件</w:t>
      </w:r>
      <w:r>
        <w:rPr>
          <w:rFonts w:hint="eastAsia" w:ascii="宋体" w:hAnsi="宋体"/>
          <w:sz w:val="24"/>
          <w:szCs w:val="24"/>
        </w:rPr>
        <w:t xml:space="preserve">。</w:t>
      </w:r>
      <w:r/>
    </w:p>
    <w:p>
      <w:pPr>
        <w:pStyle w:val="854"/>
        <w:ind w:firstLine="452"/>
        <w:keepLines w:val="0"/>
        <w:keepNext w:val="0"/>
        <w:spacing w:before="0" w:after="0" w:line="500" w:lineRule="exact"/>
        <w:rPr>
          <w:sz w:val="30"/>
          <w:szCs w:val="30"/>
        </w:rPr>
      </w:pPr>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lang w:val="en-US" w:eastAsia="zh-CN"/>
        </w:rPr>
      </w:pPr>
      <w:r>
        <w:rPr>
          <w:rFonts w:hint="eastAsia" w:ascii="宋体" w:hAnsi="宋体"/>
          <w:sz w:val="24"/>
          <w:szCs w:val="24"/>
        </w:rPr>
        <w:t xml:space="preserve">1.项</w:t>
      </w:r>
      <w:r>
        <w:rPr>
          <w:rFonts w:hint="eastAsia" w:ascii="宋体" w:hAnsi="宋体"/>
          <w:color w:val="000000"/>
          <w:sz w:val="24"/>
          <w:szCs w:val="24"/>
        </w:rPr>
        <w:t xml:space="preserve">目编号：JSZC-320211-JZCG-G2026-001</w:t>
      </w:r>
      <w:r>
        <w:rPr>
          <w:rFonts w:hint="eastAsia" w:ascii="宋体" w:hAnsi="宋体"/>
          <w:color w:val="000000"/>
          <w:sz w:val="24"/>
          <w:szCs w:val="24"/>
          <w:lang w:val="en-US" w:eastAsia="zh-CN"/>
        </w:rPr>
        <w:t xml:space="preserve">5</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2.项目名称：省锡中滨湖分校智慧校园采购项目</w:t>
      </w:r>
      <w:bookmarkEnd w:id="11"/>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212.81</w:t>
      </w:r>
      <w:r>
        <w:rPr>
          <w:rFonts w:hint="eastAsia" w:ascii="宋体" w:hAnsi="宋体"/>
          <w:color w:val="000000"/>
          <w:sz w:val="24"/>
          <w:szCs w:val="24"/>
        </w:rPr>
        <w:t xml:space="preserve">万元</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176.6803</w:t>
      </w:r>
      <w:r>
        <w:rPr>
          <w:rFonts w:hint="eastAsia" w:ascii="宋体" w:hAnsi="宋体"/>
          <w:color w:val="000000"/>
          <w:sz w:val="24"/>
          <w:szCs w:val="24"/>
        </w:rPr>
        <w:t xml:space="preserve">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hint="eastAsia" w:eastAsia="宋体" w:cs="宋体" w:asciiTheme="minorEastAsia" w:hAnsiTheme="minorEastAsia"/>
          <w:sz w:val="24"/>
          <w:lang w:val="en-US" w:eastAsia="zh-CN"/>
        </w:rPr>
      </w:pPr>
      <w:r/>
      <w:bookmarkStart w:id="12" w:name="_Toc28359080"/>
      <w:r/>
      <w:bookmarkStart w:id="13" w:name="_Toc35393622"/>
      <w:r/>
      <w:bookmarkStart w:id="14" w:name="_Toc35393791"/>
      <w:r/>
      <w:bookmarkStart w:id="15" w:name="_Toc38985264"/>
      <w:r/>
      <w:bookmarkStart w:id="16" w:name="_Toc28359003"/>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color w:val="000000" w:themeColor="text1"/>
          <w:sz w:val="24"/>
          <w:szCs w:val="24"/>
          <w:lang w:val="en-US" w:eastAsia="zh-CN"/>
        </w:rPr>
        <w:t xml:space="preserve">是</w:t>
      </w:r>
      <w:r/>
    </w:p>
    <w:p>
      <w:pPr>
        <w:ind w:firstLine="480"/>
        <w:spacing w:line="500" w:lineRule="exact"/>
        <w:rPr>
          <w:rFonts w:hint="eastAsia" w:eastAsia="宋体" w:cs="宋体" w:asciiTheme="minorEastAsia" w:hAnsiTheme="minorEastAsia"/>
          <w:sz w:val="24"/>
          <w:lang w:eastAsia="zh-CN"/>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cs="宋体" w:asciiTheme="minorEastAsia" w:hAnsiTheme="minorEastAsia"/>
          <w:sz w:val="24"/>
          <w:lang w:val="en-US" w:eastAsia="zh-CN"/>
        </w:rPr>
        <w:t xml:space="preserve">工业</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854"/>
        <w:ind w:firstLine="452"/>
        <w:keepLines w:val="0"/>
        <w:keepNext w:val="0"/>
        <w:spacing w:before="0" w:after="0" w:line="500" w:lineRule="exact"/>
        <w:rPr>
          <w:sz w:val="30"/>
          <w:szCs w:val="30"/>
        </w:rPr>
      </w:pPr>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28359081"/>
      <w:r/>
      <w:bookmarkStart w:id="18" w:name="_Toc35393792"/>
      <w:r/>
      <w:bookmarkStart w:id="19" w:name="_Toc28359004"/>
      <w:r/>
      <w:bookmarkStart w:id="20" w:name="_Toc35393623"/>
      <w:r/>
      <w:bookmarkStart w:id="21" w:name="_Toc38985265"/>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color w:val="000000"/>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：本项目专门面向中小企业，资格证明文件中必须提交《中小企业声明函》或《监狱企业证明文件》或《残疾人福利性单位声明函》；</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eastAsia="宋体"/>
          <w:color w:val="000000"/>
          <w:sz w:val="24"/>
          <w:szCs w:val="24"/>
          <w:highlight w:val="none"/>
          <w:lang w:val="en-US" w:eastAsia="zh-CN"/>
        </w:rPr>
      </w:pPr>
      <w:r>
        <w:rPr>
          <w:rFonts w:hint="eastAsia" w:ascii="宋体" w:hAnsi="宋体"/>
          <w:sz w:val="24"/>
          <w:szCs w:val="24"/>
        </w:rPr>
        <w:t xml:space="preserve">3.本项目的</w:t>
      </w:r>
      <w:r>
        <w:rPr>
          <w:rFonts w:hint="eastAsia" w:ascii="宋体" w:hAnsi="宋体"/>
          <w:color w:val="000000"/>
          <w:sz w:val="24"/>
          <w:szCs w:val="24"/>
        </w:rPr>
        <w:t xml:space="preserve">特定资格要求：</w:t>
      </w:r>
      <w:r>
        <w:rPr>
          <w:rFonts w:hint="eastAsia" w:ascii="宋体" w:hAnsi="宋体"/>
          <w:color w:val="000000"/>
          <w:sz w:val="24"/>
          <w:szCs w:val="24"/>
          <w:lang w:val="en-US" w:eastAsia="zh-CN"/>
        </w:rPr>
        <w:t xml:space="preserve">无</w:t>
      </w:r>
      <w:r/>
    </w:p>
    <w:p>
      <w:pPr>
        <w:pStyle w:val="854"/>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929"/>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854"/>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08</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12</w:t>
      </w:r>
      <w:bookmarkStart w:id="211" w:name="_GoBack"/>
      <w:r/>
      <w:bookmarkEnd w:id="211"/>
      <w:r>
        <w:rPr>
          <w:rFonts w:hint="eastAsia" w:ascii="宋体" w:hAnsi="宋体"/>
          <w:b/>
          <w:bCs/>
          <w:color w:val="0000ff"/>
          <w:sz w:val="24"/>
          <w:szCs w:val="24"/>
          <w:highlight w:val="none"/>
        </w:rPr>
        <w:t xml:space="preserve">日</w:t>
      </w:r>
      <w:r>
        <w:rPr>
          <w:rFonts w:hint="eastAsia" w:ascii="宋体" w:hAnsi="宋体"/>
          <w:b/>
          <w:bCs w:val="0"/>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854"/>
        <w:ind w:firstLine="452"/>
        <w:keepLines w:val="0"/>
        <w:keepNext w:val="0"/>
        <w:spacing w:before="0" w:after="0" w:line="500" w:lineRule="exact"/>
        <w:rPr>
          <w:sz w:val="30"/>
          <w:szCs w:val="30"/>
        </w:rPr>
      </w:pPr>
      <w:r/>
      <w:bookmarkStart w:id="27" w:name="_Toc38985267"/>
      <w:r/>
      <w:bookmarkStart w:id="28" w:name="_Toc35393794"/>
      <w:r/>
      <w:bookmarkStart w:id="29" w:name="_Toc28359007"/>
      <w:r/>
      <w:bookmarkStart w:id="30" w:name="_Toc35393625"/>
      <w:r/>
      <w:bookmarkStart w:id="31" w:name="_Toc28359084"/>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p>
    <w:p>
      <w:pPr>
        <w:pStyle w:val="854"/>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54"/>
        <w:ind w:firstLine="452"/>
        <w:keepLines w:val="0"/>
        <w:keepNext w:val="0"/>
        <w:spacing w:before="0" w:after="0" w:line="360" w:lineRule="auto"/>
        <w:rPr>
          <w:sz w:val="30"/>
          <w:szCs w:val="30"/>
        </w:rPr>
      </w:pPr>
      <w:r/>
      <w:bookmarkStart w:id="35" w:name="_Toc28359085"/>
      <w:r/>
      <w:bookmarkStart w:id="36" w:name="_Toc38985269"/>
      <w:r/>
      <w:bookmarkStart w:id="37" w:name="_Toc28359008"/>
      <w:r/>
      <w:bookmarkStart w:id="38" w:name="_Toc35393796"/>
      <w:r/>
      <w:bookmarkStart w:id="39" w:name="_Toc35393627"/>
      <w:r>
        <w:rPr>
          <w:rFonts w:hint="eastAsia"/>
          <w:sz w:val="30"/>
          <w:szCs w:val="30"/>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项目联系人：姚坤  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电话：0510-81173539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名称：无锡市滨湖区教育局</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联系人：许诺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联系电话：0510</w:t>
      </w:r>
      <w:r>
        <w:rPr>
          <w:rFonts w:hint="eastAsia" w:cs="宋体" w:asciiTheme="minorEastAsia" w:hAnsiTheme="minorEastAsia"/>
          <w:color w:val="000000" w:themeColor="text1"/>
          <w:sz w:val="24"/>
          <w:szCs w:val="24"/>
          <w:lang w:val="en-US" w:eastAsia="zh-CN"/>
        </w:rPr>
        <w:t xml:space="preserve">-</w:t>
      </w:r>
      <w:r>
        <w:rPr>
          <w:rFonts w:hint="eastAsia" w:cs="宋体" w:asciiTheme="minorEastAsia" w:hAnsiTheme="minorEastAsia"/>
          <w:color w:val="000000" w:themeColor="text1"/>
          <w:sz w:val="24"/>
          <w:szCs w:val="24"/>
        </w:rPr>
        <w:t xml:space="preserve">81178601</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rPr>
        <w:t xml:space="preserve">联系地址：滨湖区金城西路500号</w:t>
      </w:r>
      <w:r/>
    </w:p>
    <w:p>
      <w:pPr>
        <w:pStyle w:val="854"/>
        <w:ind w:firstLine="452"/>
        <w:keepLines w:val="0"/>
        <w:keepNext w:val="0"/>
        <w:spacing w:before="0" w:after="0" w:line="360" w:lineRule="auto"/>
        <w:rPr>
          <w:color w:val="000000"/>
          <w:sz w:val="30"/>
          <w:szCs w:val="30"/>
        </w:rPr>
      </w:pPr>
      <w:r>
        <w:rPr>
          <w:rFonts w:hint="eastAsia"/>
          <w:color w:val="000000"/>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无锡市滨湖区公共资源交易中心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sz w:val="24"/>
          <w:szCs w:val="24"/>
        </w:rPr>
        <w:t xml:space="preserve">（五）</w:t>
      </w:r>
      <w:r>
        <w:rPr>
          <w:rFonts w:hint="eastAsia" w:ascii="宋体" w:hAnsi="宋体"/>
          <w:bCs/>
          <w:color w:val="000000" w:themeColor="text1"/>
          <w:sz w:val="24"/>
          <w:szCs w:val="24"/>
          <w:highlight w:val="none"/>
        </w:rPr>
        <w:t xml:space="preserve">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sz w:val="24"/>
          <w:szCs w:val="24"/>
          <w:shd w:val="clear" w:color="ffffff" w:fill="d9d9d9"/>
        </w:rPr>
        <w:br w:type="page" w:clear="all"/>
      </w:r>
      <w:bookmarkEnd w:id="1"/>
      <w:r/>
      <w:bookmarkEnd w:id="2"/>
      <w:r/>
      <w:bookmarkEnd w:id="3"/>
      <w:r/>
      <w:bookmarkEnd w:id="4"/>
      <w:r/>
      <w:bookmarkEnd w:id="5"/>
      <w:r/>
      <w:bookmarkStart w:id="40" w:name="_Toc120614211"/>
      <w:r/>
      <w:bookmarkStart w:id="41" w:name="_Toc16938559"/>
      <w:r/>
      <w:bookmarkStart w:id="42" w:name="_Toc20823315"/>
      <w:r/>
      <w:bookmarkStart w:id="43" w:name="_Toc513029243"/>
      <w:r>
        <w:rPr>
          <w:rFonts w:hint="eastAsia" w:ascii="黑体" w:hAnsi="黑体" w:eastAsia="黑体"/>
          <w:color w:val="000000" w:themeColor="text1"/>
          <w:sz w:val="36"/>
          <w:szCs w:val="36"/>
          <w:highlight w:val="none"/>
        </w:rPr>
        <w:t xml:space="preserve">第二章  </w:t>
      </w:r>
      <w:bookmarkEnd w:id="40"/>
      <w:r/>
      <w:bookmarkStart w:id="44" w:name="_Toc120614213"/>
      <w:r/>
      <w:bookmarkStart w:id="45" w:name="_Toc513029202"/>
      <w:r/>
      <w:bookmarkStart w:id="46" w:name="_Toc20823274"/>
      <w:r/>
      <w:bookmarkStart w:id="47" w:name="_Toc16938518"/>
      <w:r>
        <w:rPr>
          <w:rFonts w:hint="eastAsia" w:ascii="黑体" w:hAnsi="黑体" w:eastAsia="黑体"/>
          <w:color w:val="000000" w:themeColor="text1"/>
          <w:sz w:val="36"/>
          <w:szCs w:val="36"/>
          <w:highlight w:val="none"/>
        </w:rPr>
        <w:t xml:space="preserve">投标人须知</w:t>
      </w:r>
      <w:bookmarkEnd w:id="44"/>
      <w:r/>
      <w:bookmarkEnd w:id="45"/>
      <w:r/>
      <w:bookmarkEnd w:id="46"/>
      <w:r/>
      <w:bookmarkEnd w:id="47"/>
      <w:r/>
      <w:r/>
    </w:p>
    <w:p>
      <w:pPr>
        <w:pStyle w:val="854"/>
        <w:ind w:firstLine="452"/>
        <w:keepLines w:val="0"/>
        <w:keepNext w:val="0"/>
        <w:spacing w:before="0" w:after="0" w:line="500" w:lineRule="exact"/>
        <w:rPr>
          <w:rFonts w:hint="eastAsia"/>
          <w:color w:val="000000" w:themeColor="text1"/>
          <w:sz w:val="30"/>
          <w:szCs w:val="30"/>
          <w:highlight w:val="none"/>
        </w:rPr>
      </w:pPr>
      <w:r/>
      <w:bookmarkStart w:id="48" w:name="_Toc16938519"/>
      <w:r/>
      <w:bookmarkStart w:id="49" w:name="_Toc513029203"/>
      <w:r/>
      <w:bookmarkStart w:id="50" w:name="_Toc120614214"/>
      <w:r/>
      <w:bookmarkStart w:id="51" w:name="_Toc20823275"/>
      <w:r>
        <w:rPr>
          <w:rFonts w:hint="eastAsia"/>
          <w:color w:val="000000" w:themeColor="text1"/>
          <w:sz w:val="30"/>
          <w:szCs w:val="30"/>
          <w:highlight w:val="none"/>
        </w:rPr>
        <w:t xml:space="preserve">一、总则</w:t>
      </w:r>
      <w:bookmarkEnd w:id="48"/>
      <w:r/>
      <w:bookmarkEnd w:id="49"/>
      <w:r/>
      <w:bookmarkEnd w:id="50"/>
      <w:r/>
      <w:bookmarkEnd w:id="51"/>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52" w:name="_Hlt16619475"/>
      <w:r/>
      <w:bookmarkEnd w:id="52"/>
      <w:r/>
      <w:bookmarkStart w:id="53" w:name="_Toc513029204"/>
      <w:r/>
      <w:bookmarkStart w:id="54" w:name="_Toc16938520"/>
      <w:r/>
      <w:bookmarkStart w:id="55" w:name="_Toc20823276"/>
      <w:r>
        <w:rPr>
          <w:rFonts w:hint="eastAsia" w:ascii="宋体" w:hAnsi="宋体" w:eastAsia="宋体"/>
          <w:bCs w:val="0"/>
          <w:color w:val="000000" w:themeColor="text1"/>
          <w:highlight w:val="none"/>
        </w:rPr>
        <w:t xml:space="preserve">1.招标方式</w:t>
      </w:r>
      <w:bookmarkEnd w:id="53"/>
      <w:r/>
      <w:bookmarkEnd w:id="54"/>
      <w:r/>
      <w:bookmarkEnd w:id="55"/>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56" w:name="_Toc16938521"/>
      <w:r/>
      <w:bookmarkStart w:id="57" w:name="_Toc513029205"/>
      <w:r/>
      <w:bookmarkStart w:id="58" w:name="_Toc20823277"/>
      <w:r>
        <w:rPr>
          <w:rFonts w:hint="eastAsia" w:ascii="宋体" w:hAnsi="宋体" w:eastAsia="宋体"/>
          <w:bCs w:val="0"/>
          <w:color w:val="000000" w:themeColor="text1"/>
          <w:highlight w:val="none"/>
        </w:rPr>
        <w:t xml:space="preserve">2.</w:t>
      </w:r>
      <w:bookmarkEnd w:id="56"/>
      <w:r/>
      <w:bookmarkEnd w:id="57"/>
      <w:r/>
      <w:bookmarkEnd w:id="58"/>
      <w:r>
        <w:rPr>
          <w:rFonts w:hint="eastAsia" w:ascii="宋体" w:hAnsi="宋体" w:eastAsia="宋体"/>
          <w:bCs w:val="0"/>
          <w:color w:val="000000" w:themeColor="text1"/>
          <w:highlight w:val="none"/>
        </w:rPr>
        <w:t xml:space="preserve">采购人、采购代理机构、投标人、联合体</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59" w:name="_Toc16938522"/>
      <w:r/>
      <w:bookmarkStart w:id="60" w:name="_Toc513029206"/>
      <w:r/>
      <w:bookmarkStart w:id="61" w:name="_Toc20823278"/>
      <w:r>
        <w:rPr>
          <w:rFonts w:hint="eastAsia" w:ascii="宋体" w:hAnsi="宋体" w:eastAsia="宋体"/>
          <w:bCs w:val="0"/>
          <w:color w:val="000000" w:themeColor="text1"/>
          <w:highlight w:val="none"/>
        </w:rPr>
        <w:t xml:space="preserve">3.适用法律</w:t>
      </w:r>
      <w:bookmarkEnd w:id="59"/>
      <w:r/>
      <w:bookmarkEnd w:id="60"/>
      <w:r/>
      <w:bookmarkEnd w:id="61"/>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62" w:name="_Toc513029207"/>
      <w:r/>
      <w:bookmarkStart w:id="63" w:name="_Toc16938523"/>
      <w:r/>
      <w:bookmarkStart w:id="64" w:name="_Toc20823279"/>
      <w:r/>
      <w:bookmarkStart w:id="65" w:name="_Toc462564067"/>
      <w:r>
        <w:rPr>
          <w:rFonts w:hint="eastAsia" w:ascii="宋体" w:hAnsi="宋体" w:eastAsia="宋体"/>
          <w:bCs w:val="0"/>
          <w:color w:val="000000" w:themeColor="text1"/>
          <w:highlight w:val="none"/>
        </w:rPr>
        <w:t xml:space="preserve">4.投标费用</w:t>
      </w:r>
      <w:bookmarkEnd w:id="62"/>
      <w:r/>
      <w:bookmarkEnd w:id="63"/>
      <w:r/>
      <w:bookmarkEnd w:id="64"/>
      <w:r/>
      <w:bookmarkEnd w:id="65"/>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w:t>
      </w:r>
      <w:r>
        <w:rPr>
          <w:rFonts w:hint="eastAsia" w:ascii="宋体" w:hAnsi="宋体"/>
          <w:color w:val="000000" w:themeColor="text1"/>
          <w:sz w:val="24"/>
          <w:highlight w:val="none"/>
          <w:lang w:eastAsia="zh-CN"/>
        </w:rPr>
        <w:t xml:space="preserve">无锡市滨湖区公共资源交易中心</w:t>
      </w:r>
      <w:r>
        <w:rPr>
          <w:rFonts w:hint="eastAsia" w:ascii="宋体" w:hAnsi="宋体"/>
          <w:color w:val="000000" w:themeColor="text1"/>
          <w:sz w:val="24"/>
          <w:highlight w:val="none"/>
        </w:rPr>
        <w:t xml:space="preserve">（以下简称交易中心）在任何情况下均无义务和责任承担这些费用。</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p>
    <w:p>
      <w:pPr>
        <w:pStyle w:val="854"/>
        <w:ind w:firstLine="452"/>
        <w:keepLines w:val="0"/>
        <w:keepNext w:val="0"/>
        <w:spacing w:before="0" w:after="0" w:line="500" w:lineRule="exact"/>
        <w:rPr>
          <w:rFonts w:hint="eastAsia"/>
          <w:color w:val="000000" w:themeColor="text1"/>
          <w:sz w:val="30"/>
          <w:szCs w:val="30"/>
          <w:highlight w:val="none"/>
        </w:rPr>
      </w:pPr>
      <w:r/>
      <w:bookmarkStart w:id="66" w:name="_Toc16938525"/>
      <w:r/>
      <w:bookmarkStart w:id="67" w:name="_Toc513029209"/>
      <w:r/>
      <w:bookmarkStart w:id="68" w:name="_Toc20823281"/>
      <w:r/>
      <w:bookmarkStart w:id="69" w:name="_Toc120614215"/>
      <w:r>
        <w:rPr>
          <w:rFonts w:hint="eastAsia"/>
          <w:color w:val="000000" w:themeColor="text1"/>
          <w:sz w:val="30"/>
          <w:szCs w:val="30"/>
          <w:highlight w:val="none"/>
        </w:rPr>
        <w:t xml:space="preserve">二、招标文件</w:t>
      </w:r>
      <w:bookmarkEnd w:id="66"/>
      <w:r/>
      <w:bookmarkEnd w:id="67"/>
      <w:r/>
      <w:bookmarkEnd w:id="68"/>
      <w:r/>
      <w:bookmarkEnd w:id="69"/>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70" w:name="_Toc16938526"/>
      <w:r/>
      <w:bookmarkStart w:id="71" w:name="_Toc20823282"/>
      <w:r/>
      <w:bookmarkStart w:id="72" w:name="_Toc513029210"/>
      <w:r>
        <w:rPr>
          <w:rFonts w:hint="eastAsia" w:ascii="宋体" w:hAnsi="宋体" w:eastAsia="宋体"/>
          <w:bCs w:val="0"/>
          <w:color w:val="000000" w:themeColor="text1"/>
          <w:highlight w:val="none"/>
        </w:rPr>
        <w:t xml:space="preserve">6.招标文件构成</w:t>
      </w:r>
      <w:bookmarkEnd w:id="70"/>
      <w:r/>
      <w:bookmarkEnd w:id="71"/>
      <w:r/>
      <w:bookmarkEnd w:id="72"/>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p>
    <w:p>
      <w:pPr>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73" w:name="_Toc513029211"/>
      <w:r/>
      <w:bookmarkStart w:id="74" w:name="_Toc20823283"/>
      <w:r/>
      <w:bookmarkStart w:id="75" w:name="_Toc462564070"/>
      <w:r/>
      <w:bookmarkStart w:id="76" w:name="_Toc16938527"/>
      <w:r>
        <w:rPr>
          <w:rFonts w:hint="eastAsia" w:ascii="宋体" w:hAnsi="宋体" w:eastAsia="宋体"/>
          <w:bCs w:val="0"/>
          <w:color w:val="000000" w:themeColor="text1"/>
          <w:highlight w:val="none"/>
        </w:rPr>
        <w:t xml:space="preserve">7.招标文件的澄清</w:t>
      </w:r>
      <w:bookmarkEnd w:id="73"/>
      <w:r/>
      <w:bookmarkEnd w:id="74"/>
      <w:r/>
      <w:bookmarkEnd w:id="75"/>
      <w:r/>
      <w:bookmarkEnd w:id="76"/>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77" w:name="_Toc20823284"/>
      <w:r/>
      <w:bookmarkStart w:id="78" w:name="_Toc513029212"/>
      <w:r/>
      <w:bookmarkStart w:id="79" w:name="_Toc16938528"/>
      <w:r/>
      <w:bookmarkStart w:id="80" w:name="_Toc462564071"/>
      <w:r>
        <w:rPr>
          <w:rFonts w:hint="eastAsia" w:ascii="宋体" w:hAnsi="宋体" w:eastAsia="宋体"/>
          <w:bCs w:val="0"/>
          <w:color w:val="000000" w:themeColor="text1"/>
          <w:highlight w:val="none"/>
        </w:rPr>
        <w:t xml:space="preserve">8.招标文件的修改</w:t>
      </w:r>
      <w:bookmarkEnd w:id="77"/>
      <w:r/>
      <w:bookmarkEnd w:id="78"/>
      <w:r/>
      <w:bookmarkEnd w:id="79"/>
      <w:r/>
      <w:bookmarkEnd w:id="80"/>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p>
    <w:p>
      <w:pPr>
        <w:pStyle w:val="854"/>
        <w:ind w:firstLine="452"/>
        <w:keepLines w:val="0"/>
        <w:keepNext w:val="0"/>
        <w:spacing w:before="0" w:after="0" w:line="500" w:lineRule="exact"/>
        <w:rPr>
          <w:rFonts w:hint="eastAsia"/>
          <w:color w:val="000000" w:themeColor="text1"/>
          <w:sz w:val="30"/>
          <w:szCs w:val="30"/>
          <w:highlight w:val="none"/>
        </w:rPr>
      </w:pPr>
      <w:r/>
      <w:bookmarkStart w:id="81" w:name="_Toc20823285"/>
      <w:r/>
      <w:bookmarkStart w:id="82" w:name="_Toc513029213"/>
      <w:r/>
      <w:bookmarkStart w:id="83" w:name="_Toc462564072"/>
      <w:r/>
      <w:bookmarkStart w:id="84" w:name="_Toc120614216"/>
      <w:r/>
      <w:bookmarkStart w:id="85" w:name="_Toc16938529"/>
      <w:r>
        <w:rPr>
          <w:rFonts w:hint="eastAsia"/>
          <w:color w:val="000000" w:themeColor="text1"/>
          <w:sz w:val="30"/>
          <w:szCs w:val="30"/>
          <w:highlight w:val="none"/>
        </w:rPr>
        <w:t xml:space="preserve">三、投标文件的编制</w:t>
      </w:r>
      <w:bookmarkEnd w:id="81"/>
      <w:r/>
      <w:bookmarkEnd w:id="82"/>
      <w:r/>
      <w:bookmarkEnd w:id="83"/>
      <w:r/>
      <w:bookmarkEnd w:id="84"/>
      <w:r/>
      <w:bookmarkEnd w:id="85"/>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86" w:name="_Toc462564073"/>
      <w:r/>
      <w:bookmarkStart w:id="87" w:name="_Toc16938530"/>
      <w:r/>
      <w:bookmarkStart w:id="88" w:name="_Toc513029214"/>
      <w:r/>
      <w:bookmarkStart w:id="89" w:name="_Toc20823286"/>
      <w:r>
        <w:rPr>
          <w:rFonts w:hint="eastAsia" w:ascii="宋体" w:hAnsi="宋体" w:eastAsia="宋体"/>
          <w:bCs w:val="0"/>
          <w:color w:val="000000" w:themeColor="text1"/>
          <w:highlight w:val="none"/>
        </w:rPr>
        <w:t xml:space="preserve">9.投标文件的语言及度量衡单位</w:t>
      </w:r>
      <w:bookmarkEnd w:id="86"/>
      <w:r/>
      <w:bookmarkEnd w:id="87"/>
      <w:r/>
      <w:bookmarkEnd w:id="88"/>
      <w:r/>
      <w:bookmarkEnd w:id="89"/>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90" w:name="_Toc513029215"/>
      <w:r/>
      <w:bookmarkStart w:id="91" w:name="_Toc20823287"/>
      <w:r/>
      <w:bookmarkStart w:id="92" w:name="_Toc462564074"/>
      <w:r/>
      <w:bookmarkStart w:id="93" w:name="_Toc16938531"/>
      <w:r>
        <w:rPr>
          <w:rFonts w:hint="eastAsia" w:ascii="宋体" w:hAnsi="宋体" w:eastAsia="宋体"/>
          <w:bCs w:val="0"/>
          <w:color w:val="000000" w:themeColor="text1"/>
          <w:highlight w:val="none"/>
        </w:rPr>
        <w:t xml:space="preserve">10.投标文件构成</w:t>
      </w:r>
      <w:bookmarkEnd w:id="90"/>
      <w:r/>
      <w:bookmarkEnd w:id="91"/>
      <w:r/>
      <w:bookmarkEnd w:id="92"/>
      <w:r/>
      <w:bookmarkEnd w:id="93"/>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94" w:name="_Hlt26954838"/>
      <w:r/>
      <w:bookmarkEnd w:id="94"/>
      <w:r/>
      <w:bookmarkStart w:id="95" w:name="_Hlt26670360"/>
      <w:r/>
      <w:bookmarkEnd w:id="95"/>
      <w:r/>
      <w:bookmarkStart w:id="96" w:name="_Hlt26668975"/>
      <w:r/>
      <w:bookmarkEnd w:id="96"/>
      <w:r/>
      <w:bookmarkStart w:id="97" w:name="_Toc14577357"/>
      <w:r/>
      <w:bookmarkStart w:id="98" w:name="_Toc49090509"/>
      <w:r/>
      <w:bookmarkStart w:id="99" w:name="_Toc513029219"/>
      <w:r/>
      <w:bookmarkStart w:id="100" w:name="_Toc14577354"/>
      <w:r/>
      <w:bookmarkStart w:id="101" w:name="_Toc49090507"/>
      <w:r/>
      <w:bookmarkStart w:id="102" w:name="_Toc513029216"/>
      <w:r>
        <w:rPr>
          <w:rFonts w:hint="eastAsia" w:ascii="宋体" w:hAnsi="宋体" w:eastAsia="宋体"/>
          <w:bCs w:val="0"/>
          <w:color w:val="000000" w:themeColor="text1"/>
          <w:highlight w:val="none"/>
        </w:rPr>
        <w:t xml:space="preserve">11.证明投标人及投标标的符合招标文件规定的文件</w:t>
      </w:r>
      <w:bookmarkEnd w:id="97"/>
      <w:r/>
      <w:bookmarkEnd w:id="98"/>
      <w:r/>
      <w:bookmarkEnd w:id="99"/>
      <w:r/>
      <w:bookmarkEnd w:id="100"/>
      <w:bookmarkEnd w:id="101"/>
      <w:bookmarkEnd w:id="102"/>
      <w:r/>
    </w:p>
    <w:p>
      <w:pPr>
        <w:ind w:firstLine="480"/>
        <w:spacing w:line="500" w:lineRule="exact"/>
        <w:rPr>
          <w:rFonts w:hint="eastAsia" w:ascii="宋体" w:hAnsi="宋体"/>
          <w:bCs/>
          <w:color w:val="000000" w:themeColor="text1"/>
          <w:sz w:val="24"/>
          <w:highlight w:val="none"/>
        </w:rPr>
      </w:pPr>
      <w:r/>
      <w:bookmarkStart w:id="103" w:name="_Toc49090508"/>
      <w:r/>
      <w:bookmarkStart w:id="104" w:name="_Toc14577355"/>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05" w:name="_Toc14577359"/>
      <w:r/>
      <w:bookmarkStart w:id="106" w:name="_Toc49090510"/>
      <w:r>
        <w:rPr>
          <w:rFonts w:hint="eastAsia" w:ascii="宋体" w:hAnsi="宋体" w:eastAsia="宋体"/>
          <w:bCs w:val="0"/>
          <w:color w:val="000000" w:themeColor="text1"/>
          <w:highlight w:val="none"/>
        </w:rPr>
        <w:t xml:space="preserve">12.投标函、承诺书和开标一览表</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bookmarkEnd w:id="105"/>
      <w:bookmarkEnd w:id="106"/>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13.</w:t>
      </w:r>
      <w:bookmarkEnd w:id="103"/>
      <w:r/>
      <w:bookmarkEnd w:id="104"/>
      <w:r>
        <w:rPr>
          <w:rFonts w:hint="eastAsia" w:ascii="宋体" w:hAnsi="宋体" w:eastAsia="宋体"/>
          <w:bCs w:val="0"/>
          <w:color w:val="000000" w:themeColor="text1"/>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7" w:name="_Hlt26954840"/>
      <w:r/>
      <w:bookmarkEnd w:id="107"/>
      <w:r>
        <w:rPr>
          <w:rFonts w:hint="eastAsia" w:ascii="宋体" w:hAnsi="宋体"/>
          <w:color w:val="000000" w:themeColor="text1"/>
          <w:sz w:val="24"/>
          <w:highlight w:val="none"/>
        </w:rPr>
        <w:t xml:space="preserve">标人应按照招标文件规定格式填报</w:t>
      </w:r>
      <w:bookmarkStart w:id="108" w:name="_Hlt26670399"/>
      <w:r/>
      <w:bookmarkEnd w:id="108"/>
      <w:r>
        <w:rPr>
          <w:rFonts w:hint="eastAsia" w:ascii="宋体" w:hAnsi="宋体"/>
          <w:color w:val="000000" w:themeColor="text1"/>
          <w:sz w:val="24"/>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09" w:name="_Hlt26954842"/>
      <w:r/>
      <w:bookmarkEnd w:id="109"/>
      <w:r/>
      <w:bookmarkStart w:id="110" w:name="_Hlt26954846"/>
      <w:r/>
      <w:bookmarkEnd w:id="110"/>
      <w:r/>
      <w:bookmarkStart w:id="111" w:name="_Hlt26954731"/>
      <w:r/>
      <w:bookmarkEnd w:id="111"/>
      <w:r/>
      <w:bookmarkStart w:id="112" w:name="_Hlt26670486"/>
      <w:r/>
      <w:bookmarkEnd w:id="112"/>
      <w:r/>
      <w:bookmarkStart w:id="113" w:name="_Hlt26670403"/>
      <w:r/>
      <w:bookmarkEnd w:id="113"/>
      <w:r/>
      <w:bookmarkStart w:id="114" w:name="_Hlt26954848"/>
      <w:r/>
      <w:bookmarkEnd w:id="114"/>
      <w:r/>
      <w:bookmarkStart w:id="115" w:name="_Hlt26670482"/>
      <w:r/>
      <w:bookmarkEnd w:id="115"/>
      <w:r/>
      <w:bookmarkStart w:id="116" w:name="_Hlt26954844"/>
      <w:r/>
      <w:bookmarkEnd w:id="116"/>
      <w:r/>
      <w:bookmarkStart w:id="117" w:name="_Hlt26670425"/>
      <w:r/>
      <w:bookmarkEnd w:id="117"/>
      <w:r/>
      <w:bookmarkStart w:id="118" w:name="_Hlt26668983"/>
      <w:r/>
      <w:bookmarkEnd w:id="118"/>
      <w:r>
        <w:rPr>
          <w:rFonts w:hint="eastAsia" w:ascii="宋体" w:hAnsi="宋体" w:eastAsia="宋体"/>
          <w:bCs w:val="0"/>
          <w:color w:val="000000" w:themeColor="text1"/>
          <w:highlight w:val="none"/>
        </w:rPr>
        <w:t xml:space="preserve">14.投标偏离表</w:t>
      </w:r>
      <w:r/>
    </w:p>
    <w:p>
      <w:pPr>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19" w:name="_Hlt26954850"/>
      <w:r/>
      <w:bookmarkEnd w:id="119"/>
      <w:r/>
      <w:bookmarkStart w:id="120" w:name="_Hlt26670489"/>
      <w:r/>
      <w:bookmarkEnd w:id="120"/>
      <w:r/>
      <w:bookmarkStart w:id="121" w:name="_Hlt26954734"/>
      <w:r/>
      <w:bookmarkEnd w:id="121"/>
      <w:r/>
      <w:bookmarkStart w:id="122" w:name="_Toc49090511"/>
      <w:r/>
      <w:bookmarkStart w:id="123" w:name="_Toc14577360"/>
      <w:r>
        <w:rPr>
          <w:rFonts w:hint="eastAsia" w:ascii="宋体" w:hAnsi="宋体" w:eastAsia="宋体"/>
          <w:bCs w:val="0"/>
          <w:color w:val="000000" w:themeColor="text1"/>
          <w:highlight w:val="none"/>
        </w:rPr>
        <w:t xml:space="preserve">15.投标有效期</w:t>
      </w:r>
      <w:bookmarkEnd w:id="122"/>
      <w:r/>
      <w:bookmarkEnd w:id="123"/>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p>
    <w:p>
      <w:pPr>
        <w:pStyle w:val="854"/>
        <w:ind w:firstLine="452"/>
        <w:keepLines w:val="0"/>
        <w:keepNext w:val="0"/>
        <w:spacing w:before="0" w:after="0" w:line="500" w:lineRule="exact"/>
        <w:rPr>
          <w:rFonts w:hint="eastAsia"/>
          <w:color w:val="000000" w:themeColor="text1"/>
          <w:sz w:val="30"/>
          <w:szCs w:val="30"/>
          <w:highlight w:val="none"/>
        </w:rPr>
      </w:pPr>
      <w:r/>
      <w:bookmarkStart w:id="124" w:name="_Hlt26954852"/>
      <w:r/>
      <w:bookmarkEnd w:id="124"/>
      <w:r/>
      <w:bookmarkStart w:id="125" w:name="_Hlt26954739"/>
      <w:r/>
      <w:bookmarkEnd w:id="125"/>
      <w:r/>
      <w:bookmarkStart w:id="126" w:name="_Toc120614217"/>
      <w:r/>
      <w:bookmarkStart w:id="127" w:name="_Toc513029224"/>
      <w:r/>
      <w:bookmarkStart w:id="128" w:name="_Toc16938540"/>
      <w:r/>
      <w:bookmarkStart w:id="129" w:name="_Toc20823296"/>
      <w:r>
        <w:rPr>
          <w:rFonts w:hint="eastAsia"/>
          <w:color w:val="000000" w:themeColor="text1"/>
          <w:sz w:val="30"/>
          <w:szCs w:val="30"/>
          <w:highlight w:val="none"/>
        </w:rPr>
        <w:t xml:space="preserve">四、投标文件的递交</w:t>
      </w:r>
      <w:bookmarkEnd w:id="126"/>
      <w:r/>
      <w:bookmarkEnd w:id="127"/>
      <w:r/>
      <w:bookmarkEnd w:id="128"/>
      <w:r/>
      <w:bookmarkEnd w:id="129"/>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30" w:name="_Toc513029225"/>
      <w:r/>
      <w:bookmarkStart w:id="131" w:name="_Toc20823297"/>
      <w:r/>
      <w:bookmarkStart w:id="132" w:name="_Toc16938541"/>
      <w:r/>
      <w:bookmarkStart w:id="133" w:name="_Toc462564084"/>
      <w:r>
        <w:rPr>
          <w:rFonts w:hint="eastAsia" w:ascii="宋体" w:hAnsi="宋体" w:eastAsia="宋体"/>
          <w:bCs w:val="0"/>
          <w:color w:val="000000" w:themeColor="text1"/>
          <w:highlight w:val="none"/>
        </w:rPr>
        <w:t xml:space="preserve">17.投标文件</w:t>
      </w:r>
      <w:bookmarkEnd w:id="130"/>
      <w:r/>
      <w:bookmarkEnd w:id="131"/>
      <w:r/>
      <w:bookmarkEnd w:id="132"/>
      <w:r/>
      <w:bookmarkEnd w:id="133"/>
      <w:r>
        <w:rPr>
          <w:rFonts w:hint="eastAsia" w:ascii="宋体" w:hAnsi="宋体" w:eastAsia="宋体"/>
          <w:bCs w:val="0"/>
          <w:color w:val="000000" w:themeColor="text1"/>
          <w:highlight w:val="none"/>
        </w:rPr>
        <w:t xml:space="preserve">的递交</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p>
    <w:p>
      <w:pPr>
        <w:pStyle w:val="96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4" w:name="_Toc513029226"/>
      <w:r/>
      <w:bookmarkStart w:id="135" w:name="_Toc16938542"/>
      <w:r/>
      <w:bookmarkStart w:id="136" w:name="_Toc20823298"/>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4"/>
      <w:r/>
      <w:bookmarkEnd w:id="135"/>
      <w:r/>
      <w:bookmarkEnd w:id="136"/>
      <w:r>
        <w:rPr>
          <w:rFonts w:hint="eastAsia" w:ascii="宋体" w:hAnsi="宋体" w:eastAsia="宋体"/>
          <w:bCs w:val="0"/>
          <w:color w:val="000000" w:themeColor="text1"/>
          <w:highlight w:val="none"/>
        </w:rPr>
        <w:t xml:space="preserve">时间</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37" w:name="_Toc20823299"/>
      <w:r/>
      <w:bookmarkStart w:id="138" w:name="_Toc16938543"/>
      <w:r/>
      <w:bookmarkStart w:id="139" w:name="_Toc513029227"/>
      <w:r>
        <w:rPr>
          <w:rFonts w:hint="eastAsia" w:ascii="宋体" w:hAnsi="宋体" w:eastAsia="宋体"/>
          <w:bCs w:val="0"/>
          <w:color w:val="000000" w:themeColor="text1"/>
          <w:highlight w:val="none"/>
        </w:rPr>
        <w:t xml:space="preserve">19.投标文件</w:t>
      </w:r>
      <w:bookmarkEnd w:id="137"/>
      <w:r/>
      <w:bookmarkEnd w:id="138"/>
      <w:r/>
      <w:bookmarkEnd w:id="139"/>
      <w:r>
        <w:rPr>
          <w:rFonts w:hint="eastAsia" w:ascii="宋体" w:hAnsi="宋体" w:eastAsia="宋体"/>
          <w:bCs w:val="0"/>
          <w:color w:val="000000" w:themeColor="text1"/>
          <w:highlight w:val="none"/>
        </w:rPr>
        <w:t xml:space="preserve">的拒收</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40" w:name="_Toc16938544"/>
      <w:r/>
      <w:bookmarkStart w:id="141" w:name="_Toc513029228"/>
      <w:r/>
      <w:bookmarkStart w:id="142" w:name="_Toc20823300"/>
      <w:r>
        <w:rPr>
          <w:rFonts w:hint="eastAsia" w:ascii="宋体" w:hAnsi="宋体" w:eastAsia="宋体"/>
          <w:bCs w:val="0"/>
          <w:color w:val="000000" w:themeColor="text1"/>
          <w:highlight w:val="none"/>
        </w:rPr>
        <w:t xml:space="preserve">20.投标文件的撤回和修改</w:t>
      </w:r>
      <w:bookmarkEnd w:id="140"/>
      <w:r/>
      <w:bookmarkEnd w:id="141"/>
      <w:r/>
      <w:bookmarkEnd w:id="142"/>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p>
    <w:p>
      <w:pPr>
        <w:pStyle w:val="854"/>
        <w:ind w:firstLine="452"/>
        <w:keepLines w:val="0"/>
        <w:keepNext w:val="0"/>
        <w:spacing w:before="0" w:after="0" w:line="500" w:lineRule="exact"/>
        <w:rPr>
          <w:rFonts w:hint="eastAsia"/>
          <w:color w:val="000000" w:themeColor="text1"/>
          <w:sz w:val="30"/>
          <w:szCs w:val="30"/>
          <w:highlight w:val="none"/>
        </w:rPr>
      </w:pPr>
      <w:r/>
      <w:bookmarkStart w:id="143" w:name="_Toc513029229"/>
      <w:r/>
      <w:bookmarkStart w:id="144" w:name="_Toc16938545"/>
      <w:r/>
      <w:bookmarkStart w:id="145" w:name="_Toc20823301"/>
      <w:r/>
      <w:bookmarkStart w:id="146" w:name="_Toc120614218"/>
      <w:r>
        <w:rPr>
          <w:rFonts w:hint="eastAsia"/>
          <w:color w:val="000000" w:themeColor="text1"/>
          <w:sz w:val="30"/>
          <w:szCs w:val="30"/>
          <w:highlight w:val="none"/>
        </w:rPr>
        <w:t xml:space="preserve">五、开标与评标</w:t>
      </w:r>
      <w:bookmarkEnd w:id="143"/>
      <w:r/>
      <w:bookmarkEnd w:id="144"/>
      <w:r/>
      <w:bookmarkEnd w:id="145"/>
      <w:r/>
      <w:bookmarkEnd w:id="146"/>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47" w:name="_Toc16938546"/>
      <w:r/>
      <w:bookmarkStart w:id="148" w:name="_Toc20823302"/>
      <w:r/>
      <w:bookmarkStart w:id="149" w:name="_Toc513029230"/>
      <w:r>
        <w:rPr>
          <w:rFonts w:hint="eastAsia" w:ascii="宋体" w:hAnsi="宋体" w:eastAsia="宋体"/>
          <w:bCs w:val="0"/>
          <w:color w:val="000000" w:themeColor="text1"/>
          <w:highlight w:val="none"/>
        </w:rPr>
        <w:t xml:space="preserve">21.开标</w:t>
      </w:r>
      <w:bookmarkEnd w:id="147"/>
      <w:r/>
      <w:bookmarkEnd w:id="148"/>
      <w:r/>
      <w:bookmarkEnd w:id="149"/>
      <w:r/>
      <w:r/>
    </w:p>
    <w:p>
      <w:pPr>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50" w:name="_Toc20823303"/>
      <w:r/>
      <w:bookmarkStart w:id="151" w:name="_Toc513029231"/>
      <w:r/>
      <w:bookmarkStart w:id="152" w:name="_Toc16938547"/>
      <w:r>
        <w:rPr>
          <w:rFonts w:hint="eastAsia" w:ascii="宋体" w:hAnsi="宋体" w:eastAsia="宋体"/>
          <w:bCs w:val="0"/>
          <w:color w:val="000000" w:themeColor="text1"/>
          <w:highlight w:val="none"/>
        </w:rPr>
        <w:t xml:space="preserve">22.评标委员会</w:t>
      </w:r>
      <w:r/>
    </w:p>
    <w:p>
      <w:pPr>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bookmarkEnd w:id="150"/>
      <w:bookmarkEnd w:id="151"/>
      <w:bookmarkEnd w:id="152"/>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53" w:name="_Toc513029232"/>
      <w:r/>
      <w:bookmarkStart w:id="154" w:name="_Toc20823304"/>
      <w:r/>
      <w:bookmarkStart w:id="155" w:name="_Toc16938548"/>
      <w:r>
        <w:rPr>
          <w:rFonts w:hint="eastAsia" w:ascii="宋体" w:hAnsi="宋体" w:eastAsia="宋体"/>
          <w:bCs w:val="0"/>
          <w:color w:val="000000" w:themeColor="text1"/>
          <w:highlight w:val="none"/>
        </w:rPr>
        <w:t xml:space="preserve">24.投标文件的澄清</w:t>
      </w:r>
      <w:bookmarkEnd w:id="153"/>
      <w:r/>
      <w:bookmarkEnd w:id="154"/>
      <w:r/>
      <w:bookmarkEnd w:id="155"/>
      <w:r/>
      <w:r/>
    </w:p>
    <w:p>
      <w:pPr>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56" w:name="_Toc20823305"/>
      <w:r/>
      <w:bookmarkStart w:id="157" w:name="_Toc513029233"/>
      <w:r/>
      <w:bookmarkStart w:id="158" w:name="_Toc16938549"/>
      <w:r>
        <w:rPr>
          <w:rFonts w:hint="eastAsia" w:ascii="宋体" w:hAnsi="宋体" w:eastAsia="宋体"/>
          <w:bCs w:val="0"/>
          <w:color w:val="000000" w:themeColor="text1"/>
          <w:highlight w:val="none"/>
        </w:rPr>
        <w:t xml:space="preserve">25.对投标文件的初审</w:t>
      </w:r>
      <w:bookmarkEnd w:id="156"/>
      <w:r/>
      <w:bookmarkEnd w:id="157"/>
      <w:r/>
      <w:bookmarkEnd w:id="158"/>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p>
    <w:p>
      <w:pPr>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rPr>
      </w:pPr>
      <w:r/>
      <w:bookmarkStart w:id="159" w:name="_Toc16938550"/>
      <w:r/>
      <w:bookmarkStart w:id="160" w:name="_Toc20823306"/>
      <w:r/>
      <w:bookmarkStart w:id="161" w:name="_Toc513029234"/>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9"/>
      <w:r/>
      <w:bookmarkEnd w:id="160"/>
      <w:r/>
      <w:bookmarkEnd w:id="161"/>
      <w:r>
        <w:rPr>
          <w:rFonts w:hint="eastAsia" w:ascii="宋体" w:hAnsi="宋体" w:eastAsia="宋体"/>
          <w:bCs w:val="0"/>
          <w:color w:val="000000" w:themeColor="text1"/>
          <w:highlight w:val="none"/>
        </w:rPr>
        <w:t xml:space="preserve">.无效投标条款和废标条款</w:t>
      </w:r>
      <w:r/>
    </w:p>
    <w:p>
      <w:pPr>
        <w:ind w:left="479"/>
        <w:spacing w:line="500" w:lineRule="exact"/>
        <w:rPr>
          <w:rFonts w:hint="eastAsia" w:ascii="宋体" w:hAnsi="宋体"/>
          <w:bCs/>
          <w:color w:val="000000" w:themeColor="text1"/>
          <w:sz w:val="24"/>
          <w:highlight w:val="none"/>
        </w:rPr>
      </w:pPr>
      <w:r/>
      <w:bookmarkStart w:id="162" w:name="_Toc16938551"/>
      <w:r/>
      <w:bookmarkStart w:id="163" w:name="_Toc20823307"/>
      <w:r/>
      <w:bookmarkStart w:id="164" w:name="_Toc513029235"/>
      <w:r>
        <w:rPr>
          <w:rFonts w:hint="eastAsia" w:ascii="宋体" w:hAnsi="宋体"/>
          <w:bCs/>
          <w:color w:val="000000" w:themeColor="text1"/>
          <w:sz w:val="24"/>
          <w:highlight w:val="none"/>
        </w:rPr>
        <w:t xml:space="preserve">26.1无效投标条款</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pStyle w:val="854"/>
        <w:ind w:firstLine="452"/>
        <w:keepLines w:val="0"/>
        <w:keepNext w:val="0"/>
        <w:spacing w:before="0" w:after="0" w:line="500" w:lineRule="exact"/>
        <w:rPr>
          <w:rFonts w:hint="eastAsia"/>
          <w:color w:val="000000" w:themeColor="text1"/>
          <w:sz w:val="30"/>
          <w:szCs w:val="30"/>
          <w:highlight w:val="none"/>
        </w:rPr>
      </w:pPr>
      <w:r/>
      <w:bookmarkStart w:id="165" w:name="_Toc120614219"/>
      <w:r>
        <w:rPr>
          <w:rFonts w:hint="eastAsia"/>
          <w:color w:val="000000" w:themeColor="text1"/>
          <w:sz w:val="30"/>
          <w:szCs w:val="30"/>
          <w:highlight w:val="none"/>
        </w:rPr>
        <w:t xml:space="preserve">六、</w:t>
      </w:r>
      <w:bookmarkEnd w:id="162"/>
      <w:r/>
      <w:bookmarkEnd w:id="163"/>
      <w:r/>
      <w:bookmarkEnd w:id="164"/>
      <w:r>
        <w:rPr>
          <w:rFonts w:hint="eastAsia"/>
          <w:color w:val="000000" w:themeColor="text1"/>
          <w:sz w:val="30"/>
          <w:szCs w:val="30"/>
          <w:highlight w:val="none"/>
        </w:rPr>
        <w:t xml:space="preserve">定标</w:t>
      </w:r>
      <w:bookmarkEnd w:id="165"/>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66" w:name="_Toc513029238"/>
      <w:r/>
      <w:bookmarkStart w:id="167" w:name="_Toc16938554"/>
      <w:r/>
      <w:bookmarkStart w:id="168" w:name="_Toc20823310"/>
      <w:r>
        <w:rPr>
          <w:rFonts w:hint="eastAsia" w:ascii="宋体" w:hAnsi="宋体" w:eastAsia="宋体"/>
          <w:bCs w:val="0"/>
          <w:color w:val="000000" w:themeColor="text1"/>
          <w:highlight w:val="none"/>
        </w:rPr>
        <w:t xml:space="preserve">27</w:t>
      </w:r>
      <w:bookmarkEnd w:id="166"/>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7"/>
      <w:r/>
      <w:bookmarkEnd w:id="168"/>
      <w:r>
        <w:rPr>
          <w:rFonts w:hint="eastAsia" w:ascii="宋体" w:hAnsi="宋体" w:eastAsia="宋体"/>
          <w:bCs w:val="0"/>
          <w:color w:val="000000" w:themeColor="text1"/>
          <w:highlight w:val="none"/>
        </w:rPr>
        <w:t xml:space="preserve">中标单位</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rPr>
      </w:pPr>
      <w:r/>
      <w:bookmarkStart w:id="169"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9"/>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54"/>
        <w:ind w:firstLine="452"/>
        <w:keepLines w:val="0"/>
        <w:keepNext w:val="0"/>
        <w:spacing w:before="0" w:after="0" w:line="500" w:lineRule="exact"/>
        <w:rPr>
          <w:rFonts w:hint="eastAsia"/>
          <w:color w:val="000000" w:themeColor="text1"/>
          <w:sz w:val="30"/>
          <w:szCs w:val="30"/>
          <w:highlight w:val="none"/>
        </w:rPr>
      </w:pPr>
      <w:r/>
      <w:bookmarkStart w:id="170" w:name="_Toc120614220"/>
      <w:r/>
      <w:bookmarkStart w:id="171" w:name="_Toc20823308"/>
      <w:r/>
      <w:bookmarkStart w:id="172" w:name="_Toc16938552"/>
      <w:r/>
      <w:bookmarkStart w:id="173" w:name="_Toc513029236"/>
      <w:r>
        <w:rPr>
          <w:rFonts w:hint="eastAsia"/>
          <w:color w:val="000000" w:themeColor="text1"/>
          <w:sz w:val="30"/>
          <w:szCs w:val="30"/>
          <w:highlight w:val="none"/>
        </w:rPr>
        <w:t xml:space="preserve">七、授予合同</w:t>
      </w:r>
      <w:bookmarkEnd w:id="170"/>
      <w:r/>
      <w:bookmarkEnd w:id="171"/>
      <w:bookmarkEnd w:id="172"/>
      <w:bookmarkEnd w:id="173"/>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bookmarkStart w:id="174" w:name="_Toc16938553"/>
      <w:r/>
      <w:bookmarkStart w:id="175" w:name="_Toc513029237"/>
      <w:r/>
      <w:bookmarkStart w:id="176" w:name="_Toc20823309"/>
      <w:r>
        <w:rPr>
          <w:rFonts w:hint="eastAsia" w:ascii="宋体" w:hAnsi="宋体" w:eastAsia="宋体"/>
          <w:bCs w:val="0"/>
          <w:color w:val="000000" w:themeColor="text1"/>
          <w:highlight w:val="none"/>
        </w:rPr>
        <w:t xml:space="preserve">30.签订合同</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4"/>
      <w:bookmarkEnd w:id="175"/>
      <w:bookmarkEnd w:id="176"/>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bookmarkStart w:id="177" w:name="_Toc120614221"/>
      <w:r/>
      <w:bookmarkStart w:id="178" w:name="_Toc513029242"/>
      <w:r/>
      <w:bookmarkStart w:id="179" w:name="_Toc16938558"/>
      <w:r/>
      <w:bookmarkStart w:id="180" w:name="_Toc20823314"/>
      <w:r/>
      <w:bookmarkStart w:id="181" w:name="_Toc479757207"/>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7"/>
      <w:r/>
      <w:bookmarkEnd w:id="178"/>
      <w:r/>
      <w:bookmarkEnd w:id="179"/>
      <w:r/>
      <w:bookmarkEnd w:id="180"/>
      <w:r/>
      <w:bookmarkEnd w:id="181"/>
      <w:r>
        <w:rPr>
          <w:rFonts w:hint="eastAsia" w:ascii="黑体" w:hAnsi="黑体" w:eastAsia="黑体"/>
          <w:color w:val="000000" w:themeColor="text1"/>
          <w:sz w:val="36"/>
          <w:szCs w:val="36"/>
          <w:highlight w:val="none"/>
        </w:rPr>
        <w:t xml:space="preserve">文本</w:t>
      </w:r>
      <w:r/>
    </w:p>
    <w:p>
      <w:pPr>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以下为中标后签订本项目合同的通用条款，中标人不得提出实质性的修改。</w:t>
      </w:r>
      <w:r/>
    </w:p>
    <w:p>
      <w:pPr>
        <w:ind w:firstLine="602"/>
        <w:jc w:val="center"/>
        <w:spacing w:line="400" w:lineRule="exact"/>
        <w:rPr>
          <w:rFonts w:ascii="宋体" w:hAnsi="宋体"/>
          <w:b/>
          <w:bCs/>
          <w:color w:val="000000" w:themeColor="text1"/>
          <w:sz w:val="30"/>
          <w:szCs w:val="20"/>
          <w:highlight w:val="none"/>
        </w:rPr>
      </w:pPr>
      <w:r>
        <w:rPr>
          <w:rFonts w:hint="eastAsia" w:ascii="宋体" w:hAnsi="宋体"/>
          <w:b/>
          <w:color w:val="000000" w:themeColor="text1"/>
          <w:sz w:val="30"/>
          <w:highlight w:val="none"/>
        </w:rPr>
        <w:t xml:space="preserve">江苏省政府采购合同（货物）（合同编号）</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项目名称：                                       项目编号：</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甲方：（买方、需方、采购人）_________</w:t>
      </w:r>
      <w:r/>
    </w:p>
    <w:p>
      <w:pPr>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乙方：（卖方、供方、供应商）_________</w:t>
      </w:r>
      <w:r/>
    </w:p>
    <w:p>
      <w:pPr>
        <w:ind w:firstLine="480"/>
        <w:spacing w:line="400" w:lineRule="exact"/>
        <w:rPr>
          <w:rFonts w:ascii="宋体" w:hAnsi="宋体" w:cs="Courier New"/>
          <w:b/>
          <w:color w:val="000000" w:themeColor="text1"/>
          <w:sz w:val="24"/>
          <w:szCs w:val="24"/>
          <w:highlight w:val="none"/>
        </w:rPr>
      </w:pP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lang w:eastAsia="zh-CN"/>
        </w:rPr>
        <w:t xml:space="preserve">无锡市滨湖区公共资源交易中心</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项目公开招标的结果，签署本合同。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一、</w:t>
      </w:r>
      <w:r>
        <w:rPr>
          <w:rFonts w:hint="eastAsia" w:ascii="宋体" w:hAnsi="宋体" w:cs="Courier New"/>
          <w:b/>
          <w:color w:val="000000" w:themeColor="text1"/>
          <w:sz w:val="24"/>
          <w:szCs w:val="24"/>
          <w:highlight w:val="none"/>
        </w:rPr>
        <w:t xml:space="preserve">合同</w:t>
      </w:r>
      <w:r>
        <w:rPr>
          <w:rFonts w:ascii="宋体" w:hAnsi="宋体" w:cs="Courier New"/>
          <w:b/>
          <w:color w:val="000000" w:themeColor="text1"/>
          <w:sz w:val="24"/>
          <w:szCs w:val="24"/>
          <w:highlight w:val="none"/>
        </w:rPr>
        <w:t xml:space="preserve">内容</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1.1 </w:t>
      </w:r>
      <w:r>
        <w:rPr>
          <w:rFonts w:hint="eastAsia" w:ascii="宋体" w:hAnsi="宋体" w:cs="Courier New"/>
          <w:color w:val="000000" w:themeColor="text1"/>
          <w:sz w:val="24"/>
          <w:szCs w:val="24"/>
          <w:highlight w:val="none"/>
        </w:rPr>
        <w:t xml:space="preserve">标的</w:t>
      </w:r>
      <w:r>
        <w:rPr>
          <w:rFonts w:ascii="宋体" w:hAnsi="宋体" w:cs="Courier New"/>
          <w:color w:val="000000" w:themeColor="text1"/>
          <w:sz w:val="24"/>
          <w:szCs w:val="24"/>
          <w:highlight w:val="none"/>
        </w:rPr>
        <w:t xml:space="preserve">名称：</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 标的质量：</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 标的数量（规模）：</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 履行时间（期限）：</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 履行地点：</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1.7 包装方式：</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二、合同金额</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w:t>
      </w:r>
      <w:r>
        <w:rPr>
          <w:rFonts w:hAnsi="宋体"/>
          <w:color w:val="000000" w:themeColor="text1"/>
          <w:sz w:val="24"/>
          <w:szCs w:val="24"/>
          <w:highlight w:val="none"/>
        </w:rPr>
        <w:t xml:space="preserve">本合同金额为（大写）： _____________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三、技术资料</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3.1乙方应按招标文件规定的时间向甲方提供使用货物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的有关技术资料。</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四、知识产权</w:t>
      </w:r>
      <w:r/>
    </w:p>
    <w:p>
      <w:pPr>
        <w:ind w:firstLine="480"/>
        <w:spacing w:line="400" w:lineRule="exact"/>
        <w:rPr>
          <w:rFonts w:hint="eastAsia" w:ascii="宋体" w:hAnsi="宋体"/>
          <w:color w:val="000000" w:themeColor="text1"/>
          <w:sz w:val="24"/>
          <w:highlight w:val="none"/>
        </w:rPr>
      </w:pPr>
      <w:r>
        <w:rPr>
          <w:rFonts w:hAnsi="宋体"/>
          <w:color w:val="000000" w:themeColor="text1"/>
          <w:sz w:val="24"/>
          <w:szCs w:val="24"/>
          <w:highlight w:val="none"/>
        </w:rPr>
        <w:t xml:space="preserve">4.1乙</w:t>
      </w:r>
      <w:r>
        <w:rPr>
          <w:rFonts w:hint="eastAsia" w:ascii="宋体" w:hAnsi="宋体"/>
          <w:color w:val="000000" w:themeColor="text1"/>
          <w:sz w:val="24"/>
          <w:highlight w:val="none"/>
        </w:rPr>
        <w:t xml:space="preserve">方应保证甲方在使用、接受本合同货物</w:t>
      </w:r>
      <w:r>
        <w:rPr>
          <w:rFonts w:hint="eastAsia" w:hAnsi="宋体"/>
          <w:color w:val="000000" w:themeColor="text1"/>
          <w:sz w:val="24"/>
          <w:szCs w:val="24"/>
          <w:highlight w:val="none"/>
        </w:rPr>
        <w:t xml:space="preserve">（包含与货物相关的服务）</w:t>
      </w:r>
      <w:r>
        <w:rPr>
          <w:rFonts w:hint="eastAsia" w:ascii="宋体" w:hAnsi="宋体"/>
          <w:color w:val="000000" w:themeColor="text1"/>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rPr>
      </w:pPr>
      <w:r>
        <w:rPr>
          <w:rFonts w:ascii="宋体" w:hAnsi="宋体" w:cs="Courier New"/>
          <w:b/>
          <w:color w:val="000000" w:themeColor="text1"/>
          <w:sz w:val="24"/>
          <w:szCs w:val="24"/>
          <w:highlight w:val="none"/>
        </w:rPr>
        <w:t xml:space="preserve">五、产权担保</w:t>
      </w:r>
      <w:r/>
    </w:p>
    <w:p>
      <w:pPr>
        <w:ind w:firstLine="480"/>
        <w:spacing w:line="400" w:lineRule="exact"/>
        <w:rPr>
          <w:rFonts w:ascii="宋体" w:hAnsi="宋体" w:cs="Courier New"/>
          <w:color w:val="000000" w:themeColor="text1"/>
          <w:sz w:val="24"/>
          <w:szCs w:val="24"/>
          <w:highlight w:val="none"/>
          <w:u w:val="single"/>
        </w:rPr>
      </w:pPr>
      <w:r>
        <w:rPr>
          <w:rFonts w:ascii="宋体" w:hAnsi="宋体" w:cs="Courier New"/>
          <w:color w:val="000000" w:themeColor="text1"/>
          <w:sz w:val="24"/>
          <w:szCs w:val="24"/>
          <w:highlight w:val="none"/>
        </w:rPr>
        <w:t xml:space="preserve">5.1 乙方保证所交付的货物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六、履约保证金</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6.1 乙方交纳人民币__元作为本合同的履约保证金。</w:t>
      </w:r>
      <w:r>
        <w:rPr>
          <w:rFonts w:hint="eastAsia" w:ascii="宋体" w:hAnsi="宋体" w:cs="Courier New"/>
          <w:color w:val="000000" w:themeColor="text1"/>
          <w:sz w:val="24"/>
          <w:szCs w:val="24"/>
          <w:highlight w:val="none"/>
        </w:rPr>
        <w:t xml:space="preserve">（不得超过合同金额的10%）</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6.2.1履约保证金退还方式：</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6.2.2履约保证金退还时间：</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6.2.3履约保证金退还条件：</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rPr>
      </w:pPr>
      <w:r>
        <w:rPr>
          <w:rFonts w:hint="eastAsia" w:ascii="宋体" w:hAnsi="宋体" w:cs="Courier New"/>
          <w:b/>
          <w:color w:val="000000" w:themeColor="text1"/>
          <w:sz w:val="24"/>
          <w:szCs w:val="24"/>
          <w:highlight w:val="none"/>
        </w:rPr>
        <w:t xml:space="preserve">八</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合同款项</w:t>
      </w:r>
      <w:r>
        <w:rPr>
          <w:rFonts w:ascii="宋体" w:hAnsi="宋体" w:cs="Courier New"/>
          <w:b/>
          <w:color w:val="000000" w:themeColor="text1"/>
          <w:sz w:val="24"/>
          <w:szCs w:val="24"/>
          <w:highlight w:val="none"/>
        </w:rPr>
        <w:t xml:space="preserve">支付</w:t>
      </w:r>
      <w:r/>
    </w:p>
    <w:p>
      <w:pPr>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.1</w:t>
      </w:r>
      <w:r>
        <w:rPr>
          <w:rFonts w:hint="eastAsia" w:ascii="宋体" w:hAnsi="宋体" w:cs="Courier New"/>
          <w:bCs/>
          <w:color w:val="000000" w:themeColor="text1"/>
          <w:sz w:val="24"/>
          <w:szCs w:val="24"/>
          <w:highlight w:val="none"/>
        </w:rPr>
        <w:t xml:space="preserve">合同款项的支付方式及进度安排</w:t>
      </w:r>
      <w:r/>
    </w:p>
    <w:p>
      <w:pPr>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8.1.1预付款支付时间：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，预付款支付比例：</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bCs/>
          <w:color w:val="000000" w:themeColor="text1"/>
          <w:sz w:val="24"/>
          <w:szCs w:val="24"/>
          <w:highlight w:val="none"/>
        </w:rPr>
        <w:t xml:space="preserve">8.1.2尾款支付时间：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注：（1）根据《关于做好政府采购支持企业发展有关事项的通知》（苏采购</w:t>
      </w:r>
      <w:r>
        <w:rPr>
          <w:rFonts w:hint="eastAsia" w:ascii="宋体" w:hAnsi="宋体" w:cs="Courier New"/>
          <w:bCs/>
          <w:color w:val="000000" w:themeColor="text1"/>
          <w:sz w:val="24"/>
          <w:szCs w:val="24"/>
          <w:highlight w:val="none"/>
        </w:rPr>
        <w:t xml:space="preserve">〔2020〕52</w:t>
      </w:r>
      <w:r>
        <w:rPr>
          <w:rFonts w:hint="eastAsia" w:ascii="宋体" w:hAnsi="宋体"/>
          <w:bCs/>
          <w:color w:val="000000" w:themeColor="text1"/>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000000" w:themeColor="text1"/>
          <w:sz w:val="24"/>
          <w:szCs w:val="24"/>
          <w:highlight w:val="none"/>
        </w:rPr>
      </w:pP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2</w:t>
      </w:r>
      <w:r>
        <w:rPr>
          <w:rFonts w:ascii="宋体" w:hAnsi="宋体" w:cs="Courier New"/>
          <w:bCs/>
          <w:color w:val="000000" w:themeColor="text1"/>
          <w:sz w:val="24"/>
          <w:szCs w:val="24"/>
          <w:highlight w:val="none"/>
        </w:rPr>
        <w:t xml:space="preserve">）根据《</w:t>
      </w:r>
      <w:r>
        <w:rPr>
          <w:rFonts w:hint="eastAsia" w:ascii="宋体" w:hAnsi="宋体" w:cs="Courier New"/>
          <w:bCs/>
          <w:color w:val="000000" w:themeColor="text1"/>
          <w:sz w:val="24"/>
          <w:szCs w:val="24"/>
          <w:highlight w:val="none"/>
        </w:rPr>
        <w:t xml:space="preserve">关于进一步提高政府采购透明度和采购效率相关事项的通知</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财办库〔2023〕243号</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（3）</w:t>
      </w:r>
      <w:r>
        <w:rPr>
          <w:rFonts w:hint="eastAsia" w:ascii="宋体"/>
          <w:bCs/>
          <w:color w:val="000000" w:themeColor="text1"/>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.2</w:t>
      </w:r>
      <w:r>
        <w:rPr>
          <w:rFonts w:ascii="宋体" w:hAnsi="宋体" w:cs="Courier New"/>
          <w:color w:val="000000" w:themeColor="text1"/>
          <w:sz w:val="24"/>
          <w:szCs w:val="24"/>
          <w:highlight w:val="none"/>
        </w:rPr>
        <w:t xml:space="preserve">当采购数量与实际使用数量不一致时，</w:t>
      </w:r>
      <w:r>
        <w:rPr>
          <w:rFonts w:hint="eastAsia" w:ascii="宋体" w:hAnsi="宋体" w:cs="Courier New"/>
          <w:color w:val="000000" w:themeColor="text1"/>
          <w:sz w:val="24"/>
          <w:szCs w:val="24"/>
          <w:highlight w:val="none"/>
        </w:rPr>
        <w:t xml:space="preserve">乙方</w:t>
      </w:r>
      <w:r>
        <w:rPr>
          <w:rFonts w:ascii="宋体" w:hAnsi="宋体" w:cs="Courier New"/>
          <w:color w:val="000000" w:themeColor="text1"/>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p>
    <w:p>
      <w:pPr>
        <w:ind w:firstLine="480"/>
        <w:spacing w:line="400" w:lineRule="exact"/>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rPr>
      </w:pPr>
      <w:r>
        <w:rPr>
          <w:rFonts w:ascii="宋体" w:hAnsi="宋体" w:cs="Courier New"/>
          <w:b/>
          <w:color w:val="000000" w:themeColor="text1"/>
          <w:sz w:val="24"/>
          <w:szCs w:val="24"/>
          <w:highlight w:val="none"/>
        </w:rPr>
        <w:t xml:space="preserve">十、质量</w:t>
      </w:r>
      <w:r>
        <w:rPr>
          <w:rFonts w:hint="eastAsia" w:ascii="宋体" w:hAnsi="宋体" w:cs="Courier New"/>
          <w:b/>
          <w:color w:val="000000" w:themeColor="text1"/>
          <w:sz w:val="24"/>
          <w:szCs w:val="24"/>
          <w:highlight w:val="none"/>
        </w:rPr>
        <w:t xml:space="preserve">保修范围和保修期</w:t>
      </w:r>
      <w:r>
        <w:rPr>
          <w:rFonts w:ascii="宋体" w:hAnsi="宋体" w:cs="Courier New"/>
          <w:b/>
          <w:color w:val="000000" w:themeColor="text1"/>
          <w:sz w:val="24"/>
          <w:szCs w:val="24"/>
          <w:highlight w:val="none"/>
        </w:rPr>
        <w:t xml:space="preserve">及售后服务</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⑴更换：由乙方承担所发生的全部费用。</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⑵贬值处理：由甲乙双方合议定价。</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.4 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.5上述货物免费保修期为</w:t>
      </w:r>
      <w:r>
        <w:rPr>
          <w:rFonts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rPr>
        <w:t xml:space="preserve">身</w:t>
      </w:r>
      <w:r>
        <w:rPr>
          <w:rFonts w:ascii="宋体" w:hAnsi="宋体" w:cs="Courier New"/>
          <w:color w:val="000000" w:themeColor="text1"/>
          <w:sz w:val="24"/>
          <w:szCs w:val="24"/>
          <w:highlight w:val="none"/>
        </w:rPr>
        <w:t xml:space="preserve">维修，维修时只收部件成本费。</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一</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项目</w:t>
      </w:r>
      <w:r>
        <w:rPr>
          <w:rFonts w:ascii="宋体" w:hAnsi="宋体" w:cs="Courier New"/>
          <w:b/>
          <w:color w:val="000000" w:themeColor="text1"/>
          <w:sz w:val="24"/>
          <w:szCs w:val="24"/>
          <w:highlight w:val="none"/>
        </w:rPr>
        <w:t xml:space="preserve">验收</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 甲方依法组织履约验收工作。</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二</w:t>
      </w:r>
      <w:r>
        <w:rPr>
          <w:rFonts w:ascii="宋体" w:hAnsi="宋体" w:cs="Courier New"/>
          <w:b/>
          <w:color w:val="000000" w:themeColor="text1"/>
          <w:sz w:val="24"/>
          <w:szCs w:val="24"/>
          <w:highlight w:val="none"/>
        </w:rPr>
        <w:t xml:space="preserve">、货物</w:t>
      </w:r>
      <w:r>
        <w:rPr>
          <w:rFonts w:hint="eastAsia" w:ascii="宋体" w:hAnsi="宋体" w:cs="Courier New"/>
          <w:b/>
          <w:color w:val="000000" w:themeColor="text1"/>
          <w:sz w:val="24"/>
          <w:szCs w:val="24"/>
          <w:highlight w:val="none"/>
        </w:rPr>
        <w:t xml:space="preserve">的</w:t>
      </w:r>
      <w:r>
        <w:rPr>
          <w:rFonts w:ascii="宋体" w:hAnsi="宋体" w:cs="Courier New"/>
          <w:b/>
          <w:color w:val="000000" w:themeColor="text1"/>
          <w:sz w:val="24"/>
          <w:szCs w:val="24"/>
          <w:highlight w:val="none"/>
        </w:rPr>
        <w:t xml:space="preserve">包装、发运及运输</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.3 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.4 货物在交付甲方前发生的风险均由乙方负责。</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三</w:t>
      </w:r>
      <w:r>
        <w:rPr>
          <w:rFonts w:ascii="宋体" w:hAnsi="宋体" w:cs="Courier New"/>
          <w:b/>
          <w:color w:val="000000" w:themeColor="text1"/>
          <w:sz w:val="24"/>
          <w:szCs w:val="24"/>
          <w:highlight w:val="none"/>
        </w:rPr>
        <w:t xml:space="preserve">、违约责任</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.1 甲方无正当理由拒收货物的，甲方向乙方偿付拒收货款总值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.2甲方无故逾期验收和办理货款支付手续的</w:t>
      </w:r>
      <w:r>
        <w:rPr>
          <w:rFonts w:hint="eastAsia"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t xml:space="preserve">甲方应按逾期付款总额每日</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向乙方支付违约金。</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四</w:t>
      </w:r>
      <w:r>
        <w:rPr>
          <w:rFonts w:ascii="宋体" w:hAnsi="宋体" w:cs="Courier New"/>
          <w:b/>
          <w:color w:val="000000" w:themeColor="text1"/>
          <w:sz w:val="24"/>
          <w:szCs w:val="24"/>
          <w:highlight w:val="none"/>
        </w:rPr>
        <w:t xml:space="preserve">、不可抗力事件处理</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.3不可抗力事件延续120天以上，双方应通过友好协商，确定是否继续履行合同。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五</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解决争议的方法</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5</w:t>
      </w: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甲乙</w:t>
      </w:r>
      <w:r>
        <w:rPr>
          <w:rFonts w:ascii="宋体" w:hAnsi="宋体" w:cs="Courier New"/>
          <w:color w:val="000000" w:themeColor="text1"/>
          <w:sz w:val="24"/>
          <w:szCs w:val="24"/>
          <w:highlight w:val="none"/>
        </w:rPr>
        <w:t xml:space="preserve">双方</w:t>
      </w:r>
      <w:r>
        <w:rPr>
          <w:rFonts w:hint="eastAsia" w:ascii="宋体" w:hAnsi="宋体" w:cs="Courier New"/>
          <w:color w:val="000000" w:themeColor="text1"/>
          <w:sz w:val="24"/>
          <w:szCs w:val="24"/>
          <w:highlight w:val="none"/>
        </w:rPr>
        <w:t xml:space="preserve">因</w:t>
      </w:r>
      <w:r>
        <w:rPr>
          <w:rFonts w:ascii="宋体" w:hAnsi="宋体" w:cs="Courier New"/>
          <w:color w:val="000000" w:themeColor="text1"/>
          <w:sz w:val="24"/>
          <w:szCs w:val="24"/>
          <w:highlight w:val="none"/>
        </w:rPr>
        <w:t xml:space="preserve">合同</w:t>
      </w:r>
      <w:r>
        <w:rPr>
          <w:rFonts w:hint="eastAsia" w:ascii="宋体" w:hAnsi="宋体" w:cs="Courier New"/>
          <w:color w:val="000000" w:themeColor="text1"/>
          <w:sz w:val="24"/>
          <w:szCs w:val="24"/>
          <w:highlight w:val="none"/>
        </w:rPr>
        <w:t xml:space="preserve">签订、履行而</w:t>
      </w:r>
      <w:r>
        <w:rPr>
          <w:rFonts w:ascii="宋体" w:hAnsi="宋体" w:cs="Courier New"/>
          <w:color w:val="000000" w:themeColor="text1"/>
          <w:sz w:val="24"/>
          <w:szCs w:val="24"/>
          <w:highlight w:val="none"/>
        </w:rPr>
        <w:t xml:space="preserve">发生的一切争议，应通过</w:t>
      </w:r>
      <w:r>
        <w:rPr>
          <w:rFonts w:hint="eastAsia" w:ascii="宋体" w:hAnsi="宋体" w:cs="Courier New"/>
          <w:color w:val="000000" w:themeColor="text1"/>
          <w:sz w:val="24"/>
          <w:szCs w:val="24"/>
          <w:highlight w:val="none"/>
        </w:rPr>
        <w:t xml:space="preserve">友好</w:t>
      </w:r>
      <w:r>
        <w:rPr>
          <w:rFonts w:ascii="宋体" w:hAnsi="宋体" w:cs="Courier New"/>
          <w:color w:val="000000" w:themeColor="text1"/>
          <w:sz w:val="24"/>
          <w:szCs w:val="24"/>
          <w:highlight w:val="none"/>
        </w:rPr>
        <w:t xml:space="preserve">协商解决。如协商不成</w:t>
      </w:r>
      <w:r>
        <w:rPr>
          <w:rFonts w:hint="eastAsia" w:ascii="宋体" w:hAnsi="宋体" w:cs="Courier New"/>
          <w:color w:val="000000" w:themeColor="text1"/>
          <w:sz w:val="24"/>
          <w:szCs w:val="24"/>
          <w:highlight w:val="none"/>
        </w:rPr>
        <w:t xml:space="preserve">由甲方住所地人民</w:t>
      </w:r>
      <w:r>
        <w:rPr>
          <w:rFonts w:ascii="宋体" w:hAnsi="宋体" w:cs="Courier New"/>
          <w:color w:val="000000" w:themeColor="text1"/>
          <w:sz w:val="24"/>
          <w:szCs w:val="24"/>
          <w:highlight w:val="none"/>
        </w:rPr>
        <w:t xml:space="preserve">法院</w:t>
      </w:r>
      <w:r>
        <w:rPr>
          <w:rFonts w:hint="eastAsia" w:ascii="宋体" w:hAnsi="宋体" w:cs="Courier New"/>
          <w:color w:val="000000" w:themeColor="text1"/>
          <w:sz w:val="24"/>
          <w:szCs w:val="24"/>
          <w:highlight w:val="none"/>
        </w:rPr>
        <w:t xml:space="preserve">管辖。</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六</w:t>
      </w:r>
      <w:r>
        <w:rPr>
          <w:rFonts w:ascii="宋体" w:hAnsi="宋体" w:cs="Courier New"/>
          <w:b/>
          <w:color w:val="000000" w:themeColor="text1"/>
          <w:sz w:val="24"/>
          <w:szCs w:val="24"/>
          <w:highlight w:val="none"/>
        </w:rPr>
        <w:t xml:space="preserve">、合同生效及其他</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.1 合同经双方法定代表人或授权委托代</w:t>
      </w:r>
      <w:r>
        <w:rPr>
          <w:rFonts w:hint="eastAsia" w:ascii="宋体" w:hAnsi="宋体" w:cs="Courier New"/>
          <w:color w:val="000000" w:themeColor="text1"/>
          <w:sz w:val="24"/>
          <w:szCs w:val="24"/>
          <w:highlight w:val="none"/>
        </w:rPr>
        <w:t xml:space="preserve">表</w:t>
      </w:r>
      <w:r>
        <w:rPr>
          <w:rFonts w:ascii="宋体" w:hAnsi="宋体" w:cs="Courier New"/>
          <w:color w:val="000000" w:themeColor="text1"/>
          <w:sz w:val="24"/>
          <w:szCs w:val="24"/>
          <w:highlight w:val="none"/>
        </w:rPr>
        <w:t xml:space="preserve">人签字并加盖单位公章后生效。</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.2本合同未尽事宜，遵照</w:t>
      </w:r>
      <w:r>
        <w:rPr>
          <w:rFonts w:hint="eastAsia" w:ascii="宋体" w:hAnsi="宋体" w:cs="Courier New"/>
          <w:color w:val="000000" w:themeColor="text1"/>
          <w:sz w:val="24"/>
          <w:szCs w:val="24"/>
          <w:highlight w:val="none"/>
        </w:rPr>
        <w:t xml:space="preserve">《中华人民共和国民法典》《中华人民共和国政府采购法》等</w:t>
      </w:r>
      <w:r>
        <w:rPr>
          <w:rFonts w:ascii="宋体" w:hAnsi="宋体" w:cs="Courier New"/>
          <w:color w:val="000000" w:themeColor="text1"/>
          <w:sz w:val="24"/>
          <w:szCs w:val="24"/>
          <w:highlight w:val="none"/>
        </w:rPr>
        <w:t xml:space="preserve">有关条文执行。</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 本合同正本一式</w:t>
      </w:r>
      <w:r>
        <w:rPr>
          <w:rFonts w:hint="eastAsia" w:ascii="宋体" w:hAnsi="宋体" w:cs="Courier New"/>
          <w:color w:val="000000" w:themeColor="text1"/>
          <w:sz w:val="24"/>
          <w:szCs w:val="24"/>
          <w:highlight w:val="none"/>
        </w:rPr>
        <w:t xml:space="preserve">两</w:t>
      </w:r>
      <w:r>
        <w:rPr>
          <w:rFonts w:ascii="宋体" w:hAnsi="宋体" w:cs="Courier New"/>
          <w:color w:val="000000" w:themeColor="text1"/>
          <w:sz w:val="24"/>
          <w:szCs w:val="24"/>
          <w:highlight w:val="none"/>
        </w:rPr>
        <w:t xml:space="preserve">份，具有同等法律效力，甲</w:t>
      </w:r>
      <w:r>
        <w:rPr>
          <w:rFonts w:hint="eastAsia" w:ascii="宋体" w:hAnsi="宋体" w:cs="Courier New"/>
          <w:color w:val="000000" w:themeColor="text1"/>
          <w:sz w:val="24"/>
          <w:szCs w:val="24"/>
          <w:highlight w:val="none"/>
        </w:rPr>
        <w:t xml:space="preserve">方、</w:t>
      </w:r>
      <w:r>
        <w:rPr>
          <w:rFonts w:ascii="宋体" w:hAnsi="宋体" w:cs="Courier New"/>
          <w:color w:val="000000" w:themeColor="text1"/>
          <w:sz w:val="24"/>
          <w:szCs w:val="24"/>
          <w:highlight w:val="none"/>
        </w:rPr>
        <w:t xml:space="preserve">乙方各执一份。</w:t>
      </w:r>
      <w:r/>
    </w:p>
    <w:p>
      <w:pPr>
        <w:ind w:left="480" w:hanging="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甲方：                        乙方： </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地址：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地址： </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w:t>
      </w:r>
      <w:r/>
    </w:p>
    <w:p>
      <w:pPr>
        <w:ind w:firstLine="240"/>
        <w:spacing w:line="400" w:lineRule="exact"/>
        <w:rPr>
          <w:rFonts w:hint="eastAsia" w:ascii="宋体" w:hAnsi="Courier New" w:cs="Courier New"/>
          <w:color w:val="000000" w:themeColor="text1"/>
          <w:highlight w:val="none"/>
        </w:rPr>
      </w:pPr>
      <w:r>
        <w:rPr>
          <w:rFonts w:hint="eastAsia" w:ascii="宋体" w:hAnsi="宋体" w:cs="Courier New"/>
          <w:color w:val="000000" w:themeColor="text1"/>
          <w:sz w:val="24"/>
          <w:szCs w:val="24"/>
          <w:highlight w:val="none"/>
        </w:rPr>
        <w:t xml:space="preserve">联系电话：                    联系电话：          </w:t>
      </w:r>
      <w:r/>
    </w:p>
    <w:p>
      <w:pPr>
        <w:jc w:val="center"/>
        <w:spacing w:line="400" w:lineRule="exact"/>
        <w:rPr>
          <w:rFonts w:hint="eastAsia" w:ascii="宋体" w:hAnsi="宋体" w:cs="Courier New"/>
          <w:color w:val="000000" w:themeColor="text1"/>
          <w:sz w:val="24"/>
          <w:szCs w:val="24"/>
          <w:highlight w:val="none"/>
        </w:rPr>
      </w:pPr>
      <w:r>
        <w:rPr>
          <w:rFonts w:hint="eastAsia" w:ascii="宋体" w:hAnsi="Courier New" w:cs="Courier New"/>
          <w:color w:val="000000" w:themeColor="text1"/>
          <w:highlight w:val="none"/>
        </w:rPr>
        <w:t xml:space="preserve">                 </w:t>
      </w:r>
      <w:r>
        <w:rPr>
          <w:rFonts w:hint="eastAsia" w:ascii="宋体" w:hAnsi="宋体" w:cs="Courier New"/>
          <w:color w:val="000000" w:themeColor="text1"/>
          <w:sz w:val="24"/>
          <w:szCs w:val="24"/>
          <w:highlight w:val="none"/>
        </w:rPr>
        <w:t xml:space="preserve">   </w:t>
      </w:r>
      <w:r/>
    </w:p>
    <w:p>
      <w:pPr>
        <w:jc w:val="center"/>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签订日期：      年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月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日</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ascii="宋体" w:hAnsi="宋体"/>
          <w:bCs/>
          <w:color w:val="000000" w:themeColor="text1"/>
          <w:sz w:val="24"/>
          <w:szCs w:val="24"/>
          <w:highlight w:val="none"/>
        </w:rPr>
      </w:pPr>
      <w:r>
        <w:rPr>
          <w:rFonts w:hint="eastAsia" w:ascii="宋体" w:hAnsi="宋体" w:cs="Courier New"/>
          <w:color w:val="000000" w:themeColor="text1"/>
          <w:sz w:val="24"/>
          <w:szCs w:val="24"/>
          <w:highlight w:val="none"/>
        </w:rPr>
        <w:t xml:space="preserve">注：采购人也可参考财政部制定的《政府采购货物买卖合同（试行）》使用，《政府采购货物买卖合同（试行）》电子版请登录中国政府采购网（www.ccgp.gov.cn）下载。</w:t>
      </w:r>
      <w:r/>
    </w:p>
    <w:p>
      <w:pPr>
        <w:ind w:firstLine="480"/>
        <w:spacing w:line="400" w:lineRule="exact"/>
        <w:rPr>
          <w:rFonts w:ascii="宋体" w:hAnsi="宋体"/>
          <w:bCs/>
          <w:sz w:val="24"/>
          <w:szCs w:val="24"/>
        </w:rPr>
      </w:pPr>
      <w:r>
        <w:rPr>
          <w:rFonts w:ascii="宋体" w:hAnsi="宋体"/>
          <w:bCs/>
          <w:sz w:val="24"/>
          <w:szCs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41"/>
      <w:r/>
      <w:bookmarkEnd w:id="42"/>
      <w:r/>
      <w:bookmarkEnd w:id="43"/>
      <w:r/>
      <w:bookmarkStart w:id="182" w:name="_Hlt16619369"/>
      <w:r/>
      <w:bookmarkEnd w:id="182"/>
      <w:r/>
      <w:bookmarkStart w:id="183" w:name="_Hlt16619350"/>
      <w:r/>
      <w:bookmarkStart w:id="184" w:name="_Toc20823346"/>
      <w:r/>
      <w:bookmarkStart w:id="185" w:name="_Toc120614244"/>
      <w:r/>
      <w:bookmarkStart w:id="186" w:name="_Toc16938590"/>
      <w:r/>
      <w:bookmarkStart w:id="187" w:name="_Toc462564139"/>
      <w:r/>
      <w:bookmarkStart w:id="188" w:name="_Toc479757211"/>
      <w:r>
        <w:rPr>
          <w:rFonts w:hint="eastAsia" w:ascii="黑体" w:hAnsi="黑体" w:eastAsia="黑体"/>
          <w:sz w:val="36"/>
          <w:szCs w:val="36"/>
        </w:rPr>
        <w:t xml:space="preserve">第</w:t>
      </w:r>
      <w:bookmarkEnd w:id="183"/>
      <w:r>
        <w:rPr>
          <w:rFonts w:hint="eastAsia" w:ascii="黑体" w:hAnsi="黑体" w:eastAsia="黑体"/>
          <w:sz w:val="36"/>
          <w:szCs w:val="36"/>
        </w:rPr>
        <w:t xml:space="preserve">四章 采购需求</w:t>
      </w:r>
      <w:bookmarkEnd w:id="184"/>
      <w:r/>
      <w:bookmarkEnd w:id="185"/>
      <w:r/>
      <w:bookmarkEnd w:id="186"/>
      <w:r/>
      <w:r/>
    </w:p>
    <w:p>
      <w:pPr>
        <w:ind w:firstLine="600"/>
        <w:jc w:val="left"/>
        <w:spacing w:line="360" w:lineRule="auto"/>
        <w:rPr>
          <w:rFonts w:hint="eastAsia" w:ascii="黑体" w:hAnsi="黑体" w:eastAsia="黑体"/>
          <w:color w:val="000000"/>
          <w:sz w:val="30"/>
          <w:szCs w:val="30"/>
        </w:rPr>
      </w:pPr>
      <w:r/>
      <w:bookmarkStart w:id="189" w:name="_Toc26554093"/>
      <w:r/>
      <w:bookmarkStart w:id="190" w:name="_Toc49090575"/>
      <w:r>
        <w:rPr>
          <w:rFonts w:hint="eastAsia" w:ascii="黑体" w:hAnsi="黑体" w:eastAsia="黑体"/>
          <w:color w:val="000000"/>
          <w:sz w:val="30"/>
          <w:szCs w:val="30"/>
        </w:rPr>
        <w:t xml:space="preserve">本项目属性：货物类项目</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打“★”项为项目基本要求，不得负偏离。</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w:t>
      </w:r>
      <w:r>
        <w:rPr>
          <w:rFonts w:hint="eastAsia" w:ascii="宋体" w:hAnsi="宋体"/>
          <w:bCs/>
          <w:color w:val="000000"/>
          <w:sz w:val="24"/>
          <w:szCs w:val="24"/>
          <w:highlight w:val="none"/>
          <w:lang w:val="en-US" w:eastAsia="zh-CN"/>
        </w:rPr>
        <w:t xml:space="preserve">工</w:t>
      </w:r>
      <w:r>
        <w:rPr>
          <w:rFonts w:hint="eastAsia" w:ascii="宋体" w:hAnsi="宋体"/>
          <w:bCs/>
          <w:color w:val="000000"/>
          <w:sz w:val="24"/>
          <w:szCs w:val="24"/>
          <w:highlight w:val="none"/>
        </w:rPr>
        <w:t xml:space="preserve">业</w:t>
      </w:r>
      <w:r/>
    </w:p>
    <w:p>
      <w:pPr>
        <w:ind w:firstLine="48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本项目中的</w:t>
      </w:r>
      <w:r>
        <w:rPr>
          <w:rFonts w:hint="eastAsia" w:ascii="宋体" w:hAnsi="宋体"/>
          <w:b/>
          <w:bCs/>
          <w:color w:val="000000"/>
          <w:sz w:val="24"/>
          <w:szCs w:val="24"/>
          <w:highlight w:val="none"/>
          <w:lang w:val="en-US" w:eastAsia="zh-CN"/>
        </w:rPr>
        <w:t xml:space="preserve">补录终端</w:t>
      </w:r>
      <w:r>
        <w:rPr>
          <w:rFonts w:hint="eastAsia" w:ascii="宋体" w:hAnsi="宋体"/>
          <w:b w:val="0"/>
          <w:bCs w:val="0"/>
          <w:color w:val="000000"/>
          <w:sz w:val="24"/>
          <w:szCs w:val="24"/>
          <w:highlight w:val="none"/>
        </w:rPr>
        <w:t xml:space="preserve">为核心产品。</w:t>
      </w:r>
      <w:r/>
    </w:p>
    <w:p>
      <w:pPr>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tbl>
      <w:tblPr>
        <w:tblStyle w:val="681"/>
        <w:tblpPr w:horzAnchor="page" w:tblpX="1186" w:vertAnchor="text" w:tblpY="1242" w:leftFromText="180" w:topFromText="0" w:rightFromText="180" w:bottomFromText="0"/>
        <w:tblW w:w="95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37"/>
        <w:gridCol w:w="1069"/>
        <w:gridCol w:w="6600"/>
        <w:gridCol w:w="652"/>
        <w:gridCol w:w="626"/>
      </w:tblGrid>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b/>
                <w:bCs/>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b/>
                <w:bCs/>
                <w:color w:val="auto"/>
                <w:sz w:val="18"/>
                <w:szCs w:val="18"/>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bidi="ar"/>
              </w:rPr>
              <w:t xml:space="preserve">技术参数、规格、功能</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b/>
                <w:bCs/>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b/>
                <w:bCs/>
                <w:color w:val="auto"/>
                <w:sz w:val="18"/>
                <w:szCs w:val="18"/>
                <w:highlight w:val="none"/>
                <w:lang w:bidi="ar"/>
              </w:rPr>
              <w:t xml:space="preserve">单位</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rPr>
            </w:pPr>
            <w:r>
              <w:rPr>
                <w:rFonts w:hint="eastAsia" w:ascii="宋体" w:hAnsi="宋体" w:eastAsia="宋体" w:cs="宋体"/>
                <w:color w:val="auto"/>
                <w:sz w:val="18"/>
                <w:szCs w:val="18"/>
                <w:highlight w:val="none"/>
              </w:rPr>
              <w:t xml:space="preserve">数字孪生综合业务系统</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1、支持对接NVR、联网平台进行视频录像回放；</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2、支持视频弹框1080P视频并发路数不少于6路；</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3、提供地图场景模型渲染及加载应用；</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4、支持倾斜摄影模型、精细化模型、BIM模型等模型等多地图模型的数据加载应用；</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5、提供场景接入数据基础功能应用，可对各类物联感知设备数据进行接入；</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6、提供socket、restful等方式实现感知类、智能分析类数据的接入工作；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CPU：CPU采用国产自主可控架构，须列入国家《安全可靠测评结果公告》目录，主频≥3.0GHz、核心≥8个，三级缓存≥16MB</w:t>
            </w:r>
            <w:r/>
          </w:p>
          <w:p>
            <w:pPr>
              <w:jc w:val="left"/>
              <w:rPr>
                <w:rFonts w:hint="eastAsia" w:ascii="宋体" w:hAnsi="宋体" w:eastAsia="宋体" w:cs="宋体"/>
                <w:color w:val="auto"/>
                <w:sz w:val="18"/>
                <w:szCs w:val="18"/>
                <w:highlight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内存：≥16GB DDR4 </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硬盘：≥512GB M.2 NVME SSD，</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显卡：国产独立显卡，≥4GB显存</w:t>
            </w:r>
            <w:r/>
          </w:p>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网卡：集成千兆网卡</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套</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人员追视分析系统</w:t>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★1.整机需支持插入2张智能分析卡，最大可达16颗GPU芯片；需具有4个硬盘槽位，出厂预装2块硬盘，预装硬盘总容量≥12T，剩余2个硬盘槽位可扩展；需提供3个10/100/1000 Base-T网口，1个VGA接口，后面板2个USB 3.0接口，前面板2个USB 2.0接口。</w:t>
            </w:r>
            <w:r>
              <w:rPr>
                <w:rFonts w:hint="eastAsia" w:ascii="宋体" w:hAnsi="宋体" w:eastAsia="宋体" w:cs="宋体"/>
                <w:sz w:val="18"/>
                <w:szCs w:val="18"/>
              </w:rPr>
              <w:br/>
            </w:r>
            <w:r>
              <w:rPr>
                <w:rFonts w:hint="eastAsia" w:ascii="宋体" w:hAnsi="宋体" w:eastAsia="宋体" w:cs="宋体"/>
                <w:sz w:val="18"/>
                <w:szCs w:val="18"/>
              </w:rPr>
              <w:t xml:space="preserve">2.块直存功能：支持前端设备和存储设备之间进行直接存储，且不生成文件（即不使用文件系统）。</w:t>
            </w:r>
            <w:r>
              <w:rPr>
                <w:rFonts w:hint="eastAsia" w:ascii="宋体" w:hAnsi="宋体" w:eastAsia="宋体" w:cs="宋体"/>
                <w:sz w:val="18"/>
                <w:szCs w:val="18"/>
              </w:rPr>
              <w:br/>
            </w:r>
            <w:r>
              <w:rPr>
                <w:rFonts w:hint="eastAsia" w:ascii="宋体" w:hAnsi="宋体" w:eastAsia="宋体" w:cs="宋体"/>
                <w:sz w:val="18"/>
                <w:szCs w:val="18"/>
              </w:rPr>
              <w:t xml:space="preserve">双直存功能：支持前端设备同时与上下级域的存储设备进行直接存储，且不生成文件（即不使用文件系统）；支持云存储双直存。</w:t>
            </w:r>
            <w:r>
              <w:rPr>
                <w:rFonts w:hint="eastAsia" w:ascii="宋体" w:hAnsi="宋体" w:eastAsia="宋体" w:cs="宋体"/>
                <w:sz w:val="18"/>
                <w:szCs w:val="18"/>
              </w:rPr>
              <w:br/>
            </w:r>
            <w:r>
              <w:rPr>
                <w:rFonts w:hint="eastAsia" w:ascii="宋体" w:hAnsi="宋体" w:eastAsia="宋体" w:cs="宋体"/>
                <w:sz w:val="18"/>
                <w:szCs w:val="18"/>
              </w:rPr>
              <w:t xml:space="preserve">3.支持创建是否戴口罩、年龄、性别、上衣颜色、发型、上衣长度特征属性、年龄、性别、上衣颜色、发型、上衣长度特征属性下发布控任务。</w:t>
            </w:r>
            <w:r>
              <w:rPr>
                <w:rFonts w:hint="eastAsia" w:ascii="宋体" w:hAnsi="宋体" w:eastAsia="宋体" w:cs="宋体"/>
                <w:sz w:val="18"/>
                <w:szCs w:val="18"/>
              </w:rPr>
              <w:br/>
            </w:r>
            <w:r>
              <w:rPr>
                <w:rFonts w:hint="eastAsia" w:ascii="宋体" w:hAnsi="宋体" w:eastAsia="宋体" w:cs="宋体"/>
                <w:sz w:val="18"/>
                <w:szCs w:val="18"/>
              </w:rPr>
              <w:t xml:space="preserve">★4.大数据分析功能：单节点支持人脸静态大库库容不小于400万、支持过人库（过人特征数据）库容不小于1000万、支持过车库（过车特征数据）库容不小于500万、支持视频-人（视频-人特征数据）库容不小于1500万、支持结构化数据库容不小于1.5亿。</w:t>
            </w:r>
            <w:r>
              <w:rPr>
                <w:rFonts w:hint="eastAsia" w:ascii="宋体" w:hAnsi="宋体" w:eastAsia="宋体" w:cs="宋体"/>
                <w:sz w:val="18"/>
                <w:szCs w:val="18"/>
              </w:rPr>
              <w:br/>
            </w:r>
            <w:r>
              <w:rPr>
                <w:rFonts w:hint="eastAsia" w:ascii="宋体" w:hAnsi="宋体" w:eastAsia="宋体" w:cs="宋体"/>
                <w:sz w:val="18"/>
                <w:szCs w:val="18"/>
              </w:rPr>
              <w:t xml:space="preserve">★5.支持机动车车牌号码、车牌颜色、车牌种类、车辆品牌/车系、行驶方向、车身颜色、车型等属性识别。</w:t>
            </w:r>
            <w:r>
              <w:rPr>
                <w:rFonts w:hint="eastAsia" w:ascii="宋体" w:hAnsi="宋体" w:eastAsia="宋体" w:cs="宋体"/>
                <w:sz w:val="18"/>
                <w:szCs w:val="18"/>
              </w:rPr>
              <w:br/>
            </w:r>
            <w:r>
              <w:rPr>
                <w:rFonts w:hint="eastAsia" w:ascii="宋体" w:hAnsi="宋体" w:eastAsia="宋体" w:cs="宋体"/>
                <w:sz w:val="18"/>
                <w:szCs w:val="18"/>
              </w:rPr>
              <w:t xml:space="preserve">6.支持调用相关GIS地图引擎，点击按钮或者鼠标滚轮对地图进行放大或者缩小，可以对地图进行拖拽操作，可隐藏轨迹和删除对应图片结果。</w:t>
            </w:r>
            <w:r>
              <w:rPr>
                <w:rFonts w:hint="eastAsia" w:ascii="宋体" w:hAnsi="宋体" w:eastAsia="宋体" w:cs="宋体"/>
                <w:sz w:val="18"/>
                <w:szCs w:val="18"/>
              </w:rPr>
              <w:br/>
            </w:r>
            <w:r>
              <w:rPr>
                <w:rFonts w:hint="eastAsia" w:ascii="宋体" w:hAnsi="宋体" w:eastAsia="宋体" w:cs="宋体"/>
                <w:sz w:val="18"/>
                <w:szCs w:val="18"/>
              </w:rPr>
              <w:t xml:space="preserve">7.单张智能分析卡最大支持64路视频流全结构化解析，或240张/s人脸小图解析，或200张/s结构化大图解析，或1700万/天结构化大图解析，或64路视频流行为分析解析，或25倍速的视频浓缩业务，或人脸建模速度不低于28万张/小时。</w:t>
            </w:r>
            <w:r>
              <w:rPr>
                <w:rFonts w:hint="eastAsia" w:ascii="宋体" w:hAnsi="宋体" w:eastAsia="宋体" w:cs="宋体"/>
                <w:sz w:val="18"/>
                <w:szCs w:val="18"/>
              </w:rPr>
              <w:br/>
            </w:r>
            <w:r>
              <w:rPr>
                <w:rFonts w:hint="eastAsia" w:ascii="宋体" w:hAnsi="宋体" w:eastAsia="宋体" w:cs="宋体"/>
                <w:sz w:val="18"/>
                <w:szCs w:val="18"/>
              </w:rPr>
              <w:t xml:space="preserve">8.在人脸微笑、大笑、张嘴、做鬼脸、皱眉、眉毛被遮挡(戴帽子、齐刘海)、闭眼、耳朵遮挡、带眼镜、半边脸遮挡等情况下，均可正确识别人脸。人脸识别准确率不低于99%。</w:t>
            </w:r>
            <w:r>
              <w:rPr>
                <w:rFonts w:hint="eastAsia" w:ascii="宋体" w:hAnsi="宋体" w:eastAsia="宋体" w:cs="宋体"/>
                <w:sz w:val="18"/>
                <w:szCs w:val="18"/>
              </w:rPr>
              <w:br/>
            </w:r>
            <w:r>
              <w:rPr>
                <w:rFonts w:hint="eastAsia" w:ascii="宋体" w:hAnsi="宋体" w:eastAsia="宋体" w:cs="宋体"/>
                <w:sz w:val="18"/>
                <w:szCs w:val="18"/>
              </w:rPr>
              <w:t xml:space="preserve">★9.支持对人员行为分析进行配置及检测，包括区域入侵检测、攀高检测、起身检测、值岗异常检测、人员逗留检测、绊线检测、快速移动检测、逆行检测、物品搬移检测、物品遗留检测、单人独处检测、人员聚集检测、人员发散检测、区域人数统计、绊线人数统计、人群密度估计检测、剧烈运动检测、睡岗检测、未戴口罩检测、打电话检测、玩手机检测、电瓶车禁入检测、消防车通道占用、消防通道阻塞检测、吸烟检测、违规停车检测、烟火检测、未戴安全帽检测、跌倒检测、未穿工服检测等行为分析</w:t>
            </w:r>
            <w:r>
              <w:rPr>
                <w:rFonts w:hint="eastAsia" w:ascii="宋体" w:hAnsi="宋体" w:eastAsia="宋体" w:cs="宋体"/>
                <w:sz w:val="18"/>
                <w:szCs w:val="18"/>
              </w:rPr>
              <w:br/>
            </w:r>
            <w:r>
              <w:rPr>
                <w:rFonts w:hint="eastAsia" w:ascii="宋体" w:hAnsi="宋体" w:cs="宋体"/>
                <w:sz w:val="18"/>
                <w:szCs w:val="18"/>
                <w:lang w:val="en-US" w:eastAsia="zh-CN"/>
              </w:rPr>
              <w:t xml:space="preserve">10</w:t>
            </w:r>
            <w:r>
              <w:rPr>
                <w:rFonts w:hint="eastAsia" w:ascii="宋体" w:hAnsi="宋体" w:eastAsia="宋体" w:cs="宋体"/>
                <w:sz w:val="18"/>
                <w:szCs w:val="18"/>
              </w:rPr>
              <w:t xml:space="preserve">.支持手机RFID/车辆/用户自定义轨迹等目标轨迹在一段时间范围内与其他数据类型的轨迹进行轨迹碰撞拟合的功能，设置的轨迹碰撞规则包括与目标轨迹经过的前后时间差范围/距离范围/待碰撞的数据类型(RFID/车辆）；碰撞任务下发后在5分钟内返回结果。</w:t>
            </w:r>
            <w:r>
              <w:rPr>
                <w:rFonts w:hint="eastAsia" w:ascii="宋体" w:hAnsi="宋体" w:eastAsia="宋体" w:cs="宋体"/>
                <w:sz w:val="18"/>
                <w:szCs w:val="18"/>
              </w:rPr>
              <w:br/>
            </w:r>
            <w:r>
              <w:rPr>
                <w:rFonts w:hint="eastAsia" w:ascii="宋体" w:hAnsi="宋体" w:eastAsia="宋体" w:cs="宋体"/>
                <w:sz w:val="18"/>
                <w:szCs w:val="18"/>
              </w:rPr>
              <w:t xml:space="preserve">1</w:t>
            </w:r>
            <w:r>
              <w:rPr>
                <w:rFonts w:hint="eastAsia" w:ascii="宋体" w:hAnsi="宋体" w:cs="宋体"/>
                <w:sz w:val="18"/>
                <w:szCs w:val="18"/>
                <w:lang w:val="en-US" w:eastAsia="zh-CN"/>
              </w:rPr>
              <w:t xml:space="preserve">1</w:t>
            </w:r>
            <w:r>
              <w:rPr>
                <w:rFonts w:hint="eastAsia" w:ascii="宋体" w:hAnsi="宋体" w:eastAsia="宋体" w:cs="宋体"/>
                <w:sz w:val="18"/>
                <w:szCs w:val="18"/>
              </w:rPr>
              <w:t xml:space="preserve">.支持融合搜索、人脸人体关联搜索、渐进式搜索、同行伴随搜索、周期时段搜索。</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套</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补录终端</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尺寸：不少于20英寸</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分辨率：1920（RGB)×1080(横x竖）</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触摸屏：电容式十点触摸屏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屏幕可视角度：89/89/89/89(Typ.)(CR≥10) (左/右/上/下)</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屏幕宽高比：16:9</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外壳：钢化玻璃面板+铝合金边框+钣金底壳及结构件</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工作环境温度：-25~65摄氏度</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芯片：</w:t>
            </w:r>
            <w:r>
              <w:rPr>
                <w:rFonts w:hint="eastAsia" w:ascii="宋体" w:hAnsi="宋体" w:eastAsia="宋体" w:cs="宋体"/>
                <w:color w:val="auto"/>
                <w:sz w:val="18"/>
                <w:szCs w:val="18"/>
                <w:highlight w:val="none"/>
                <w:lang w:val="en-US" w:eastAsia="zh-CN"/>
              </w:rPr>
              <w:t xml:space="preserve">CPU采用国产自主可控架构（ARM或同等国产指令集架构），符合安全可靠测评要求</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color w:val="auto"/>
                <w:sz w:val="18"/>
                <w:szCs w:val="18"/>
                <w:highlight w:val="none"/>
              </w:rPr>
              <w:t xml:space="preserve">四核，主频</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color w:val="auto"/>
                <w:sz w:val="18"/>
                <w:szCs w:val="18"/>
                <w:highlight w:val="none"/>
              </w:rPr>
              <w:t xml:space="preserve">1.8GHz</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存储：DDR 2G+ FLASH 8GB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WIFI：2.4G 802.11a/b/g/n</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刷卡模块：USB/串口刷卡IC/ID卡</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摄像头：1080P高清摄像头,人脸识别</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接口：2个USB、1个SD卡槽、音频输出</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配置：内置麦克风；支持扩展4G全网通7模模块功能；</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以太网：以太网接口 1个，10M/100M自适应以太网</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整机：支持USB/SD TF（Micro SD）卡扩展存储功能；</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36</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宿管数据大屏</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1.不少于49寸液晶显示屏</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2.分辨率：不低于1920（RGB)×1080(横x竖）</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3.芯片</w:t>
            </w:r>
            <w:r>
              <w:rPr>
                <w:rFonts w:hint="eastAsia" w:ascii="宋体" w:hAnsi="宋体" w:eastAsia="宋体" w:cs="宋体"/>
                <w:color w:val="auto"/>
                <w:sz w:val="18"/>
                <w:szCs w:val="18"/>
                <w:highlight w:val="none"/>
                <w:lang w:val="en-US" w:eastAsia="zh-CN"/>
              </w:rPr>
              <w:t xml:space="preserve">国产ARM平台</w:t>
            </w:r>
            <w:r>
              <w:rPr>
                <w:rFonts w:hint="eastAsia" w:ascii="宋体" w:hAnsi="宋体" w:eastAsia="宋体" w:cs="宋体"/>
                <w:color w:val="auto"/>
                <w:sz w:val="18"/>
                <w:szCs w:val="18"/>
                <w:highlight w:val="none"/>
              </w:rPr>
              <w:t xml:space="preserve">CPU,符合安全可靠测评要求</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color w:val="auto"/>
                <w:sz w:val="18"/>
                <w:szCs w:val="18"/>
                <w:highlight w:val="none"/>
              </w:rPr>
              <w:t xml:space="preserve">四核，主频</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color w:val="auto"/>
                <w:sz w:val="18"/>
                <w:szCs w:val="18"/>
                <w:highlight w:val="none"/>
              </w:rPr>
              <w:t xml:space="preserve">1.8GHz；内存≥1G</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4.幕可视角度：89/89/89/89(Typ.)(CR≥10)(左/右/上/下)</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5.内置存储器 EMMC≥ 8G</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6.内置WIFI；以太网接口 1个，10M/100M自适应以太网   </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7.钢化玻璃面板+铝合金边框+钣金底壳及结构件</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8.背光类型：LED直下式入光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9.驱动方式：HID免驱</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身份识别数据处理服务器</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CPU：国产</w:t>
            </w:r>
            <w:r>
              <w:rPr>
                <w:rFonts w:hint="eastAsia" w:ascii="宋体" w:hAnsi="宋体" w:eastAsia="宋体" w:cs="宋体"/>
                <w:color w:val="auto"/>
                <w:sz w:val="18"/>
                <w:szCs w:val="18"/>
                <w:highlight w:val="none"/>
                <w:lang w:val="en-US" w:eastAsia="zh-CN"/>
              </w:rPr>
              <w:t xml:space="preserve">海光C86平台</w:t>
            </w:r>
            <w:r>
              <w:rPr>
                <w:rFonts w:hint="eastAsia" w:ascii="宋体" w:hAnsi="宋体" w:eastAsia="宋体" w:cs="宋体"/>
                <w:color w:val="auto"/>
                <w:sz w:val="18"/>
                <w:szCs w:val="18"/>
                <w:highlight w:val="none"/>
              </w:rPr>
              <w:t xml:space="preserve">处理器，符合安全可靠测评要求。主频≥3.0GHz、核心≥8个，线程≥16，三级缓存≥16MB；</w:t>
            </w:r>
            <w:r/>
          </w:p>
          <w:p>
            <w:pPr>
              <w:jc w:val="left"/>
              <w:rPr>
                <w:rFonts w:hint="eastAsia" w:ascii="宋体" w:hAnsi="宋体" w:eastAsia="宋体" w:cs="宋体"/>
                <w:color w:val="auto"/>
                <w:sz w:val="18"/>
                <w:szCs w:val="18"/>
                <w:highlight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内存不低于16G，DDR4，支持后续扩容；</w:t>
            </w:r>
            <w:r/>
          </w:p>
          <w:p>
            <w:pPr>
              <w:jc w:val="left"/>
              <w:rPr>
                <w:rFonts w:hint="eastAsia" w:ascii="宋体" w:hAnsi="宋体" w:eastAsia="宋体" w:cs="宋体"/>
                <w:color w:val="auto"/>
                <w:sz w:val="18"/>
                <w:szCs w:val="18"/>
                <w:highlight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硬盘不低于1T固态硬盘；</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有线：千兆以太网RJ45；</w:t>
            </w:r>
            <w:r/>
          </w:p>
          <w:p>
            <w:pPr>
              <w:jc w:val="left"/>
              <w:rPr>
                <w:rFonts w:hint="eastAsia" w:ascii="宋体" w:hAnsi="宋体" w:eastAsia="宋体" w:cs="宋体"/>
                <w:color w:val="auto"/>
                <w:sz w:val="18"/>
                <w:szCs w:val="18"/>
                <w:highlight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视频输出：HDMI + Type‑C（支持4K输出），支持双屏显示；</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USB接口：≥4个（含USB3.0及以上）；</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音频：3.5mm耳麦二合一；</w:t>
            </w:r>
            <w:r/>
          </w:p>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电源：DC直流供电，适配器原配</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视频采集终端</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600万筒型网络摄像机</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采用深度学习硬件及算法，支持区域入侵侦测，越界侦测，进入区域侦测和离开区域侦测，支持人脸抓拍</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最高分辨率可达3200 × 1800 @25 fps，在该分辨率下可输出实时图像</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支持H.265/H.264/MJPEG视频压缩算法，支持多级别视频质量配置、编码复杂度设置</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支持ROI感兴趣区域增强编码，支持Smart265/264编码，可根据场景情况自适应调整码率分配，有效节省存储成本</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支持背光补偿，强光抑制，3D数字降噪，120 dB宽动态，透雾</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采用高效阵列红外灯，使用寿命长，红外照射距离最远可达50 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支持最大256 GB MicroSD/MicroSDHC/MicroSDXC卡本地存储</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支持1路报警输入，1路报警输出（报警输出最大支持AC24/DC24 V，1 A），1路音频输入，1路音频输出</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符合IP67防尘防水设计，可靠性高</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支持电动变焦</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传感器类型：1/1.8" Progressive Scan CMOS</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最低照度：彩色：0.002 Lux @（F1.2，AGC ON），0 Lux with IR</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宽动态：120 dB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焦距&amp;视场角：2.7~12 mm，水平视场角：108.1°~45.6°，垂直视场角：58.4°~25.7°，对角视场角：127.4°~52.2°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补光灯类型：红外灯</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补光距离：最远可达50 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防补光过曝：支持</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红外波长范围：850 nm </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最大图像尺寸：3200 × 1800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视频压缩标准：主码流：H.265/H.264</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子码流：H.265/H.264/MJPEG</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三码流：H.265/H.264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网络：1个RJ45 10 M/100 M自适应以太网口</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音频：1路输入（Line in），最大输入幅值：3.3 Vpp，输入阻抗：4.7 kΩ，接口类型：非平衡</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1路输出（Line out），最大输出幅值：3.3 Vpp，输出阻抗：100 Ω，接口类型：非平衡</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报警：1路输入，1路输出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最大支持AC24/DC24 V，1 A</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复位：支持</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电源输出：DC12 V，100 mA，建议用于拾音器供电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产品尺寸：93.7 × 97.9 × 185.1 mm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启动和工作温湿度：-30 ℃~60 ℃，湿度小于95%（无凝结）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电流及功耗：DC：12 V，1.08 A，最大功耗：13 W</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PoE：802.3at，42.5 V~57 V，0.36 A~0.27 A，最大功耗：15 W</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供电方式：DC：12 V ± 25%，支持防反接保护</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PoE：802.3at，Class 4</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电源接口类型：Ø5.5 mm圆口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恢复出厂设置：支持RESET按键，客户端或浏览器恢复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防护：防水防尘：IP67</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1.交换容量≥256Gbps，包转发率≥30Mpps；</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2.固化10/100/1000M以太网电口≥8，100/1000M SFP千兆光接口≥2个；</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3.要求所投产品支持POE和POE+远程供电，POE供电功率为125W；</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4.产品面板自带一键查看PoE供电状态功能的PoE按钮，轻按即可查看设备当前的通信状态和供电状态；</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5.工作温度-5°-55°；</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6.要求所投产品端口浪涌抗扰度≥8KV（即具备8KV的防雷能力）；</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7.支持专门针对CPU的保护机制，能够针对发往CPU处理的各种报文进行流区分和优先级队列分级处理，保护交换机在各种环境下稳定工作；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8.支持RLDP，可快速检测链路的通断和光纤链路的单向性，并支持端口下的环路检测功能。</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汇聚交换机</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1.交换容量≥598G，包转发率≥222Mpps；</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2.固化100/1000M以太网SFP光端口≥28，复用千兆电口≥8个，固化10G/1G SFP+光接口≥4个；</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4.要求所投设备MAC地址≥32K；</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5.支持RIP，OSPF，BGP，RIPng，OSPFv3，BGP4+；</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6.支持IGMP v1/v2/v3，IGMP v1/v2/v3 Snooping，支持PIM-DM，PIM-SM，PIM-SSM，PIM for IPv6； </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7.支持可拔插双模块化电源，支持电源1+1冗余；</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8.支持基础网络保护策略，限制用户向网络中发送ARP报文、ICMP请求报文、DHCP请求报文的数率，对超过限速阈值的报文进行丢弃处理，能够识别攻击行为，对有攻击行为的用户进行隔离；</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9.支持快速链路检测协议RLDP，可快速检测链路的通断和光纤链路的单向性，并支持端口下的环路检测功能，防止端口下因私接Hub等设备形成的环路而导致网络故障的现象；</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10.设备自带云管理功能，即插即用，可随时查看网络健康度，告警及时推送，有日记事件供回溯。</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千兆光模块</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1000BASE-LX mini GBIC转换模块（1310nm），10km，单模；</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个</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电源线</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RVV2*1.5</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3000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米</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网线</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六类网线，采用规格23AWG的单芯裸铜为导体，聚乙烯类高分子材料为绝缘体，外皮材料采用阻燃型高分子材料，颜色为灰色;双绞线符合国际规范（ISO/IEC）的要求，电气特性超过六类（Cat.6）</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箱</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线管</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PVC</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1000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米</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水晶头</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CAT6水晶头，符合国家标准</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袋</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弱电箱</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600*500*600</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个</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辅材</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含插座、胶带、空开等全部辅材</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安装调试</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安装、调试，布线、人工</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桌面播音话筒1</w:t>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本柱极式电容麦克风。</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心形指向特性</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能够抑制来自后部的不希望接收的声波。</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指标参数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转换器原理：电容器、16mm薄膜(0.63")</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声学工作方式：压差接收器</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方向特性：心型</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接口 镀金：平衡式XLR接口</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★灵敏度（1kHz时）：-29 dBV(0 dBV=0.775V/Pa)</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频率响应 ：30Hz 20 kHz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衰减 ：-10 dB (-12dB Butwrth)</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极限声压值(1% THD@1 kHz)：130 dB(0 dB), 140 dB(-10 dB)</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等效声压值(按照IEC 651)：19 dB-A</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信噪比：78 dB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★额定阻抗：680Ω</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额定终端阻抗：&gt;1 kΩ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供电： +48伏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电流消耗：3mA</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尺寸 外壳：直径22毫米，长度：148毫米</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重量：205g</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个</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支架</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标配底座</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个</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桌面播音话筒2</w:t>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本柱极式电容麦克风。</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心形指向特性</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能够抑制来自后部的不希望接收的声波。</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指标参数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转换器原理：电容器、16mm薄膜(0.63")</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声学工作方式：压差接收器</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方向特性：心型</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接口 镀金：平衡式XLR接口</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★灵敏度（1kHz时）：-29 dBV(0 dBV=0.775V/Pa)</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频率响应 ：30Hz 20 kHz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衰减 ：-10 dB (-12dB Butwrth)</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极限声压值(1% THD@1 kHz)：130 dB(0 dB), 140 dB(-10 dB)</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等效声压值(按照IEC 651)：19 dB-A</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信噪比：78 dB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★额定阻抗：680Ω</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额定终端阻抗：&gt;1 kΩ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供电： +48伏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电流消耗：3mA</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尺寸 外壳：直径22毫米，长度：148毫米</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重量：205g</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个</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领夹无线话筒</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★1.真分集系列无线演出系统，一键全频雷达扫描，按下扫描键，数秒内即可完成全频段扫描，并设定匹配完成对应的话筒。</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2.全频段避干扰技术，可容纳多达40只无线发射机同时工作</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3.支持演出环境下不低于200米的使用安全距离（空旷环境最高使用距离约500米）</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4.高强度抗啸叫系统,采用信号叠加双分集技术，四路天线系统</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5.超大字符显示，高对比度，高亮度，屏幕背光双色显示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6.智能一键无缝切换腰包/手持/会议话筒功能，从此解放复杂对频过程</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★7.双色的显示屏幕，当失去无线信号连接时，主机屏幕显示橙色背光，一旦建立连接，屏幕显示蓝白背光。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8.超大的字符显示，可以迅速观察屏幕信息，手柄的电池电量在主机上的显示格外引人注意。</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9.配备了强大的一键雷达扫描功能，点击面板上的SET键后，屏幕立即进入全频雷达搜索状态，只需几秒就设定好了一个可以使用的干净频率，并与话筒取得匹配。完全不再担心无线干扰的问题，多台叠机无串频现象。</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接收机规格</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频率范围：(641-690.8MHz);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信道数：100+100个信道；</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振荡方式：锁相环（PLL）频率合成；</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接收方式：一次变频超内差，二次变频超外差；</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接收灵敏度：-99~-69dBm；</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音频频响：40~18000Hz;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失真度：≤0.5%;</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信噪比：≥110dB；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音频输出：(XLR)卡侬座独立平衡输出和Φ6.35插座混合不平衡输出；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电</w:t>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源规格：100V~240V/50~60Hz；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消耗功率：≤8W；</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麦克风规格</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频率范围：(641-690.8MHz);</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信道数：100+100个信道；</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调制方式：FM调频；</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频率精度：+-10ppm;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辐射功率：≤10dBm;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音频频响：40~18000Hz;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失真度：≤0.5%;</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电池规格：2×1.5V AA Size ；</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个</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数字调音台</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产品参数</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适配信创操作系统，无惧病毒，运行更安全稳定</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★12路MIC/Line输入，1组立体声输入,1路数字输入：光纤/声卡，MP3</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输入通道声像调节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MIC输入增益调节（数字增益参与存储）</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+48V幻象电源（MIC通道均可独立打开关闭）</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内置噪声门，压限器，高低通，5段参量EQ均衡，延时，输通道声像平衡调节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通道参数快速拷贝功能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输入输出EQ  ON/OFF</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多功能旋钮</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各通道均设有多功能菜单，哑音和监听</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★通道均设有⾏程100MM电动推杆，两个推子层， 13个ALPS电动推子</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★10路信号输出（主输出L,R,4路AUX输出,2路编组输出,1路监听输出）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AUX输出（推子前/后）</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输出处理:高低通滤波，12段参量EQ均衡，压缩器，延时，相位</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立体声数字录音功能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用户可自定义层，输出混合编辑功能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双排3色12段电平指示灯</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双USB接口，内置声卡（MP3、PC直接播放录音）</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4个快捷场景调用模式，20个场景存储调用，支持U盘导入导出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用户参数的存储与调取（可在pc端管理）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内置两路双DSP数字效果器，预设40种效果模式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FX脚踏开关接口</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光纤输入/输出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 开放232中控控制协议</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多操作系统操控软件</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 支持有线网口调节（或外接路由器无线调节）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★5寸800*480高清触摸显示屏，中英文操作界面</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个</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有源音箱</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频率响应 20Hz-20KHz(+-3dB)</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灵敏度 91dB±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★输出功率 70W可带一只或多只副箱</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总谐波失真 ≤0.5%</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信噪比 ≥90dB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★信号输入:平衡式输入x1、平衡式输出x1、有线话筒输入x2</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功能面板 独立话筒音量调节、独立混响调节、独立高低音调节、独立音乐音量调节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电源电压 180V~240V</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工作温度 -35℃~60℃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★喇叭 6.5寸低音，3寸高音</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尺寸 主/副箱体 220*200/140*350MM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喇叭：6.5寸低音，3寸高音单元；优异的中高频音效。</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提词器</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numPr>
                <w:ilvl w:val="0"/>
                <w:numId w:val="0"/>
              </w:numPr>
              <w:jc w:val="left"/>
              <w:rPr>
                <w:rFonts w:hint="eastAsia" w:ascii="宋体" w:hAnsi="宋体" w:eastAsia="宋体" w:cs="宋体"/>
                <w:color w:val="auto"/>
                <w:sz w:val="18"/>
                <w:szCs w:val="18"/>
                <w:highlight w:val="none"/>
              </w:rPr>
            </w:pPr>
            <w:r>
              <w:rPr>
                <w:rFonts w:hint="eastAsia" w:ascii="宋体" w:hAnsi="宋体" w:eastAsia="宋体" w:cs="宋体"/>
                <w:sz w:val="18"/>
                <w:szCs w:val="18"/>
              </w:rPr>
              <w:t xml:space="preserve">★</w:t>
            </w:r>
            <w:r>
              <w:rPr>
                <w:rFonts w:hint="eastAsia" w:ascii="宋体" w:hAnsi="宋体" w:eastAsia="宋体" w:cs="宋体"/>
                <w:color w:val="auto"/>
                <w:sz w:val="18"/>
                <w:szCs w:val="18"/>
                <w:lang w:val="en-US" w:eastAsia="zh-CN" w:bidi="ar-SA"/>
              </w:rPr>
              <w:t xml:space="preserve">1.</w:t>
            </w:r>
            <w:r>
              <w:rPr>
                <w:rFonts w:hint="eastAsia" w:ascii="宋体" w:hAnsi="宋体" w:eastAsia="宋体" w:cs="宋体"/>
                <w:color w:val="auto"/>
                <w:sz w:val="18"/>
                <w:szCs w:val="18"/>
                <w:highlight w:val="none"/>
              </w:rPr>
              <w:t xml:space="preserve">系统要求字色、底色256色任意搭配,  男女播音员可分别选择不同的背景色和字色方便男女播音员选择自己的播音词,字体和字的大小任意选择 ，可选多种角色,  以区分男角女角或更多播音角色。</w:t>
            </w:r>
            <w:r/>
          </w:p>
          <w:p>
            <w:pPr>
              <w:numPr>
                <w:ilvl w:val="0"/>
                <w:numId w:val="0"/>
              </w:num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i w:val="0"/>
                <w:iCs w:val="0"/>
                <w:color w:val="auto"/>
                <w:sz w:val="18"/>
                <w:szCs w:val="18"/>
                <w:lang w:val="en-US" w:eastAsia="zh-CN" w:bidi="ar-SA"/>
              </w:rPr>
              <w:t xml:space="preserve">2.</w:t>
            </w:r>
            <w:r>
              <w:rPr>
                <w:rFonts w:hint="eastAsia" w:ascii="宋体" w:hAnsi="宋体" w:eastAsia="宋体" w:cs="宋体"/>
                <w:color w:val="auto"/>
                <w:sz w:val="18"/>
                <w:szCs w:val="18"/>
                <w:highlight w:val="none"/>
              </w:rPr>
              <w:t xml:space="preserve">文稿录入、编辑方便 ，操作简单 ， 自动完成排版,支持txt、rtf、word等格式文本 ，并支持直接打开图片 ，word ，PPT,  视频等文件。</w:t>
            </w:r>
            <w:r/>
          </w:p>
          <w:p>
            <w:pPr>
              <w:numPr>
                <w:ilvl w:val="0"/>
                <w:numId w:val="0"/>
              </w:num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lang w:val="en-US" w:eastAsia="zh-CN" w:bidi="ar-SA"/>
              </w:rPr>
              <w:t xml:space="preserve">3.</w:t>
            </w:r>
            <w:r>
              <w:rPr>
                <w:rFonts w:hint="eastAsia" w:ascii="宋体" w:hAnsi="宋体" w:eastAsia="宋体" w:cs="宋体"/>
                <w:color w:val="auto"/>
                <w:sz w:val="18"/>
                <w:szCs w:val="18"/>
                <w:highlight w:val="none"/>
              </w:rPr>
              <w:t xml:space="preserve">分别采用监视器和高分辨率的彩显，清晰度高 ，字迹清晰。</w:t>
            </w:r>
            <w:r/>
          </w:p>
          <w:p>
            <w:pPr>
              <w:numPr>
                <w:ilvl w:val="0"/>
                <w:numId w:val="0"/>
              </w:num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lang w:val="en-US" w:eastAsia="zh-CN" w:bidi="ar-SA"/>
              </w:rPr>
              <w:t xml:space="preserve">4.</w:t>
            </w:r>
            <w:r>
              <w:rPr>
                <w:rFonts w:hint="eastAsia" w:ascii="宋体" w:hAnsi="宋体" w:eastAsia="宋体" w:cs="宋体"/>
                <w:color w:val="auto"/>
                <w:sz w:val="18"/>
                <w:szCs w:val="18"/>
                <w:highlight w:val="none"/>
              </w:rPr>
              <w:t xml:space="preserve">软件支持汉、藏、蒙、傣、维、朝鲜等少数民族语言 。而且还支持国外的一些语言英、日、韩、德、俄、法、阿拉伯文等国家语言。</w:t>
            </w:r>
            <w:r/>
          </w:p>
          <w:p>
            <w:pPr>
              <w:numPr>
                <w:ilvl w:val="0"/>
                <w:numId w:val="0"/>
              </w:num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i w:val="0"/>
                <w:iCs w:val="0"/>
                <w:color w:val="auto"/>
                <w:sz w:val="18"/>
                <w:szCs w:val="18"/>
                <w:lang w:val="en-US" w:eastAsia="zh-CN" w:bidi="ar-SA"/>
              </w:rPr>
              <w:t xml:space="preserve">5.</w:t>
            </w:r>
            <w:r>
              <w:rPr>
                <w:rFonts w:hint="eastAsia" w:ascii="宋体" w:hAnsi="宋体" w:eastAsia="宋体" w:cs="宋体"/>
                <w:color w:val="auto"/>
                <w:sz w:val="18"/>
                <w:szCs w:val="18"/>
                <w:highlight w:val="none"/>
              </w:rPr>
              <w:t xml:space="preserve">系统自动记录演播稿 ，当发生异常停电事故后再加电时自动寻找并且打开演播稿 ，并保证演播稿的完整性。</w:t>
            </w:r>
            <w:r/>
          </w:p>
          <w:p>
            <w:pPr>
              <w:numPr>
                <w:ilvl w:val="0"/>
                <w:numId w:val="0"/>
              </w:num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lang w:val="en-US" w:eastAsia="zh-CN" w:bidi="ar-SA"/>
              </w:rPr>
              <w:t xml:space="preserve">6.</w:t>
            </w:r>
            <w:r>
              <w:rPr>
                <w:rFonts w:hint="eastAsia" w:ascii="宋体" w:hAnsi="宋体" w:eastAsia="宋体" w:cs="宋体"/>
                <w:color w:val="auto"/>
                <w:sz w:val="18"/>
                <w:szCs w:val="18"/>
                <w:highlight w:val="none"/>
              </w:rPr>
              <w:t xml:space="preserve">相对滚动时间、当前时间可同屏显示,  任意设置大小、颜色 ，一目了然 ，更易把握节奏；重点语句可通过颜色标明。</w:t>
            </w:r>
            <w:r/>
          </w:p>
          <w:p>
            <w:pPr>
              <w:numPr>
                <w:ilvl w:val="0"/>
                <w:numId w:val="0"/>
              </w:num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i w:val="0"/>
                <w:iCs w:val="0"/>
                <w:color w:val="auto"/>
                <w:sz w:val="18"/>
                <w:szCs w:val="18"/>
                <w:lang w:val="en-US" w:eastAsia="zh-CN" w:bidi="ar-SA"/>
              </w:rPr>
              <w:t xml:space="preserve">7.</w:t>
            </w:r>
            <w:r>
              <w:rPr>
                <w:rFonts w:hint="eastAsia" w:ascii="宋体" w:hAnsi="宋体" w:eastAsia="宋体" w:cs="宋体"/>
                <w:color w:val="auto"/>
                <w:sz w:val="18"/>
                <w:szCs w:val="18"/>
                <w:highlight w:val="none"/>
              </w:rPr>
              <w:t xml:space="preserve">控制方式灵活多样 ，键盘、  鼠标、控制手柄均可 ，字幕速度变化范围可随意调节 ，前后跳段翻页方便自如 ；播音稿的行进速度可由播音员自己通过手柄控制 ，可单、双人控制 ，方便自如。</w:t>
            </w:r>
            <w:r/>
          </w:p>
          <w:p>
            <w:pPr>
              <w:numPr>
                <w:ilvl w:val="0"/>
                <w:numId w:val="0"/>
              </w:num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lang w:val="en-US" w:eastAsia="zh-CN" w:bidi="ar-SA"/>
              </w:rPr>
              <w:t xml:space="preserve">8.</w:t>
            </w:r>
            <w:r>
              <w:rPr>
                <w:rFonts w:hint="eastAsia" w:ascii="宋体" w:hAnsi="宋体" w:eastAsia="宋体" w:cs="宋体"/>
                <w:color w:val="auto"/>
                <w:sz w:val="18"/>
                <w:szCs w:val="18"/>
                <w:highlight w:val="none"/>
              </w:rPr>
              <w:t xml:space="preserve">提词器电脑配置：配置不低于/4G/512G</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播控主机</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numPr>
                <w:ilvl w:val="0"/>
                <w:numId w:val="0"/>
              </w:numPr>
              <w:jc w:val="left"/>
              <w:rPr>
                <w:rFonts w:hint="eastAsia" w:ascii="宋体" w:hAnsi="宋体" w:eastAsia="宋体" w:cs="宋体"/>
                <w:color w:val="auto"/>
                <w:sz w:val="18"/>
                <w:szCs w:val="18"/>
                <w:highlight w:val="none"/>
              </w:rPr>
            </w:pPr>
            <w:r>
              <w:rPr>
                <w:rFonts w:hint="eastAsia" w:ascii="宋体" w:hAnsi="宋体" w:eastAsia="宋体" w:cs="宋体"/>
                <w:sz w:val="18"/>
                <w:szCs w:val="18"/>
              </w:rPr>
              <w:t xml:space="preserve">★</w:t>
            </w:r>
            <w:r>
              <w:rPr>
                <w:rFonts w:hint="eastAsia" w:ascii="宋体" w:hAnsi="宋体" w:eastAsia="宋体" w:cs="宋体"/>
                <w:color w:val="auto"/>
                <w:sz w:val="18"/>
                <w:szCs w:val="18"/>
                <w:lang w:val="en-US" w:eastAsia="zh-CN" w:bidi="ar-SA"/>
              </w:rPr>
              <w:t xml:space="preserve">1.</w:t>
            </w:r>
            <w:r>
              <w:rPr>
                <w:rFonts w:hint="eastAsia" w:ascii="宋体" w:hAnsi="宋体" w:eastAsia="宋体" w:cs="宋体"/>
                <w:color w:val="auto"/>
                <w:sz w:val="18"/>
                <w:szCs w:val="18"/>
                <w:highlight w:val="none"/>
              </w:rPr>
              <w:t xml:space="preserve">支持在互联网络环境下，通过各类操作系统终端进行远程直播。可执行直播任务调度、以及对已完成对接设备进关机与重启操作。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2.具备灵活的身份与权限管理体系，支持创建多级用户账户并分配不同角色。超级管理员具备最高权限，可创建并定义下级管理员及普通用户的角色及其可操作的功能范围。</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3.具备终端设备自动发现与注册能力。管理员可对终端进行自定义命名、添加标签及归类分组，相关修改可远程实时生效。离线终端重新上线后将自动同步更新后的信息。</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4.能够实时监测终端在线状态、识别其操作系统、MAC地址与IP地址。提供按离线状态筛选、整页批量移除、一键导出终端信息报表并下载等功能，便于运维人员高效管理与故障排查。</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5.支持创建独立播放频道，每个频道可配置不同的节目源。支持向所有终端、指定分组或单个终端定向推送频道内容。</w:t>
            </w:r>
            <w:r/>
          </w:p>
          <w:p>
            <w:pPr>
              <w:numPr>
                <w:ilvl w:val="0"/>
                <w:numId w:val="0"/>
              </w:num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lang w:val="en-US" w:eastAsia="zh-CN" w:bidi="ar-SA"/>
              </w:rPr>
              <w:t xml:space="preserve">6.</w:t>
            </w:r>
            <w:r>
              <w:rPr>
                <w:rFonts w:hint="eastAsia" w:ascii="宋体" w:hAnsi="宋体" w:eastAsia="宋体" w:cs="宋体"/>
                <w:sz w:val="18"/>
                <w:szCs w:val="18"/>
              </w:rPr>
              <w:t xml:space="preserve">频道输入源兼容性广泛，支持RTMP、RTSP、HTTP等流媒体协议，以及MP4、AVI、MKV、TS、FLV等封装格式的本地媒体文件。</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lang w:val="en-US" w:eastAsia="zh-CN"/>
              </w:rPr>
              <w:t xml:space="preserve">7</w:t>
            </w:r>
            <w:r>
              <w:rPr>
                <w:rFonts w:hint="eastAsia" w:ascii="宋体" w:hAnsi="宋体" w:eastAsia="宋体" w:cs="宋体"/>
                <w:color w:val="auto"/>
                <w:sz w:val="18"/>
                <w:szCs w:val="18"/>
                <w:highlight w:val="none"/>
              </w:rPr>
              <w:t xml:space="preserve">.提供实时、单次定时、循环定时等多种内容推送模式。每种模式可配置为“主动请求”或“强制推送”策略，默认采用后者。当频道以强制模式推送且目标终端在线时，将自动开始播放。</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rPr>
              <w:t xml:space="preserve">.内置RTMP流媒体服务，允许授权的第三方移动采集设备向指定频道推送实时流。</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lang w:val="en-US" w:eastAsia="zh-CN"/>
              </w:rPr>
              <w:t xml:space="preserve">9</w:t>
            </w:r>
            <w:r>
              <w:rPr>
                <w:rFonts w:hint="eastAsia" w:ascii="宋体" w:hAnsi="宋体" w:eastAsia="宋体" w:cs="宋体"/>
                <w:color w:val="auto"/>
                <w:sz w:val="18"/>
                <w:szCs w:val="18"/>
                <w:highlight w:val="none"/>
              </w:rPr>
              <w:t xml:space="preserve">.支持同时以SRT、RTSP、HTTP-FLV等多种协议输出媒体流。</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.提供一键清理功能，可快速识别并删除无有效媒体文件关联的频道。</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.支持屏幕字幕叠加功能，默认启用。可将机构标识等文字信息叠加到直播画面上，并随频道内容统一分发至各播放终端。</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.允许预添加离线或新增终端为接收设备。这些终端在首次开机或网络中断恢复后，将自动检测并执行预设的直播推送任务。</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.提供基于Web的媒体库管理功能，支持目录创建与删除、文件上传、文件列表查看及文件删除操作。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.支持终端客户端程序的在线自动更新，以及由管理员手动发起的一键批量升级。</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.支持通过Web管理界面在线升级服务器端应用程序。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.允许远程修改终端的设备ID、名称及标签，修改结果将在终端联网后自动同步生效。</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7</w:t>
            </w:r>
            <w:r>
              <w:rPr>
                <w:rFonts w:hint="eastAsia" w:ascii="宋体" w:hAnsi="宋体" w:eastAsia="宋体" w:cs="宋体"/>
                <w:color w:val="auto"/>
                <w:sz w:val="18"/>
                <w:szCs w:val="18"/>
                <w:highlight w:val="none"/>
              </w:rPr>
              <w:t xml:space="preserve">.具备应用界面锁定功能，启用后再次进入需验证密码，防止未经授权修改配置或退出播放。</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rPr>
              <w:t xml:space="preserve">.可实时监测并显示当前播放节目的名称、发布时间、视频分辨率、帧率、码率及OSD状态等信息。</w:t>
            </w:r>
            <w:r/>
          </w:p>
          <w:p>
            <w:pPr>
              <w:numPr>
                <w:ilvl w:val="0"/>
                <w:numId w:val="0"/>
              </w:num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19.网络监测要求：具有实时网络吞吐量监测功能，并能通过web页面可视化显示输出。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lang w:val="en-US" w:eastAsia="zh-CN"/>
              </w:rPr>
              <w:t xml:space="preserve">20</w:t>
            </w:r>
            <w:r>
              <w:rPr>
                <w:rFonts w:hint="eastAsia" w:ascii="宋体" w:hAnsi="宋体" w:eastAsia="宋体" w:cs="宋体"/>
                <w:color w:val="auto"/>
                <w:sz w:val="18"/>
                <w:szCs w:val="18"/>
                <w:highlight w:val="none"/>
              </w:rPr>
              <w:t xml:space="preserve">.默认以自适应方式全屏播放，当终端显示器不支持输入源分辨率时，自动缩放至显示器最佳分辨率。</w:t>
            </w:r>
            <w:r/>
          </w:p>
          <w:p>
            <w:pPr>
              <w:numPr>
                <w:ilvl w:val="0"/>
                <w:numId w:val="0"/>
              </w:numPr>
              <w:jc w:val="left"/>
              <w:widowControl w:val="off"/>
              <w:rPr>
                <w:rFonts w:hint="eastAsia" w:ascii="宋体" w:hAnsi="宋体" w:eastAsia="宋体" w:cs="宋体"/>
                <w:color w:val="auto"/>
                <w:sz w:val="18"/>
                <w:szCs w:val="18"/>
                <w:highlight w:val="none"/>
              </w:rPr>
            </w:pPr>
            <w:r>
              <w:rPr>
                <w:rFonts w:hint="eastAsia" w:ascii="宋体" w:hAnsi="宋体" w:eastAsia="宋体" w:cs="宋体"/>
                <w:sz w:val="18"/>
                <w:szCs w:val="18"/>
              </w:rPr>
              <w:t xml:space="preserve">2</w:t>
            </w:r>
            <w:r>
              <w:rPr>
                <w:rFonts w:hint="eastAsia" w:ascii="宋体" w:hAnsi="宋体" w:eastAsia="宋体" w:cs="宋体"/>
                <w:sz w:val="18"/>
                <w:szCs w:val="18"/>
                <w:lang w:val="en-US" w:eastAsia="zh-CN"/>
              </w:rPr>
              <w:t xml:space="preserve">1</w:t>
            </w:r>
            <w:r>
              <w:rPr>
                <w:rFonts w:hint="eastAsia" w:ascii="宋体" w:hAnsi="宋体" w:eastAsia="宋体" w:cs="宋体"/>
                <w:sz w:val="18"/>
                <w:szCs w:val="18"/>
              </w:rPr>
              <w:t xml:space="preserve">.本系统提供基于WEB的实时可视化监控功能，可动态展示处理器负载及内存使用情况;同时集成可视化磁盘管理模块，支持通过WEB界面直观查看ROM及媒体存储磁盘的总容量、已用空间和剩余空间，便于资源管理与维护。</w:t>
            </w:r>
            <w:r>
              <w:rPr>
                <w:rFonts w:hint="eastAsia" w:ascii="宋体" w:hAnsi="宋体" w:eastAsia="宋体" w:cs="宋体"/>
                <w:sz w:val="18"/>
                <w:szCs w:val="18"/>
              </w:rPr>
              <w:br/>
            </w:r>
            <w:r>
              <w:rPr>
                <w:rFonts w:hint="eastAsia" w:ascii="宋体" w:hAnsi="宋体" w:eastAsia="宋体" w:cs="宋体"/>
                <w:sz w:val="18"/>
                <w:szCs w:val="18"/>
              </w:rPr>
              <w:t xml:space="preserve">2</w:t>
            </w:r>
            <w:r>
              <w:rPr>
                <w:rFonts w:hint="eastAsia" w:ascii="宋体" w:hAnsi="宋体" w:eastAsia="宋体" w:cs="宋体"/>
                <w:sz w:val="18"/>
                <w:szCs w:val="18"/>
                <w:lang w:val="en-US" w:eastAsia="zh-CN"/>
              </w:rPr>
              <w:t xml:space="preserve">2</w:t>
            </w:r>
            <w:r>
              <w:rPr>
                <w:rFonts w:hint="eastAsia" w:ascii="宋体" w:hAnsi="宋体" w:eastAsia="宋体" w:cs="宋体"/>
                <w:sz w:val="18"/>
                <w:szCs w:val="18"/>
              </w:rPr>
              <w:t xml:space="preserve">.本系统终端支持H.265编码格式的4K超高清视频流解码播放，最高可支持60FPS帧率，并实时显示当前接入的终端数量，便于监控与管理。</w:t>
            </w:r>
            <w:r/>
          </w:p>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★1.终端系统支持：统信、麒麟、鸿蒙</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★2.处理器：国产</w:t>
            </w:r>
            <w:r>
              <w:rPr>
                <w:rFonts w:hint="eastAsia" w:ascii="宋体" w:hAnsi="宋体" w:eastAsia="宋体" w:cs="宋体"/>
                <w:color w:val="auto"/>
                <w:sz w:val="18"/>
                <w:szCs w:val="18"/>
                <w:highlight w:val="none"/>
                <w:lang w:val="en-US" w:eastAsia="zh-CN"/>
              </w:rPr>
              <w:t xml:space="preserve">ARM平台</w:t>
            </w:r>
            <w:r>
              <w:rPr>
                <w:rFonts w:hint="eastAsia" w:ascii="宋体" w:hAnsi="宋体" w:eastAsia="宋体" w:cs="宋体"/>
                <w:color w:val="auto"/>
                <w:sz w:val="18"/>
                <w:szCs w:val="18"/>
                <w:highlight w:val="none"/>
              </w:rPr>
              <w:t xml:space="preserve">处理器，符合安全可靠测评要求</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不低于8核8线程，主频≥1.8GHz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★3.内存：8GB 运行内存。</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★4.存储：64GB 固态硬盘，2TB 机械硬盘。</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5.网络接口：10/100/1000Mbps自适应全双工RJ45以太网口。</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6.USB接口：USB 3.0接口，USB 2.0接口。</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7.音频接口：音频输出接口，麦克风输入接口。</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8.视频接口：HDMI接口，VGA接口。</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9.控制接口：串行通讯接口。</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10.音频编码支持：AAC、G711。</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11.输入流协议：RTMP、RTSP、HTTP、FLV、HLS、TCP-TS、UDP-TS。</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12.输出流协议：RSAP、RTMP、RTSP、TCP-TS、UDP-TS。</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13.媒体封装格式：MP4、AVI、MKV、TS、FLV。</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14.分辨率支持：最高支持4K内容的输入与输出，并向下兼容各类常见分辨率。</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15.电源输入：AC 100-240V 宽幅电压。</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16.工作温度：-10°C 至 60°C。</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17.工作湿度：相对湿度0%至95%。</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18.外形尺寸：430毫米 × 250毫米 × 44.5毫米。</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19.整机重量：约4千克。</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20.典型功耗：约50瓦。</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自助借还书机</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软件功能：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1.自助借还书机是一款集成了RFID读写模块、读者证模块、人脸识别摄像头以及二维码模块的一体化设备。</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2.系统可以通过中间件应用服务器系统与图书馆的图书管理系统进行对接，协调工作。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★3.含人脸识别功能，读者采集人脸数据后，可通过设备上的摄像头进行人脸身份识别，从而实现人脸识别进行借书操作。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4.在操作界面需显示当前的日期时间，以便于读者在操作时可直观的都看到时间日期。</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5.通过设备内的RFID模块，可同时识别6本以上图书，实现多本书同时操作（借出或归还）。</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★6.设备带有上电自启功能，在断电或停电后，再次通电，设备可自动开机。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7.系统提供触摸屏的人机交流界面，保证输入信号可靠性及使用寿命。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8.设备上具有操作流程指引，给读者呈现直观的操作流程，方便读者快速上手。</w:t>
            </w:r>
            <w:r/>
          </w:p>
          <w:p>
            <w:pPr>
              <w:numPr>
                <w:ilvl w:val="0"/>
                <w:numId w:val="0"/>
              </w:num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lang w:val="en-US" w:eastAsia="zh-CN" w:bidi="ar-SA"/>
              </w:rPr>
              <w:t xml:space="preserve">9.</w:t>
            </w:r>
            <w:r>
              <w:rPr>
                <w:rFonts w:hint="eastAsia" w:ascii="宋体" w:hAnsi="宋体" w:eastAsia="宋体" w:cs="宋体"/>
                <w:color w:val="auto"/>
                <w:sz w:val="18"/>
                <w:szCs w:val="18"/>
              </w:rPr>
              <w:t xml:space="preserve">集成二维码扫描枪，具有二维码身份识别功能。可通过设备上的二维码模块，识别图书条码、读者二维码、条码借阅卡等，通过对与读者身份信息绑定的二维码扫描，读者可以进入图书自助借还界面进行借还书操作</w:t>
            </w:r>
            <w:r>
              <w:rPr>
                <w:rFonts w:hint="eastAsia" w:ascii="宋体" w:hAnsi="宋体" w:eastAsia="宋体" w:cs="宋体"/>
                <w:color w:val="auto"/>
                <w:sz w:val="18"/>
                <w:szCs w:val="18"/>
                <w:lang w:eastAsia="zh-CN"/>
              </w:rPr>
              <w:t xml:space="preserve">。</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.自助借还系统具有读者自助操作的语音提醒功能。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.系统后台可设置是否启用读者密码，启用后，读者借书时需输入密码，防止读者证被盗用的情况。</w:t>
            </w:r>
            <w:r/>
          </w:p>
          <w:p>
            <w:pPr>
              <w:numPr>
                <w:ilvl w:val="0"/>
                <w:numId w:val="0"/>
              </w:numPr>
              <w:jc w:val="left"/>
              <w:rPr>
                <w:rFonts w:hint="eastAsia" w:ascii="宋体" w:hAnsi="宋体" w:eastAsia="宋体" w:cs="宋体"/>
                <w:color w:val="auto"/>
                <w:sz w:val="18"/>
                <w:szCs w:val="18"/>
                <w:highlight w:val="none"/>
              </w:rPr>
            </w:pPr>
            <w:r>
              <w:rPr>
                <w:rFonts w:hint="eastAsia" w:ascii="宋体" w:hAnsi="宋体" w:eastAsia="宋体" w:cs="宋体"/>
                <w:i w:val="0"/>
                <w:iCs w:val="0"/>
                <w:color w:val="auto"/>
                <w:sz w:val="18"/>
                <w:szCs w:val="18"/>
                <w:lang w:val="en-US" w:eastAsia="zh-CN" w:bidi="ar-SA"/>
              </w:rPr>
              <w:t xml:space="preserve">12.</w:t>
            </w:r>
            <w:r>
              <w:rPr>
                <w:rFonts w:hint="eastAsia" w:ascii="宋体" w:hAnsi="宋体" w:eastAsia="宋体" w:cs="宋体"/>
                <w:color w:val="auto"/>
                <w:sz w:val="18"/>
                <w:szCs w:val="18"/>
              </w:rPr>
              <w:t xml:space="preserve">系统提供可选择的功能模块，可根据客户需求启用对应的模块，比如可设定为仅有借书和还书的功能。</w:t>
            </w:r>
            <w:r>
              <w:rPr>
                <w:rFonts w:hint="eastAsia" w:ascii="宋体" w:hAnsi="宋体" w:eastAsia="宋体" w:cs="宋体"/>
                <w:color w:val="auto"/>
                <w:sz w:val="18"/>
                <w:szCs w:val="18"/>
                <w:lang w:val="en-US" w:eastAsia="zh-CN"/>
              </w:rPr>
              <w:t xml:space="preserve">图书馆可自定义设置借阅须知，后台勾选借阅须知后，读者在借书时界面会显示借阅须知。</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.具备安全设计，防止借阅过程中偷换、抽换书籍或一书登录多书借出的功能。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.支持开启办证和OPAC查询功能，开启后在首页界面显示有借书、还书、查询、续借、办证、OPAC六个功能模块。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.系统可设置成扫描图书条码的方式识别图书，实现扫图书条码进行借还操作。</w:t>
            </w:r>
            <w:r/>
          </w:p>
          <w:p>
            <w:pPr>
              <w:numPr>
                <w:ilvl w:val="0"/>
                <w:numId w:val="0"/>
              </w:num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.自助借还系统界面具有图片轮播展示区域，可自定义更换展示图片，便于学校进行校园风采宣传和展示。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7</w:t>
            </w:r>
            <w:r>
              <w:rPr>
                <w:rFonts w:hint="eastAsia" w:ascii="宋体" w:hAnsi="宋体" w:eastAsia="宋体" w:cs="宋体"/>
                <w:color w:val="auto"/>
                <w:sz w:val="18"/>
                <w:szCs w:val="18"/>
                <w:highlight w:val="none"/>
              </w:rPr>
              <w:t xml:space="preserve">.系统具有空闲播放广告功能，可自行添加空闲时间播放的宣传图片等，设备空闲时可自动播放。</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rPr>
              <w:t xml:space="preserve">.设备支持离线人脸识别功能，可本地部署离线人脸识别库，无需连接外网实现人脸识别借书操作。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lang w:val="en-US" w:eastAsia="zh-CN"/>
              </w:rPr>
              <w:t xml:space="preserve">19</w:t>
            </w:r>
            <w:r>
              <w:rPr>
                <w:rFonts w:hint="eastAsia" w:ascii="宋体" w:hAnsi="宋体" w:eastAsia="宋体" w:cs="宋体"/>
                <w:color w:val="auto"/>
                <w:sz w:val="18"/>
                <w:szCs w:val="18"/>
                <w:highlight w:val="none"/>
              </w:rPr>
              <w:t xml:space="preserve">.系统支持无卡借阅操作，可在后台设置账号借书，设置后读者可在软键盘输入读者卡号进行借书、续借、查询操作。</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lang w:val="en-US" w:eastAsia="zh-CN"/>
              </w:rPr>
              <w:t xml:space="preserve">20</w:t>
            </w:r>
            <w:r>
              <w:rPr>
                <w:rFonts w:hint="eastAsia" w:ascii="宋体" w:hAnsi="宋体" w:eastAsia="宋体" w:cs="宋体"/>
                <w:color w:val="auto"/>
                <w:sz w:val="18"/>
                <w:szCs w:val="18"/>
                <w:highlight w:val="none"/>
              </w:rPr>
              <w:t xml:space="preserve">.自助借还系统界面支持自定义更换LOGO，可更换图书馆LOGO。</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硬件参数：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符合国际相关行业ISO18000-6C标准；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工作频率：820-926MHz；</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玻璃：3mm钢化玻璃、黑丝印工艺；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框体：五金喷粉工艺+型材框；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安装方式：落地；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产品体积：≥1500x500x700mm；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产品净重：约48KG；</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★液晶屏尺寸:≥21.5寸，分辨率：≥1920*1080；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触摸屏：电容屏（≥10点触摸），≥95%的触摸区域，触摸精度为± 5mm；   </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配置：</w:t>
            </w:r>
            <w:r>
              <w:rPr>
                <w:rFonts w:hint="eastAsia" w:ascii="宋体" w:hAnsi="宋体" w:eastAsia="宋体" w:cs="宋体"/>
                <w:color w:val="auto"/>
                <w:sz w:val="18"/>
                <w:szCs w:val="18"/>
                <w:highlight w:val="none"/>
                <w:lang w:val="en-US" w:eastAsia="zh-CN"/>
              </w:rPr>
              <w:t xml:space="preserve">CPU采用国产自主可控架构，符合安全可靠测评要求</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≥8核8线程，≥2.7GHz，内存：≥8G，硬盘≥SSD256G；</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网卡：10/100/1000Mbps自适应，设备自带无线WiFi模块；   </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二维码模块：一维码：UPC-A、UPC-E、EAN-13、ISBN10、ISBN13、EAN-8、39码、128码交叉25码，二维码：QR码；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读者证模块支持卡片：Mifare1 S50、S70、FM1208及其兼容系列非接触式智能卡（ISO14443A协议）；</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输入电压：AC100 V ~ 240 V, 50-60 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额定功耗：≤120W，待机功耗≤1W；</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工作温度： -20℃~60℃，储存温度： -40℃~85℃；</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工作湿度：10%~90%RH，储存湿度： 10%~95%RH</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馆员工作站</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读写器硬件参数：</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工作频率：902～928MHz(可以按不同国家或地区要求调整)</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读卡距离：0-5米，支持多标签同时读取</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支持协议:支持UHF EPC Gen2(ISO18000-6C)、ISO18000-6B协议电子标签</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支持接口：USB输出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工作方式：广谱跳频(FHSS)或定频发射方式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输出功率：最大30dbm(可调节)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低功耗设计，单9V/12V电源供电</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支持应答（交互）工作模式和主动工作模式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主动工作模式下输出格式和参数可配置</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软件功能：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★1.可对一个RFID标签非接触式地进行阅读，有读取RFID图书标签、编写图书标签、改写图书标签的能力。</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2.图书借阅：支持同时识别多本书进行借阅，借阅完成后自动修改为不报警状态。</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3.图书归还：支持批量归还操作，可同时识别不低于10本书进行归还操作。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4.系统可集成多种读写器，支持对RFID读者证、条码借阅卡、IC/ID卡等多种类型证件的识读。</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★5.图书注册：可根据需求自定义转换规则，比如可设置条码号顺延、转换数据保存本地、转换时获取SIP2信息等。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★6.转换统计：支持不同用户登录馆员工作站，自动统计对应用户的转换数量。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★7.产品稳定性可靠，保证不会出现串读标签的情况，设备正常工作时，需保证只读取15cm以内的标签，不会读取到15cm以外的标签。</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安全通道门</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产品总体功能与特点：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1、多标签读取能力极强，极低漏读率、误读率</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2、天线特别设计，门禁覆盖区域准确，无盲点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3、报警灵敏，安全可靠，报警信息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★4、内置报警灯和蜂鸣器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5、RFID 安全门摆放距离更加宽阔</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6、通过红外触发读取，可大大延长设备使用寿命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硬件参数：</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1.工作频率：840MHz～960MHz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2.空口协议：ISO 18000-6C/EPC C1G2 、 ISO 18000-6B、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国标GB/T29768-2013（可拓展支持）</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3.读写功能：支持密集读写、多标签识别、支持标签数据过滤、支持RSSI：可感知信号强度</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4.功能：两组红外触发读取，可单独设置红外触发延时时长；</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5.支持人员进出判断，可做人数统计；</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★6.支持声光一体报警，可单独设置报警延时时长；</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7.读取距离：0-300cm（可调节，建议门宽90cm，效果最佳）</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8.前后识别距离：前后1米范围（使用AZ-D图书标签-供参考）</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9.通信接口：RJ45</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10.设备材料：铝合金型材外框，轻便、坚固并且不易变形；进口亚克力面材</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11.外观：机身-氧化银灰，面板-米白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12.工作温度：-10°C~+50°C</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13.工作电压：AC220V±10％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14.整机功率：20W</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15.安装方式：免开槽，配1.2米不锈钢线槽，配备膨胀螺丝，安装稳固。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16.内部防护：通道门内部对核心部件配备防护罩，防止通道门撞击造成内部严重损坏。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17.接线方式：现场施工接线方便，主副门使用一根网线即可进行通讯控制。</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读卡器</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IC卡读卡器基于ISO14443A国际标准协议开发的非接触式智能卡读卡器，采用13.56M非接触射频技术设计而成的通用型读卡器，在使用过程中，可以随意拨插（即插即用），不用外加电源，用户不用加载任何驱动程序，读取稳定精准可靠。</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工作频段：13.56Mhz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支持协议：ISO14443A协议</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读卡类型：MF\S50\S70等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读卡距离：0~80mm</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读卡速度：0.2s</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读卡时间：＜100ms</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读卡间距：0.5S</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工作电压：5V</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工作电流：100mA</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工作温度：-20℃~70℃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状态指示灯：2色LED（“红色”电源LED，“绿色”状态指示灯）</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内置喇叭：蜂鸣器，可控制LED和蜂鸣器</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输出格式：默认10位10进制（4字节），支持定制输出格式。</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条码扫描枪</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产品特点</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1.高速解码，反应灵敏</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2.通用性强：提供了PS2，RS232，USB，USB-COM等接口。</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3.阅读距离可高达25cm，能快速读出条码中的信息。</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4.外形小巧、重量轻、符合人体工程学设计、手感舒适。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5.出色的耐用性：防尘防水等级IP54，同时可承受1.5米高度跌落到水泥地面的冲击，确保在日常使用中发生液体飞溅、跌落和碰撞事件时依然保持可靠的操作性能。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技术参数</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光源类型：可视激光二极管，波长650nm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扫描模式：单线扫描</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扫描速度：每秒200±2次</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扫描精度：0.10mm（pcs0.9）</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扫描宽度：30mm﹫扫描器窗口， 220mm﹫200mm</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扫描景深：0-250mm(0.33mm.PCS 90%)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转角：30°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仰角：65°</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偏角：55°</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解码能力：EAN-8，EAN-13，UPC-A，UPC-E，Code 39，Code 93，Code 128，EAN128，Codaber，Industoal 2 of 5，Interleave 2 of 5，Matrix 2 of 5，MSI，中国邮政码等。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支持接口：打印机USB接口</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印刷对比度：最低30%的反射差</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误 码 率：1／500万</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提示方式：蜂鸣器 指示灯</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扫描方式：手动  常亮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物理参数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外形尺寸：长×宽×高：165mm×67mm×97mm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重量：189g</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材质：ABS+PC</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电缆标准：直线：1.6m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电学参数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电压：5V</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工作电流：400mA</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静态电流：36mA</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激光安全性：符合国家二级激光安全标准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电磁兼容性：CE &amp; FCC DOC compliance</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环境参数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工作温度：0℃-45℃</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储存温度：-20℃-60℃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湿度：相对湿度5%-95%（无凝结）</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环境亮度：Max.5,000 Lux(荧光)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抗震性能力：可承受1.5m的空中跌落</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个</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升降式移动还书箱</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 图书容量：≥150 册</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 材质工艺：电泳型材+铝板材+纤维板+喷涂丝印</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 书箱原理：根据书箱内图书的重量来实现自动升降</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 静音轮：前两万向耐磨静音轮。后两万向带刹车耐磨静音轮，方便载 重时推动转向。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 特  点：承载板自由升级，无负载离地面≥ 680mm，行程≥450mm。</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6．铝合金材料，耐瞬时 强度高，有抗变形能力，耐候性好。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 功能：书箱承载板支持根据负荷自动升降（内部结构采用复杂的力学设计）承载表面采用特殊的处理，有效降低图书放入书箱瞬间撞击力度。</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触摸屏查询机</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1.系统架构：查询系统采用Browse/Server体系结构，部署在服务器端，便于读者打开浏览器即可快读查询，无需安装客户端。</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2.系统数据安全：可根据客户需求有偿提供云服务器并部署在云服务器上，保障数据安全，同时方便读者可以随时随地在手机或者家里电脑上查询；</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3.读者可输入不同的关键词检索图书馆的图书，支持通过书名、作者、ISBN进行检索；</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4.系统具有热门图书推荐模块，可以展示热门图书封面，给读者提供检索参考。</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5.读者检索图书后，进入图书详情页后，可查看图书基本信息（ISBN/书名、作者、索书号、出版社、出版日期）以及图书内容简介。</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6.读者进入图书详情后可查看对应的馆藏详情，如索书号、图书条码号、架位号、书库（馆藏地）以及在馆状态。</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7.读者检索出自己想要借阅的图书后，可以进行预约操作，预约后图书管理员可以在图书预约列表查看读者预约记录。</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8.OPAC检索系统具有分类检索功能，可直接点击对应类别的图书，查看相应的馆藏图书。</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9.读者登录后可查看借阅详情，可查看已借图书、逾期图书、预约图书。</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高清：采用高清16:9全视角LCD显示屏，分辨率为1920*1080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超薄：工业级外观，设计合理，稳固结实，整体机身厚63.8mm。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工艺：铝合金氧化拉丝边框，机身采用金属喷涂的五金冷轧钢板，表面3.5mm钢化玻璃</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触控：电容G+G方案，触摸精度高，响应迅速</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性能：内部散热采用对流方式，长期负载工作无忧</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安装：标配横竖通用壁挂架，可嵌入式安装或K型底座安装</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显示参数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液晶规格：全新原厂原包LCD商用液晶面板</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★显示尺寸：32英寸</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显示面积：698*393mm</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分 辨 率：1920*1080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可视角度：89/89/89/89(左/右/上/下)</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亮    度：≥350cd/m2</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背光类型：ELED</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响应时间：16.7M（8-bit）</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工作频率：60HZ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像素排列：RGB垂直条装</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触控参数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触控方案 电容G+G</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驱动方式 HID免驱</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触控点数 10点触摸</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触控介质 手指或电容触摸笔</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触控精度 ≦2mm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触控次数 理论上无限触控次数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响应时间 &lt;8ms</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触控校准 软件</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触控界面 钢化玻璃</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配置：兆芯架构</w:t>
            </w:r>
            <w:r>
              <w:rPr>
                <w:rFonts w:hint="eastAsia" w:ascii="宋体" w:hAnsi="宋体" w:eastAsia="宋体" w:cs="宋体"/>
                <w:color w:val="auto"/>
                <w:sz w:val="18"/>
                <w:szCs w:val="18"/>
                <w:highlight w:val="none"/>
              </w:rPr>
              <w:t xml:space="preserve">CPU</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≥8核8线程，≥2.7GHz，，内存：≥8G，硬盘≥SSD256G；</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网络功能：板载 Realtek8111E 千兆网卡芯片</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音频功能：支持 5.1声道 支持 HD Audio 支持音频的输入和输出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供电方式：DC_IN_12V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工作温度：0~50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环境温度 ：5~90℃相对湿度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机身参数 </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边框材质：铝合金氧化拉丝型材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钢化玻璃：3.5mm厚高强度物理钢化玻璃</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包装材质：重力中性纸箱</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工作环境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使用场景：室内</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输入电压：AC110-220V</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工作功率：≦76W</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待机功率：≦1W</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使用环境：温度‐20℃~60℃/湿度10%RH~90%RH</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存储环境：温度‐10℃~55℃/湿度10%RH~90%RH</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RFID电子标签（不含加工）</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协议标准：ISO18000-6C标准；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标签芯片：具有良好兼容性；</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工作频率：860～960MHz;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环境温度范围：-20度-70度</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  芯片使用寿命：读写 10 万次，有效期10年。</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1.防冲突性：允许工作区间内多个标签的可靠识读；</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★2.有效识读距离：完全符合自助借还、盘点机、安全门等设备读取要求；标签可以非接触式的读取和写入；</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3.标签具有一定的抗冲突性，保证多个标签的同时可靠识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4.标签具有较高的安全性，防止存储在其中的信息资料被泄露；</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5. 用户可自定义数据格式和内容，具有良好的数据扩展性；</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 图书标签采用EAS 位作为防盗的安全标志方法；</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 标签为自带不干胶标签, 标签粘贴到位后不易撕毁、脱落，隐蔽性强；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 标签可安装于图书内页书脊夹缝中</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50000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cs="宋体"/>
                <w:i w:val="0"/>
                <w:iCs w:val="0"/>
                <w:color w:val="auto"/>
                <w:sz w:val="18"/>
                <w:szCs w:val="18"/>
                <w:highlight w:val="none"/>
                <w:u w:val="none"/>
                <w:lang w:val="en-US" w:eastAsia="zh-CN"/>
              </w:rPr>
              <w:t xml:space="preserve">张</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读者借阅卡</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RFID读者证主要用于读者的身份识别，通过RFID非接触式的识别，快速读取读者的信息，RFID读者证已通过内部加密，确保了读者信息的安全，用于从事读者的流通借还操作、读者的身份辨识操作等。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芯片协议：ISO14443A</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芯片容量：1024bytes</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芯片频率：13.56+-0.4MHz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封装方式：PVC层压</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产品尺寸：85.5*54*0.8mm   读卡距离：3cm-8cm（与读写器有关）</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读写次数：10万次</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数据保存时间：10年</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印刷：双面四色胶印</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3000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张</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图书耗材</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【图书耗材】条码：自定义条码编号，一般是六到十位数，上面可以打印文字，下面打印编号。</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★书标纸：A4纸张大小，每张书标纸有45个小书标。</w:t>
            </w:r>
            <w:r/>
          </w:p>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保护膜：尺寸50*40mm</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50000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张</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数字借阅机</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1.系统 </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1.1数字借阅机实现终端平台展示、图书、音频、视频等资源的后台阅读量统计管理、扫码借阅等功能模块。</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1.2多种背景风格与banner联动，用户可随时更换背景模版以适应不同场合的需求。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1.3云端资源远程定时更新，支持自动更新，减少管理成本。</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1.4支持纯离线模式，在无网络环境下，可正常浏览本地预设的图书、音频、视频、艺术图库等资源</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1.5模块支持配置打开第三方APP，比如国家公共文化云。</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2.借阅机资源</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★2.1图书馆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提供不少于5000种正版授权的电子书且与原版图书保持原貌一致，云端资源不少于30000册，每本图书均提供二维码，可扫描二维码在手机上阅读。</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★2.2听书馆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提供不少于10000集有声听书资源，包含国学经典、当代小说、经典文学、娱乐休闲、军事战争、经管养生、历史武侠等，所有听书资源均带有简介介绍，资源均提供二维码，可扫描二维码在手机上听书。</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★2.3期刊/报纸</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提供不少于200种期刊，每月定期更；不少于800份报纸，包含综合报，日报，晨报，晚报，都市报，经济报，生活报，法制报，农业报，军事报，体育报，青少年，健康报等，读者可根据区域选择需要浏览的报纸，所有报纸均提供二维码，扫描到手机上阅读。</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★2.4绘本馆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提供不少于1000册绘本，包含故事童谣、启蒙知识、益智游戏、科普百科、才艺手工，均配有图书二维码，支持手机扫码下载阅读。</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2.5艺术馆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提供不少于1000张艺术图片，包含世界艺术、红色经典艺术、民间艺术、国画、书法等；提供不少于500小时中华戏曲，剧种包括京剧、豫剧、越剧、评剧、黄梅戏等。老唱片包括艺术家简介、唱片、唱词等。</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2.6故事视频</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提供不少于800集视频，包含益智游戏，科普百科，唐诗宋词，经典通话，寓言传说，律诗游戏，成语故事等。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2.7爱国教育</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提供二十大讲堂和爱国教育视频模块，微视频，关于习近平用典和平语近人的视频，内容全部为高清视频，并支持手机扫码观看。</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 个性化定制</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3.1借阅机终端系统支持定制显示单位名称、logo、待机画面，可将购买单位的名称和logo配置到程序中。可任意修改待机画面，随时满足客户的屏保要求。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3.2重要节日时可自动显示远程服务器端设置的背景和banner。</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3.3提供不少于15种不同风格模版，供用户选择，用户可随时更换模版以适应不同场合的需求。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4．配套的手机端服务</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4.1微信扫码借阅功能。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4.2APP扫码借阅，安装借阅机配套的手机APP，注册帐号，注册完成后可扫码借阅，手机APP必须有朗读模块，朗读资源≥3000篇。</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显示屏规格参数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★屏幕尺寸：≥43寸</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背光类型：LED</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屏体分辨率：1080*1920和1920*1080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视角：89/89/89/89(L/R/U/D)</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色度：16.7M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亮度：350cd/m2</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对比度：3000：1</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响应时间：5ms</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有效显示面积：</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触摸屏参数 </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触摸屏尺寸：≥43寸</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识别原理：红外识别，可定制电容识别</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多点触摸：支持真6点触摸</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抗光干扰：光线以各种角度照射屏幕均可正常使用</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触摸方式：手指，笔（任何直径&gt;5mm的不透光物体）</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触摸精度：90%以上的触摸区域为±2mm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通讯方式：全速USB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触摸使用寿命：使用寿命达80000小时以上</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硬件参数</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CPU：≥四核，主频1.8G</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运行内存：≥4G DDR3</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内置存储：≥ROM FLASH  32G</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解码分辨率：最高支持1080P</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网络：支持以太网和WiFi</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USB接口：2个</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以太网络接口：1个，支持10M/100M自适应以太网</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墨水屏阅读器</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墨水屏阅读器硬件参数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机身尺寸：239.2*173.8*8.5mm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★芯片：四核 Cortex-A55；频率高达1.8GHz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★缓存：≥3GB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★内存：≥64GB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★屏幕：10英寸E-ink（玻璃屏）200PPI（1200*1600）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手写：支持电容手写(笔需要单独购买)</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阅读灯：支持双色温冷暖光可调节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WIFI / 蓝牙：2.4GHz   5.0GHz   / BT5.0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按键：电源键/触摸屏虚拟返回键</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喇叭：支持（单喇叭/单个数字mic）</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电池：3900毫安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重量：约458g</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接口： type-c兼容数据传输</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扩展槽：支持MIRCO SD卡扩展至1TB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其它：霍尔感应</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包装：配数据线</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软件功能参数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★1、图书资源不少于30000种，图书为EPUB格式，以保证图书的阅读体验和阅读质量，资源定期更新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2、图书资源包括儿童文学、文学艺术、小说传记，经典名著、成功励志、电脑网络、经管理财、交通运输、文化体育、自然科学、社会科学、法律法规等各类图书。</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★3、听书资源不少于30000集，MP3格式，均为真人原声演播，非AI合成语音，播放流畅，现场感足，可无限制收听全集。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4、听书分类包括军事战争、历史武侠、相声曲艺、娱乐休闲、经典文学、当代小说、国学经典、经管养生等，读者可自由选择章节、选择收听。</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5、朗读资源，朗读素材不少于3000篇，朗读资源包括红色读物、古风经史、国学经典、人物专栏、节日时分、二十四节气、英语课堂、只为TA读、课本朗读、少儿读物、朗读者、铁血军魂、热门精选等。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6、朗读资源支持录制朗读音频</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平板支架</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颜色：银色；</w:t>
            </w:r>
            <w:r/>
          </w:p>
          <w:p>
            <w:pPr>
              <w:jc w:val="left"/>
              <w:rPr>
                <w:rFonts w:hint="eastAsia" w:ascii="宋体" w:hAnsi="宋体" w:eastAsia="宋体" w:cs="宋体"/>
                <w:color w:val="auto"/>
                <w:sz w:val="18"/>
                <w:szCs w:val="18"/>
                <w:highlight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材料：铝+ABS+硅胶；</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防滑：硅胶保护；</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特点：1.铝合金构件，磨砂喷漆、质感细腻；</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★2.360°屏幕旋转，180°俯仰角度；</w:t>
            </w:r>
            <w:r/>
          </w:p>
          <w:p>
            <w:pPr>
              <w:numPr>
                <w:ilvl w:val="0"/>
                <w:numId w:val="0"/>
              </w:num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lang w:val="en-US" w:eastAsia="zh-CN" w:bidi="ar-SA"/>
              </w:rPr>
              <w:t xml:space="preserve">3.</w:t>
            </w:r>
            <w:r>
              <w:rPr>
                <w:rFonts w:hint="eastAsia" w:ascii="宋体" w:hAnsi="宋体" w:eastAsia="宋体" w:cs="宋体"/>
                <w:color w:val="auto"/>
                <w:sz w:val="18"/>
                <w:szCs w:val="18"/>
                <w:highlight w:val="none"/>
              </w:rPr>
              <w:t xml:space="preserve">加厚底座，递增设计，铝合金一体成型底座，重心稳防倾倒。</w:t>
            </w:r>
            <w:r/>
          </w:p>
          <w:p>
            <w:pPr>
              <w:numPr>
                <w:ilvl w:val="0"/>
                <w:numId w:val="0"/>
              </w:num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w:t>
            </w:r>
            <w:r>
              <w:rPr>
                <w:rFonts w:hint="eastAsia" w:ascii="宋体" w:hAnsi="宋体" w:eastAsia="宋体" w:cs="宋体"/>
                <w:i w:val="0"/>
                <w:iCs w:val="0"/>
                <w:color w:val="auto"/>
                <w:sz w:val="18"/>
                <w:szCs w:val="18"/>
                <w:lang w:val="en-US" w:eastAsia="zh-CN" w:bidi="ar-SA"/>
              </w:rPr>
              <w:t xml:space="preserve">4.</w:t>
            </w:r>
            <w:r>
              <w:rPr>
                <w:rFonts w:hint="eastAsia" w:ascii="宋体" w:hAnsi="宋体" w:eastAsia="宋体" w:cs="宋体"/>
                <w:color w:val="auto"/>
                <w:sz w:val="18"/>
                <w:szCs w:val="18"/>
                <w:highlight w:val="none"/>
              </w:rPr>
              <w:t xml:space="preserve">折叠便捷易携带，多场合使用，使用于全系列智能手机及7~14寸平板阅读器等。</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个</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平板充电柜</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技术参数：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★1、支持并兼容各类平板设备数量30台，独立USB端口5V、2.1A弱电输出，直流快速充电，免适配器；</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2、IC芯片智能识别设备并分配所需电流,端口独立变压器变压供电；</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3、充电口位单独保险丝（熔断器）保护USB口和平板电脑设备，防止使用中过流、过载、短路、漏电，安全响应速度快；</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★4、配备4个3寸静音万向轮（四轮均带刹车功能），ABS人体工学把手，顶盖边角圆弧R角(≥R10)防撞、防划伤；</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5、柜内设有散热风扇，配合柜内风道设计，有效控制柜内温度，保证产品安全充电；</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6、输入端配备10A防漏电专用电源线，断电后柜体无强电,配合接地线（1PC）接地保护；</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7、柜内平板电脑垂直放置，ABS工业阻燃级塑料单机隔断，具备扎线口，方便拿取电脑；</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8、柜体采用稳固防火冷轧钢，主要部位焊接，对角及多风口设计，障碍面不阻挡排气，电源管理控制区分离，需由专业技术人员管理控制；</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9、采用全封闭防盗结构、工艺上耐酸碱腐蚀、耐磨、防静电。</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锁具:天地连杆锁</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输入电压:100-240V</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输入频率:47-63HZ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输入功率:2200W</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输出电压:5V</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输出电流:2.1A</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输出短路保护:≥2.5A</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输出过压保护:≥5.5VDC    闭锁，需重新上电才可恢复。</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过温保护:65±5 ℃         降温后自动恢复开启</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输出纹波及噪音:≤100      额定输入，输出满载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抗电强度:输入对输出2000Vac/10mA/1min  无飞弧、无击穿</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抗电强度:输入对地2000Vac/10mA/1min    无飞弧、无击穿</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抗电强度:输出对地1500Vac/10mA/1min    无飞弧、无击穿</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专业音箱</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★单8寸全频音箱</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频率范围：50Hz-20kHz                         </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频率响应：65Hz-18KHz（±3dB）   </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灵敏度:94dB   SPL 1w/1m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功率:180W  </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阻抗：8欧</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★配置：高音：34mm 音圈/90磁 低音：134mm 磁钢/50mm 音圈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最大声压级：115dB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声场辐射范围：90°x 60°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输入接口：2xNeutrik® NL4MP</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箱体尺寸/高/宽/深：410mm x257mm x289mm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净重量(只)：10.6千克</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专业功放</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高档铝合金面板设计，工艺精湛，大方得体。</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采用了最新的D类功放电路技术设计，静音风扇，安静低噪，适合机房高标准设计要求。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采用全智能系统随温度变化自动调节冷却系统</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结构平稳和灵活操控，增加了额外维度的低音力度，同时保持极好音质的完整性。</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通过提供调整妥当的直流电源，减少电路组件的负荷，稳定的性能表现，更高的可靠性。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★安全保护系统：直流保护，短路保护，过热保护，输入过载保护，输出过载保护，软启动保护，限幅保护，灵敏度过热等多重管理保护系统</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★功率输出：8Ω立体声RMS:300W*2  4Ω立体声RMS:480W*2  2Ω立体声RMS:670W*2</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8Ω桥接750W  4Ω桥接1000W</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限幅保护:可达到10V</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频率响应（1W 8ohms）:20Hz-20KHz(±0.3dB)</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灵敏度（8ohms 1KHz）:0.775v/26/32dB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总谐波失真:﹤0.05%@8 Ω1KHZ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阻尼系数:≥900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信噪比:≥105dB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互调失真:≤0.02%</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转换速率:≥50V/µs</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机箱尺寸（W×H×D）:482×88×290mm(2U)</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净重量:   10 kg</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调音台</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1.带多功能彩色高清显示屏，准确显示99DSP数字效果和MP3播放器(内设蓝牙，声卡，录音）三色精准电平等功能。 （三合一）</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2.双99 DSP数字混响效果，延时、百分比可自定义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3.单通道独立监听带LED灯显示，独立48V幻象电源.双七段均衡.内置电源开关.60行程推子控制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★4.6路多功能卡龙输入带断点输入，双立体声输入带6.35插口和莲花插口.MP3转换播放通道</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★5.真平衡主声输出，4路真平衡编组输出，AUX1/AUX2/AUX3独立输出并带FX效果发送输出，4路AUX辅助输出，1路返回输入（RETURN)</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6.每分路单独立双色静音开关。蓝光为通道打开，红光为通道关闭</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7.精细、超线性的BC846话筒前置放大提供高品质、低噪音的平衡式话筒输入</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音频处理器</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★1.8路模拟音频输入8路模拟音频输出</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2.麦克风输入和线路输入自由切换</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3.每路输入带48V幻相电源</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4.每路输入带反馈抑制功能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5.内置AEC（回声消除）、ANC（噪声消除）功能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6.支持AES67网络数字音频功能扩展</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7.自动混音、矩阵混音功能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8.输入16段PEQ可调，输出10段PEQ可调</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9.TCP/IP,USB免驱自动连接软件</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10.RS-232、RS-485中控控制</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.每通道内置AFC声反馈啸叫消除（具有2档声反馈控制）、AEC回声消除、ANC噪声消除、NOISE/Gate噪声门、AGC自动增益、AutoMixer自动混音。</w:t>
            </w:r>
            <w:r>
              <w:rPr>
                <w:rFonts w:hint="eastAsia" w:ascii="宋体" w:hAnsi="宋体" w:eastAsia="宋体" w:cs="宋体"/>
                <w:color w:val="auto"/>
                <w:sz w:val="18"/>
                <w:szCs w:val="18"/>
                <w:highlight w:val="none"/>
                <w:lang w:val="en-US" w:eastAsia="zh-CN"/>
              </w:rPr>
              <w:t xml:space="preserve">且</w:t>
            </w:r>
            <w:r>
              <w:rPr>
                <w:rFonts w:hint="eastAsia" w:ascii="宋体" w:hAnsi="宋体" w:eastAsia="宋体" w:cs="宋体"/>
                <w:color w:val="auto"/>
                <w:sz w:val="18"/>
                <w:szCs w:val="18"/>
                <w:highlight w:val="none"/>
              </w:rPr>
              <w:t xml:space="preserve">设备配置专业双通道USB声卡，声卡信号可在音频矩阵中任意路由实现播放与录制音频功能。</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.均衡控制器上面可以自由选择4个不同通道之间的任意级速同步而不需要另外开启通道控制界面，同步时间1秒内。</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抑制器</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1、采用32位浮动DSP、24位AD/DA，96K采样频率，音频系统延迟&lt; 1.9ms，最大输入电平2V RMS，最大输出电平1.6V RMS</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★2、设备配备有2个RS-485端口支持级联和中控功能，1个USB Type-B接口实现快速配置及远程调试和监控</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3、面板上配备有一键飞轮旋钮，通过旋钮可以自由进行存档模式切换</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4、显示屏上能实时观察到输入信号源的强弱度，可以通过飞轮在显示屏上面直接恢复陷波器的出厂初始化设置</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5、显示屏上面可以进行显示文字的中英文双语切换</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★6、设备配置4个输入通道4个输出通道</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7、面板锁功能，通过面板上面的飞轮快速实现锁机功能和解锁功能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8、配置上位机软件，可以自适应W11系统</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★9、面板标配2寸TFT高清显示屏，能看到实时陷波器工作数量和移频强度，显示屏能显示出设备型号</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10、设置滤波器时移频能同时开启工作，移频结合滤波器同时启动工作，相互结合自动调试出最佳的反馈抑制效果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11、通道输入移频可以自由在±10Hz之间调整</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★12、内置48个陷波器，每通道12个静态陷波器+12个动态陷波器，提供2个通道可调电平表头</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13、设备配置5个全自动反馈抑制预设存档模式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14、输入通道具备压缩器、噪声门控制功能。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15、每通道提供7段图示均衡和7个数字均衡器，高通低通设置</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16、面板一键BYPASS功能，面板上有一键切换5个存档模式功能，面板上面有48个陷波器实时工作状态显示信号灯。</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17、陷波深度可以调，陷波Q值可以调，各通道固定陷波器和动态陷波器可以任意增加及减少</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18、软件自带固定陷波器和动态陷波器仪表，可以明确看到陷波器工作状态</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19、背板设置内嵌隐藏式滤波减噪导地开关，可以开启和关闭滤波器减噪功能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20、软件联机后可以在功能界面里面选择噪声门、移频、陷波、EQ、压缩限幅器并分别对其控制。</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21、设备安全保障电源双切断，内置主备双保险丝（一主一备），确保断电安全。    </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电源管理器</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1.12路电源管理器，采用具有超强处理能力的MCU，结合本公司特有的算法，可对可控电源进行管理。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★2.12路电源插座接口，8路可控电源接口座采用3C国标接口座</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3.经过特别设计的电流加强线路敷工艺，采用高可靠性继电器和插座等元件，对系统供电提供稳定可靠的支持，保证系统长期稳定可靠地按照设置运行。</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4.所有输入/输出接口都采用完善的RF及静电防护电路，保证设备的可靠运行。</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★5.前面板：一键飞梭手动旋钮、通道全开启关闭手动操作按钮、2寸全彩TFT液晶屏、配4路直通220V电源接口、2路USB DC-5V插座（1A直流供电接口），用于照明或手机/平板充电</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6.每通道可以通过一键飞梭旋钮独立开关或同时全部开关。</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7.后背板: 4平方可靠大电流输入电缆、8路可控多功能电源插座及232、485、RJ45网络等控制接口。</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8.控制软件: 随本设备配备的PC控制软件。利用该软件通过RJ45网络接口,可灵活配置设备。多达九种模式配置，满足场景中的切换需求。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★9. 2英寸TFT彩色液晶屏，实时显示当前日期时间、彩色TFT液晶屏显示当前电压，各通道开关状态以及各种功能的显示和设置</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10.8路可控电源输出，各路延时开启和关闭时间可设置为立即启动，1~240秒，永不停止。</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11.面板锁功能防止误操作，保障设备安全可靠。</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12.内置实时时钟，可以以周为单位设定每天8个启停任务，也可取消本日的一些任务适应特殊要求。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13.RS485端口支持多达256台设备控制，便于较大应用系统统一控制。</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★14.网络、RJ45端口、RS232端口支持外部中控设备控制</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15.九组设备开关模式，方便灵活存储和调用，完善的过压、欠压保护机制，且可灵活设置。</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16.PC软件可以在界面上面通过操作每个动作获取中控代码，代码会在界面显示框内直接显示出来，复制写入中控设备即可控制本设备。</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17.电压值自动调校，无需要手动调节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18.交流电压最高限制或最低限制报警，自定义报警电压值。</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19.PC软件一键联机功能，无需手动设置即可连接。</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20.欠压、超压检测和报警。</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21.每台设备自带ID设置和检测，可实现远程集中控制。</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无线话筒</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★1.真分集系列无线演出系统，一键全频雷达扫描，按下扫描键，数秒内即可完成全频段扫描，并设定匹配完成对应的话筒。</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2.全频段避干扰技术，可容纳多达40只无线发射机同时工作</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3.支持演出环境下不低于200米的使用安全距离（空旷环境最高使用距离约500米）</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4.高强度抗啸叫系统,采用信号叠加双分集技术，四路天线系统</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5.超大字符显示，高对比度，高亮度，屏幕背光双色显示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6.智能一键无缝切换腰包/手持/会议话筒功能，从此解放复杂对频过程</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★7.双色的显示屏幕，当失去无线信号连接时，主机屏幕显示橙色背光，一旦建立连接，屏幕显示蓝白背光。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接收机规格</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频率范围：(641-690.8MHz);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信道数：100+100个信道；</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振荡方式：锁相环（PLL）频率合成；</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接收方式：一次变频超内差，二次变频超外差；</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接收灵敏度：-99~-69dBm；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音频频响：40~18000Hz;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失真度：≤0.5%;</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信噪比：≥110dB；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音频输出：(XLR)卡侬座独立平衡输出和Φ6.35插座混合不平衡输出；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电源规格：100V~240V/50~60Hz；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消耗功率：≤8W；</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麦克风规格</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频率范围：(641-690.8MHz);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信道数：100+100个信道；</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调制方式：FM调频；</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频率精度：+-10ppm;</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辐射功率：≤10dBm;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音频频响：40~18000Hz;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失真度：≤0.5%;</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电池规格：2×1.5V AA Size ；</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个</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话筒呼叫控制嵌入软件</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1.超大的字符显示，可以迅速观察屏幕信息，手柄的电池电量在主机上的显示格外引人注意。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2.配备强大的一键雷达扫描功能，点击SET键后，屏幕立即进入全频雷达搜索状态，只需几秒就设定好了一个可以使用的干净频率，并与话筒取得匹配。完全不再担心无线干扰的问题，多台叠机无串频现象。</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套</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话筒天线</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12dB可调的射频信号电平用于优化使用不同线缆的接收效率</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链接输出可链接5台无线接收机组成大型系统</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RF电平过载LED及时监察射频信号的质量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高清LCD显示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分配器参数：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频率：450-970MHz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输入/输出阻抗：50欧姆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★通道:2*5（10路）输出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显示方式：LED</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接口 ：B型母座</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增益+6dB  </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3阶互调截取点 ：+38dBm（典型）</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增益:平坦度 ：+1dB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电源输出：DC4*1A</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输入电源 ：AC100-260VAC/T2A 47-63赫兹</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天线参数：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频率：U段 460-970MHz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显示方式：液晶显示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调控开关：轻触开关</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接口：B型母座</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输出阻抗：50欧姆（SWR&lt;=1:1.5)</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增益（最大）：12dB（典型）</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辐射最强角度:0 180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整合数控可调:-6 _ 12dB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3阶互调截取点：+45dBm（典型）</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增益平坦度：+1dB，全频段</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电源：+9V至12V（典型），150mA</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桌插</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1.插座采用全铝结构，信息模块接口采用标准模块。</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2.弹起式桌面插座，支持45°仰角。</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3.具有≥1个功能按键，支持自定义按键的功能，搭配中控矩阵使用可实现视频切换、搭配中控系统支持扩展场景调用功能、搭配中控会议系统实现会议系统电源开启关闭功能等。</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4.配置接口：≥1个多功能电源接口、≥2个RJ45网络、≥1个3.5音频、≥1个HDMI高清视频接口、≥1个功能按键</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个</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支架</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专业音箱配套支架</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个</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无线视像跟踪会议主机</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★1.主机带有讨论，视像跟踪功能于一体。</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★2.3.5寸彩色显示屏。分级菜单设计，使操作简明方便。</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3.4个通道明确显示频率数值和通道信号指示等功能。</w:t>
            </w:r>
            <w:r>
              <w:rPr>
                <w:rFonts w:hint="eastAsia" w:ascii="宋体" w:hAnsi="宋体" w:eastAsia="宋体" w:cs="宋体"/>
                <w:color w:val="auto"/>
                <w:sz w:val="18"/>
                <w:szCs w:val="18"/>
                <w:highlight w:val="none"/>
              </w:rPr>
              <w:br/>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.频率自动跟踪锁定功能，无需对频，会议单元即开即用。</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.内置60个WIFI通信频道，多机同时使用互不干扰。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主机参数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主机工作电压：DC--12V—14V2A</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工作电流：600mAh</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功耗：5W</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接收灵敏度：-105dBM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音频输出电压：1V</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接收有效距离：无障碍直线60米</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音频响应：50HZ—15KHZ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载波频率:UHF600MHz-700MHz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频率稳定度：+-0.001%</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频率间隔:250MHz</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WiFi通道数:60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信噪比：S/N：&gt;85dB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失真度THD：&lt;0.01%</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数字会议系统</w:t>
            </w:r>
            <w:r/>
          </w:p>
        </w:tc>
        <w:tc>
          <w:tcPr>
            <w:tcBorders>
              <w:top w:val="single" w:color="000000" w:sz="4" w:space="0"/>
              <w:left w:val="single" w:color="000000" w:sz="4" w:space="0"/>
              <w:bottom w:val="single" w:color="000000" w:sz="4" w:space="0"/>
              <w:right w:val="single" w:color="000000" w:sz="4" w:space="0"/>
            </w:tcBorders>
            <w:tcW w:w="6600" w:type="dxa"/>
            <w:vAlign w:val="bottom"/>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1.控制及音频信号皆采用无线高频信号通讯，避免布设话筒线缆，安装简单方便灵活</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2.主机带有232串口可通过连接中控系统。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3.功能操作极其简单，一键式的功能进入操作一目了然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4.内置高级加密通信算法，彻底杜绝通信错误和误动作。               </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5.主席优先功能,一键关闭所有在线代表单元。</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6.每套系统可支持100个话筒，同时发言人数可设定为1-4人，最大支持4个主席同时发言。                                                  </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7.会议座单元带有自动关闭功能。主机断电超过30秒，会议单元就会自动关闭达到省电效果。</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会议话筒处理器</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1.本设备采用48KHz取样率，分辨率为24位高性能A/D和D/A转换技术，信号处理采用ADI第四代浮点DSP。每路输入包含自动增益控制、自动反馈抑制、自动降噪、10段图示均衡、10段参量均衡、分频器、压缩器、延时器和 噪声门。丰富的外部接口极大地满足了各种应用场合,中控或场景灵活调用的要求。</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★2.降噪技术采用声纹识别的AI深度学习算法，对人声之外的所有信号进行降噪处理，无论规则或是不规则的声音信号实现最大67dB的降噪效果。并实现业界领先的＜15ms延时。   </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3.面板上设计2寸显示屏 、一键飞梭功能设置旋钮、BYPASS快捷键、MUTE快捷键、功能状态指示灯、USB联机接口  </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★4.设备带有一个网口、一个RS-485、一个RS-232、带GPIO、4个平衡输入口、2组非平衡立体声输入口  、4路平衡输出口。可以有效滤除或者明显消除音乐、咳嗽声、敲打桌面声、打响指声、翻书等非人语声谱，而不会影响话筒现场讲话的声音。  </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.可以通过专业PC上位机软件控制设备并配置设备</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.设备配置2组立体声输入端口</w:t>
            </w:r>
            <w:r/>
          </w:p>
          <w:p>
            <w:pPr>
              <w:jc w:val="left"/>
              <w:rPr>
                <w:rFonts w:hint="eastAsia" w:ascii="宋体" w:hAnsi="宋体" w:eastAsia="宋体" w:cs="宋体"/>
                <w:color w:val="auto"/>
                <w:sz w:val="18"/>
                <w:szCs w:val="18"/>
                <w:highlight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lang w:val="en-US" w:eastAsia="zh-CN"/>
              </w:rPr>
              <w:t xml:space="preserve">7</w:t>
            </w:r>
            <w:r>
              <w:rPr>
                <w:rFonts w:hint="eastAsia" w:ascii="宋体" w:hAnsi="宋体" w:eastAsia="宋体" w:cs="宋体"/>
                <w:color w:val="auto"/>
                <w:sz w:val="18"/>
                <w:szCs w:val="18"/>
                <w:highlight w:val="none"/>
              </w:rPr>
              <w:t xml:space="preserve">.设备通过网络端口可以WIFI无线连接笔记本也可以网络有线直接连接电脑</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rPr>
              <w:t xml:space="preserve">.显示屏上面有四路降噪表桥：2路输入的信号状态，2路降噪处理后的输出信号状态</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9</w:t>
            </w:r>
            <w:r>
              <w:rPr>
                <w:rFonts w:hint="eastAsia" w:ascii="宋体" w:hAnsi="宋体" w:eastAsia="宋体" w:cs="宋体"/>
                <w:color w:val="auto"/>
                <w:sz w:val="18"/>
                <w:szCs w:val="18"/>
                <w:highlight w:val="none"/>
              </w:rPr>
              <w:t xml:space="preserve">.输入4路XLR端口带48V幻像供电，可以通过显示屏飞轮和软件一起控制开启和关闭幻像</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0</w:t>
            </w:r>
            <w:r>
              <w:rPr>
                <w:rFonts w:hint="eastAsia" w:ascii="宋体" w:hAnsi="宋体" w:eastAsia="宋体" w:cs="宋体"/>
                <w:color w:val="auto"/>
                <w:sz w:val="18"/>
                <w:szCs w:val="18"/>
                <w:highlight w:val="none"/>
              </w:rPr>
              <w:t xml:space="preserve">.面板显示屏上面通过飞轮可以选择LINK的开启和关闭</w:t>
            </w:r>
            <w:r/>
          </w:p>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.面板显示屏上可以通过飞轮控制ANS 10级选择、AFS 5级选择、AGC自动增益控制、及A和B通道的音量加和减。</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音频隔离器</w:t>
            </w:r>
            <w:r/>
          </w:p>
        </w:tc>
        <w:tc>
          <w:tcPr>
            <w:tcBorders>
              <w:top w:val="single" w:color="000000" w:sz="4" w:space="0"/>
              <w:left w:val="single" w:color="000000" w:sz="4" w:space="0"/>
              <w:bottom w:val="single" w:color="000000" w:sz="4" w:space="0"/>
              <w:right w:val="single" w:color="000000" w:sz="4" w:space="0"/>
            </w:tcBorders>
            <w:tcW w:w="6600" w:type="dxa"/>
            <w:vAlign w:val="bottom"/>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1.设备通过网络端口可以WIFI无线连接笔记本也可以网络有线直接连接电脑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2.显示屏上面有四路降噪表桥：2路输入的信号状态，2路降噪处理后的输出信号状态 </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3.输入4路XLR端口带48V幻像供电，可以通过显示屏飞轮和软件一起控制开启和关闭幻像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4.面板显示屏上面通过飞轮可以选择LINK的开启和关闭</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会议话筒</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★全数控化设计，带有讨论，视像跟踪功能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采用金属方形麦克风，通过固定接头连接话筒底座，可调俯仰角度，整体稳重，高档大气.。</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★话筒采用2.4寸彩色显示屏，具有计时功能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话筒座采用金属座设计，经久耐用。</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话筒座内置锂电池并带有USB充电口，可进行充电。</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按键有红色指示灯，开启时亮。</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★内置高性能4000MA锂电池，自带TYPE-C接口，可以边充电边使用；</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超低功耗电路设计，连续发言时间12小时以上</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技术参数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频率稳定度：+-0.001%</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信噪比：S/N：&gt;85dB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失真度THD：&lt;0.01%</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邻频干扰抑制：&gt;60dB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咪芯指向性：心形指向</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拾音灵敏度：&gt;20dBM（1V）</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发射功率：&gt;+10dBM(10MW)</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麦克风功耗：120mAh</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UHF频率范围：600MHz-700MHz</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个</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全数字会议系统音频传输内嵌软件</w:t>
            </w:r>
            <w:r/>
          </w:p>
        </w:tc>
        <w:tc>
          <w:tcPr>
            <w:tcBorders>
              <w:top w:val="single" w:color="000000" w:sz="4" w:space="0"/>
              <w:left w:val="single" w:color="000000" w:sz="4" w:space="0"/>
              <w:bottom w:val="single" w:color="000000" w:sz="4" w:space="0"/>
              <w:right w:val="single" w:color="000000" w:sz="4" w:space="0"/>
            </w:tcBorders>
            <w:tcW w:w="6600" w:type="dxa"/>
            <w:vAlign w:val="bottom"/>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专业高保真电容咪芯，拾音灵敏、语音清晰，带宽达到20Hz~20KHz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采用防干扰电路设计，可防止手机等电子产品的干扰。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主席单元带有批准和优先功能按键，连接时不受位置限制可任意安装，</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具有全权控制会议秩序的优先功能，可控制会议气氛。</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套</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会议话筒</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★全数控化设计，带有讨论，视像跟踪功能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采用金属方形麦克风，通过固定接头连接话筒底座，可调俯仰角度，整体稳重，高档大气.</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★话筒采用2.4寸彩色显示屏，具有计时功能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话筒座采用金属座设计，经久耐用。</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话筒座内置锂电池并带有USB充电口，可进行充电。</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按键有红色指示灯，开启时亮。</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★内置高性能4000MA锂电池，自带TYPE-C接口，可以边充电边使用；</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超低功耗电路设计，连续发言时间12小时以上</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技术参数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频率稳定度：+-0.001%</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信噪比：S/N：&gt;85dB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失真度THD：&lt;0.01%</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邻频干扰抑制：&gt;60dB</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咪芯指向性：心形指向</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拾音灵敏度：&gt;20dBM（1V）</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发射功率：&gt;+10dBM(10MW)</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麦克风功耗：120mAh</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UHF频率范围：600MHz-700MHz</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24</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个</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全数字会议系统音频传输内嵌软件</w:t>
            </w:r>
            <w:r/>
          </w:p>
        </w:tc>
        <w:tc>
          <w:tcPr>
            <w:tcBorders>
              <w:top w:val="single" w:color="000000" w:sz="4" w:space="0"/>
              <w:left w:val="single" w:color="000000" w:sz="4" w:space="0"/>
              <w:bottom w:val="single" w:color="000000" w:sz="4" w:space="0"/>
              <w:right w:val="single" w:color="000000" w:sz="4" w:space="0"/>
            </w:tcBorders>
            <w:tcW w:w="6600" w:type="dxa"/>
            <w:vAlign w:val="bottom"/>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专业高保真电容咪芯，拾音灵敏、语音清晰，带宽达到20Hz~20KHz</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采用防干扰电路设计，可防止手机等电子产品的干扰。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主席单元带有批准和优先功能按键，连接时不受位置限制可任意安装，</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具有全权控制会议秩序的优先功能，可控制会议气氛。</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24</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套</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发射器</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信号发射、信号放大</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个</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充电箱</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★30个USB接口，可为30支会议话筒进行同时充电</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输出口最大电流1A</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具有输出过压保护，过流保护等</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★1.性能：交换容量≥596Gbps；转发性能≥96Mpps</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★2.接口类型：≥8个GE端口，≥2个千兆SFP口（非复用）</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3.支持POE+；POE供电功率≥125W</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4.支持802.1Q (最大4K个VLAN)、支持基于协议的VLAN、IP子网的VLAN、MAC的VLAN</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5.支持静态路由、支持IPv6静态路由、双协议栈</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6.支持STP/RSTP/MSTP</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7.支持SP/WRR/SP+WRR队列调度，支持802.1p、DSCP优先级映射，支持端口限速802.1p、DSCP优先级映射；</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8.支持二层、三层、四层ACL、支持IPv4、IPv6 ACL、支持VLAN ACL；</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9.支持IP＋MAC+PORT+VLAN绑定、SAVI 源地址有效性验证、防Ddos攻击、CPU防攻击</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10.支持CLI命令行，Web网管，TELNET等网络管理方式；支持SNMP v1/v2c/v3；</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无缝高清矩阵切换器</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1.无缝瞬间切换，不黑屏，不存在缓慢的过度动画，快如电影换镜头；</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★2.插卡式结构，混合输入输出，一卡四路，支持DVI、VGA、AV、HDMI、SDI、HDBaseT、YPbPr、网络等板卡。</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★3.同时支持多种控制接口，兼容性强，支持第三方（如中控）同时通过串口RS-232或RS485、红外、网络TCP、网络UDP对矩阵进行控制，硬件上提供2个串口，1个网口；</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4.面板上有15个硬件按钮和3个工作状态指示灯，通过这些可直接实现切换控制操作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5.蓝色液晶显示屏，显示矩阵的工作状态（如查看输出输入通道的对应关系）</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6.输出卡支持音频解嵌，可同时输出模拟音频和数字音频，即声音可同时在HDMI接口和3.5音频接头输出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★7.支持图像4K 2K,高达16种分辨率与刷新率可调，24HZ、30HZ、50HZ、60HZ等以提高兼容性适应多种不同的显示屏。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8.支持字幕，可通过网络和串口直接更改字幕内容，每路输出视频都可有独立不同的字幕。 </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9.可拼接，兼容了拼接处理器功能，支持普通电视、液晶显示器及DLP等实现大屏幕拼接功能；</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10. 每个输出通道，可独立调节亮度、对比度；</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11. 带宽：18Gbps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12. 位时钟抖动：&lt;0.15Tbit</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13. 位上升时间：&lt;0.3Tbit（20%--80%）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14. 位下降时间：&lt;0.3Tbit（20%--80%）</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15. 最大传输延时：5nS</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16. 切换速度：200ns（最长时间）</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17. 串行控制接口：RS-232, 9-针母 D型接口,波特率：9600, 数据位8位， 停止位1, 无奇偶校验；2 = RX, 3 = TX, 5 = GND</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18. 以太网控制接口: RJ-45母接口,TCP/IP Servert和UDP模式,自适应10M或100M,全双工; TCP端口号: 10008</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19. 平均故障间隔时间：（MTBF）30000小时</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20. 可接入输入卡数量: 2块</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21. 可接入输出卡数量: 2块</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22. 可接入控制卡数量:1块</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23. 可接入电源模块数量: 1块</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24. 电源: 100VAC~240VAC，50/60Hz，国际自适应电源:</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25. 储存、使用温度: -20”C~ +70C;</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26. 存、使用湿度: 10%~ 90%;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27. 机箱尺寸: 2U;</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28. 尺寸 (长x宽x高，单位毫米) : 483Lx306Wx90H;</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29. 产品重是: 5.1KG</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高清无缝混插矩阵切换内嵌软件</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1.标配网口，标配平板APP控制软件，内置中控模块，平板的app界面可通过中控的编程软件随意修改，如增加、删除按钮和文字，修改背景图片，修改按钮的形状等；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可用网页控制，带2个串口，支持串口控制，键盘控制，全平台控制软件，适应性强，除app外，同时支持浏览器Web网页控制，用户可自行在网页上修改输入输出通道的名称，方便记忆。打开网页时，必须先输入密码，提供密码管理修改功能。 </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套</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HDMI无缝高清输入卡</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★视频采用HDMI接口，音频采用3.5音频头；</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★每卡支持4路HDMI、音频信号输入；</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支持音频加嵌合成到视频里；</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采用高质量沉金线路板；</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支持HDCP，支持蓝光DVD；</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点对点硬件无压缩实时转换；</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传输距离20m；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具有输入输出预加载，切换速度更快；</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即插即用，无需软件，无需驱动；</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最大功耗 12W；</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像素带宽 165MHz, 全数字；</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接口带宽 5.25Gbps,全数字；</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(Clock Jitter) &lt;0.15 Tbit；</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 (Risetime ) &lt;0.3Tbit (20%--80%)；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 (Falltime) &lt;0.3Tbit (20%--80%)；</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最大传输延时 5nS(±1nS)；</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信号强度 T.M.D.S. +/0.4Vpp；</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最小/最大电平 T.M.D.S. 2.9V/3.3V；</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阻抗 50 Ω；</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个</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高清矩阵输入板卡内嵌软件</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支持瞬间无缝切换技术，不黑屏；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支持中英文字幕叠加；</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支持图像分辨率1920x1080P60；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自动EDID管理，不需人为干预；</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套</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HDMI无缝高清输出卡</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★视频采用HDMI接口，音频采用3.5音频头；</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★每卡支持4路HDMI、音频信号输出，音频可同时从HDMI和3.5音频接头输出；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支持图像分辨率1920x1080P60；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采用高质量沉金线路板；</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★采用高速专业连接器，非普通金手指或排针；</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兼容HDMI1.4的标准，HDCP1.3协议, DVI1.0协议；</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点对点硬件无压缩实时转换；</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传输距离大于20m；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具有输入输出预加载，切换速度更快；</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即插即用，无需软件，无需驱动；</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最大功耗 12W；</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像素带宽 165MHz, 全数字；</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接口带宽 5.25Gbps,全数字；</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(Clock Jitter) &lt;0.15 Tbit；</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 (Risetime ) &lt;0.3Tbit (20%--80%)；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 (Falltime) &lt;0.3Tbit (20%--80%)；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最大传输延时 5nS(±1nS)；</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信号强度 T.M.D.S. +/0.4Vpp；</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最小/最大电平 T.M.D.S. 2.9V/3.3V；</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个</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高清矩阵输出板卡内嵌软件</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★支持瞬间无缝切换技术，不黑屏；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支持图像分辨率1920x1080P60；</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自动EDID管理，不需人为干预；</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套</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网络中控主机</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前面板有4.3寸彩色触摸屏和USB编程接口，提供专用编程软件，利用此软件，可对触摸屏的界面任意定义，添加删除页面，修改背景图片和颜色，增删各种形状的按钮，自定义各个按钮的功能，可显示和修改主机的IP地址</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★支持网络预览，带1路hdmi 和1路模拟音频输入，输入的视频可在 app 和电脑控制软件上以视频窗口方式显示，用于视频预览无缝矩阵的输入信号、摄像头等(选配)</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内置万年历电路，可让中控在指定时间自动执行控制操作控制通讯</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★支持在平板电脑(安卓和IPAD)操作界面嵌入网页，嵌入视频播放组件，可播放常见种类的视频文件，也可以显示摄像头等的 RTSP\RTMP\HTTP视频流图像，网页组件可显示天气，通知等，视频组件可显示摄像头、会议终端视频图像。</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控制通讯：以太网(TCP/IP)，10/100M自适应，TCP SERVER方式，也可定制为UDP方式。</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内置中控模块，提供app，支持iphone、ipad、安卓平板及手机无线控制，提供设计平台，用户可对app软件的背景图片、颜色进行更换，按钮的大小、位置、外观可自由设计;iphone、ipad软件通过苹果公司审核，可从appstore下载，不需越狱。</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处理器：ARM32位；</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★主机内置红外学习器，自动识别红外代码类型，8路独立可编程的红外发射接口，支持控制多台相同或不同的红外设备，支持控制DVD、电视机、空调、投影机等所有红外遥控设备。</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红外学习技术：高精度脉宽捕获及数码转换；最大红外数据容量：1000KB；</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红</w:t>
            </w:r>
            <w:r>
              <w:rPr>
                <w:rFonts w:hint="eastAsia" w:ascii="宋体" w:hAnsi="宋体" w:cs="宋体"/>
                <w:color w:val="auto"/>
                <w:sz w:val="18"/>
                <w:szCs w:val="18"/>
                <w:highlight w:val="none"/>
                <w:lang w:val="en-US" w:eastAsia="zh-CN"/>
              </w:rPr>
              <w:t xml:space="preserve">外</w:t>
            </w:r>
            <w:r>
              <w:rPr>
                <w:rFonts w:hint="eastAsia" w:ascii="宋体" w:hAnsi="宋体" w:eastAsia="宋体" w:cs="宋体"/>
                <w:color w:val="auto"/>
                <w:sz w:val="18"/>
                <w:szCs w:val="18"/>
                <w:highlight w:val="none"/>
              </w:rPr>
              <w:t xml:space="preserve">学习时间间隔：100ms；</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指令存储器：FLASH，大容量FLASH存储器，可保存高达3000条控制指令，满足任何场合的控制存储要求，支持扩展；</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存储方式：高速FLASH；</w:t>
            </w:r>
            <w:r/>
          </w:p>
          <w:p>
            <w:pPr>
              <w:jc w:val="left"/>
              <w:rPr>
                <w:rFonts w:hint="eastAsia" w:ascii="宋体" w:hAnsi="宋体" w:eastAsia="宋体" w:cs="宋体"/>
                <w:color w:val="auto"/>
                <w:sz w:val="18"/>
                <w:szCs w:val="18"/>
                <w:highlight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控制指令数据容量：256M；</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继电器：8路弱电继电器接口，可用于窗帘、电动幕布等控制；</w:t>
            </w:r>
            <w:r/>
          </w:p>
          <w:p>
            <w:pPr>
              <w:jc w:val="left"/>
              <w:rPr>
                <w:rFonts w:hint="eastAsia" w:ascii="宋体" w:hAnsi="宋体" w:eastAsia="宋体" w:cs="宋体"/>
                <w:color w:val="auto"/>
                <w:sz w:val="18"/>
                <w:szCs w:val="18"/>
                <w:highlight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串口(RS232\485\422)： 10路，可编程；</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波特率：300-115200可选；</w:t>
            </w:r>
            <w:r/>
          </w:p>
          <w:p>
            <w:pPr>
              <w:jc w:val="left"/>
              <w:rPr>
                <w:rFonts w:hint="eastAsia" w:ascii="宋体" w:hAnsi="宋体" w:eastAsia="宋体" w:cs="宋体"/>
                <w:color w:val="auto"/>
                <w:sz w:val="18"/>
                <w:szCs w:val="18"/>
                <w:highlight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数据位：8位；</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停止位：1或2；</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校验：None, Even, Odd；</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IO口：8路，支持外部短路触发 ；</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摄像跟踪：支持；</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电源输出：提供5V电源输出；</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电源：100VAC~240VAC,50/60Hz,国际自适应电源；</w:t>
            </w:r>
            <w:r/>
          </w:p>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最大功率： 15W</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网络中控系统逻辑处理内嵌软件</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行业新一代中控编程系统，一次设计界面，即可运行，并且支持任何字体；方便易用，支持 3D 按钮、图片按钮等（工程人员不需设计图片就能实现完美的3D按钮），支持自锁、互锁、连续发码、通讯反馈、一键（按钮）执行多动作，控制多个设备。</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套</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平板触摸屏</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尺寸：11英寸以上</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处理器核心：双核心</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★存储设备：系统内存：8GB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★存储容量：256GB</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存储扩展：不支持容量扩展</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★屏幕尺寸：9.7英寸</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屏幕分辨率：2048x1536</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屏幕描述：电容式触摸屏，多点式触摸屏</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无线路由器</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★1、双频五流3000M无线路由器，内置5根企业级天线、5个独立FEM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2、适用1000M宽带，支持双WAN接入两条带宽，实现负载均衡、带宽保障，最大化利用带宽资源、保障网络持续运行</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3、支持上网行为管理、防火墙，实现流量限速、流量管控</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控制器</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产品简述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★8路手动电源控制器，内置8个20A继电器，最大负载能力4400W/单路，（建议接2500W以下）搭配可编程中控主机使用,也全面支持第三方设备控制，用于控制灯光、电动投影幕、电动窗帘等会议室周边设备。</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功能特点</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1.协议兼容：搭配可编程中控主机使用，也全面支持第三方设备控制。</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2.手动控制：在机器的正前方，有8个轻触开关，紧急情况下可以手动控制继电器的开关，在现场出现特发情况时可以使用这一功能，很好的保护其他的设备。</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3.具有8路继电器，每路继电器都有三连接点的接线柱，具有常开与常闭的功能；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4.具有8路独立电源开关控制，单路电流支持20A。</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5.具有设备运行状态指示灯及8个继电器的开关状态指示灯。</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6.机器具备ID识别，通过中控主机网络控制多台时，可通过ID识别。</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技术参数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1.面板按键：8路独立电源开关控制（手动）</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2.载入容量：单路电流20A</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3.电源：宽电压通用电源（DC24V）</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★4.控制方法：通过RS-232或网络接口</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5.RS-232接口：RS485接口；波特率：9600，数据位：8，停止位：1，校验位：无。</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6.网络接口：RJ-45，100M（选配）</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7.外形尺寸(LxWxH)：390×200×55(mm)</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8.重量：3.2Kg</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9.切换电流（MAX）：20A</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10.最大功耗：7.2W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Ø 继电器参数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NO:30A/240VAC/14VDC</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NC:20A//240VAC/14VDC</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控制供电：24VDC。</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初始上电时，全部为断开状态</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机柜</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★42U</w:t>
            </w:r>
            <w:r>
              <w:rPr>
                <w:rFonts w:hint="default" w:ascii="宋体" w:hAnsi="宋体" w:eastAsia="宋体" w:cs="宋体"/>
                <w:color w:val="auto"/>
                <w:sz w:val="18"/>
                <w:szCs w:val="18"/>
                <w:highlight w:val="none"/>
                <w:lang w:val="en-US" w:eastAsia="zh-CN"/>
              </w:rPr>
              <w:t xml:space="preserve">标准机柜，深度≥800mm，含PDU电源分配单元×1</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台</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音频连接线</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1.8米音频连接线：卡侬头（母）-卡侬头（公）</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13</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音频连接线</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1.8米音频连接线：3.5（耳机插头）-双6.35话筒插头</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HDMI</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15米</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网线</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六类网线</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箱</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音频线</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RVPE2*0.5</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米</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音箱线</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2-金银线(300*0.1)</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米</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电源线(强电)</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RVV3*1.5MM</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80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米</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电源线(强电)</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RVV3*2.5MM</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90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米</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镀锌管</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20</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米</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镀锌管</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32</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米</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桥架</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米</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其它附材</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接插件、专用插座等</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校务管理</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1、学期信息、作息时间、校历周历、政策法规的设置。</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2、支持自定义各类申请的审批流程。</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3、对校园、年级、班级的重大活动进行记录。</w:t>
            </w:r>
            <w:r/>
          </w:p>
        </w:tc>
        <w:tc>
          <w:tcPr>
            <w:tcBorders>
              <w:top w:val="single" w:color="000000" w:sz="4" w:space="0"/>
              <w:left w:val="single" w:color="000000" w:sz="4" w:space="0"/>
              <w:right w:val="single" w:color="000000" w:sz="4" w:space="0"/>
            </w:tcBorders>
            <w:tcW w:w="6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right w:val="single" w:color="000000" w:sz="4" w:space="0"/>
            </w:tcBorders>
            <w:tcW w:w="6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校园公告</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1、公告发送：发送教师通知、学生通知，可以指定学生和教师，指定班级、年级学生和教师发送；</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2、公告类型：公告类型包括校园新闻、校园通知、教研通知、学校公告、会议通知、每周工作等类型。</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3、公告查询：管理员可以查看教师或者学生浏览公告时间、阅读状态、阅读次数、阅读人数。</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4、支持PC端和手机客户端。</w:t>
            </w:r>
            <w:r/>
          </w:p>
        </w:tc>
        <w:tc>
          <w:tcPr>
            <w:tcBorders>
              <w:left w:val="single" w:color="000000" w:sz="4" w:space="0"/>
              <w:right w:val="single" w:color="000000" w:sz="4" w:space="0"/>
            </w:tcBorders>
            <w:tcW w:w="65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Borders>
              <w:left w:val="single" w:color="000000" w:sz="4" w:space="0"/>
              <w:right w:val="single" w:color="000000" w:sz="4" w:space="0"/>
            </w:tcBorders>
            <w:tcW w:w="62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87</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消息互动</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1、消息互动：根据权限可以按照学校部门、年级、班级、教师个人、学生个人、班主任、学生全部、教师全部以及分组人员发送消息。</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2、发送模式：支持立即发送和定时发送，支持签名模式。</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3、记录查询：支持发送记录查询。</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4、支持PC端和手机客户端。</w:t>
            </w:r>
            <w:r/>
          </w:p>
        </w:tc>
        <w:tc>
          <w:tcPr>
            <w:tcBorders>
              <w:left w:val="single" w:color="000000" w:sz="4" w:space="0"/>
              <w:right w:val="single" w:color="000000" w:sz="4" w:space="0"/>
            </w:tcBorders>
            <w:tcW w:w="65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Borders>
              <w:left w:val="single" w:color="000000" w:sz="4" w:space="0"/>
              <w:right w:val="single" w:color="000000" w:sz="4" w:space="0"/>
            </w:tcBorders>
            <w:tcW w:w="62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88</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通讯录</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1、通讯录功能需对接现有智慧校园基础数据平台，根据平台自动获取教师联系电话和班级家长联系电话，无须人工管理教师和家长的联系方式。</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2、通讯录分同事、家长通讯录，老师可以查看自己相关班级家长电话，点击通讯录中号码，可以直接拨打电话。</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3、可进行自定义公共分组管理和自定义私有分组管理。</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4、支持PC端和手机客户端。</w:t>
            </w:r>
            <w:r/>
          </w:p>
        </w:tc>
        <w:tc>
          <w:tcPr>
            <w:tcBorders>
              <w:left w:val="single" w:color="000000" w:sz="4" w:space="0"/>
              <w:right w:val="single" w:color="000000" w:sz="4" w:space="0"/>
            </w:tcBorders>
            <w:tcW w:w="65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Borders>
              <w:left w:val="single" w:color="000000" w:sz="4" w:space="0"/>
              <w:right w:val="single" w:color="000000" w:sz="4" w:space="0"/>
            </w:tcBorders>
            <w:tcW w:w="62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89</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会议管理</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1、老师可以进行会议的申请，输入相关信息，选择参加会议人员，会议时间，选择会议室和定时提醒，完成会议申请。</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2、会议申请完成后，可以将会议相关材料作为附件上传。</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3、可以查看会议二维码，用于会议扫码签到。并可以查看会议签到情况。</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4、支持PC端和手机客户端。</w:t>
            </w:r>
            <w:r/>
          </w:p>
        </w:tc>
        <w:tc>
          <w:tcPr>
            <w:tcBorders>
              <w:left w:val="single" w:color="000000" w:sz="4" w:space="0"/>
              <w:right w:val="single" w:color="000000" w:sz="4" w:space="0"/>
            </w:tcBorders>
            <w:tcW w:w="65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Borders>
              <w:left w:val="single" w:color="000000" w:sz="4" w:space="0"/>
              <w:right w:val="single" w:color="000000" w:sz="4" w:space="0"/>
            </w:tcBorders>
            <w:tcW w:w="62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场馆管理</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1、场馆维护：对学校的场地、房间进行管理。</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2、场馆预约：对未占用的场馆可以进行预约。</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3、支持PC端和手机客户端。</w:t>
            </w:r>
            <w:r/>
          </w:p>
        </w:tc>
        <w:tc>
          <w:tcPr>
            <w:tcBorders>
              <w:left w:val="single" w:color="000000" w:sz="4" w:space="0"/>
              <w:right w:val="single" w:color="000000" w:sz="4" w:space="0"/>
            </w:tcBorders>
            <w:tcW w:w="65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Borders>
              <w:left w:val="single" w:color="000000" w:sz="4" w:space="0"/>
              <w:right w:val="single" w:color="000000" w:sz="4" w:space="0"/>
            </w:tcBorders>
            <w:tcW w:w="62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日常申请</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1、支持学校各类日常申请包括出差、请假、加班、文印、采购、物品申领等各类申请。</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2、自定义各类申请的审批流程。</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3、支持PC端和手机客户端。</w:t>
            </w:r>
            <w:r/>
          </w:p>
        </w:tc>
        <w:tc>
          <w:tcPr>
            <w:tcBorders>
              <w:left w:val="single" w:color="000000" w:sz="4" w:space="0"/>
              <w:right w:val="single" w:color="000000" w:sz="4" w:space="0"/>
            </w:tcBorders>
            <w:tcW w:w="65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Borders>
              <w:left w:val="single" w:color="000000" w:sz="4" w:space="0"/>
              <w:right w:val="single" w:color="000000" w:sz="4" w:space="0"/>
            </w:tcBorders>
            <w:tcW w:w="62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设备报修</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1、报修申请：填写报修申请，包括报修部门、设备名称、故障地点、故障描述、上传照片、联系电话等信息。</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2、设置流程：自定义报修申请流程，包括受理人员配置、审批人员配置、抄送人员配置等信息。</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3、记录查询：支持报修记录查询。</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4、支持PC端和手机客户端。</w:t>
            </w:r>
            <w:r/>
          </w:p>
        </w:tc>
        <w:tc>
          <w:tcPr>
            <w:tcBorders>
              <w:left w:val="single" w:color="000000" w:sz="4" w:space="0"/>
              <w:right w:val="single" w:color="000000" w:sz="4" w:space="0"/>
            </w:tcBorders>
            <w:tcW w:w="65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Borders>
              <w:left w:val="single" w:color="000000" w:sz="4" w:space="0"/>
              <w:right w:val="single" w:color="000000" w:sz="4" w:space="0"/>
            </w:tcBorders>
            <w:tcW w:w="62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工资管理</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1、工资发放人员批量导入教师工资信息，教师可以通过系统查看到自己各项工资明细。</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2、支持工资明细自定义。</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3、支持PC端和手机客户端。</w:t>
            </w:r>
            <w:r/>
          </w:p>
        </w:tc>
        <w:tc>
          <w:tcPr>
            <w:tcBorders>
              <w:left w:val="single" w:color="000000" w:sz="4" w:space="0"/>
              <w:bottom w:val="single" w:color="000000" w:sz="4" w:space="0"/>
              <w:right w:val="single" w:color="000000" w:sz="4" w:space="0"/>
            </w:tcBorders>
            <w:tcW w:w="65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Borders>
              <w:left w:val="single" w:color="000000" w:sz="4" w:space="0"/>
              <w:bottom w:val="single" w:color="000000" w:sz="4" w:space="0"/>
              <w:right w:val="single" w:color="000000" w:sz="4" w:space="0"/>
            </w:tcBorders>
            <w:tcW w:w="62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排课管理</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根据学科要求或老师个人要求，如走班、模块课、单双周、连堂、进度均衡等，设置排课条件，算出最优结果。在结果的基础上，支持手动调整，并在调整过程中实时提醒与排课条件冲突的因素。</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数字孪生校园空间数据采集服务</w:t>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周边环境模型构建</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rPr>
              <w:t xml:space="preserve">★</w:t>
            </w:r>
            <w:r>
              <w:rPr>
                <w:rFonts w:hint="eastAsia" w:ascii="宋体" w:hAnsi="宋体" w:eastAsia="宋体" w:cs="宋体"/>
                <w:color w:val="auto"/>
                <w:sz w:val="18"/>
                <w:szCs w:val="18"/>
                <w:highlight w:val="none"/>
              </w:rPr>
              <w:t xml:space="preserve">1、建模范围：以学校为圆心，以1公里为半径绘制出周边环境的建模范围。</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基于学校CAD图纸、航拍视频以及谷歌地图等数据，完成对校园及其周边环境进行高精度的复原，需涵盖周边场地、道路网络、公园、绿化设施、水域特征、地形如山体等多元素，提供详细且具有各类要素的环境模型，全面还原学校周边实际环境。</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3、周边环境模型精度 ：L2-L3。</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color w:val="auto"/>
                <w:sz w:val="18"/>
                <w:szCs w:val="18"/>
                <w:highlight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校园场地模型构建</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1、建模范围：对学校完成校园场地模型构建。</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基于学校CAD图纸、效果图以及在校园实地拍摄的视频等数据，完成对校园道路结构、河流、湖泊、桥梁结构、庭院环境、山体形状、硬质地面、草坪区域、植物景观、雕塑艺术品以及其他设施等场地要素的还原。</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rPr>
              <w:t xml:space="preserve">★</w:t>
            </w:r>
            <w:r>
              <w:rPr>
                <w:rFonts w:hint="eastAsia" w:ascii="宋体" w:hAnsi="宋体" w:eastAsia="宋体" w:cs="宋体"/>
                <w:color w:val="auto"/>
                <w:sz w:val="18"/>
                <w:szCs w:val="18"/>
                <w:highlight w:val="none"/>
              </w:rPr>
              <w:t xml:space="preserve">3、需对校园场地模型进行美化，以效果图和现场拍摄视频作为参考，支持对场地模型的材质进行深度优化，包括对模型颜色、纹理特性、反射率、表面凹凸度、光泽程度以及透明度等属性进行调整，使得校园环境模型具有高度真实感。</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4、模型精度L3-L4。</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18"/>
                <w:szCs w:val="18"/>
                <w:highlight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97</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建筑外形模型构建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1、建模范围：对学校的所有建筑完成建筑外形模型构建。</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基于学校CAD图纸、效果图以及在校园实地拍摄的视频等数据，完成对教学楼、宿舍、图书馆、行政楼等校园建筑的外形模型构建，高精度还原建筑的外部特征，要求模型需实现尺寸比例的精准设定及结构细部的精确复原，确保尺度比例等细节与实际建筑一致。</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需对校园场地模型进行美化，以效果图和现场拍摄视频作为参考，支持对场地模型的材质进行深度优化，包括对模型颜色、纹理特性、反射率、表面凹凸度、光泽程度以及透明度等属性进行调整，使得校园建筑外形具备极高的材质特性和视觉效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4、模型精度L3-L4。</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18"/>
                <w:szCs w:val="18"/>
                <w:highlight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98</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建筑内部结构模型构建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1、建模范围：对学校的教学楼完成建筑结构模型构建。</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rPr>
              <w:t xml:space="preserve">★</w:t>
            </w:r>
            <w:r>
              <w:rPr>
                <w:rFonts w:hint="eastAsia" w:ascii="宋体" w:hAnsi="宋体" w:eastAsia="宋体" w:cs="宋体"/>
                <w:color w:val="auto"/>
                <w:sz w:val="18"/>
                <w:szCs w:val="18"/>
                <w:highlight w:val="none"/>
              </w:rPr>
              <w:t xml:space="preserve">2、基于学校CAD图纸和在校园实地采集的影像资料等数据，精确重现建筑内部结构的三维模型，需涵盖楼板、墙体、门窗、柜体隔断、玻璃隔断、基板线、装饰表面、楼梯、卫生间及电梯等组件。</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需对建筑内部的结构模型进行美化，以效果图和和实地拍摄视频数据作为参考，支持对建筑内部结构模型的材质进行深度优化，包括对模型颜色、纹理特性、反射率、表面凹凸度、光泽程度以及透明度等属性进行调整，使得校园建筑内部结构具备极高的材质特性和视觉效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4、模型精度L3-L4。</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113100</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平方米</w:t>
            </w:r>
            <w:r/>
          </w:p>
        </w:tc>
      </w:tr>
      <w:tr>
        <w:trPr>
          <w:trHeight w:val="0"/>
        </w:trPr>
        <w:tc>
          <w:tcPr>
            <w:tcBorders>
              <w:top w:val="single" w:color="000000" w:sz="4" w:space="0"/>
              <w:left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99</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right w:val="single" w:color="000000" w:sz="4" w:space="0"/>
            </w:tcBorders>
            <w:tcW w:w="6600"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室内精装修模型构建</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1、建模范围：对学校的5间教室完成精装修模型构建。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2、基于学校CAD图纸、效果图和在校园实地采集的视频资料等数据，高精度还原重点空间场所室内精装模型，需涵盖硬装、软装、桌椅、电器、设备、窗帘、装饰摆件、花草、灯光照明等模型。</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需对建筑室内精装修模型进行美化，以效果图和和实地拍摄视频数据作为参考，支持对模型材质进行深度优化，包括对模型颜色、纹理特性、反射率、表面凹凸度、光泽程度以及透明度等属性进行调整，使得校园建筑内部结构具备极高的材质特性和视觉效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4、模型精度L4-L5。</w:t>
            </w:r>
            <w:r/>
          </w:p>
        </w:tc>
        <w:tc>
          <w:tcPr>
            <w:tcBorders>
              <w:top w:val="single" w:color="000000" w:sz="4" w:space="0"/>
              <w:left w:val="single" w:color="000000" w:sz="4" w:space="0"/>
              <w:right w:val="single" w:color="000000" w:sz="4" w:space="0"/>
            </w:tcBorders>
            <w:tcW w:w="65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数字孪生校园综合管理服务平台</w:t>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b w:val="0"/>
                <w:bCs w:val="0"/>
                <w:color w:val="auto"/>
                <w:sz w:val="18"/>
                <w:szCs w:val="18"/>
                <w:highlight w:val="none"/>
              </w:rPr>
              <w:t xml:space="preserve">模型编辑管理</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1、模型支持多视角漫游，支持用户自定义保存视角，以场景连贯性切换开展场景漫游呈现。支持模型图标缩放自适应，地图图层上图标大小能够根据地图引擎呈现模型建筑的分辨率进行自适应调整。</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模型支持材质应用管理、透明效果，通过调整材质参数可以展示玻璃等透明物体；模型支持灯光应用管理，如使用方向光展示太阳的效果，通过调整方向和强度并配合阴影，展示一天内不同时间的光照情况；模型支持阴影效果，可以调节阴影强度、模糊度等信息，支持在场景中有多个灯光产生阴影。</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模型支持动画效果管理，支持动态轨迹线、尾迹线、箭头线等动线效果。模型支持热力图，可叠加人群密度分布数据，以不同颜色显示当前区域人群分布数量比例。模型支持粒子效果，如水体、烟雾、火焰、雾、雨水、雪等粒子特效。</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b w:val="0"/>
                <w:bCs w:val="0"/>
                <w:color w:val="auto"/>
                <w:sz w:val="18"/>
                <w:szCs w:val="18"/>
                <w:highlight w:val="none"/>
              </w:rPr>
              <w:t xml:space="preserve">模型资源管理</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支持对场景中的模型以结构化树状图进行统一管理，包括建筑信息模型（BIM）、物联网设备、建筑模型、交通模型、植物模型、空间模型、美术模型、特效模型以及POI标签等，所有模型遵循园区-楼栋-专业-楼层-类别的层级关系。</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2、可通过专业过滤面板快速隐藏相关专业模型，通过清理非必要元素以优化视觉导航和提高用户界面的直观性。</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3、资源库面板</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美术模型库资源：平台内嵌的资源数量应不少于100种常用模型的丰富库存，包含并不限于建筑、厂房、公共器材、交通工具、人物、动物、道路设施、电子设备等多种元素，以涵盖不同各个场景、各个层次的需求。</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2）标准材质库资源：平台内嵌的资源数量不少于50种标准材质，包含并不限于石材、草地、金属、铺地、塑料、布料、木地板、玻璃等，材质需遵循行业标准以确保精确性与一致性。</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植物模型库资源：平台内嵌的资源数量不少于50种常用的植物模型，包括并不限于乔木、灌木、地被、景观树、草地等多类形态。同时支持植物季节变化效果，模型可以根据具体的季节日期呈现出各植物在不同季节的生态特性，如颜色变化、花期果期的动态表现以及落叶和覆雪等自然现象，为构建出富有生态效应的虚拟环境。</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4）物联网设备模型库：平台内嵌的资源数量不少于50种物联网设备的数据库，需覆盖数字黑板、监控摄像头、门禁、电梯、停车位、车行道闸、空调、照明灯控等主流厂商的系列设备，用于智能建筑与管理的应用场景使用。</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4、模型场景布置</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1）模型布置：支持将模型库中的模型拖放至场景进行放置；选定模型库中的任意模型，可使用连续放置工具来批量放置模型；在放置过程中，支持动态修改模型参数，包括尺寸、旋转和随机参数等。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 路径布置：支持通过连续点击鼠标绘制路径，实现快速布置行道树、路灯、绿化带等效果；可通过属性面板修改分布参数，包括路径类型（折线、曲线、多重曲线）、路径闭合、分布间距、分布宽度、方向偏移、缩放偏移、随机参数、地面附着等。</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3.）区域布置：支持通过连续点击鼠标绘制闭合区域，实现快速布置森林、草地、灌木丛、景观面等效果；可通过属性面板修改分布参数，包括围合曲线类型（折线、曲线）、分布密度、随机参数和地面附着等。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4.）笔刷布置：支持以绘制笔刷的方式批量布置模型，可通过属性面板修改分布参数，包括笔刷类型（创建、擦除）、笔刷半径、绘制密度和随机参数等。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5）模型替换：支持选择场景中多个模型以及模型库中的指定模型，可通过批量替换工具实现一键替换模型。</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6）行人布置：支持通过连续点击鼠标绘制路径及布置动态行人；可通过属性面板修改分布参数，包括路径类型（折线、曲线、多重曲线）、路径闭合、最小间距、最大间距、旋转偏移、宽度偏移、反向以及动作类型（站立、行走、跑步）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车流布置：支持通过连续点击鼠标绘制路径及布置动态车流；可通过属性面板修改分布参数，包括路径类型（折线、曲线、多重曲线）、路径闭合、车流速度、最小间距、最大间距、旋转偏移、宽度偏移和反向等。</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8）参数化修改：提供动态参数修改功能，支持在任何布置过程结束后，可随时返回修改参数并刷新布置结果，以提高模型场景布置的工作效率和便捷性。</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9）模型管理：支持将新增模型在模型管理面板中按照类型进行统一管理，可实现搜索、批量选择、显示隐藏和删除等操作等实用功能，以提高模型管理的效率和便利性，便于主动控制和调整每一个场景模型的细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5、模型材质修改</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材质分配：支持通过拖放的方式在材质库中为模型分配材质；需提供格式刷工具，支持将某一模型的材质批量复制并赋予到其他模型。</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材质变更：提供材质修改面板，支持选择特定的模型材质按需对材质参数进行调整，为了保证材质效果并满足各种设计及视觉呈现要求，其面板需包含以下参数修改选项：</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1）漫反射参数：可调整材质的漫反射特性，以实现更逼真的光照效果。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2）颜色纹理：支持对材质的颜色纹理进行定制，以满足不同设计需求。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3）纹理平铺：支持调整纹理在模型表面的平铺尺寸和方向，以获得理想的表现效果。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4）高光参数：可针对模型表面的高光反射效果进行调整和改进。</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5）反射参数：支持调整模型表面的反射率以及反射特性，进一步提高材质真实感。</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6）透明度参数：支持调整模型材质的透明度，实现半透明或完全透明的效果。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7）折射参数：支持对折射率进行修改，以模拟不同类型材质的光线折射效果。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8）法线贴图：支持为模型添加法线贴图，以获得更为复杂和真实的表面细节。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9）菲涅尔参数：支持调整菲涅尔反射系数，以模拟材质在不同角度下的反射效果。</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10）脏旧贴图：支持在材质表面添加脏旧效果，增加模型的历史感和质感。</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b w:val="0"/>
                <w:bCs w:val="0"/>
                <w:color w:val="auto"/>
                <w:sz w:val="18"/>
                <w:szCs w:val="18"/>
                <w:highlight w:val="none"/>
              </w:rPr>
              <w:t xml:space="preserve">空间列表管理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1、需提供校园模型空间列表，以结构化树状图形式对校园建筑模型内的房间进行统一管理，并遵循楼栋-楼层-房间的层级关系，便于用户清晰地查看每个房间的归属关系。</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2、支持在校园三维模型中浏览并选择某一房间，选中时地图场景中会显示房间的虚拟模型，可通过双击快速定位房间位置。</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3、支持在校园三维模型中查看房间相关信息，如名称、编号、功能（如教室、会议室、办公室等）等。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4、支持按房间功能进行筛选和统计，支持在校园三维地图场景中以不同颜色展示不同功能的房间模型。</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三维模型加载、交互及应用</w:t>
            </w:r>
            <w:r>
              <w:rPr>
                <w:rFonts w:hint="eastAsia" w:ascii="宋体" w:hAnsi="宋体" w:eastAsia="宋体" w:cs="宋体"/>
                <w:color w:val="000000"/>
                <w:sz w:val="18"/>
                <w:szCs w:val="18"/>
              </w:rPr>
              <w:br/>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1、飞行浏览：支持以第三人称视角在三维地图场景中进行飞行浏览，可根据视角与模型的距离自适应地调整飞行速度。</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2、行走浏览：支持以第一人称视角在三维场景地面上进行行走浏览，支持加速行走以及跳跃等功能。</w:t>
            </w:r>
            <w:r>
              <w:rPr>
                <w:rFonts w:hint="eastAsia" w:ascii="宋体" w:hAnsi="宋体" w:eastAsia="宋体" w:cs="宋体"/>
                <w:color w:val="000000"/>
                <w:sz w:val="18"/>
                <w:szCs w:val="18"/>
              </w:rPr>
              <w:br/>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3、环绕观察： 支持以鼠标投射点或对象中点作为环视中心，支持对地图拖拽实现720度环绕观察，支持对三维模型进行平移、视角缩放等。</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4、模式切换：支持在环绕观察模式和飞行漫游模式之间进行切换，实现对校园三维地图多角度、多维度的场景浏览。</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5、漫游路径编辑：可根据学校实际业务场景需要，制定多条漫游路线；</w:t>
            </w:r>
            <w:r/>
          </w:p>
          <w:p>
            <w:pPr>
              <w:jc w:val="left"/>
              <w:widowControl/>
              <w:rPr>
                <w:rFonts w:hint="eastAsia" w:ascii="宋体" w:hAnsi="宋体" w:eastAsia="宋体" w:cs="宋体"/>
                <w:color w:val="000000"/>
                <w:sz w:val="18"/>
                <w:szCs w:val="18"/>
              </w:rPr>
            </w:pP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6、支持在校园三维模型中由第三人称视角切换至第一人称视角进行场景漫游，可根据当前所在场景的路网状况，保持正常稳定高度进行位置的移动。</w:t>
            </w:r>
            <w:r/>
          </w:p>
          <w:p>
            <w:pPr>
              <w:jc w:val="left"/>
              <w:widowControl/>
              <w:rPr>
                <w:rFonts w:hint="eastAsia" w:ascii="宋体" w:hAnsi="宋体" w:eastAsia="宋体" w:cs="宋体"/>
                <w:color w:val="000000"/>
                <w:sz w:val="18"/>
                <w:szCs w:val="18"/>
              </w:rPr>
            </w:pP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7、支持对漫游路线、各漫游点位的呈现视角进行配置，配置漫游点位时，支持配置关联该点位漫游视角范围内的POI标签资源（如视频资源、设备资源等），当漫游到对应点位时，系统自动打开配置好的POI标签资源（如弹出实时视频弹框、查看设备标签详情等）信息。支持手动暂停漫游，对当前地图进行移动操作及查看当前视野的周边资源情况，暂停结束后可恢复自动漫游。</w:t>
            </w:r>
            <w:r>
              <w:rPr>
                <w:rFonts w:hint="eastAsia" w:ascii="宋体" w:hAnsi="宋体" w:eastAsia="宋体" w:cs="宋体"/>
                <w:color w:val="000000"/>
                <w:sz w:val="18"/>
                <w:szCs w:val="18"/>
              </w:rPr>
              <w:br/>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8、漫游天气编辑：支持在编辑漫游时配置每条漫游路径的季节、时间、天气等效果，启动该漫游时可将配置好的天气效果进行呈现。</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9、多漫游视角连续播放：通过设置漫游点列表，可以实现按设定的顺序播放各个漫游路径。</w:t>
            </w:r>
            <w:r>
              <w:rPr>
                <w:rFonts w:hint="eastAsia" w:ascii="宋体" w:hAnsi="宋体" w:eastAsia="宋体" w:cs="宋体"/>
                <w:color w:val="000000"/>
                <w:sz w:val="18"/>
                <w:szCs w:val="18"/>
              </w:rPr>
              <w:br/>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10、建筑模型定位聚焦：可根据建筑尺寸自适应调整显示距离，实现视图居中查看，同时在聚焦过程中支持对非聚焦区域的场景采用技术虚化处理，提升观看体验。</w:t>
            </w:r>
            <w:r>
              <w:rPr>
                <w:rFonts w:hint="eastAsia" w:ascii="宋体" w:hAnsi="宋体" w:eastAsia="宋体" w:cs="宋体"/>
                <w:color w:val="000000"/>
                <w:sz w:val="18"/>
                <w:szCs w:val="18"/>
              </w:rPr>
              <w:br/>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11、建筑楼层定位切换：支持对学校统一建筑群组内的多栋建筑（例如带连廊的复合式建筑结构）进行楼层剖切，便于展示同一楼层的结构关系以及相互位置关系，提高空间信息获取的效率。</w:t>
            </w:r>
            <w:r>
              <w:rPr>
                <w:rFonts w:hint="eastAsia" w:ascii="宋体" w:hAnsi="宋体" w:eastAsia="宋体" w:cs="宋体"/>
                <w:color w:val="000000"/>
                <w:sz w:val="18"/>
                <w:szCs w:val="18"/>
              </w:rPr>
              <w:br/>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12、建筑房间定位俯瞰：支持双击房间模型实现快速定位至房间俯瞰视角以了解其空间分布。</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13、建筑模型任意剖切：支持通过数字孪生技术实现建筑模型任意位置和角度的立面剖切操作和任意高度的平面剖切分析，从而满足建筑任意部位的观察和查询需求。</w:t>
            </w:r>
            <w:r>
              <w:rPr>
                <w:rFonts w:hint="eastAsia" w:ascii="宋体" w:hAnsi="宋体" w:eastAsia="宋体" w:cs="宋体"/>
                <w:b/>
                <w:bCs/>
                <w:color w:val="000000"/>
                <w:sz w:val="18"/>
                <w:szCs w:val="18"/>
              </w:rPr>
              <w:br/>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14、建筑模型楼层分离：支持将建筑模型的各个楼层实现独立展开，方便学校观察和比较不同楼层间的结构关系与空间布局，提升建筑空间分析的准确性与全面性。</w:t>
            </w:r>
            <w:r/>
          </w:p>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15、全景地图标签阅览:支持在激光点云全景地图场景范围内进行多媒体VR标签的叠加与阅览，包括文字标签、图像标签、视频标签、音频标签、文件标签等。在漫游到配置标签资源的位置时，在全景地图中显示对应的标签资源，点击对应标签，能够正常进行标签常规弹框呈现应用。</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rPr>
              <w:t xml:space="preserve">校园模型场景美化</w:t>
            </w:r>
            <w:r>
              <w:rPr>
                <w:rFonts w:hint="eastAsia" w:ascii="宋体" w:hAnsi="宋体" w:eastAsia="宋体" w:cs="宋体"/>
                <w:color w:val="000000"/>
                <w:sz w:val="18"/>
                <w:szCs w:val="18"/>
              </w:rPr>
              <w:br/>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1、支持动态日光变化、天空表现、建筑及场地材质调整等视觉提升，通过真实还原自然环境和建筑物之间的关系以增强视觉体验。</w:t>
            </w:r>
            <w:r>
              <w:rPr>
                <w:rFonts w:hint="eastAsia" w:ascii="宋体" w:hAnsi="宋体" w:eastAsia="宋体" w:cs="宋体"/>
                <w:color w:val="000000"/>
                <w:sz w:val="18"/>
                <w:szCs w:val="18"/>
              </w:rPr>
              <w:br/>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2、支持灯光调整、材料选择、效果烘焙以及反光处理等场景视觉优化，通过呈现细腻的质感和现实的光影效果以提升室内空间的渲染效果的真实感。</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3、支持通过动态模型的精准表达，在校园模型中融入人员和车辆流动构建活动场景，以提升视觉感官的享受。</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rPr>
              <w:t xml:space="preserve">校园气象与环境仿真</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1、天气实时仿真：支持对接实时气象系统实现天气实时同步应用，在三维模型中实时仿真呈现天气效果；支持指定时间点及指定天气类型的仿真效果呈现。</w:t>
            </w:r>
            <w:r>
              <w:rPr>
                <w:rFonts w:hint="eastAsia" w:ascii="宋体" w:hAnsi="宋体" w:eastAsia="宋体" w:cs="宋体"/>
                <w:color w:val="000000"/>
                <w:sz w:val="18"/>
                <w:szCs w:val="18"/>
              </w:rPr>
              <w:br/>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2、真实日照仿真：支持以学校所在地的经纬度作为基础，可模拟出一天中日光照射的准确路径、强度和时长，需根据校园实际建筑或地形、天气条件等因素，呈现出具体时刻的阳光角度和影子分布。</w:t>
            </w:r>
            <w:r>
              <w:rPr>
                <w:rFonts w:hint="eastAsia" w:ascii="宋体" w:hAnsi="宋体" w:eastAsia="宋体" w:cs="宋体"/>
                <w:color w:val="000000"/>
                <w:sz w:val="18"/>
                <w:szCs w:val="18"/>
              </w:rPr>
              <w:br/>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3、日照模拟分析：支持实时模拟现实世界的时间以及相应的日照情况，可根据学校所处时区、季节和天气条件生成逼真的实景光照效果，了解学校的日照特性。例如，清晨时分，系统模拟初升的阳光及其光照效果；正午时刻，系统展示太阳高悬以及对应的强度光线；傍晚时段，系统描绘夕阳西下的景色。</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日照加速模拟：支持快速获取一整天或一整年的日照变化情况，通过调节时间播放速率便捷地过渡到所选时刻，观察太阳位置、角度、光照强度等要素的变化，支持对历史日照数据进行回顾及对未来进行预测，为学校提供全面且细致的日照变化分析。例如，若学校对特定季节或时间段感兴趣，可通过加快播放速度，即可迅速观察到该时间点的日照情况。</w:t>
            </w:r>
            <w:r>
              <w:rPr>
                <w:rFonts w:hint="eastAsia" w:ascii="宋体" w:hAnsi="宋体" w:eastAsia="宋体" w:cs="宋体"/>
                <w:color w:val="000000"/>
                <w:sz w:val="18"/>
                <w:szCs w:val="18"/>
              </w:rPr>
              <w:br/>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5、季节仿真模拟：支持与实际校园中的季节变化效果实现同步，在学校三维模型场景中精准展示四季更迭中植物形态的各种转变，如植物颜色的转变、开花期、结果期、凋零期、落叶期以及覆盖雪等明显季节特征。</w:t>
            </w:r>
            <w:r>
              <w:rPr>
                <w:rFonts w:hint="eastAsia" w:ascii="宋体" w:hAnsi="宋体" w:eastAsia="宋体" w:cs="宋体"/>
                <w:color w:val="000000"/>
                <w:sz w:val="18"/>
                <w:szCs w:val="18"/>
              </w:rPr>
              <w:br/>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6、天气模拟类型：可提供一系列真实的天气模拟选项，包括但不限于阴天、晴天、多云、雨天、雷电和雪天等多种天气类型；系统需内置如降雨、多云、雾霾和风雪等动态天气效果；支持在三维场景地图中自由选择想要展示的天气类型。</w:t>
            </w:r>
            <w:r>
              <w:rPr>
                <w:rFonts w:hint="eastAsia" w:ascii="宋体" w:hAnsi="宋体" w:eastAsia="宋体" w:cs="宋体"/>
                <w:color w:val="000000"/>
                <w:sz w:val="18"/>
                <w:szCs w:val="18"/>
              </w:rPr>
              <w:br/>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7、夜间环境仿真模拟：需提供一个逼真、生动的夜晚校园景象，包含诸如车流灯光效果、街道路灯的亮度与投影、建筑物霓虹灯装饰、以及室内灯光照亮等效果，实现真实校园和虚拟校园的日夜场景同步。</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校园信息展示</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1、校园简介信息展示：支持以文本及可视化图表等形式展示，如占地面积、建筑面积、教室总数、教学班数、学校荣誉等。</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2、师资队伍信息展示：支持以饼形图等可视化图表方式展示，如教师人数、教师性别占比、职称分布、各学科教师占比等。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3、学生结构信息展示：支持以条形图等可视化图表方式展示，如在籍学生总数、男女生占比、年级人数分布等。</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4、学校专业建设介绍：支持以可视化图表方式对学校的专业群数量、国家级重点专业、省级重点专业、特色专业等专业建设情况进行展示。</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5、学校人才培养介绍：支持以可视化图表方式对学校的学院数量、专业数量课程数量、在校学生等人才培养数据情况进行展示。</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rPr>
              <w:t xml:space="preserve">视频监控应用</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1、视频标签地图点位呈现：在校园三维地图上显示校园各个区域视频监控设备的实时视频监控点位，以标签形式进行呈现以便了解校园视频设备的分布位置。</w:t>
            </w:r>
            <w:r>
              <w:rPr>
                <w:rFonts w:hint="eastAsia" w:ascii="宋体" w:hAnsi="宋体" w:eastAsia="宋体" w:cs="宋体"/>
                <w:b/>
                <w:bCs/>
                <w:color w:val="000000"/>
                <w:sz w:val="18"/>
                <w:szCs w:val="18"/>
              </w:rPr>
              <w:br/>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2、实时视频框呈现：支持在三维地图模型上以弹框形式呈现当前点击的视频实时画面，可对视频框进行位置锁定和全屏显示。</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视频录像回放：针对在三维地图上呈现的实时视频框，支持将视频播放模式由实时监控模式切换成录像视频模式，可通过选择起止时间来对视频录像进行查询，查看视频录像时可对视频录像播放进度条进行调节。</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★4、视频资源列表管理：提供设备管理列表，呈现系统接入视频设备的设备名称、所在位置、在线状态，支持模糊搜索，针对搜索结果可在地图上定位至对应标签点位。支持视频对接监控点位数量不少于500路。</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视频投影融合：通过视频地图投影技术，将校园内特定角度的一路或多路视频监控画面无缝融合到三维模型对应场景中，通过对校园内视角分散、画面独立的碎片化视频进行拼接投影融合，生成一个基于实景地图场景的动态虚实结合场景，实现三维地图场景与视频场景的深度融合。</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6、视频投影融合数量不少于3路。</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rPr>
              <w:t xml:space="preserve">★</w:t>
            </w:r>
            <w:r>
              <w:rPr>
                <w:rFonts w:hint="eastAsia" w:ascii="宋体" w:hAnsi="宋体" w:eastAsia="宋体" w:cs="宋体"/>
                <w:color w:val="auto"/>
                <w:sz w:val="18"/>
                <w:szCs w:val="18"/>
                <w:highlight w:val="none"/>
              </w:rPr>
              <w:t xml:space="preserve">1、人员轨迹快速搜索：支持通过输入人员姓名和查询时间段进行人员行动轨迹查询。</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人员轨迹三维刻画：通过对视频监控的位置空间、抓拍时间等数据进行分析，可在三维地图上生成自定义时间段内的人员历史移动迹，实现人员轨迹在三维地图场景中的全息刻画，可点击轨迹上的监控点位查看对应的人脸抓拍图像。</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轨迹点位详情查看：针对人脸抓拍比对的点位情况，支持以时间线的方式对各点位抓拍情况以时间维度进行排序并记录点位详情，可点击人员轨迹上的监控点位查看对应的比对详情，如呈现设备名称、抓拍人脸图片、比对相似度、抓拍时间等详细信息。</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异常事件预警</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针对校园内发生的各类事件，系统实时进行预警提示并对事件预警设备进行一键定位。</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1、事件预警信息接入：支持对学校重点区域入侵、人员逗留、攀高检测等异常行为事件告警信息进行实时接入，含事件类型、事件位置、抓拍图片、发生时间等数据。</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rPr>
              <w:t xml:space="preserve">★</w:t>
            </w:r>
            <w:r>
              <w:rPr>
                <w:rFonts w:hint="eastAsia" w:ascii="宋体" w:hAnsi="宋体" w:eastAsia="宋体" w:cs="宋体"/>
                <w:color w:val="auto"/>
                <w:sz w:val="18"/>
                <w:szCs w:val="18"/>
                <w:highlight w:val="none"/>
              </w:rPr>
              <w:t xml:space="preserve">2、事件预警视频联动：针对各类异常事件，支持将接收的异常告警信息在平台界面中呈现实时告警弹窗，通过告警弹窗可查看告警详情，同时联动周边视频监控查看事件实时的状态。</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3、事件预警列表呈现：提供事件告警列表，实时呈现事件告警类型、处置状态、告警时间、告警地点、告警设备等事件信息，针对任一事件可一键定位至告警位置</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rPr>
            </w:pPr>
            <w:r>
              <w:rPr>
                <w:rFonts w:hint="eastAsia" w:ascii="宋体" w:hAnsi="宋体" w:eastAsia="宋体" w:cs="宋体"/>
                <w:color w:val="auto"/>
                <w:sz w:val="18"/>
                <w:szCs w:val="18"/>
                <w:highlight w:val="none"/>
              </w:rPr>
              <w:t xml:space="preserve">采集终端人脸识别授权</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人脸检测模块：设备端离线实时监测视频流中的人脸，同时支持处理静态图片或者视频流；对当前检测到的人脸持续跟踪，动态定位人脸轮廓，稳定贴合人脸，对当前检测到的人脸持续跟踪，并动态实时展现人脸上的核心关键点；</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人脸识别模块：支持连接视频采集终端进行识别，支持在强光及夜间模式进行识别人员，支持用户在跑步状态下进行识别，支持大批量进出人员同时识别；</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识别人员进行展示：支持显示当前识别人员及识别截图；</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识别结果上报：支持上报识别人员信息，并上报识别截图照片。</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44</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color w:val="auto"/>
                <w:sz w:val="18"/>
                <w:szCs w:val="18"/>
                <w:highlight w:val="none"/>
                <w:lang w:val="en-US" w:eastAsia="zh-CN"/>
              </w:rPr>
              <w:t xml:space="preserve">套</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人脸识别处理程序</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 人脸识别模块：支持连接视频采集终端进行识别，支持在强光及夜间模式进行识别人员，支持用户在跑步状态下进行识别，支持大批量进出人员同时识别。</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2. 本地人脸库及识别结果存储：支持断网识别人员并在网络重新联通时上报识别记录至云端。</w:t>
            </w:r>
            <w:r/>
          </w:p>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3. 识别照采集：支持连接摄像头进行采集人员识别照，识别确认后保存识别照，并同步至云平台及人脸识别终端软件。</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4. 人员信息验证：支持验证当前人员是否正确录入至人脸库当中。</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 识别照上报：支持上报采集的识别照，人脸特征信息。</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宿舍考勤系统</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1、支持维护教师，学生的基本信息</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2、宿舍管理：支持对学生公寓的宿舍信息进行管理，宿舍信息包含（宿舍楼名称、宿舍号、床位号等）,支持多条件查询宿舍信息。支持对宿舍床位的批量生成。支持批量导入宿舍信息。支持批量导出宿舍信息；</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3、宿舍清空管理：支持根据楼栋、宿舍号条件查询数据后清空当前数据；</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4、宿舍分配管理：支持分配宿舍或床位，再分配宿舍或床位给学生，宿舍分配完成后可以调整。</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5、支持对宿舍床位信息的管理。支持多条件查询所分配宿舍床位的情况。支持批量导入分配学生宿舍床位。支持单个分配学生宿舍床位。支持批量移除学生宿舍床位。</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6、支持学生进出宿舍考勤记录推送到家长移动端APP，家长可直接在移动端APP查看孩子的进出宿舍详细情况；</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7、支持教师以及值班老师在移动端APP多维度的查看自己学生的归寝情况，可按全校、年级、班级或者宿舍楼查看学生就寝详细情况。</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8、支持对每个楼层的宿舍归寝情况以及详细信息进行展示，并对未归寝人员信息进行展示</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9、支持按宿舍号、姓名进行查看学生得归寝情况</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10、支持多维度学生实时归寝情况数据展示；如正常归寝人数、请假人数以及人员展示、迟到人数及人员展示，未到人数以及人员展示，每个宿舍归寝情况等</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11、支持展现出详细的归寝数据</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12、支持自由设置考勤规则，考勤组，不同年级可应用不同的考勤方式</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13、支持对学生的归寝识别的记录进行查询，并可进行导出</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14、支持未归寝人员进行补录端二次人脸识别进行补签</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15、支持人脸考勤、考勤信息、考勤数据分析以及每个场景相对应的不同要求的统计报表信息以及考勤数据分析。</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color w:val="auto"/>
                <w:sz w:val="18"/>
                <w:szCs w:val="18"/>
                <w:highlight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请假系统</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1.学生在校期间如果需要请假离校，可以向班主任或者有权限的老师请假，老师利用手机APP端帮助学生进行请假提交；</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2.老师提交请假记录后，学生可以在校门口的人脸识别闸机通道，通过人脸识别离开校园。如果未通过老师请假批准，则无法通过人脸识别道闸离开学校（需要与校门考勤设备对接）；同时，请假记录通过后，如果是住宿生，则该生请假期间内自动从宿舍考勤名单中去除；</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3.学生安全离校后，家长的手机上会接收到学生请假安全离校的消息，家长也可以通过电脑或者手机APP端及时了解学生已离校的详细信息；</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4.提供自动获取校门口闸机上报的考勤数据（需要与校门考勤设备对接）；</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color w:val="auto"/>
                <w:sz w:val="18"/>
                <w:szCs w:val="18"/>
                <w:highlight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球类比赛编排管理软件</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软件适用于：乒乓球、羽毛球、网球、 篮球、足球、排球、门球、手球等项目的比赛编排与管理。也可以用于普通体育课教学比赛的快速编排。</w:t>
            </w:r>
            <w:r/>
          </w:p>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功能包括：</w:t>
            </w:r>
            <w:r/>
          </w:p>
          <w:p>
            <w:pPr>
              <w:numPr>
                <w:ilvl w:val="0"/>
                <w:numId w:val="0"/>
              </w:num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lang w:val="en-US" w:eastAsia="zh-CN" w:bidi="ar-SA"/>
              </w:rPr>
              <w:t xml:space="preserve">1、</w:t>
            </w:r>
            <w:r>
              <w:rPr>
                <w:rFonts w:hint="eastAsia" w:ascii="宋体" w:hAnsi="宋体" w:eastAsia="宋体" w:cs="宋体"/>
                <w:color w:val="auto"/>
                <w:sz w:val="18"/>
                <w:szCs w:val="18"/>
                <w:highlight w:val="none"/>
              </w:rPr>
              <w:t xml:space="preserve">电子化报名、生成秩序册名单表 </w:t>
            </w:r>
            <w:r/>
          </w:p>
          <w:p>
            <w:pPr>
              <w:numPr>
                <w:ilvl w:val="0"/>
                <w:numId w:val="0"/>
              </w:num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i w:val="0"/>
                <w:iCs w:val="0"/>
                <w:color w:val="auto"/>
                <w:sz w:val="18"/>
                <w:szCs w:val="18"/>
                <w:lang w:val="en-US" w:eastAsia="zh-CN" w:bidi="ar-SA"/>
              </w:rPr>
              <w:t xml:space="preserve">2、</w:t>
            </w:r>
            <w:r>
              <w:rPr>
                <w:rFonts w:hint="eastAsia" w:ascii="宋体" w:hAnsi="宋体" w:eastAsia="宋体" w:cs="宋体"/>
                <w:color w:val="auto"/>
                <w:sz w:val="18"/>
                <w:szCs w:val="18"/>
                <w:highlight w:val="none"/>
              </w:rPr>
              <w:t xml:space="preserve">分组抽签(提供电脑抽签功能) </w:t>
            </w:r>
            <w:r/>
          </w:p>
          <w:p>
            <w:pPr>
              <w:numPr>
                <w:ilvl w:val="0"/>
                <w:numId w:val="0"/>
              </w:num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i w:val="0"/>
                <w:iCs w:val="0"/>
                <w:color w:val="auto"/>
                <w:sz w:val="18"/>
                <w:szCs w:val="18"/>
                <w:lang w:val="en-US" w:eastAsia="zh-CN" w:bidi="ar-SA"/>
              </w:rPr>
              <w:t xml:space="preserve">3、</w:t>
            </w:r>
            <w:r>
              <w:rPr>
                <w:rFonts w:hint="eastAsia" w:ascii="宋体" w:hAnsi="宋体" w:eastAsia="宋体" w:cs="宋体"/>
                <w:color w:val="auto"/>
                <w:sz w:val="18"/>
                <w:szCs w:val="18"/>
                <w:highlight w:val="none"/>
              </w:rPr>
              <w:t xml:space="preserve">自动安排日程场地生成对阵图表  </w:t>
            </w:r>
            <w:r/>
          </w:p>
          <w:p>
            <w:pPr>
              <w:numPr>
                <w:ilvl w:val="0"/>
                <w:numId w:val="0"/>
              </w:num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lang w:val="en-US" w:eastAsia="zh-CN" w:bidi="ar-SA"/>
              </w:rPr>
              <w:t xml:space="preserve">4、</w:t>
            </w:r>
            <w:r>
              <w:rPr>
                <w:rFonts w:hint="eastAsia" w:ascii="宋体" w:hAnsi="宋体" w:eastAsia="宋体" w:cs="宋体"/>
                <w:color w:val="auto"/>
                <w:sz w:val="18"/>
                <w:szCs w:val="18"/>
                <w:highlight w:val="none"/>
              </w:rPr>
              <w:t xml:space="preserve">报表打印和成绩管理（也可以不用软件管理）。</w:t>
            </w:r>
            <w:r/>
          </w:p>
          <w:p>
            <w:pPr>
              <w:numPr>
                <w:ilvl w:val="0"/>
                <w:numId w:val="0"/>
              </w:num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lang w:val="en-US" w:eastAsia="zh-CN" w:bidi="ar-SA"/>
              </w:rPr>
              <w:t xml:space="preserve">5、</w:t>
            </w:r>
            <w:r>
              <w:rPr>
                <w:rFonts w:hint="eastAsia" w:ascii="宋体" w:hAnsi="宋体" w:eastAsia="宋体" w:cs="宋体"/>
                <w:color w:val="auto"/>
                <w:sz w:val="18"/>
                <w:szCs w:val="18"/>
                <w:highlight w:val="none"/>
              </w:rPr>
              <w:t xml:space="preserve">可以实现种子和轮空位置自动定位、电脑抽签、对阵图表自动生成、比赛成绩智能管理和秩序册快速制作。</w:t>
            </w:r>
            <w:r/>
          </w:p>
          <w:p>
            <w:pPr>
              <w:numPr>
                <w:ilvl w:val="0"/>
                <w:numId w:val="0"/>
              </w:num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lang w:val="en-US" w:eastAsia="zh-CN" w:bidi="ar-SA"/>
              </w:rPr>
              <w:t xml:space="preserve">6、</w:t>
            </w:r>
            <w:r>
              <w:rPr>
                <w:rFonts w:hint="eastAsia" w:ascii="宋体" w:hAnsi="宋体" w:eastAsia="宋体" w:cs="宋体"/>
                <w:color w:val="auto"/>
                <w:sz w:val="18"/>
                <w:szCs w:val="18"/>
                <w:highlight w:val="none"/>
              </w:rPr>
              <w:t xml:space="preserve">循环赛制:支持从单循环、双循环到多循环的任意循环轮次和贝格尔轮转的编排。</w:t>
            </w:r>
            <w:r/>
          </w:p>
          <w:p>
            <w:pPr>
              <w:numPr>
                <w:ilvl w:val="0"/>
                <w:numId w:val="0"/>
              </w:num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lang w:val="en-US" w:eastAsia="zh-CN" w:bidi="ar-SA"/>
              </w:rPr>
              <w:t xml:space="preserve">7、</w:t>
            </w:r>
            <w:r>
              <w:rPr>
                <w:rFonts w:hint="eastAsia" w:ascii="宋体" w:hAnsi="宋体" w:eastAsia="宋体" w:cs="宋体"/>
                <w:color w:val="auto"/>
                <w:sz w:val="18"/>
                <w:szCs w:val="18"/>
                <w:highlight w:val="none"/>
              </w:rPr>
              <w:t xml:space="preserve">淘汰赛制:支持单淘汰赛、单败者复活赛、双败者复活赛。</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套</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球类大屏幕比赛计分软件</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软件语言支持:中文/英文的比赛</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1.支持篮、足、排、羽毛、乒兵、网球，并可扩展增加手球五人制足球、曲棍球、橄榄球等其他比赛项目。支持多种规则可选，CBA，FIBANBA。</w:t>
            </w:r>
            <w:r>
              <w:rPr>
                <w:rFonts w:hint="eastAsia" w:ascii="宋体" w:hAnsi="宋体" w:eastAsia="宋体" w:cs="宋体"/>
                <w:color w:val="auto"/>
                <w:sz w:val="18"/>
                <w:szCs w:val="18"/>
                <w:highlight w:val="none"/>
              </w:rPr>
              <w:br/>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auto"/>
                <w:sz w:val="18"/>
                <w:szCs w:val="18"/>
                <w:highlight w:val="none"/>
              </w:rPr>
              <w:t xml:space="preserve">2.大屏上可显示比分、赛队、队员信息;以及犯规、暂停、换人操作的指示。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3.显示比赛时间、暂停时间、系统时间以及比赛倒计时功能。</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4.裁判场边独立打分控制，同步上屏显示。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5.可调整比赛界面布局，增加删减显示内容。</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6.可以与球类比赛编排软件联动，实现比赛自动编排功能。</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7.支持广告预设及切换和临时通知插播，可以在大屏幕上显示各种通知信息并设定速度、颜色、字体等特效。</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8.可扩展操作台:可选择使用键盘快捷键打分，也可以配备专业打分台打分比分导出功能。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9.数据自动备份，如遇电脑故障或断电重启后即恢复先前画面</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10.协同计时记分设备:可与24S记分牌同步显示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11.与比赛技术统计软件联动自动记录球员得分判罚。</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12可与在线报名系统联动，自动生成导入报名表。</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13.可与比赛字幕软件联动，自动实时提供比赛数据信息。</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14.可与成绩管理系统联动，生成导出比赛秩序单、成绩公告表、名次公告表单。</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套</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田径运动会编排管理软件</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田径运动会编排管理软件适用于任意级别和形式的运动会比赛管</w:t>
            </w:r>
            <w:r>
              <w:rPr>
                <w:rFonts w:hint="eastAsia" w:ascii="宋体" w:hAnsi="宋体" w:eastAsia="宋体" w:cs="宋体"/>
                <w:color w:val="auto"/>
                <w:sz w:val="18"/>
                <w:szCs w:val="18"/>
                <w:highlight w:val="none"/>
              </w:rPr>
              <w:t xml:space="preserve">理，方便的备份功能可以支持任意数量的运动会切换。适用于所有级别的运动会管理；兼容各种趣味比赛项目；支持男女混合项目；支持任意形式的号码分配；支持手计时和电动计时；秩序册一键生成；秩序册集体项目名单输出；比赛成绩智能化管理；电子大屏幕显示；全能自动算分；手机二维码查询查询；手机输入成绩等高级功能；特别兼容体育中考和体育高考测试(可以自定义测试项目、对应成绩分值、自动查分统计、报表输出及打印)。套装版参赛单位数量、参赛人数和秩序册生成次数均不限。支持比赛现场联网处理，适合于管理要求较高、大型高档次的运动会模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包含：主机程序+互联网、校园网报名系统+Excel导入报名+比赛现场联网处理程序+秩序册一键生成功能+比赛表格打印、成绩高效管理。</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套</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图书馆管理系统</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一、系统结构：</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1.采用C/S+B/S混合架构网络体系结构,支持桌面端版本管理、也同时支持B/S纯网页端管理，数据无缝同步管理，无需二次开发对接。</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2.系统主菜单包含（采访管理、采编管理、期刊管理、读者管理、流通管理、典藏管理、统计管理、系统管理、帮助客服等）。用户界面良好，灵活简便直观的操作，具有灵活、全面的系统维护功能。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二、系统运行环境:</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软件必须采用多层（三层及以上）架构，保障软件的可靠性和稳定性，客户端必须实现免维护，自动升级功能。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三.主要功能要求：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(一)采访管理</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1.智能选书:通过第三方提供的电子表格导入系统中，可对导入目录实现馆藏目录一键查重、一键删重，筛选重复书目，选择适合的图书目录推荐到采购目录中，并生成订购清单，方便管理员下单采购图书。</w:t>
            </w:r>
            <w:r>
              <w:rPr>
                <w:rFonts w:hint="eastAsia" w:ascii="宋体" w:hAnsi="宋体" w:eastAsia="宋体" w:cs="宋体"/>
                <w:sz w:val="18"/>
                <w:szCs w:val="18"/>
              </w:rPr>
              <w:br/>
            </w:r>
            <w:r>
              <w:rPr>
                <w:rFonts w:hint="eastAsia" w:ascii="宋体" w:hAnsi="宋体" w:eastAsia="宋体" w:cs="宋体"/>
                <w:sz w:val="18"/>
                <w:szCs w:val="18"/>
              </w:rPr>
              <w:t xml:space="preserve">2.已推荐图书能自动获取图书封面和图书基本信息，更直观了解图书信息。</w:t>
            </w:r>
            <w:r>
              <w:rPr>
                <w:rFonts w:hint="eastAsia" w:ascii="宋体" w:hAnsi="宋体" w:eastAsia="宋体" w:cs="宋体"/>
                <w:sz w:val="18"/>
                <w:szCs w:val="18"/>
              </w:rPr>
              <w:br/>
            </w:r>
            <w:r>
              <w:rPr>
                <w:rFonts w:hint="eastAsia" w:ascii="宋体" w:hAnsi="宋体" w:eastAsia="宋体" w:cs="宋体"/>
                <w:sz w:val="18"/>
                <w:szCs w:val="18"/>
              </w:rPr>
              <w:t xml:space="preserve">★</w:t>
            </w:r>
            <w:r>
              <w:rPr>
                <w:rFonts w:hint="eastAsia" w:ascii="宋体" w:hAnsi="宋体" w:eastAsia="宋体" w:cs="宋体"/>
                <w:sz w:val="18"/>
                <w:szCs w:val="18"/>
              </w:rPr>
              <w:t xml:space="preserve">3.图书预订:可生成预定目录.支持EXCEL电子表格导入导出，自定义设置批号、供应商.代码.日期等。</w:t>
            </w:r>
            <w:r>
              <w:rPr>
                <w:rFonts w:hint="eastAsia" w:ascii="宋体" w:hAnsi="宋体" w:eastAsia="宋体" w:cs="宋体"/>
                <w:sz w:val="18"/>
                <w:szCs w:val="18"/>
              </w:rPr>
              <w:br/>
            </w:r>
            <w:r>
              <w:rPr>
                <w:rFonts w:hint="eastAsia" w:ascii="宋体" w:hAnsi="宋体" w:eastAsia="宋体" w:cs="宋体"/>
                <w:sz w:val="18"/>
                <w:szCs w:val="18"/>
              </w:rPr>
              <w:t xml:space="preserve">4.直接验收:可对图书做验收入库处理，生成验收记录，验收批次等。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（二）采编管理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rPr>
              <w:t xml:space="preserve">1.系统在采编时提供简单编目和专业编目（CNMARC）对照，方便采编人员判定数据的完整性和标准性，同时支持种次号、著作号、四角号码，满足不同单位的索书号生成规则。</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2.系统应提供按国际网络通讯协议Z39.50标准设计的联机编目查询功能，能自定义添加其它Z39.50协议账号下载标准数据源。</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3.系统应有编目套录数据库，同时能够提供国图和CALIS以及采访的中文和外文图书信息供编目使用，减轻图书管理人员的采编工作量，中文图书套录数据库数据不低于800万条。还应具备分类号自动截取功能，按照用户设置自动对分类号进行处理，条码能够按照指定号段批量删除。</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4.编目界面直观简便，可快速查看馆藏量及快捷删除和修改馆藏数据，编目时可以实现ISBN号连续输入、自动扫描输入，智能判断13位和10位ISBN号，系统能自动递增或递减图书条码号，提高输入效率及准确率。</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rPr>
              <w:t xml:space="preserve">5.系统具有图书定位功能，采编人员可以在采编时通过ISBN号定位图书，也可通过条码号(馆藏号)批量定位所有馆藏图书位置,方便图书馆管理员快速.准确的查询馆藏图书所在位置。</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rPr>
              <w:t xml:space="preserve">6.系统具有打包清单功能，对某些图书下架、剔除、注销等不适宜图书能导出电子表格详单和汇总的每包清单。</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7.具有图书标签管理及打印的功能，支持多种组合格式打印，能打印一维码和二维码标签。</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8.具有图书条码管理及打印功能，支持打印一维码和二维码条码。</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9.数据合并功能:可自动查询馆藏重复或是多条数据，人工判断是否合并数据。</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10.空数据清除:可自动查询馆藏里无财产号的书目数据。</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11.数据处理：支持导入标准的CNMARC数据和Excel表格数据，支持下载Excel模板。</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(三)期刊管理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1.期刊征订:可以通过EXCEL电子表格批量导入需要征订的期刊目录，可以一键查重、一键删重征订目录，方便管理员管理征订目录。</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2.期刊登记:通过已征订的期刊目录可以快速登记已到期刊目录的登记工作，对于未征订的期刊可做剔除处理。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3.期刊编目:直接录入期刊的基本信息及财产号。</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4.期刊管理：对已入库的期刊信息做查询、注销、删除、调库、合订、批处理。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rPr>
              <w:t xml:space="preserve">5.期刊打印:具有期刊标签管理及打印的功能，支持多种组合格式打印，能打印一维码和二维码标签。</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(四)读者管理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1.能自定义设定各种类型读者对每种图书的外借期限、册数、超期罚款等流通参数。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2.可自定义批量修改读者班级或部门、类型、可批量删除部门和读者信息。</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3.图书、期刊应具有相应的借阅权限功能。</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4.读者导入和导出：通过EXCEL表格可以批量导入和导出读者，减少管理人员的录入工作量。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rPr>
              <w:t xml:space="preserve">5.可设置读者白名单、对不符合借阅条件的读者做过滤。</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6.具有借书证的管理及打印功能，可自义打印标准借书证，支持一维码和二维码读者证。</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(五)流通管理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1.图书借还支持一卡通对接(能完整提供API接口)IC卡、ID卡、条码卡、身份证借还、扫码借还等。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2.支持主流的智慧图书馆管理，能提供自助借还系统、自助办证系统、盘点系统、OPAC查询系统、RIFD标签转换系统、无需二次开发,并能提供标准的图书馆SIP2协议接口系统。</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3.读者借阅、归还、续借、赔偿等在一个界面完成操作，无需切换。</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rPr>
              <w:t xml:space="preserve">4.系统支持批量归还操作，可一键归还该读者所借所有图书。</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4.支持离线借阅图书，在电脑无网络的情况下系统可以正常的借还图书，待网络恢复正常时可以自动上传离线借还记录。</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(五)典藏管理</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1.具有查询管理、图书状态管理、图书转库管理、跳号检测、图书批处理等功能。</w:t>
            </w:r>
            <w:r>
              <w:rPr>
                <w:rFonts w:hint="eastAsia" w:ascii="宋体" w:hAnsi="宋体" w:eastAsia="宋体" w:cs="宋体"/>
                <w:sz w:val="18"/>
                <w:szCs w:val="18"/>
              </w:rPr>
              <w:br/>
            </w:r>
            <w:r>
              <w:rPr>
                <w:rFonts w:hint="eastAsia" w:ascii="宋体" w:hAnsi="宋体" w:eastAsia="宋体" w:cs="宋体"/>
                <w:sz w:val="18"/>
                <w:szCs w:val="18"/>
              </w:rPr>
              <w:t xml:space="preserve">2.具有图书条码更换功能，方便后期条码损坏之后不用二次编目，即可快速更换新条码。</w:t>
            </w:r>
            <w:r>
              <w:rPr>
                <w:rFonts w:hint="eastAsia" w:ascii="宋体" w:hAnsi="宋体" w:eastAsia="宋体" w:cs="宋体"/>
                <w:sz w:val="18"/>
                <w:szCs w:val="18"/>
              </w:rPr>
              <w:br/>
            </w:r>
            <w:r>
              <w:rPr>
                <w:rFonts w:hint="eastAsia" w:ascii="宋体" w:hAnsi="宋体" w:eastAsia="宋体" w:cs="宋体"/>
                <w:sz w:val="18"/>
                <w:szCs w:val="18"/>
              </w:rPr>
              <w:t xml:space="preserve">3.支持教育部图书馆图书审查清理专项活动，能够自定义查询图书清查类别，导出清查图书登记表，图书审查清理情况汇总表。</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.具有图书盘点汇总功能，能自动核算出每层书架数量以及能查看每种图书的具体信息和位置。</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(六)统计管理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1.系统中的报表可直接转化为其它通用格式（如：Excel）,以方便用户二次编辑打印。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2.具有与图书、期刊操作相对应完善、详细的查询、统计功能并能生成可打印的报表。</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rPr>
              <w:t xml:space="preserve">3.系统具有详细的数据统计功能，可统计图书馆总册数、图书种数、图书码洋、平均复本数、生均册数、冻结人数、读者人数、图书流通册数、图书流通率、藏书利用率、读者借阅率、读者到馆率等。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4.系统可统计读者到馆率、可自定义统计按年和按月图书流通率、馆藏分类统计、热门图书排行榜等，并能通过各种图形展示数据百分比。</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rPr>
              <w:t xml:space="preserve">5.支持根据教育部刊发的《中小学图书馆规程》，针对不同学校类别测算藏书量、藏书分类比例是否达标。</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（七）系统管理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1.用户管理:可对操作员设置各种自定义权限管理。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2.工作量表管理:可对采编人员的工作量做直观统计，可按年统计、按月统计、按日统计。</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3.系统支持添加多个书库，便于管理员统计馆藏图书。</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rPr>
              <w:t xml:space="preserve">4.系统为方便管理员快速操作，将常用功能模块放在系统最顶部（包含：图书编目、图书借阅、图书归还、读者办证等），管理员可以快速的进项日常操作。</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color w:val="auto"/>
                <w:sz w:val="18"/>
                <w:szCs w:val="18"/>
                <w:highlight w:val="none"/>
                <w:lang w:val="en-US" w:eastAsia="zh-CN"/>
              </w:rPr>
              <w:t xml:space="preserve">项</w:t>
            </w:r>
            <w:r/>
          </w:p>
        </w:tc>
      </w:tr>
      <w:tr>
        <w:trPr>
          <w:trHeight w:val="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OPAC检索系统</w:t>
            </w:r>
            <w:r/>
          </w:p>
        </w:tc>
        <w:tc>
          <w:tcPr>
            <w:tcBorders>
              <w:top w:val="single" w:color="000000" w:sz="4" w:space="0"/>
              <w:left w:val="single" w:color="000000" w:sz="4" w:space="0"/>
              <w:bottom w:val="single" w:color="000000" w:sz="4" w:space="0"/>
              <w:right w:val="single" w:color="000000" w:sz="4" w:space="0"/>
            </w:tcBorders>
            <w:tcW w:w="6600"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1.系统架构：查询系统采用Browse/Server体系结构，部署在服务器端，便于读者打开浏览器即可快读查询，无需安装客户端。</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2.系统数据安全：可根据客户需求有偿提供云服务器并部署在云服务器上，保障数据安全，同时方便读者可以随时随地在手机或者家里电脑上查询；</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3.读者可输入不同的关键词检索图书馆的图书，支持通过书名、作者、ISBN进行检索；</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rPr>
              <w:t xml:space="preserve">4.系统具有热门图书推荐模块，可以展示热门图书封面，给读者提供检索参考。</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5.读者检索图书后，进入图书详情页后，可查看图书基本信息（ISBN/书名、作者、索书号、出版社、出版日期）以及图书内容简介。</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rPr>
              <w:t xml:space="preserve">6.读者进入图书详情后可查看对应的馆藏详情，如索书号、图书条码号、架位号、书库（馆藏地）以及在馆状态。</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rPr>
              <w:t xml:space="preserve">7.读者检索出自己想要借阅的图书后，可以进行预约操作，预约后图书管理员可以在图书预约列表查看读者预约记录。</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8.OPAC检索系统具有分类检索功能，可直接点击对应类别的图书，查看相应的馆藏图书。</w:t>
            </w:r>
            <w:r>
              <w:rPr>
                <w:rFonts w:hint="eastAsia" w:ascii="宋体" w:hAnsi="宋体" w:eastAsia="宋体" w:cs="宋体"/>
                <w:color w:val="auto"/>
                <w:sz w:val="18"/>
                <w:szCs w:val="18"/>
                <w:highlight w:val="none"/>
              </w:rPr>
              <w:br/>
            </w:r>
            <w:r>
              <w:rPr>
                <w:rFonts w:hint="eastAsia" w:ascii="宋体" w:hAnsi="宋体" w:eastAsia="宋体" w:cs="宋体"/>
                <w:sz w:val="18"/>
                <w:szCs w:val="18"/>
              </w:rPr>
              <w:t xml:space="preserve">★</w:t>
            </w:r>
            <w:r>
              <w:rPr>
                <w:rFonts w:hint="eastAsia" w:ascii="宋体" w:hAnsi="宋体" w:eastAsia="宋体" w:cs="宋体"/>
                <w:color w:val="auto"/>
                <w:sz w:val="18"/>
                <w:szCs w:val="18"/>
                <w:highlight w:val="none"/>
              </w:rPr>
              <w:t xml:space="preserve">9.读者登录后可查看借阅详情，可查看已借图书、逾期图书、预约图书。</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项</w:t>
            </w:r>
            <w:r/>
          </w:p>
        </w:tc>
      </w:tr>
    </w:tbl>
    <w:p>
      <w:pPr>
        <w:rPr>
          <w:rFonts w:hint="eastAsia" w:ascii="宋体" w:hAnsi="宋体"/>
          <w:b/>
          <w:color w:val="000000"/>
          <w:sz w:val="30"/>
          <w:szCs w:val="30"/>
        </w:rPr>
      </w:pPr>
      <w:r>
        <w:rPr>
          <w:rFonts w:hint="eastAsia" w:ascii="宋体" w:hAnsi="宋体"/>
          <w:b/>
          <w:color w:val="000000"/>
          <w:sz w:val="30"/>
          <w:szCs w:val="30"/>
        </w:rPr>
        <w:br w:type="page" w:clear="all"/>
      </w:r>
      <w:r/>
    </w:p>
    <w:p>
      <w:pPr>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eastAsia="宋体"/>
          <w:bCs/>
          <w:color w:val="000000"/>
          <w:sz w:val="24"/>
          <w:szCs w:val="24"/>
          <w:highlight w:val="none"/>
          <w:lang w:val="en-US" w:eastAsia="zh-CN"/>
        </w:rPr>
        <w:t xml:space="preserve">本项目固定单价，按实结算。</w:t>
      </w:r>
      <w:r>
        <w:rPr>
          <w:rFonts w:hint="eastAsia" w:ascii="宋体" w:hAnsi="宋体"/>
          <w:bCs/>
          <w:color w:val="000000"/>
          <w:sz w:val="24"/>
          <w:szCs w:val="24"/>
          <w:highlight w:val="none"/>
        </w:rPr>
        <w:t xml:space="preserve">投标总报价包括满足本项目要求的所有产品及其配件、包装、运</w:t>
      </w:r>
      <w:r>
        <w:rPr>
          <w:rFonts w:hint="eastAsia" w:ascii="宋体" w:hAnsi="宋体"/>
          <w:bCs/>
          <w:color w:val="000000"/>
          <w:sz w:val="24"/>
          <w:szCs w:val="24"/>
          <w:highlight w:val="none"/>
          <w:lang w:val="en-US" w:eastAsia="zh-CN"/>
        </w:rPr>
        <w:t xml:space="preserve">输</w:t>
      </w:r>
      <w:r>
        <w:rPr>
          <w:rFonts w:hint="eastAsia" w:ascii="宋体" w:hAnsi="宋体"/>
          <w:bCs/>
          <w:color w:val="000000"/>
          <w:sz w:val="24"/>
          <w:szCs w:val="24"/>
          <w:highlight w:val="none"/>
        </w:rPr>
        <w:t xml:space="preserve">、安装调试及售后服务等从项目中标起到项目正式交付以及质保期内所发生的一切费用</w:t>
      </w:r>
      <w:r>
        <w:rPr>
          <w:rFonts w:hint="eastAsia" w:ascii="宋体" w:hAnsi="宋体"/>
          <w:bCs/>
          <w:color w:val="000000"/>
          <w:sz w:val="24"/>
          <w:szCs w:val="24"/>
          <w:highlight w:val="none"/>
          <w:lang w:eastAsia="zh-CN"/>
        </w:rPr>
        <w:t xml:space="preserve">。</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p>
    <w:p>
      <w:pPr>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eastAsia="宋体" w:cs="宋体"/>
          <w:sz w:val="24"/>
          <w:szCs w:val="24"/>
          <w:highlight w:val="none"/>
        </w:rPr>
        <w:t xml:space="preserve">中标单位于中标后3日内向使用单位提供部分产品的样品进行测试，具体测试产品清单由使用单位抽取</w:t>
      </w:r>
      <w:r>
        <w:rPr>
          <w:rFonts w:hint="eastAsia" w:ascii="宋体" w:hAnsi="宋体" w:eastAsia="宋体" w:cs="宋体"/>
          <w:sz w:val="24"/>
          <w:szCs w:val="24"/>
          <w:highlight w:val="none"/>
          <w:lang w:eastAsia="zh-CN"/>
        </w:rPr>
        <w:t xml:space="preserve">。</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Times New Roman" w:eastAsia="宋体" w:cs="Times New Roman"/>
          <w:b/>
          <w:bCs w:val="0"/>
          <w:color w:val="000000"/>
          <w:sz w:val="24"/>
          <w:szCs w:val="24"/>
          <w:highlight w:val="none"/>
        </w:rPr>
        <w:t xml:space="preserve">完工期：</w:t>
      </w:r>
      <w:r>
        <w:rPr>
          <w:rFonts w:hint="eastAsia" w:ascii="宋体" w:hAnsi="Times New Roman" w:eastAsia="宋体" w:cs="Times New Roman"/>
          <w:bCs/>
          <w:color w:val="000000"/>
          <w:sz w:val="24"/>
          <w:szCs w:val="24"/>
          <w:highlight w:val="none"/>
        </w:rPr>
        <w:t xml:space="preserve">合同签订生效后 30日历天内送货到学校指定地点，并安装</w:t>
      </w:r>
      <w:r>
        <w:rPr>
          <w:rFonts w:hint="eastAsia" w:ascii="宋体" w:eastAsia="宋体" w:cs="Times New Roman"/>
          <w:bCs/>
          <w:color w:val="000000"/>
          <w:sz w:val="24"/>
          <w:szCs w:val="24"/>
          <w:highlight w:val="none"/>
          <w:lang w:eastAsia="zh-CN"/>
        </w:rPr>
        <w:t xml:space="preserve">调试</w:t>
      </w:r>
      <w:r>
        <w:rPr>
          <w:rFonts w:hint="eastAsia" w:ascii="宋体" w:hAnsi="Times New Roman" w:eastAsia="宋体" w:cs="Times New Roman"/>
          <w:bCs/>
          <w:color w:val="000000"/>
          <w:sz w:val="24"/>
          <w:szCs w:val="24"/>
          <w:highlight w:val="none"/>
        </w:rPr>
        <w:t xml:space="preserve">完毕交付使用</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
          <w:bCs w:val="0"/>
          <w:color w:val="000000"/>
          <w:sz w:val="24"/>
          <w:szCs w:val="24"/>
          <w:highlight w:val="none"/>
        </w:rPr>
        <w:t xml:space="preserve">项目整体质保期</w:t>
      </w:r>
      <w:r>
        <w:rPr>
          <w:rFonts w:hint="eastAsia" w:ascii="宋体" w:hAnsi="Times New Roman" w:eastAsia="宋体" w:cs="Times New Roman"/>
          <w:bCs/>
          <w:color w:val="000000"/>
          <w:sz w:val="24"/>
          <w:szCs w:val="24"/>
          <w:highlight w:val="none"/>
        </w:rPr>
        <w:t xml:space="preserve">：</w:t>
      </w:r>
      <w:r>
        <w:rPr>
          <w:rFonts w:hint="eastAsia" w:ascii="宋体" w:hAnsi="Times New Roman" w:eastAsia="宋体" w:cs="Times New Roman"/>
          <w:bCs/>
          <w:color w:val="000000"/>
          <w:sz w:val="24"/>
          <w:szCs w:val="24"/>
          <w:highlight w:val="none"/>
          <w:lang w:val="en-US" w:eastAsia="zh-CN"/>
        </w:rPr>
        <w:t xml:space="preserve">三</w:t>
      </w:r>
      <w:r>
        <w:rPr>
          <w:rFonts w:hint="eastAsia" w:ascii="宋体" w:hAnsi="Times New Roman" w:eastAsia="宋体" w:cs="Times New Roman"/>
          <w:bCs/>
          <w:color w:val="000000"/>
          <w:sz w:val="24"/>
          <w:szCs w:val="24"/>
          <w:highlight w:val="none"/>
        </w:rPr>
        <w:t xml:space="preserve">年。 自最终验收合格、交付使用之日起计算</w:t>
      </w:r>
      <w:r>
        <w:rPr>
          <w:rFonts w:hint="eastAsia" w:ascii="宋体" w:hAnsi="Times New Roman" w:eastAsia="宋体" w:cs="Times New Roman"/>
          <w:bCs/>
          <w:color w:val="000000"/>
          <w:sz w:val="24"/>
          <w:szCs w:val="24"/>
          <w:highlight w:val="none"/>
          <w:lang w:eastAsia="zh-CN"/>
        </w:rPr>
        <w:t xml:space="preserve">。</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
          <w:bCs w:val="0"/>
          <w:color w:val="000000"/>
          <w:sz w:val="24"/>
          <w:szCs w:val="24"/>
          <w:highlight w:val="none"/>
        </w:rPr>
        <w:t xml:space="preserve">维修服务响应时间：</w:t>
      </w:r>
      <w:r>
        <w:rPr>
          <w:rFonts w:hint="eastAsia" w:ascii="宋体" w:hAnsi="Times New Roman" w:eastAsia="宋体" w:cs="Times New Roman"/>
          <w:bCs/>
          <w:color w:val="000000"/>
          <w:sz w:val="24"/>
          <w:szCs w:val="24"/>
          <w:highlight w:val="none"/>
        </w:rPr>
        <w:t xml:space="preserve">质保期内提供7*24小时售后服务和技术支持；接到用户报修需求后，专业维修服务人员需1小时内到达现场，2小时内排除故障，保障系统正常运行</w:t>
      </w:r>
      <w:r>
        <w:rPr>
          <w:rFonts w:hint="eastAsia" w:ascii="宋体" w:cs="Times New Roman"/>
          <w:bCs/>
          <w:color w:val="000000"/>
          <w:sz w:val="24"/>
          <w:szCs w:val="24"/>
          <w:highlight w:val="none"/>
          <w:lang w:eastAsia="zh-CN"/>
        </w:rPr>
        <w:t xml:space="preserve">。</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hAnsi="Times New Roman" w:eastAsia="宋体" w:cs="Times New Roman"/>
          <w:b/>
          <w:bCs w:val="0"/>
          <w:color w:val="000000"/>
          <w:sz w:val="24"/>
          <w:szCs w:val="24"/>
          <w:highlight w:val="none"/>
        </w:rPr>
      </w:pPr>
      <w:r>
        <w:rPr>
          <w:rFonts w:hint="eastAsia" w:ascii="宋体" w:hAnsi="Times New Roman" w:eastAsia="宋体" w:cs="Times New Roman"/>
          <w:b/>
          <w:bCs w:val="0"/>
          <w:color w:val="000000"/>
          <w:sz w:val="24"/>
          <w:szCs w:val="24"/>
          <w:highlight w:val="none"/>
        </w:rPr>
        <w:t xml:space="preserve">付款方式：合同签订后10个工作日内支付合同总价30%的预付款，安装调试完毕并验收合格后7个工作日内支付至合同总价的55%，余款第二年付清。中标单位须出具满足采购人要求的相应的税金发票</w:t>
      </w:r>
      <w:r>
        <w:rPr>
          <w:rFonts w:hint="eastAsia" w:ascii="宋体" w:eastAsia="宋体" w:cs="Times New Roman"/>
          <w:b/>
          <w:bCs w:val="0"/>
          <w:color w:val="000000"/>
          <w:sz w:val="24"/>
          <w:szCs w:val="24"/>
          <w:highlight w:val="none"/>
          <w:lang w:eastAsia="zh-CN"/>
        </w:rPr>
        <w:t xml:space="preserve">。</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highlight w:val="none"/>
        </w:rPr>
        <w:t xml:space="preserve">无锡市</w:t>
      </w:r>
      <w:r>
        <w:rPr>
          <w:rFonts w:hint="eastAsia" w:ascii="宋体" w:hAnsi="宋体"/>
          <w:bCs/>
          <w:color w:val="000000"/>
          <w:sz w:val="24"/>
          <w:szCs w:val="24"/>
          <w:highlight w:val="none"/>
          <w:lang w:val="en-US" w:eastAsia="zh-CN"/>
        </w:rPr>
        <w:t xml:space="preserve">滨湖区</w:t>
      </w:r>
      <w:r>
        <w:rPr>
          <w:rFonts w:hint="eastAsia" w:ascii="宋体" w:hAnsi="宋体"/>
          <w:bCs/>
          <w:color w:val="000000"/>
          <w:sz w:val="24"/>
          <w:szCs w:val="24"/>
          <w:highlight w:val="none"/>
        </w:rPr>
        <w:t xml:space="preserve">，具体地点以合同书约定为准。中标方必须按采购人要求将本项目中货物送到指定地点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包括可能的分布范围</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，并分地实施安装调试</w:t>
      </w:r>
      <w:r>
        <w:rPr>
          <w:rFonts w:hint="eastAsia" w:ascii="宋体" w:hAnsi="宋体"/>
          <w:bCs/>
          <w:color w:val="000000"/>
          <w:sz w:val="24"/>
          <w:szCs w:val="24"/>
        </w:rPr>
        <w:t xml:space="preserve">。</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1" w:name="OLE_LINK2"/>
      <w:r/>
      <w:bookmarkStart w:id="192" w:name="OLE_LINK1"/>
      <w:r>
        <w:rPr>
          <w:rFonts w:hint="eastAsia" w:ascii="宋体"/>
          <w:bCs/>
          <w:sz w:val="24"/>
          <w:szCs w:val="24"/>
        </w:rPr>
        <w:t xml:space="preserve">《保障中小企业款项支付条例》（中华人民共和国国务院令第802号）</w:t>
      </w:r>
      <w:bookmarkEnd w:id="191"/>
      <w:r/>
      <w:bookmarkEnd w:id="192"/>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ind w:firstLine="482"/>
        <w:spacing w:line="360" w:lineRule="auto"/>
        <w:tabs>
          <w:tab w:val="left" w:pos="525" w:leader="none"/>
          <w:tab w:val="left" w:pos="630" w:leader="none"/>
          <w:tab w:val="left" w:pos="735" w:leader="none"/>
          <w:tab w:val="left" w:pos="945" w:leader="none"/>
          <w:tab w:val="left" w:pos="1080" w:leader="none"/>
        </w:tabs>
        <w:rPr>
          <w:rFonts w:hint="eastAsia" w:ascii="宋体"/>
          <w:b/>
          <w:bCs w:val="0"/>
          <w:sz w:val="24"/>
          <w:szCs w:val="24"/>
          <w:highlight w:val="none"/>
          <w:lang w:val="en"/>
        </w:rPr>
      </w:pPr>
      <w:r>
        <w:rPr>
          <w:rFonts w:hint="eastAsia" w:ascii="宋体"/>
          <w:b/>
          <w:bCs w:val="0"/>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3" w:name="_Toc120614281"/>
      <w:r>
        <w:rPr>
          <w:rFonts w:hint="eastAsia" w:ascii="黑体" w:hAnsi="黑体" w:eastAsia="黑体"/>
          <w:sz w:val="36"/>
          <w:szCs w:val="36"/>
        </w:rPr>
        <w:t xml:space="preserve">第五章  评标方法与评标标准</w:t>
      </w:r>
      <w:r/>
    </w:p>
    <w:p>
      <w:pPr>
        <w:pStyle w:val="940"/>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40"/>
        <w:spacing w:before="0" w:after="0" w:line="500" w:lineRule="exact"/>
        <w:rPr>
          <w:rFonts w:hint="eastAsia" w:cs="Arial"/>
        </w:rPr>
      </w:pPr>
      <w:r>
        <w:rPr>
          <w:rFonts w:hint="eastAsia" w:cs="Arial"/>
        </w:rPr>
        <w:t xml:space="preserve">投标人通过初审的，方可进入比较与评价程序。</w:t>
      </w:r>
      <w:r/>
    </w:p>
    <w:p>
      <w:pPr>
        <w:pStyle w:val="940"/>
        <w:spacing w:before="0" w:after="0" w:line="500" w:lineRule="exact"/>
        <w:rPr>
          <w:rFonts w:hint="eastAsia" w:cs="Arial"/>
        </w:rPr>
      </w:pPr>
      <w:r>
        <w:rPr>
          <w:rFonts w:hint="eastAsia" w:cs="Arial"/>
        </w:rPr>
        <w:t xml:space="preserve">比较与评价采用综合评分法。</w:t>
      </w:r>
      <w:r/>
    </w:p>
    <w:p>
      <w:pPr>
        <w:pStyle w:val="940"/>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0"/>
        <w:spacing w:before="0" w:after="0" w:line="500" w:lineRule="exact"/>
        <w:rPr>
          <w:rFonts w:hint="eastAsia" w:ascii="宋体" w:hAnsi="宋体"/>
          <w:bCs/>
        </w:rPr>
      </w:pPr>
      <w:r>
        <w:rPr>
          <w:rFonts w:hint="eastAsia" w:ascii="宋体" w:hAnsi="宋体"/>
          <w:b/>
          <w:bCs w:val="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4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rPr>
        <w:t xml:space="preserve">201</w:t>
      </w:r>
      <w:r>
        <w:rPr>
          <w:rFonts w:hint="eastAsia" w:ascii="宋体" w:hAnsi="宋体"/>
          <w:bCs/>
          <w:color w:val="000000" w:themeColor="text1"/>
          <w:sz w:val="24"/>
          <w:szCs w:val="24"/>
          <w:highlight w:val="none"/>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2.对本国产品的支持政策：根据</w:t>
      </w:r>
      <w:r>
        <w:rPr>
          <w:rFonts w:hint="eastAsia" w:ascii="宋体"/>
          <w:b/>
          <w:bCs/>
          <w:color w:val="000000" w:themeColor="text1"/>
          <w:sz w:val="24"/>
          <w:szCs w:val="24"/>
          <w:highlight w:val="none"/>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2.2注意事项</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（1）提供本国产品进行投标（报价）的供应商需在其投</w:t>
      </w:r>
      <w:r>
        <w:rPr>
          <w:rFonts w:hint="eastAsia" w:ascii="宋体" w:hAnsi="宋体"/>
          <w:bCs/>
          <w:color w:val="000000" w:themeColor="text1"/>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rPr>
        <w:t xml:space="preserve">货物成本之和</w:t>
      </w:r>
      <w:r>
        <w:rPr>
          <w:rFonts w:hint="eastAsia" w:ascii="宋体" w:hAnsi="宋体"/>
          <w:bCs/>
          <w:color w:val="000000" w:themeColor="text1"/>
          <w:sz w:val="24"/>
          <w:szCs w:val="24"/>
          <w:highlight w:val="none"/>
        </w:rPr>
        <w:t xml:space="preserve">；“全部产品成本之和”是指货物或服务项目（或者采购包）中包含的</w:t>
      </w:r>
      <w:r>
        <w:rPr>
          <w:rFonts w:hint="eastAsia" w:ascii="宋体" w:hAnsi="宋体"/>
          <w:b/>
          <w:bCs/>
          <w:color w:val="000000" w:themeColor="text1"/>
          <w:sz w:val="24"/>
          <w:szCs w:val="24"/>
          <w:highlight w:val="none"/>
        </w:rPr>
        <w:t xml:space="preserve">全部货物、服务产品的成本之和</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1000000×[1-（10%+20%）]=700000元</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pStyle w:val="940"/>
        <w:numPr>
          <w:ilvl w:val="0"/>
          <w:numId w:val="7"/>
        </w:numPr>
        <w:ind w:firstLine="360"/>
        <w:spacing w:before="0" w:after="0" w:line="360" w:lineRule="auto"/>
        <w:rPr>
          <w:rFonts w:hint="eastAsia" w:ascii="宋体" w:hAnsi="宋体" w:eastAsia="宋体" w:cs="宋体"/>
          <w:b/>
          <w:sz w:val="24"/>
          <w:szCs w:val="24"/>
        </w:rPr>
      </w:pPr>
      <w:r>
        <w:rPr>
          <w:rFonts w:ascii="宋体" w:hAnsi="宋体"/>
          <w:shd w:val="clear" w:color="ffffff" w:fill="d9d9d9"/>
        </w:rPr>
        <w:br w:type="page" w:clear="all"/>
      </w:r>
      <w:r>
        <w:rPr>
          <w:rFonts w:hint="eastAsia" w:ascii="宋体" w:hAnsi="宋体" w:eastAsia="宋体" w:cs="宋体"/>
          <w:b/>
          <w:sz w:val="24"/>
          <w:szCs w:val="24"/>
        </w:rPr>
        <w:t xml:space="preserve">评分标准</w:t>
      </w:r>
      <w:r/>
    </w:p>
    <w:p>
      <w:pPr>
        <w:ind w:firstLine="120"/>
        <w:spacing w:line="360" w:lineRule="auto"/>
        <w:rPr>
          <w:rFonts w:hint="eastAsia" w:ascii="宋体" w:hAnsi="宋体" w:eastAsia="宋体" w:cs="宋体"/>
          <w:sz w:val="24"/>
          <w:szCs w:val="24"/>
        </w:rPr>
      </w:pPr>
      <w:r/>
      <w:bookmarkStart w:id="194" w:name="_Hlk165208115"/>
      <w:r>
        <w:rPr>
          <w:rFonts w:hint="eastAsia" w:ascii="宋体" w:hAnsi="宋体" w:eastAsia="宋体" w:cs="宋体"/>
          <w:sz w:val="24"/>
          <w:szCs w:val="24"/>
        </w:rPr>
        <w:t xml:space="preserve">（一）评分项目及总分（总分100分）</w:t>
      </w:r>
      <w:r/>
    </w:p>
    <w:p>
      <w:pPr>
        <w:ind w:firstLine="718"/>
        <w:spacing w:line="360" w:lineRule="auto"/>
        <w:rPr>
          <w:rFonts w:hint="eastAsia" w:ascii="宋体" w:hAnsi="宋体" w:eastAsia="宋体" w:cs="宋体"/>
          <w:b/>
          <w:sz w:val="24"/>
          <w:szCs w:val="24"/>
        </w:rPr>
      </w:pPr>
      <w:r/>
      <w:bookmarkStart w:id="195" w:name="_Hlk165208094"/>
      <w:r>
        <w:rPr>
          <w:rFonts w:hint="eastAsia" w:ascii="宋体" w:hAnsi="宋体" w:eastAsia="宋体" w:cs="宋体"/>
          <w:b/>
          <w:sz w:val="24"/>
          <w:szCs w:val="24"/>
        </w:rPr>
        <w:t xml:space="preserve">1、报价                       </w:t>
      </w:r>
      <w:r>
        <w:rPr>
          <w:rFonts w:hint="eastAsia" w:ascii="宋体" w:hAnsi="宋体" w:eastAsia="宋体" w:cs="宋体"/>
          <w:b/>
          <w:sz w:val="24"/>
          <w:szCs w:val="24"/>
          <w:lang w:val="en-US" w:eastAsia="zh-CN"/>
        </w:rPr>
        <w:t xml:space="preserve">30</w:t>
      </w:r>
      <w:r>
        <w:rPr>
          <w:rFonts w:hint="eastAsia" w:ascii="宋体" w:hAnsi="宋体" w:eastAsia="宋体" w:cs="宋体"/>
          <w:b/>
          <w:sz w:val="24"/>
          <w:szCs w:val="24"/>
        </w:rPr>
        <w:t xml:space="preserve">分</w:t>
      </w:r>
      <w:r/>
    </w:p>
    <w:p>
      <w:pPr>
        <w:ind w:firstLine="723"/>
        <w:spacing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rPr>
        <w:t xml:space="preserve">2、</w:t>
      </w:r>
      <w:r>
        <w:rPr>
          <w:rFonts w:hint="eastAsia" w:ascii="宋体" w:hAnsi="宋体" w:eastAsia="宋体" w:cs="宋体"/>
          <w:b/>
          <w:color w:val="000000"/>
          <w:sz w:val="24"/>
          <w:szCs w:val="24"/>
          <w:highlight w:val="none"/>
        </w:rPr>
        <w:t xml:space="preserve">投标供应商评价</w:t>
      </w:r>
      <w:r>
        <w:rPr>
          <w:rFonts w:hint="eastAsia" w:ascii="宋体" w:hAnsi="宋体" w:eastAsia="宋体" w:cs="宋体"/>
          <w:b/>
          <w:sz w:val="24"/>
          <w:szCs w:val="24"/>
        </w:rPr>
        <w:t xml:space="preserve">            </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highlight w:val="none"/>
          <w:lang w:val="en-US" w:eastAsia="zh-CN"/>
        </w:rPr>
        <w:t xml:space="preserve">20</w:t>
      </w:r>
      <w:r>
        <w:rPr>
          <w:rFonts w:hint="eastAsia" w:ascii="宋体" w:hAnsi="宋体" w:eastAsia="宋体" w:cs="宋体"/>
          <w:b/>
          <w:sz w:val="24"/>
          <w:szCs w:val="24"/>
          <w:highlight w:val="none"/>
        </w:rPr>
        <w:t xml:space="preserve">分</w:t>
      </w:r>
      <w:r/>
    </w:p>
    <w:p>
      <w:pPr>
        <w:ind w:firstLine="723"/>
        <w:spacing w:line="360" w:lineRule="auto"/>
        <w:rPr>
          <w:rFonts w:hint="eastAsia" w:ascii="宋体" w:hAnsi="宋体" w:eastAsia="宋体" w:cs="宋体"/>
          <w:b/>
          <w:sz w:val="24"/>
          <w:szCs w:val="24"/>
          <w:highlight w:val="none"/>
          <w:lang w:val="en-US" w:eastAsia="zh-CN"/>
        </w:rPr>
        <w:outlineLvl w:val="0"/>
      </w:pPr>
      <w:r>
        <w:rPr>
          <w:rFonts w:hint="eastAsia" w:ascii="宋体" w:hAnsi="宋体" w:eastAsia="宋体" w:cs="宋体"/>
          <w:b/>
          <w:sz w:val="24"/>
          <w:szCs w:val="24"/>
          <w:highlight w:val="none"/>
          <w:lang w:val="en-US" w:eastAsia="zh-CN"/>
        </w:rPr>
        <w:t xml:space="preserve">3、演示                       10分</w:t>
      </w:r>
      <w:r/>
    </w:p>
    <w:p>
      <w:pPr>
        <w:ind w:firstLine="718"/>
        <w:spacing w:line="360" w:lineRule="auto"/>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4</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lang w:val="en-US" w:eastAsia="zh-CN"/>
        </w:rPr>
        <w:t xml:space="preserve">技术</w:t>
      </w:r>
      <w:r>
        <w:rPr>
          <w:rFonts w:hint="eastAsia" w:ascii="宋体" w:hAnsi="宋体" w:eastAsia="宋体" w:cs="宋体"/>
          <w:b/>
          <w:bCs/>
          <w:sz w:val="24"/>
          <w:szCs w:val="24"/>
          <w:highlight w:val="none"/>
        </w:rPr>
        <w:t xml:space="preserve">方案                  </w:t>
      </w:r>
      <w:r>
        <w:rPr>
          <w:rFonts w:hint="eastAsia" w:ascii="宋体" w:hAnsi="宋体" w:eastAsia="宋体" w:cs="宋体"/>
          <w:b/>
          <w:bCs/>
          <w:sz w:val="24"/>
          <w:szCs w:val="24"/>
          <w:highlight w:val="none"/>
          <w:lang w:val="en-US" w:eastAsia="zh-CN"/>
        </w:rPr>
        <w:t xml:space="preserve"> 40</w:t>
      </w:r>
      <w:r>
        <w:rPr>
          <w:rFonts w:hint="eastAsia" w:ascii="宋体" w:hAnsi="宋体" w:eastAsia="宋体" w:cs="宋体"/>
          <w:b/>
          <w:bCs/>
          <w:sz w:val="24"/>
          <w:szCs w:val="24"/>
          <w:highlight w:val="none"/>
        </w:rPr>
        <w:t xml:space="preserve">分</w:t>
      </w:r>
      <w:bookmarkEnd w:id="195"/>
      <w:r/>
      <w:r/>
    </w:p>
    <w:p>
      <w:pPr>
        <w:ind w:firstLine="24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（二）各项目评分标准</w:t>
      </w:r>
      <w:bookmarkEnd w:id="194"/>
      <w:r/>
      <w:r/>
    </w:p>
    <w:p>
      <w:pPr>
        <w:numPr>
          <w:ilvl w:val="4"/>
          <w:numId w:val="8"/>
        </w:numPr>
        <w:ind w:left="0" w:firstLine="482"/>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报价</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30</w:t>
      </w:r>
      <w:r>
        <w:rPr>
          <w:rFonts w:hint="eastAsia" w:ascii="宋体" w:hAnsi="宋体" w:eastAsia="宋体" w:cs="宋体"/>
          <w:b/>
          <w:bCs/>
          <w:color w:val="000000"/>
          <w:sz w:val="24"/>
          <w:szCs w:val="24"/>
        </w:rPr>
        <w:t xml:space="preserve">分）：</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投标报价得分=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评标基准价／投标报价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×价格权值×100。</w:t>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sz w:val="24"/>
          <w:szCs w:val="24"/>
        </w:rPr>
        <w:t xml:space="preserve">关于价格扣除详见本章第二部分“一、落实政府采购政策的价格调整”。</w:t>
      </w:r>
      <w:r/>
    </w:p>
    <w:p>
      <w:pPr>
        <w:pStyle w:val="940"/>
        <w:ind w:firstLine="420"/>
        <w:spacing w:before="0" w:after="0"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rPr>
        <w:t xml:space="preserve">2. </w:t>
      </w:r>
      <w:r>
        <w:rPr>
          <w:rFonts w:hint="eastAsia" w:ascii="宋体" w:hAnsi="宋体" w:eastAsia="宋体" w:cs="宋体"/>
          <w:b/>
          <w:color w:val="000000"/>
          <w:sz w:val="24"/>
          <w:szCs w:val="24"/>
          <w:highlight w:val="none"/>
        </w:rPr>
        <w:t xml:space="preserve">投标供应商评价</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20分</w:t>
      </w:r>
      <w:r>
        <w:rPr>
          <w:rFonts w:hint="eastAsia" w:ascii="宋体" w:hAnsi="宋体" w:eastAsia="宋体" w:cs="宋体"/>
          <w:b/>
          <w:color w:val="000000"/>
          <w:sz w:val="24"/>
          <w:szCs w:val="24"/>
          <w:highlight w:val="none"/>
          <w:lang w:eastAsia="zh-CN"/>
        </w:rPr>
        <w:t xml:space="preserve">）</w:t>
      </w:r>
      <w:r/>
    </w:p>
    <w:p>
      <w:pPr>
        <w:pStyle w:val="940"/>
        <w:ind w:firstLine="420"/>
        <w:spacing w:before="0"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2.1</w:t>
      </w:r>
      <w:r>
        <w:rPr>
          <w:rFonts w:hint="eastAsia" w:ascii="宋体" w:hAnsi="宋体" w:eastAsia="宋体" w:cs="宋体"/>
          <w:b/>
          <w:bCs/>
          <w:sz w:val="24"/>
          <w:szCs w:val="24"/>
          <w:highlight w:val="none"/>
        </w:rPr>
        <w:t xml:space="preserve">投标人综合情况（</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p>
    <w:p>
      <w:pPr>
        <w:numPr>
          <w:ilvl w:val="0"/>
          <w:numId w:val="9"/>
        </w:numPr>
        <w:ind w:firstLine="480"/>
        <w:spacing w:line="360" w:lineRule="auto"/>
        <w:rPr>
          <w:rFonts w:hint="eastAsia" w:ascii="宋体" w:hAnsi="宋体" w:eastAsia="宋体" w:cs="宋体"/>
          <w:b/>
          <w:bCs/>
          <w:spacing w:val="1"/>
          <w:sz w:val="24"/>
          <w:szCs w:val="24"/>
          <w:highlight w:val="none"/>
        </w:rPr>
      </w:pPr>
      <w:r/>
      <w:bookmarkStart w:id="196" w:name="OLE_LINK26"/>
      <w:r/>
      <w:bookmarkStart w:id="197" w:name="OLE_LINK25"/>
      <w:r>
        <w:rPr>
          <w:rFonts w:hint="eastAsia" w:ascii="宋体" w:hAnsi="宋体" w:eastAsia="宋体" w:cs="宋体"/>
          <w:b/>
          <w:bCs w:val="0"/>
          <w:sz w:val="24"/>
          <w:szCs w:val="24"/>
          <w:highlight w:val="none"/>
          <w:lang w:val="en-US" w:eastAsia="zh-CN"/>
        </w:rPr>
        <w:t xml:space="preserve">体系证书</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highlight w:val="none"/>
        </w:rPr>
        <w:t xml:space="preserve">分）：</w:t>
      </w:r>
      <w:bookmarkEnd w:id="196"/>
      <w:r/>
      <w:bookmarkEnd w:id="197"/>
      <w:r>
        <w:rPr>
          <w:rFonts w:hint="eastAsia" w:ascii="宋体" w:hAnsi="宋体" w:eastAsia="宋体" w:cs="宋体"/>
          <w:bCs/>
          <w:spacing w:val="1"/>
          <w:sz w:val="24"/>
          <w:szCs w:val="24"/>
          <w:highlight w:val="none"/>
        </w:rPr>
        <w:t xml:space="preserve">投标人具有有效期内的信息安全管理体系认证证书、服务质量</w:t>
      </w:r>
      <w:r>
        <w:rPr>
          <w:rFonts w:hint="eastAsia" w:ascii="宋体" w:hAnsi="宋体" w:eastAsia="宋体" w:cs="宋体"/>
          <w:bCs/>
          <w:spacing w:val="1"/>
          <w:sz w:val="24"/>
          <w:szCs w:val="24"/>
          <w:highlight w:val="none"/>
          <w:lang w:eastAsia="zh-CN"/>
        </w:rPr>
        <w:t xml:space="preserve">管理体系评价</w:t>
      </w:r>
      <w:r>
        <w:rPr>
          <w:rFonts w:hint="eastAsia" w:ascii="宋体" w:hAnsi="宋体" w:eastAsia="宋体" w:cs="宋体"/>
          <w:bCs/>
          <w:spacing w:val="1"/>
          <w:sz w:val="24"/>
          <w:szCs w:val="24"/>
          <w:highlight w:val="none"/>
        </w:rPr>
        <w:t xml:space="preserve">证书，有一个得</w:t>
      </w:r>
      <w:r>
        <w:rPr>
          <w:rFonts w:hint="eastAsia" w:ascii="宋体" w:hAnsi="宋体" w:eastAsia="宋体" w:cs="宋体"/>
          <w:bCs/>
          <w:spacing w:val="1"/>
          <w:sz w:val="24"/>
          <w:szCs w:val="24"/>
          <w:highlight w:val="none"/>
          <w:lang w:val="en-US" w:eastAsia="zh-CN"/>
        </w:rPr>
        <w:t xml:space="preserve">0.5</w:t>
      </w:r>
      <w:r>
        <w:rPr>
          <w:rFonts w:hint="eastAsia" w:ascii="宋体" w:hAnsi="宋体" w:eastAsia="宋体" w:cs="宋体"/>
          <w:bCs/>
          <w:spacing w:val="1"/>
          <w:sz w:val="24"/>
          <w:szCs w:val="24"/>
          <w:highlight w:val="none"/>
        </w:rPr>
        <w:t xml:space="preserve">分，最高得</w:t>
      </w:r>
      <w:r>
        <w:rPr>
          <w:rFonts w:hint="eastAsia" w:ascii="宋体" w:hAnsi="宋体" w:eastAsia="宋体" w:cs="宋体"/>
          <w:bCs/>
          <w:spacing w:val="1"/>
          <w:sz w:val="24"/>
          <w:szCs w:val="24"/>
          <w:highlight w:val="none"/>
          <w:lang w:val="en-US" w:eastAsia="zh-CN"/>
        </w:rPr>
        <w:t xml:space="preserve">1</w:t>
      </w:r>
      <w:r>
        <w:rPr>
          <w:rFonts w:hint="eastAsia" w:ascii="宋体" w:hAnsi="宋体" w:eastAsia="宋体" w:cs="宋体"/>
          <w:bCs/>
          <w:spacing w:val="1"/>
          <w:sz w:val="24"/>
          <w:szCs w:val="24"/>
          <w:highlight w:val="none"/>
        </w:rPr>
        <w:t xml:space="preserve">分</w:t>
      </w:r>
      <w:r>
        <w:rPr>
          <w:rFonts w:hint="eastAsia" w:ascii="宋体" w:hAnsi="宋体" w:eastAsia="宋体" w:cs="宋体"/>
          <w:b/>
          <w:bCs/>
          <w:spacing w:val="1"/>
          <w:sz w:val="24"/>
          <w:szCs w:val="24"/>
          <w:highlight w:val="none"/>
        </w:rPr>
        <w:t xml:space="preserve">。（须提供有效期内的证书原件扫描</w:t>
      </w:r>
      <w:r>
        <w:rPr>
          <w:rFonts w:hint="eastAsia" w:ascii="宋体" w:hAnsi="宋体" w:eastAsia="宋体" w:cs="宋体"/>
          <w:b/>
          <w:bCs/>
          <w:spacing w:val="1"/>
          <w:sz w:val="24"/>
          <w:szCs w:val="24"/>
          <w:highlight w:val="none"/>
          <w:lang w:eastAsia="zh-CN"/>
        </w:rPr>
        <w:t xml:space="preserve">件</w:t>
      </w:r>
      <w:r>
        <w:rPr>
          <w:rFonts w:hint="eastAsia" w:ascii="宋体" w:hAnsi="宋体" w:eastAsia="宋体" w:cs="宋体"/>
          <w:b/>
          <w:bCs/>
          <w:spacing w:val="1"/>
          <w:sz w:val="24"/>
          <w:szCs w:val="24"/>
          <w:highlight w:val="none"/>
        </w:rPr>
        <w:t xml:space="preserve">并加盖公章，不提供不得分。）</w:t>
      </w:r>
      <w:r/>
    </w:p>
    <w:p>
      <w:pPr>
        <w:ind w:firstLine="482"/>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2.2</w:t>
      </w:r>
      <w:r>
        <w:rPr>
          <w:rFonts w:hint="eastAsia" w:ascii="宋体" w:hAnsi="宋体" w:eastAsia="宋体" w:cs="宋体"/>
          <w:b/>
          <w:bCs/>
          <w:sz w:val="24"/>
          <w:szCs w:val="24"/>
          <w:highlight w:val="none"/>
        </w:rPr>
        <w:t xml:space="preserve">项目人员配置（</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rPr>
          <w:rFonts w:hint="eastAsia" w:ascii="宋体" w:hAnsi="宋体" w:eastAsia="宋体" w:cs="宋体"/>
          <w:bCs/>
          <w:sz w:val="24"/>
          <w:szCs w:val="24"/>
          <w:highlight w:val="none"/>
        </w:rPr>
        <w:t xml:space="preserve">：</w:t>
      </w:r>
      <w:r/>
    </w:p>
    <w:p>
      <w:pPr>
        <w:numPr>
          <w:numId w:val="0"/>
        </w:numPr>
        <w:ind w:firstLine="482"/>
        <w:spacing w:line="360" w:lineRule="auto"/>
        <w:rPr>
          <w:rFonts w:hint="eastAsia" w:ascii="宋体" w:hAnsi="宋体" w:eastAsia="宋体" w:cs="宋体"/>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项目负责人（</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bCs/>
          <w:sz w:val="24"/>
          <w:szCs w:val="24"/>
          <w:highlight w:val="none"/>
        </w:rPr>
        <w:t xml:space="preserve">配备1名项目负责人，该项目负责人具有系统集成项目管理</w:t>
      </w:r>
      <w:r>
        <w:rPr>
          <w:rFonts w:hint="eastAsia" w:ascii="宋体" w:hAnsi="宋体" w:eastAsia="宋体" w:cs="宋体"/>
          <w:bCs/>
          <w:sz w:val="24"/>
          <w:szCs w:val="24"/>
          <w:highlight w:val="none"/>
          <w:lang w:eastAsia="zh-CN"/>
        </w:rPr>
        <w:t xml:space="preserve">工程</w:t>
      </w:r>
      <w:r>
        <w:rPr>
          <w:rFonts w:hint="eastAsia" w:ascii="宋体" w:hAnsi="宋体" w:eastAsia="宋体" w:cs="宋体"/>
          <w:bCs/>
          <w:sz w:val="24"/>
          <w:szCs w:val="24"/>
          <w:highlight w:val="none"/>
        </w:rPr>
        <w:t xml:space="preserve">师证书、信息安全管理证书，每有一个得</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分，最高得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w:t>
      </w:r>
      <w:r/>
    </w:p>
    <w:p>
      <w:pPr>
        <w:numPr>
          <w:ilvl w:val="0"/>
          <w:numId w:val="0"/>
        </w:numPr>
        <w:ind w:firstLine="482"/>
        <w:spacing w:line="360" w:lineRule="auto"/>
        <w:rPr>
          <w:rFonts w:hint="eastAsia" w:ascii="宋体" w:hAnsi="宋体" w:eastAsia="宋体" w:cs="宋体"/>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技术负责人（</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bCs/>
          <w:sz w:val="24"/>
          <w:szCs w:val="24"/>
          <w:highlight w:val="none"/>
        </w:rPr>
        <w:t xml:space="preserve">配备1名技术负责人（项目负责人除外），该技术负责人具有ITSS信息技术应用创新服务经理、高级信息系统项目管理师、注册信息安全专业人员（CISP）、高级工程师证书，每有一个得</w:t>
      </w:r>
      <w:r>
        <w:rPr>
          <w:rFonts w:hint="eastAsia" w:ascii="宋体" w:hAnsi="宋体" w:eastAsia="宋体" w:cs="宋体"/>
          <w:bCs/>
          <w:sz w:val="24"/>
          <w:szCs w:val="24"/>
          <w:highlight w:val="none"/>
          <w:lang w:val="en-US" w:eastAsia="zh-CN"/>
        </w:rPr>
        <w:t xml:space="preserve">0.5</w:t>
      </w:r>
      <w:r>
        <w:rPr>
          <w:rFonts w:hint="eastAsia" w:ascii="宋体" w:hAnsi="宋体" w:eastAsia="宋体" w:cs="宋体"/>
          <w:bCs/>
          <w:sz w:val="24"/>
          <w:szCs w:val="24"/>
          <w:highlight w:val="none"/>
        </w:rPr>
        <w:t xml:space="preserve">分，最高得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w:t>
      </w:r>
      <w:r/>
    </w:p>
    <w:p>
      <w:pPr>
        <w:ind w:left="163" w:firstLine="480"/>
        <w:spacing w:line="360" w:lineRule="auto"/>
        <w:widowControl/>
        <w:tabs>
          <w:tab w:val="left" w:pos="94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注：提供以上人员相关证书原件</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color w:val="000000"/>
          <w:sz w:val="24"/>
          <w:szCs w:val="24"/>
          <w:highlight w:val="none"/>
        </w:rPr>
        <w:t xml:space="preserve">及其连续三个月(至少包含近三个月中任意一个月份(不含投标当月) 缴纳社保的扫描件加盖投标人电子公章上传至电子投标文件，不提供或提供不全不得分。</w:t>
      </w:r>
      <w:r/>
    </w:p>
    <w:p>
      <w:pPr>
        <w:ind w:firstLine="481"/>
        <w:jc w:val="left"/>
        <w:spacing w:line="360" w:lineRule="auto"/>
        <w:tabs>
          <w:tab w:val="left" w:pos="1440" w:leader="none"/>
        </w:tabs>
        <w:rPr>
          <w:rFonts w:hint="eastAsia" w:ascii="宋体" w:hAnsi="宋体" w:eastAsia="宋体" w:cs="宋体"/>
          <w:bCs/>
          <w:color w:val="000000"/>
          <w:sz w:val="24"/>
          <w:szCs w:val="24"/>
          <w:highlight w:val="none"/>
        </w:rPr>
        <w:outlineLvl w:val="0"/>
      </w:pPr>
      <w:r>
        <w:rPr>
          <w:rFonts w:hint="eastAsia" w:ascii="宋体" w:hAnsi="宋体" w:eastAsia="宋体" w:cs="宋体"/>
          <w:b/>
          <w:bCs/>
          <w:sz w:val="24"/>
          <w:szCs w:val="24"/>
          <w:highlight w:val="none"/>
          <w:lang w:val="en-US" w:eastAsia="zh-CN"/>
        </w:rPr>
        <w:t xml:space="preserve">2.3</w:t>
      </w:r>
      <w:r>
        <w:rPr>
          <w:rFonts w:hint="eastAsia" w:ascii="宋体" w:hAnsi="宋体" w:eastAsia="宋体" w:cs="宋体"/>
          <w:b/>
          <w:bCs/>
          <w:color w:val="000000"/>
          <w:sz w:val="24"/>
          <w:szCs w:val="24"/>
          <w:highlight w:val="none"/>
        </w:rPr>
        <w:t xml:space="preserve">产品技术配置（</w:t>
      </w:r>
      <w:r>
        <w:rPr>
          <w:rFonts w:hint="eastAsia" w:ascii="宋体" w:hAnsi="宋体" w:eastAsia="宋体" w:cs="宋体"/>
          <w:b/>
          <w:bCs/>
          <w:color w:val="000000"/>
          <w:sz w:val="24"/>
          <w:szCs w:val="24"/>
          <w:highlight w:val="none"/>
          <w:lang w:val="en-US" w:eastAsia="zh-CN"/>
        </w:rPr>
        <w:t xml:space="preserve">13.5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val="0"/>
          <w:color w:val="000000"/>
          <w:sz w:val="24"/>
          <w:szCs w:val="24"/>
          <w:highlight w:val="none"/>
        </w:rPr>
        <w:t xml:space="preserve">下列参数均需按要求提供</w:t>
      </w:r>
      <w:r>
        <w:rPr>
          <w:rFonts w:hint="eastAsia" w:ascii="宋体" w:hAnsi="宋体" w:eastAsia="宋体" w:cs="宋体"/>
          <w:b/>
          <w:bCs w:val="0"/>
          <w:color w:val="000000"/>
          <w:sz w:val="24"/>
          <w:szCs w:val="24"/>
          <w:lang w:val="en-US" w:eastAsia="zh-CN"/>
        </w:rPr>
        <w:t xml:space="preserve">具有CMA或CNAS资质的</w:t>
      </w:r>
      <w:r>
        <w:rPr>
          <w:rFonts w:hint="eastAsia" w:ascii="宋体" w:hAnsi="宋体" w:eastAsia="宋体" w:cs="宋体"/>
          <w:b/>
          <w:bCs w:val="0"/>
          <w:color w:val="000000"/>
          <w:sz w:val="24"/>
          <w:szCs w:val="24"/>
          <w:highlight w:val="none"/>
          <w:lang w:val="en-US" w:eastAsia="zh-CN"/>
        </w:rPr>
        <w:t xml:space="preserve">第三方出具的满足下列参数要求的检测报告，并加盖投标人公章。</w:t>
      </w:r>
      <w:r>
        <w:rPr>
          <w:rFonts w:hint="eastAsia" w:ascii="宋体" w:hAnsi="宋体" w:eastAsia="宋体" w:cs="宋体"/>
          <w:b/>
          <w:bCs w:val="0"/>
          <w:color w:val="000000"/>
          <w:sz w:val="24"/>
          <w:szCs w:val="24"/>
          <w:highlight w:val="none"/>
        </w:rPr>
        <w:t xml:space="preserve">检测报告须清晰且完整含封底及封面，检测报告不完整视作无效。根据投标人提供相关产品性能参数证明文件，</w:t>
      </w:r>
      <w:r>
        <w:rPr>
          <w:rFonts w:hint="eastAsia" w:ascii="宋体" w:hAnsi="宋体" w:eastAsia="宋体" w:cs="宋体"/>
          <w:b/>
          <w:bCs w:val="0"/>
          <w:color w:val="000000"/>
          <w:sz w:val="24"/>
          <w:szCs w:val="24"/>
          <w:highlight w:val="none"/>
          <w:lang w:val="en-US" w:eastAsia="zh-CN"/>
        </w:rPr>
        <w:t xml:space="preserve">每项1.5分，</w:t>
      </w:r>
      <w:r>
        <w:rPr>
          <w:rFonts w:hint="eastAsia" w:ascii="宋体" w:hAnsi="宋体" w:eastAsia="宋体" w:cs="宋体"/>
          <w:b/>
          <w:bCs w:val="0"/>
          <w:color w:val="000000"/>
          <w:sz w:val="24"/>
          <w:szCs w:val="24"/>
          <w:highlight w:val="none"/>
        </w:rPr>
        <w:t xml:space="preserve">总计</w:t>
      </w:r>
      <w:r>
        <w:rPr>
          <w:rFonts w:hint="eastAsia" w:ascii="宋体" w:hAnsi="宋体" w:eastAsia="宋体" w:cs="宋体"/>
          <w:b/>
          <w:bCs w:val="0"/>
          <w:color w:val="000000"/>
          <w:sz w:val="24"/>
          <w:szCs w:val="24"/>
          <w:highlight w:val="none"/>
          <w:lang w:val="en-US" w:eastAsia="zh-CN"/>
        </w:rPr>
        <w:t xml:space="preserve">13.5</w:t>
      </w:r>
      <w:r>
        <w:rPr>
          <w:rFonts w:hint="eastAsia" w:ascii="宋体" w:hAnsi="宋体" w:eastAsia="宋体" w:cs="宋体"/>
          <w:b/>
          <w:bCs w:val="0"/>
          <w:color w:val="000000"/>
          <w:sz w:val="24"/>
          <w:szCs w:val="24"/>
          <w:highlight w:val="none"/>
        </w:rPr>
        <w:t xml:space="preserve">分。</w:t>
      </w:r>
      <w:r/>
    </w:p>
    <w:p>
      <w:pPr>
        <w:ind w:left="163" w:firstLine="480"/>
        <w:spacing w:line="360" w:lineRule="auto"/>
        <w:widowControl/>
        <w:tabs>
          <w:tab w:val="left" w:pos="945"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（1）人员追视分析系统</w:t>
      </w:r>
      <w:r>
        <w:rPr>
          <w:rFonts w:hint="eastAsia" w:ascii="宋体" w:hAnsi="宋体" w:cs="宋体"/>
          <w:b/>
          <w:bCs/>
          <w:color w:val="000000"/>
          <w:sz w:val="24"/>
          <w:szCs w:val="24"/>
          <w:lang w:val="en-US" w:eastAsia="zh-CN"/>
        </w:rPr>
        <w:t xml:space="preserve">（7.5分）</w:t>
      </w:r>
      <w:r/>
    </w:p>
    <w:p>
      <w:pPr>
        <w:ind w:left="163" w:firstLine="480"/>
        <w:spacing w:line="360" w:lineRule="auto"/>
        <w:widowControl/>
        <w:tabs>
          <w:tab w:val="left" w:pos="94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①单张智能分析卡最大支持64路视频流全结构化解析，</w:t>
      </w:r>
      <w:r>
        <w:rPr>
          <w:rFonts w:hint="eastAsia" w:ascii="宋体" w:hAnsi="宋体" w:eastAsia="宋体" w:cs="宋体"/>
          <w:color w:val="000000"/>
          <w:sz w:val="24"/>
          <w:szCs w:val="24"/>
          <w:highlight w:val="none"/>
          <w:lang w:val="en-US" w:eastAsia="zh-CN"/>
        </w:rPr>
        <w:t xml:space="preserve">或不低于240张/s人脸小图解析，或不低于200张/s结构化大图解析，或不低于1700万/天结构化大图解析，或不少于64路视频流行为分析解析，或不低于25倍速的视频浓缩业务，或人脸建模速度不低于28万张/小时；</w:t>
      </w:r>
      <w:r/>
    </w:p>
    <w:p>
      <w:pPr>
        <w:ind w:left="163" w:firstLine="480"/>
        <w:spacing w:line="360" w:lineRule="auto"/>
        <w:widowControl/>
        <w:tabs>
          <w:tab w:val="left" w:pos="945"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②在人脸微笑、大笑、张嘴、做鬼脸、皱眉、眉毛被遮挡(戴帽子、齐刘海)、闭眼、耳朵遮挡、带眼镜、半边脸遮挡等情况下，均可正确识别人脸。人脸识别准确率不低于99%；</w:t>
      </w:r>
      <w:r>
        <w:rPr>
          <w:rFonts w:hint="eastAsia" w:ascii="宋体" w:hAnsi="宋体" w:eastAsia="宋体" w:cs="宋体"/>
          <w:color w:val="000000"/>
          <w:sz w:val="24"/>
          <w:szCs w:val="24"/>
          <w:lang w:val="en-US" w:eastAsia="zh-CN"/>
        </w:rPr>
        <w:br/>
      </w:r>
      <w:r>
        <w:rPr>
          <w:rFonts w:hint="eastAsia" w:ascii="宋体" w:hAnsi="宋体" w:eastAsia="宋体" w:cs="宋体"/>
          <w:color w:val="000000"/>
          <w:sz w:val="24"/>
          <w:szCs w:val="24"/>
          <w:lang w:val="en-US" w:eastAsia="zh-CN"/>
        </w:rPr>
        <w:t xml:space="preserve">    ③支持融合搜索、人脸人体关联搜索、渐进式搜索、同行伴随搜索、周期时段搜索。</w:t>
      </w:r>
      <w:r/>
    </w:p>
    <w:p>
      <w:pPr>
        <w:ind w:left="163" w:firstLine="480"/>
        <w:spacing w:line="360" w:lineRule="auto"/>
        <w:widowControl/>
        <w:tabs>
          <w:tab w:val="left" w:pos="945"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支持手机RFID/车辆/用户自定义轨迹等目标轨迹在一段时间范围内与其他数据类型的轨迹进行轨迹碰撞拟合的功能，设置的轨迹碰撞规则包括与目标轨迹经过的前后时间差范围/距离范围/待碰撞的数据类型(RFID/车辆）</w:t>
      </w:r>
      <w:r/>
    </w:p>
    <w:p>
      <w:pPr>
        <w:ind w:left="163" w:firstLine="480"/>
        <w:spacing w:line="360" w:lineRule="auto"/>
        <w:widowControl/>
        <w:tabs>
          <w:tab w:val="left" w:pos="945"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 5 \* GB3 \* MERGEFORMAT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color w:val="000000"/>
          <w:sz w:val="24"/>
          <w:szCs w:val="24"/>
          <w:lang w:val="en-US" w:eastAsia="zh-CN"/>
        </w:rPr>
        <w:t xml:space="preserve">⑤</w:t>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val="en-US" w:eastAsia="zh-CN"/>
        </w:rPr>
        <w:t xml:space="preserve">支持调用相关GIS地图引擎，点击按钮或者鼠标滚轮对地图进行放大或者缩小，可以对地图进行拖拽操作，可隐藏轨迹和删除对应图片结果。</w:t>
      </w:r>
      <w:r/>
    </w:p>
    <w:p>
      <w:pPr>
        <w:numPr>
          <w:ilvl w:val="0"/>
          <w:numId w:val="0"/>
        </w:numPr>
        <w:ind w:left="163" w:firstLine="480"/>
        <w:spacing w:line="360" w:lineRule="auto"/>
        <w:widowControl/>
        <w:tabs>
          <w:tab w:val="left" w:pos="945"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bidi="ar-SA"/>
        </w:rPr>
        <w:t xml:space="preserve">（2）</w:t>
      </w:r>
      <w:r>
        <w:rPr>
          <w:rFonts w:hint="eastAsia" w:ascii="宋体" w:hAnsi="宋体" w:eastAsia="宋体" w:cs="宋体"/>
          <w:b/>
          <w:bCs/>
          <w:color w:val="000000"/>
          <w:sz w:val="24"/>
          <w:szCs w:val="24"/>
          <w:lang w:val="en-US" w:eastAsia="zh-CN"/>
        </w:rPr>
        <w:t xml:space="preserve">自助借还书机</w:t>
      </w:r>
      <w:r>
        <w:rPr>
          <w:rFonts w:hint="eastAsia" w:ascii="宋体" w:hAnsi="宋体" w:cs="宋体"/>
          <w:b/>
          <w:bCs/>
          <w:color w:val="000000"/>
          <w:sz w:val="24"/>
          <w:szCs w:val="24"/>
          <w:lang w:val="en-US" w:eastAsia="zh-CN"/>
        </w:rPr>
        <w:t xml:space="preserve">（3分）</w:t>
      </w:r>
      <w:r/>
    </w:p>
    <w:p>
      <w:pPr>
        <w:ind w:left="163" w:firstLine="480"/>
        <w:spacing w:line="360" w:lineRule="auto"/>
        <w:widowControl/>
        <w:tabs>
          <w:tab w:val="left" w:pos="945"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集成二维码扫描枪，具有二维码身份识别功能。可通过设备上的二维码模块，识别图书条码、读者二维码、条码借阅卡等，通过对与读者身份信息绑定的二维码扫描，读者可以进入图书自助借还界面进行借还书操作。</w:t>
      </w:r>
      <w:r/>
    </w:p>
    <w:p>
      <w:pPr>
        <w:ind w:left="163" w:firstLine="480"/>
        <w:spacing w:line="360" w:lineRule="auto"/>
        <w:widowControl/>
        <w:tabs>
          <w:tab w:val="left" w:pos="945"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②系统提供可选择的功能模块，可根据客户需求启用对应的模块，比如可设定为仅有借书和还书的功能。图书馆可自定义设置借阅须知，后台勾选借阅须知后，读者在借书时界面会显示借阅须知。</w:t>
      </w:r>
      <w:r/>
    </w:p>
    <w:p>
      <w:pPr>
        <w:ind w:left="163" w:firstLine="480"/>
        <w:spacing w:line="360" w:lineRule="auto"/>
        <w:widowControl/>
        <w:tabs>
          <w:tab w:val="left" w:pos="945"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（3）音频处理器</w:t>
      </w:r>
      <w:r>
        <w:rPr>
          <w:rFonts w:hint="eastAsia" w:ascii="宋体" w:hAnsi="宋体" w:cs="宋体"/>
          <w:b/>
          <w:bCs/>
          <w:color w:val="000000"/>
          <w:sz w:val="24"/>
          <w:szCs w:val="24"/>
          <w:lang w:val="en-US" w:eastAsia="zh-CN"/>
        </w:rPr>
        <w:t xml:space="preserve">（1.5分）</w:t>
      </w:r>
      <w:r/>
    </w:p>
    <w:p>
      <w:pPr>
        <w:ind w:left="163" w:firstLine="480"/>
        <w:spacing w:line="360" w:lineRule="auto"/>
        <w:widowControl/>
        <w:tabs>
          <w:tab w:val="left" w:pos="945"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①每通道内置AFC声反馈啸叫消除（具有</w:t>
      </w:r>
      <w:r>
        <w:rPr>
          <w:rFonts w:hint="eastAsia" w:ascii="宋体" w:hAnsi="宋体" w:eastAsia="宋体" w:cs="宋体"/>
          <w:color w:val="000000"/>
          <w:sz w:val="24"/>
          <w:szCs w:val="24"/>
          <w:highlight w:val="none"/>
          <w:lang w:val="en-US" w:eastAsia="zh-CN"/>
        </w:rPr>
        <w:t xml:space="preserve">不低于</w:t>
      </w:r>
      <w:r>
        <w:rPr>
          <w:rFonts w:hint="eastAsia" w:ascii="宋体" w:hAnsi="宋体" w:eastAsia="宋体" w:cs="宋体"/>
          <w:color w:val="000000"/>
          <w:sz w:val="24"/>
          <w:szCs w:val="24"/>
          <w:lang w:val="en-US" w:eastAsia="zh-CN"/>
        </w:rPr>
        <w:t xml:space="preserve">2档声反馈控制）、AEC回声消除、ANC噪声消除、NOISE/Gate噪声门、AGC自动增益、AutoMixer自动混音。且设备配置专业双通道USB声卡，声卡信号可在音频矩阵中任意路由实现播放与录制音频功能；</w:t>
      </w:r>
      <w:r>
        <w:rPr>
          <w:rFonts w:hint="eastAsia" w:ascii="宋体" w:hAnsi="宋体" w:eastAsia="宋体" w:cs="宋体"/>
          <w:color w:val="000000"/>
          <w:sz w:val="24"/>
          <w:szCs w:val="24"/>
          <w:lang w:val="en-US" w:eastAsia="zh-CN"/>
        </w:rPr>
        <w:br/>
      </w:r>
      <w:r>
        <w:rPr>
          <w:rFonts w:hint="eastAsia" w:ascii="宋体" w:hAnsi="宋体" w:eastAsia="宋体" w:cs="宋体"/>
          <w:color w:val="000000"/>
          <w:sz w:val="24"/>
          <w:szCs w:val="24"/>
          <w:lang w:val="en-US" w:eastAsia="zh-CN"/>
        </w:rPr>
        <w:t xml:space="preserve">   </w:t>
      </w:r>
      <w:r>
        <w:rPr>
          <w:rFonts w:hint="eastAsia" w:ascii="宋体" w:hAnsi="宋体" w:eastAsia="宋体" w:cs="宋体"/>
          <w:b/>
          <w:bCs/>
          <w:color w:val="000000"/>
          <w:sz w:val="24"/>
          <w:szCs w:val="24"/>
          <w:lang w:val="en-US" w:eastAsia="zh-CN"/>
        </w:rPr>
        <w:t xml:space="preserve">（4）网络中控主机</w:t>
      </w:r>
      <w:r>
        <w:rPr>
          <w:rFonts w:hint="eastAsia" w:ascii="宋体" w:hAnsi="宋体" w:cs="宋体"/>
          <w:b/>
          <w:bCs/>
          <w:color w:val="000000"/>
          <w:sz w:val="24"/>
          <w:szCs w:val="24"/>
          <w:lang w:val="en-US" w:eastAsia="zh-CN"/>
        </w:rPr>
        <w:t xml:space="preserve">（1.5分）</w:t>
      </w:r>
      <w:r/>
    </w:p>
    <w:p>
      <w:pPr>
        <w:ind w:left="163" w:firstLine="480"/>
        <w:spacing w:line="360" w:lineRule="auto"/>
        <w:widowControl/>
        <w:tabs>
          <w:tab w:val="left" w:pos="945"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①前面板有</w:t>
      </w:r>
      <w:r>
        <w:rPr>
          <w:rFonts w:hint="eastAsia" w:ascii="宋体" w:hAnsi="宋体" w:eastAsia="宋体" w:cs="宋体"/>
          <w:color w:val="000000"/>
          <w:sz w:val="24"/>
          <w:szCs w:val="24"/>
          <w:highlight w:val="none"/>
          <w:lang w:val="en-US" w:eastAsia="zh-CN"/>
        </w:rPr>
        <w:t xml:space="preserve">不低于</w:t>
      </w:r>
      <w:r>
        <w:rPr>
          <w:rFonts w:hint="eastAsia" w:ascii="宋体" w:hAnsi="宋体" w:eastAsia="宋体" w:cs="宋体"/>
          <w:color w:val="000000"/>
          <w:sz w:val="24"/>
          <w:szCs w:val="24"/>
          <w:lang w:val="en-US" w:eastAsia="zh-CN"/>
        </w:rPr>
        <w:t xml:space="preserve">4.3寸彩色触摸屏和USB编程接口，提供专用编程软件，利用此软件，可对触摸屏的界面任意定义，添加删除页面，修改背景图片和颜色，增删各种形状的按钮，自定义各个按钮的功能，可显示和修改主机的IP地址。</w:t>
      </w:r>
      <w:r/>
    </w:p>
    <w:p>
      <w:pPr>
        <w:ind w:left="163" w:firstLine="480"/>
        <w:spacing w:line="360" w:lineRule="auto"/>
        <w:widowControl/>
        <w:tabs>
          <w:tab w:val="left" w:pos="945" w:leader="none"/>
        </w:tabs>
        <w:rPr>
          <w:rFonts w:hint="eastAsia" w:ascii="宋体" w:hAnsi="宋体" w:eastAsia="宋体" w:cs="宋体"/>
          <w:b/>
          <w:bCs/>
          <w:color w:val="000000"/>
          <w:sz w:val="24"/>
          <w:szCs w:val="24"/>
          <w:lang w:val="en-US" w:eastAsia="zh-CN"/>
        </w:rPr>
      </w:pPr>
      <w:r>
        <w:rPr>
          <w:rFonts w:hint="eastAsia" w:ascii="宋体" w:hAnsi="宋体" w:eastAsia="宋体" w:cs="宋体"/>
          <w:b/>
          <w:bCs/>
          <w:spacing w:val="-1"/>
          <w:sz w:val="24"/>
          <w:szCs w:val="24"/>
          <w:lang w:val="en-US" w:eastAsia="zh-CN"/>
        </w:rPr>
        <w:t xml:space="preserve">以上产品技术配置得</w:t>
      </w:r>
      <w:r>
        <w:rPr>
          <w:rFonts w:hint="eastAsia" w:ascii="宋体" w:hAnsi="宋体" w:eastAsia="宋体" w:cs="宋体"/>
          <w:b/>
          <w:bCs/>
          <w:spacing w:val="-1"/>
          <w:sz w:val="24"/>
          <w:szCs w:val="24"/>
        </w:rPr>
        <w:t xml:space="preserve">分项中所涉及到的证明材料，中标供应商须在中标后三日内提供原件给采购人审核，</w:t>
      </w:r>
      <w:r>
        <w:rPr>
          <w:rFonts w:hint="eastAsia" w:ascii="宋体" w:hAnsi="宋体" w:eastAsia="宋体" w:cs="宋体"/>
          <w:b/>
          <w:bCs/>
          <w:spacing w:val="-1"/>
          <w:sz w:val="24"/>
          <w:szCs w:val="24"/>
          <w:lang w:eastAsia="zh-CN"/>
        </w:rPr>
        <w:t xml:space="preserve">审核</w:t>
      </w:r>
      <w:r>
        <w:rPr>
          <w:rFonts w:hint="eastAsia" w:ascii="宋体" w:hAnsi="宋体" w:eastAsia="宋体" w:cs="宋体"/>
          <w:b/>
          <w:bCs/>
          <w:spacing w:val="-1"/>
          <w:sz w:val="24"/>
          <w:szCs w:val="24"/>
        </w:rPr>
        <w:t xml:space="preserve">无误后方可签订合同。</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en-US" w:eastAsia="zh-CN"/>
        </w:rPr>
        <w:t xml:space="preserve">2.4</w:t>
      </w:r>
      <w:r>
        <w:rPr>
          <w:rFonts w:hint="eastAsia" w:ascii="宋体" w:hAnsi="宋体" w:eastAsia="宋体" w:cs="宋体"/>
          <w:b/>
          <w:bCs/>
          <w:color w:val="000000"/>
          <w:sz w:val="24"/>
          <w:szCs w:val="24"/>
          <w:highlight w:val="none"/>
          <w:lang w:eastAsia="zh-CN"/>
        </w:rPr>
        <w:t xml:space="preserve">数据安全承诺</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针对本次项目</w:t>
      </w:r>
      <w:r>
        <w:rPr>
          <w:rFonts w:hint="eastAsia" w:ascii="宋体" w:hAnsi="宋体" w:eastAsia="宋体" w:cs="宋体"/>
          <w:bCs/>
          <w:color w:val="000000"/>
          <w:sz w:val="24"/>
          <w:szCs w:val="24"/>
          <w:highlight w:val="none"/>
          <w:lang w:eastAsia="zh-CN"/>
        </w:rPr>
        <w:t xml:space="preserve">智慧校园</w:t>
      </w:r>
      <w:r>
        <w:rPr>
          <w:rFonts w:hint="eastAsia" w:ascii="宋体" w:hAnsi="宋体" w:eastAsia="宋体" w:cs="宋体"/>
          <w:bCs/>
          <w:color w:val="000000"/>
          <w:sz w:val="24"/>
          <w:szCs w:val="24"/>
          <w:highlight w:val="none"/>
        </w:rPr>
        <w:t xml:space="preserve">的数据安全风险，需提供数据恢复服务，恢复过程为防止微据泄露，</w:t>
      </w:r>
      <w:r>
        <w:rPr>
          <w:rFonts w:hint="eastAsia" w:ascii="宋体" w:hAnsi="宋体" w:eastAsia="宋体" w:cs="宋体"/>
          <w:bCs/>
          <w:color w:val="000000"/>
          <w:sz w:val="24"/>
          <w:szCs w:val="24"/>
          <w:highlight w:val="none"/>
          <w:lang w:val="en-US" w:eastAsia="zh-CN"/>
        </w:rPr>
        <w:t xml:space="preserve">供应商承诺中标后</w:t>
      </w:r>
      <w:r>
        <w:rPr>
          <w:rFonts w:hint="eastAsia" w:ascii="宋体" w:hAnsi="宋体" w:eastAsia="宋体" w:cs="宋体"/>
          <w:bCs/>
          <w:color w:val="000000"/>
          <w:sz w:val="24"/>
          <w:szCs w:val="24"/>
          <w:highlight w:val="none"/>
        </w:rPr>
        <w:t xml:space="preserve">提供国家信息中心数据恢复服务；</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须</w:t>
      </w:r>
      <w:r>
        <w:rPr>
          <w:rFonts w:hint="eastAsia" w:ascii="宋体" w:hAnsi="宋体" w:eastAsia="宋体" w:cs="宋体"/>
          <w:b/>
          <w:sz w:val="24"/>
          <w:szCs w:val="24"/>
          <w:highlight w:val="none"/>
        </w:rPr>
        <w:t xml:space="preserve">提供承诺函盖章扫描件并上传系统内，不提供不得分）。</w:t>
      </w:r>
      <w:r/>
    </w:p>
    <w:p>
      <w:pPr>
        <w:numPr>
          <w:ilvl w:val="0"/>
          <w:numId w:val="0"/>
        </w:numPr>
        <w:ind w:left="150" w:firstLine="482"/>
        <w:jc w:val="left"/>
        <w:spacing w:line="360" w:lineRule="auto"/>
        <w:tabs>
          <w:tab w:val="left" w:pos="1440" w:leader="none"/>
        </w:tabs>
        <w:rPr>
          <w:rFonts w:hint="eastAsia" w:ascii="宋体" w:hAnsi="宋体" w:eastAsia="宋体" w:cs="宋体"/>
          <w:b/>
          <w:bCs/>
          <w:sz w:val="24"/>
          <w:szCs w:val="24"/>
          <w:lang w:val="en-US" w:eastAsia="zh-CN"/>
        </w:rPr>
        <w:outlineLvl w:val="0"/>
      </w:pPr>
      <w:r>
        <w:rPr>
          <w:rFonts w:hint="eastAsia" w:ascii="宋体" w:hAnsi="宋体" w:eastAsia="宋体" w:cs="宋体"/>
          <w:b/>
          <w:bCs/>
          <w:sz w:val="24"/>
          <w:szCs w:val="24"/>
          <w:lang w:val="en-US" w:eastAsia="zh-CN"/>
        </w:rPr>
        <w:t xml:space="preserve">3.演示（10分）</w:t>
      </w:r>
      <w:r>
        <w:rPr>
          <w:rFonts w:hint="eastAsia" w:ascii="宋体" w:hAnsi="宋体" w:cs="宋体"/>
          <w:b/>
          <w:bCs/>
          <w:sz w:val="24"/>
          <w:szCs w:val="24"/>
          <w:lang w:val="en-US" w:eastAsia="zh-CN"/>
        </w:rPr>
        <w:t xml:space="preserve">：</w:t>
      </w:r>
      <w:r/>
    </w:p>
    <w:p>
      <w:pPr>
        <w:numPr>
          <w:ilvl w:val="0"/>
          <w:numId w:val="0"/>
        </w:numPr>
        <w:ind w:firstLine="478"/>
        <w:spacing w:line="360" w:lineRule="auto"/>
        <w:tabs>
          <w:tab w:val="left" w:pos="525" w:leader="none"/>
          <w:tab w:val="left" w:pos="945" w:leader="none"/>
          <w:tab w:val="left" w:pos="1155" w:leader="none"/>
          <w:tab w:val="left" w:pos="3823" w:leader="none"/>
        </w:tabs>
        <w:rPr>
          <w:rFonts w:hint="eastAsia" w:ascii="宋体" w:hAnsi="宋体" w:eastAsia="宋体" w:cs="宋体"/>
          <w:b/>
          <w:bCs/>
          <w:spacing w:val="-1"/>
          <w:sz w:val="24"/>
          <w:szCs w:val="24"/>
        </w:rPr>
      </w:pPr>
      <w:r>
        <w:rPr>
          <w:rFonts w:hint="eastAsia" w:ascii="宋体" w:hAnsi="宋体" w:eastAsia="宋体" w:cs="宋体"/>
          <w:b/>
          <w:bCs/>
          <w:spacing w:val="-1"/>
          <w:sz w:val="24"/>
          <w:szCs w:val="24"/>
        </w:rPr>
        <w:t xml:space="preserve">投标</w:t>
      </w:r>
      <w:r>
        <w:rPr>
          <w:rFonts w:hint="eastAsia" w:ascii="宋体" w:hAnsi="宋体" w:eastAsia="宋体" w:cs="宋体"/>
          <w:b/>
          <w:bCs/>
          <w:spacing w:val="-1"/>
          <w:sz w:val="24"/>
          <w:szCs w:val="24"/>
          <w:lang w:val="en-US" w:eastAsia="zh-CN"/>
        </w:rPr>
        <w:t xml:space="preserve">人</w:t>
      </w:r>
      <w:r>
        <w:rPr>
          <w:rFonts w:hint="eastAsia" w:ascii="宋体" w:hAnsi="宋体" w:eastAsia="宋体" w:cs="宋体"/>
          <w:b/>
          <w:bCs/>
          <w:spacing w:val="-1"/>
          <w:sz w:val="24"/>
          <w:szCs w:val="24"/>
        </w:rPr>
        <w:t xml:space="preserve">需对“</w:t>
      </w:r>
      <w:r>
        <w:rPr>
          <w:rFonts w:hint="eastAsia" w:ascii="宋体" w:hAnsi="宋体" w:eastAsia="宋体" w:cs="宋体"/>
          <w:b/>
          <w:bCs/>
          <w:spacing w:val="-1"/>
          <w:sz w:val="24"/>
          <w:szCs w:val="24"/>
          <w:lang w:val="en-US" w:eastAsia="zh-CN"/>
        </w:rPr>
        <w:t xml:space="preserve">图书馆管理系统</w:t>
      </w:r>
      <w:r>
        <w:rPr>
          <w:rFonts w:hint="eastAsia" w:ascii="宋体" w:hAnsi="宋体" w:eastAsia="宋体" w:cs="宋体"/>
          <w:b/>
          <w:bCs/>
          <w:spacing w:val="-1"/>
          <w:sz w:val="24"/>
          <w:szCs w:val="24"/>
        </w:rPr>
        <w:t xml:space="preserve">”，“</w:t>
      </w:r>
      <w:r>
        <w:rPr>
          <w:rFonts w:hint="eastAsia" w:ascii="宋体" w:hAnsi="宋体" w:eastAsia="宋体" w:cs="宋体"/>
          <w:b/>
          <w:bCs/>
          <w:spacing w:val="-1"/>
          <w:sz w:val="24"/>
          <w:szCs w:val="24"/>
          <w:lang w:val="en-US" w:eastAsia="zh-CN"/>
        </w:rPr>
        <w:t xml:space="preserve">数字孪生校园综合管理服务平台</w:t>
      </w:r>
      <w:r>
        <w:rPr>
          <w:rFonts w:hint="eastAsia" w:ascii="宋体" w:hAnsi="宋体" w:eastAsia="宋体" w:cs="宋体"/>
          <w:b/>
          <w:bCs/>
          <w:spacing w:val="-1"/>
          <w:sz w:val="24"/>
          <w:szCs w:val="24"/>
        </w:rPr>
        <w:t xml:space="preserve">”，“</w:t>
      </w:r>
      <w:r>
        <w:rPr>
          <w:rFonts w:hint="eastAsia" w:ascii="宋体" w:hAnsi="宋体" w:eastAsia="宋体" w:cs="宋体"/>
          <w:b/>
          <w:bCs/>
          <w:spacing w:val="-1"/>
          <w:sz w:val="24"/>
          <w:szCs w:val="24"/>
          <w:lang w:val="en-US" w:eastAsia="zh-CN"/>
        </w:rPr>
        <w:t xml:space="preserve">播控主机</w:t>
      </w:r>
      <w:r>
        <w:rPr>
          <w:rFonts w:hint="eastAsia" w:ascii="宋体" w:hAnsi="宋体" w:eastAsia="宋体" w:cs="宋体"/>
          <w:b/>
          <w:bCs/>
          <w:spacing w:val="-1"/>
          <w:sz w:val="24"/>
          <w:szCs w:val="24"/>
        </w:rPr>
        <w:t xml:space="preserve">”功能进行演示并制作成演示视频上传至投标系统中。视频文件的格式为*.mp4或*.avi，投标供应商须将视频文件分段压缩为*.zip文件上传（单个文件不得大于50M，所有文件总共不得大于300M）。文件上传方式见《操作手册》规定，上传的演示视频将作为投标文件的组成部分，视频时长总计不超过15分钟。根据投标供应商视频演示情况和以下功能得分点进行打分，投标人每组视频录制时必须采用一镜到底的方式，不允许剪辑，否则不得分。未按要求进行演示视频或使用其他方式（如软件Demo、</w:t>
      </w:r>
      <w:r>
        <w:rPr>
          <w:rFonts w:hint="eastAsia" w:ascii="宋体" w:hAnsi="宋体" w:eastAsia="宋体" w:cs="宋体"/>
          <w:b/>
          <w:bCs/>
          <w:spacing w:val="-1"/>
          <w:sz w:val="24"/>
          <w:szCs w:val="24"/>
          <w:lang w:val="en-US" w:eastAsia="zh-CN"/>
        </w:rPr>
        <w:t xml:space="preserve">AI生成、</w:t>
      </w:r>
      <w:r>
        <w:rPr>
          <w:rFonts w:hint="eastAsia" w:ascii="宋体" w:hAnsi="宋体" w:eastAsia="宋体" w:cs="宋体"/>
          <w:b/>
          <w:bCs/>
          <w:spacing w:val="-1"/>
          <w:sz w:val="24"/>
          <w:szCs w:val="24"/>
        </w:rPr>
        <w:t xml:space="preserve">PPT 演示、图片原型或方案等）演示不得分。中标单位于中标后3日内</w:t>
      </w:r>
      <w:r>
        <w:rPr>
          <w:rFonts w:hint="eastAsia" w:ascii="宋体" w:hAnsi="宋体" w:eastAsia="宋体" w:cs="宋体"/>
          <w:b/>
          <w:bCs/>
          <w:spacing w:val="-1"/>
          <w:sz w:val="24"/>
          <w:szCs w:val="24"/>
          <w:lang w:val="en-US" w:eastAsia="zh-CN"/>
        </w:rPr>
        <w:t xml:space="preserve">到</w:t>
      </w:r>
      <w:r>
        <w:rPr>
          <w:rFonts w:hint="eastAsia" w:ascii="宋体" w:hAnsi="宋体" w:eastAsia="宋体" w:cs="宋体"/>
          <w:b/>
          <w:bCs/>
          <w:spacing w:val="-1"/>
          <w:sz w:val="24"/>
          <w:szCs w:val="24"/>
        </w:rPr>
        <w:t xml:space="preserve">采购人实际使用现场演示确认。具体要求如下：</w:t>
      </w:r>
      <w:r/>
    </w:p>
    <w:p>
      <w:pPr>
        <w:numPr>
          <w:ilvl w:val="0"/>
          <w:numId w:val="0"/>
        </w:numPr>
        <w:ind w:left="482"/>
        <w:spacing w:line="360" w:lineRule="auto"/>
        <w:tabs>
          <w:tab w:val="left" w:pos="525" w:leader="none"/>
          <w:tab w:val="left" w:pos="945" w:leader="none"/>
          <w:tab w:val="left" w:pos="1155" w:leader="none"/>
          <w:tab w:val="left" w:pos="3823" w:leader="none"/>
        </w:tabs>
        <w:rPr>
          <w:rFonts w:hint="eastAsia" w:ascii="宋体" w:hAnsi="宋体" w:eastAsia="宋体" w:cs="宋体"/>
          <w:b/>
          <w:bCs/>
          <w:spacing w:val="-1"/>
          <w:sz w:val="24"/>
          <w:szCs w:val="24"/>
        </w:rPr>
      </w:pPr>
      <w:r>
        <w:rPr>
          <w:rFonts w:hint="eastAsia" w:ascii="宋体" w:hAnsi="宋体" w:eastAsia="宋体" w:cs="宋体"/>
          <w:b/>
          <w:bCs/>
          <w:spacing w:val="-1"/>
          <w:sz w:val="24"/>
          <w:szCs w:val="24"/>
          <w:lang w:val="en-US" w:eastAsia="zh-CN"/>
        </w:rPr>
        <w:t xml:space="preserve">3</w:t>
      </w:r>
      <w:r>
        <w:rPr>
          <w:rFonts w:hint="eastAsia" w:ascii="宋体" w:hAnsi="宋体" w:eastAsia="宋体" w:cs="宋体"/>
          <w:b/>
          <w:bCs/>
          <w:spacing w:val="-1"/>
          <w:sz w:val="24"/>
          <w:szCs w:val="24"/>
        </w:rPr>
        <w:t xml:space="preserve">.1所投“</w:t>
      </w:r>
      <w:r>
        <w:rPr>
          <w:rFonts w:hint="eastAsia" w:ascii="宋体" w:hAnsi="宋体" w:eastAsia="宋体" w:cs="宋体"/>
          <w:b/>
          <w:bCs/>
          <w:spacing w:val="-1"/>
          <w:sz w:val="24"/>
          <w:szCs w:val="24"/>
          <w:lang w:val="en-US" w:eastAsia="zh-CN"/>
        </w:rPr>
        <w:t xml:space="preserve">图书馆管理系统</w:t>
      </w:r>
      <w:r>
        <w:rPr>
          <w:rFonts w:hint="eastAsia" w:ascii="宋体" w:hAnsi="宋体" w:eastAsia="宋体" w:cs="宋体"/>
          <w:b/>
          <w:bCs/>
          <w:spacing w:val="-1"/>
          <w:sz w:val="24"/>
          <w:szCs w:val="24"/>
        </w:rPr>
        <w:t xml:space="preserve">”（</w:t>
      </w:r>
      <w:r>
        <w:rPr>
          <w:rFonts w:hint="eastAsia" w:ascii="宋体" w:hAnsi="宋体" w:eastAsia="宋体" w:cs="宋体"/>
          <w:b/>
          <w:bCs/>
          <w:spacing w:val="-1"/>
          <w:sz w:val="24"/>
          <w:szCs w:val="24"/>
          <w:lang w:val="en-US" w:eastAsia="zh-CN"/>
        </w:rPr>
        <w:t xml:space="preserve">2分</w:t>
      </w:r>
      <w:r>
        <w:rPr>
          <w:rFonts w:hint="eastAsia" w:ascii="宋体" w:hAnsi="宋体" w:eastAsia="宋体" w:cs="宋体"/>
          <w:b/>
          <w:bCs/>
          <w:spacing w:val="-1"/>
          <w:sz w:val="24"/>
          <w:szCs w:val="24"/>
        </w:rPr>
        <w:t xml:space="preserve">）</w:t>
      </w:r>
      <w:r/>
    </w:p>
    <w:p>
      <w:pPr>
        <w:ind w:left="163" w:firstLine="480"/>
        <w:spacing w:line="360" w:lineRule="auto"/>
        <w:widowControl/>
        <w:tabs>
          <w:tab w:val="left" w:pos="945" w:leader="none"/>
        </w:tabs>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①智能选书:通过第三方提供的电子表格导入系统中，可对导入目录实现馆藏目录一键查重、一键删重，筛选重复书目，选择适合的图书目录推荐到采购目录中，并生成订购清单，方便管理员下单采购图书。得1分</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spacing w:val="-1"/>
          <w:sz w:val="24"/>
          <w:szCs w:val="24"/>
        </w:rPr>
        <w:t xml:space="preserve">演示成功得对应分值，不演示</w:t>
      </w:r>
      <w:r>
        <w:rPr>
          <w:rFonts w:hint="eastAsia" w:ascii="宋体" w:hAnsi="宋体" w:eastAsia="宋体" w:cs="宋体"/>
          <w:b/>
          <w:bCs/>
          <w:spacing w:val="-1"/>
          <w:sz w:val="24"/>
          <w:szCs w:val="24"/>
          <w:lang w:eastAsia="zh-CN"/>
        </w:rPr>
        <w:t xml:space="preserve">、</w:t>
      </w:r>
      <w:r>
        <w:rPr>
          <w:rFonts w:hint="eastAsia" w:ascii="宋体" w:hAnsi="宋体" w:eastAsia="宋体" w:cs="宋体"/>
          <w:b/>
          <w:bCs/>
          <w:spacing w:val="-1"/>
          <w:sz w:val="24"/>
          <w:szCs w:val="24"/>
          <w:lang w:val="en-US" w:eastAsia="zh-CN"/>
        </w:rPr>
        <w:t xml:space="preserve">演示不全</w:t>
      </w:r>
      <w:r>
        <w:rPr>
          <w:rFonts w:hint="eastAsia" w:ascii="宋体" w:hAnsi="宋体" w:eastAsia="宋体" w:cs="宋体"/>
          <w:b/>
          <w:bCs/>
          <w:spacing w:val="-1"/>
          <w:sz w:val="24"/>
          <w:szCs w:val="24"/>
        </w:rPr>
        <w:t xml:space="preserve">或者演示失败不得分）</w:t>
      </w:r>
      <w:r/>
    </w:p>
    <w:p>
      <w:pPr>
        <w:ind w:left="163" w:firstLine="480"/>
        <w:spacing w:line="360" w:lineRule="auto"/>
        <w:widowControl/>
        <w:tabs>
          <w:tab w:val="left" w:pos="945" w:leader="none"/>
        </w:tabs>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②支持教育部图书馆图书审查清理专项活动，能够自定义查询图书清查类别，导出清查图书登记表，图书审查清理情况汇总表。得1分</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spacing w:val="-1"/>
          <w:sz w:val="24"/>
          <w:szCs w:val="24"/>
        </w:rPr>
        <w:t xml:space="preserve">演示成功得对应分值，不演示</w:t>
      </w:r>
      <w:r>
        <w:rPr>
          <w:rFonts w:hint="eastAsia" w:ascii="宋体" w:hAnsi="宋体" w:eastAsia="宋体" w:cs="宋体"/>
          <w:b/>
          <w:bCs/>
          <w:spacing w:val="-1"/>
          <w:sz w:val="24"/>
          <w:szCs w:val="24"/>
          <w:lang w:eastAsia="zh-CN"/>
        </w:rPr>
        <w:t xml:space="preserve">、</w:t>
      </w:r>
      <w:r>
        <w:rPr>
          <w:rFonts w:hint="eastAsia" w:ascii="宋体" w:hAnsi="宋体" w:eastAsia="宋体" w:cs="宋体"/>
          <w:b/>
          <w:bCs/>
          <w:spacing w:val="-1"/>
          <w:sz w:val="24"/>
          <w:szCs w:val="24"/>
          <w:lang w:val="en-US" w:eastAsia="zh-CN"/>
        </w:rPr>
        <w:t xml:space="preserve">演示不全</w:t>
      </w:r>
      <w:r>
        <w:rPr>
          <w:rFonts w:hint="eastAsia" w:ascii="宋体" w:hAnsi="宋体" w:eastAsia="宋体" w:cs="宋体"/>
          <w:b/>
          <w:bCs/>
          <w:spacing w:val="-1"/>
          <w:sz w:val="24"/>
          <w:szCs w:val="24"/>
        </w:rPr>
        <w:t xml:space="preserve">或者演示失败不得分）</w:t>
      </w:r>
      <w:r/>
    </w:p>
    <w:p>
      <w:pPr>
        <w:numPr>
          <w:ilvl w:val="0"/>
          <w:numId w:val="0"/>
        </w:numPr>
        <w:ind w:left="482"/>
        <w:spacing w:line="360" w:lineRule="auto"/>
        <w:tabs>
          <w:tab w:val="left" w:pos="525" w:leader="none"/>
          <w:tab w:val="left" w:pos="945" w:leader="none"/>
          <w:tab w:val="left" w:pos="1155" w:leader="none"/>
          <w:tab w:val="left" w:pos="3823" w:leader="none"/>
        </w:tabs>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 xml:space="preserve">3.2所投</w:t>
      </w:r>
      <w:r>
        <w:rPr>
          <w:rFonts w:hint="eastAsia" w:ascii="宋体" w:hAnsi="宋体" w:eastAsia="宋体" w:cs="宋体"/>
          <w:b/>
          <w:bCs/>
          <w:spacing w:val="-1"/>
          <w:sz w:val="24"/>
          <w:szCs w:val="24"/>
        </w:rPr>
        <w:t xml:space="preserve">“</w:t>
      </w:r>
      <w:r>
        <w:rPr>
          <w:rFonts w:hint="eastAsia" w:ascii="宋体" w:hAnsi="宋体" w:eastAsia="宋体" w:cs="宋体"/>
          <w:b/>
          <w:bCs/>
          <w:spacing w:val="-1"/>
          <w:sz w:val="24"/>
          <w:szCs w:val="24"/>
          <w:lang w:val="en-US" w:eastAsia="zh-CN"/>
        </w:rPr>
        <w:t xml:space="preserve">数字孪生校园综合管理服务平台</w:t>
      </w:r>
      <w:r>
        <w:rPr>
          <w:rFonts w:hint="eastAsia" w:ascii="宋体" w:hAnsi="宋体" w:eastAsia="宋体" w:cs="宋体"/>
          <w:b/>
          <w:bCs/>
          <w:spacing w:val="-1"/>
          <w:sz w:val="24"/>
          <w:szCs w:val="24"/>
        </w:rPr>
        <w:t xml:space="preserve">”（</w:t>
      </w:r>
      <w:r>
        <w:rPr>
          <w:rFonts w:hint="eastAsia" w:ascii="宋体" w:hAnsi="宋体" w:eastAsia="宋体" w:cs="宋体"/>
          <w:b/>
          <w:bCs/>
          <w:spacing w:val="-1"/>
          <w:sz w:val="24"/>
          <w:szCs w:val="24"/>
          <w:lang w:val="en-US" w:eastAsia="zh-CN"/>
        </w:rPr>
        <w:t xml:space="preserve">5分</w:t>
      </w:r>
      <w:r>
        <w:rPr>
          <w:rFonts w:hint="eastAsia" w:ascii="宋体" w:hAnsi="宋体" w:eastAsia="宋体" w:cs="宋体"/>
          <w:b/>
          <w:bCs/>
          <w:spacing w:val="-1"/>
          <w:sz w:val="24"/>
          <w:szCs w:val="24"/>
        </w:rPr>
        <w:t xml:space="preserve">）</w:t>
      </w:r>
      <w:r/>
    </w:p>
    <w:p>
      <w:pPr>
        <w:ind w:left="163" w:firstLine="480"/>
        <w:spacing w:line="360" w:lineRule="auto"/>
        <w:widowControl/>
        <w:tabs>
          <w:tab w:val="left" w:pos="945" w:leader="none"/>
        </w:tabs>
        <w:rPr>
          <w:rFonts w:hint="eastAsia" w:ascii="宋体" w:hAnsi="宋体" w:eastAsia="宋体" w:cs="宋体"/>
          <w:b/>
          <w:bCs/>
          <w:color w:val="000000"/>
          <w:sz w:val="24"/>
          <w:szCs w:val="24"/>
          <w:highlight w:val="yellow"/>
          <w:lang w:val="en-US" w:eastAsia="zh-CN"/>
        </w:rPr>
      </w:pPr>
      <w:r>
        <w:rPr>
          <w:rFonts w:hint="eastAsia" w:ascii="宋体" w:hAnsi="宋体" w:eastAsia="宋体" w:cs="宋体"/>
          <w:color w:val="000000"/>
          <w:sz w:val="24"/>
          <w:szCs w:val="24"/>
          <w:lang w:val="en-US" w:eastAsia="zh-CN"/>
        </w:rPr>
        <w:t xml:space="preserve">①建筑模型任意剖切：支持通过数字孪生技术实现建筑模型任意位置和角度的立面剖切操作和任意高度的平面剖切分析，从而满足建筑任意部位的观察和查询需求。得1分</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spacing w:val="-1"/>
          <w:sz w:val="24"/>
          <w:szCs w:val="24"/>
        </w:rPr>
        <w:t xml:space="preserve">演示成功得对应分值，不演示</w:t>
      </w:r>
      <w:r>
        <w:rPr>
          <w:rFonts w:hint="eastAsia" w:ascii="宋体" w:hAnsi="宋体" w:eastAsia="宋体" w:cs="宋体"/>
          <w:b/>
          <w:bCs/>
          <w:spacing w:val="-1"/>
          <w:sz w:val="24"/>
          <w:szCs w:val="24"/>
          <w:lang w:eastAsia="zh-CN"/>
        </w:rPr>
        <w:t xml:space="preserve">、</w:t>
      </w:r>
      <w:r>
        <w:rPr>
          <w:rFonts w:hint="eastAsia" w:ascii="宋体" w:hAnsi="宋体" w:eastAsia="宋体" w:cs="宋体"/>
          <w:b/>
          <w:bCs/>
          <w:spacing w:val="-1"/>
          <w:sz w:val="24"/>
          <w:szCs w:val="24"/>
          <w:lang w:val="en-US" w:eastAsia="zh-CN"/>
        </w:rPr>
        <w:t xml:space="preserve">演示不全</w:t>
      </w:r>
      <w:r>
        <w:rPr>
          <w:rFonts w:hint="eastAsia" w:ascii="宋体" w:hAnsi="宋体" w:eastAsia="宋体" w:cs="宋体"/>
          <w:b/>
          <w:bCs/>
          <w:spacing w:val="-1"/>
          <w:sz w:val="24"/>
          <w:szCs w:val="24"/>
        </w:rPr>
        <w:t xml:space="preserve">或者演示失败不得分）</w:t>
      </w:r>
      <w:r/>
    </w:p>
    <w:p>
      <w:pPr>
        <w:ind w:left="163" w:firstLine="480"/>
        <w:spacing w:line="360" w:lineRule="auto"/>
        <w:widowControl/>
        <w:tabs>
          <w:tab w:val="left" w:pos="945" w:leader="none"/>
        </w:tabs>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②全景地图标签阅览：支持在激光点云全景地图场景范围内进行多媒体VR标签的叠加与阅览，包括文字标签、图像标签、视频标签、音频标签、文件标签等。在漫游到配置标签资源的位置时，在全景地图中显示对应的标签资源，点击对应标签，能够正常进行标签常规弹框呈现应用。得1分</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spacing w:val="-1"/>
          <w:sz w:val="24"/>
          <w:szCs w:val="24"/>
        </w:rPr>
        <w:t xml:space="preserve">演示成功得对应分值，不演示</w:t>
      </w:r>
      <w:r>
        <w:rPr>
          <w:rFonts w:hint="eastAsia" w:ascii="宋体" w:hAnsi="宋体" w:eastAsia="宋体" w:cs="宋体"/>
          <w:b/>
          <w:bCs/>
          <w:spacing w:val="-1"/>
          <w:sz w:val="24"/>
          <w:szCs w:val="24"/>
          <w:lang w:eastAsia="zh-CN"/>
        </w:rPr>
        <w:t xml:space="preserve">、</w:t>
      </w:r>
      <w:r>
        <w:rPr>
          <w:rFonts w:hint="eastAsia" w:ascii="宋体" w:hAnsi="宋体" w:eastAsia="宋体" w:cs="宋体"/>
          <w:b/>
          <w:bCs/>
          <w:spacing w:val="-1"/>
          <w:sz w:val="24"/>
          <w:szCs w:val="24"/>
          <w:lang w:val="en-US" w:eastAsia="zh-CN"/>
        </w:rPr>
        <w:t xml:space="preserve">演示不全</w:t>
      </w:r>
      <w:r>
        <w:rPr>
          <w:rFonts w:hint="eastAsia" w:ascii="宋体" w:hAnsi="宋体" w:eastAsia="宋体" w:cs="宋体"/>
          <w:b/>
          <w:bCs/>
          <w:spacing w:val="-1"/>
          <w:sz w:val="24"/>
          <w:szCs w:val="24"/>
        </w:rPr>
        <w:t xml:space="preserve">或者演示失败不得分）</w:t>
      </w:r>
      <w:r/>
    </w:p>
    <w:p>
      <w:pPr>
        <w:ind w:left="163" w:firstLine="480"/>
        <w:spacing w:line="360" w:lineRule="auto"/>
        <w:widowControl/>
        <w:tabs>
          <w:tab w:val="left" w:pos="945"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③天气实时仿真：支持对接实时气象系统实现天气实时同步应用，在三维模型中实时仿真呈现天气效果；支持指定时间点及指定天气类型的仿真效果呈现。得1分</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spacing w:val="-1"/>
          <w:sz w:val="24"/>
          <w:szCs w:val="24"/>
        </w:rPr>
        <w:t xml:space="preserve">演示成功得对应分值，不演示</w:t>
      </w:r>
      <w:r>
        <w:rPr>
          <w:rFonts w:hint="eastAsia" w:ascii="宋体" w:hAnsi="宋体" w:eastAsia="宋体" w:cs="宋体"/>
          <w:b/>
          <w:bCs/>
          <w:spacing w:val="-1"/>
          <w:sz w:val="24"/>
          <w:szCs w:val="24"/>
          <w:lang w:eastAsia="zh-CN"/>
        </w:rPr>
        <w:t xml:space="preserve">、</w:t>
      </w:r>
      <w:r>
        <w:rPr>
          <w:rFonts w:hint="eastAsia" w:ascii="宋体" w:hAnsi="宋体" w:eastAsia="宋体" w:cs="宋体"/>
          <w:b/>
          <w:bCs/>
          <w:spacing w:val="-1"/>
          <w:sz w:val="24"/>
          <w:szCs w:val="24"/>
          <w:lang w:val="en-US" w:eastAsia="zh-CN"/>
        </w:rPr>
        <w:t xml:space="preserve">演示不全</w:t>
      </w:r>
      <w:r>
        <w:rPr>
          <w:rFonts w:hint="eastAsia" w:ascii="宋体" w:hAnsi="宋体" w:eastAsia="宋体" w:cs="宋体"/>
          <w:b/>
          <w:bCs/>
          <w:spacing w:val="-1"/>
          <w:sz w:val="24"/>
          <w:szCs w:val="24"/>
        </w:rPr>
        <w:t xml:space="preserve">或者演示失败不得分）</w:t>
      </w:r>
      <w:r/>
    </w:p>
    <w:p>
      <w:pPr>
        <w:ind w:left="163" w:firstLine="480"/>
        <w:spacing w:line="360" w:lineRule="auto"/>
        <w:widowControl/>
        <w:tabs>
          <w:tab w:val="left" w:pos="945" w:leader="none"/>
        </w:tabs>
        <w:rPr>
          <w:rFonts w:hint="eastAsia" w:ascii="宋体" w:hAnsi="宋体" w:eastAsia="宋体" w:cs="宋体"/>
          <w:spacing w:val="-1"/>
          <w:sz w:val="24"/>
          <w:szCs w:val="24"/>
        </w:rPr>
      </w:pPr>
      <w:r>
        <w:rPr>
          <w:rFonts w:hint="eastAsia" w:ascii="宋体" w:hAnsi="宋体" w:eastAsia="宋体" w:cs="宋体"/>
          <w:color w:val="000000"/>
          <w:sz w:val="24"/>
          <w:szCs w:val="24"/>
          <w:lang w:val="en-US" w:eastAsia="zh-CN"/>
        </w:rPr>
        <w:t xml:space="preserve">④视频标签地图点位呈现：在校园三维地图上显示校园各个区域视频监控设备的实时视频监控点位，以标签形式进行呈现以便了解校园视频设备的分布位置。得1分</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spacing w:val="-1"/>
          <w:sz w:val="24"/>
          <w:szCs w:val="24"/>
        </w:rPr>
        <w:t xml:space="preserve">演示成功得对应分值，不演示</w:t>
      </w:r>
      <w:r>
        <w:rPr>
          <w:rFonts w:hint="eastAsia" w:ascii="宋体" w:hAnsi="宋体" w:eastAsia="宋体" w:cs="宋体"/>
          <w:b/>
          <w:bCs/>
          <w:spacing w:val="-1"/>
          <w:sz w:val="24"/>
          <w:szCs w:val="24"/>
          <w:lang w:eastAsia="zh-CN"/>
        </w:rPr>
        <w:t xml:space="preserve">、</w:t>
      </w:r>
      <w:r>
        <w:rPr>
          <w:rFonts w:hint="eastAsia" w:ascii="宋体" w:hAnsi="宋体" w:eastAsia="宋体" w:cs="宋体"/>
          <w:b/>
          <w:bCs/>
          <w:spacing w:val="-1"/>
          <w:sz w:val="24"/>
          <w:szCs w:val="24"/>
          <w:lang w:val="en-US" w:eastAsia="zh-CN"/>
        </w:rPr>
        <w:t xml:space="preserve">演示不全</w:t>
      </w:r>
      <w:r>
        <w:rPr>
          <w:rFonts w:hint="eastAsia" w:ascii="宋体" w:hAnsi="宋体" w:eastAsia="宋体" w:cs="宋体"/>
          <w:b/>
          <w:bCs/>
          <w:spacing w:val="-1"/>
          <w:sz w:val="24"/>
          <w:szCs w:val="24"/>
        </w:rPr>
        <w:t xml:space="preserve">或者演示失败不得分）</w:t>
      </w:r>
      <w:r/>
    </w:p>
    <w:p>
      <w:pPr>
        <w:ind w:left="163" w:firstLine="480"/>
        <w:spacing w:line="360" w:lineRule="auto"/>
        <w:widowControl/>
        <w:tabs>
          <w:tab w:val="left" w:pos="945" w:leader="none"/>
        </w:tabs>
        <w:rPr>
          <w:rFonts w:hint="eastAsia" w:ascii="宋体" w:hAnsi="宋体" w:eastAsia="宋体" w:cs="宋体"/>
          <w:b/>
          <w:bCs/>
          <w:spacing w:val="-1"/>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需提供校园模型空间列表，以结构化树状图形式对校园建筑模型内的房间进行统一管理，并遵循楼栋-楼层-房间的层级关系，便于用户清晰地查看每个房间的归属关系。支持按房间功能进行筛选和统计，支持在校园三维地图场景中以不同颜色展示不同功能的房间模型。</w:t>
      </w:r>
      <w:r>
        <w:rPr>
          <w:rFonts w:hint="eastAsia" w:ascii="宋体" w:hAnsi="宋体" w:eastAsia="宋体" w:cs="宋体"/>
          <w:color w:val="000000"/>
          <w:sz w:val="24"/>
          <w:szCs w:val="24"/>
          <w:lang w:val="en-US" w:eastAsia="zh-CN"/>
        </w:rPr>
        <w:t xml:space="preserve">得1分</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spacing w:val="-1"/>
          <w:sz w:val="24"/>
          <w:szCs w:val="24"/>
        </w:rPr>
        <w:t xml:space="preserve">演示成功得对应分值，不演示</w:t>
      </w:r>
      <w:r>
        <w:rPr>
          <w:rFonts w:hint="eastAsia" w:ascii="宋体" w:hAnsi="宋体" w:eastAsia="宋体" w:cs="宋体"/>
          <w:b/>
          <w:bCs/>
          <w:spacing w:val="-1"/>
          <w:sz w:val="24"/>
          <w:szCs w:val="24"/>
          <w:lang w:eastAsia="zh-CN"/>
        </w:rPr>
        <w:t xml:space="preserve">、</w:t>
      </w:r>
      <w:r>
        <w:rPr>
          <w:rFonts w:hint="eastAsia" w:ascii="宋体" w:hAnsi="宋体" w:eastAsia="宋体" w:cs="宋体"/>
          <w:b/>
          <w:bCs/>
          <w:spacing w:val="-1"/>
          <w:sz w:val="24"/>
          <w:szCs w:val="24"/>
          <w:lang w:val="en-US" w:eastAsia="zh-CN"/>
        </w:rPr>
        <w:t xml:space="preserve">演示不全</w:t>
      </w:r>
      <w:r>
        <w:rPr>
          <w:rFonts w:hint="eastAsia" w:ascii="宋体" w:hAnsi="宋体" w:eastAsia="宋体" w:cs="宋体"/>
          <w:b/>
          <w:bCs/>
          <w:spacing w:val="-1"/>
          <w:sz w:val="24"/>
          <w:szCs w:val="24"/>
        </w:rPr>
        <w:t xml:space="preserve">或者演示失败不得分）</w:t>
      </w:r>
      <w:r/>
    </w:p>
    <w:p>
      <w:pPr>
        <w:ind w:firstLine="482"/>
        <w:spacing w:line="360" w:lineRule="auto"/>
        <w:rPr>
          <w:rFonts w:hint="eastAsia" w:ascii="宋体" w:hAnsi="宋体" w:eastAsia="宋体" w:cs="宋体"/>
          <w:b/>
          <w:bCs/>
          <w:sz w:val="24"/>
          <w:szCs w:val="24"/>
          <w:highlight w:val="yellow"/>
          <w:lang w:val="en-US" w:eastAsia="zh-CN"/>
        </w:rPr>
      </w:pPr>
      <w:r>
        <w:rPr>
          <w:rFonts w:hint="eastAsia" w:ascii="宋体" w:hAnsi="宋体" w:eastAsia="宋体" w:cs="宋体"/>
          <w:b/>
          <w:bCs/>
          <w:spacing w:val="-1"/>
          <w:sz w:val="24"/>
          <w:szCs w:val="24"/>
          <w:lang w:val="en-US" w:eastAsia="zh-CN"/>
        </w:rPr>
        <w:t xml:space="preserve">3.3所投</w:t>
      </w:r>
      <w:r>
        <w:rPr>
          <w:rFonts w:hint="eastAsia" w:ascii="宋体" w:hAnsi="宋体" w:eastAsia="宋体" w:cs="宋体"/>
          <w:b/>
          <w:bCs/>
          <w:spacing w:val="-1"/>
          <w:sz w:val="24"/>
          <w:szCs w:val="24"/>
        </w:rPr>
        <w:t xml:space="preserve">“</w:t>
      </w:r>
      <w:r>
        <w:rPr>
          <w:rFonts w:hint="eastAsia" w:ascii="宋体" w:hAnsi="宋体" w:eastAsia="宋体" w:cs="宋体"/>
          <w:b/>
          <w:bCs/>
          <w:spacing w:val="-1"/>
          <w:sz w:val="24"/>
          <w:szCs w:val="24"/>
          <w:lang w:val="en-US" w:eastAsia="zh-CN"/>
        </w:rPr>
        <w:t xml:space="preserve">播控主机</w:t>
      </w:r>
      <w:r>
        <w:rPr>
          <w:rFonts w:hint="eastAsia" w:ascii="宋体" w:hAnsi="宋体" w:eastAsia="宋体" w:cs="宋体"/>
          <w:b/>
          <w:bCs/>
          <w:spacing w:val="-1"/>
          <w:sz w:val="24"/>
          <w:szCs w:val="24"/>
        </w:rPr>
        <w:t xml:space="preserve">”（</w:t>
      </w:r>
      <w:r>
        <w:rPr>
          <w:rFonts w:hint="eastAsia" w:ascii="宋体" w:hAnsi="宋体" w:eastAsia="宋体" w:cs="宋体"/>
          <w:b/>
          <w:bCs/>
          <w:spacing w:val="-1"/>
          <w:sz w:val="24"/>
          <w:szCs w:val="24"/>
          <w:lang w:val="en-US" w:eastAsia="zh-CN"/>
        </w:rPr>
        <w:t xml:space="preserve">3分</w:t>
      </w:r>
      <w:r>
        <w:rPr>
          <w:rFonts w:hint="eastAsia" w:ascii="宋体" w:hAnsi="宋体" w:eastAsia="宋体" w:cs="宋体"/>
          <w:b/>
          <w:bCs/>
          <w:spacing w:val="-1"/>
          <w:sz w:val="24"/>
          <w:szCs w:val="24"/>
        </w:rPr>
        <w:t xml:space="preserve">）</w:t>
      </w:r>
      <w:r/>
    </w:p>
    <w:p>
      <w:pPr>
        <w:ind w:left="163" w:firstLine="480"/>
        <w:spacing w:line="360" w:lineRule="auto"/>
        <w:widowControl/>
        <w:tabs>
          <w:tab w:val="left" w:pos="945" w:leader="none"/>
        </w:tabs>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①支持创建独立播放频道，每个频道可配置不同的视频节目源。支持向所有终端、指定分组或单个终端定向推送频道内容。得1分</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spacing w:val="-1"/>
          <w:sz w:val="24"/>
          <w:szCs w:val="24"/>
        </w:rPr>
        <w:t xml:space="preserve">演示成功得对应分值，不演示</w:t>
      </w:r>
      <w:r>
        <w:rPr>
          <w:rFonts w:hint="eastAsia" w:ascii="宋体" w:hAnsi="宋体" w:eastAsia="宋体" w:cs="宋体"/>
          <w:b/>
          <w:bCs/>
          <w:spacing w:val="-1"/>
          <w:sz w:val="24"/>
          <w:szCs w:val="24"/>
          <w:lang w:eastAsia="zh-CN"/>
        </w:rPr>
        <w:t xml:space="preserve">、</w:t>
      </w:r>
      <w:r>
        <w:rPr>
          <w:rFonts w:hint="eastAsia" w:ascii="宋体" w:hAnsi="宋体" w:eastAsia="宋体" w:cs="宋体"/>
          <w:b/>
          <w:bCs/>
          <w:spacing w:val="-1"/>
          <w:sz w:val="24"/>
          <w:szCs w:val="24"/>
          <w:lang w:val="en-US" w:eastAsia="zh-CN"/>
        </w:rPr>
        <w:t xml:space="preserve">演示不全</w:t>
      </w:r>
      <w:r>
        <w:rPr>
          <w:rFonts w:hint="eastAsia" w:ascii="宋体" w:hAnsi="宋体" w:eastAsia="宋体" w:cs="宋体"/>
          <w:b/>
          <w:bCs/>
          <w:spacing w:val="-1"/>
          <w:sz w:val="24"/>
          <w:szCs w:val="24"/>
        </w:rPr>
        <w:t xml:space="preserve">或者演示失败不得分）</w:t>
      </w:r>
      <w:r/>
    </w:p>
    <w:p>
      <w:pPr>
        <w:ind w:left="163" w:firstLine="480"/>
        <w:spacing w:line="360" w:lineRule="auto"/>
        <w:widowControl/>
        <w:tabs>
          <w:tab w:val="left" w:pos="945" w:leader="none"/>
        </w:tabs>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②支持同时以SRT、RTSP、HTTP-FLV等多种协议输出媒体流。得1分</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spacing w:val="-1"/>
          <w:sz w:val="24"/>
          <w:szCs w:val="24"/>
        </w:rPr>
        <w:t xml:space="preserve">演示成功得对应分值，不演示</w:t>
      </w:r>
      <w:r>
        <w:rPr>
          <w:rFonts w:hint="eastAsia" w:ascii="宋体" w:hAnsi="宋体" w:eastAsia="宋体" w:cs="宋体"/>
          <w:b/>
          <w:bCs/>
          <w:spacing w:val="-1"/>
          <w:sz w:val="24"/>
          <w:szCs w:val="24"/>
          <w:lang w:eastAsia="zh-CN"/>
        </w:rPr>
        <w:t xml:space="preserve">、</w:t>
      </w:r>
      <w:r>
        <w:rPr>
          <w:rFonts w:hint="eastAsia" w:ascii="宋体" w:hAnsi="宋体" w:eastAsia="宋体" w:cs="宋体"/>
          <w:b/>
          <w:bCs/>
          <w:spacing w:val="-1"/>
          <w:sz w:val="24"/>
          <w:szCs w:val="24"/>
          <w:lang w:val="en-US" w:eastAsia="zh-CN"/>
        </w:rPr>
        <w:t xml:space="preserve">演示不全</w:t>
      </w:r>
      <w:r>
        <w:rPr>
          <w:rFonts w:hint="eastAsia" w:ascii="宋体" w:hAnsi="宋体" w:eastAsia="宋体" w:cs="宋体"/>
          <w:b/>
          <w:bCs/>
          <w:spacing w:val="-1"/>
          <w:sz w:val="24"/>
          <w:szCs w:val="24"/>
        </w:rPr>
        <w:t xml:space="preserve">或者演示失败不得分）</w:t>
      </w:r>
      <w:r/>
    </w:p>
    <w:p>
      <w:pPr>
        <w:ind w:left="163" w:firstLine="480"/>
        <w:spacing w:line="360" w:lineRule="auto"/>
        <w:widowControl/>
        <w:tabs>
          <w:tab w:val="left" w:pos="945" w:leader="none"/>
        </w:tabs>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③具有实时网络吞吐量监测功能，并能通过web页面可视化显示输出；得1分</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spacing w:val="-1"/>
          <w:sz w:val="24"/>
          <w:szCs w:val="24"/>
        </w:rPr>
        <w:t xml:space="preserve">演示成功得对应分值，不演示</w:t>
      </w:r>
      <w:r>
        <w:rPr>
          <w:rFonts w:hint="eastAsia" w:ascii="宋体" w:hAnsi="宋体" w:eastAsia="宋体" w:cs="宋体"/>
          <w:b/>
          <w:bCs/>
          <w:spacing w:val="-1"/>
          <w:sz w:val="24"/>
          <w:szCs w:val="24"/>
          <w:lang w:eastAsia="zh-CN"/>
        </w:rPr>
        <w:t xml:space="preserve">、</w:t>
      </w:r>
      <w:r>
        <w:rPr>
          <w:rFonts w:hint="eastAsia" w:ascii="宋体" w:hAnsi="宋体" w:eastAsia="宋体" w:cs="宋体"/>
          <w:b/>
          <w:bCs/>
          <w:spacing w:val="-1"/>
          <w:sz w:val="24"/>
          <w:szCs w:val="24"/>
          <w:lang w:val="en-US" w:eastAsia="zh-CN"/>
        </w:rPr>
        <w:t xml:space="preserve">演示不全</w:t>
      </w:r>
      <w:r>
        <w:rPr>
          <w:rFonts w:hint="eastAsia" w:ascii="宋体" w:hAnsi="宋体" w:eastAsia="宋体" w:cs="宋体"/>
          <w:b/>
          <w:bCs/>
          <w:spacing w:val="-1"/>
          <w:sz w:val="24"/>
          <w:szCs w:val="24"/>
        </w:rPr>
        <w:t xml:space="preserve">或者演示失败不得分）</w:t>
      </w:r>
      <w:r/>
    </w:p>
    <w:p>
      <w:pPr>
        <w:numPr>
          <w:ilvl w:val="0"/>
          <w:numId w:val="0"/>
        </w:numPr>
        <w:ind w:left="150" w:firstLine="482"/>
        <w:jc w:val="left"/>
        <w:spacing w:line="360" w:lineRule="auto"/>
        <w:tabs>
          <w:tab w:val="left" w:pos="1440" w:leader="none"/>
        </w:tabs>
        <w:rPr>
          <w:rFonts w:hint="eastAsia"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lang w:val="en-US" w:eastAsia="zh-CN"/>
        </w:rPr>
        <w:t xml:space="preserve">4.技术方案（40分）</w:t>
      </w:r>
      <w:r/>
    </w:p>
    <w:p>
      <w:pPr>
        <w:ind w:firstLine="482"/>
        <w:spacing w:line="360" w:lineRule="auto"/>
        <w:tabs>
          <w:tab w:val="left" w:pos="840" w:leader="none"/>
          <w:tab w:val="left" w:pos="1050" w:leader="none"/>
        </w:tabs>
        <w:rPr>
          <w:rFonts w:hint="eastAsia" w:ascii="宋体" w:hAnsi="宋体" w:eastAsia="宋体" w:cs="宋体"/>
          <w:b/>
          <w:bCs w:val="0"/>
          <w:color w:val="000000"/>
          <w:sz w:val="24"/>
          <w:szCs w:val="24"/>
        </w:rPr>
      </w:pPr>
      <w:r>
        <w:rPr>
          <w:rFonts w:hint="eastAsia" w:ascii="宋体" w:hAnsi="宋体" w:eastAsia="宋体" w:cs="宋体"/>
          <w:b/>
          <w:sz w:val="24"/>
          <w:szCs w:val="24"/>
          <w:lang w:val="en-US" w:eastAsia="zh-CN"/>
        </w:rPr>
        <w:t xml:space="preserve">4.1</w:t>
      </w:r>
      <w:r>
        <w:rPr>
          <w:rFonts w:hint="eastAsia" w:ascii="宋体" w:hAnsi="宋体" w:eastAsia="宋体" w:cs="宋体"/>
          <w:b/>
          <w:sz w:val="24"/>
          <w:szCs w:val="24"/>
        </w:rPr>
        <w:t xml:space="preserve">项目进度计划安排（10分）：</w:t>
      </w:r>
      <w:r>
        <w:rPr>
          <w:rFonts w:hint="eastAsia" w:ascii="宋体" w:hAnsi="宋体" w:eastAsia="宋体" w:cs="宋体"/>
          <w:b/>
          <w:bCs w:val="0"/>
          <w:color w:val="000000"/>
          <w:sz w:val="24"/>
          <w:szCs w:val="24"/>
        </w:rPr>
        <w:t xml:space="preserve">对投标人供货的项目进度安排的合理性、针对性、可行性进行综合评价。</w:t>
      </w:r>
      <w:r/>
    </w:p>
    <w:p>
      <w:pPr>
        <w:pStyle w:val="945"/>
        <w:numPr>
          <w:ilvl w:val="0"/>
          <w:numId w:val="0"/>
        </w:numPr>
        <w:ind w:left="400" w:firstLine="241"/>
        <w:spacing w:line="360" w:lineRule="auto"/>
        <w:tabs>
          <w:tab w:val="left" w:pos="803"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szCs w:val="24"/>
        </w:rPr>
        <w:t xml:space="preserve">项目进度计划（2分）</w:t>
      </w:r>
      <w:r/>
    </w:p>
    <w:p>
      <w:pPr>
        <w:pStyle w:val="945"/>
        <w:numPr>
          <w:ilvl w:val="0"/>
          <w:numId w:val="0"/>
        </w:numPr>
        <w:ind w:left="400" w:firstLine="241"/>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rPr>
        <w:t xml:space="preserve">工作组织安排（2分）</w:t>
      </w:r>
      <w:r/>
    </w:p>
    <w:p>
      <w:pPr>
        <w:pStyle w:val="945"/>
        <w:numPr>
          <w:ilvl w:val="0"/>
          <w:numId w:val="0"/>
        </w:numPr>
        <w:ind w:left="400" w:firstLine="241"/>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③</w:t>
      </w:r>
      <w:r>
        <w:rPr>
          <w:rFonts w:hint="eastAsia" w:ascii="宋体" w:hAnsi="宋体" w:eastAsia="宋体" w:cs="宋体"/>
          <w:b/>
          <w:bCs/>
          <w:color w:val="000000"/>
          <w:sz w:val="24"/>
          <w:szCs w:val="24"/>
        </w:rPr>
        <w:t xml:space="preserve">进度保障措施（2分）</w:t>
      </w:r>
      <w:r/>
    </w:p>
    <w:p>
      <w:pPr>
        <w:pStyle w:val="945"/>
        <w:numPr>
          <w:ilvl w:val="0"/>
          <w:numId w:val="0"/>
        </w:numPr>
        <w:ind w:left="400" w:firstLine="241"/>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④</w:t>
      </w:r>
      <w:r>
        <w:rPr>
          <w:rFonts w:hint="eastAsia" w:ascii="宋体" w:hAnsi="宋体" w:eastAsia="宋体" w:cs="宋体"/>
          <w:b/>
          <w:bCs/>
          <w:color w:val="000000"/>
          <w:sz w:val="24"/>
          <w:szCs w:val="24"/>
        </w:rPr>
        <w:t xml:space="preserve">人员投入计划（2分）</w:t>
      </w:r>
      <w:r/>
    </w:p>
    <w:p>
      <w:pPr>
        <w:pStyle w:val="945"/>
        <w:numPr>
          <w:ilvl w:val="0"/>
          <w:numId w:val="0"/>
        </w:numPr>
        <w:ind w:left="400" w:firstLine="241"/>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⑤</w:t>
      </w:r>
      <w:r>
        <w:rPr>
          <w:rFonts w:hint="eastAsia" w:ascii="宋体" w:hAnsi="宋体" w:eastAsia="宋体" w:cs="宋体"/>
          <w:b/>
          <w:bCs/>
          <w:color w:val="000000"/>
          <w:sz w:val="24"/>
          <w:szCs w:val="24"/>
        </w:rPr>
        <w:t xml:space="preserve">人员</w:t>
      </w:r>
      <w:r>
        <w:rPr>
          <w:rFonts w:hint="eastAsia" w:ascii="宋体" w:hAnsi="宋体" w:eastAsia="宋体" w:cs="宋体"/>
          <w:b/>
          <w:bCs/>
          <w:color w:val="000000"/>
          <w:sz w:val="24"/>
          <w:szCs w:val="24"/>
          <w:lang w:val="zh-CN"/>
        </w:rPr>
        <w:t xml:space="preserve">服务方案</w:t>
      </w:r>
      <w:r>
        <w:rPr>
          <w:rFonts w:hint="eastAsia" w:ascii="宋体" w:hAnsi="宋体" w:eastAsia="宋体" w:cs="宋体"/>
          <w:b/>
          <w:bCs/>
          <w:color w:val="000000"/>
          <w:sz w:val="24"/>
          <w:szCs w:val="24"/>
        </w:rPr>
        <w:t xml:space="preserve">（2分）</w:t>
      </w:r>
      <w:r/>
    </w:p>
    <w:p>
      <w:pPr>
        <w:pStyle w:val="88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上述内容需分析合理、描述详细、切实可行有效，每有一项内容进行了</w:t>
      </w:r>
      <w:r>
        <w:rPr>
          <w:rFonts w:hint="eastAsia" w:ascii="宋体" w:hAnsi="宋体" w:eastAsia="宋体" w:cs="宋体"/>
          <w:color w:val="000000"/>
          <w:sz w:val="24"/>
          <w:szCs w:val="24"/>
          <w:lang w:eastAsia="zh-CN"/>
        </w:rPr>
        <w:t xml:space="preserve">阐述</w:t>
      </w:r>
      <w:r>
        <w:rPr>
          <w:rFonts w:hint="eastAsia" w:ascii="宋体" w:hAnsi="宋体" w:eastAsia="宋体" w:cs="宋体"/>
          <w:color w:val="000000"/>
          <w:sz w:val="24"/>
          <w:szCs w:val="24"/>
        </w:rPr>
        <w:t xml:space="preserve">内容详实、需求贴合度高且条理清晰的该条得2分，内容基本满足采购需求存在瑕疵的该条得1分，每有一项内容未进行阐述或不满足采购需求的，该项不得分，最高得10分。</w:t>
      </w:r>
      <w:r/>
    </w:p>
    <w:p>
      <w:pPr>
        <w:ind w:firstLine="482"/>
        <w:spacing w:line="360" w:lineRule="auto"/>
        <w:tabs>
          <w:tab w:val="left" w:pos="840" w:leader="none"/>
          <w:tab w:val="left" w:pos="1050" w:leader="none"/>
        </w:tabs>
        <w:rPr>
          <w:rFonts w:hint="eastAsia" w:ascii="宋体" w:hAnsi="宋体" w:eastAsia="宋体" w:cs="宋体"/>
          <w:b/>
          <w:bCs w:val="0"/>
          <w:color w:val="000000"/>
          <w:sz w:val="24"/>
          <w:szCs w:val="24"/>
        </w:rPr>
      </w:pPr>
      <w:r>
        <w:rPr>
          <w:rFonts w:hint="eastAsia" w:ascii="宋体" w:hAnsi="宋体" w:eastAsia="宋体" w:cs="宋体"/>
          <w:b/>
          <w:sz w:val="24"/>
          <w:szCs w:val="24"/>
          <w:lang w:val="en-US" w:eastAsia="zh-CN"/>
        </w:rPr>
        <w:t xml:space="preserve">4.2</w:t>
      </w:r>
      <w:r>
        <w:rPr>
          <w:rFonts w:hint="eastAsia" w:ascii="宋体" w:hAnsi="宋体" w:eastAsia="宋体" w:cs="宋体"/>
          <w:b/>
          <w:bCs/>
          <w:color w:val="000000"/>
          <w:spacing w:val="-4"/>
          <w:sz w:val="24"/>
          <w:szCs w:val="24"/>
        </w:rPr>
        <w:t xml:space="preserve">安</w:t>
      </w:r>
      <w:r>
        <w:rPr>
          <w:rFonts w:hint="eastAsia" w:ascii="宋体" w:hAnsi="宋体" w:eastAsia="宋体" w:cs="宋体"/>
          <w:b/>
          <w:bCs/>
          <w:color w:val="000000"/>
          <w:sz w:val="24"/>
          <w:szCs w:val="24"/>
        </w:rPr>
        <w:t xml:space="preserve">装及调试方案</w:t>
      </w:r>
      <w:r>
        <w:rPr>
          <w:rFonts w:hint="eastAsia" w:ascii="宋体" w:hAnsi="宋体" w:eastAsia="宋体" w:cs="宋体"/>
          <w:b/>
          <w:sz w:val="24"/>
          <w:szCs w:val="24"/>
        </w:rPr>
        <w:t xml:space="preserve">（8分）：</w:t>
      </w:r>
      <w:r>
        <w:rPr>
          <w:rFonts w:hint="eastAsia" w:ascii="宋体" w:hAnsi="宋体" w:eastAsia="宋体" w:cs="宋体"/>
          <w:b/>
          <w:bCs w:val="0"/>
          <w:color w:val="000000"/>
          <w:sz w:val="24"/>
          <w:szCs w:val="24"/>
        </w:rPr>
        <w:t xml:space="preserve">对投标人的提出的交货、安装与调试方案的合理性、针对性、可行性进行综合评价。</w:t>
      </w:r>
      <w:r/>
    </w:p>
    <w:p>
      <w:pPr>
        <w:pStyle w:val="945"/>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szCs w:val="24"/>
        </w:rPr>
        <w:t xml:space="preserve">交货及安装计划（2分）</w:t>
      </w:r>
      <w:r/>
    </w:p>
    <w:p>
      <w:pPr>
        <w:pStyle w:val="945"/>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rPr>
        <w:t xml:space="preserve">产品调试及技术支撑（2分）</w:t>
      </w:r>
      <w:r/>
    </w:p>
    <w:p>
      <w:pPr>
        <w:pStyle w:val="945"/>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③</w:t>
      </w:r>
      <w:r>
        <w:rPr>
          <w:rFonts w:hint="eastAsia" w:ascii="宋体" w:hAnsi="宋体" w:eastAsia="宋体" w:cs="宋体"/>
          <w:b/>
          <w:bCs/>
          <w:color w:val="000000"/>
          <w:sz w:val="24"/>
          <w:szCs w:val="24"/>
        </w:rPr>
        <w:t xml:space="preserve">文明安装环境保护措施（2分）</w:t>
      </w:r>
      <w:r/>
    </w:p>
    <w:p>
      <w:pPr>
        <w:pStyle w:val="945"/>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④</w:t>
      </w:r>
      <w:r>
        <w:rPr>
          <w:rFonts w:hint="eastAsia" w:ascii="宋体" w:hAnsi="宋体" w:eastAsia="宋体" w:cs="宋体"/>
          <w:b/>
          <w:bCs/>
          <w:color w:val="000000"/>
          <w:sz w:val="24"/>
          <w:szCs w:val="24"/>
        </w:rPr>
        <w:t xml:space="preserve">机械和设备投入方案（2分）</w:t>
      </w:r>
      <w:r/>
    </w:p>
    <w:p>
      <w:pPr>
        <w:pStyle w:val="88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上述内容需分析合理、描述详细、切实可行有效，每有一项内容进行了</w:t>
      </w:r>
      <w:r>
        <w:rPr>
          <w:rFonts w:hint="eastAsia" w:ascii="宋体" w:hAnsi="宋体" w:eastAsia="宋体" w:cs="宋体"/>
          <w:color w:val="000000"/>
          <w:sz w:val="24"/>
          <w:szCs w:val="24"/>
          <w:lang w:eastAsia="zh-CN"/>
        </w:rPr>
        <w:t xml:space="preserve">阐述</w:t>
      </w:r>
      <w:r>
        <w:rPr>
          <w:rFonts w:hint="eastAsia" w:ascii="宋体" w:hAnsi="宋体" w:eastAsia="宋体" w:cs="宋体"/>
          <w:color w:val="000000"/>
          <w:sz w:val="24"/>
          <w:szCs w:val="24"/>
        </w:rPr>
        <w:t xml:space="preserve">内容详实、需求贴合度高且条理清晰的该条得2分，内容基本满足采购需求存在瑕疵的该条得1分，每有一项内容未进行阐述或不满足采购需求的，该项不得分，最高得</w:t>
      </w:r>
      <w:r>
        <w:rPr>
          <w:rFonts w:hint="eastAsia" w:ascii="宋体" w:hAnsi="宋体" w:eastAsia="宋体" w:cs="宋体"/>
          <w:bCs w:val="0"/>
          <w:color w:val="000000"/>
          <w:sz w:val="24"/>
          <w:szCs w:val="24"/>
        </w:rPr>
        <w:t xml:space="preserve">8</w:t>
      </w:r>
      <w:r>
        <w:rPr>
          <w:rFonts w:hint="eastAsia" w:ascii="宋体" w:hAnsi="宋体" w:eastAsia="宋体" w:cs="宋体"/>
          <w:color w:val="000000"/>
          <w:sz w:val="24"/>
          <w:szCs w:val="24"/>
        </w:rPr>
        <w:t xml:space="preserve">分。</w:t>
      </w:r>
      <w:r/>
    </w:p>
    <w:p>
      <w:pPr>
        <w:ind w:firstLine="482"/>
        <w:jc w:val="left"/>
        <w:spacing w:line="360" w:lineRule="auto"/>
        <w:rPr>
          <w:rFonts w:hint="eastAsia" w:ascii="宋体" w:hAnsi="宋体" w:eastAsia="宋体" w:cs="宋体"/>
          <w:b/>
          <w:bCs w:val="0"/>
          <w:color w:val="000000"/>
          <w:sz w:val="24"/>
          <w:szCs w:val="24"/>
        </w:rPr>
      </w:pPr>
      <w:r>
        <w:rPr>
          <w:rFonts w:hint="eastAsia" w:ascii="宋体" w:hAnsi="宋体" w:eastAsia="宋体" w:cs="宋体"/>
          <w:b/>
          <w:sz w:val="24"/>
          <w:szCs w:val="24"/>
          <w:lang w:val="en-US" w:eastAsia="zh-CN"/>
        </w:rPr>
        <w:t xml:space="preserve">4.3</w:t>
      </w:r>
      <w:r>
        <w:rPr>
          <w:rFonts w:hint="eastAsia" w:ascii="宋体" w:hAnsi="宋体" w:eastAsia="宋体" w:cs="宋体"/>
          <w:b/>
          <w:bCs w:val="0"/>
          <w:color w:val="000000"/>
          <w:sz w:val="24"/>
          <w:szCs w:val="24"/>
        </w:rPr>
        <w:t xml:space="preserve">售后服务管理及措施</w:t>
      </w:r>
      <w:r>
        <w:rPr>
          <w:rFonts w:hint="eastAsia" w:ascii="宋体" w:hAnsi="宋体" w:eastAsia="宋体" w:cs="宋体"/>
          <w:b/>
          <w:bCs w:val="0"/>
          <w:sz w:val="24"/>
          <w:szCs w:val="24"/>
        </w:rPr>
        <w:t xml:space="preserve">（10分）：</w:t>
      </w:r>
      <w:bookmarkStart w:id="198" w:name="_Hlk164163672"/>
      <w:r>
        <w:rPr>
          <w:rFonts w:hint="eastAsia" w:ascii="宋体" w:hAnsi="宋体" w:eastAsia="宋体" w:cs="宋体"/>
          <w:b/>
          <w:bCs w:val="0"/>
          <w:color w:val="000000"/>
          <w:sz w:val="24"/>
          <w:szCs w:val="24"/>
        </w:rPr>
        <w:t xml:space="preserve">对投标人提出的售后服务管理及措施方案的合理性、针对性、科学性进行综合评价。</w:t>
      </w:r>
      <w:r/>
    </w:p>
    <w:p>
      <w:pPr>
        <w:pStyle w:val="945"/>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szCs w:val="24"/>
        </w:rPr>
        <w:t xml:space="preserve">售后服务承诺（2分）</w:t>
      </w:r>
      <w:r/>
    </w:p>
    <w:p>
      <w:pPr>
        <w:pStyle w:val="945"/>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rPr>
        <w:t xml:space="preserve">售后服务体系及装备（2分）</w:t>
      </w:r>
      <w:r/>
    </w:p>
    <w:p>
      <w:pPr>
        <w:pStyle w:val="945"/>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③</w:t>
      </w:r>
      <w:r>
        <w:rPr>
          <w:rFonts w:hint="eastAsia" w:ascii="宋体" w:hAnsi="宋体" w:eastAsia="宋体" w:cs="宋体"/>
          <w:b/>
          <w:bCs/>
          <w:color w:val="000000"/>
          <w:sz w:val="24"/>
          <w:szCs w:val="24"/>
        </w:rPr>
        <w:t xml:space="preserve">备品备件管理（2分）</w:t>
      </w:r>
      <w:r/>
    </w:p>
    <w:p>
      <w:pPr>
        <w:pStyle w:val="945"/>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④</w:t>
      </w:r>
      <w:r>
        <w:rPr>
          <w:rFonts w:hint="eastAsia" w:ascii="宋体" w:hAnsi="宋体" w:eastAsia="宋体" w:cs="宋体"/>
          <w:b/>
          <w:bCs/>
          <w:color w:val="000000"/>
          <w:sz w:val="24"/>
          <w:szCs w:val="24"/>
        </w:rPr>
        <w:t xml:space="preserve">技术服务及技术培训（2分）</w:t>
      </w:r>
      <w:bookmarkEnd w:id="198"/>
      <w:r/>
      <w:r/>
    </w:p>
    <w:p>
      <w:pPr>
        <w:pStyle w:val="945"/>
        <w:numPr>
          <w:ilvl w:val="0"/>
          <w:numId w:val="0"/>
        </w:numPr>
        <w:ind w:left="720"/>
        <w:spacing w:line="360" w:lineRule="auto"/>
        <w:tabs>
          <w:tab w:val="left" w:pos="840" w:leader="none"/>
          <w:tab w:val="left" w:pos="105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⑤</w:t>
      </w:r>
      <w:r>
        <w:rPr>
          <w:rFonts w:hint="eastAsia" w:ascii="宋体" w:hAnsi="宋体" w:eastAsia="宋体" w:cs="宋体"/>
          <w:b/>
          <w:bCs/>
          <w:color w:val="000000"/>
          <w:sz w:val="24"/>
          <w:szCs w:val="24"/>
          <w:lang w:val="zh-CN"/>
        </w:rPr>
        <w:t xml:space="preserve">售后服务方案</w:t>
      </w:r>
      <w:r>
        <w:rPr>
          <w:rFonts w:hint="eastAsia" w:ascii="宋体" w:hAnsi="宋体" w:eastAsia="宋体" w:cs="宋体"/>
          <w:b/>
          <w:bCs/>
          <w:color w:val="000000"/>
          <w:sz w:val="24"/>
          <w:szCs w:val="24"/>
        </w:rPr>
        <w:t xml:space="preserve">（2分）</w:t>
      </w:r>
      <w:r/>
    </w:p>
    <w:p>
      <w:pPr>
        <w:pStyle w:val="88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上述内容需分析合理、描述详细、切实可行有效，每有一项内容进行了</w:t>
      </w:r>
      <w:r>
        <w:rPr>
          <w:rFonts w:hint="eastAsia" w:ascii="宋体" w:hAnsi="宋体" w:eastAsia="宋体" w:cs="宋体"/>
          <w:color w:val="000000"/>
          <w:sz w:val="24"/>
          <w:szCs w:val="24"/>
          <w:lang w:eastAsia="zh-CN"/>
        </w:rPr>
        <w:t xml:space="preserve">阐述</w:t>
      </w:r>
      <w:r>
        <w:rPr>
          <w:rFonts w:hint="eastAsia" w:ascii="宋体" w:hAnsi="宋体" w:eastAsia="宋体" w:cs="宋体"/>
          <w:color w:val="000000"/>
          <w:sz w:val="24"/>
          <w:szCs w:val="24"/>
        </w:rPr>
        <w:t xml:space="preserve">内容详实、需求贴合度高且条理清晰的该条得2分，内容基本满足采购需求存在瑕疵的该条得1分，每有一项内容未进行阐述或不满足采购需求的，该项不得分，最高得</w:t>
      </w:r>
      <w:r>
        <w:rPr>
          <w:rFonts w:hint="eastAsia" w:ascii="宋体" w:hAnsi="宋体" w:eastAsia="宋体" w:cs="宋体"/>
          <w:bCs w:val="0"/>
          <w:color w:val="000000"/>
          <w:sz w:val="24"/>
          <w:szCs w:val="24"/>
        </w:rPr>
        <w:t xml:space="preserve">10</w:t>
      </w:r>
      <w:r>
        <w:rPr>
          <w:rFonts w:hint="eastAsia" w:ascii="宋体" w:hAnsi="宋体" w:eastAsia="宋体" w:cs="宋体"/>
          <w:color w:val="000000"/>
          <w:sz w:val="24"/>
          <w:szCs w:val="24"/>
        </w:rPr>
        <w:t xml:space="preserve">分。</w:t>
      </w:r>
      <w:r/>
    </w:p>
    <w:p>
      <w:pPr>
        <w:ind w:firstLine="482"/>
        <w:jc w:val="left"/>
        <w:spacing w:line="360" w:lineRule="auto"/>
        <w:rPr>
          <w:rFonts w:hint="eastAsia" w:ascii="宋体" w:hAnsi="宋体" w:eastAsia="宋体" w:cs="宋体"/>
          <w:b/>
          <w:bCs w:val="0"/>
          <w:color w:val="000000"/>
          <w:sz w:val="24"/>
          <w:szCs w:val="24"/>
        </w:rPr>
      </w:pPr>
      <w:r>
        <w:rPr>
          <w:rFonts w:hint="eastAsia" w:ascii="宋体" w:hAnsi="宋体" w:eastAsia="宋体" w:cs="宋体"/>
          <w:b/>
          <w:bCs w:val="0"/>
          <w:sz w:val="24"/>
          <w:szCs w:val="24"/>
          <w:lang w:val="en-US" w:eastAsia="zh-CN"/>
        </w:rPr>
        <w:t xml:space="preserve">4.4</w:t>
      </w:r>
      <w:r>
        <w:rPr>
          <w:rFonts w:hint="eastAsia" w:ascii="宋体" w:hAnsi="宋体" w:eastAsia="宋体" w:cs="宋体"/>
          <w:b/>
          <w:bCs w:val="0"/>
          <w:color w:val="000000"/>
          <w:sz w:val="24"/>
          <w:szCs w:val="24"/>
        </w:rPr>
        <w:t xml:space="preserve">项目验收方案</w:t>
      </w:r>
      <w:r>
        <w:rPr>
          <w:rFonts w:hint="eastAsia" w:ascii="宋体" w:hAnsi="宋体" w:eastAsia="宋体" w:cs="宋体"/>
          <w:b/>
          <w:bCs w:val="0"/>
          <w:sz w:val="24"/>
          <w:szCs w:val="24"/>
        </w:rPr>
        <w:t xml:space="preserve">（6分）：</w:t>
      </w:r>
      <w:bookmarkStart w:id="199" w:name="_Hlk164163812"/>
      <w:r>
        <w:rPr>
          <w:rFonts w:hint="eastAsia" w:ascii="宋体" w:hAnsi="宋体" w:eastAsia="宋体" w:cs="宋体"/>
          <w:b/>
          <w:bCs w:val="0"/>
          <w:color w:val="000000"/>
          <w:sz w:val="24"/>
          <w:szCs w:val="24"/>
        </w:rPr>
        <w:t xml:space="preserve">对投标人提出的验收方案的合理性、针对性、科学性进行综合评价。</w:t>
      </w:r>
      <w:r/>
    </w:p>
    <w:p>
      <w:pPr>
        <w:ind w:firstLine="482"/>
        <w:spacing w:line="360" w:lineRule="auto"/>
        <w:tabs>
          <w:tab w:val="left" w:pos="840" w:leader="none"/>
          <w:tab w:val="left" w:pos="105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szCs w:val="24"/>
        </w:rPr>
        <w:t xml:space="preserve">针对产品质量的控制点检验（2分）</w:t>
      </w:r>
      <w:r/>
    </w:p>
    <w:p>
      <w:pPr>
        <w:ind w:firstLine="482"/>
        <w:spacing w:line="360" w:lineRule="auto"/>
        <w:tabs>
          <w:tab w:val="left" w:pos="840" w:leader="none"/>
          <w:tab w:val="left" w:pos="105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rPr>
        <w:t xml:space="preserve">成品之间检验标准（2分）</w:t>
      </w:r>
      <w:r/>
    </w:p>
    <w:p>
      <w:pPr>
        <w:ind w:firstLine="482"/>
        <w:spacing w:line="360" w:lineRule="auto"/>
        <w:tabs>
          <w:tab w:val="left" w:pos="840" w:leader="none"/>
          <w:tab w:val="left" w:pos="105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③</w:t>
      </w:r>
      <w:r>
        <w:rPr>
          <w:rFonts w:hint="eastAsia" w:ascii="宋体" w:hAnsi="宋体" w:eastAsia="宋体" w:cs="宋体"/>
          <w:b/>
          <w:bCs/>
          <w:color w:val="000000"/>
          <w:sz w:val="24"/>
          <w:szCs w:val="24"/>
        </w:rPr>
        <w:t xml:space="preserve">项目验收具体方案（2分）</w:t>
      </w:r>
      <w:r/>
    </w:p>
    <w:p>
      <w:pPr>
        <w:ind w:firstLine="480"/>
        <w:spacing w:line="360" w:lineRule="auto"/>
        <w:tabs>
          <w:tab w:val="left" w:pos="840" w:leader="none"/>
          <w:tab w:val="left" w:pos="1050"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上述内容需分析合理、描述详细、切实可行有效，每有一项内容进行了</w:t>
      </w:r>
      <w:r>
        <w:rPr>
          <w:rFonts w:hint="eastAsia" w:ascii="宋体" w:hAnsi="宋体" w:eastAsia="宋体" w:cs="宋体"/>
          <w:color w:val="000000"/>
          <w:sz w:val="24"/>
          <w:szCs w:val="24"/>
          <w:lang w:eastAsia="zh-CN"/>
        </w:rPr>
        <w:t xml:space="preserve">阐述</w:t>
      </w:r>
      <w:r>
        <w:rPr>
          <w:rFonts w:hint="eastAsia" w:ascii="宋体" w:hAnsi="宋体" w:eastAsia="宋体" w:cs="宋体"/>
          <w:bCs/>
          <w:color w:val="000000"/>
          <w:sz w:val="24"/>
          <w:szCs w:val="24"/>
        </w:rPr>
        <w:t xml:space="preserve">内容详实、需求贴合度高且条理清晰的该条</w:t>
      </w:r>
      <w:r>
        <w:rPr>
          <w:rFonts w:hint="eastAsia" w:ascii="宋体" w:hAnsi="宋体" w:eastAsia="宋体" w:cs="宋体"/>
          <w:color w:val="000000"/>
          <w:sz w:val="24"/>
          <w:szCs w:val="24"/>
        </w:rPr>
        <w:t xml:space="preserve">得2分，</w:t>
      </w:r>
      <w:r>
        <w:rPr>
          <w:rFonts w:hint="eastAsia" w:ascii="宋体" w:hAnsi="宋体" w:eastAsia="宋体" w:cs="宋体"/>
          <w:bCs/>
          <w:color w:val="000000"/>
          <w:sz w:val="24"/>
          <w:szCs w:val="24"/>
        </w:rPr>
        <w:t xml:space="preserve">内容基本满足采购需求存在瑕疵的该条</w:t>
      </w:r>
      <w:r>
        <w:rPr>
          <w:rFonts w:hint="eastAsia" w:ascii="宋体" w:hAnsi="宋体" w:eastAsia="宋体" w:cs="宋体"/>
          <w:color w:val="000000"/>
          <w:sz w:val="24"/>
          <w:szCs w:val="24"/>
        </w:rPr>
        <w:t xml:space="preserve">得1分，每有一项内容未进行阐述或不满足采购需求的，该项不得分</w:t>
      </w:r>
      <w:r>
        <w:rPr>
          <w:rFonts w:hint="eastAsia" w:ascii="宋体" w:hAnsi="宋体" w:eastAsia="宋体" w:cs="宋体"/>
          <w:bCs/>
          <w:color w:val="000000"/>
          <w:sz w:val="24"/>
          <w:szCs w:val="24"/>
        </w:rPr>
        <w:t xml:space="preserve">，最高得6分。</w:t>
      </w:r>
      <w:bookmarkEnd w:id="199"/>
      <w:r/>
    </w:p>
    <w:p>
      <w:pPr>
        <w:ind w:firstLine="482"/>
        <w:spacing w:line="360" w:lineRule="auto"/>
        <w:tabs>
          <w:tab w:val="left" w:pos="840" w:leader="none"/>
          <w:tab w:val="left" w:pos="1050" w:leader="none"/>
        </w:tabs>
        <w:rPr>
          <w:rFonts w:hint="eastAsia" w:ascii="宋体" w:hAnsi="宋体" w:eastAsia="宋体" w:cs="宋体"/>
          <w:b/>
          <w:bCs w:val="0"/>
          <w:color w:val="000000"/>
          <w:sz w:val="24"/>
          <w:szCs w:val="24"/>
        </w:rPr>
      </w:pPr>
      <w:r>
        <w:rPr>
          <w:rFonts w:hint="eastAsia" w:ascii="宋体" w:hAnsi="宋体" w:eastAsia="宋体" w:cs="宋体"/>
          <w:b/>
          <w:bCs w:val="0"/>
          <w:sz w:val="24"/>
          <w:szCs w:val="24"/>
          <w:lang w:val="en-US" w:eastAsia="zh-CN"/>
        </w:rPr>
        <w:t xml:space="preserve">4.5</w:t>
      </w:r>
      <w:r>
        <w:rPr>
          <w:rFonts w:hint="eastAsia" w:ascii="宋体" w:hAnsi="宋体" w:eastAsia="宋体" w:cs="宋体"/>
          <w:b/>
          <w:bCs w:val="0"/>
          <w:color w:val="000000"/>
          <w:sz w:val="24"/>
          <w:szCs w:val="24"/>
        </w:rPr>
        <w:t xml:space="preserve">项目总体实施方案</w:t>
      </w: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6</w:t>
      </w:r>
      <w:r>
        <w:rPr>
          <w:rFonts w:hint="eastAsia" w:ascii="宋体" w:hAnsi="宋体" w:eastAsia="宋体" w:cs="宋体"/>
          <w:b/>
          <w:bCs w:val="0"/>
          <w:sz w:val="24"/>
          <w:szCs w:val="24"/>
        </w:rPr>
        <w:t xml:space="preserve">）：</w:t>
      </w:r>
      <w:r>
        <w:rPr>
          <w:rFonts w:hint="eastAsia" w:ascii="宋体" w:hAnsi="宋体" w:eastAsia="宋体" w:cs="宋体"/>
          <w:b/>
          <w:bCs w:val="0"/>
          <w:color w:val="000000"/>
          <w:sz w:val="24"/>
          <w:szCs w:val="24"/>
        </w:rPr>
        <w:t xml:space="preserve">对投标人提出的项目总体实施方案的合理性、针对性、科学性进行综合评价。</w:t>
      </w:r>
      <w:r/>
    </w:p>
    <w:p>
      <w:pPr>
        <w:ind w:firstLine="482"/>
        <w:spacing w:line="360" w:lineRule="auto"/>
        <w:tabs>
          <w:tab w:val="left" w:pos="840" w:leader="none"/>
          <w:tab w:val="left" w:pos="1050" w:leader="none"/>
        </w:tabs>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highlight w:val="none"/>
          <w:lang w:val="en-US" w:eastAsia="zh-CN"/>
        </w:rPr>
        <w:t xml:space="preserve">①</w:t>
      </w:r>
      <w:r>
        <w:rPr>
          <w:rFonts w:hint="eastAsia" w:ascii="宋体" w:hAnsi="宋体" w:eastAsia="宋体" w:cs="宋体"/>
          <w:b/>
          <w:bCs w:val="0"/>
          <w:color w:val="000000"/>
          <w:sz w:val="24"/>
          <w:szCs w:val="24"/>
        </w:rPr>
        <w:t xml:space="preserve">针对现场环境的完善实施方案</w:t>
      </w:r>
      <w:r>
        <w:rPr>
          <w:rFonts w:hint="eastAsia" w:ascii="宋体" w:hAnsi="宋体" w:eastAsia="宋体" w:cs="宋体"/>
          <w:b/>
          <w:bCs w:val="0"/>
          <w:color w:val="000000"/>
          <w:sz w:val="24"/>
          <w:szCs w:val="24"/>
          <w:lang w:val="en-US" w:eastAsia="zh-CN"/>
        </w:rPr>
        <w:t xml:space="preserve">和项目应急预案</w:t>
      </w:r>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lang w:val="en-US" w:eastAsia="zh-CN"/>
        </w:rPr>
        <w:t xml:space="preserve">3</w:t>
      </w:r>
      <w:r>
        <w:rPr>
          <w:rFonts w:hint="eastAsia" w:ascii="宋体" w:hAnsi="宋体" w:eastAsia="宋体" w:cs="宋体"/>
          <w:b/>
          <w:bCs w:val="0"/>
          <w:color w:val="000000"/>
          <w:sz w:val="24"/>
          <w:szCs w:val="24"/>
        </w:rPr>
        <w:t xml:space="preserve">分）</w:t>
      </w:r>
      <w:r/>
    </w:p>
    <w:p>
      <w:pPr>
        <w:ind w:firstLine="482"/>
        <w:spacing w:line="360" w:lineRule="auto"/>
        <w:tabs>
          <w:tab w:val="left" w:pos="840" w:leader="none"/>
          <w:tab w:val="left" w:pos="1050" w:leader="none"/>
        </w:tabs>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highlight w:val="none"/>
          <w:lang w:val="en-US" w:eastAsia="zh-CN"/>
        </w:rPr>
        <w:t xml:space="preserve">②</w:t>
      </w:r>
      <w:r>
        <w:rPr>
          <w:rFonts w:hint="eastAsia" w:ascii="宋体" w:hAnsi="宋体" w:eastAsia="宋体" w:cs="宋体"/>
          <w:b/>
          <w:bCs w:val="0"/>
          <w:color w:val="000000"/>
          <w:sz w:val="24"/>
          <w:szCs w:val="24"/>
        </w:rPr>
        <w:t xml:space="preserve">项目重点难点和解决措施（</w:t>
      </w:r>
      <w:r>
        <w:rPr>
          <w:rFonts w:hint="eastAsia" w:ascii="宋体" w:hAnsi="宋体" w:eastAsia="宋体" w:cs="宋体"/>
          <w:b/>
          <w:bCs w:val="0"/>
          <w:color w:val="000000"/>
          <w:sz w:val="24"/>
          <w:szCs w:val="24"/>
          <w:lang w:val="en-US" w:eastAsia="zh-CN"/>
        </w:rPr>
        <w:t xml:space="preserve">3</w:t>
      </w:r>
      <w:r>
        <w:rPr>
          <w:rFonts w:hint="eastAsia" w:ascii="宋体" w:hAnsi="宋体" w:eastAsia="宋体" w:cs="宋体"/>
          <w:b/>
          <w:bCs w:val="0"/>
          <w:color w:val="000000"/>
          <w:sz w:val="24"/>
          <w:szCs w:val="24"/>
        </w:rPr>
        <w:t xml:space="preserve">分）</w:t>
      </w:r>
      <w:r/>
    </w:p>
    <w:p>
      <w:pPr>
        <w:ind w:firstLine="482"/>
        <w:spacing w:line="360" w:lineRule="auto"/>
        <w:tabs>
          <w:tab w:val="left" w:pos="945" w:leader="none"/>
          <w:tab w:val="left" w:pos="1155" w:leader="none"/>
          <w:tab w:val="left" w:pos="3823" w:leader="none"/>
        </w:tabs>
        <w:rPr>
          <w:rFonts w:hint="eastAsia" w:ascii="宋体" w:hAnsi="宋体" w:eastAsia="宋体" w:cs="宋体"/>
          <w:sz w:val="24"/>
          <w:szCs w:val="24"/>
          <w:highlight w:val="yellow"/>
          <w:lang w:val="en-US" w:eastAsia="zh-CN"/>
        </w:rPr>
      </w:pPr>
      <w:r>
        <w:rPr>
          <w:rFonts w:hint="eastAsia" w:ascii="宋体" w:hAnsi="宋体" w:eastAsia="宋体" w:cs="宋体"/>
          <w:color w:val="000000"/>
          <w:sz w:val="24"/>
          <w:szCs w:val="24"/>
        </w:rPr>
        <w:t xml:space="preserve">上述内容需分析合理、描述详细、切实可行有效，每有一项内容进行了</w:t>
      </w:r>
      <w:r>
        <w:rPr>
          <w:rFonts w:hint="eastAsia" w:ascii="宋体" w:hAnsi="宋体" w:eastAsia="宋体" w:cs="宋体"/>
          <w:color w:val="000000"/>
          <w:sz w:val="24"/>
          <w:szCs w:val="24"/>
          <w:lang w:eastAsia="zh-CN"/>
        </w:rPr>
        <w:t xml:space="preserve">阐述</w:t>
      </w:r>
      <w:r>
        <w:rPr>
          <w:rFonts w:hint="eastAsia" w:ascii="宋体" w:hAnsi="宋体" w:eastAsia="宋体" w:cs="宋体"/>
          <w:color w:val="000000"/>
          <w:sz w:val="24"/>
          <w:szCs w:val="24"/>
        </w:rPr>
        <w:t xml:space="preserve">内容详实、需求贴合度高且条理清晰的该条得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分，内容基本满足采购需求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描述较贴切且条理较清晰</w:t>
      </w:r>
      <w:r>
        <w:rPr>
          <w:rFonts w:hint="eastAsia" w:ascii="宋体" w:hAnsi="宋体" w:eastAsia="宋体" w:cs="宋体"/>
          <w:color w:val="000000"/>
          <w:sz w:val="24"/>
          <w:szCs w:val="24"/>
        </w:rPr>
        <w:t xml:space="preserve">的该条得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分，内容满足采购需求、描述</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条理</w:t>
      </w:r>
      <w:r>
        <w:rPr>
          <w:rFonts w:hint="eastAsia" w:ascii="宋体" w:hAnsi="宋体" w:eastAsia="宋体" w:cs="宋体"/>
          <w:color w:val="000000"/>
          <w:sz w:val="24"/>
          <w:szCs w:val="24"/>
          <w:lang w:val="en-US" w:eastAsia="zh-CN"/>
        </w:rPr>
        <w:t xml:space="preserve">一般且内容存在瑕疵的该条得1分，</w:t>
      </w:r>
      <w:r>
        <w:rPr>
          <w:rFonts w:hint="eastAsia" w:ascii="宋体" w:hAnsi="宋体" w:eastAsia="宋体" w:cs="宋体"/>
          <w:color w:val="000000"/>
          <w:sz w:val="24"/>
          <w:szCs w:val="24"/>
        </w:rPr>
        <w:t xml:space="preserve">每有一项内容未进行阐述或不满足采购需求的，该项不得分，最高得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numPr>
          <w:ilvl w:val="0"/>
          <w:numId w:val="0"/>
        </w:numPr>
        <w:ind w:left="482"/>
        <w:spacing w:line="360" w:lineRule="auto"/>
        <w:tabs>
          <w:tab w:val="left" w:pos="525" w:leader="none"/>
          <w:tab w:val="left" w:pos="945" w:leader="none"/>
          <w:tab w:val="left" w:pos="1155" w:leader="none"/>
          <w:tab w:val="left" w:pos="3823" w:leader="none"/>
        </w:tabs>
        <w:rPr>
          <w:rFonts w:hint="eastAsia" w:ascii="宋体" w:hAnsi="宋体" w:eastAsia="宋体" w:cs="宋体"/>
          <w:b/>
          <w:bCs/>
          <w:sz w:val="24"/>
          <w:szCs w:val="24"/>
        </w:rPr>
      </w:pPr>
      <w:r>
        <w:rPr>
          <w:rFonts w:hint="eastAsia" w:ascii="宋体" w:hAnsi="宋体" w:eastAsia="宋体" w:cs="宋体"/>
          <w:b/>
          <w:bCs/>
          <w:sz w:val="24"/>
          <w:szCs w:val="24"/>
        </w:rPr>
      </w:r>
      <w:r/>
    </w:p>
    <w:p>
      <w:pPr>
        <w:jc w:val="both"/>
        <w:spacing w:line="360" w:lineRule="auto"/>
        <w:tabs>
          <w:tab w:val="left" w:pos="1440" w:leader="none"/>
        </w:tabs>
        <w:rPr>
          <w:rFonts w:hint="eastAsia" w:ascii="黑体" w:hAnsi="黑体" w:eastAsia="黑体"/>
          <w:sz w:val="36"/>
          <w:szCs w:val="36"/>
        </w:rPr>
        <w:outlineLvl w:val="0"/>
      </w:pPr>
      <w:r>
        <w:rPr>
          <w:rFonts w:hint="eastAsia" w:ascii="宋体" w:hAnsi="宋体" w:eastAsia="宋体" w:cs="宋体"/>
          <w:sz w:val="24"/>
          <w:szCs w:val="24"/>
        </w:rPr>
        <w:br w:type="page" w:clear="all"/>
      </w:r>
      <w:r>
        <w:rPr>
          <w:rFonts w:hint="eastAsia" w:ascii="黑体" w:hAnsi="黑体" w:eastAsia="黑体"/>
          <w:sz w:val="36"/>
          <w:szCs w:val="36"/>
        </w:rPr>
        <w:t xml:space="preserve">第六章  </w:t>
      </w:r>
      <w:bookmarkEnd w:id="189"/>
      <w:r/>
      <w:bookmarkEnd w:id="190"/>
      <w:r/>
      <w:bookmarkEnd w:id="193"/>
      <w:r>
        <w:rPr>
          <w:rFonts w:hint="eastAsia" w:ascii="黑体" w:hAnsi="黑体" w:eastAsia="黑体"/>
          <w:sz w:val="36"/>
          <w:szCs w:val="36"/>
        </w:rPr>
        <w:t xml:space="preserve">投标文件内容与格式</w:t>
      </w:r>
      <w:r/>
    </w:p>
    <w:p>
      <w:pPr>
        <w:pStyle w:val="940"/>
        <w:ind w:firstLine="602"/>
        <w:spacing w:before="0" w:after="0" w:line="500" w:lineRule="exact"/>
        <w:rPr>
          <w:rFonts w:hint="eastAsia" w:cs="Arial"/>
          <w:b/>
          <w:sz w:val="30"/>
          <w:szCs w:val="30"/>
        </w:rPr>
      </w:pPr>
      <w:r/>
      <w:bookmarkStart w:id="200" w:name="_Hlt26671244"/>
      <w:r/>
      <w:bookmarkEnd w:id="200"/>
      <w:r/>
      <w:bookmarkStart w:id="201" w:name="_Hlt26955039"/>
      <w:r/>
      <w:bookmarkEnd w:id="201"/>
      <w:r/>
      <w:bookmarkStart w:id="202" w:name="_Toc26554094"/>
      <w:r/>
      <w:bookmarkStart w:id="203" w:name="_Toc49090576"/>
      <w:r/>
      <w:bookmarkStart w:id="204" w:name="_Toc120614282"/>
      <w:r>
        <w:rPr>
          <w:rFonts w:hint="eastAsia" w:cs="Arial"/>
          <w:b/>
          <w:sz w:val="30"/>
          <w:szCs w:val="30"/>
        </w:rPr>
        <w:t xml:space="preserve">第一部分  投标文件内容</w:t>
      </w:r>
      <w:r/>
    </w:p>
    <w:p>
      <w:pPr>
        <w:pStyle w:val="94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8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0"/>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40"/>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40"/>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40"/>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4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40"/>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40"/>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9"/>
                <w:rFonts w:hint="eastAsia" w:ascii="宋体" w:hAnsi="宋体" w:cs="宋体"/>
                <w:sz w:val="24"/>
                <w:szCs w:val="24"/>
              </w:rPr>
              <w:t xml:space="preserve">。</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40"/>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40"/>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40"/>
              <w:ind w:firstLine="0"/>
              <w:jc w:val="center"/>
              <w:spacing w:before="0" w:after="0" w:line="240" w:lineRule="auto"/>
              <w:rPr>
                <w:rFonts w:hint="eastAsia" w:ascii="宋体" w:hAnsi="宋体" w:cs="宋体"/>
              </w:rPr>
            </w:pPr>
            <w:r>
              <w:rPr>
                <w:rFonts w:hint="eastAsia" w:ascii="宋体" w:hAnsi="宋体" w:cs="宋体"/>
              </w:rPr>
              <w:t xml:space="preserve">6</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40"/>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40"/>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40"/>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0"/>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4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40"/>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40"/>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40"/>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40"/>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40"/>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40"/>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40"/>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40"/>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40"/>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40"/>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4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40"/>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40"/>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spacing w:line="360" w:lineRule="auto"/>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38"/>
        <w:ind w:firstLine="480"/>
        <w:spacing w:line="360" w:lineRule="auto"/>
        <w:rPr>
          <w:rFonts w:hint="eastAsia"/>
          <w:color w:val="000000"/>
          <w:sz w:val="24"/>
          <w:szCs w:val="24"/>
        </w:rPr>
      </w:pPr>
      <w:r>
        <w:rPr>
          <w:rFonts w:hint="eastAsia"/>
          <w:color w:val="000000"/>
          <w:sz w:val="24"/>
          <w:szCs w:val="24"/>
        </w:rPr>
        <w:t xml:space="preserve">我公司（单位、联合体）针对</w:t>
      </w:r>
      <w:r>
        <w:rPr>
          <w:rFonts w:hint="eastAsia"/>
          <w:color w:val="000000"/>
          <w:sz w:val="24"/>
          <w:szCs w:val="24"/>
          <w:u w:val="single"/>
          <w:lang w:val="en-US" w:eastAsia="zh-CN"/>
        </w:rPr>
        <w:t xml:space="preserve">       </w:t>
      </w:r>
      <w:r>
        <w:rPr>
          <w:rFonts w:hint="eastAsia" w:ascii="宋体" w:hAnsi="宋体"/>
          <w:bCs/>
          <w:color w:val="000000"/>
          <w:sz w:val="24"/>
          <w:szCs w:val="24"/>
        </w:rPr>
        <w:t xml:space="preserve">项目，兹授权：</w:t>
      </w:r>
      <w:r/>
    </w:p>
    <w:p>
      <w:pPr>
        <w:pStyle w:val="938"/>
        <w:ind w:firstLine="480"/>
        <w:spacing w:line="360" w:lineRule="auto"/>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38"/>
        <w:ind w:firstLine="480"/>
        <w:spacing w:line="360" w:lineRule="auto"/>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38"/>
        <w:ind w:firstLine="480"/>
        <w:spacing w:line="360" w:lineRule="auto"/>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38"/>
        <w:ind w:firstLine="480"/>
        <w:spacing w:line="360" w:lineRule="auto"/>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38"/>
        <w:ind w:firstLine="480"/>
        <w:spacing w:line="360" w:lineRule="auto"/>
        <w:rPr>
          <w:rFonts w:hint="eastAsia"/>
          <w:sz w:val="24"/>
          <w:szCs w:val="24"/>
        </w:rPr>
      </w:pPr>
      <w:r>
        <w:rPr>
          <w:rFonts w:hint="eastAsia"/>
          <w:sz w:val="24"/>
          <w:szCs w:val="24"/>
        </w:rPr>
        <w:t xml:space="preserve">特此授权委托。</w:t>
      </w:r>
      <w:r/>
    </w:p>
    <w:p>
      <w:pPr>
        <w:pStyle w:val="938"/>
        <w:ind w:firstLine="0"/>
        <w:spacing w:line="360" w:lineRule="auto"/>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38"/>
        <w:ind w:firstLine="0"/>
        <w:spacing w:line="360" w:lineRule="auto"/>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38"/>
        <w:ind w:firstLine="0"/>
        <w:spacing w:line="360" w:lineRule="auto"/>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38"/>
        <w:ind w:firstLine="0"/>
        <w:spacing w:line="360" w:lineRule="auto"/>
        <w:rPr>
          <w:rFonts w:hint="eastAsia"/>
          <w:sz w:val="21"/>
          <w:szCs w:val="21"/>
        </w:rPr>
      </w:pPr>
      <w:r>
        <w:rPr>
          <w:rFonts w:hint="eastAsia"/>
          <w:sz w:val="21"/>
          <w:szCs w:val="21"/>
        </w:rPr>
      </w:r>
      <w:r/>
    </w:p>
    <w:p>
      <w:pPr>
        <w:pStyle w:val="938"/>
        <w:ind w:firstLine="0"/>
        <w:spacing w:line="360" w:lineRule="auto"/>
        <w:rPr>
          <w:rFonts w:hint="eastAsia"/>
          <w:sz w:val="21"/>
          <w:szCs w:val="21"/>
        </w:rPr>
      </w:pPr>
      <w:r>
        <w:rPr>
          <w:rFonts w:hint="eastAsia"/>
          <w:sz w:val="21"/>
          <w:szCs w:val="21"/>
        </w:rPr>
        <w:t xml:space="preserve">说明：</w:t>
      </w:r>
      <w:r/>
    </w:p>
    <w:p>
      <w:pPr>
        <w:pStyle w:val="938"/>
        <w:numPr>
          <w:ilvl w:val="0"/>
          <w:numId w:val="12"/>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38"/>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38"/>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38"/>
        <w:numPr>
          <w:ilvl w:val="0"/>
          <w:numId w:val="12"/>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38"/>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5" w:name="报价方关于资格的声明函（格式）"/>
      <w:r/>
      <w:bookmarkEnd w:id="205"/>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采购活动，提供的货物全部由符合政策要求的中小企业制造。相关企业（含联合体中的中小企业、签订分包意向协议的中小企业）的具体情况如下：</w:t>
      </w:r>
      <w:r/>
    </w:p>
    <w:tbl>
      <w:tblPr>
        <w:tblStyle w:val="681"/>
        <w:tblpPr w:horzAnchor="page" w:tblpX="1186" w:vertAnchor="text" w:tblpY="1242" w:leftFromText="180" w:topFromText="0" w:rightFromText="180" w:bottomFromText="0"/>
        <w:tblW w:w="94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9"/>
        <w:gridCol w:w="2522"/>
        <w:gridCol w:w="1132"/>
        <w:gridCol w:w="825"/>
        <w:gridCol w:w="765"/>
        <w:gridCol w:w="1095"/>
        <w:gridCol w:w="1245"/>
        <w:gridCol w:w="1350"/>
      </w:tblGrid>
      <w:tr>
        <w:trPr>
          <w:trHeight w:val="0"/>
        </w:trPr>
        <w:tc>
          <w:tcPr>
            <w:tcW w:w="49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b/>
                <w:bCs/>
                <w:color w:val="auto"/>
                <w:sz w:val="18"/>
                <w:szCs w:val="18"/>
                <w:highlight w:val="none"/>
                <w:lang w:bidi="ar"/>
              </w:rPr>
              <w:t xml:space="preserve">序号</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b/>
                <w:bCs/>
                <w:color w:val="auto"/>
                <w:sz w:val="18"/>
                <w:szCs w:val="18"/>
                <w:highlight w:val="none"/>
                <w:lang w:bidi="ar"/>
              </w:rPr>
              <w:t xml:space="preserve">产品名称</w:t>
            </w:r>
            <w:r/>
          </w:p>
        </w:tc>
        <w:tc>
          <w:tcPr>
            <w:tcW w:w="1132" w:type="dxa"/>
            <w:vAlign w:val="center"/>
            <w:textDirection w:val="lrTb"/>
            <w:noWrap w:val="false"/>
          </w:tcPr>
          <w:p>
            <w:pPr>
              <w:jc w:val="center"/>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属于</w:t>
            </w:r>
            <w:r>
              <w:rPr>
                <w:rFonts w:hint="eastAsia" w:ascii="宋体" w:hAnsi="宋体" w:eastAsia="宋体" w:cs="宋体"/>
                <w:b/>
                <w:bCs/>
                <w:color w:val="ff0000"/>
                <w:sz w:val="18"/>
                <w:szCs w:val="18"/>
                <w:highlight w:val="none"/>
                <w:lang w:bidi="ar"/>
              </w:rPr>
              <w:t xml:space="preserve">（招标文件中明确的所属行业）</w:t>
            </w:r>
            <w:r>
              <w:rPr>
                <w:rFonts w:hint="eastAsia" w:ascii="宋体" w:hAnsi="宋体" w:eastAsia="宋体" w:cs="宋体"/>
                <w:b/>
                <w:bCs/>
                <w:color w:val="auto"/>
                <w:sz w:val="18"/>
                <w:szCs w:val="18"/>
                <w:highlight w:val="none"/>
                <w:lang w:bidi="ar"/>
              </w:rPr>
              <w:t xml:space="preserve">行业</w:t>
            </w:r>
            <w:r/>
          </w:p>
        </w:tc>
        <w:tc>
          <w:tcPr>
            <w:tcW w:w="825" w:type="dxa"/>
            <w:vAlign w:val="center"/>
            <w:textDirection w:val="lrTb"/>
            <w:noWrap w:val="false"/>
          </w:tcPr>
          <w:p>
            <w:pPr>
              <w:jc w:val="center"/>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bidi="ar"/>
              </w:rPr>
              <w:t xml:space="preserve">制造商为</w:t>
            </w:r>
            <w:r>
              <w:rPr>
                <w:rFonts w:hint="eastAsia" w:ascii="宋体" w:hAnsi="宋体" w:eastAsia="宋体" w:cs="宋体"/>
                <w:b/>
                <w:bCs/>
                <w:color w:val="ff0000"/>
                <w:sz w:val="18"/>
                <w:szCs w:val="18"/>
                <w:highlight w:val="none"/>
                <w:lang w:bidi="ar"/>
              </w:rPr>
              <w:t xml:space="preserve">（企业名称）</w:t>
            </w:r>
            <w:r/>
          </w:p>
        </w:tc>
        <w:tc>
          <w:tcPr>
            <w:tcW w:w="765" w:type="dxa"/>
            <w:vAlign w:val="center"/>
            <w:textDirection w:val="lrTb"/>
            <w:noWrap w:val="false"/>
          </w:tcPr>
          <w:p>
            <w:pPr>
              <w:jc w:val="center"/>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bidi="ar"/>
              </w:rPr>
              <w:t xml:space="preserve">从业人员     </w:t>
            </w:r>
            <w:r>
              <w:rPr>
                <w:rFonts w:hint="eastAsia" w:ascii="宋体" w:hAnsi="宋体" w:cs="宋体"/>
                <w:b/>
                <w:bCs/>
                <w:color w:val="ff0000"/>
                <w:sz w:val="18"/>
                <w:szCs w:val="18"/>
                <w:highlight w:val="none"/>
                <w:lang w:val="en-US" w:eastAsia="zh-CN" w:bidi="ar"/>
              </w:rPr>
              <w:t xml:space="preserve">**</w:t>
            </w:r>
            <w:r>
              <w:rPr>
                <w:rFonts w:hint="eastAsia" w:ascii="宋体" w:hAnsi="宋体" w:eastAsia="宋体" w:cs="宋体"/>
                <w:b/>
                <w:bCs/>
                <w:color w:val="auto"/>
                <w:sz w:val="18"/>
                <w:szCs w:val="18"/>
                <w:highlight w:val="none"/>
                <w:lang w:bidi="ar"/>
              </w:rPr>
              <w:t xml:space="preserve">人</w:t>
            </w:r>
            <w:r/>
          </w:p>
        </w:tc>
        <w:tc>
          <w:tcPr>
            <w:tcW w:w="1095" w:type="dxa"/>
            <w:vAlign w:val="center"/>
            <w:textDirection w:val="lrTb"/>
            <w:noWrap w:val="false"/>
          </w:tcPr>
          <w:p>
            <w:pPr>
              <w:jc w:val="center"/>
              <w:widowControl/>
              <w:rPr>
                <w:rFonts w:hint="eastAsia" w:ascii="宋体" w:hAnsi="宋体" w:eastAsia="宋体" w:cs="宋体"/>
                <w:b/>
                <w:bCs/>
                <w:color w:val="auto"/>
                <w:sz w:val="18"/>
                <w:szCs w:val="18"/>
                <w:highlight w:val="none"/>
                <w:lang w:val="en-US" w:eastAsia="zh-CN" w:bidi="ar"/>
              </w:rPr>
            </w:pPr>
            <w:r>
              <w:rPr>
                <w:rFonts w:hint="eastAsia" w:ascii="宋体" w:hAnsi="宋体" w:eastAsia="宋体" w:cs="宋体"/>
                <w:b/>
                <w:bCs/>
                <w:color w:val="auto"/>
                <w:sz w:val="18"/>
                <w:szCs w:val="18"/>
                <w:highlight w:val="none"/>
                <w:lang w:bidi="ar"/>
              </w:rPr>
              <w:t xml:space="preserve">营业收入为 </w:t>
            </w:r>
            <w:r>
              <w:rPr>
                <w:rFonts w:hint="eastAsia" w:ascii="宋体" w:hAnsi="宋体" w:cs="宋体"/>
                <w:b/>
                <w:bCs/>
                <w:color w:val="ff0000"/>
                <w:sz w:val="18"/>
                <w:szCs w:val="18"/>
                <w:highlight w:val="none"/>
                <w:lang w:val="en-US" w:eastAsia="zh-CN" w:bidi="ar"/>
              </w:rPr>
              <w:t xml:space="preserve">**</w:t>
            </w:r>
            <w:r>
              <w:rPr>
                <w:rFonts w:hint="eastAsia" w:ascii="宋体" w:hAnsi="宋体" w:eastAsia="宋体" w:cs="宋体"/>
                <w:b/>
                <w:bCs/>
                <w:color w:val="auto"/>
                <w:sz w:val="18"/>
                <w:szCs w:val="18"/>
                <w:highlight w:val="none"/>
                <w:lang w:bidi="ar"/>
              </w:rPr>
              <w:t xml:space="preserve">万元</w:t>
            </w:r>
            <w:r/>
          </w:p>
        </w:tc>
        <w:tc>
          <w:tcPr>
            <w:tcW w:w="1245" w:type="dxa"/>
            <w:vAlign w:val="center"/>
            <w:textDirection w:val="lrTb"/>
            <w:noWrap w:val="false"/>
          </w:tcPr>
          <w:p>
            <w:pPr>
              <w:jc w:val="center"/>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资产总额为      </w:t>
            </w:r>
            <w:r>
              <w:rPr>
                <w:rFonts w:hint="eastAsia" w:ascii="宋体" w:hAnsi="宋体" w:cs="宋体"/>
                <w:b/>
                <w:bCs/>
                <w:color w:val="ff0000"/>
                <w:sz w:val="18"/>
                <w:szCs w:val="18"/>
                <w:highlight w:val="none"/>
                <w:lang w:val="en-US" w:eastAsia="zh-CN" w:bidi="ar"/>
              </w:rPr>
              <w:t xml:space="preserve">**</w:t>
            </w:r>
            <w:r>
              <w:rPr>
                <w:rFonts w:hint="eastAsia" w:ascii="宋体" w:hAnsi="宋体" w:eastAsia="宋体" w:cs="宋体"/>
                <w:b/>
                <w:bCs/>
                <w:color w:val="auto"/>
                <w:sz w:val="18"/>
                <w:szCs w:val="18"/>
                <w:highlight w:val="none"/>
                <w:lang w:bidi="ar"/>
              </w:rPr>
              <w:t xml:space="preserve">万元</w:t>
            </w:r>
            <w:r/>
          </w:p>
        </w:tc>
        <w:tc>
          <w:tcPr>
            <w:tcW w:w="1350" w:type="dxa"/>
            <w:vAlign w:val="center"/>
            <w:textDirection w:val="lrTb"/>
            <w:noWrap w:val="false"/>
          </w:tcPr>
          <w:p>
            <w:pPr>
              <w:jc w:val="center"/>
              <w:widowControl/>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属于</w:t>
            </w:r>
            <w:r>
              <w:rPr>
                <w:rFonts w:hint="eastAsia" w:ascii="宋体" w:hAnsi="宋体" w:eastAsia="宋体" w:cs="宋体"/>
                <w:b/>
                <w:bCs/>
                <w:color w:val="ff0000"/>
                <w:sz w:val="18"/>
                <w:szCs w:val="18"/>
                <w:highlight w:val="none"/>
                <w:lang w:bidi="ar"/>
              </w:rPr>
              <w:t xml:space="preserve">（中型企业、小 型企业、微型企业）</w:t>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rPr>
            </w:pPr>
            <w:r>
              <w:rPr>
                <w:rFonts w:hint="eastAsia" w:ascii="宋体" w:hAnsi="宋体" w:eastAsia="宋体" w:cs="宋体"/>
                <w:color w:val="auto"/>
                <w:sz w:val="18"/>
                <w:szCs w:val="18"/>
                <w:highlight w:val="none"/>
              </w:rPr>
              <w:t xml:space="preserve">数字孪生综合业务系统</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sz w:val="18"/>
                <w:szCs w:val="18"/>
              </w:rPr>
              <w:t xml:space="preserve">人员追视分析系统</w:t>
            </w:r>
            <w:r/>
          </w:p>
        </w:tc>
        <w:tc>
          <w:tcPr>
            <w:tcW w:w="1132" w:type="dxa"/>
            <w:vAlign w:val="top"/>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补录终端</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宿管数据大屏</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身份识别数据处理服务器</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视频采集终端</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交换机</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汇聚交换机</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千兆光模块</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电源线</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网线</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线管</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水晶头</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弱电箱</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辅材</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安装调试</w:t>
            </w:r>
            <w:r/>
          </w:p>
        </w:tc>
        <w:tc>
          <w:tcPr>
            <w:tcW w:w="1132"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桌面播音话筒1</w:t>
            </w:r>
            <w:r/>
          </w:p>
        </w:tc>
        <w:tc>
          <w:tcPr>
            <w:tcW w:w="1132" w:type="dxa"/>
            <w:vAlign w:val="top"/>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支架</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shd w:val="clear" w:color="auto" w:fill="auto"/>
            <w:tcW w:w="499" w:type="dxa"/>
            <w:vAlign w:val="center"/>
            <w:textDirection w:val="lrTb"/>
            <w:noWrap w:val="false"/>
          </w:tcPr>
          <w:p>
            <w:pPr>
              <w:jc w:val="left"/>
              <w:rPr>
                <w:rFonts w:hint="default" w:ascii="宋体" w:hAnsi="宋体" w:cs="宋体"/>
                <w:i w:val="0"/>
                <w:iCs w:val="0"/>
                <w:color w:val="auto"/>
                <w:sz w:val="18"/>
                <w:szCs w:val="18"/>
                <w:highlight w:val="none"/>
                <w:u w:val="none"/>
                <w:lang w:val="en-US" w:eastAsia="zh-CN" w:bidi="ar-SA"/>
              </w:rPr>
            </w:pPr>
            <w:r>
              <w:rPr>
                <w:rFonts w:hint="eastAsia" w:ascii="宋体" w:hAnsi="宋体" w:cs="宋体"/>
                <w:i w:val="0"/>
                <w:iCs w:val="0"/>
                <w:color w:val="auto"/>
                <w:sz w:val="18"/>
                <w:szCs w:val="18"/>
                <w:highlight w:val="none"/>
                <w:u w:val="none"/>
                <w:lang w:val="en-US" w:eastAsia="zh-CN" w:bidi="ar-SA"/>
              </w:rPr>
              <w:t xml:space="preserve">19</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桌面播音话筒2</w:t>
            </w:r>
            <w:r/>
          </w:p>
        </w:tc>
        <w:tc>
          <w:tcPr>
            <w:tcW w:w="1132" w:type="dxa"/>
            <w:vAlign w:val="top"/>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shd w:val="clear" w:color="auto" w:fill="auto"/>
            <w:tcW w:w="499" w:type="dxa"/>
            <w:vAlign w:val="top"/>
            <w:textDirection w:val="lrTb"/>
            <w:noWrap w:val="false"/>
          </w:tcPr>
          <w:p>
            <w:pPr>
              <w:jc w:val="left"/>
              <w:rPr>
                <w:rFonts w:hint="default" w:ascii="宋体" w:hAnsi="宋体" w:eastAsia="宋体" w:cs="宋体"/>
                <w:i w:val="0"/>
                <w:iCs w:val="0"/>
                <w:color w:val="auto"/>
                <w:sz w:val="18"/>
                <w:szCs w:val="18"/>
                <w:highlight w:val="none"/>
                <w:u w:val="none"/>
                <w:lang w:val="en-US" w:eastAsia="zh-CN" w:bidi="ar-SA"/>
              </w:rPr>
            </w:pPr>
            <w:r>
              <w:rPr>
                <w:rFonts w:hint="eastAsia" w:ascii="宋体" w:hAnsi="宋体" w:cs="宋体"/>
                <w:i w:val="0"/>
                <w:iCs w:val="0"/>
                <w:color w:val="auto"/>
                <w:sz w:val="18"/>
                <w:szCs w:val="18"/>
                <w:highlight w:val="none"/>
                <w:u w:val="none"/>
                <w:lang w:val="en-US" w:eastAsia="zh-CN" w:bidi="ar-SA"/>
              </w:rPr>
              <w:t xml:space="preserve">20</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领夹无线话筒</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数字调音台</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有源音箱</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提词器</w:t>
            </w:r>
            <w:r/>
          </w:p>
        </w:tc>
        <w:tc>
          <w:tcPr>
            <w:tcW w:w="1132" w:type="dxa"/>
            <w:vAlign w:val="center"/>
            <w:textDirection w:val="lrTb"/>
            <w:noWrap w:val="false"/>
          </w:tcPr>
          <w:p>
            <w:pPr>
              <w:numPr>
                <w:ilvl w:val="0"/>
                <w:numId w:val="0"/>
              </w:num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播控主机</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自助借还书机</w:t>
            </w:r>
            <w:r/>
          </w:p>
        </w:tc>
        <w:tc>
          <w:tcPr>
            <w:tcW w:w="1132" w:type="dxa"/>
            <w:vAlign w:val="center"/>
            <w:textDirection w:val="lrTb"/>
            <w:noWrap w:val="false"/>
          </w:tcPr>
          <w:p>
            <w:pPr>
              <w:numPr>
                <w:ilvl w:val="0"/>
                <w:numId w:val="0"/>
              </w:num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馆员工作站</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安全通道门</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读卡器</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条码扫描枪</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升降式移动还书箱</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触摸屏查询机</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RFID电子标签（不含加工）</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读者借阅卡</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图书耗材</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数字借阅机</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墨水屏阅读器</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平板支架</w:t>
            </w:r>
            <w:r/>
          </w:p>
        </w:tc>
        <w:tc>
          <w:tcPr>
            <w:tcW w:w="1132" w:type="dxa"/>
            <w:vAlign w:val="center"/>
            <w:textDirection w:val="lrTb"/>
            <w:noWrap w:val="false"/>
          </w:tcPr>
          <w:p>
            <w:pPr>
              <w:numPr>
                <w:ilvl w:val="0"/>
                <w:numId w:val="0"/>
              </w:num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平板充电柜</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专业音箱</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专业功放</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调音台</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音频处理器</w:t>
            </w:r>
            <w:r/>
          </w:p>
        </w:tc>
        <w:tc>
          <w:tcPr>
            <w:tcW w:w="1132" w:type="dxa"/>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抑制器</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电源管理器</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无线话筒</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话筒呼叫控制嵌入软件</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话筒天线</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桌插</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支架</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无线视像跟踪会议主机</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数字会议系统</w:t>
            </w:r>
            <w:r/>
          </w:p>
        </w:tc>
        <w:tc>
          <w:tcPr>
            <w:tcW w:w="1132" w:type="dxa"/>
            <w:vAlign w:val="bottom"/>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会议话筒处理器</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音频隔离器</w:t>
            </w:r>
            <w:r/>
          </w:p>
        </w:tc>
        <w:tc>
          <w:tcPr>
            <w:tcW w:w="1132" w:type="dxa"/>
            <w:vAlign w:val="bottom"/>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会议话筒</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全数字会议系统音频传输内嵌软件</w:t>
            </w:r>
            <w:r/>
          </w:p>
        </w:tc>
        <w:tc>
          <w:tcPr>
            <w:tcW w:w="1132" w:type="dxa"/>
            <w:vAlign w:val="bottom"/>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会议话筒</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全数字会议系统音频传输内嵌软件</w:t>
            </w:r>
            <w:r/>
          </w:p>
        </w:tc>
        <w:tc>
          <w:tcPr>
            <w:tcW w:w="1132" w:type="dxa"/>
            <w:vAlign w:val="bottom"/>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发射器</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充电箱</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交换机</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无缝高清矩阵切换器</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高清无缝混插矩阵切换内嵌软件</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HDMI无缝高清输入卡</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高清矩阵输入板卡内嵌软件</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HDMI无缝高清输出卡</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高清矩阵输出板卡内嵌软件</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网络中控主机</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网络中控系统逻辑处理内嵌软件</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69</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平板触摸屏</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无线路由器</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控制器</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72</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机柜</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73</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音频连接线</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74</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音频连接线</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HDMI</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76</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网线</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77</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音频线</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78</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音箱线</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电源线(强电)</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电源线(强电)</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81</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镀锌管</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82</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镀锌管</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桥架</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84</w:t>
            </w:r>
            <w:r/>
          </w:p>
        </w:tc>
        <w:tc>
          <w:tcPr>
            <w:tcW w:w="25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其它附材</w:t>
            </w:r>
            <w:r/>
          </w:p>
        </w:tc>
        <w:tc>
          <w:tcPr>
            <w:tcW w:w="11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85</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校务管理</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86</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校园公告</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87</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消息互动</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88</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通讯录</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89</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会议管理</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90</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场馆管理</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91</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日常申请</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设备报修</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93</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工资管理</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94</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排课管理</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95</w:t>
            </w:r>
            <w:r/>
          </w:p>
        </w:tc>
        <w:tc>
          <w:tcPr>
            <w:tcW w:w="252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数字孪生校园空间数据采集服务</w:t>
            </w:r>
            <w:r/>
          </w:p>
        </w:tc>
        <w:tc>
          <w:tcPr>
            <w:tcW w:w="1132"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r>
            <w:r/>
          </w:p>
        </w:tc>
        <w:tc>
          <w:tcPr>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r>
            <w:r/>
          </w:p>
        </w:tc>
        <w:tc>
          <w:tcPr>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96</w:t>
            </w:r>
            <w:r/>
          </w:p>
        </w:tc>
        <w:tc>
          <w:tcPr>
            <w:tcW w:w="25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132"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97</w:t>
            </w:r>
            <w:r/>
          </w:p>
        </w:tc>
        <w:tc>
          <w:tcPr>
            <w:tcW w:w="25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132"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98</w:t>
            </w:r>
            <w:r/>
          </w:p>
        </w:tc>
        <w:tc>
          <w:tcPr>
            <w:tcW w:w="25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132"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99</w:t>
            </w:r>
            <w:r/>
          </w:p>
        </w:tc>
        <w:tc>
          <w:tcPr>
            <w:tcW w:w="25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132"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tcW w:w="252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数字孪生校园综合管理服务平台</w:t>
            </w:r>
            <w:r/>
          </w:p>
        </w:tc>
        <w:tc>
          <w:tcPr>
            <w:tcW w:w="1132"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101</w:t>
            </w:r>
            <w:r/>
          </w:p>
        </w:tc>
        <w:tc>
          <w:tcPr>
            <w:tcW w:w="25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132"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102</w:t>
            </w:r>
            <w:r/>
          </w:p>
        </w:tc>
        <w:tc>
          <w:tcPr>
            <w:tcW w:w="25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132"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103</w:t>
            </w:r>
            <w:r/>
          </w:p>
        </w:tc>
        <w:tc>
          <w:tcPr>
            <w:tcW w:w="25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132"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104</w:t>
            </w:r>
            <w:r/>
          </w:p>
        </w:tc>
        <w:tc>
          <w:tcPr>
            <w:tcW w:w="25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132"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105</w:t>
            </w:r>
            <w:r/>
          </w:p>
        </w:tc>
        <w:tc>
          <w:tcPr>
            <w:tcW w:w="25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132"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106</w:t>
            </w:r>
            <w:r/>
          </w:p>
        </w:tc>
        <w:tc>
          <w:tcPr>
            <w:tcW w:w="25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132"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107</w:t>
            </w:r>
            <w:r/>
          </w:p>
        </w:tc>
        <w:tc>
          <w:tcPr>
            <w:tcW w:w="25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132"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108</w:t>
            </w:r>
            <w:r/>
          </w:p>
        </w:tc>
        <w:tc>
          <w:tcPr>
            <w:tcW w:w="25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132"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109</w:t>
            </w:r>
            <w:r/>
          </w:p>
        </w:tc>
        <w:tc>
          <w:tcPr>
            <w:tcW w:w="25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132"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110</w:t>
            </w:r>
            <w:r/>
          </w:p>
        </w:tc>
        <w:tc>
          <w:tcPr>
            <w:tcW w:w="25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132"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111</w:t>
            </w:r>
            <w:r/>
          </w:p>
        </w:tc>
        <w:tc>
          <w:tcPr>
            <w:tcW w:w="252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132" w:type="dxa"/>
            <w:vAlign w:val="top"/>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112</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rPr>
            </w:pPr>
            <w:r>
              <w:rPr>
                <w:rFonts w:hint="eastAsia" w:ascii="宋体" w:hAnsi="宋体" w:eastAsia="宋体" w:cs="宋体"/>
                <w:color w:val="auto"/>
                <w:sz w:val="18"/>
                <w:szCs w:val="18"/>
                <w:highlight w:val="none"/>
              </w:rPr>
              <w:t xml:space="preserve">采集终端人脸识别授权</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113</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人脸识别处理程序</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114</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宿舍考勤系统</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115</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请假系统</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球类比赛编排管理软件</w:t>
            </w:r>
            <w:r/>
          </w:p>
        </w:tc>
        <w:tc>
          <w:tcPr>
            <w:tcW w:w="1132" w:type="dxa"/>
            <w:vAlign w:val="center"/>
            <w:textDirection w:val="lrTb"/>
            <w:noWrap w:val="false"/>
          </w:tcPr>
          <w:p>
            <w:pPr>
              <w:numPr>
                <w:ilvl w:val="0"/>
                <w:numId w:val="0"/>
              </w:num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117</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球类大屏幕比赛计分软件</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118</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田径运动会编排管理软件</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119</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图书馆管理系统</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r>
            <w:r/>
          </w:p>
        </w:tc>
      </w:tr>
      <w:tr>
        <w:trPr>
          <w:trHeight w:val="0"/>
        </w:trPr>
        <w:tc>
          <w:tcPr>
            <w:tcW w:w="4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tcW w:w="2522"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rPr>
              <w:t xml:space="preserve">OPAC检索系统</w:t>
            </w:r>
            <w:r/>
          </w:p>
        </w:tc>
        <w:tc>
          <w:tcPr>
            <w:tcW w:w="1132" w:type="dxa"/>
            <w:vAlign w:val="center"/>
            <w:textDirection w:val="lrTb"/>
            <w:noWrap w:val="false"/>
          </w:tcPr>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82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6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09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245"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c>
          <w:tcPr>
            <w:tcW w:w="1350"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r>
            <w:r/>
          </w:p>
        </w:tc>
      </w:tr>
    </w:tbl>
    <w:p>
      <w:pPr>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pPr>
      <w:r/>
      <w:r/>
    </w:p>
    <w:p>
      <w:pPr>
        <w:shd w:val="nil"/>
        <w:rPr>
          <w:rFonts w:hint="eastAsia" w:ascii="黑体" w:eastAsia="黑体"/>
          <w:color w:val="000000" w:themeColor="text1"/>
          <w:sz w:val="28"/>
          <w:szCs w:val="28"/>
          <w:highlight w:val="yellow"/>
        </w:rPr>
      </w:pPr>
      <w:r>
        <w:rPr>
          <w:rFonts w:hint="eastAsia" w:ascii="黑体" w:eastAsia="黑体"/>
          <w:bCs/>
          <w:color w:val="000000" w:themeColor="text1"/>
          <w:sz w:val="28"/>
          <w:szCs w:val="28"/>
          <w:highlight w:val="none"/>
        </w:rPr>
        <w:br w:type="page" w:clear="all"/>
      </w:r>
      <w:r>
        <w:rPr>
          <w:rFonts w:hint="eastAsia" w:ascii="黑体" w:eastAsia="黑体"/>
          <w:bCs/>
          <w:color w:val="000000" w:themeColor="text1"/>
          <w:sz w:val="28"/>
          <w:szCs w:val="28"/>
          <w:highlight w:val="none"/>
        </w:rPr>
      </w:r>
    </w:p>
    <w:p>
      <w:pPr>
        <w:ind w:firstLine="560"/>
        <w:jc w:val="center"/>
        <w:spacing w:line="360" w:lineRule="auto"/>
        <w:rPr>
          <w:rFonts w:hint="eastAsia" w:ascii="黑体" w:eastAsia="黑体"/>
          <w:color w:val="000000" w:themeColor="text1"/>
          <w:sz w:val="28"/>
          <w:szCs w:val="28"/>
          <w:highlight w:val="none"/>
        </w:rPr>
      </w:pPr>
      <w:r>
        <w:rPr>
          <w:rFonts w:hint="eastAsia" w:ascii="黑体" w:eastAsia="黑体"/>
          <w:bCs/>
          <w:color w:val="000000" w:themeColor="text1"/>
          <w:sz w:val="28"/>
          <w:szCs w:val="28"/>
          <w:highlight w:val="yellow"/>
        </w:rPr>
        <w:t xml:space="preserve">关于符合本国产品标准的声明函</w:t>
      </w:r>
      <w:r/>
    </w:p>
    <w:p>
      <w:pPr>
        <w:ind w:firstLine="420"/>
        <w:spacing w:line="360" w:lineRule="auto"/>
        <w:rPr>
          <w:color w:val="000000" w:themeColor="text1"/>
          <w:highlight w:val="yellow"/>
        </w:rPr>
      </w:pPr>
      <w:r>
        <w:rPr>
          <w:color w:val="000000" w:themeColor="text1"/>
          <w:highlight w:val="yellow"/>
        </w:rPr>
        <w:t xml:space="preserve"> </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1.（产品名称1）</w:t>
      </w:r>
      <w:r>
        <w:rPr>
          <w:rFonts w:hint="eastAsia" w:ascii="宋体" w:hAnsi="宋体"/>
          <w:bCs/>
          <w:color w:val="000000" w:themeColor="text1"/>
          <w:sz w:val="24"/>
          <w:szCs w:val="24"/>
          <w:highlight w:val="yellow"/>
          <w:vertAlign w:val="superscript"/>
        </w:rPr>
        <w:t xml:space="preserve">1</w:t>
      </w:r>
      <w:r>
        <w:rPr>
          <w:rFonts w:hint="eastAsia" w:ascii="宋体" w:hAnsi="宋体"/>
          <w:bCs/>
          <w:color w:val="000000" w:themeColor="text1"/>
          <w:sz w:val="24"/>
          <w:szCs w:val="24"/>
          <w:highlight w:val="yellow"/>
        </w:rPr>
        <w:t xml:space="preserve">，生产厂为（厂名）</w:t>
      </w:r>
      <w:r>
        <w:rPr>
          <w:rFonts w:hint="eastAsia" w:ascii="宋体" w:hAnsi="宋体"/>
          <w:bCs/>
          <w:color w:val="000000" w:themeColor="text1"/>
          <w:sz w:val="24"/>
          <w:szCs w:val="24"/>
          <w:highlight w:val="yellow"/>
          <w:vertAlign w:val="superscript"/>
        </w:rPr>
        <w:t xml:space="preserve">2</w:t>
      </w:r>
      <w:r>
        <w:rPr>
          <w:rFonts w:hint="eastAsia" w:ascii="宋体" w:hAnsi="宋体"/>
          <w:bCs/>
          <w:color w:val="000000" w:themeColor="text1"/>
          <w:sz w:val="24"/>
          <w:szCs w:val="24"/>
          <w:highlight w:val="yellow"/>
        </w:rPr>
        <w:t xml:space="preserve">，厂址为（生产厂址）。（</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）的中国境内生产的组件成本占比≥（</w:t>
      </w:r>
      <w:r>
        <w:rPr>
          <w:rFonts w:hint="eastAsia" w:ascii="宋体" w:hAnsi="宋体"/>
          <w:bCs/>
          <w:strike/>
          <w:color w:val="000000" w:themeColor="text1"/>
          <w:sz w:val="24"/>
          <w:szCs w:val="24"/>
          <w:highlight w:val="yellow"/>
        </w:rPr>
        <w:t xml:space="preserve">规定比例</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3</w:t>
      </w:r>
      <w:r>
        <w:rPr>
          <w:rFonts w:hint="eastAsia" w:ascii="宋体" w:hAnsi="宋体"/>
          <w:bCs/>
          <w:color w:val="000000" w:themeColor="text1"/>
          <w:sz w:val="24"/>
          <w:szCs w:val="24"/>
          <w:highlight w:val="yellow"/>
        </w:rPr>
        <w:t xml:space="preserve">。（</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关键组件</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4</w:t>
      </w:r>
      <w:r>
        <w:rPr>
          <w:rFonts w:hint="eastAsia" w:ascii="宋体" w:hAnsi="宋体"/>
          <w:bCs/>
          <w:color w:val="000000" w:themeColor="text1"/>
          <w:sz w:val="24"/>
          <w:szCs w:val="24"/>
          <w:highlight w:val="yellow"/>
        </w:rPr>
        <w:t xml:space="preserve">在中国境内生产。（</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关键工序</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5</w:t>
      </w:r>
      <w:r>
        <w:rPr>
          <w:rFonts w:hint="eastAsia" w:ascii="宋体" w:hAnsi="宋体"/>
          <w:bCs/>
          <w:color w:val="000000" w:themeColor="text1"/>
          <w:sz w:val="24"/>
          <w:szCs w:val="24"/>
          <w:highlight w:val="yellow"/>
        </w:rPr>
        <w:t xml:space="preserve">在中国境内完成。</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2.（产品名称2），生产厂为（厂名），厂址为（生产厂址）。（</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）的中国境内生产的组件成本占比≥（</w:t>
      </w:r>
      <w:r>
        <w:rPr>
          <w:rFonts w:hint="eastAsia" w:ascii="宋体" w:hAnsi="宋体"/>
          <w:bCs/>
          <w:strike/>
          <w:color w:val="000000" w:themeColor="text1"/>
          <w:sz w:val="24"/>
          <w:szCs w:val="24"/>
          <w:highlight w:val="yellow"/>
        </w:rPr>
        <w:t xml:space="preserve">规定比例</w:t>
      </w:r>
      <w:r>
        <w:rPr>
          <w:rFonts w:hint="eastAsia" w:ascii="宋体" w:hAnsi="宋体"/>
          <w:bCs/>
          <w:color w:val="000000" w:themeColor="text1"/>
          <w:sz w:val="24"/>
          <w:szCs w:val="24"/>
          <w:highlight w:val="yellow"/>
        </w:rPr>
        <w:t xml:space="preserve">）。（</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关键组件</w:t>
      </w:r>
      <w:r>
        <w:rPr>
          <w:rFonts w:hint="eastAsia" w:ascii="宋体" w:hAnsi="宋体"/>
          <w:bCs/>
          <w:color w:val="000000" w:themeColor="text1"/>
          <w:sz w:val="24"/>
          <w:szCs w:val="24"/>
          <w:highlight w:val="yellow"/>
        </w:rPr>
        <w:t xml:space="preserve">）在中国境内生产。（</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关键工序</w:t>
      </w:r>
      <w:r>
        <w:rPr>
          <w:rFonts w:hint="eastAsia" w:ascii="宋体" w:hAnsi="宋体"/>
          <w:bCs/>
          <w:color w:val="000000" w:themeColor="text1"/>
          <w:sz w:val="24"/>
          <w:szCs w:val="24"/>
          <w:highlight w:val="yellow"/>
        </w:rPr>
        <w:t xml:space="preserve">）在中国境内完成。</w:t>
      </w:r>
      <w:r/>
    </w:p>
    <w:p>
      <w:pPr>
        <w:ind w:firstLine="480"/>
        <w:spacing w:line="360" w:lineRule="auto"/>
        <w:rPr>
          <w:rFonts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yellow"/>
        </w:rPr>
      </w:pPr>
      <w:r>
        <w:rPr>
          <w:rFonts w:ascii="宋体" w:hAnsi="宋体"/>
          <w:bCs/>
          <w:color w:val="000000" w:themeColor="text1"/>
          <w:sz w:val="24"/>
          <w:szCs w:val="24"/>
          <w:highlight w:val="yellow"/>
        </w:rPr>
        <w:t xml:space="preserve"> </w:t>
      </w:r>
      <w:r/>
    </w:p>
    <w:p>
      <w:pPr>
        <w:ind w:firstLine="480"/>
        <w:jc w:val="right"/>
        <w:spacing w:line="360" w:lineRule="auto"/>
        <w:rPr>
          <w:rFonts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公司（单位）名称（盖章）：          </w:t>
      </w:r>
      <w:r/>
    </w:p>
    <w:p>
      <w:pPr>
        <w:ind w:firstLine="480"/>
        <w:jc w:val="right"/>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日期：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年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月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yellow"/>
        </w:rPr>
      </w:pPr>
      <w:r>
        <w:rPr>
          <w:rFonts w:ascii="inherit" w:hAnsi="inherit" w:eastAsia="仿宋" w:cs="宋体"/>
          <w:color w:val="000000" w:themeColor="text1"/>
          <w:sz w:val="28"/>
          <w:szCs w:val="28"/>
          <w:highlight w:val="yellow"/>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yellow"/>
        </w:rPr>
      </w:pPr>
      <w:r>
        <w:rPr>
          <w:rFonts w:ascii="宋体" w:hAnsi="宋体" w:cs="宋体"/>
          <w:color w:val="000000" w:themeColor="text1"/>
          <w:sz w:val="18"/>
          <w:szCs w:val="18"/>
          <w:highlight w:val="yellow"/>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themeColor="text1"/>
          <w:sz w:val="24"/>
          <w:szCs w:val="24"/>
          <w:highlight w:val="yellow"/>
        </w:rPr>
      </w:pPr>
      <w:r>
        <w:rPr>
          <w:rFonts w:hint="eastAsia" w:ascii="宋体" w:hAnsi="宋体" w:cs="宋体"/>
          <w:b/>
          <w:color w:val="000000" w:themeColor="text1"/>
          <w:sz w:val="18"/>
          <w:szCs w:val="18"/>
          <w:highlight w:val="yellow"/>
        </w:rPr>
        <w:t xml:space="preserve">注：划删除线的地方无需填写。</w:t>
      </w:r>
      <w:r/>
    </w:p>
    <w:p>
      <w:pPr>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招标文件，经仔细阅读和研究，我方决定参加此项目的投标。</w:t>
      </w:r>
      <w:r/>
    </w:p>
    <w:p>
      <w:pPr>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27"/>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在招标文件中要求的文件、资料。</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jc w:val="cente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sz w:val="24"/>
          <w:szCs w:val="24"/>
          <w:u w:val="single"/>
          <w:lang w:val="en-US" w:eastAsia="zh-CN"/>
        </w:rPr>
        <w:t xml:space="preserve">                </w:t>
      </w:r>
      <w:r>
        <w:rPr>
          <w:rFonts w:hint="eastAsia" w:ascii="宋体" w:hAnsi="宋体"/>
          <w:color w:val="000000"/>
          <w:sz w:val="24"/>
          <w:szCs w:val="24"/>
        </w:rPr>
        <w:t xml:space="preserve">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14:ligatures w14:val="none"/>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w:t>
      </w:r>
      <w:r>
        <w:rPr>
          <w:rFonts w:hint="eastAsia" w:ascii="宋体" w:hAnsi="宋体" w:cs="宋体"/>
          <w:sz w:val="24"/>
          <w:szCs w:val="24"/>
        </w:rPr>
        <w:t xml:space="preserve">予以配合。</w:t>
      </w:r>
      <w:r/>
    </w:p>
    <w:p>
      <w:pPr>
        <w:ind w:firstLine="480"/>
        <w:spacing w:line="480" w:lineRule="auto"/>
        <w:rPr>
          <w:rFonts w:hint="eastAsia" w:ascii="宋体" w:hAnsi="宋体" w:cs="宋体"/>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6.本公司（单位、联合体）承诺，符合《中华人民共和国特种设备安全法》第二十二条以及《特种设备安全监察条例》第十七条第二款的相关规定。</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ind w:firstLine="480"/>
        <w:spacing w:line="48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681"/>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966"/>
              <w:jc w:val="center"/>
              <w:spacing w:line="400" w:lineRule="exact"/>
              <w:rPr>
                <w:rFonts w:hint="eastAsia" w:hAnsi="宋体" w:eastAsia="宋体"/>
                <w:bCs/>
                <w:color w:val="000000"/>
                <w:szCs w:val="24"/>
                <w:lang w:eastAsia="zh-CN"/>
              </w:rPr>
            </w:pPr>
            <w:r>
              <w:rPr>
                <w:rFonts w:hint="eastAsia" w:hAnsi="宋体" w:eastAsia="宋体"/>
                <w:bCs/>
                <w:color w:val="000000"/>
                <w:szCs w:val="24"/>
                <w:lang w:eastAsia="zh-CN"/>
              </w:rPr>
            </w:r>
            <w:r/>
          </w:p>
        </w:tc>
        <w:tc>
          <w:tcPr>
            <w:tcW w:w="3188" w:type="dxa"/>
            <w:vAlign w:val="center"/>
            <w:textDirection w:val="lrTb"/>
            <w:noWrap w:val="false"/>
          </w:tcPr>
          <w:p>
            <w:pPr>
              <w:pStyle w:val="966"/>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202"/>
      <w:bookmarkEnd w:id="203"/>
      <w:bookmarkEnd w:id="204"/>
      <w:r/>
    </w:p>
    <w:p>
      <w:pPr>
        <w:jc w:val="center"/>
        <w:spacing w:line="400" w:lineRule="exact"/>
        <w:rPr>
          <w:rFonts w:ascii="黑体" w:eastAsia="黑体"/>
          <w:bCs/>
          <w:color w:val="000000"/>
          <w:sz w:val="28"/>
          <w:szCs w:val="28"/>
        </w:rPr>
        <w:outlineLvl w:val="0"/>
      </w:pPr>
      <w:r/>
      <w:bookmarkStart w:id="206" w:name="_Toc120614284"/>
      <w:r>
        <w:rPr>
          <w:rFonts w:hint="eastAsia" w:ascii="黑体" w:eastAsia="黑体"/>
          <w:bCs/>
          <w:color w:val="000000"/>
          <w:sz w:val="28"/>
          <w:szCs w:val="28"/>
        </w:rPr>
        <w:t xml:space="preserve">分项报价表</w:t>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68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00"/>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p>
        </w:tc>
        <w:tc>
          <w:tcPr>
            <w:tcMar>
              <w:left w:w="15" w:type="dxa"/>
              <w:top w:w="15" w:type="dxa"/>
              <w:right w:w="15" w:type="dxa"/>
              <w:bottom w:w="0" w:type="dxa"/>
            </w:tcMar>
            <w:tcW w:w="1050" w:type="dxa"/>
            <w:vAlign w:val="center"/>
            <w:textDirection w:val="lrTb"/>
            <w:noWrap/>
          </w:tcPr>
          <w:p>
            <w:pPr>
              <w:pStyle w:val="900"/>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00"/>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00"/>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t xml:space="preserve">……</w:t>
            </w:r>
            <w:r/>
          </w:p>
        </w:tc>
        <w:tc>
          <w:tcPr>
            <w:tcMar>
              <w:left w:w="15" w:type="dxa"/>
              <w:top w:w="15" w:type="dxa"/>
              <w:right w:w="15" w:type="dxa"/>
              <w:bottom w:w="0" w:type="dxa"/>
            </w:tcMar>
            <w:tcW w:w="945" w:type="dxa"/>
            <w:vAlign w:val="center"/>
            <w:textDirection w:val="lrTb"/>
            <w:noWrap w:val="false"/>
          </w:tcPr>
          <w:p>
            <w:pPr>
              <w:pStyle w:val="900"/>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themeColor="text1"/>
                <w:sz w:val="28"/>
                <w:szCs w:val="28"/>
                <w:highlight w:val="yellow"/>
              </w:rPr>
            </w:pPr>
            <w:r>
              <w:rPr>
                <w:rFonts w:hint="eastAsia" w:ascii="楷体" w:hAnsi="楷体" w:eastAsia="楷体"/>
                <w:bCs/>
                <w:color w:val="000000" w:themeColor="text1"/>
                <w:sz w:val="28"/>
                <w:szCs w:val="28"/>
                <w:highlight w:val="yellow"/>
              </w:rPr>
              <w:t xml:space="preserve">投标人承诺：</w:t>
            </w:r>
            <w:r/>
          </w:p>
          <w:p>
            <w:pPr>
              <w:jc w:val="both"/>
              <w:rPr>
                <w:rFonts w:ascii="黑体" w:hAnsi="宋体" w:eastAsia="黑体"/>
                <w:b/>
                <w:bCs/>
                <w:color w:val="000000"/>
                <w:sz w:val="24"/>
                <w:szCs w:val="24"/>
                <w:highlight w:val="yellow"/>
              </w:rPr>
            </w:pPr>
            <w:r>
              <w:rPr>
                <w:rFonts w:hint="eastAsia" w:ascii="楷体" w:hAnsi="楷体" w:eastAsia="楷体"/>
                <w:bCs/>
                <w:color w:val="000000" w:themeColor="text1"/>
                <w:sz w:val="28"/>
                <w:szCs w:val="28"/>
                <w:highlight w:val="yellow"/>
              </w:rPr>
              <w:t xml:space="preserve">本采购项目或采购包中提供的符合本国产品标准的产品</w:t>
            </w:r>
            <w:r>
              <w:rPr>
                <w:rFonts w:hint="eastAsia" w:ascii="楷体" w:hAnsi="楷体" w:eastAsia="楷体"/>
                <w:b/>
                <w:bCs/>
                <w:color w:val="000000" w:themeColor="text1"/>
                <w:sz w:val="28"/>
                <w:szCs w:val="28"/>
                <w:highlight w:val="yellow"/>
              </w:rPr>
              <w:t xml:space="preserve">成本之和</w:t>
            </w:r>
            <w:r>
              <w:rPr>
                <w:rFonts w:hint="eastAsia" w:ascii="楷体" w:hAnsi="楷体" w:eastAsia="楷体"/>
                <w:bCs/>
                <w:color w:val="000000" w:themeColor="text1"/>
                <w:sz w:val="28"/>
                <w:szCs w:val="28"/>
                <w:highlight w:val="yellow"/>
              </w:rPr>
              <w:t xml:space="preserve">占提供的全部产品</w:t>
            </w:r>
            <w:r>
              <w:rPr>
                <w:rFonts w:hint="eastAsia" w:ascii="楷体" w:hAnsi="楷体" w:eastAsia="楷体"/>
                <w:b/>
                <w:bCs/>
                <w:color w:val="000000" w:themeColor="text1"/>
                <w:sz w:val="28"/>
                <w:szCs w:val="28"/>
                <w:highlight w:val="yellow"/>
              </w:rPr>
              <w:t xml:space="preserve">成本之和</w:t>
            </w:r>
            <w:r>
              <w:rPr>
                <w:rFonts w:hint="eastAsia" w:ascii="楷体" w:hAnsi="楷体" w:eastAsia="楷体"/>
                <w:bCs/>
                <w:color w:val="000000" w:themeColor="text1"/>
                <w:sz w:val="28"/>
                <w:szCs w:val="28"/>
                <w:highlight w:val="yellow"/>
              </w:rPr>
              <w:t xml:space="preserve">的比例：</w:t>
            </w:r>
            <w:r>
              <w:rPr>
                <w:rFonts w:hint="eastAsia" w:ascii="楷体" w:hAnsi="楷体" w:eastAsia="楷体"/>
                <w:bCs/>
                <w:color w:val="000000" w:themeColor="text1"/>
                <w:sz w:val="28"/>
                <w:szCs w:val="28"/>
                <w:highlight w:val="yellow"/>
                <w:u w:val="single"/>
              </w:rPr>
              <w:t xml:space="preserve">      </w:t>
            </w:r>
            <w:r>
              <w:rPr>
                <w:rFonts w:hint="eastAsia" w:ascii="楷体" w:hAnsi="楷体" w:eastAsia="楷体"/>
                <w:bCs/>
                <w:color w:val="000000" w:themeColor="text1"/>
                <w:sz w:val="28"/>
                <w:szCs w:val="28"/>
                <w:highlight w:val="yellow"/>
              </w:rPr>
              <w:t xml:space="preserve">%</w:t>
            </w:r>
            <w:r/>
          </w:p>
        </w:tc>
      </w:tr>
    </w:tbl>
    <w:p>
      <w:pPr>
        <w:spacing w:before="5" w:line="560" w:lineRule="atLeast"/>
        <w:rPr>
          <w:b/>
          <w:bCs/>
          <w:color w:val="000000"/>
          <w:sz w:val="24"/>
          <w:szCs w:val="24"/>
          <w:highlight w:val="yellow"/>
        </w:rPr>
      </w:pPr>
      <w:r>
        <w:rPr>
          <w:rFonts w:hint="eastAsia"/>
          <w:b/>
          <w:bCs/>
          <w:color w:val="000000"/>
          <w:sz w:val="24"/>
          <w:szCs w:val="24"/>
          <w:highlight w:val="yellow"/>
        </w:rPr>
        <w:t xml:space="preserve">投标人名称（盖章）：</w:t>
      </w:r>
      <w:r/>
    </w:p>
    <w:p>
      <w:pPr>
        <w:spacing w:line="400" w:lineRule="exact"/>
        <w:rPr>
          <w:rFonts w:hint="eastAsia" w:ascii="宋体" w:hAnsi="宋体"/>
          <w:b/>
          <w:color w:val="000000"/>
          <w:highlight w:val="yellow"/>
        </w:rPr>
        <w:outlineLvl w:val="0"/>
      </w:pPr>
      <w:r>
        <w:rPr>
          <w:rFonts w:hint="eastAsia" w:ascii="宋体" w:hAnsi="宋体"/>
          <w:b/>
          <w:color w:val="000000"/>
          <w:highlight w:val="yellow"/>
        </w:rPr>
      </w:r>
      <w:r/>
    </w:p>
    <w:p>
      <w:pPr>
        <w:spacing w:line="400" w:lineRule="exact"/>
        <w:rPr>
          <w:rFonts w:ascii="宋体"/>
          <w:bCs/>
          <w:color w:val="000000" w:themeColor="text1"/>
          <w:highlight w:val="yellow"/>
        </w:rPr>
        <w:outlineLvl w:val="0"/>
      </w:pPr>
      <w:r>
        <w:rPr>
          <w:rFonts w:hint="eastAsia" w:ascii="宋体" w:hAnsi="宋体"/>
          <w:b/>
          <w:color w:val="000000" w:themeColor="text1"/>
          <w:highlight w:val="yellow"/>
        </w:rPr>
        <w:t xml:space="preserve">注：</w:t>
      </w:r>
      <w:r>
        <w:rPr>
          <w:rFonts w:hint="eastAsia" w:ascii="宋体" w:hAnsi="宋体"/>
          <w:bCs/>
          <w:color w:val="000000" w:themeColor="text1"/>
          <w:highlight w:val="yellow"/>
        </w:rPr>
        <w:t xml:space="preserve">（</w:t>
      </w:r>
      <w:r>
        <w:rPr>
          <w:rFonts w:ascii="宋体" w:hAnsi="宋体"/>
          <w:bCs/>
          <w:color w:val="000000" w:themeColor="text1"/>
          <w:highlight w:val="yellow"/>
        </w:rPr>
        <w:t xml:space="preserve">1</w:t>
      </w:r>
      <w:r>
        <w:rPr>
          <w:rFonts w:hint="eastAsia" w:ascii="宋体" w:hAnsi="宋体"/>
          <w:bCs/>
          <w:color w:val="000000" w:themeColor="text1"/>
          <w:highlight w:val="yellow"/>
        </w:rPr>
        <w:t xml:space="preserve">）</w:t>
      </w:r>
      <w:r>
        <w:rPr>
          <w:rFonts w:hint="eastAsia" w:ascii="宋体"/>
          <w:bCs/>
          <w:color w:val="000000" w:themeColor="text1"/>
          <w:highlight w:val="yellow"/>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yellow"/>
          <w:lang w:eastAsia="zh-CN"/>
        </w:rPr>
        <w:t xml:space="preserve">无锡市滨湖区公共资源交易中心</w:t>
      </w:r>
      <w:r>
        <w:rPr>
          <w:rFonts w:hint="eastAsia" w:ascii="宋体"/>
          <w:bCs/>
          <w:color w:val="000000" w:themeColor="text1"/>
          <w:highlight w:val="yellow"/>
        </w:rPr>
        <w:t xml:space="preserve">有权将相关内容进行公示。</w:t>
      </w:r>
      <w:r/>
    </w:p>
    <w:p>
      <w:pPr>
        <w:ind w:firstLine="315"/>
        <w:spacing w:line="400" w:lineRule="exact"/>
        <w:rPr>
          <w:rFonts w:ascii="宋体"/>
          <w:bCs/>
          <w:color w:val="000000" w:themeColor="text1"/>
          <w:highlight w:val="yellow"/>
        </w:rPr>
        <w:outlineLvl w:val="0"/>
      </w:pPr>
      <w:r>
        <w:rPr>
          <w:rFonts w:hint="eastAsia" w:ascii="宋体" w:hAnsi="宋体"/>
          <w:bCs/>
          <w:color w:val="000000" w:themeColor="text1"/>
          <w:highlight w:val="yellow"/>
        </w:rPr>
        <w:t xml:space="preserve">（</w:t>
      </w:r>
      <w:r>
        <w:rPr>
          <w:rFonts w:ascii="宋体" w:hAnsi="宋体"/>
          <w:bCs/>
          <w:color w:val="000000" w:themeColor="text1"/>
          <w:highlight w:val="yellow"/>
        </w:rPr>
        <w:t xml:space="preserve">2</w:t>
      </w:r>
      <w:r>
        <w:rPr>
          <w:rFonts w:hint="eastAsia" w:ascii="宋体" w:hAnsi="宋体"/>
          <w:bCs/>
          <w:color w:val="000000" w:themeColor="text1"/>
          <w:highlight w:val="yellow"/>
        </w:rPr>
        <w:t xml:space="preserve">）投标人应当根据“采购需求”的内容在上表中详细填写。</w:t>
      </w:r>
      <w:r/>
    </w:p>
    <w:p>
      <w:pPr>
        <w:ind w:firstLine="315"/>
        <w:spacing w:line="400" w:lineRule="exact"/>
        <w:rPr>
          <w:rFonts w:hint="eastAsia" w:ascii="宋体" w:hAnsi="宋体"/>
          <w:bCs/>
          <w:color w:val="000000" w:themeColor="text1"/>
          <w:highlight w:val="yellow"/>
        </w:rPr>
        <w:outlineLvl w:val="0"/>
      </w:pPr>
      <w:r>
        <w:rPr>
          <w:rFonts w:hint="eastAsia" w:ascii="宋体" w:hAnsi="宋体"/>
          <w:bCs/>
          <w:color w:val="000000" w:themeColor="text1"/>
          <w:highlight w:val="yellow"/>
        </w:rPr>
        <w:t xml:space="preserve">（</w:t>
      </w:r>
      <w:r>
        <w:rPr>
          <w:rFonts w:ascii="宋体" w:hAnsi="宋体"/>
          <w:bCs/>
          <w:color w:val="000000" w:themeColor="text1"/>
          <w:highlight w:val="yellow"/>
        </w:rPr>
        <w:t xml:space="preserve">3</w:t>
      </w:r>
      <w:r>
        <w:rPr>
          <w:rFonts w:hint="eastAsia" w:ascii="宋体" w:hAnsi="宋体"/>
          <w:bCs/>
          <w:color w:val="000000" w:themeColor="text1"/>
          <w:highlight w:val="yellow"/>
        </w:rPr>
        <w:t xml:space="preserve">）表格不够可自行延长。</w:t>
      </w:r>
      <w:r/>
    </w:p>
    <w:p>
      <w:pPr>
        <w:ind w:firstLine="315"/>
        <w:spacing w:line="400" w:lineRule="exact"/>
        <w:rPr>
          <w:rFonts w:hint="eastAsia" w:ascii="宋体" w:hAnsi="宋体"/>
          <w:bCs/>
          <w:color w:val="000000" w:themeColor="text1"/>
          <w:highlight w:val="yellow"/>
        </w:rPr>
        <w:outlineLvl w:val="0"/>
      </w:pPr>
      <w:r>
        <w:rPr>
          <w:rFonts w:hint="eastAsia" w:ascii="宋体" w:hAnsi="宋体"/>
          <w:bCs/>
          <w:color w:val="000000" w:themeColor="text1"/>
          <w:highlight w:val="yellow"/>
        </w:rPr>
        <w:t xml:space="preserve">（4）</w:t>
      </w:r>
      <w:r>
        <w:rPr>
          <w:rFonts w:hint="eastAsia" w:ascii="宋体" w:hAnsi="宋体"/>
          <w:bCs/>
          <w:color w:val="000000" w:themeColor="text1"/>
          <w:highlight w:val="yellow"/>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themeColor="text1"/>
          <w:highlight w:val="yellow"/>
          <w:u w:val="single"/>
        </w:rPr>
        <w:outlineLvl w:val="0"/>
      </w:pPr>
      <w:r>
        <w:rPr>
          <w:rFonts w:hint="eastAsia" w:ascii="宋体" w:hAnsi="宋体"/>
          <w:bCs/>
          <w:color w:val="000000" w:themeColor="text1"/>
          <w:highlight w:val="yellow"/>
          <w:u w:val="single"/>
        </w:rPr>
        <w:t xml:space="preserve">特别注意！！“符合本国产品标准的产品成本之和”是指本项目或采购包中符合本国产品标准的</w:t>
      </w:r>
      <w:r>
        <w:rPr>
          <w:rFonts w:hint="eastAsia" w:ascii="宋体" w:hAnsi="宋体"/>
          <w:b/>
          <w:bCs/>
          <w:color w:val="000000" w:themeColor="text1"/>
          <w:highlight w:val="yellow"/>
          <w:u w:val="single"/>
        </w:rPr>
        <w:t xml:space="preserve">货物成本之和</w:t>
      </w:r>
      <w:r>
        <w:rPr>
          <w:rFonts w:hint="eastAsia" w:ascii="宋体" w:hAnsi="宋体"/>
          <w:bCs/>
          <w:color w:val="000000" w:themeColor="text1"/>
          <w:highlight w:val="yellow"/>
          <w:u w:val="single"/>
        </w:rPr>
        <w:t xml:space="preserve">；“全部产品成本之和”是指货物或服务项目（或者采购包）中包含的</w:t>
      </w:r>
      <w:r>
        <w:rPr>
          <w:rFonts w:hint="eastAsia" w:ascii="宋体" w:hAnsi="宋体"/>
          <w:b/>
          <w:bCs/>
          <w:color w:val="000000" w:themeColor="text1"/>
          <w:highlight w:val="yellow"/>
          <w:u w:val="single"/>
        </w:rPr>
        <w:t xml:space="preserve">全部货物、服务产品的成本之和</w:t>
      </w:r>
      <w:r>
        <w:rPr>
          <w:rFonts w:hint="eastAsia" w:ascii="宋体" w:hAnsi="宋体"/>
          <w:bCs/>
          <w:color w:val="000000" w:themeColor="text1"/>
          <w:highlight w:val="yellow"/>
          <w:u w:val="single"/>
        </w:rPr>
        <w:t xml:space="preserve">。</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681"/>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黑体" w:eastAsia="黑体"/>
          <w:bCs/>
          <w:color w:val="000000"/>
          <w:sz w:val="24"/>
          <w:szCs w:val="24"/>
        </w:rPr>
      </w:pPr>
      <w:r>
        <w:rPr>
          <w:rFonts w:hint="eastAsia" w:ascii="黑体" w:eastAsia="黑体"/>
          <w:bCs/>
          <w:color w:val="000000"/>
          <w:sz w:val="24"/>
          <w:szCs w:val="24"/>
        </w:rPr>
      </w:r>
      <w:r/>
    </w:p>
    <w:p>
      <w:pPr>
        <w:rPr>
          <w:rFonts w:hint="eastAsia" w:ascii="黑体" w:eastAsia="黑体"/>
          <w:bCs/>
          <w:color w:val="000000"/>
          <w:sz w:val="24"/>
          <w:szCs w:val="24"/>
        </w:rPr>
      </w:pPr>
      <w:r>
        <w:rPr>
          <w:rFonts w:hint="eastAsia" w:ascii="黑体" w:eastAsia="黑体"/>
          <w:bCs/>
          <w:color w:val="000000"/>
          <w:sz w:val="24"/>
          <w:szCs w:val="24"/>
        </w:rPr>
      </w:r>
      <w:r/>
    </w:p>
    <w:p>
      <w:pPr>
        <w:rPr>
          <w:rFonts w:hint="eastAsia" w:ascii="黑体" w:eastAsia="黑体"/>
          <w:bCs/>
          <w:color w:val="000000"/>
          <w:sz w:val="24"/>
          <w:szCs w:val="24"/>
        </w:rPr>
      </w:pPr>
      <w:r>
        <w:rPr>
          <w:rFonts w:hint="eastAsia" w:ascii="黑体" w:eastAsia="黑体"/>
          <w:bCs/>
          <w:color w:val="000000"/>
          <w:sz w:val="24"/>
          <w:szCs w:val="24"/>
        </w:rPr>
      </w:r>
      <w:r/>
    </w:p>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spacing w:line="360" w:lineRule="auto"/>
        <w:rPr>
          <w:rFonts w:ascii="宋体"/>
          <w:bCs/>
          <w:color w:val="000000"/>
          <w:sz w:val="30"/>
        </w:rPr>
      </w:pPr>
      <w:r>
        <w:rPr>
          <w:rFonts w:ascii="宋体"/>
          <w:bCs/>
          <w:color w:val="000000"/>
          <w:sz w:val="30"/>
        </w:rPr>
      </w:r>
      <w:r/>
    </w:p>
    <w:p>
      <w:pPr>
        <w:ind w:firstLine="420"/>
        <w:spacing w:line="360" w:lineRule="auto"/>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spacing w:line="360" w:lineRule="auto"/>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7"/>
      <w:r/>
      <w:bookmarkEnd w:id="188"/>
      <w:r/>
      <w:bookmarkEnd w:id="206"/>
      <w:r/>
      <w:bookmarkStart w:id="207" w:name="_Hlt26609389"/>
      <w:r/>
      <w:bookmarkEnd w:id="207"/>
      <w:r/>
      <w:bookmarkStart w:id="208" w:name="_Hlt26671374"/>
      <w:r/>
      <w:bookmarkEnd w:id="208"/>
      <w:r/>
      <w:bookmarkStart w:id="209" w:name="_Hlt26955066"/>
      <w:r/>
      <w:bookmarkEnd w:id="209"/>
      <w:r/>
      <w:bookmarkStart w:id="210" w:name="_格式2__法定代表人授权书"/>
      <w:r/>
      <w:bookmarkEnd w:id="210"/>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25"/>
        <w:rFonts w:ascii="宋体" w:hAnsi="宋体"/>
      </w:rPr>
      <w:framePr w:wrap="around" w:vAnchor="text" w:hAnchor="margin" w:xAlign="center" w:y="1"/>
    </w:pPr>
    <w:r>
      <w:rPr>
        <w:rFonts w:ascii="宋体" w:hAnsi="宋体"/>
      </w:rPr>
      <w:fldChar w:fldCharType="begin"/>
    </w:r>
    <w:r>
      <w:rPr>
        <w:rStyle w:val="925"/>
        <w:rFonts w:ascii="宋体" w:hAnsi="宋体"/>
      </w:rPr>
      <w:instrText xml:space="preserve">PAGE  </w:instrText>
    </w:r>
    <w:r>
      <w:rPr>
        <w:rFonts w:ascii="宋体" w:hAnsi="宋体"/>
      </w:rPr>
      <w:fldChar w:fldCharType="separate"/>
    </w:r>
    <w:r>
      <w:rPr>
        <w:rStyle w:val="925"/>
        <w:rFonts w:ascii="宋体" w:hAnsi="宋体"/>
      </w:rPr>
      <w:t xml:space="preserve">３４</w:t>
    </w:r>
    <w:r>
      <w:rPr>
        <w:rFonts w:ascii="宋体" w:hAnsi="宋体"/>
      </w:rPr>
      <w:fldChar w:fldCharType="end"/>
    </w:r>
    <w:r/>
  </w:p>
  <w:p>
    <w:pPr>
      <w:pStyle w:val="898"/>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1</w:t>
    </w:r>
    <w: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space"/>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7"/>
      <w:isLgl w:val="false"/>
      <w:suff w:val="nothing"/>
      <w:lvlText w:val=""/>
      <w:lvlJc w:val="left"/>
      <w:pPr>
        <w:ind w:left="0" w:firstLine="0"/>
      </w:pPr>
      <w:rPr>
        <w:rFonts w:hint="eastAsia"/>
      </w:rPr>
    </w:lvl>
    <w:lvl w:ilvl="6">
      <w:start w:val="1"/>
      <w:numFmt w:val="decimal"/>
      <w:pStyle w:val="858"/>
      <w:isLgl w:val="false"/>
      <w:suff w:val="nothing"/>
      <w:lvlText w:val=""/>
      <w:lvlJc w:val="left"/>
      <w:pPr>
        <w:ind w:left="0" w:firstLine="0"/>
      </w:pPr>
      <w:rPr>
        <w:rFonts w:hint="eastAsia"/>
      </w:rPr>
    </w:lvl>
    <w:lvl w:ilvl="7">
      <w:start w:val="1"/>
      <w:numFmt w:val="decimal"/>
      <w:pStyle w:val="859"/>
      <w:isLgl w:val="false"/>
      <w:suff w:val="nothing"/>
      <w:lvlText w:val=""/>
      <w:lvlJc w:val="left"/>
      <w:pPr>
        <w:ind w:left="0" w:firstLine="0"/>
      </w:pPr>
      <w:rPr>
        <w:rFonts w:hint="eastAsia"/>
      </w:rPr>
    </w:lvl>
    <w:lvl w:ilvl="8">
      <w:start w:val="1"/>
      <w:numFmt w:val="decimal"/>
      <w:pStyle w:val="860"/>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eastAsia"/>
        <w:b/>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pStyle w:val="9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2"/>
  </w:num>
  <w:num w:numId="5">
    <w:abstractNumId w:val="1"/>
  </w:num>
  <w:num w:numId="6">
    <w:abstractNumId w:val="7"/>
  </w:num>
  <w:num w:numId="7">
    <w:abstractNumId w:val="8"/>
  </w:num>
  <w:num w:numId="8">
    <w:abstractNumId w:val="9"/>
  </w:num>
  <w:num w:numId="9">
    <w:abstractNumId w:val="4"/>
  </w:num>
  <w:num w:numId="10">
    <w:abstractNumId w:val="12"/>
  </w:num>
  <w:num w:numId="11">
    <w:abstractNumId w:val="6"/>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93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1">
    <w:name w:val="Heading 1"/>
    <w:basedOn w:val="670"/>
    <w:next w:val="670"/>
    <w:link w:val="703"/>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04"/>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05"/>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06"/>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07"/>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08"/>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0"/>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1"/>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Caption"/>
    <w:basedOn w:val="670"/>
    <w:next w:val="670"/>
    <w:uiPriority w:val="35"/>
    <w:semiHidden/>
    <w:unhideWhenUsed/>
    <w:qFormat/>
    <w:pPr>
      <w:spacing w:line="276" w:lineRule="auto"/>
    </w:pPr>
    <w:rPr>
      <w:b/>
      <w:bCs/>
      <w:color w:val="4f81bd" w:themeColor="accent1"/>
      <w:sz w:val="18"/>
      <w:szCs w:val="18"/>
    </w:rPr>
  </w:style>
  <w:style w:type="paragraph" w:styleId="684">
    <w:name w:val="toc 5"/>
    <w:basedOn w:val="670"/>
    <w:next w:val="670"/>
    <w:uiPriority w:val="39"/>
    <w:unhideWhenUsed/>
    <w:qFormat/>
    <w:pPr>
      <w:ind w:left="1134" w:right="0" w:firstLine="0"/>
      <w:spacing w:after="57"/>
    </w:pPr>
  </w:style>
  <w:style w:type="paragraph" w:styleId="685">
    <w:name w:val="toc 3"/>
    <w:basedOn w:val="670"/>
    <w:next w:val="670"/>
    <w:uiPriority w:val="39"/>
    <w:unhideWhenUsed/>
    <w:qFormat/>
    <w:pPr>
      <w:ind w:left="567" w:right="0" w:firstLine="0"/>
      <w:spacing w:after="57"/>
    </w:pPr>
  </w:style>
  <w:style w:type="paragraph" w:styleId="686">
    <w:name w:val="toc 8"/>
    <w:basedOn w:val="670"/>
    <w:next w:val="670"/>
    <w:uiPriority w:val="39"/>
    <w:unhideWhenUsed/>
    <w:qFormat/>
    <w:pPr>
      <w:ind w:left="1984" w:right="0" w:firstLine="0"/>
      <w:spacing w:after="57"/>
    </w:pPr>
  </w:style>
  <w:style w:type="paragraph" w:styleId="687">
    <w:name w:val="endnote text"/>
    <w:basedOn w:val="670"/>
    <w:link w:val="849"/>
    <w:uiPriority w:val="99"/>
    <w:semiHidden/>
    <w:unhideWhenUsed/>
    <w:qFormat/>
    <w:pPr>
      <w:spacing w:after="0" w:line="240" w:lineRule="auto"/>
    </w:pPr>
    <w:rPr>
      <w:sz w:val="20"/>
    </w:rPr>
  </w:style>
  <w:style w:type="paragraph" w:styleId="688">
    <w:name w:val="Footer"/>
    <w:basedOn w:val="670"/>
    <w:link w:val="722"/>
    <w:uiPriority w:val="99"/>
    <w:unhideWhenUsed/>
    <w:qFormat/>
    <w:pPr>
      <w:spacing w:after="0" w:line="240" w:lineRule="auto"/>
      <w:tabs>
        <w:tab w:val="center" w:pos="7143" w:leader="none"/>
        <w:tab w:val="right" w:pos="14287" w:leader="none"/>
      </w:tabs>
    </w:pPr>
  </w:style>
  <w:style w:type="paragraph" w:styleId="689">
    <w:name w:val="Header"/>
    <w:basedOn w:val="670"/>
    <w:link w:val="720"/>
    <w:uiPriority w:val="99"/>
    <w:unhideWhenUsed/>
    <w:qFormat/>
    <w:pPr>
      <w:spacing w:after="0" w:line="240" w:lineRule="auto"/>
      <w:tabs>
        <w:tab w:val="center" w:pos="7143" w:leader="none"/>
        <w:tab w:val="right" w:pos="14287" w:leader="none"/>
      </w:tabs>
    </w:pPr>
  </w:style>
  <w:style w:type="paragraph" w:styleId="690">
    <w:name w:val="toc 1"/>
    <w:basedOn w:val="670"/>
    <w:next w:val="670"/>
    <w:uiPriority w:val="39"/>
    <w:unhideWhenUsed/>
    <w:qFormat/>
    <w:pPr>
      <w:ind w:left="0" w:right="0" w:firstLine="0"/>
      <w:spacing w:after="57"/>
    </w:pPr>
  </w:style>
  <w:style w:type="paragraph" w:styleId="691">
    <w:name w:val="toc 4"/>
    <w:basedOn w:val="670"/>
    <w:next w:val="670"/>
    <w:uiPriority w:val="39"/>
    <w:unhideWhenUsed/>
    <w:qFormat/>
    <w:pPr>
      <w:ind w:left="850" w:right="0" w:firstLine="0"/>
      <w:spacing w:after="57"/>
    </w:pPr>
  </w:style>
  <w:style w:type="paragraph" w:styleId="692">
    <w:name w:val="Subtitle"/>
    <w:basedOn w:val="670"/>
    <w:next w:val="670"/>
    <w:link w:val="715"/>
    <w:uiPriority w:val="11"/>
    <w:qFormat/>
    <w:pPr>
      <w:spacing w:before="200" w:after="200"/>
    </w:pPr>
    <w:rPr>
      <w:sz w:val="24"/>
      <w:szCs w:val="24"/>
    </w:rPr>
  </w:style>
  <w:style w:type="paragraph" w:styleId="693">
    <w:name w:val="footnote text"/>
    <w:basedOn w:val="670"/>
    <w:link w:val="848"/>
    <w:uiPriority w:val="99"/>
    <w:semiHidden/>
    <w:unhideWhenUsed/>
    <w:qFormat/>
    <w:pPr>
      <w:spacing w:after="40" w:line="240" w:lineRule="auto"/>
    </w:pPr>
    <w:rPr>
      <w:sz w:val="18"/>
    </w:rPr>
  </w:style>
  <w:style w:type="paragraph" w:styleId="694">
    <w:name w:val="toc 6"/>
    <w:basedOn w:val="670"/>
    <w:next w:val="670"/>
    <w:uiPriority w:val="39"/>
    <w:unhideWhenUsed/>
    <w:qFormat/>
    <w:pPr>
      <w:ind w:left="1417" w:right="0" w:firstLine="0"/>
      <w:spacing w:after="57"/>
    </w:pPr>
  </w:style>
  <w:style w:type="paragraph" w:styleId="695">
    <w:name w:val="table of figures"/>
    <w:basedOn w:val="670"/>
    <w:next w:val="670"/>
    <w:uiPriority w:val="99"/>
    <w:unhideWhenUsed/>
    <w:qFormat/>
    <w:pPr>
      <w:spacing w:after="0" w:afterAutospacing="0"/>
    </w:pPr>
  </w:style>
  <w:style w:type="paragraph" w:styleId="696">
    <w:name w:val="toc 2"/>
    <w:basedOn w:val="670"/>
    <w:next w:val="670"/>
    <w:uiPriority w:val="39"/>
    <w:unhideWhenUsed/>
    <w:qFormat/>
    <w:pPr>
      <w:ind w:left="283" w:right="0" w:firstLine="0"/>
      <w:spacing w:after="57"/>
    </w:pPr>
  </w:style>
  <w:style w:type="paragraph" w:styleId="697">
    <w:name w:val="toc 9"/>
    <w:basedOn w:val="670"/>
    <w:next w:val="670"/>
    <w:uiPriority w:val="39"/>
    <w:unhideWhenUsed/>
    <w:qFormat/>
    <w:pPr>
      <w:ind w:left="2268" w:right="0" w:firstLine="0"/>
      <w:spacing w:after="57"/>
    </w:pPr>
  </w:style>
  <w:style w:type="paragraph" w:styleId="698">
    <w:name w:val="Title"/>
    <w:basedOn w:val="670"/>
    <w:next w:val="670"/>
    <w:link w:val="714"/>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rPr>
  </w:style>
  <w:style w:type="character" w:styleId="702">
    <w:name w:val="footnote reference"/>
    <w:uiPriority w:val="99"/>
    <w:unhideWhenUsed/>
    <w:qFormat/>
    <w:rPr>
      <w:vertAlign w:val="superscript"/>
    </w:rPr>
  </w:style>
  <w:style w:type="character" w:styleId="703" w:customStyle="1">
    <w:name w:val="Heading 1 Char"/>
    <w:link w:val="671"/>
    <w:uiPriority w:val="9"/>
    <w:qFormat/>
    <w:rPr>
      <w:rFonts w:ascii="Arial" w:hAnsi="Arial" w:eastAsia="Arial" w:cs="Arial"/>
      <w:sz w:val="40"/>
      <w:szCs w:val="40"/>
    </w:rPr>
  </w:style>
  <w:style w:type="character" w:styleId="704" w:customStyle="1">
    <w:name w:val="Heading 2 Char"/>
    <w:link w:val="672"/>
    <w:uiPriority w:val="9"/>
    <w:qFormat/>
    <w:rPr>
      <w:rFonts w:ascii="Arial" w:hAnsi="Arial" w:eastAsia="Arial" w:cs="Arial"/>
      <w:sz w:val="34"/>
    </w:rPr>
  </w:style>
  <w:style w:type="character" w:styleId="705" w:customStyle="1">
    <w:name w:val="Heading 3 Char"/>
    <w:link w:val="673"/>
    <w:uiPriority w:val="9"/>
    <w:qFormat/>
    <w:rPr>
      <w:rFonts w:ascii="Arial" w:hAnsi="Arial" w:eastAsia="Arial" w:cs="Arial"/>
      <w:sz w:val="30"/>
      <w:szCs w:val="30"/>
    </w:rPr>
  </w:style>
  <w:style w:type="character" w:styleId="706" w:customStyle="1">
    <w:name w:val="Heading 4 Char"/>
    <w:link w:val="674"/>
    <w:uiPriority w:val="9"/>
    <w:qFormat/>
    <w:rPr>
      <w:rFonts w:ascii="Arial" w:hAnsi="Arial" w:eastAsia="Arial" w:cs="Arial"/>
      <w:b/>
      <w:bCs/>
      <w:sz w:val="26"/>
      <w:szCs w:val="26"/>
    </w:rPr>
  </w:style>
  <w:style w:type="character" w:styleId="707" w:customStyle="1">
    <w:name w:val="Heading 5 Char"/>
    <w:link w:val="675"/>
    <w:uiPriority w:val="9"/>
    <w:qFormat/>
    <w:rPr>
      <w:rFonts w:ascii="Arial" w:hAnsi="Arial" w:eastAsia="Arial" w:cs="Arial"/>
      <w:b/>
      <w:bCs/>
      <w:sz w:val="24"/>
      <w:szCs w:val="24"/>
    </w:rPr>
  </w:style>
  <w:style w:type="character" w:styleId="708" w:customStyle="1">
    <w:name w:val="Heading 6 Char"/>
    <w:link w:val="676"/>
    <w:uiPriority w:val="9"/>
    <w:qFormat/>
    <w:rPr>
      <w:rFonts w:ascii="Arial" w:hAnsi="Arial" w:eastAsia="Arial" w:cs="Arial"/>
      <w:b/>
      <w:bCs/>
      <w:sz w:val="22"/>
      <w:szCs w:val="22"/>
    </w:rPr>
  </w:style>
  <w:style w:type="character" w:styleId="709" w:customStyle="1">
    <w:name w:val="Heading 7 Char"/>
    <w:link w:val="677"/>
    <w:uiPriority w:val="9"/>
    <w:qFormat/>
    <w:rPr>
      <w:rFonts w:ascii="Arial" w:hAnsi="Arial" w:eastAsia="Arial" w:cs="Arial"/>
      <w:b/>
      <w:bCs/>
      <w:i/>
      <w:iCs/>
      <w:sz w:val="22"/>
      <w:szCs w:val="22"/>
    </w:rPr>
  </w:style>
  <w:style w:type="character" w:styleId="710" w:customStyle="1">
    <w:name w:val="Heading 8 Char"/>
    <w:link w:val="678"/>
    <w:uiPriority w:val="9"/>
    <w:qFormat/>
    <w:rPr>
      <w:rFonts w:ascii="Arial" w:hAnsi="Arial" w:eastAsia="Arial" w:cs="Arial"/>
      <w:i/>
      <w:iCs/>
      <w:sz w:val="22"/>
      <w:szCs w:val="22"/>
    </w:rPr>
  </w:style>
  <w:style w:type="character" w:styleId="711" w:customStyle="1">
    <w:name w:val="Heading 9 Char"/>
    <w:link w:val="679"/>
    <w:uiPriority w:val="9"/>
    <w:qFormat/>
    <w:rPr>
      <w:rFonts w:ascii="Arial" w:hAnsi="Arial" w:eastAsia="Arial" w:cs="Arial"/>
      <w:i/>
      <w:iCs/>
      <w:sz w:val="21"/>
      <w:szCs w:val="21"/>
    </w:rPr>
  </w:style>
  <w:style w:type="paragraph" w:styleId="712">
    <w:name w:val="List Paragraph"/>
    <w:basedOn w:val="670"/>
    <w:uiPriority w:val="34"/>
    <w:qFormat/>
    <w:pPr>
      <w:contextualSpacing/>
      <w:ind w:left="720"/>
    </w:pPr>
  </w:style>
  <w:style w:type="paragraph" w:styleId="713">
    <w:name w:val="No Spacing"/>
    <w:uiPriority w:val="1"/>
    <w:qFormat/>
    <w:pPr>
      <w:spacing w:before="0" w:after="0" w:line="240" w:lineRule="auto"/>
    </w:pPr>
    <w:rPr>
      <w:rFonts w:hint="default" w:ascii="Times New Roman" w:hAnsi="Times New Roman" w:eastAsia="宋体" w:cs="Times New Roman"/>
    </w:rPr>
  </w:style>
  <w:style w:type="character" w:styleId="714" w:customStyle="1">
    <w:name w:val="Title Char"/>
    <w:link w:val="698"/>
    <w:uiPriority w:val="10"/>
    <w:qFormat/>
    <w:rPr>
      <w:sz w:val="48"/>
      <w:szCs w:val="48"/>
    </w:rPr>
  </w:style>
  <w:style w:type="character" w:styleId="715" w:customStyle="1">
    <w:name w:val="Subtitle Char"/>
    <w:link w:val="692"/>
    <w:uiPriority w:val="11"/>
    <w:qFormat/>
    <w:rPr>
      <w:sz w:val="24"/>
      <w:szCs w:val="24"/>
    </w:rPr>
  </w:style>
  <w:style w:type="paragraph" w:styleId="716">
    <w:name w:val="Quote"/>
    <w:basedOn w:val="670"/>
    <w:next w:val="670"/>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70"/>
    <w:next w:val="670"/>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link w:val="689"/>
    <w:uiPriority w:val="99"/>
    <w:qFormat/>
  </w:style>
  <w:style w:type="character" w:styleId="721" w:customStyle="1">
    <w:name w:val="Footer Char"/>
    <w:link w:val="688"/>
    <w:uiPriority w:val="99"/>
    <w:qFormat/>
  </w:style>
  <w:style w:type="character" w:styleId="722" w:customStyle="1">
    <w:name w:val="Caption Char"/>
    <w:link w:val="688"/>
    <w:uiPriority w:val="99"/>
    <w:qFormat/>
  </w:style>
  <w:style w:type="table" w:styleId="7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Footnote Text Char"/>
    <w:link w:val="693"/>
    <w:uiPriority w:val="99"/>
    <w:qFormat/>
    <w:rPr>
      <w:sz w:val="18"/>
    </w:rPr>
  </w:style>
  <w:style w:type="character" w:styleId="849" w:customStyle="1">
    <w:name w:val="Endnote Text Char"/>
    <w:link w:val="687"/>
    <w:uiPriority w:val="99"/>
    <w:qFormat/>
    <w:rPr>
      <w:sz w:val="20"/>
    </w:rPr>
  </w:style>
  <w:style w:type="paragraph" w:styleId="850" w:customStyle="1">
    <w:name w:val="TOC Heading"/>
    <w:uiPriority w:val="39"/>
    <w:unhideWhenUsed/>
    <w:qFormat/>
    <w:rPr>
      <w:rFonts w:hint="default" w:ascii="Times New Roman" w:hAnsi="Times New Roman" w:eastAsia="宋体" w:cs="Times New Roman"/>
    </w:rPr>
  </w:style>
  <w:style w:type="paragraph" w:styleId="851" w:customStyle="1">
    <w:name w:val="标题 11"/>
    <w:basedOn w:val="670"/>
    <w:next w:val="670"/>
    <w:link w:val="863"/>
    <w:uiPriority w:val="0"/>
    <w:qFormat/>
    <w:pPr>
      <w:jc w:val="center"/>
      <w:keepNext/>
      <w:outlineLvl w:val="0"/>
    </w:pPr>
    <w:rPr>
      <w:rFonts w:ascii="楷体_GB2312" w:eastAsia="楷体_GB2312"/>
      <w:sz w:val="28"/>
      <w:szCs w:val="28"/>
    </w:rPr>
  </w:style>
  <w:style w:type="paragraph" w:styleId="852" w:customStyle="1">
    <w:name w:val="标题 21"/>
    <w:basedOn w:val="670"/>
    <w:next w:val="853"/>
    <w:link w:val="864"/>
    <w:uiPriority w:val="0"/>
    <w:qFormat/>
    <w:pPr>
      <w:jc w:val="center"/>
      <w:keepLines/>
      <w:keepNext/>
      <w:spacing w:before="260" w:after="260" w:line="416" w:lineRule="auto"/>
      <w:outlineLvl w:val="1"/>
    </w:pPr>
    <w:rPr>
      <w:rFonts w:ascii="Arial" w:hAnsi="Arial" w:eastAsia="幼圆"/>
      <w:b/>
      <w:bCs/>
      <w:sz w:val="44"/>
      <w:szCs w:val="44"/>
    </w:rPr>
  </w:style>
  <w:style w:type="paragraph" w:styleId="853" w:customStyle="1">
    <w:name w:val="正文缩进1"/>
    <w:basedOn w:val="670"/>
    <w:link w:val="865"/>
    <w:uiPriority w:val="0"/>
    <w:qFormat/>
    <w:pPr>
      <w:ind w:firstLine="420"/>
    </w:pPr>
    <w:rPr>
      <w:sz w:val="20"/>
    </w:rPr>
  </w:style>
  <w:style w:type="paragraph" w:styleId="854" w:customStyle="1">
    <w:name w:val="标题 31"/>
    <w:basedOn w:val="670"/>
    <w:next w:val="853"/>
    <w:link w:val="866"/>
    <w:uiPriority w:val="0"/>
    <w:qFormat/>
    <w:pPr>
      <w:keepLines/>
      <w:keepNext/>
      <w:spacing w:before="260" w:after="260" w:line="416" w:lineRule="auto"/>
      <w:outlineLvl w:val="2"/>
    </w:pPr>
    <w:rPr>
      <w:b/>
      <w:bCs/>
      <w:sz w:val="32"/>
      <w:szCs w:val="32"/>
    </w:rPr>
  </w:style>
  <w:style w:type="paragraph" w:styleId="855" w:customStyle="1">
    <w:name w:val="标题 41"/>
    <w:basedOn w:val="670"/>
    <w:next w:val="853"/>
    <w:link w:val="867"/>
    <w:uiPriority w:val="0"/>
    <w:qFormat/>
    <w:pPr>
      <w:keepLines/>
      <w:keepNext/>
      <w:spacing w:before="280" w:after="290" w:line="376" w:lineRule="auto"/>
      <w:outlineLvl w:val="3"/>
    </w:pPr>
    <w:rPr>
      <w:rFonts w:ascii="Arial" w:hAnsi="Arial" w:eastAsia="黑体"/>
      <w:b/>
      <w:bCs/>
      <w:sz w:val="28"/>
      <w:szCs w:val="28"/>
    </w:rPr>
  </w:style>
  <w:style w:type="paragraph" w:styleId="856" w:customStyle="1">
    <w:name w:val="标题 51"/>
    <w:basedOn w:val="670"/>
    <w:next w:val="853"/>
    <w:link w:val="868"/>
    <w:uiPriority w:val="0"/>
    <w:qFormat/>
    <w:pPr>
      <w:keepNext/>
      <w:outlineLvl w:val="4"/>
    </w:pPr>
    <w:rPr>
      <w:rFonts w:ascii="宋体"/>
      <w:color w:val="000000"/>
      <w:sz w:val="28"/>
      <w:szCs w:val="28"/>
    </w:rPr>
  </w:style>
  <w:style w:type="paragraph" w:styleId="857" w:customStyle="1">
    <w:name w:val="标题 61"/>
    <w:basedOn w:val="670"/>
    <w:next w:val="670"/>
    <w:link w:val="86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8" w:customStyle="1">
    <w:name w:val="标题 71"/>
    <w:basedOn w:val="670"/>
    <w:next w:val="670"/>
    <w:link w:val="870"/>
    <w:uiPriority w:val="0"/>
    <w:qFormat/>
    <w:pPr>
      <w:numPr>
        <w:ilvl w:val="6"/>
        <w:numId w:val="1"/>
      </w:numPr>
      <w:keepLines/>
      <w:keepNext/>
      <w:spacing w:before="240" w:after="64" w:line="320" w:lineRule="auto"/>
      <w:outlineLvl w:val="6"/>
    </w:pPr>
    <w:rPr>
      <w:b/>
      <w:bCs/>
      <w:sz w:val="24"/>
      <w:szCs w:val="24"/>
    </w:rPr>
  </w:style>
  <w:style w:type="paragraph" w:styleId="859" w:customStyle="1">
    <w:name w:val="标题 81"/>
    <w:basedOn w:val="670"/>
    <w:next w:val="670"/>
    <w:link w:val="87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0" w:customStyle="1">
    <w:name w:val="标题 91"/>
    <w:basedOn w:val="670"/>
    <w:next w:val="670"/>
    <w:link w:val="872"/>
    <w:uiPriority w:val="0"/>
    <w:qFormat/>
    <w:pPr>
      <w:numPr>
        <w:ilvl w:val="8"/>
        <w:numId w:val="1"/>
      </w:numPr>
      <w:keepLines/>
      <w:keepNext/>
      <w:spacing w:before="240" w:after="64" w:line="320" w:lineRule="auto"/>
      <w:outlineLvl w:val="8"/>
    </w:pPr>
    <w:rPr>
      <w:rFonts w:ascii="Arial" w:hAnsi="Arial" w:eastAsia="黑体"/>
      <w:sz w:val="20"/>
    </w:rPr>
  </w:style>
  <w:style w:type="character" w:styleId="861" w:customStyle="1">
    <w:name w:val="默认段落字体1"/>
    <w:link w:val="670"/>
    <w:uiPriority w:val="1"/>
    <w:unhideWhenUsed/>
    <w:qFormat/>
  </w:style>
  <w:style w:type="table" w:styleId="862" w:customStyle="1">
    <w:name w:val="普通表格1"/>
    <w:uiPriority w:val="99"/>
    <w:unhideWhenUsed/>
    <w:qFormat/>
    <w:tblPr/>
  </w:style>
  <w:style w:type="character" w:styleId="863" w:customStyle="1">
    <w:name w:val="标题 1 Char"/>
    <w:link w:val="851"/>
    <w:uiPriority w:val="0"/>
    <w:qFormat/>
    <w:rPr>
      <w:rFonts w:ascii="楷体_GB2312" w:hAnsi="Times New Roman" w:eastAsia="楷体_GB2312" w:cs="Times New Roman"/>
      <w:sz w:val="28"/>
      <w:szCs w:val="28"/>
    </w:rPr>
  </w:style>
  <w:style w:type="character" w:styleId="864" w:customStyle="1">
    <w:name w:val="标题 2 Char"/>
    <w:link w:val="852"/>
    <w:uiPriority w:val="0"/>
    <w:qFormat/>
    <w:rPr>
      <w:rFonts w:ascii="Arial" w:hAnsi="Arial" w:eastAsia="幼圆" w:cs="Arial"/>
      <w:b/>
      <w:bCs/>
      <w:sz w:val="44"/>
      <w:szCs w:val="44"/>
    </w:rPr>
  </w:style>
  <w:style w:type="character" w:styleId="865" w:customStyle="1">
    <w:name w:val="正文缩进 Char"/>
    <w:link w:val="853"/>
    <w:uiPriority w:val="0"/>
    <w:qFormat/>
    <w:rPr>
      <w:rFonts w:ascii="Times New Roman" w:hAnsi="Times New Roman" w:eastAsia="宋体" w:cs="Times New Roman"/>
      <w:szCs w:val="21"/>
    </w:rPr>
  </w:style>
  <w:style w:type="character" w:styleId="866" w:customStyle="1">
    <w:name w:val="标题 3 Char"/>
    <w:link w:val="854"/>
    <w:uiPriority w:val="0"/>
    <w:qFormat/>
    <w:rPr>
      <w:rFonts w:ascii="Times New Roman" w:hAnsi="Times New Roman" w:eastAsia="宋体" w:cs="Times New Roman"/>
      <w:b/>
      <w:bCs/>
      <w:sz w:val="32"/>
      <w:szCs w:val="32"/>
    </w:rPr>
  </w:style>
  <w:style w:type="character" w:styleId="867" w:customStyle="1">
    <w:name w:val="标题 4 Char"/>
    <w:link w:val="855"/>
    <w:uiPriority w:val="0"/>
    <w:qFormat/>
    <w:rPr>
      <w:rFonts w:ascii="Arial" w:hAnsi="Arial" w:eastAsia="黑体" w:cs="Arial"/>
      <w:b/>
      <w:bCs/>
      <w:sz w:val="28"/>
      <w:szCs w:val="28"/>
    </w:rPr>
  </w:style>
  <w:style w:type="character" w:styleId="868" w:customStyle="1">
    <w:name w:val="标题 5 Char"/>
    <w:link w:val="856"/>
    <w:uiPriority w:val="0"/>
    <w:qFormat/>
    <w:rPr>
      <w:rFonts w:ascii="宋体" w:hAnsi="Times New Roman" w:eastAsia="宋体" w:cs="Times New Roman"/>
      <w:color w:val="000000"/>
      <w:sz w:val="28"/>
      <w:szCs w:val="28"/>
    </w:rPr>
  </w:style>
  <w:style w:type="character" w:styleId="869" w:customStyle="1">
    <w:name w:val="标题 6 Char"/>
    <w:link w:val="857"/>
    <w:uiPriority w:val="0"/>
    <w:qFormat/>
    <w:rPr>
      <w:rFonts w:ascii="Arial" w:hAnsi="Arial" w:eastAsia="黑体" w:cs="Times New Roman"/>
      <w:b/>
      <w:bCs/>
      <w:sz w:val="24"/>
      <w:szCs w:val="24"/>
    </w:rPr>
  </w:style>
  <w:style w:type="character" w:styleId="870" w:customStyle="1">
    <w:name w:val="标题 7 Char"/>
    <w:link w:val="858"/>
    <w:uiPriority w:val="0"/>
    <w:qFormat/>
    <w:rPr>
      <w:rFonts w:ascii="Times New Roman" w:hAnsi="Times New Roman" w:eastAsia="宋体" w:cs="Times New Roman"/>
      <w:b/>
      <w:bCs/>
      <w:sz w:val="24"/>
      <w:szCs w:val="24"/>
    </w:rPr>
  </w:style>
  <w:style w:type="character" w:styleId="871" w:customStyle="1">
    <w:name w:val="标题 8 Char"/>
    <w:link w:val="859"/>
    <w:uiPriority w:val="0"/>
    <w:qFormat/>
    <w:rPr>
      <w:rFonts w:ascii="Arial" w:hAnsi="Arial" w:eastAsia="黑体" w:cs="Times New Roman"/>
      <w:sz w:val="24"/>
      <w:szCs w:val="24"/>
    </w:rPr>
  </w:style>
  <w:style w:type="character" w:styleId="872" w:customStyle="1">
    <w:name w:val="标题 9 Char"/>
    <w:link w:val="860"/>
    <w:uiPriority w:val="0"/>
    <w:qFormat/>
    <w:rPr>
      <w:rFonts w:ascii="Arial" w:hAnsi="Arial" w:eastAsia="黑体" w:cs="Times New Roman"/>
      <w:szCs w:val="21"/>
    </w:rPr>
  </w:style>
  <w:style w:type="paragraph" w:styleId="873" w:customStyle="1">
    <w:name w:val="列表 31"/>
    <w:basedOn w:val="670"/>
    <w:uiPriority w:val="0"/>
    <w:qFormat/>
    <w:pPr>
      <w:ind w:left="100" w:hanging="200"/>
    </w:pPr>
  </w:style>
  <w:style w:type="paragraph" w:styleId="874" w:customStyle="1">
    <w:name w:val="目录 71"/>
    <w:basedOn w:val="670"/>
    <w:next w:val="670"/>
    <w:uiPriority w:val="0"/>
    <w:semiHidden/>
    <w:qFormat/>
    <w:pPr>
      <w:ind w:left="1260"/>
      <w:jc w:val="left"/>
    </w:pPr>
  </w:style>
  <w:style w:type="paragraph" w:styleId="875" w:customStyle="1">
    <w:name w:val="文档结构图1"/>
    <w:basedOn w:val="670"/>
    <w:link w:val="876"/>
    <w:uiPriority w:val="0"/>
    <w:semiHidden/>
    <w:qFormat/>
    <w:pPr>
      <w:shd w:val="clear" w:color="auto" w:fill="000080"/>
    </w:pPr>
    <w:rPr>
      <w:sz w:val="20"/>
    </w:rPr>
  </w:style>
  <w:style w:type="character" w:styleId="876" w:customStyle="1">
    <w:name w:val="文档结构图 Char"/>
    <w:link w:val="875"/>
    <w:uiPriority w:val="0"/>
    <w:semiHidden/>
    <w:qFormat/>
    <w:rPr>
      <w:rFonts w:ascii="Times New Roman" w:hAnsi="Times New Roman" w:eastAsia="宋体" w:cs="Times New Roman"/>
      <w:szCs w:val="21"/>
      <w:shd w:val="clear" w:color="auto" w:fill="000080"/>
    </w:rPr>
  </w:style>
  <w:style w:type="paragraph" w:styleId="877" w:customStyle="1">
    <w:name w:val="批注文字1"/>
    <w:basedOn w:val="670"/>
    <w:link w:val="878"/>
    <w:uiPriority w:val="0"/>
    <w:semiHidden/>
    <w:qFormat/>
    <w:pPr>
      <w:jc w:val="left"/>
    </w:pPr>
    <w:rPr>
      <w:sz w:val="20"/>
    </w:rPr>
  </w:style>
  <w:style w:type="character" w:styleId="878" w:customStyle="1">
    <w:name w:val="批注文字 Char"/>
    <w:link w:val="877"/>
    <w:uiPriority w:val="0"/>
    <w:semiHidden/>
    <w:qFormat/>
    <w:rPr>
      <w:rFonts w:ascii="Times New Roman" w:hAnsi="Times New Roman" w:eastAsia="宋体" w:cs="Times New Roman"/>
      <w:szCs w:val="21"/>
    </w:rPr>
  </w:style>
  <w:style w:type="paragraph" w:styleId="879" w:customStyle="1">
    <w:name w:val="正文文本 31"/>
    <w:basedOn w:val="670"/>
    <w:link w:val="880"/>
    <w:uiPriority w:val="0"/>
    <w:qFormat/>
    <w:rPr>
      <w:rFonts w:ascii="仿宋_GB2312" w:hAnsi="Arial" w:eastAsia="仿宋_GB2312"/>
      <w:sz w:val="32"/>
      <w:szCs w:val="32"/>
    </w:rPr>
  </w:style>
  <w:style w:type="character" w:styleId="880" w:customStyle="1">
    <w:name w:val="正文文本 3 Char"/>
    <w:link w:val="879"/>
    <w:uiPriority w:val="0"/>
    <w:qFormat/>
    <w:rPr>
      <w:rFonts w:ascii="仿宋_GB2312" w:hAnsi="Arial" w:eastAsia="仿宋_GB2312" w:cs="Times New Roman"/>
      <w:sz w:val="32"/>
      <w:szCs w:val="32"/>
    </w:rPr>
  </w:style>
  <w:style w:type="paragraph" w:styleId="881" w:customStyle="1">
    <w:name w:val="正文文本1"/>
    <w:basedOn w:val="670"/>
    <w:next w:val="882"/>
    <w:link w:val="883"/>
    <w:uiPriority w:val="0"/>
    <w:qFormat/>
    <w:rPr>
      <w:rFonts w:ascii="楷体_GB2312" w:hAnsi="Arial" w:eastAsia="楷体_GB2312"/>
      <w:sz w:val="28"/>
      <w:szCs w:val="28"/>
    </w:rPr>
  </w:style>
  <w:style w:type="paragraph" w:styleId="882" w:customStyle="1">
    <w:name w:val="副标题1"/>
    <w:basedOn w:val="670"/>
    <w:next w:val="670"/>
    <w:uiPriority w:val="11"/>
    <w:qFormat/>
    <w:pPr>
      <w:ind w:firstLine="471"/>
      <w:jc w:val="center"/>
      <w:spacing w:before="240" w:after="60" w:line="312" w:lineRule="atLeast"/>
      <w:outlineLvl w:val="1"/>
    </w:pPr>
    <w:rPr>
      <w:rFonts w:ascii="Arial" w:hAnsi="Arial"/>
      <w:b/>
      <w:bCs/>
      <w:sz w:val="32"/>
      <w:szCs w:val="32"/>
    </w:rPr>
  </w:style>
  <w:style w:type="character" w:styleId="883" w:customStyle="1">
    <w:name w:val="正文文本 Char"/>
    <w:link w:val="881"/>
    <w:uiPriority w:val="0"/>
    <w:qFormat/>
    <w:rPr>
      <w:rFonts w:ascii="楷体_GB2312" w:hAnsi="Arial" w:eastAsia="楷体_GB2312" w:cs="Times New Roman"/>
      <w:sz w:val="28"/>
      <w:szCs w:val="28"/>
    </w:rPr>
  </w:style>
  <w:style w:type="paragraph" w:styleId="884" w:customStyle="1">
    <w:name w:val="正文文本缩进1"/>
    <w:basedOn w:val="670"/>
    <w:link w:val="885"/>
    <w:uiPriority w:val="0"/>
    <w:qFormat/>
    <w:pPr>
      <w:ind w:firstLine="645"/>
    </w:pPr>
    <w:rPr>
      <w:rFonts w:ascii="楷体_GB2312" w:eastAsia="楷体_GB2312"/>
      <w:sz w:val="32"/>
      <w:szCs w:val="32"/>
    </w:rPr>
  </w:style>
  <w:style w:type="character" w:styleId="885" w:customStyle="1">
    <w:name w:val="正文文本缩进 Char"/>
    <w:link w:val="884"/>
    <w:uiPriority w:val="0"/>
    <w:qFormat/>
    <w:rPr>
      <w:rFonts w:ascii="楷体_GB2312" w:hAnsi="Times New Roman" w:eastAsia="楷体_GB2312" w:cs="Times New Roman"/>
      <w:sz w:val="32"/>
      <w:szCs w:val="32"/>
    </w:rPr>
  </w:style>
  <w:style w:type="paragraph" w:styleId="886" w:customStyle="1">
    <w:name w:val="列表 21"/>
    <w:basedOn w:val="670"/>
    <w:uiPriority w:val="0"/>
    <w:qFormat/>
    <w:pPr>
      <w:ind w:left="100" w:hanging="200"/>
    </w:pPr>
  </w:style>
  <w:style w:type="paragraph" w:styleId="887" w:customStyle="1">
    <w:name w:val="目录 51"/>
    <w:basedOn w:val="670"/>
    <w:next w:val="670"/>
    <w:uiPriority w:val="0"/>
    <w:semiHidden/>
    <w:qFormat/>
    <w:pPr>
      <w:ind w:left="840"/>
      <w:jc w:val="left"/>
    </w:pPr>
  </w:style>
  <w:style w:type="paragraph" w:styleId="888" w:customStyle="1">
    <w:name w:val="目录 31"/>
    <w:basedOn w:val="670"/>
    <w:next w:val="670"/>
    <w:uiPriority w:val="0"/>
    <w:semiHidden/>
    <w:qFormat/>
    <w:pPr>
      <w:ind w:left="420"/>
      <w:jc w:val="left"/>
    </w:pPr>
    <w:rPr>
      <w:i/>
      <w:iCs/>
      <w:szCs w:val="24"/>
    </w:rPr>
  </w:style>
  <w:style w:type="paragraph" w:styleId="889" w:customStyle="1">
    <w:name w:val="纯文本1"/>
    <w:basedOn w:val="670"/>
    <w:link w:val="890"/>
    <w:uiPriority w:val="0"/>
    <w:qFormat/>
    <w:rPr>
      <w:rFonts w:ascii="宋体" w:hAnsi="Courier New"/>
      <w:sz w:val="20"/>
    </w:rPr>
  </w:style>
  <w:style w:type="character" w:styleId="890" w:customStyle="1">
    <w:name w:val="纯文本 Char"/>
    <w:link w:val="889"/>
    <w:uiPriority w:val="0"/>
    <w:qFormat/>
    <w:rPr>
      <w:rFonts w:ascii="宋体" w:hAnsi="Courier New" w:eastAsia="宋体" w:cs="Courier New"/>
      <w:szCs w:val="21"/>
    </w:rPr>
  </w:style>
  <w:style w:type="paragraph" w:styleId="891" w:customStyle="1">
    <w:name w:val="目录 81"/>
    <w:basedOn w:val="670"/>
    <w:next w:val="670"/>
    <w:uiPriority w:val="0"/>
    <w:semiHidden/>
    <w:qFormat/>
    <w:pPr>
      <w:ind w:left="1470"/>
      <w:jc w:val="left"/>
    </w:pPr>
  </w:style>
  <w:style w:type="paragraph" w:styleId="892" w:customStyle="1">
    <w:name w:val="日期1"/>
    <w:basedOn w:val="670"/>
    <w:next w:val="670"/>
    <w:link w:val="893"/>
    <w:uiPriority w:val="0"/>
    <w:qFormat/>
    <w:rPr>
      <w:sz w:val="24"/>
      <w:szCs w:val="24"/>
    </w:rPr>
  </w:style>
  <w:style w:type="character" w:styleId="893" w:customStyle="1">
    <w:name w:val="日期 Char"/>
    <w:link w:val="892"/>
    <w:uiPriority w:val="0"/>
    <w:qFormat/>
    <w:rPr>
      <w:rFonts w:ascii="Times New Roman" w:hAnsi="Times New Roman" w:eastAsia="宋体" w:cs="Times New Roman"/>
      <w:sz w:val="24"/>
      <w:szCs w:val="24"/>
    </w:rPr>
  </w:style>
  <w:style w:type="paragraph" w:styleId="894" w:customStyle="1">
    <w:name w:val="正文文本缩进 21"/>
    <w:basedOn w:val="670"/>
    <w:link w:val="895"/>
    <w:uiPriority w:val="0"/>
    <w:qFormat/>
    <w:pPr>
      <w:ind w:left="630" w:firstLine="645"/>
    </w:pPr>
    <w:rPr>
      <w:rFonts w:ascii="Arial" w:hAnsi="Arial" w:eastAsia="仿宋_GB2312"/>
      <w:sz w:val="32"/>
      <w:szCs w:val="32"/>
    </w:rPr>
  </w:style>
  <w:style w:type="character" w:styleId="895" w:customStyle="1">
    <w:name w:val="正文文本缩进 2 Char"/>
    <w:link w:val="894"/>
    <w:uiPriority w:val="0"/>
    <w:qFormat/>
    <w:rPr>
      <w:rFonts w:ascii="Arial" w:hAnsi="Arial" w:eastAsia="仿宋_GB2312" w:cs="Arial"/>
      <w:sz w:val="32"/>
      <w:szCs w:val="32"/>
    </w:rPr>
  </w:style>
  <w:style w:type="paragraph" w:styleId="896" w:customStyle="1">
    <w:name w:val="批注框文本1"/>
    <w:basedOn w:val="670"/>
    <w:link w:val="897"/>
    <w:uiPriority w:val="0"/>
    <w:semiHidden/>
    <w:qFormat/>
    <w:rPr>
      <w:sz w:val="18"/>
      <w:szCs w:val="18"/>
    </w:rPr>
  </w:style>
  <w:style w:type="character" w:styleId="897" w:customStyle="1">
    <w:name w:val="批注框文本 Char"/>
    <w:link w:val="896"/>
    <w:uiPriority w:val="0"/>
    <w:semiHidden/>
    <w:qFormat/>
    <w:rPr>
      <w:rFonts w:ascii="Times New Roman" w:hAnsi="Times New Roman" w:eastAsia="宋体" w:cs="Times New Roman"/>
      <w:sz w:val="18"/>
      <w:szCs w:val="18"/>
    </w:rPr>
  </w:style>
  <w:style w:type="paragraph" w:styleId="898" w:customStyle="1">
    <w:name w:val="页脚1"/>
    <w:basedOn w:val="670"/>
    <w:link w:val="899"/>
    <w:uiPriority w:val="0"/>
    <w:qFormat/>
    <w:pPr>
      <w:jc w:val="left"/>
      <w:tabs>
        <w:tab w:val="center" w:pos="4153" w:leader="none"/>
        <w:tab w:val="right" w:pos="8306" w:leader="none"/>
      </w:tabs>
    </w:pPr>
    <w:rPr>
      <w:sz w:val="18"/>
      <w:szCs w:val="18"/>
    </w:rPr>
  </w:style>
  <w:style w:type="character" w:styleId="899" w:customStyle="1">
    <w:name w:val="页脚 Char"/>
    <w:link w:val="898"/>
    <w:uiPriority w:val="0"/>
    <w:qFormat/>
    <w:rPr>
      <w:rFonts w:ascii="Times New Roman" w:hAnsi="Times New Roman" w:eastAsia="宋体" w:cs="Times New Roman"/>
      <w:sz w:val="18"/>
      <w:szCs w:val="18"/>
    </w:rPr>
  </w:style>
  <w:style w:type="paragraph" w:styleId="900" w:customStyle="1">
    <w:name w:val="页眉1"/>
    <w:basedOn w:val="670"/>
    <w:link w:val="901"/>
    <w:uiPriority w:val="99"/>
    <w:qFormat/>
    <w:pPr>
      <w:jc w:val="center"/>
      <w:tabs>
        <w:tab w:val="center" w:pos="4153" w:leader="none"/>
        <w:tab w:val="right" w:pos="8306" w:leader="none"/>
      </w:tabs>
      <w:pBdr>
        <w:bottom w:val="single" w:color="000000" w:sz="6" w:space="1"/>
      </w:pBdr>
    </w:pPr>
    <w:rPr>
      <w:sz w:val="18"/>
      <w:szCs w:val="18"/>
    </w:rPr>
  </w:style>
  <w:style w:type="character" w:styleId="901" w:customStyle="1">
    <w:name w:val="页眉 Char"/>
    <w:link w:val="900"/>
    <w:uiPriority w:val="99"/>
    <w:qFormat/>
    <w:rPr>
      <w:rFonts w:ascii="Times New Roman" w:hAnsi="Times New Roman" w:eastAsia="宋体" w:cs="Times New Roman"/>
      <w:sz w:val="18"/>
      <w:szCs w:val="18"/>
    </w:rPr>
  </w:style>
  <w:style w:type="paragraph" w:styleId="902" w:customStyle="1">
    <w:name w:val="目录 11"/>
    <w:basedOn w:val="670"/>
    <w:next w:val="670"/>
    <w:uiPriority w:val="0"/>
    <w:semiHidden/>
    <w:qFormat/>
    <w:pPr>
      <w:jc w:val="left"/>
      <w:spacing w:before="120" w:after="120" w:line="400" w:lineRule="exact"/>
      <w:tabs>
        <w:tab w:val="right" w:pos="8720" w:leader="dot"/>
      </w:tabs>
    </w:pPr>
    <w:rPr>
      <w:rFonts w:ascii="宋体" w:hAnsi="宋体"/>
      <w:caps/>
      <w:sz w:val="24"/>
      <w:szCs w:val="24"/>
    </w:rPr>
  </w:style>
  <w:style w:type="paragraph" w:styleId="903" w:customStyle="1">
    <w:name w:val="目录 41"/>
    <w:basedOn w:val="670"/>
    <w:next w:val="670"/>
    <w:uiPriority w:val="0"/>
    <w:semiHidden/>
    <w:qFormat/>
    <w:pPr>
      <w:ind w:left="630"/>
      <w:jc w:val="left"/>
    </w:pPr>
  </w:style>
  <w:style w:type="paragraph" w:styleId="904" w:customStyle="1">
    <w:name w:val="列表1"/>
    <w:basedOn w:val="670"/>
    <w:uiPriority w:val="0"/>
    <w:qFormat/>
    <w:pPr>
      <w:ind w:left="200" w:hanging="200"/>
    </w:pPr>
  </w:style>
  <w:style w:type="paragraph" w:styleId="905" w:customStyle="1">
    <w:name w:val="目录 61"/>
    <w:basedOn w:val="670"/>
    <w:next w:val="670"/>
    <w:uiPriority w:val="0"/>
    <w:semiHidden/>
    <w:qFormat/>
    <w:pPr>
      <w:ind w:left="1050"/>
      <w:jc w:val="left"/>
    </w:pPr>
  </w:style>
  <w:style w:type="paragraph" w:styleId="906" w:customStyle="1">
    <w:name w:val="正文文本缩进 31"/>
    <w:basedOn w:val="670"/>
    <w:link w:val="907"/>
    <w:uiPriority w:val="0"/>
    <w:qFormat/>
    <w:pPr>
      <w:ind w:left="645" w:firstLine="645"/>
    </w:pPr>
    <w:rPr>
      <w:rFonts w:ascii="Arial" w:hAnsi="Arial" w:eastAsia="仿宋_GB2312"/>
      <w:color w:val="ffff00"/>
      <w:sz w:val="32"/>
      <w:szCs w:val="32"/>
    </w:rPr>
  </w:style>
  <w:style w:type="character" w:styleId="907" w:customStyle="1">
    <w:name w:val="正文文本缩进 3 Char"/>
    <w:link w:val="906"/>
    <w:uiPriority w:val="0"/>
    <w:qFormat/>
    <w:rPr>
      <w:rFonts w:ascii="Arial" w:hAnsi="Arial" w:eastAsia="仿宋_GB2312" w:cs="Arial"/>
      <w:color w:val="ffff00"/>
      <w:sz w:val="32"/>
      <w:szCs w:val="32"/>
    </w:rPr>
  </w:style>
  <w:style w:type="paragraph" w:styleId="908" w:customStyle="1">
    <w:name w:val="图表目录1"/>
    <w:basedOn w:val="670"/>
    <w:next w:val="670"/>
    <w:uiPriority w:val="0"/>
    <w:semiHidden/>
    <w:qFormat/>
    <w:pPr>
      <w:ind w:left="840" w:hanging="420"/>
    </w:pPr>
  </w:style>
  <w:style w:type="paragraph" w:styleId="909" w:customStyle="1">
    <w:name w:val="目录 21"/>
    <w:basedOn w:val="670"/>
    <w:next w:val="670"/>
    <w:uiPriority w:val="0"/>
    <w:semiHidden/>
    <w:qFormat/>
    <w:pPr>
      <w:ind w:left="210"/>
      <w:jc w:val="left"/>
    </w:pPr>
    <w:rPr>
      <w:smallCaps/>
      <w:szCs w:val="24"/>
    </w:rPr>
  </w:style>
  <w:style w:type="paragraph" w:styleId="910" w:customStyle="1">
    <w:name w:val="目录 91"/>
    <w:basedOn w:val="670"/>
    <w:next w:val="670"/>
    <w:uiPriority w:val="0"/>
    <w:semiHidden/>
    <w:qFormat/>
    <w:pPr>
      <w:ind w:left="1680"/>
      <w:jc w:val="left"/>
    </w:pPr>
  </w:style>
  <w:style w:type="paragraph" w:styleId="911" w:customStyle="1">
    <w:name w:val="正文文本 21"/>
    <w:basedOn w:val="670"/>
    <w:link w:val="912"/>
    <w:uiPriority w:val="0"/>
    <w:qFormat/>
    <w:pPr>
      <w:jc w:val="center"/>
      <w:widowControl/>
    </w:pPr>
    <w:rPr>
      <w:rFonts w:ascii="楷体_GB2312" w:eastAsia="楷体_GB2312"/>
      <w:sz w:val="28"/>
      <w:szCs w:val="28"/>
    </w:rPr>
  </w:style>
  <w:style w:type="character" w:styleId="912" w:customStyle="1">
    <w:name w:val="正文文本 2 Char"/>
    <w:link w:val="911"/>
    <w:uiPriority w:val="0"/>
    <w:qFormat/>
    <w:rPr>
      <w:rFonts w:ascii="楷体_GB2312" w:hAnsi="Times New Roman" w:eastAsia="楷体_GB2312" w:cs="Times New Roman"/>
      <w:sz w:val="28"/>
      <w:szCs w:val="28"/>
    </w:rPr>
  </w:style>
  <w:style w:type="paragraph" w:styleId="913" w:customStyle="1">
    <w:name w:val="HTML 预设格式1"/>
    <w:basedOn w:val="670"/>
    <w:link w:val="91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14" w:customStyle="1">
    <w:name w:val="HTML 预设格式 Char"/>
    <w:basedOn w:val="861"/>
    <w:link w:val="913"/>
    <w:uiPriority w:val="99"/>
    <w:semiHidden/>
    <w:qFormat/>
    <w:rPr>
      <w:rFonts w:ascii="宋体" w:hAnsi="宋体" w:cs="宋体"/>
      <w:sz w:val="24"/>
      <w:szCs w:val="24"/>
    </w:rPr>
  </w:style>
  <w:style w:type="paragraph" w:styleId="915" w:customStyle="1">
    <w:name w:val="普通(网站)1"/>
    <w:basedOn w:val="670"/>
    <w:uiPriority w:val="99"/>
    <w:qFormat/>
    <w:pPr>
      <w:jc w:val="left"/>
      <w:spacing w:before="100" w:beforeAutospacing="1" w:after="100" w:afterAutospacing="1"/>
      <w:widowControl/>
    </w:pPr>
    <w:rPr>
      <w:rFonts w:ascii="宋体" w:hAnsi="宋体" w:cs="宋体"/>
      <w:sz w:val="24"/>
      <w:szCs w:val="24"/>
    </w:rPr>
  </w:style>
  <w:style w:type="paragraph" w:styleId="916" w:customStyle="1">
    <w:name w:val="索引 11"/>
    <w:basedOn w:val="670"/>
    <w:next w:val="670"/>
    <w:uiPriority w:val="0"/>
    <w:semiHidden/>
    <w:qFormat/>
    <w:pPr>
      <w:spacing w:line="240" w:lineRule="atLeast"/>
    </w:pPr>
    <w:rPr>
      <w:b/>
      <w:bCs/>
    </w:rPr>
  </w:style>
  <w:style w:type="paragraph" w:styleId="917" w:customStyle="1">
    <w:name w:val="批注主题1"/>
    <w:basedOn w:val="877"/>
    <w:next w:val="877"/>
    <w:link w:val="918"/>
    <w:uiPriority w:val="0"/>
    <w:semiHidden/>
    <w:qFormat/>
    <w:rPr>
      <w:b/>
      <w:bCs/>
    </w:rPr>
  </w:style>
  <w:style w:type="character" w:styleId="918" w:customStyle="1">
    <w:name w:val="批注主题 Char"/>
    <w:link w:val="917"/>
    <w:uiPriority w:val="0"/>
    <w:semiHidden/>
    <w:qFormat/>
    <w:rPr>
      <w:rFonts w:ascii="Times New Roman" w:hAnsi="Times New Roman" w:eastAsia="宋体" w:cs="Times New Roman"/>
      <w:b/>
      <w:bCs/>
      <w:szCs w:val="21"/>
    </w:rPr>
  </w:style>
  <w:style w:type="paragraph" w:styleId="919" w:customStyle="1">
    <w:name w:val="正文首行缩进1"/>
    <w:basedOn w:val="670"/>
    <w:link w:val="920"/>
    <w:uiPriority w:val="0"/>
    <w:qFormat/>
    <w:pPr>
      <w:ind w:firstLine="200"/>
      <w:spacing w:line="360" w:lineRule="auto"/>
    </w:pPr>
    <w:rPr>
      <w:rFonts w:ascii="仿宋_GB2312" w:eastAsia="仿宋_GB2312"/>
      <w:sz w:val="30"/>
      <w:szCs w:val="30"/>
    </w:rPr>
  </w:style>
  <w:style w:type="character" w:styleId="920" w:customStyle="1">
    <w:name w:val="正文首行缩进 Char"/>
    <w:link w:val="919"/>
    <w:uiPriority w:val="0"/>
    <w:qFormat/>
    <w:rPr>
      <w:rFonts w:ascii="仿宋_GB2312" w:hAnsi="Times New Roman" w:eastAsia="仿宋_GB2312" w:cs="Times New Roman"/>
      <w:sz w:val="30"/>
      <w:szCs w:val="30"/>
    </w:rPr>
  </w:style>
  <w:style w:type="paragraph" w:styleId="921" w:customStyle="1">
    <w:name w:val="正文首行缩进 21"/>
    <w:basedOn w:val="884"/>
    <w:link w:val="922"/>
    <w:uiPriority w:val="0"/>
    <w:qFormat/>
    <w:pPr>
      <w:ind w:firstLine="420"/>
      <w:spacing w:line="360" w:lineRule="auto"/>
    </w:pPr>
    <w:rPr>
      <w:rFonts w:ascii="宋体" w:hAnsi="宋体" w:eastAsia="宋体"/>
      <w:szCs w:val="20"/>
    </w:rPr>
  </w:style>
  <w:style w:type="character" w:styleId="922" w:customStyle="1">
    <w:name w:val="正文首行缩进 2 Char"/>
    <w:link w:val="921"/>
    <w:uiPriority w:val="0"/>
    <w:qFormat/>
    <w:rPr>
      <w:rFonts w:ascii="宋体" w:hAnsi="宋体" w:eastAsia="宋体" w:cs="Times New Roman"/>
      <w:sz w:val="32"/>
      <w:szCs w:val="20"/>
    </w:rPr>
  </w:style>
  <w:style w:type="table" w:styleId="923" w:customStyle="1">
    <w:name w:val="网格型1"/>
    <w:basedOn w:val="862"/>
    <w:uiPriority w:val="0"/>
    <w:qFormat/>
    <w:pPr>
      <w:jc w:val="both"/>
      <w:widowControl w:val="off"/>
    </w:pPr>
    <w:rPr>
      <w:rFonts w:ascii="Times New Roman" w:hAnsi="Times New Roman" w:eastAsia="宋体" w:cs="Times New Roman"/>
      <w:sz w:val="20"/>
      <w:szCs w:val="20"/>
    </w:rPr>
    <w:tblPr/>
  </w:style>
  <w:style w:type="character" w:styleId="924" w:customStyle="1">
    <w:name w:val="要点1"/>
    <w:link w:val="670"/>
    <w:uiPriority w:val="0"/>
    <w:qFormat/>
    <w:rPr>
      <w:b/>
      <w:bCs/>
    </w:rPr>
  </w:style>
  <w:style w:type="character" w:styleId="925" w:customStyle="1">
    <w:name w:val="页码1"/>
    <w:link w:val="670"/>
    <w:uiPriority w:val="0"/>
    <w:qFormat/>
  </w:style>
  <w:style w:type="character" w:styleId="926" w:customStyle="1">
    <w:name w:val="已访问的超链接1"/>
    <w:link w:val="670"/>
    <w:uiPriority w:val="0"/>
    <w:qFormat/>
    <w:rPr>
      <w:color w:val="800080"/>
      <w:u w:val="single"/>
    </w:rPr>
  </w:style>
  <w:style w:type="character" w:styleId="927" w:customStyle="1">
    <w:name w:val="HTML 打字机1"/>
    <w:link w:val="670"/>
    <w:uiPriority w:val="99"/>
    <w:qFormat/>
    <w:rPr>
      <w:rFonts w:ascii="宋体" w:hAnsi="宋体" w:eastAsia="宋体" w:cs="宋体"/>
      <w:sz w:val="24"/>
      <w:szCs w:val="24"/>
    </w:rPr>
  </w:style>
  <w:style w:type="character" w:styleId="928" w:customStyle="1">
    <w:name w:val="超链接1"/>
    <w:link w:val="670"/>
    <w:uiPriority w:val="0"/>
    <w:qFormat/>
    <w:rPr>
      <w:color w:val="0000ff"/>
      <w:u w:val="single"/>
    </w:rPr>
  </w:style>
  <w:style w:type="character" w:styleId="929" w:customStyle="1">
    <w:name w:val="批注引用1"/>
    <w:link w:val="670"/>
    <w:uiPriority w:val="0"/>
    <w:semiHidden/>
    <w:qFormat/>
    <w:rPr>
      <w:sz w:val="21"/>
      <w:szCs w:val="21"/>
    </w:rPr>
  </w:style>
  <w:style w:type="character" w:styleId="930" w:customStyle="1">
    <w:name w:val="font5 Char"/>
    <w:link w:val="670"/>
    <w:uiPriority w:val="0"/>
    <w:qFormat/>
    <w:rPr>
      <w:rFonts w:ascii="宋体" w:hAnsi="宋体" w:eastAsia="宋体"/>
      <w:sz w:val="28"/>
      <w:szCs w:val="28"/>
      <w:lang w:val="en-US" w:eastAsia="zh-CN" w:bidi="ar-SA"/>
    </w:rPr>
  </w:style>
  <w:style w:type="character" w:styleId="931" w:customStyle="1">
    <w:name w:val="二级目录 Char"/>
    <w:link w:val="932"/>
    <w:uiPriority w:val="0"/>
    <w:qFormat/>
    <w:rPr>
      <w:b/>
      <w:sz w:val="30"/>
      <w:szCs w:val="28"/>
      <w:lang w:val="en-US" w:eastAsia="zh-CN" w:bidi="ar-SA"/>
    </w:rPr>
  </w:style>
  <w:style w:type="paragraph" w:styleId="932" w:customStyle="1">
    <w:name w:val="二级目录"/>
    <w:next w:val="670"/>
    <w:link w:val="93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3" w:customStyle="1">
    <w:name w:val="列出段落 Char"/>
    <w:link w:val="934"/>
    <w:uiPriority w:val="0"/>
    <w:qFormat/>
    <w:rPr>
      <w:rFonts w:ascii="Calibri" w:hAnsi="Calibri"/>
      <w:sz w:val="24"/>
      <w:szCs w:val="24"/>
      <w:lang w:eastAsia="en-US" w:bidi="en-US"/>
    </w:rPr>
  </w:style>
  <w:style w:type="paragraph" w:styleId="934" w:customStyle="1">
    <w:name w:val="列出段落1"/>
    <w:basedOn w:val="670"/>
    <w:link w:val="933"/>
    <w:uiPriority w:val="0"/>
    <w:qFormat/>
    <w:pPr>
      <w:contextualSpacing/>
      <w:ind w:left="720"/>
      <w:jc w:val="left"/>
      <w:widowControl/>
    </w:pPr>
    <w:rPr>
      <w:rFonts w:ascii="Calibri" w:hAnsi="Calibri"/>
      <w:sz w:val="24"/>
      <w:szCs w:val="24"/>
      <w:lang w:eastAsia="en-US" w:bidi="en-US"/>
    </w:rPr>
  </w:style>
  <w:style w:type="paragraph" w:styleId="935" w:customStyle="1">
    <w:name w:val="Body Text(ch)"/>
    <w:basedOn w:val="670"/>
    <w:next w:val="881"/>
    <w:uiPriority w:val="0"/>
    <w:qFormat/>
    <w:pPr>
      <w:spacing w:after="120"/>
    </w:pPr>
    <w:rPr>
      <w:rFonts w:ascii="宋体" w:hAnsi="Arial"/>
      <w:bCs/>
      <w:iCs/>
      <w:szCs w:val="24"/>
    </w:rPr>
  </w:style>
  <w:style w:type="paragraph" w:styleId="936" w:customStyle="1">
    <w:name w:val="xl27"/>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7" w:customStyle="1">
    <w:name w:val="xl2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8" w:customStyle="1">
    <w:name w:val="Char"/>
    <w:basedOn w:val="670"/>
    <w:uiPriority w:val="0"/>
    <w:qFormat/>
    <w:pPr>
      <w:ind w:firstLine="200"/>
      <w:tabs>
        <w:tab w:val="left" w:pos="360" w:leader="none"/>
      </w:tabs>
    </w:pPr>
    <w:rPr>
      <w:sz w:val="28"/>
      <w:szCs w:val="30"/>
    </w:rPr>
  </w:style>
  <w:style w:type="paragraph" w:styleId="939" w:customStyle="1">
    <w:name w:val=" Char"/>
    <w:basedOn w:val="875"/>
    <w:uiPriority w:val="0"/>
    <w:qFormat/>
    <w:rPr>
      <w:rFonts w:ascii="Tahoma" w:hAnsi="Tahoma"/>
      <w:sz w:val="24"/>
      <w:szCs w:val="24"/>
    </w:rPr>
  </w:style>
  <w:style w:type="paragraph" w:styleId="940" w:customStyle="1">
    <w:name w:val="普通正文"/>
    <w:basedOn w:val="670"/>
    <w:uiPriority w:val="0"/>
    <w:qFormat/>
    <w:pPr>
      <w:ind w:firstLine="480"/>
      <w:jc w:val="left"/>
      <w:spacing w:before="120" w:after="120" w:line="360" w:lineRule="auto"/>
    </w:pPr>
    <w:rPr>
      <w:rFonts w:ascii="Arial" w:hAnsi="Arial"/>
      <w:sz w:val="24"/>
      <w:szCs w:val="24"/>
    </w:rPr>
  </w:style>
  <w:style w:type="paragraph" w:styleId="941" w:customStyle="1">
    <w:name w:val="table_lines"/>
    <w:basedOn w:val="670"/>
    <w:uiPriority w:val="0"/>
    <w:qFormat/>
    <w:pPr>
      <w:jc w:val="left"/>
      <w:widowControl/>
    </w:pPr>
    <w:rPr>
      <w:sz w:val="20"/>
      <w:szCs w:val="20"/>
      <w:lang w:val="de-DE" w:eastAsia="de-DE"/>
    </w:rPr>
  </w:style>
  <w:style w:type="paragraph" w:styleId="94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3" w:customStyle="1">
    <w:name w:val="font7"/>
    <w:basedOn w:val="670"/>
    <w:uiPriority w:val="0"/>
    <w:qFormat/>
    <w:pPr>
      <w:jc w:val="left"/>
      <w:spacing w:before="100" w:beforeAutospacing="1" w:after="100" w:afterAutospacing="1"/>
      <w:widowControl/>
    </w:pPr>
    <w:rPr>
      <w:rFonts w:hint="eastAsia" w:ascii="宋体" w:hAnsi="宋体"/>
      <w:sz w:val="18"/>
      <w:szCs w:val="18"/>
    </w:rPr>
  </w:style>
  <w:style w:type="paragraph" w:styleId="944" w:customStyle="1">
    <w:name w:val=" Char Char Char Char"/>
    <w:basedOn w:val="875"/>
    <w:uiPriority w:val="0"/>
    <w:qFormat/>
    <w:pPr>
      <w:spacing w:line="360" w:lineRule="auto"/>
    </w:pPr>
    <w:rPr>
      <w:rFonts w:ascii="Tahoma" w:hAnsi="Tahoma"/>
      <w:sz w:val="24"/>
      <w:szCs w:val="24"/>
    </w:rPr>
  </w:style>
  <w:style w:type="paragraph" w:styleId="945" w:customStyle="1">
    <w:name w:val="列出段落"/>
    <w:basedOn w:val="670"/>
    <w:uiPriority w:val="99"/>
    <w:qFormat/>
    <w:pPr>
      <w:contextualSpacing/>
      <w:ind w:left="720"/>
      <w:jc w:val="left"/>
      <w:widowControl/>
    </w:pPr>
    <w:rPr>
      <w:rFonts w:ascii="Calibri" w:hAnsi="Calibri"/>
      <w:sz w:val="24"/>
      <w:szCs w:val="24"/>
      <w:lang w:eastAsia="en-US" w:bidi="en-US"/>
    </w:rPr>
  </w:style>
  <w:style w:type="paragraph" w:styleId="946" w:customStyle="1">
    <w:name w:val="4"/>
    <w:basedOn w:val="670"/>
    <w:next w:val="906"/>
    <w:uiPriority w:val="0"/>
    <w:qFormat/>
    <w:pPr>
      <w:ind w:firstLine="420"/>
      <w:spacing w:line="360" w:lineRule="auto"/>
    </w:pPr>
    <w:rPr>
      <w:color w:val="ff0000"/>
      <w:sz w:val="24"/>
      <w:szCs w:val="24"/>
    </w:rPr>
  </w:style>
  <w:style w:type="paragraph" w:styleId="947" w:customStyle="1">
    <w:name w:val="普通 (Web)"/>
    <w:basedOn w:val="670"/>
    <w:uiPriority w:val="0"/>
    <w:qFormat/>
    <w:pPr>
      <w:jc w:val="left"/>
      <w:spacing w:before="100" w:beforeAutospacing="1" w:after="100" w:afterAutospacing="1"/>
      <w:widowControl/>
    </w:pPr>
    <w:rPr>
      <w:rFonts w:ascii="宋体" w:hAnsi="宋体"/>
      <w:sz w:val="24"/>
      <w:szCs w:val="24"/>
    </w:rPr>
  </w:style>
  <w:style w:type="paragraph" w:styleId="948" w:customStyle="1">
    <w:name w:val=" Char Char Char Char Char Char Char Char Char Char"/>
    <w:basedOn w:val="670"/>
    <w:uiPriority w:val="0"/>
    <w:qFormat/>
    <w:pPr>
      <w:spacing w:line="360" w:lineRule="auto"/>
    </w:pPr>
    <w:rPr>
      <w:sz w:val="24"/>
      <w:szCs w:val="20"/>
    </w:rPr>
  </w:style>
  <w:style w:type="paragraph" w:styleId="949" w:customStyle="1">
    <w:name w:val="样式1"/>
    <w:basedOn w:val="670"/>
    <w:uiPriority w:val="0"/>
    <w:qFormat/>
    <w:pPr>
      <w:numPr>
        <w:ilvl w:val="0"/>
        <w:numId w:val="3"/>
      </w:numPr>
    </w:pPr>
    <w:rPr>
      <w:rFonts w:ascii="宋体" w:hAnsi="宋体"/>
    </w:rPr>
  </w:style>
  <w:style w:type="paragraph" w:styleId="950" w:customStyle="1">
    <w:name w:val="font6"/>
    <w:basedOn w:val="670"/>
    <w:uiPriority w:val="0"/>
    <w:qFormat/>
    <w:pPr>
      <w:jc w:val="left"/>
      <w:spacing w:before="100" w:beforeAutospacing="1" w:after="100" w:afterAutospacing="1"/>
      <w:widowControl/>
    </w:pPr>
    <w:rPr>
      <w:rFonts w:hint="eastAsia" w:ascii="宋体" w:hAnsi="宋体"/>
      <w:sz w:val="28"/>
      <w:szCs w:val="28"/>
      <w:u w:val="single"/>
    </w:rPr>
  </w:style>
  <w:style w:type="paragraph" w:styleId="951" w:customStyle="1">
    <w:name w:val="xl25"/>
    <w:basedOn w:val="6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2" w:customStyle="1">
    <w:name w:val="图标"/>
    <w:basedOn w:val="670"/>
    <w:next w:val="67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3" w:customStyle="1">
    <w:name w:val="标题3"/>
    <w:basedOn w:val="670"/>
    <w:next w:val="670"/>
    <w:uiPriority w:val="0"/>
    <w:qFormat/>
    <w:pPr>
      <w:ind w:firstLine="624"/>
      <w:spacing w:line="590" w:lineRule="atLeast"/>
    </w:pPr>
    <w:rPr>
      <w:rFonts w:ascii="方正黑体_GBK" w:eastAsia="方正黑体_GBK"/>
      <w:sz w:val="32"/>
      <w:szCs w:val="32"/>
    </w:rPr>
  </w:style>
  <w:style w:type="paragraph" w:styleId="954" w:customStyle="1">
    <w:name w:val="xl24"/>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customStyle="1">
    <w:name w:val="xl29"/>
    <w:basedOn w:val="67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6" w:customStyle="1">
    <w:name w:val="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57" w:customStyle="1">
    <w:name w:val="xl28"/>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8" w:customStyle="1">
    <w:name w:val=" 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59" w:customStyle="1">
    <w:name w:val="xl30"/>
    <w:basedOn w:val="670"/>
    <w:uiPriority w:val="0"/>
    <w:qFormat/>
    <w:pPr>
      <w:jc w:val="center"/>
      <w:spacing w:before="100" w:beforeAutospacing="1" w:after="100" w:afterAutospacing="1"/>
      <w:widowControl/>
    </w:pPr>
    <w:rPr>
      <w:rFonts w:ascii="宋体" w:hAnsi="宋体"/>
      <w:b/>
      <w:bCs/>
      <w:sz w:val="36"/>
      <w:szCs w:val="36"/>
    </w:rPr>
  </w:style>
  <w:style w:type="paragraph" w:styleId="960" w:customStyle="1">
    <w:name w:val="Char Char Char Char"/>
    <w:basedOn w:val="875"/>
    <w:uiPriority w:val="0"/>
    <w:qFormat/>
    <w:pPr>
      <w:spacing w:line="360" w:lineRule="auto"/>
    </w:pPr>
    <w:rPr>
      <w:rFonts w:ascii="Tahoma" w:hAnsi="Tahoma"/>
      <w:sz w:val="24"/>
      <w:szCs w:val="24"/>
    </w:rPr>
  </w:style>
  <w:style w:type="paragraph" w:styleId="961" w:customStyle="1">
    <w:name w:val="table_1stline"/>
    <w:basedOn w:val="670"/>
    <w:uiPriority w:val="0"/>
    <w:qFormat/>
    <w:pPr>
      <w:jc w:val="left"/>
      <w:spacing w:before="120"/>
      <w:widowControl/>
    </w:pPr>
    <w:rPr>
      <w:bCs/>
      <w:sz w:val="20"/>
      <w:szCs w:val="20"/>
      <w:lang w:val="de-DE" w:eastAsia="de-DE"/>
    </w:rPr>
  </w:style>
  <w:style w:type="paragraph" w:styleId="962" w:customStyle="1">
    <w:name w:val="font5"/>
    <w:basedOn w:val="670"/>
    <w:uiPriority w:val="0"/>
    <w:qFormat/>
    <w:pPr>
      <w:jc w:val="left"/>
      <w:spacing w:before="100" w:beforeAutospacing="1" w:after="100" w:afterAutospacing="1"/>
      <w:widowControl/>
    </w:pPr>
    <w:rPr>
      <w:rFonts w:hint="eastAsia" w:ascii="宋体" w:hAnsi="宋体"/>
      <w:sz w:val="28"/>
      <w:szCs w:val="28"/>
    </w:rPr>
  </w:style>
  <w:style w:type="paragraph" w:styleId="963" w:customStyle="1">
    <w:name w:val="标题1"/>
    <w:basedOn w:val="670"/>
    <w:next w:val="6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6" w:customStyle="1">
    <w:name w:val="普通文字"/>
    <w:basedOn w:val="670"/>
    <w:next w:val="670"/>
    <w:uiPriority w:val="99"/>
    <w:qFormat/>
    <w:rPr>
      <w:rFonts w:ascii="宋体" w:hAnsi="Times New Roman" w:eastAsia="宋体" w:cs="Times New Roman"/>
      <w:sz w:val="24"/>
      <w:szCs w:val="20"/>
      <w:u w:val="none"/>
    </w:rPr>
  </w:style>
  <w:style w:type="paragraph" w:styleId="967" w:customStyle="1">
    <w:name w:val="目录 111"/>
    <w:basedOn w:val="670"/>
    <w:next w:val="670"/>
    <w:uiPriority w:val="39"/>
    <w:unhideWhenUsed/>
    <w:qFormat/>
    <w:pPr>
      <w:jc w:val="left"/>
      <w:spacing w:after="100" w:line="259" w:lineRule="auto"/>
      <w:widowControl/>
    </w:pPr>
    <w:rPr>
      <w:rFonts w:ascii="Calibri" w:hAnsi="Calibri" w:eastAsia="宋体"/>
      <w:sz w:val="22"/>
      <w:szCs w:val="22"/>
    </w:rPr>
  </w:style>
  <w:style w:type="table" w:styleId="968" w:customStyle="1">
    <w:name w:val="Table Normal"/>
    <w:uiPriority w:val="0"/>
    <w:unhideWhenUsed/>
    <w:qFormat/>
    <w:tblPr/>
  </w:style>
  <w:style w:type="numbering" w:styleId="257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70</cp:revision>
  <dcterms:created xsi:type="dcterms:W3CDTF">2023-03-16T02:16:00Z</dcterms:created>
  <dcterms:modified xsi:type="dcterms:W3CDTF">2026-07-16T03:14:31Z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eyJoZGlkIjoiMTIwMTFkOWI4ZjMxZDg1NGRmZTFkODc5ZjI4ZTlhOGYiLCJ1c2VySWQiOiIxNjAyNjc0NDYyIn0=</vt:lpwstr>
  </property>
  <property fmtid="{D5CDD505-2E9C-101B-9397-08002B2CF9AE}" pid="3" name="KSOProductBuildVer">
    <vt:lpwstr>2052-12.1.0.26895</vt:lpwstr>
  </property>
  <property fmtid="{D5CDD505-2E9C-101B-9397-08002B2CF9AE}" pid="4" name="ICV">
    <vt:lpwstr>F0ED58A4F83F4AFEB1431F3D9C11A103_12</vt:lpwstr>
  </property>
</Properties>
</file>