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jc w:val="center"/>
        <w:rPr>
          <w:rFonts w:ascii="仿宋" w:hAnsi="仿宋" w:eastAsia="仿宋" w:cs="仿宋"/>
          <w:b/>
          <w:color w:val="000000"/>
          <w:spacing w:val="76"/>
          <w:sz w:val="96"/>
          <w:szCs w:val="96"/>
        </w:rPr>
      </w:pPr>
      <w:r>
        <w:rPr>
          <w:rFonts w:ascii="仿宋" w:hAnsi="仿宋" w:eastAsia="仿宋" w:cs="仿宋"/>
          <w:b/>
          <w:color w:val="000000"/>
          <w:spacing w:val="76"/>
          <w:sz w:val="96"/>
          <w:szCs w:val="96"/>
        </w:rPr>
      </w:r>
      <w:r/>
    </w:p>
    <w:p>
      <w:pPr>
        <w:pStyle w:val="863"/>
        <w:rPr>
          <w:rFonts w:hint="eastAsia"/>
          <w:color w:val="000000"/>
        </w:rPr>
      </w:pPr>
      <w:r>
        <w:rPr>
          <w:rFonts w:hint="eastAsia"/>
          <w:color w:val="000000"/>
        </w:rPr>
      </w:r>
      <w:r/>
    </w:p>
    <w:p>
      <w:pPr>
        <w:pStyle w:val="795"/>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招</w:t>
      </w:r>
      <w:r>
        <w:rPr>
          <w:rFonts w:hint="eastAsia" w:ascii="仿宋" w:hAnsi="仿宋" w:eastAsia="仿宋" w:cs="仿宋"/>
          <w:b/>
          <w:color w:val="000000"/>
          <w:spacing w:val="76"/>
          <w:sz w:val="96"/>
          <w:szCs w:val="96"/>
        </w:rPr>
      </w:r>
      <w:r/>
    </w:p>
    <w:p>
      <w:pPr>
        <w:pStyle w:val="795"/>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标</w:t>
      </w:r>
      <w:r>
        <w:rPr>
          <w:rFonts w:hint="eastAsia" w:ascii="仿宋" w:hAnsi="仿宋" w:eastAsia="仿宋" w:cs="仿宋"/>
          <w:b/>
          <w:color w:val="000000"/>
          <w:spacing w:val="76"/>
          <w:sz w:val="96"/>
          <w:szCs w:val="96"/>
        </w:rPr>
      </w:r>
      <w:r/>
    </w:p>
    <w:p>
      <w:pPr>
        <w:pStyle w:val="795"/>
        <w:jc w:val="center"/>
        <w:rPr>
          <w:rFonts w:hint="eastAsia" w:ascii="仿宋" w:hAnsi="仿宋" w:eastAsia="仿宋" w:cs="仿宋"/>
          <w:b/>
          <w:color w:val="000000"/>
          <w:spacing w:val="76"/>
          <w:sz w:val="96"/>
          <w:szCs w:val="96"/>
        </w:rPr>
      </w:pPr>
      <w:r>
        <w:rPr>
          <w:rFonts w:hint="eastAsia" w:ascii="仿宋" w:hAnsi="仿宋" w:eastAsia="仿宋" w:cs="仿宋"/>
          <w:b/>
          <w:color w:val="000000"/>
          <w:spacing w:val="76"/>
          <w:sz w:val="96"/>
          <w:szCs w:val="96"/>
        </w:rPr>
        <w:t xml:space="preserve">文</w:t>
      </w:r>
      <w:r>
        <w:rPr>
          <w:rFonts w:hint="eastAsia" w:ascii="仿宋" w:hAnsi="仿宋" w:eastAsia="仿宋" w:cs="仿宋"/>
          <w:b/>
          <w:color w:val="000000"/>
          <w:spacing w:val="76"/>
          <w:sz w:val="96"/>
          <w:szCs w:val="96"/>
        </w:rPr>
      </w:r>
      <w:r/>
    </w:p>
    <w:p>
      <w:pPr>
        <w:pStyle w:val="795"/>
        <w:jc w:val="center"/>
        <w:rPr>
          <w:rFonts w:hint="eastAsia" w:ascii="仿宋" w:hAnsi="仿宋" w:eastAsia="仿宋" w:cs="仿宋"/>
          <w:color w:val="000000"/>
        </w:rPr>
      </w:pPr>
      <w:r>
        <w:rPr>
          <w:rFonts w:hint="eastAsia" w:ascii="仿宋" w:hAnsi="仿宋" w:eastAsia="仿宋" w:cs="仿宋"/>
          <w:b/>
          <w:color w:val="000000"/>
          <w:spacing w:val="76"/>
          <w:sz w:val="96"/>
          <w:szCs w:val="96"/>
        </w:rPr>
        <w:t xml:space="preserve">件</w:t>
      </w:r>
      <w:r>
        <w:rPr>
          <w:rFonts w:hint="eastAsia" w:ascii="仿宋" w:hAnsi="仿宋" w:eastAsia="仿宋" w:cs="仿宋"/>
          <w:color w:val="000000"/>
        </w:rPr>
        <w:t xml:space="preserve">                    </w:t>
      </w:r>
      <w:r>
        <w:rPr>
          <w:rFonts w:hint="eastAsia" w:ascii="仿宋" w:hAnsi="仿宋" w:eastAsia="仿宋" w:cs="仿宋"/>
          <w:color w:val="000000"/>
        </w:rPr>
      </w:r>
      <w:r/>
    </w:p>
    <w:p>
      <w:pPr>
        <w:pStyle w:val="795"/>
        <w:rPr>
          <w:rFonts w:hint="eastAsia" w:ascii="仿宋" w:hAnsi="仿宋" w:eastAsia="仿宋" w:cs="仿宋"/>
          <w:color w:val="000000"/>
        </w:rPr>
      </w:pPr>
      <w:r>
        <w:rPr>
          <w:rFonts w:hint="eastAsia" w:ascii="仿宋" w:hAnsi="仿宋" w:eastAsia="仿宋" w:cs="仿宋"/>
          <w:color w:val="000000"/>
        </w:rPr>
      </w:r>
      <w:r/>
    </w:p>
    <w:p>
      <w:pPr>
        <w:pStyle w:val="839"/>
        <w:rPr>
          <w:rFonts w:hint="eastAsia" w:ascii="仿宋" w:hAnsi="仿宋" w:eastAsia="仿宋" w:cs="仿宋"/>
          <w:color w:val="000000"/>
        </w:rPr>
      </w:pPr>
      <w:r>
        <w:rPr>
          <w:rFonts w:hint="eastAsia" w:ascii="仿宋" w:hAnsi="仿宋" w:eastAsia="仿宋" w:cs="仿宋"/>
          <w:color w:val="000000"/>
        </w:rPr>
      </w:r>
      <w:r/>
    </w:p>
    <w:p>
      <w:pPr>
        <w:pStyle w:val="795"/>
        <w:ind w:firstLine="900"/>
        <w:spacing w:line="360" w:lineRule="auto"/>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rPr>
        <w:t xml:space="preserve">项目名称：</w:t>
      </w:r>
      <w:r>
        <w:rPr>
          <w:rFonts w:hint="eastAsia" w:ascii="仿宋" w:hAnsi="仿宋" w:eastAsia="仿宋" w:cs="仿宋"/>
          <w:b/>
          <w:bCs/>
          <w:color w:val="000000"/>
          <w:sz w:val="32"/>
          <w:szCs w:val="32"/>
          <w:lang w:eastAsia="zh-CN"/>
        </w:rPr>
        <w:t xml:space="preserve">何桥镇人居环境综合管护</w:t>
      </w:r>
      <w:r>
        <w:rPr>
          <w:rFonts w:hint="eastAsia" w:ascii="仿宋" w:hAnsi="仿宋" w:eastAsia="仿宋" w:cs="仿宋"/>
          <w:b/>
          <w:bCs/>
          <w:color w:val="000000"/>
          <w:sz w:val="32"/>
          <w:szCs w:val="32"/>
          <w:lang w:eastAsia="zh-CN"/>
        </w:rPr>
      </w:r>
      <w:r/>
    </w:p>
    <w:p>
      <w:pPr>
        <w:pStyle w:val="795"/>
        <w:ind w:firstLine="900"/>
        <w:spacing w:line="360" w:lineRule="auto"/>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rPr>
        <w:t xml:space="preserve">项目编号：</w:t>
      </w:r>
      <w:r>
        <w:rPr>
          <w:rFonts w:hint="eastAsia" w:ascii="仿宋" w:hAnsi="仿宋" w:eastAsia="仿宋" w:cs="仿宋"/>
          <w:b/>
          <w:bCs/>
          <w:color w:val="000000"/>
          <w:sz w:val="32"/>
          <w:szCs w:val="32"/>
          <w:lang w:eastAsia="zh-CN"/>
        </w:rPr>
        <w:t xml:space="preserve">JSZC-320312-RCGC-G2026-0002</w:t>
      </w:r>
      <w:r>
        <w:rPr>
          <w:rFonts w:hint="eastAsia" w:ascii="仿宋" w:hAnsi="仿宋" w:eastAsia="仿宋" w:cs="仿宋"/>
          <w:b/>
          <w:bCs/>
          <w:color w:val="000000"/>
          <w:sz w:val="32"/>
          <w:szCs w:val="32"/>
          <w:lang w:eastAsia="zh-CN"/>
        </w:rPr>
      </w:r>
      <w:r/>
    </w:p>
    <w:p>
      <w:pPr>
        <w:pStyle w:val="795"/>
        <w:ind w:firstLine="90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采 购 人：徐州市铜山区何桥镇人民政府</w:t>
      </w:r>
      <w:r>
        <w:rPr>
          <w:rFonts w:hint="eastAsia" w:ascii="仿宋" w:hAnsi="仿宋" w:eastAsia="仿宋" w:cs="仿宋"/>
          <w:b/>
          <w:bCs/>
          <w:color w:val="000000"/>
          <w:sz w:val="32"/>
          <w:szCs w:val="32"/>
        </w:rPr>
      </w:r>
      <w:r/>
    </w:p>
    <w:p>
      <w:pPr>
        <w:pStyle w:val="795"/>
        <w:ind w:firstLine="90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招标代理机构：江苏荣初工程科技有限公司</w:t>
      </w:r>
      <w:r>
        <w:rPr>
          <w:rFonts w:hint="eastAsia" w:ascii="仿宋" w:hAnsi="仿宋" w:eastAsia="仿宋" w:cs="仿宋"/>
          <w:b/>
          <w:bCs/>
          <w:color w:val="000000"/>
          <w:sz w:val="32"/>
          <w:szCs w:val="32"/>
        </w:rPr>
      </w:r>
      <w:r/>
    </w:p>
    <w:p>
      <w:pPr>
        <w:pStyle w:val="795"/>
        <w:spacing w:line="360" w:lineRule="auto"/>
        <w:rPr>
          <w:rFonts w:hint="eastAsia" w:ascii="仿宋" w:hAnsi="仿宋" w:eastAsia="仿宋" w:cs="仿宋"/>
          <w:b/>
          <w:bCs/>
          <w:color w:val="000000"/>
          <w:sz w:val="32"/>
          <w:szCs w:val="28"/>
        </w:rPr>
      </w:pPr>
      <w:r>
        <w:rPr>
          <w:rFonts w:hint="eastAsia" w:ascii="仿宋" w:hAnsi="仿宋" w:eastAsia="仿宋" w:cs="仿宋"/>
          <w:b/>
          <w:bCs/>
          <w:color w:val="000000"/>
          <w:sz w:val="32"/>
          <w:szCs w:val="28"/>
        </w:rPr>
      </w:r>
      <w:r/>
    </w:p>
    <w:p>
      <w:pPr>
        <w:pStyle w:val="795"/>
        <w:jc w:val="center"/>
        <w:spacing w:line="360" w:lineRule="auto"/>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二〇二六年</w:t>
      </w:r>
      <w:r>
        <w:rPr>
          <w:rFonts w:hint="eastAsia" w:ascii="仿宋" w:hAnsi="仿宋" w:eastAsia="仿宋" w:cs="仿宋"/>
          <w:b/>
          <w:bCs/>
          <w:color w:val="000000"/>
          <w:sz w:val="36"/>
          <w:szCs w:val="36"/>
          <w:lang w:val="en-US" w:eastAsia="zh-CN"/>
        </w:rPr>
        <w:t xml:space="preserve">七</w:t>
      </w:r>
      <w:r>
        <w:rPr>
          <w:rFonts w:hint="eastAsia" w:ascii="仿宋" w:hAnsi="仿宋" w:eastAsia="仿宋" w:cs="仿宋"/>
          <w:b/>
          <w:bCs/>
          <w:color w:val="000000"/>
          <w:sz w:val="36"/>
          <w:szCs w:val="36"/>
        </w:rPr>
        <w:t xml:space="preserve">月</w:t>
      </w:r>
      <w:r>
        <w:rPr>
          <w:rFonts w:hint="eastAsia" w:ascii="仿宋" w:hAnsi="仿宋" w:eastAsia="仿宋" w:cs="仿宋"/>
          <w:b/>
          <w:bCs/>
          <w:color w:val="000000"/>
          <w:sz w:val="36"/>
          <w:szCs w:val="36"/>
        </w:rPr>
      </w:r>
      <w:r/>
    </w:p>
    <w:p>
      <w:pPr>
        <w:pStyle w:val="912"/>
        <w:spacing w:line="0" w:lineRule="atLeast"/>
        <w:rPr>
          <w:rFonts w:hint="eastAsia" w:ascii="仿宋" w:hAnsi="仿宋" w:eastAsia="仿宋" w:cs="仿宋"/>
          <w:b/>
          <w:color w:val="000000"/>
          <w:sz w:val="36"/>
        </w:rPr>
      </w:pPr>
      <w:r>
        <w:rPr>
          <w:rFonts w:hint="eastAsia" w:ascii="仿宋" w:hAnsi="仿宋" w:eastAsia="仿宋" w:cs="仿宋"/>
          <w:b/>
          <w:color w:val="000000"/>
          <w:sz w:val="36"/>
        </w:rPr>
      </w:r>
      <w:r/>
    </w:p>
    <w:p>
      <w:pPr>
        <w:pStyle w:val="913"/>
        <w:rPr>
          <w:rFonts w:hint="eastAsia" w:ascii="仿宋" w:hAnsi="仿宋" w:eastAsia="仿宋" w:cs="仿宋"/>
          <w:b/>
          <w:color w:val="000000"/>
          <w:sz w:val="36"/>
        </w:rPr>
      </w:pPr>
      <w:r>
        <w:rPr>
          <w:rFonts w:hint="eastAsia" w:ascii="仿宋" w:hAnsi="仿宋" w:eastAsia="仿宋" w:cs="仿宋"/>
          <w:b/>
          <w:color w:val="000000"/>
          <w:sz w:val="36"/>
        </w:rPr>
      </w:r>
      <w:r/>
    </w:p>
    <w:p>
      <w:pPr>
        <w:pStyle w:val="795"/>
        <w:jc w:val="center"/>
        <w:widowControl/>
        <w:rPr>
          <w:rFonts w:hint="eastAsia" w:ascii="仿宋" w:hAnsi="仿宋" w:eastAsia="仿宋" w:cs="仿宋"/>
          <w:b/>
          <w:color w:val="000000"/>
          <w:sz w:val="44"/>
        </w:rPr>
        <w:sectPr>
          <w:headerReference w:type="default" r:id="rId9"/>
          <w:footerReference w:type="even"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000000"/>
          <w:sz w:val="44"/>
        </w:rPr>
      </w:r>
      <w:r/>
    </w:p>
    <w:p>
      <w:pPr>
        <w:pStyle w:val="795"/>
        <w:jc w:val="center"/>
        <w:widowControl/>
        <w:rPr>
          <w:rFonts w:hint="eastAsia" w:ascii="仿宋" w:hAnsi="仿宋" w:eastAsia="仿宋" w:cs="仿宋"/>
          <w:b/>
          <w:color w:val="000000"/>
          <w:sz w:val="44"/>
        </w:rPr>
      </w:pP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795"/>
        <w:jc w:val="center"/>
        <w:spacing w:line="360" w:lineRule="auto"/>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1110"/>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b/>
          <w:color w:val="000000"/>
          <w:sz w:val="28"/>
          <w:szCs w:val="28"/>
        </w:rPr>
        <w:fldChar w:fldCharType="begin"/>
      </w:r>
      <w:r>
        <w:rPr>
          <w:rFonts w:hint="eastAsia" w:ascii="仿宋" w:hAnsi="仿宋" w:eastAsia="仿宋" w:cs="仿宋"/>
          <w:b/>
          <w:color w:val="000000"/>
          <w:sz w:val="28"/>
          <w:szCs w:val="28"/>
        </w:rPr>
        <w:instrText xml:space="preserve"> TOC \o "1-3" \h \z \u </w:instrText>
      </w:r>
      <w:r>
        <w:rPr>
          <w:rFonts w:hint="eastAsia" w:ascii="仿宋" w:hAnsi="仿宋" w:eastAsia="仿宋" w:cs="仿宋"/>
          <w:b/>
          <w:color w:val="000000"/>
          <w:sz w:val="28"/>
          <w:szCs w:val="28"/>
        </w:rPr>
        <w:fldChar w:fldCharType="separate"/>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"_Toc24257"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第一章  投标邀请</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_Toc24257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110"/>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"_Toc6866"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第二章  投标人须知</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_Toc6866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110"/>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"_Toc12259"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第三章  投标资料表</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_Toc12259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13</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110"/>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"_Toc9429" </w:instrText>
      </w:r>
      <w:r>
        <w:rPr>
          <w:rFonts w:hint="eastAsia" w:ascii="仿宋" w:hAnsi="仿宋" w:eastAsia="仿宋" w:cs="仿宋"/>
          <w:color w:val="000000"/>
          <w:sz w:val="28"/>
          <w:szCs w:val="28"/>
        </w:rPr>
        <w:fldChar w:fldCharType="separate"/>
      </w:r>
      <w:r>
        <w:rPr>
          <w:rFonts w:hint="eastAsia" w:ascii="仿宋" w:hAnsi="仿宋" w:eastAsia="仿宋" w:cs="仿宋"/>
          <w:bCs/>
          <w:color w:val="000000"/>
          <w:sz w:val="28"/>
          <w:szCs w:val="28"/>
        </w:rPr>
        <w:t xml:space="preserve">第四章 </w:t>
      </w:r>
      <w:r>
        <w:rPr>
          <w:rFonts w:hint="eastAsia" w:ascii="仿宋" w:hAnsi="仿宋" w:eastAsia="仿宋" w:cs="仿宋"/>
          <w:color w:val="000000"/>
          <w:sz w:val="28"/>
          <w:szCs w:val="28"/>
        </w:rPr>
        <w:t xml:space="preserve"> 评标标准</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_Toc9429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22</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110"/>
        <w:spacing w:line="480" w:lineRule="auto"/>
        <w:tabs>
          <w:tab w:val="right" w:pos="8306" w:leader="dot"/>
        </w:tabs>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"_Toc14780"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第五章  拟签订的合同文本</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_Toc14780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26</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1110"/>
        <w:spacing w:line="480" w:lineRule="auto"/>
        <w:tabs>
          <w:tab w:val="right" w:pos="8306" w:leader="dot"/>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"_Toc12097"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第六章  采购需求</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zh-CN"/>
        </w:rPr>
      </w:r>
      <w:r/>
    </w:p>
    <w:p>
      <w:pPr>
        <w:pStyle w:val="1110"/>
        <w:spacing w:line="480" w:lineRule="auto"/>
        <w:tabs>
          <w:tab w:val="right" w:pos="8306" w:leader="dot"/>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\l "_Toc17335"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第七章  投标文件相关格式</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val="en-US" w:eastAsia="zh-CN"/>
        </w:rPr>
      </w:r>
      <w:r/>
    </w:p>
    <w:p>
      <w:pPr>
        <w:pStyle w:val="795"/>
        <w:jc w:val="center"/>
        <w:spacing w:line="480" w:lineRule="auto"/>
        <w:rPr>
          <w:rFonts w:hint="eastAsia" w:ascii="仿宋" w:hAnsi="仿宋" w:eastAsia="仿宋" w:cs="仿宋"/>
          <w:b/>
          <w:color w:val="000000"/>
          <w:sz w:val="44"/>
          <w:szCs w:val="44"/>
        </w:rPr>
      </w:pPr>
      <w:r>
        <w:rPr>
          <w:rFonts w:hint="eastAsia" w:ascii="仿宋" w:hAnsi="仿宋" w:eastAsia="仿宋" w:cs="仿宋"/>
          <w:color w:val="000000"/>
          <w:sz w:val="28"/>
          <w:szCs w:val="28"/>
        </w:rPr>
        <w:fldChar w:fldCharType="end"/>
      </w: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95"/>
        <w:jc w:val="center"/>
        <w:widowControl/>
        <w:rPr>
          <w:rFonts w:hint="eastAsia" w:ascii="仿宋" w:hAnsi="仿宋" w:eastAsia="仿宋" w:cs="仿宋"/>
          <w:b/>
          <w:color w:val="000000"/>
          <w:sz w:val="24"/>
        </w:rPr>
        <w:sectPr>
          <w:headerReference w:type="default" r:id="rId10"/>
          <w:footerReference w:type="default" r:id="rId13"/>
          <w:footnotePr/>
          <w:endnotePr/>
          <w:type w:val="nextPage"/>
          <w:pgSz w:w="11910" w:h="16840" w:orient="portrait"/>
          <w:pgMar w:top="1440" w:right="1080" w:bottom="1440" w:left="1080" w:header="878" w:footer="985" w:gutter="0"/>
          <w:cols w:num="1" w:sep="0" w:space="1701" w:equalWidth="1"/>
          <w:docGrid w:linePitch="360"/>
        </w:sectPr>
      </w:pPr>
      <w:r>
        <w:rPr>
          <w:rFonts w:hint="eastAsia" w:ascii="仿宋" w:hAnsi="仿宋" w:eastAsia="仿宋" w:cs="仿宋"/>
          <w:b/>
          <w:color w:val="000000"/>
          <w:sz w:val="24"/>
        </w:rPr>
      </w:r>
      <w:r/>
    </w:p>
    <w:p>
      <w:pPr>
        <w:pStyle w:val="795"/>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徐州市铜山区何桥镇人民政府</w:t>
      </w:r>
      <w:r>
        <w:rPr>
          <w:rFonts w:hint="eastAsia" w:ascii="仿宋" w:hAnsi="仿宋" w:eastAsia="仿宋" w:cs="仿宋"/>
          <w:b/>
          <w:color w:val="000000"/>
          <w:sz w:val="24"/>
        </w:rPr>
      </w:r>
      <w:r/>
    </w:p>
    <w:p>
      <w:pPr>
        <w:pStyle w:val="795"/>
        <w:jc w:val="center"/>
        <w:spacing w:line="520" w:lineRule="exact"/>
        <w:rPr>
          <w:rFonts w:hint="eastAsia" w:ascii="仿宋" w:hAnsi="仿宋" w:eastAsia="仿宋" w:cs="仿宋"/>
          <w:b/>
          <w:color w:val="000000"/>
          <w:sz w:val="24"/>
        </w:rPr>
      </w:pPr>
      <w:r>
        <w:rPr>
          <w:rFonts w:hint="eastAsia" w:ascii="仿宋" w:hAnsi="仿宋" w:eastAsia="仿宋" w:cs="仿宋"/>
          <w:b/>
          <w:color w:val="000000"/>
          <w:sz w:val="24"/>
        </w:rPr>
        <w:t xml:space="preserve">《</w:t>
      </w:r>
      <w:r>
        <w:rPr>
          <w:rFonts w:hint="eastAsia" w:ascii="仿宋" w:hAnsi="仿宋" w:eastAsia="仿宋" w:cs="仿宋"/>
          <w:b/>
          <w:color w:val="000000"/>
          <w:sz w:val="24"/>
          <w:lang w:eastAsia="zh-CN"/>
        </w:rPr>
        <w:t xml:space="preserve">何桥镇人居环境综合管护</w:t>
      </w:r>
      <w:r>
        <w:rPr>
          <w:rFonts w:hint="eastAsia" w:ascii="仿宋" w:hAnsi="仿宋" w:eastAsia="仿宋" w:cs="仿宋"/>
          <w:b/>
          <w:color w:val="000000"/>
          <w:sz w:val="24"/>
        </w:rPr>
        <w:t xml:space="preserve">》招标文件</w:t>
      </w:r>
      <w:r>
        <w:rPr>
          <w:rFonts w:hint="eastAsia" w:ascii="仿宋" w:hAnsi="仿宋" w:eastAsia="仿宋" w:cs="仿宋"/>
          <w:b/>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24"/>
        </w:rPr>
      </w:r>
      <w:r/>
    </w:p>
    <w:p>
      <w:pPr>
        <w:pStyle w:val="1065"/>
        <w:spacing w:line="520" w:lineRule="exact"/>
        <w:rPr>
          <w:rFonts w:hint="eastAsia" w:ascii="仿宋" w:hAnsi="仿宋" w:eastAsia="仿宋" w:cs="仿宋"/>
          <w:color w:val="000000"/>
          <w:sz w:val="24"/>
          <w:szCs w:val="24"/>
        </w:rPr>
      </w:pPr>
      <w:r/>
      <w:bookmarkStart w:id="1" w:name="_Toc24257"/>
      <w:r>
        <w:rPr>
          <w:rFonts w:hint="eastAsia" w:ascii="仿宋" w:hAnsi="仿宋" w:eastAsia="仿宋" w:cs="仿宋"/>
          <w:color w:val="000000"/>
          <w:sz w:val="24"/>
          <w:szCs w:val="24"/>
        </w:rPr>
        <w:t xml:space="preserve">第一章  投标邀请</w:t>
      </w:r>
      <w:bookmarkEnd w:id="1"/>
      <w:r>
        <w:rPr>
          <w:rFonts w:hint="eastAsia" w:ascii="仿宋" w:hAnsi="仿宋" w:eastAsia="仿宋" w:cs="仿宋"/>
          <w:color w:val="000000"/>
          <w:sz w:val="24"/>
          <w:szCs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江苏荣初工程科技有限公司对徐州市铜山区何桥镇人民政府“</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rPr>
        <w:t xml:space="preserve">”进行公开招标采购，现邀请符合相关条件的供应商投标。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一、项目名称和项目编号</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(一)项目名称：</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lang w:eastAsia="zh-CN"/>
        </w:rPr>
      </w:r>
      <w:r/>
    </w:p>
    <w:p>
      <w:pPr>
        <w:pStyle w:val="795"/>
        <w:ind w:firstLine="600"/>
        <w:spacing w:line="52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(二)项目编号：</w:t>
      </w:r>
      <w:r>
        <w:rPr>
          <w:rFonts w:hint="eastAsia" w:ascii="仿宋" w:hAnsi="仿宋" w:eastAsia="仿宋" w:cs="仿宋"/>
          <w:color w:val="000000"/>
          <w:sz w:val="24"/>
          <w:lang w:eastAsia="zh-CN"/>
        </w:rPr>
        <w:t xml:space="preserve">JSZC-320312-RCGC-G2026-0002</w:t>
      </w:r>
      <w:r>
        <w:rPr>
          <w:rFonts w:hint="eastAsia" w:ascii="仿宋" w:hAnsi="仿宋" w:eastAsia="仿宋" w:cs="仿宋"/>
          <w:color w:val="000000"/>
          <w:sz w:val="24"/>
          <w:lang w:eastAsia="zh-CN"/>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二、对投标人的资格要求</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详见本项目公开招标公告。</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三、获取招标文件</w:t>
      </w:r>
      <w:bookmarkEnd w:id="0"/>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（1）潜在供应商访问电子招标投标交易平台的网络地址和方法：</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②潜在供应商访问“苏采云”系统的网络地址和方法：“苏采云”系统的网址：http://jszfcg.jsczt.cn/；或进入徐州政府采购网（网址：http://czj.xz.gov.cn/Home/HomeIndex）--业务工作--用户登录，点击“苏采云”进入系统。</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③“CA数字证书”的获取：</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（2）采购代理机构将数据电文形式的招标文件加载至电子招标投标交易平台，供潜在供应商下载或者查阅。</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（3）苏采云系统使用谷歌浏览器参与不见面开标。</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（4）售价：免费。 </w:t>
      </w:r>
      <w:r>
        <w:rPr>
          <w:rFonts w:hint="eastAsia" w:ascii="仿宋" w:hAnsi="仿宋" w:eastAsia="仿宋" w:cs="仿宋"/>
          <w:bCs/>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四、提交投标文件截止时间、开标时间和地点</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（一）投标截止时间：</w:t>
      </w:r>
      <w:r>
        <w:rPr>
          <w:rFonts w:hint="eastAsia" w:ascii="仿宋" w:hAnsi="仿宋" w:eastAsia="仿宋" w:cs="仿宋"/>
          <w:color w:val="000000"/>
          <w:sz w:val="24"/>
          <w:highlight w:val="white"/>
          <w:lang w:eastAsia="zh-CN"/>
        </w:rPr>
        <w:t xml:space="preserve">2026年8月13日北京时间10：00</w:t>
      </w:r>
      <w:r>
        <w:rPr>
          <w:rFonts w:hint="eastAsia" w:ascii="仿宋" w:hAnsi="仿宋" w:eastAsia="仿宋" w:cs="仿宋"/>
          <w:color w:val="000000"/>
          <w:sz w:val="24"/>
          <w:highlight w:val="white"/>
        </w:rPr>
        <w:t xml:space="preserve">。</w:t>
      </w:r>
      <w:r>
        <w:rPr>
          <w:rFonts w:hint="eastAsia" w:ascii="仿宋" w:hAnsi="仿宋" w:eastAsia="仿宋" w:cs="仿宋"/>
          <w:color w:val="000000"/>
          <w:sz w:val="24"/>
          <w:highlight w:val="white"/>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（二）开标时间：</w:t>
      </w:r>
      <w:r>
        <w:rPr>
          <w:rFonts w:hint="eastAsia" w:ascii="仿宋" w:hAnsi="仿宋" w:eastAsia="仿宋" w:cs="仿宋"/>
          <w:color w:val="000000"/>
          <w:sz w:val="24"/>
          <w:highlight w:val="white"/>
          <w:lang w:eastAsia="zh-CN"/>
        </w:rPr>
        <w:t xml:space="preserve">2026年8月13日北京时间10：</w:t>
      </w:r>
      <w:r>
        <w:rPr>
          <w:rFonts w:hint="eastAsia" w:ascii="仿宋" w:hAnsi="仿宋" w:eastAsia="仿宋" w:cs="仿宋"/>
          <w:color w:val="000000"/>
          <w:sz w:val="24"/>
          <w:highlight w:val="none"/>
          <w:lang w:eastAsia="zh-CN"/>
        </w:rPr>
        <w:t xml:space="preserve">00</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（三）线上开标地点：“苏采云”系统（网址： http://jszfcg.jsczt.cn/）“开标大厅”或进入徐州政府采购网（网址：http://czj.xz.gov.cn/Home/HomeIndex）-业务工作 -用户登录，点击“苏采云”进入系统“开标大厅”。</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五、采购人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（一）名称：徐州市铜山区何桥镇人民政府</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（二）地址：徐州市铜山区何桥镇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（三）联系方法：13382685366</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highlight w:val="yellow"/>
        </w:rPr>
      </w:pPr>
      <w:r>
        <w:rPr>
          <w:rFonts w:hint="eastAsia" w:ascii="仿宋" w:hAnsi="仿宋" w:eastAsia="仿宋" w:cs="仿宋"/>
          <w:color w:val="000000"/>
          <w:sz w:val="24"/>
        </w:rPr>
        <w:t xml:space="preserve">（四）采购项目联系人：</w:t>
      </w:r>
      <w:r>
        <w:rPr>
          <w:rFonts w:hint="eastAsia" w:ascii="仿宋" w:hAnsi="仿宋" w:eastAsia="仿宋" w:cs="仿宋"/>
          <w:color w:val="000000"/>
          <w:sz w:val="24"/>
          <w:lang w:val="en-US" w:eastAsia="zh-CN"/>
        </w:rPr>
        <w:t xml:space="preserve">刘忠峰</w:t>
      </w:r>
      <w:r>
        <w:rPr>
          <w:rFonts w:hint="eastAsia" w:ascii="仿宋" w:hAnsi="仿宋" w:eastAsia="仿宋" w:cs="仿宋"/>
          <w:color w:val="000000"/>
          <w:sz w:val="24"/>
        </w:rPr>
        <w:t xml:space="preserve">；联系电话：13382685366  </w:t>
      </w:r>
      <w:r>
        <w:rPr>
          <w:rFonts w:hint="eastAsia" w:ascii="仿宋" w:hAnsi="仿宋" w:eastAsia="仿宋" w:cs="仿宋"/>
          <w:color w:val="000000"/>
          <w:sz w:val="24"/>
          <w:highlight w:val="yellow"/>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六、采购代理机构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（一）名称：江苏荣初工程科技有限公司。</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（二）地址：徐州市云龙区绿地商务城悦庭B02-1101</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（三）联系方法：15062125864 </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（四）采购项目联系人：赵晋川；联系电话：15062125864</w:t>
      </w:r>
      <w:r>
        <w:rPr>
          <w:rFonts w:hint="eastAsia" w:ascii="仿宋" w:hAnsi="仿宋" w:eastAsia="仿宋" w:cs="仿宋"/>
          <w:color w:val="000000"/>
          <w:sz w:val="24"/>
        </w:rPr>
      </w:r>
      <w:r/>
    </w:p>
    <w:p>
      <w:pPr>
        <w:pStyle w:val="795"/>
        <w:jc w:val="center"/>
        <w:widowControl/>
        <w:rPr>
          <w:rStyle w:val="1066"/>
          <w:rFonts w:hint="eastAsia" w:ascii="仿宋" w:hAnsi="仿宋" w:eastAsia="仿宋" w:cs="仿宋"/>
          <w:color w:val="000000"/>
          <w:sz w:val="24"/>
          <w:szCs w:val="24"/>
        </w:rPr>
      </w:pPr>
      <w:r/>
      <w:bookmarkStart w:id="2" w:name="_Toc6866"/>
      <w:r/>
      <w:bookmarkStart w:id="3" w:name="_Toc522790131"/>
      <w:r>
        <w:rPr>
          <w:rStyle w:val="1066"/>
          <w:rFonts w:hint="eastAsia" w:ascii="仿宋" w:hAnsi="仿宋" w:eastAsia="仿宋" w:cs="仿宋"/>
          <w:color w:val="000000"/>
          <w:sz w:val="24"/>
          <w:szCs w:val="24"/>
        </w:rPr>
      </w:r>
      <w:r/>
    </w:p>
    <w:p>
      <w:pPr>
        <w:pStyle w:val="795"/>
        <w:jc w:val="center"/>
        <w:widowControl/>
        <w:rPr>
          <w:rFonts w:hint="eastAsia" w:ascii="仿宋" w:hAnsi="仿宋" w:eastAsia="仿宋" w:cs="仿宋"/>
          <w:color w:val="000000"/>
          <w:sz w:val="24"/>
        </w:rPr>
      </w:pPr>
      <w:r>
        <w:rPr>
          <w:rStyle w:val="1066"/>
          <w:rFonts w:hint="eastAsia" w:ascii="仿宋" w:hAnsi="仿宋" w:eastAsia="仿宋" w:cs="仿宋"/>
          <w:color w:val="000000"/>
          <w:sz w:val="24"/>
          <w:szCs w:val="24"/>
        </w:rPr>
        <w:t xml:space="preserve">第二章  投标人须知</w:t>
      </w:r>
      <w:bookmarkEnd w:id="2"/>
      <w:r/>
      <w:bookmarkEnd w:id="3"/>
      <w:r>
        <w:rPr>
          <w:rFonts w:hint="eastAsia" w:ascii="仿宋" w:hAnsi="仿宋" w:eastAsia="仿宋" w:cs="仿宋"/>
          <w:color w:val="000000"/>
          <w:sz w:val="24"/>
        </w:rPr>
      </w:r>
      <w:r/>
    </w:p>
    <w:p>
      <w:pPr>
        <w:pStyle w:val="795"/>
        <w:ind w:firstLine="600"/>
        <w:spacing w:line="3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一、总则</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（一）采购人。采购人即指依法进行政府采购的国家机关、事业单位和团体组织。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（二）政府招标采购方式。政府采购货物或服务（以下简称“货物服务”）的招标方式，分为公开招标和邀请招标。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（五）采购人委托采购代理机构代理招标的，采购代理机构必须在采购人委托的范围内依法开展采购活动。</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（六）投标人的资格条件：</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投标人是指响应招标、参加投标竞争的法人、其他组织或者自然人。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2.投标人授权代表系指法定代表人或受法人委托的受托人。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二、招标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（八）招标文件应包括以下内容：</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第三章，投标资料表；</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第四章，评标标准；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第五章，拟签订的合同文本；</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第六章，采购需求；</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第七章，投标文件相关格式。</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（九）招标文件澄清或者修改：</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2.现场考察以本文件第三章《投标资料表》中的要求为准。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3.开标前答疑会以本文件第三章《投标资料表》中的要求为准。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三、投标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（十）投标人应当按照招标文件的要求编制投标文件。投标文件应对招标文件提出的要求和条件作出实质性响应。</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（十二）投标文件的构成：</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1.投标文件的构成以本文件第三章《投标资料表》中的要求为准。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2.投标人应当提交的资格、资信证明文件，以本文件第三章《投标资料表》中的所提要求为准。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（十三）投标函和价格表、商务条件、交货和提供服务的时间：</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1.投标函和价格表的要求见本章（十二）、（十三），格式见本文件第七章《投标文件相关格式》中《投标函》和《开标一览表》。</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2.商务条件以本文件第三章《投标资料表》中的要求为准。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3.交货和提供服务的时间，以本文件第三章《投标资料表》中所提要求为准。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（十四）投标报价要求：</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1.投标人应按照招标文件的要求报出分项价格和总价。</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2.投标人应按照招标文件的要求进行报价，如投标人作出偏离，应在《偏离表》中列出。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3.采购人不支付报价以外的任何费用。</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4.投标人所报的价格，在合同执行过程中是固定的，不得以任何理由予以变更。投标人提交浮动价格的投标文件，在资格性、符合性检查时按照无效投标处理。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5.投标人只能提交一个投标价格，投标人提交多个价格的投标文件，在资格性、符合性检查时按照无效投标处理。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（十五）投标货币。以本文件第三章《投标资料表》中所提要求为准。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（十六）投标有效期：</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1.投标有效期为开标之日后90天。采购人可以要求对投标有效期延长一次，但该延长期最长不得超过30天。</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（十七）投标文件的编制要求和签署要求：</w:t>
      </w:r>
      <w:r>
        <w:rPr>
          <w:rFonts w:hint="eastAsia" w:ascii="仿宋" w:hAnsi="仿宋" w:eastAsia="仿宋" w:cs="仿宋"/>
          <w:color w:val="000000"/>
          <w:sz w:val="24"/>
        </w:rPr>
      </w:r>
      <w:r/>
    </w:p>
    <w:p>
      <w:pPr>
        <w:pStyle w:val="108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color w:val="000000"/>
          <w:sz w:val="24"/>
          <w:szCs w:val="24"/>
        </w:rPr>
      </w:r>
      <w:r/>
    </w:p>
    <w:p>
      <w:pPr>
        <w:pStyle w:val="108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2.投标人应对 CA 证书妥善保管，如被他人盗用投标，因此带来的结果均由投标人自行承担。</w:t>
      </w:r>
      <w:r>
        <w:rPr>
          <w:rFonts w:hint="eastAsia" w:ascii="仿宋" w:hAnsi="仿宋" w:eastAsia="仿宋" w:cs="仿宋"/>
          <w:color w:val="000000"/>
          <w:sz w:val="24"/>
          <w:szCs w:val="24"/>
        </w:rPr>
      </w:r>
      <w:r/>
    </w:p>
    <w:p>
      <w:pPr>
        <w:pStyle w:val="108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3.投标人在规定时间内使用 CA 证书进行解密。</w:t>
      </w:r>
      <w:r>
        <w:rPr>
          <w:rFonts w:hint="eastAsia" w:ascii="仿宋" w:hAnsi="仿宋" w:eastAsia="仿宋" w:cs="仿宋"/>
          <w:color w:val="000000"/>
          <w:sz w:val="24"/>
          <w:szCs w:val="24"/>
        </w:rPr>
      </w:r>
      <w:r/>
    </w:p>
    <w:p>
      <w:pPr>
        <w:pStyle w:val="108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4.投标人应当对招标文件提出的要求和条件作出实质性响应，并在电子投标系统逐条应答。</w:t>
      </w:r>
      <w:r>
        <w:rPr>
          <w:rFonts w:hint="eastAsia" w:ascii="仿宋" w:hAnsi="仿宋" w:eastAsia="仿宋" w:cs="仿宋"/>
          <w:color w:val="000000"/>
          <w:sz w:val="24"/>
          <w:szCs w:val="24"/>
        </w:rPr>
      </w:r>
      <w:r/>
    </w:p>
    <w:p>
      <w:pPr>
        <w:pStyle w:val="108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5.投标人应对要求提供的资格证明文件、技术资料扫描上传至投标系统。</w:t>
      </w:r>
      <w:r>
        <w:rPr>
          <w:rFonts w:hint="eastAsia" w:ascii="仿宋" w:hAnsi="仿宋" w:eastAsia="仿宋" w:cs="仿宋"/>
          <w:color w:val="000000"/>
          <w:sz w:val="24"/>
          <w:szCs w:val="24"/>
        </w:rPr>
      </w:r>
      <w:r/>
    </w:p>
    <w:p>
      <w:pPr>
        <w:pStyle w:val="108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（十八）投标文件的盖章要求：</w:t>
      </w:r>
      <w:r>
        <w:rPr>
          <w:rFonts w:hint="eastAsia" w:ascii="仿宋" w:hAnsi="仿宋" w:eastAsia="仿宋" w:cs="仿宋"/>
          <w:color w:val="000000"/>
          <w:sz w:val="24"/>
          <w:szCs w:val="24"/>
        </w:rPr>
      </w:r>
      <w:r/>
    </w:p>
    <w:p>
      <w:pPr>
        <w:pStyle w:val="108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投标文件的盖章要求，以本文件第三章《投标资料表》中所提要求为准。</w:t>
      </w:r>
      <w:r>
        <w:rPr>
          <w:rFonts w:hint="eastAsia" w:ascii="仿宋" w:hAnsi="仿宋" w:eastAsia="仿宋" w:cs="仿宋"/>
          <w:color w:val="000000"/>
          <w:sz w:val="24"/>
          <w:szCs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（十九）提交电子投标文件的截止时间注意事项。投标人应在招标文件要求的提交投标文件的截止时间前，将投标文件提交至“苏采云”系统。</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（二十）凡在招标文件要求提交投标文件的截止时间之后提交的投标文件，均为无效投标文件。在规定时间内各投标人使用CA锁进行网上解密。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（二十二）本项目不允许分包。</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（二十三）投标人应当遵循公平竞争的原则，不得恶意串通，不得妨碍其他投标人的竞争行为，不得损害采购人或者其他投标人的合法权益。</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在评标过程中发现投标人有上述情形的，评标委员会应当认定其投标无效，并书面报告本级财政部门。</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（二十四）有下列情形之一的，其投标无效。</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1.不同投标人的投标文件，由同一单位或者个人编制；</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2.不同投标人委托同一单位或者个人办理投标事宜；</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3.不同投标人的投标文件中，所载明的项目管理成员或联系人为同一人；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4.不同投标人的投标文件，异常一致或者投标报价呈规律性差异；</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5.不同投标人投标文件内容存在非正常一致、项目组成员出现同一人、投标文件中错误（ 或异常）一致或雷同、电子文档信息一致或雷同的、投标报价呈规律性差异的；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6.电子投标文件未按规定期限投标的；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7.电子投标文件未按招标文件要求签章的；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8.投标人未在规定时间内解密电子投标文件的；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9.投标文件未按招标文件规定的内容和要求填写的；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10.不具备招标文件中规定的资格要求的；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11.报价超过招标文件中规定的预算金额或者最高限价的；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12.投标文件含有采购人不能接受的附加条件的；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13.法律、法规和招标文件规定的其他无效情形。</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四、开标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（二十五）开标：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2.由电子招标投标交易平台主持，邀请投标人参加。</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 所有投标单位使用 CA 证书在开标时间时，解密各自投标文件，由工作人员操作系统进行开标，投标人不足3家的，不得评标。</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五、评标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（二十六）公开招标采购项目开标结束后，采购人依法对投标人的资格进行审查。合格投标人不足3家的，不得评标。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1.评标工作由采购代理机构负责组织，并履行下列职责：</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（2）宣布评标纪律；</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（8）核对评标结果，对有《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"http://www.caigou2003.com/"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政府采购</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（10）处理与评标有关的其他事项。</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2.评标委员会负责具体评标事务，并独立履行下列职责：</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（3）对投标文件进行比较和评价；</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（4）确定中标候选人名单，以及根据采购人委托直接确定中标人；</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（5）向采购人、采购代理机构或有关部门报告评标中发现的违法行为。</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（二十七）评标方法分为最低评标价法和综合评分法。</w:t>
      </w:r>
      <w:r>
        <w:rPr>
          <w:rFonts w:hint="eastAsia" w:ascii="仿宋" w:hAnsi="仿宋" w:eastAsia="仿宋" w:cs="仿宋"/>
          <w:color w:val="000000"/>
          <w:sz w:val="24"/>
        </w:rPr>
      </w:r>
      <w:r/>
    </w:p>
    <w:p>
      <w:pPr>
        <w:pStyle w:val="795"/>
        <w:ind w:firstLine="45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（二十八）评标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1.评标工作程序：</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（1）投标文件初审。</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①资格性审查。</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②符合性审查。</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（2）澄清有关问题。</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（3）比较与评价。</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（4）推荐中标候选供应商名单。</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（5）编写评审报告（评标报告）。</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3.采用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"http://lilun.caigou2003.com/recijiedu/2365668.html"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最低评标价法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"http://lilun.caigou2003.com/recijiedu/2365667.html" \t "_blank"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综合评分法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非单一产品采购项目，多家投标人提供的核心产品品牌相同的，按前两款规定处理。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（二十九）投标文件报价出现前后不一致的，按照下列规定修正：</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1.投标文件中开标一览表（报价表）内容与投标文件中相应内容不一致的，以开标一览表（报价表）为准；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4.总价金额与按单价合计金额不一致的，以单价金额计算结果为准。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（三十二）废标条款：</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出现下列情形之一的，应予废标。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2.出现影响采购公正的违法、违规行为的；</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4.因重大变故，采购任务取消的。</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六、定标</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（三十三）采购代理机构应当在评标结束后2个工作日内将评标报告送采购人。</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七、政府采购合同</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（三十六）签订政府采购合同（合同签订方式）：</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采购人不得向中标人提出任何不合理的要求作为签订合同的条件。</w:t>
      </w:r>
      <w:r>
        <w:rPr>
          <w:rFonts w:hint="eastAsia" w:ascii="仿宋" w:hAnsi="仿宋" w:eastAsia="仿宋" w:cs="仿宋"/>
          <w:color w:val="000000"/>
          <w:sz w:val="24"/>
        </w:rPr>
      </w:r>
      <w:r/>
    </w:p>
    <w:p>
      <w:pPr>
        <w:pStyle w:val="795"/>
        <w:ind w:firstLine="600"/>
        <w:jc w:val="left"/>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24"/>
        </w:rPr>
      </w:r>
      <w:r/>
    </w:p>
    <w:p>
      <w:pPr>
        <w:pStyle w:val="795"/>
        <w:ind w:firstLine="600"/>
        <w:spacing w:line="520" w:lineRule="exact"/>
        <w:shd w:val="clear" w:color="auto" w:fill="ffffff"/>
        <w:rPr>
          <w:rFonts w:hint="eastAsia" w:ascii="仿宋" w:hAnsi="仿宋" w:eastAsia="仿宋" w:cs="仿宋"/>
          <w:color w:val="000000"/>
          <w:sz w:val="24"/>
        </w:rPr>
      </w:pPr>
      <w:r>
        <w:rPr>
          <w:rFonts w:hint="eastAsia" w:ascii="仿宋" w:hAnsi="仿宋" w:eastAsia="仿宋" w:cs="仿宋"/>
          <w:color w:val="000000"/>
          <w:sz w:val="24"/>
        </w:rPr>
        <w:t xml:space="preserve">（三十七）采购人与中标人应当根据合同的约定依法履行合同义务。政府采购合同的履行、违约责任和解决争议的方法等，按《中华人民共和国民法典》相关条款执行。</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（三十八）履约保证金：</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1.中标人应在政府采购合同签订后，向采购人提交本文件第三章《投标资料表》中规定金额的履约保证金。</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（三十九）腐败和欺诈行为：</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（1）腐败和欺诈行为的含义：</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（2）如果被推荐的中标人有腐败和欺诈行为，将取消其中标资格。</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八、询问和质疑</w:t>
      </w:r>
      <w:r>
        <w:rPr>
          <w:rFonts w:hint="eastAsia" w:ascii="仿宋" w:hAnsi="仿宋" w:eastAsia="仿宋" w:cs="仿宋"/>
          <w:color w:val="000000"/>
          <w:sz w:val="24"/>
        </w:rPr>
      </w:r>
      <w:r/>
    </w:p>
    <w:p>
      <w:pPr>
        <w:pStyle w:val="795"/>
        <w:ind w:firstLine="600"/>
        <w:jc w:val="left"/>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（四十）询问和质疑</w:t>
      </w:r>
      <w:r>
        <w:rPr>
          <w:rFonts w:hint="eastAsia" w:ascii="仿宋" w:hAnsi="仿宋" w:eastAsia="仿宋" w:cs="仿宋"/>
          <w:color w:val="000000"/>
          <w:sz w:val="24"/>
        </w:rPr>
      </w:r>
      <w:r/>
    </w:p>
    <w:p>
      <w:pPr>
        <w:pStyle w:val="795"/>
        <w:ind w:firstLine="600"/>
        <w:jc w:val="left"/>
        <w:spacing w:line="520" w:lineRule="exact"/>
        <w:shd w:val="clear" w:color="auto" w:fill="ffffff"/>
        <w:widowControl/>
        <w:rPr>
          <w:rFonts w:hint="eastAsia"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4"/>
        </w:rPr>
      </w:r>
      <w:r/>
    </w:p>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九、电子招标投标交易平台</w:t>
      </w:r>
      <w:r>
        <w:rPr>
          <w:rFonts w:hint="eastAsia" w:ascii="仿宋" w:hAnsi="仿宋" w:eastAsia="仿宋" w:cs="仿宋"/>
          <w:color w:val="000000"/>
          <w:sz w:val="24"/>
        </w:rPr>
      </w:r>
      <w:r/>
    </w:p>
    <w:p>
      <w:pPr>
        <w:pStyle w:val="1082"/>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（四十一）电子招标投标交易平台（即“苏采云”系统，网址：</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"http://jszfcg.jsczt.cn/" \o "http://jszfcg.jsczt.cn/"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http://jszfcg.jsczt.cn/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）相关要求是本招标文件的组成部分。</w:t>
      </w:r>
      <w:r>
        <w:rPr>
          <w:rFonts w:hint="eastAsia" w:ascii="仿宋" w:hAnsi="仿宋" w:eastAsia="仿宋" w:cs="仿宋"/>
          <w:color w:val="000000"/>
          <w:sz w:val="24"/>
          <w:szCs w:val="24"/>
        </w:rPr>
      </w:r>
      <w:r/>
    </w:p>
    <w:p>
      <w:pPr>
        <w:pStyle w:val="1082"/>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特别说明：“苏采云”系统通过“江苏省政府采购一体化不见面开标大厅”提醒投标人。投标人自行查看，投标人因自身原因不及时查看导致没收到相关信息，“苏采云”系统不承担任何责任。</w:t>
      </w:r>
      <w:r>
        <w:rPr>
          <w:rFonts w:hint="eastAsia" w:ascii="仿宋" w:hAnsi="仿宋" w:eastAsia="仿宋" w:cs="仿宋"/>
          <w:color w:val="000000"/>
          <w:sz w:val="24"/>
          <w:szCs w:val="24"/>
        </w:rPr>
      </w:r>
      <w:r/>
    </w:p>
    <w:p>
      <w:pPr>
        <w:pStyle w:val="795"/>
        <w:ind w:firstLine="602"/>
        <w:jc w:val="center"/>
        <w:spacing w:line="360" w:lineRule="exact"/>
        <w:rPr>
          <w:rFonts w:hint="eastAsia" w:ascii="仿宋" w:hAnsi="仿宋" w:eastAsia="仿宋" w:cs="仿宋"/>
          <w:b/>
          <w:color w:val="000000"/>
          <w:sz w:val="24"/>
        </w:rPr>
      </w:pPr>
      <w:r>
        <w:rPr>
          <w:rFonts w:hint="eastAsia" w:ascii="仿宋" w:hAnsi="仿宋" w:eastAsia="仿宋" w:cs="仿宋"/>
          <w:b/>
          <w:color w:val="000000"/>
          <w:sz w:val="24"/>
        </w:rPr>
      </w:r>
      <w:r/>
    </w:p>
    <w:p>
      <w:pPr>
        <w:pStyle w:val="795"/>
        <w:jc w:val="center"/>
        <w:rPr>
          <w:rFonts w:hint="eastAsia" w:ascii="仿宋" w:hAnsi="仿宋" w:eastAsia="仿宋" w:cs="仿宋"/>
          <w:color w:val="000000"/>
          <w:sz w:val="24"/>
        </w:rPr>
      </w:pPr>
      <w:r/>
      <w:bookmarkStart w:id="4" w:name="_Toc522790132"/>
      <w:r>
        <w:rPr>
          <w:rFonts w:hint="eastAsia" w:ascii="仿宋" w:hAnsi="仿宋" w:eastAsia="仿宋" w:cs="仿宋"/>
          <w:color w:val="000000"/>
          <w:sz w:val="24"/>
        </w:rPr>
        <w:br w:type="page" w:clear="all"/>
      </w:r>
      <w:bookmarkStart w:id="5" w:name="_Toc12259"/>
      <w:r>
        <w:rPr>
          <w:rStyle w:val="1066"/>
          <w:rFonts w:hint="eastAsia" w:ascii="仿宋" w:hAnsi="仿宋" w:eastAsia="仿宋" w:cs="仿宋"/>
          <w:color w:val="000000"/>
          <w:sz w:val="24"/>
          <w:szCs w:val="24"/>
        </w:rPr>
        <w:t xml:space="preserve">第三章  投标资料表</w:t>
      </w:r>
      <w:bookmarkEnd w:id="4"/>
      <w:r/>
      <w:bookmarkEnd w:id="5"/>
      <w:r>
        <w:rPr>
          <w:rFonts w:hint="eastAsia" w:ascii="仿宋" w:hAnsi="仿宋" w:eastAsia="仿宋" w:cs="仿宋"/>
          <w:color w:val="000000"/>
          <w:sz w:val="24"/>
        </w:rPr>
      </w:r>
      <w:r/>
    </w:p>
    <w:p>
      <w:pPr>
        <w:pStyle w:val="1108"/>
        <w:ind w:firstLine="60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sz w:val="24"/>
          <w:szCs w:val="24"/>
        </w:rPr>
      </w:r>
      <w:r/>
    </w:p>
    <w:p>
      <w:pPr>
        <w:pStyle w:val="795"/>
        <w:spacing w:line="240" w:lineRule="exact"/>
        <w:rPr>
          <w:rFonts w:hint="eastAsia" w:ascii="仿宋" w:hAnsi="仿宋" w:eastAsia="仿宋" w:cs="仿宋"/>
          <w:color w:val="000000"/>
          <w:sz w:val="24"/>
        </w:rPr>
      </w:pPr>
      <w:r>
        <w:rPr>
          <w:rFonts w:hint="eastAsia" w:ascii="仿宋" w:hAnsi="仿宋" w:eastAsia="仿宋" w:cs="仿宋"/>
          <w:color w:val="000000"/>
          <w:sz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940"/>
      </w:tblGrid>
      <w:tr>
        <w:trPr/>
        <w:tc>
          <w:tcPr>
            <w:tcW w:w="1560" w:type="dxa"/>
            <w:vAlign w:val="top"/>
            <w:textDirection w:val="lrTb"/>
            <w:noWrap w:val="false"/>
          </w:tcPr>
          <w:p>
            <w:pPr>
              <w:pStyle w:val="795"/>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条款项号</w:t>
            </w:r>
            <w:r>
              <w:rPr>
                <w:rFonts w:hint="eastAsia" w:ascii="仿宋" w:hAnsi="仿宋" w:eastAsia="仿宋" w:cs="仿宋"/>
                <w:b/>
                <w:color w:val="000000"/>
                <w:sz w:val="24"/>
              </w:rPr>
            </w:r>
            <w:r/>
          </w:p>
        </w:tc>
        <w:tc>
          <w:tcPr>
            <w:tcW w:w="7940" w:type="dxa"/>
            <w:vAlign w:val="top"/>
            <w:textDirection w:val="lrTb"/>
            <w:noWrap w:val="false"/>
          </w:tcPr>
          <w:p>
            <w:pPr>
              <w:pStyle w:val="795"/>
              <w:jc w:val="center"/>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内    容</w:t>
            </w:r>
            <w:r>
              <w:rPr>
                <w:rFonts w:hint="eastAsia" w:ascii="仿宋" w:hAnsi="仿宋" w:eastAsia="仿宋" w:cs="仿宋"/>
                <w:b/>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总则</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本项目采购人：徐州市铜山区何桥镇人民政府</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本次采购采用的政府采购方式：公开招标。</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采购人确定的采购项目属性：服务</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本项目采购代理机构：江苏荣初工程科技有限公司</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(六)</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投标人的资格条件：</w:t>
            </w:r>
            <w:r>
              <w:rPr>
                <w:rFonts w:hint="eastAsia" w:ascii="仿宋" w:hAnsi="仿宋" w:eastAsia="仿宋" w:cs="仿宋"/>
                <w:color w:val="000000"/>
                <w:sz w:val="24"/>
              </w:rPr>
            </w:r>
            <w:r/>
          </w:p>
          <w:p>
            <w:pPr>
              <w:pStyle w:val="795"/>
              <w:numPr>
                <w:ilvl w:val="0"/>
                <w:numId w:val="1"/>
              </w:numPr>
              <w:spacing w:line="400" w:lineRule="exact"/>
              <w:tabs>
                <w:tab w:val="left" w:pos="312" w:leader="none"/>
              </w:tabs>
              <w:rPr>
                <w:rFonts w:hint="eastAsia" w:ascii="仿宋" w:hAnsi="仿宋" w:eastAsia="仿宋" w:cs="仿宋"/>
                <w:color w:val="000000"/>
                <w:sz w:val="24"/>
              </w:rPr>
            </w:pPr>
            <w:r>
              <w:rPr>
                <w:rFonts w:hint="eastAsia" w:ascii="仿宋" w:hAnsi="仿宋" w:eastAsia="仿宋" w:cs="仿宋"/>
                <w:color w:val="000000"/>
                <w:sz w:val="24"/>
              </w:rPr>
              <w:t xml:space="preserve">符合《中华人民共和国政府采购法》第二十二条的规定；</w:t>
            </w:r>
            <w:r>
              <w:rPr>
                <w:rFonts w:hint="eastAsia" w:ascii="仿宋" w:hAnsi="仿宋" w:eastAsia="仿宋" w:cs="仿宋"/>
                <w:color w:val="000000"/>
                <w:sz w:val="24"/>
              </w:rPr>
            </w:r>
            <w:r/>
          </w:p>
          <w:p>
            <w:pPr>
              <w:pStyle w:val="905"/>
              <w:numPr>
                <w:ilvl w:val="0"/>
                <w:numId w:val="1"/>
              </w:numPr>
              <w:spacing w:line="400" w:lineRule="exact"/>
              <w:tabs>
                <w:tab w:val="left" w:pos="312" w:leader="none"/>
              </w:tabs>
              <w:rPr>
                <w:rFonts w:hint="eastAsia" w:ascii="仿宋" w:hAnsi="仿宋" w:eastAsia="仿宋" w:cs="仿宋"/>
                <w:b/>
                <w:bCs/>
                <w:color w:val="000000"/>
                <w:sz w:val="24"/>
              </w:rPr>
            </w:pPr>
            <w:r>
              <w:rPr>
                <w:rFonts w:hint="eastAsia" w:ascii="仿宋" w:hAnsi="仿宋" w:eastAsia="仿宋" w:cs="仿宋"/>
                <w:b/>
                <w:bCs/>
                <w:color w:val="000000"/>
                <w:sz w:val="24"/>
              </w:rPr>
              <w:t xml:space="preserve">落实政府采购政策需满足的资格要求：此项目属于专门面向中小微企业采购的项目，供应商应为中小微企业、监狱企业、残疾人福利性单位；</w:t>
            </w:r>
            <w:r>
              <w:rPr>
                <w:rFonts w:hint="eastAsia" w:ascii="仿宋" w:hAnsi="仿宋" w:eastAsia="仿宋" w:cs="仿宋"/>
                <w:b/>
                <w:bCs/>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3.本项目的特定资格要求：无；</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同时明确相关事项如下：</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一、本项目不接受联合体参与采购活动。</w:t>
            </w:r>
            <w:r>
              <w:rPr>
                <w:rFonts w:hint="eastAsia" w:ascii="仿宋" w:hAnsi="仿宋" w:eastAsia="仿宋" w:cs="仿宋"/>
                <w:color w:val="000000"/>
                <w:sz w:val="24"/>
              </w:rPr>
            </w:r>
            <w:r/>
          </w:p>
          <w:p>
            <w:pPr>
              <w:pStyle w:val="905"/>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二、单位负责人为同一人或者存在直接控股、管理关系的不同供应商，不得参加同一合同项下的政府采购活动。</w:t>
            </w:r>
            <w:r>
              <w:rPr>
                <w:rFonts w:hint="eastAsia" w:ascii="仿宋" w:hAnsi="仿宋" w:eastAsia="仿宋" w:cs="仿宋"/>
                <w:color w:val="000000"/>
                <w:sz w:val="24"/>
              </w:rPr>
            </w:r>
            <w:r/>
          </w:p>
          <w:p>
            <w:pPr>
              <w:pStyle w:val="905"/>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三、为本采购项目提供整体设计、规范编制或者项目管理、监理、检测等服务的供应商，不得再参加本采购项目的采购活动。</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四、查询及使用供应商信用记录：</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(一)由采购人查询信用信息。</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(二)查询渠道包括：</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1.“信用中国”网（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"http://www.creditchina.gov.cn/"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www.creditchina.gov.cn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2.“中国政府采购”网（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"http://www.ccgp.gov.cn/"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www.ccgp.gov.cn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3.“信用江苏”网（http://credit.jiangsu.gov.cn）；</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4.“信用中国（江苏徐州）”网（</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"http://www.xuzhoucredit.gov.cn/"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www.xuzhoucredit.gov.cn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(三)截止时点（查询环节）：资格审查结束前。</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(四)信用信息查询记录和证据留存的具体方式：网页截屏打印，与其他采购文件一并保存。</w:t>
            </w:r>
            <w:r>
              <w:rPr>
                <w:rFonts w:hint="eastAsia" w:ascii="仿宋" w:hAnsi="仿宋" w:eastAsia="仿宋" w:cs="仿宋"/>
                <w:color w:val="000000"/>
                <w:sz w:val="24"/>
              </w:rPr>
            </w:r>
            <w:r/>
          </w:p>
          <w:p>
            <w:pPr>
              <w:pStyle w:val="90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(五)信用信息的使用规则：</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(七)</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b/>
                <w:bCs/>
                <w:color w:val="000000"/>
                <w:sz w:val="24"/>
              </w:rPr>
              <w:t xml:space="preserve">招标代理服务费由中标人支付，标准见《招标代理服务收费标准》（见附件）。</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招标</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(九)1</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bCs/>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(九)2</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tabs>
                <w:tab w:val="left" w:pos="5760" w:leader="none"/>
              </w:tabs>
              <w:rPr>
                <w:rFonts w:hint="eastAsia" w:ascii="仿宋" w:hAnsi="仿宋" w:eastAsia="仿宋" w:cs="仿宋"/>
                <w:color w:val="000000"/>
                <w:sz w:val="24"/>
              </w:rPr>
            </w:pPr>
            <w:r>
              <w:rPr>
                <w:rFonts w:hint="eastAsia" w:ascii="仿宋" w:hAnsi="仿宋" w:eastAsia="仿宋" w:cs="仿宋"/>
                <w:color w:val="000000"/>
                <w:sz w:val="24"/>
              </w:rPr>
              <w:t xml:space="preserve">不安排现场考察。</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(九)3</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不安排开标前答疑会。</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w:t>
            </w:r>
            <w:r>
              <w:rPr>
                <w:rFonts w:hint="eastAsia" w:ascii="仿宋" w:hAnsi="仿宋" w:eastAsia="仿宋" w:cs="仿宋"/>
                <w:color w:val="000000"/>
                <w:sz w:val="24"/>
              </w:rPr>
            </w:r>
            <w:r/>
          </w:p>
        </w:tc>
      </w:tr>
      <w:tr>
        <w:trPr>
          <w:trHeight w:val="510"/>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(十一)</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tabs>
                <w:tab w:val="left" w:pos="5760" w:leader="none"/>
              </w:tabs>
              <w:rPr>
                <w:rFonts w:hint="eastAsia" w:ascii="仿宋" w:hAnsi="仿宋" w:eastAsia="仿宋" w:cs="仿宋"/>
                <w:color w:val="000000"/>
                <w:sz w:val="24"/>
              </w:rPr>
            </w:pPr>
            <w:r>
              <w:rPr>
                <w:rFonts w:hint="eastAsia" w:ascii="仿宋" w:hAnsi="仿宋" w:eastAsia="仿宋" w:cs="仿宋"/>
                <w:color w:val="000000"/>
                <w:sz w:val="24"/>
              </w:rPr>
              <w:t xml:space="preserve">投标文件的语言为中文</w:t>
            </w:r>
            <w:r>
              <w:rPr>
                <w:rFonts w:hint="eastAsia" w:ascii="仿宋" w:hAnsi="仿宋" w:eastAsia="仿宋" w:cs="仿宋"/>
                <w:color w:val="000000"/>
                <w:sz w:val="24"/>
              </w:rPr>
            </w:r>
            <w:r/>
          </w:p>
        </w:tc>
      </w:tr>
      <w:tr>
        <w:trPr>
          <w:trHeight w:val="90"/>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(十二)1</w:t>
            </w:r>
            <w:r>
              <w:rPr>
                <w:rFonts w:hint="eastAsia" w:ascii="仿宋" w:hAnsi="仿宋" w:eastAsia="仿宋" w:cs="仿宋"/>
                <w:color w:val="000000"/>
                <w:sz w:val="24"/>
              </w:rPr>
            </w:r>
            <w:r/>
          </w:p>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(十二)2</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线上投标文件编制要求：</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请按照以下要求（包括但不限于以下要求）制作：</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一、基本目录</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1.《开标一览表》（加盖电子签章，政府采购客户端工具输入报价自动生成）；</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2.《授权委托书》（提供原件的扫描件，格式见招标文件第七章《投标文件相关格式》）。</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3.招标文件要求或投标人认为需要提供的其他资料（如有）。</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二、资格条件（1-5必须提供，加盖电子签章，否则投标无效）</w:t>
            </w:r>
            <w:r>
              <w:rPr>
                <w:rFonts w:hint="eastAsia" w:ascii="仿宋" w:hAnsi="仿宋" w:eastAsia="仿宋" w:cs="仿宋"/>
                <w:b/>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bCs/>
                <w:color w:val="000000"/>
                <w:sz w:val="24"/>
              </w:rPr>
              <w:t xml:space="preserve">投标人合法有效的法人的营业执照，或事业单位法人证书，或民办非企业单位登记证书（</w:t>
            </w:r>
            <w:r>
              <w:rPr>
                <w:rFonts w:hint="eastAsia" w:ascii="仿宋" w:hAnsi="仿宋" w:eastAsia="仿宋" w:cs="仿宋"/>
                <w:b/>
                <w:color w:val="000000"/>
                <w:sz w:val="24"/>
              </w:rPr>
              <w:t xml:space="preserve">提供原件的扫描件</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2.财务状况报告，至少提供：</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（1）供应商的“首次响应文件提交的截止时间”前6个月内任何1月（不含“首次响应文件提交的截止时间”当月）的资产负债表的扫描件1份；</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（2）供应商的“首次响应文件提交的截止时间”前6个月内任何1月（不含“首次响应文件提交的截止时间”当月）的利润表月报表的扫描件1份。或提供2025年度财务报告。</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3.投标人依法缴纳税收和社会保障资金的记录：</w:t>
            </w:r>
            <w:r>
              <w:rPr>
                <w:rFonts w:hint="eastAsia" w:ascii="仿宋" w:hAnsi="仿宋" w:eastAsia="仿宋" w:cs="仿宋"/>
                <w:color w:val="000000"/>
                <w:sz w:val="24"/>
              </w:rPr>
            </w:r>
            <w:r/>
          </w:p>
          <w:p>
            <w:pPr>
              <w:pStyle w:val="795"/>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b/>
                <w:bCs/>
                <w:color w:val="000000"/>
                <w:sz w:val="24"/>
                <w:lang w:eastAsia="zh-CN"/>
              </w:rPr>
            </w:pPr>
            <w:r>
              <w:rPr>
                <w:rFonts w:hint="eastAsia" w:ascii="仿宋" w:hAnsi="仿宋" w:eastAsia="仿宋" w:cs="仿宋"/>
                <w:color w:val="000000"/>
                <w:sz w:val="24"/>
              </w:rPr>
              <w:t xml:space="preserve">4.具备履行合同所必需的设备和专业技术能力的证明材料（加盖电子签章，格式见《招标文件》附件）</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eastAsia="zh-CN"/>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5.投标人参加政府采购活动前3年内在经营活动中没有重大违法记录的书面声明（加盖电子签章，格式见《招标文件》附件）。</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三、符合条件（必须提供，否则投标无效）</w:t>
            </w:r>
            <w:r>
              <w:rPr>
                <w:rFonts w:hint="eastAsia" w:ascii="仿宋" w:hAnsi="仿宋" w:eastAsia="仿宋" w:cs="仿宋"/>
                <w:b/>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(一)报价</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《分项价格表》（加盖电子签章，格式见招标文件第七章《投标文件相关格式》）；</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（二）商务资信</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《投标函》（加盖电子签章，格式见招标文件第七章《投标文件相关格式》）；</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（三）技术响应</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《偏离表》（加盖电子签章，格式见招标文件第七章《投标文件相关格式》）；</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b/>
                <w:bCs/>
                <w:color w:val="000000"/>
                <w:sz w:val="24"/>
              </w:rPr>
            </w:pPr>
            <w:r>
              <w:rPr>
                <w:rFonts w:hint="eastAsia" w:ascii="仿宋" w:hAnsi="仿宋" w:eastAsia="仿宋" w:cs="仿宋"/>
                <w:color w:val="000000"/>
                <w:sz w:val="24"/>
              </w:rPr>
              <w:t xml:space="preserve"> </w:t>
            </w:r>
            <w:r>
              <w:rPr>
                <w:rFonts w:hint="eastAsia" w:ascii="仿宋" w:hAnsi="仿宋" w:eastAsia="仿宋" w:cs="仿宋"/>
                <w:b/>
                <w:bCs/>
                <w:color w:val="000000"/>
                <w:sz w:val="24"/>
              </w:rPr>
              <w:t xml:space="preserve">四、综合评审评分项</w:t>
            </w:r>
            <w:r>
              <w:rPr>
                <w:rFonts w:hint="eastAsia" w:ascii="仿宋" w:hAnsi="仿宋" w:eastAsia="仿宋" w:cs="仿宋"/>
                <w:b/>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（一）技术部分</w:t>
            </w:r>
            <w:r>
              <w:rPr>
                <w:rFonts w:hint="eastAsia" w:ascii="仿宋" w:hAnsi="仿宋" w:eastAsia="仿宋" w:cs="仿宋"/>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1.项目分析：</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投标人根据招标文件、地方情况和个人理解等方面，对项目整体、作业范围、作业难点重点等进行分析。</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投标人应根据镇区保洁特点编制管理方案。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3.村庄保洁管理方案：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投标人应根据村庄保洁特点编制管理方案。</w:t>
            </w:r>
            <w:r>
              <w:rPr>
                <w:rFonts w:hint="eastAsia" w:ascii="仿宋" w:hAnsi="仿宋" w:eastAsia="仿宋" w:cs="仿宋"/>
                <w:bCs/>
                <w:color w:val="000000"/>
                <w:sz w:val="24"/>
              </w:rPr>
            </w:r>
            <w:r/>
          </w:p>
          <w:p>
            <w:pPr>
              <w:pStyle w:val="795"/>
              <w:ind w:firstLine="480"/>
              <w:spacing w:line="360" w:lineRule="auto"/>
              <w:widowControl/>
              <w:rPr>
                <w:rFonts w:hint="eastAsia" w:ascii="仿宋" w:hAnsi="仿宋" w:eastAsia="仿宋" w:cs="仿宋"/>
                <w:color w:val="000000"/>
                <w:sz w:val="24"/>
                <w:lang w:bidi="ar"/>
              </w:rPr>
            </w:pPr>
            <w:r>
              <w:rPr>
                <w:rFonts w:hint="eastAsia" w:ascii="仿宋" w:hAnsi="仿宋" w:eastAsia="仿宋" w:cs="仿宋"/>
                <w:bCs/>
                <w:color w:val="000000"/>
                <w:sz w:val="24"/>
              </w:rPr>
              <w:t xml:space="preserve">4.</w:t>
            </w: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color w:val="000000"/>
                <w:sz w:val="24"/>
                <w:lang w:bidi="ar"/>
              </w:rPr>
              <w:t xml:space="preserve">根据机械化设备配备、作业方案、日常和季节性作业时间安排、停车场地、机械化设备管理制度、内部人员管理制度、内部人员岗位职责、设备保养等内容</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5.人工保洁管理方案：</w:t>
            </w:r>
            <w:r>
              <w:rPr>
                <w:rFonts w:hint="eastAsia" w:ascii="仿宋" w:hAnsi="仿宋" w:eastAsia="仿宋" w:cs="仿宋"/>
                <w:bCs/>
                <w:color w:val="000000"/>
                <w:sz w:val="24"/>
              </w:rPr>
            </w:r>
            <w:r/>
          </w:p>
          <w:p>
            <w:pPr>
              <w:pStyle w:val="795"/>
              <w:ind w:firstLine="480"/>
              <w:jc w:val="left"/>
              <w:spacing w:line="360" w:lineRule="auto"/>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根据提高劳动生产率、工人工资福利待遇保障、优化保洁人员配置等内容制定方案。</w:t>
            </w:r>
            <w:r>
              <w:rPr>
                <w:rFonts w:ascii="仿宋" w:hAnsi="仿宋" w:eastAsia="仿宋" w:cs="仿宋"/>
                <w:color w:val="000000"/>
                <w:sz w:val="24"/>
                <w:lang w:bidi="ar"/>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6.</w:t>
            </w:r>
            <w:r>
              <w:rPr>
                <w:rFonts w:hint="eastAsia" w:ascii="仿宋" w:hAnsi="仿宋" w:eastAsia="仿宋" w:cs="仿宋"/>
                <w:bCs/>
                <w:color w:val="000000"/>
                <w:sz w:val="24"/>
              </w:rPr>
              <w:t xml:space="preserve">文明、安全作业管理实施方案</w:t>
            </w:r>
            <w:r>
              <w:rPr>
                <w:rFonts w:hint="eastAsia" w:ascii="仿宋" w:hAnsi="仿宋" w:eastAsia="仿宋" w:cs="仿宋"/>
                <w:bCs/>
                <w:color w:val="000000"/>
                <w:sz w:val="24"/>
              </w:rPr>
            </w:r>
            <w:r/>
          </w:p>
          <w:p>
            <w:pPr>
              <w:pStyle w:val="795"/>
              <w:ind w:firstLine="480"/>
              <w:jc w:val="left"/>
              <w:spacing w:line="360" w:lineRule="auto"/>
              <w:widowControl/>
              <w:rPr>
                <w:rFonts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为了文明、安全地实施项目，制定详实的作业管理实施方案。</w:t>
            </w:r>
            <w:r>
              <w:rPr>
                <w:rFonts w:ascii="仿宋" w:hAnsi="仿宋" w:eastAsia="仿宋" w:cs="仿宋"/>
                <w:bCs/>
                <w:color w:val="000000"/>
                <w:sz w:val="24"/>
                <w:lang w:val="en-US" w:eastAsia="zh-CN"/>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7</w:t>
            </w:r>
            <w:r>
              <w:rPr>
                <w:rFonts w:hint="eastAsia" w:ascii="仿宋" w:hAnsi="仿宋" w:eastAsia="仿宋" w:cs="仿宋"/>
                <w:bCs/>
                <w:color w:val="000000"/>
                <w:sz w:val="24"/>
              </w:rPr>
              <w:t xml:space="preserve">.交接方案：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进退场交接流程及交接内容、相关交接承诺。</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8</w:t>
            </w:r>
            <w:r>
              <w:rPr>
                <w:rFonts w:hint="eastAsia" w:ascii="仿宋" w:hAnsi="仿宋" w:eastAsia="仿宋" w:cs="仿宋"/>
                <w:bCs/>
                <w:color w:val="000000"/>
                <w:sz w:val="24"/>
              </w:rPr>
              <w:t xml:space="preserve">.应急、突击保障方案：</w:t>
            </w:r>
            <w:r>
              <w:rPr>
                <w:rFonts w:hint="eastAsia" w:ascii="仿宋" w:hAnsi="仿宋" w:eastAsia="仿宋" w:cs="仿宋"/>
                <w:bCs/>
                <w:color w:val="000000"/>
                <w:sz w:val="24"/>
              </w:rPr>
            </w:r>
            <w:r/>
          </w:p>
          <w:p>
            <w:pPr>
              <w:pStyle w:val="795"/>
              <w:ind w:firstLine="480"/>
              <w:jc w:val="left"/>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方案内容中至少提供《重大活动保障应急预案》、《特殊季节性保洁应急预案》、《道路大面积污染应急预案》、《除雪应急预案》、《台风暴雨等恶劣天气应急预案》这五类预案。</w:t>
            </w:r>
            <w:r>
              <w:rPr>
                <w:rFonts w:hint="eastAsia" w:ascii="仿宋" w:hAnsi="仿宋" w:eastAsia="仿宋" w:cs="仿宋"/>
                <w:bCs/>
                <w:color w:val="000000"/>
                <w:sz w:val="24"/>
              </w:rPr>
            </w:r>
            <w:r/>
          </w:p>
          <w:p>
            <w:pPr>
              <w:pStyle w:val="795"/>
              <w:ind w:firstLine="480"/>
              <w:jc w:val="left"/>
              <w:spacing w:line="360" w:lineRule="auto"/>
              <w:widowControl/>
              <w:rPr>
                <w:rFonts w:ascii="仿宋" w:hAnsi="仿宋" w:eastAsia="仿宋" w:cs="仿宋"/>
                <w:bCs/>
                <w:color w:val="000000"/>
                <w:sz w:val="24"/>
              </w:rPr>
            </w:pPr>
            <w:r>
              <w:rPr>
                <w:rFonts w:hint="eastAsia" w:ascii="仿宋" w:hAnsi="仿宋" w:eastAsia="仿宋" w:cs="仿宋"/>
                <w:bCs/>
                <w:color w:val="000000"/>
                <w:sz w:val="24"/>
              </w:rPr>
              <w:t xml:space="preserve">详见招标文件评分细则和采购需求。</w:t>
            </w:r>
            <w:r>
              <w:rPr>
                <w:rFonts w:ascii="仿宋" w:hAnsi="仿宋" w:eastAsia="仿宋" w:cs="仿宋"/>
                <w:bCs/>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（二）商务部分</w:t>
            </w:r>
            <w:r>
              <w:rPr>
                <w:rFonts w:hint="eastAsia" w:ascii="仿宋" w:hAnsi="仿宋" w:eastAsia="仿宋" w:cs="仿宋"/>
                <w:color w:val="000000"/>
                <w:sz w:val="24"/>
              </w:rPr>
            </w:r>
            <w:r/>
          </w:p>
          <w:p>
            <w:pPr>
              <w:pStyle w:val="795"/>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1.投标人评价（要求见招标文件第四章《评标标准》）；</w:t>
            </w:r>
            <w:r>
              <w:rPr>
                <w:rFonts w:hint="eastAsia" w:ascii="仿宋" w:hAnsi="仿宋" w:eastAsia="仿宋" w:cs="仿宋"/>
                <w:color w:val="000000"/>
                <w:sz w:val="24"/>
              </w:rPr>
            </w:r>
            <w:r/>
          </w:p>
          <w:p>
            <w:pPr>
              <w:pStyle w:val="795"/>
              <w:ind w:firstLine="480"/>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2.投标人业绩（要求见招标文件第四章《评标标准》）。</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五、报价折扣证明</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1.企业报价折扣证明</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投标人提供的服务若全部由符合政策要求的中小企业承接的，提供《中小企业声明函》（加盖电子签章，填写完整。格式见招标文件第七章《投标文件相关格式》）。《中小企业声明函》查询渠道参考工业和信息化部发布的中小企业规模自测小程序。</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注：监狱企业和残疾人福利性单位等同于小微企业。</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    投标人为监狱企业的，提供省级以上监狱管理局、戒毒管理局（含新疆生产建设兵团）出具的属于监狱企业的证明文件原件的扫描件。</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具体以《财政部 司法部关于政府采购支持监狱企业发展有关问题的通知》（财库〔2014〕68号）的规定为准。</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享受政府采购支持政策的残疾人福利性单位应当同时满足以下条件：</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①安置的残疾人占本单位在职职工人数的比例不低于25%（含25%），并且安置的残疾人人数不少于10人（含10人）；</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②依法与安置的每位残疾人签订了一年以上（含一年）的劳动合同或服务协议；</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具体以《三部门联合发布关于促进残疾人就业政府采购政策的通知》（财库〔2017〕141号）规定为准。</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1、投标人应对以上文件的合法性、真实性负责。</w:t>
            </w:r>
            <w:r>
              <w:rPr>
                <w:rFonts w:hint="eastAsia" w:ascii="仿宋" w:hAnsi="仿宋" w:eastAsia="仿宋" w:cs="仿宋"/>
                <w:color w:val="000000"/>
                <w:sz w:val="24"/>
              </w:rPr>
            </w:r>
            <w:r/>
          </w:p>
          <w:p>
            <w:pPr>
              <w:pStyle w:val="795"/>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2、签订合同前，中标人必须向采购人提交其投标文件中所有扫描件的原件，采购人核查无误后，签订合同。如中标人不能在采购人规定的时间内向采购人提供，将被采购人视为放弃中标资格。特别要求的除外。</w:t>
            </w:r>
            <w:r>
              <w:rPr>
                <w:rFonts w:hint="eastAsia" w:ascii="仿宋" w:hAnsi="仿宋" w:eastAsia="仿宋" w:cs="仿宋"/>
                <w:color w:val="000000"/>
                <w:sz w:val="24"/>
              </w:rPr>
            </w:r>
            <w:r/>
          </w:p>
          <w:p>
            <w:pPr>
              <w:pStyle w:val="795"/>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3、线下纸质投标文件：中标人领取中标通知书时须向代理机构提交纸质胶装投标文件一正两副，后期招标人如有需要中标人仍需免费提供。</w:t>
            </w:r>
            <w:r>
              <w:rPr>
                <w:rFonts w:hint="eastAsia" w:ascii="仿宋" w:hAnsi="仿宋" w:eastAsia="仿宋" w:cs="仿宋"/>
                <w:bCs/>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(十三)2</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商务条件见：</w:t>
            </w:r>
            <w:r>
              <w:rPr>
                <w:rFonts w:hint="eastAsia" w:ascii="仿宋" w:hAnsi="仿宋" w:eastAsia="仿宋" w:cs="仿宋"/>
                <w:color w:val="000000"/>
                <w:sz w:val="24"/>
              </w:rPr>
            </w:r>
            <w:r/>
          </w:p>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一、本文件第四章《评标标准》中《评分细则》。</w:t>
            </w:r>
            <w:r>
              <w:rPr>
                <w:rFonts w:hint="eastAsia" w:ascii="仿宋" w:hAnsi="仿宋" w:eastAsia="仿宋" w:cs="仿宋"/>
                <w:color w:val="000000"/>
                <w:sz w:val="24"/>
              </w:rPr>
            </w:r>
            <w:r/>
          </w:p>
          <w:p>
            <w:pPr>
              <w:pStyle w:val="795"/>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二、本文件第三章《投标资料表》中(十二)1和(十二)2。</w:t>
            </w:r>
            <w:r>
              <w:rPr>
                <w:rFonts w:hint="eastAsia" w:ascii="仿宋" w:hAnsi="仿宋" w:eastAsia="仿宋" w:cs="仿宋"/>
                <w:bCs/>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(十三)3</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提供服务的时间：见本文件第五章 《拟签订的合同文本》及或本文件第六章《采购需求》。</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(十四)3</w:t>
            </w:r>
            <w:r>
              <w:rPr>
                <w:rFonts w:hint="eastAsia" w:ascii="仿宋" w:hAnsi="仿宋" w:eastAsia="仿宋" w:cs="仿宋"/>
                <w:color w:val="000000"/>
                <w:sz w:val="24"/>
              </w:rPr>
            </w:r>
            <w:r/>
          </w:p>
        </w:tc>
        <w:tc>
          <w:tcPr>
            <w:tcW w:w="7940" w:type="dxa"/>
            <w:vAlign w:val="top"/>
            <w:textDirection w:val="lrTb"/>
            <w:noWrap w:val="false"/>
          </w:tcPr>
          <w:p>
            <w:pPr>
              <w:pStyle w:val="795"/>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投标报价的要求：</w:t>
            </w:r>
            <w:r>
              <w:rPr>
                <w:rFonts w:hint="eastAsia" w:ascii="仿宋" w:hAnsi="仿宋" w:eastAsia="仿宋" w:cs="仿宋"/>
                <w:b/>
                <w:bCs/>
                <w:color w:val="000000"/>
                <w:sz w:val="24"/>
              </w:rPr>
            </w:r>
            <w:r/>
          </w:p>
          <w:p>
            <w:pPr>
              <w:pStyle w:val="795"/>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不接受超过803.5</w:t>
            </w:r>
            <w:r>
              <w:rPr>
                <w:rFonts w:hint="eastAsia" w:ascii="仿宋" w:hAnsi="仿宋" w:eastAsia="仿宋" w:cs="仿宋"/>
                <w:color w:val="000000"/>
                <w:sz w:val="24"/>
                <w:lang w:val="en-US" w:eastAsia="zh-CN"/>
              </w:rPr>
              <w:t xml:space="preserve">万元</w:t>
            </w:r>
            <w:r>
              <w:rPr>
                <w:rFonts w:hint="eastAsia" w:ascii="仿宋" w:hAnsi="仿宋" w:eastAsia="仿宋" w:cs="仿宋"/>
                <w:color w:val="000000"/>
                <w:sz w:val="24"/>
              </w:rPr>
              <w:t xml:space="preserve">人民币（采购项目预算金额）的投标报价；                                               </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注：报价包括项目涉及的一切税、费、投标人利润等全部费用。采购人不再支付报价以外的任何费用。</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(十六)</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以人民币报价。</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（十七）</w:t>
            </w:r>
            <w:r>
              <w:rPr>
                <w:rFonts w:hint="eastAsia" w:ascii="仿宋" w:hAnsi="仿宋" w:eastAsia="仿宋" w:cs="仿宋"/>
                <w:bCs/>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线上要求：</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投标人应当通过“苏采云”系统提交数据电文形式的投标文件（即电子投标）。</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特别说明：通过“苏采云”系统提交政府采购客户端工具导出加密的投标文件（后缀名为zip）。投标文件不得超过150M！</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 说明：本项目采用线上投标，即供应商投标文件从政府采购客户端工具制作通过“苏采云”系统提交，未提供线上投标文件的，投标无效。</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(十八)</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线上投标文件的密封、签署、盖章要求：</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一、投标文件的密封（加密）要求：</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二、投标文件的签署要求：见招标文件第七章《投标文件相关格式》。</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说明：投标人应在用CA数字证书以及自备的能够登录“苏采云”系统的笔记本电脑，在达到开标时间后，使用CA数字证书解密各自投标文件。</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投标人未按规定加密的投标文件，“苏采云”系统应当拒收并提示。</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(十九)</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投标文件的提交： </w:t>
            </w:r>
            <w:r>
              <w:rPr>
                <w:rFonts w:hint="eastAsia" w:ascii="仿宋" w:hAnsi="仿宋" w:eastAsia="仿宋" w:cs="仿宋"/>
                <w:color w:val="000000"/>
                <w:sz w:val="24"/>
              </w:rPr>
            </w:r>
            <w:r/>
          </w:p>
          <w:p>
            <w:pPr>
              <w:pStyle w:val="795"/>
              <w:ind w:left="560" w:hanging="560"/>
              <w:spacing w:line="40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1.投标文件提交时间：</w:t>
            </w:r>
            <w:r>
              <w:rPr>
                <w:rFonts w:hint="eastAsia" w:ascii="仿宋" w:hAnsi="仿宋" w:eastAsia="仿宋" w:cs="仿宋"/>
                <w:color w:val="000000"/>
                <w:sz w:val="24"/>
                <w:highlight w:val="white"/>
                <w:lang w:eastAsia="zh-CN"/>
              </w:rPr>
              <w:t xml:space="preserve">2026年8月13日北京时间10：00</w:t>
            </w:r>
            <w:r>
              <w:rPr>
                <w:rFonts w:hint="eastAsia" w:ascii="仿宋" w:hAnsi="仿宋" w:eastAsia="仿宋" w:cs="仿宋"/>
                <w:color w:val="000000"/>
                <w:sz w:val="24"/>
                <w:highlight w:val="white"/>
              </w:rPr>
              <w:t xml:space="preserve">前。</w:t>
            </w:r>
            <w:r>
              <w:rPr>
                <w:rFonts w:hint="eastAsia" w:ascii="仿宋" w:hAnsi="仿宋" w:eastAsia="仿宋" w:cs="仿宋"/>
                <w:color w:val="000000"/>
                <w:sz w:val="24"/>
                <w:highlight w:val="white"/>
              </w:rPr>
            </w:r>
            <w:r/>
          </w:p>
          <w:p>
            <w:pPr>
              <w:pStyle w:val="795"/>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2.投标截止时间：</w:t>
            </w:r>
            <w:r>
              <w:rPr>
                <w:rFonts w:hint="eastAsia" w:ascii="仿宋" w:hAnsi="仿宋" w:eastAsia="仿宋" w:cs="仿宋"/>
                <w:color w:val="000000"/>
                <w:sz w:val="24"/>
                <w:highlight w:val="white"/>
                <w:lang w:eastAsia="zh-CN"/>
              </w:rPr>
              <w:t xml:space="preserve">2026年8月13日北京时间10：00</w:t>
            </w:r>
            <w:r>
              <w:rPr>
                <w:rFonts w:hint="eastAsia" w:ascii="仿宋" w:hAnsi="仿宋" w:eastAsia="仿宋" w:cs="仿宋"/>
                <w:color w:val="000000"/>
                <w:sz w:val="24"/>
                <w:highlight w:val="white"/>
              </w:rPr>
              <w:t xml:space="preserve">。</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highlight w:val="yellow"/>
              </w:rPr>
            </w:pPr>
            <w:r>
              <w:rPr>
                <w:rFonts w:hint="eastAsia" w:ascii="仿宋" w:hAnsi="仿宋" w:eastAsia="仿宋" w:cs="仿宋"/>
                <w:color w:val="000000"/>
                <w:sz w:val="24"/>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4"/>
                <w:highlight w:val="yellow"/>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投标人应在达到开标时间后，使用CA数字证书解密各自投标文件。</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b/>
                <w:color w:val="000000"/>
                <w:sz w:val="24"/>
              </w:rPr>
              <w:t xml:space="preserve">说明：投标人应登录“苏采云”系统，在达到开标时间后，使用CA数字证书解密各自投标文件。</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开标</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(二十五)1</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开标时间及地点：</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1.开标时间：</w:t>
            </w:r>
            <w:r>
              <w:rPr>
                <w:rFonts w:hint="eastAsia" w:ascii="仿宋" w:hAnsi="仿宋" w:eastAsia="仿宋" w:cs="仿宋"/>
                <w:color w:val="000000"/>
                <w:sz w:val="24"/>
                <w:highlight w:val="white"/>
                <w:lang w:eastAsia="zh-CN"/>
              </w:rPr>
              <w:t xml:space="preserve">2026年8月13日北京时间10：00</w:t>
            </w:r>
            <w:r>
              <w:rPr>
                <w:rFonts w:hint="eastAsia" w:ascii="仿宋" w:hAnsi="仿宋" w:eastAsia="仿宋" w:cs="仿宋"/>
                <w:color w:val="000000"/>
                <w:sz w:val="24"/>
                <w:highlight w:val="white"/>
              </w:rPr>
              <w:t xml:space="preserve">（标准时间）</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2.开标地点：“苏采云”系统（网址： http://jszfcg.jsczt.cn/）“开标大厅”或进入徐州政府采购网（网址：http://czj.xz.gov.cn/Home/HomeIndex）--业务工作--用户登录，点击“苏采云”进入系统“开标大厅”。</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(二十五)3</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所有投标人解密（或解密时间）结束后，“苏采云”系统生成开标记录并向社会公众公布，但依法应当保密的除外。</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五</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评标</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(二十七)</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采用综合评分法。</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(二十八)1</w:t>
            </w:r>
            <w:r>
              <w:rPr>
                <w:rFonts w:hint="eastAsia" w:ascii="仿宋" w:hAnsi="仿宋" w:eastAsia="仿宋" w:cs="仿宋"/>
                <w:color w:val="000000"/>
                <w:sz w:val="24"/>
              </w:rPr>
            </w:r>
            <w:r/>
          </w:p>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(二十八)1（4）</w:t>
            </w:r>
            <w:r>
              <w:rPr>
                <w:rFonts w:hint="eastAsia" w:ascii="仿宋" w:hAnsi="仿宋" w:eastAsia="仿宋" w:cs="仿宋"/>
                <w:color w:val="000000"/>
                <w:sz w:val="24"/>
              </w:rPr>
            </w:r>
            <w:r/>
          </w:p>
        </w:tc>
        <w:tc>
          <w:tcPr>
            <w:tcW w:w="7940" w:type="dxa"/>
            <w:vAlign w:val="top"/>
            <w:textDirection w:val="lrTb"/>
            <w:noWrap w:val="false"/>
          </w:tcPr>
          <w:p>
            <w:pPr>
              <w:pStyle w:val="795"/>
              <w:ind w:left="560" w:hanging="56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一、推荐中标候选供应商名单。中标候选供应商数量应当根据采购需要确定，但必须按顺序排列中标候选供应商。</w:t>
            </w:r>
            <w:r>
              <w:rPr>
                <w:rFonts w:hint="eastAsia" w:ascii="仿宋" w:hAnsi="仿宋" w:eastAsia="仿宋" w:cs="仿宋"/>
                <w:color w:val="000000"/>
                <w:sz w:val="24"/>
              </w:rPr>
            </w:r>
            <w:r/>
          </w:p>
          <w:p>
            <w:pPr>
              <w:pStyle w:val="795"/>
              <w:ind w:left="560" w:hanging="560"/>
              <w:spacing w:line="400" w:lineRule="exact"/>
              <w:rPr>
                <w:rFonts w:hint="eastAsia" w:ascii="仿宋" w:hAnsi="仿宋" w:eastAsia="仿宋" w:cs="仿宋"/>
                <w:bCs/>
                <w:color w:val="000000"/>
                <w:sz w:val="24"/>
              </w:rPr>
            </w:pPr>
            <w:r>
              <w:rPr>
                <w:rFonts w:hint="eastAsia" w:ascii="仿宋" w:hAnsi="仿宋" w:eastAsia="仿宋" w:cs="仿宋"/>
                <w:color w:val="000000"/>
                <w:sz w:val="24"/>
              </w:rPr>
              <w:t xml:space="preserve">二、采用综合评分法的，按评审后得分由高到低顺序排列。得分相同的，按投标报价由低到高顺序排列。得分且投标报价相同的，按技术方案得分顺序排列。</w:t>
            </w:r>
            <w:r>
              <w:rPr>
                <w:rFonts w:hint="eastAsia" w:ascii="仿宋" w:hAnsi="仿宋" w:eastAsia="仿宋" w:cs="仿宋"/>
                <w:bCs/>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（二十九）</w:t>
            </w:r>
            <w:r>
              <w:rPr>
                <w:rFonts w:hint="eastAsia" w:ascii="仿宋" w:hAnsi="仿宋" w:eastAsia="仿宋" w:cs="仿宋"/>
                <w:color w:val="000000"/>
                <w:sz w:val="24"/>
              </w:rPr>
            </w:r>
            <w:r/>
          </w:p>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七</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政府采购合同</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(三十七)1</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4"/>
              </w:rPr>
            </w:r>
            <w:r/>
          </w:p>
        </w:tc>
      </w:tr>
      <w:tr>
        <w:trPr/>
        <w:tc>
          <w:tcPr>
            <w:tcW w:w="156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（三十八）</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履约保证金：中标金额的1%。</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(四十一)</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二、供应商在法定质疑期内一次性提出针对同一采购程序环节的质疑。</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质疑接收人：赵晋川;联系电话：</w:t>
            </w:r>
            <w:r>
              <w:rPr>
                <w:rFonts w:hint="eastAsia" w:ascii="仿宋" w:hAnsi="仿宋" w:eastAsia="仿宋" w:cs="仿宋"/>
                <w:color w:val="000000"/>
                <w:sz w:val="24"/>
                <w:lang w:bidi="ar"/>
              </w:rPr>
              <w:t xml:space="preserve">15062125864</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办公地址：徐州市云龙区绿地商务城悦庭B02-1109</w:t>
            </w:r>
            <w:r>
              <w:rPr>
                <w:rFonts w:hint="eastAsia" w:ascii="仿宋" w:hAnsi="仿宋" w:eastAsia="仿宋" w:cs="仿宋"/>
                <w:color w:val="000000"/>
                <w:sz w:val="24"/>
              </w:rPr>
            </w:r>
            <w:r/>
          </w:p>
        </w:tc>
      </w:tr>
      <w:tr>
        <w:trPr/>
        <w:tc>
          <w:tcPr>
            <w:tcW w:w="1560" w:type="dxa"/>
            <w:vAlign w:val="top"/>
            <w:textDirection w:val="lrTb"/>
            <w:noWrap w:val="false"/>
          </w:tcPr>
          <w:p>
            <w:pPr>
              <w:pStyle w:val="795"/>
              <w:jc w:val="center"/>
              <w:spacing w:line="400" w:lineRule="exact"/>
              <w:rPr>
                <w:rFonts w:hint="eastAsia" w:ascii="仿宋" w:hAnsi="仿宋" w:eastAsia="仿宋" w:cs="仿宋"/>
                <w:color w:val="000000"/>
                <w:sz w:val="24"/>
              </w:rPr>
            </w:pPr>
            <w:r>
              <w:rPr>
                <w:rFonts w:hint="eastAsia" w:ascii="仿宋" w:hAnsi="仿宋" w:eastAsia="仿宋" w:cs="仿宋"/>
                <w:bCs/>
                <w:color w:val="000000"/>
                <w:sz w:val="24"/>
              </w:rPr>
              <w:t xml:space="preserve">附加说明</w:t>
            </w:r>
            <w:r>
              <w:rPr>
                <w:rFonts w:hint="eastAsia" w:ascii="仿宋" w:hAnsi="仿宋" w:eastAsia="仿宋" w:cs="仿宋"/>
                <w:color w:val="000000"/>
                <w:sz w:val="24"/>
              </w:rPr>
            </w:r>
            <w:r/>
          </w:p>
        </w:tc>
        <w:tc>
          <w:tcPr>
            <w:tcW w:w="7940" w:type="dxa"/>
            <w:vAlign w:val="top"/>
            <w:textDirection w:val="lrTb"/>
            <w:noWrap w:val="false"/>
          </w:tcPr>
          <w:p>
            <w:pPr>
              <w:pStyle w:val="795"/>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及与电子投标文件一致的纸质投标文件正、副本各一套，正本逐页加盖鲜章，副本可以是正本的复印件。</w:t>
            </w:r>
            <w:r>
              <w:rPr>
                <w:rFonts w:hint="eastAsia" w:ascii="仿宋" w:hAnsi="仿宋" w:eastAsia="仿宋" w:cs="仿宋"/>
                <w:color w:val="000000"/>
                <w:sz w:val="24"/>
              </w:rPr>
            </w:r>
            <w:r/>
          </w:p>
        </w:tc>
      </w:tr>
    </w:tbl>
    <w:p>
      <w:pPr>
        <w:pStyle w:val="795"/>
        <w:spacing w:line="520" w:lineRule="exact"/>
        <w:widowControl/>
        <w:rPr>
          <w:rFonts w:hint="eastAsia" w:ascii="仿宋" w:hAnsi="仿宋" w:eastAsia="仿宋" w:cs="仿宋"/>
          <w:color w:val="000000"/>
          <w:sz w:val="24"/>
        </w:rPr>
      </w:pPr>
      <w:r/>
      <w:bookmarkStart w:id="6" w:name="_Toc522790133"/>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rPr>
      </w:r>
      <w:r>
        <w:rPr>
          <w:rFonts w:hint="eastAsia" w:ascii="仿宋" w:hAnsi="仿宋" w:eastAsia="仿宋" w:cs="仿宋"/>
          <w:color w:val="000000"/>
          <w:sz w:val="24"/>
        </w:rPr>
      </w:r>
      <w:r/>
    </w:p>
    <w:p>
      <w:pPr>
        <w:pStyle w:val="795"/>
        <w:spacing w:line="520" w:lineRule="exact"/>
        <w:widowControl/>
        <w:rPr>
          <w:rFonts w:hint="eastAsia" w:ascii="仿宋" w:hAnsi="仿宋" w:eastAsia="仿宋" w:cs="仿宋"/>
          <w:color w:val="000000"/>
          <w:sz w:val="24"/>
          <w:szCs w:val="24"/>
        </w:rPr>
      </w:pPr>
      <w:r>
        <w:rPr>
          <w:rFonts w:hint="eastAsia" w:ascii="仿宋" w:hAnsi="仿宋" w:eastAsia="仿宋" w:cs="仿宋"/>
          <w:color w:val="000000"/>
          <w:sz w:val="24"/>
        </w:rPr>
      </w:r>
      <w:r/>
    </w:p>
    <w:p>
      <w:pPr>
        <w:pStyle w:val="795"/>
        <w:jc w:val="center"/>
        <w:spacing w:line="520" w:lineRule="exact"/>
        <w:widowControl/>
        <w:rPr>
          <w:rFonts w:hint="eastAsia" w:ascii="仿宋" w:hAnsi="仿宋" w:eastAsia="仿宋" w:cs="仿宋"/>
          <w:b/>
          <w:color w:val="000000"/>
          <w:sz w:val="24"/>
        </w:rPr>
      </w:pPr>
      <w:r>
        <w:rPr>
          <w:rFonts w:hint="eastAsia" w:ascii="仿宋" w:hAnsi="仿宋" w:eastAsia="仿宋" w:cs="仿宋"/>
          <w:color w:val="000000"/>
          <w:sz w:val="24"/>
        </w:rPr>
        <w:t xml:space="preserve">本章附件：</w:t>
      </w:r>
      <w:r>
        <w:rPr>
          <w:rFonts w:hint="eastAsia" w:ascii="仿宋" w:hAnsi="仿宋" w:eastAsia="仿宋" w:cs="仿宋"/>
          <w:b/>
          <w:color w:val="000000"/>
          <w:sz w:val="24"/>
        </w:rPr>
        <w:t xml:space="preserve">招标代理服务收费标准</w:t>
      </w:r>
      <w:r>
        <w:rPr>
          <w:rFonts w:hint="eastAsia" w:ascii="仿宋" w:hAnsi="仿宋" w:eastAsia="仿宋" w:cs="仿宋"/>
          <w:b/>
          <w:color w:val="000000"/>
          <w:sz w:val="24"/>
        </w:rPr>
      </w:r>
      <w:r/>
    </w:p>
    <w:p>
      <w:pPr>
        <w:pStyle w:val="854"/>
        <w:rPr>
          <w:rFonts w:hint="eastAsia"/>
          <w:color w:val="000000"/>
        </w:rPr>
      </w:pPr>
      <w:r>
        <w:rPr>
          <w:rFonts w:hint="eastAsia"/>
          <w:color w:val="000000"/>
        </w:rPr>
      </w:r>
      <w:r/>
    </w:p>
    <w:tbl>
      <w:tblPr>
        <w:tblW w:w="0" w:type="auto"/>
        <w:jc w:val="center"/>
        <w:tblCellSpacing w:w="0" w:type="dxa"/>
        <w:tblInd w:w="-236"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9"/>
        <w:gridCol w:w="2740"/>
      </w:tblGrid>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中标或者成交金额</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费率</w:t>
            </w:r>
            <w:r>
              <w:rPr>
                <w:rFonts w:hint="eastAsia" w:ascii="仿宋" w:hAnsi="仿宋" w:eastAsia="仿宋" w:cs="仿宋"/>
                <w:color w:val="000000"/>
                <w:sz w:val="24"/>
              </w:rPr>
            </w:r>
            <w:r/>
          </w:p>
        </w:tc>
      </w:tr>
      <w:tr>
        <w:trPr>
          <w:tblCellSpacing w:w="0" w:type="dxa"/>
          <w:trHeight w:val="811"/>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最低收费金额（每个委托项目）</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5000元</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50万元以下（含50万元）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1.60%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50~400万元（含400万元）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1.50%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400~1000万元（含1000万元）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1.10%</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1000~5000万元（含5000万元）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0.80%</w:t>
            </w:r>
            <w:r>
              <w:rPr>
                <w:rFonts w:hint="eastAsia" w:ascii="仿宋" w:hAnsi="仿宋" w:eastAsia="仿宋" w:cs="仿宋"/>
                <w:color w:val="000000"/>
                <w:sz w:val="24"/>
              </w:rPr>
            </w:r>
            <w:r/>
          </w:p>
        </w:tc>
      </w:tr>
      <w:tr>
        <w:trPr>
          <w:tblCellSpacing w:w="0" w:type="dxa"/>
          <w:trHeight w:val="561"/>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5000~1亿元（含1亿元）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0.25%</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1~10亿元（含10亿元）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0.05%</w:t>
            </w:r>
            <w:r>
              <w:rPr>
                <w:rFonts w:hint="eastAsia" w:ascii="仿宋" w:hAnsi="仿宋" w:eastAsia="仿宋" w:cs="仿宋"/>
                <w:color w:val="000000"/>
                <w:sz w:val="24"/>
              </w:rPr>
            </w:r>
            <w:r/>
          </w:p>
        </w:tc>
      </w:tr>
      <w:tr>
        <w:trPr>
          <w:tblCellSpacing w:w="0" w:type="dxa"/>
          <w:trHeight w:val="547"/>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10~50亿元（含50亿元）</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0.01%</w:t>
            </w:r>
            <w:r>
              <w:rPr>
                <w:rFonts w:hint="eastAsia" w:ascii="仿宋" w:hAnsi="仿宋" w:eastAsia="仿宋" w:cs="仿宋"/>
                <w:color w:val="000000"/>
                <w:sz w:val="24"/>
              </w:rPr>
            </w:r>
            <w:r/>
          </w:p>
        </w:tc>
      </w:tr>
      <w:tr>
        <w:trPr>
          <w:tblCellSpacing w:w="0" w:type="dxa"/>
          <w:trHeight w:val="623"/>
        </w:trPr>
        <w:tc>
          <w:tcPr>
            <w:tcW w:w="4979"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50亿元以上</w:t>
            </w:r>
            <w:r>
              <w:rPr>
                <w:rFonts w:hint="eastAsia" w:ascii="仿宋" w:hAnsi="仿宋" w:eastAsia="仿宋" w:cs="仿宋"/>
                <w:color w:val="000000"/>
                <w:sz w:val="24"/>
              </w:rPr>
            </w:r>
            <w:r/>
          </w:p>
        </w:tc>
        <w:tc>
          <w:tcPr>
            <w:tcW w:w="2740" w:type="dxa"/>
            <w:vAlign w:val="center"/>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t xml:space="preserve">0.005%</w:t>
            </w:r>
            <w:r>
              <w:rPr>
                <w:rFonts w:hint="eastAsia" w:ascii="仿宋" w:hAnsi="仿宋" w:eastAsia="仿宋" w:cs="仿宋"/>
                <w:color w:val="000000"/>
                <w:sz w:val="24"/>
              </w:rPr>
            </w:r>
            <w:r/>
          </w:p>
        </w:tc>
      </w:tr>
    </w:tbl>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说明：</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1.按上表计算的收费为代理服务全过程的收费金额。各社会代理机构不再收取采购文件制作售卖费用。</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2.代理服务费按差额定率累进法计算。</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3.代理服务费基准金额（按差额定率累进法计算的）=中标金额（按差额定率累进法计算的） * 费率（%）。</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4.代理服务费应收取金额=代理服务费基准金额（按差额定率累进法计算的）的合计数。</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5.定点类等无金额或事先不能计算出价格总额的项目，按中标（成交）金额100万元计算。</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6.有分包（分标段）的按一个项目计算。</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7.以上价格为协会指导价，具体可根据项目难易程度和优质优价原则协商确定。</w:t>
      </w:r>
      <w:r>
        <w:rPr>
          <w:rFonts w:hint="eastAsia" w:ascii="仿宋" w:hAnsi="仿宋" w:eastAsia="仿宋" w:cs="仿宋"/>
          <w:color w:val="000000"/>
          <w:sz w:val="24"/>
        </w:rPr>
      </w:r>
      <w:r/>
    </w:p>
    <w:p>
      <w:pPr>
        <w:pStyle w:val="795"/>
        <w:ind w:left="67" w:firstLine="560"/>
        <w:spacing w:line="44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left="67" w:firstLine="56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numPr>
          <w:ilvl w:val="0"/>
          <w:numId w:val="2"/>
        </w:numPr>
        <w:ind w:firstLine="420"/>
        <w:jc w:val="center"/>
        <w:spacing w:line="520" w:lineRule="exact"/>
        <w:widowControl/>
        <w:rPr>
          <w:rFonts w:hint="eastAsia" w:ascii="仿宋" w:hAnsi="仿宋" w:eastAsia="仿宋" w:cs="仿宋"/>
          <w:b/>
          <w:bCs/>
          <w:color w:val="000000"/>
          <w:sz w:val="24"/>
        </w:rPr>
      </w:pPr>
      <w:r/>
      <w:bookmarkStart w:id="7" w:name="_Toc9429"/>
      <w:r>
        <w:rPr>
          <w:rStyle w:val="1066"/>
          <w:rFonts w:hint="eastAsia" w:ascii="仿宋" w:hAnsi="仿宋" w:eastAsia="仿宋" w:cs="仿宋"/>
          <w:color w:val="000000"/>
          <w:sz w:val="24"/>
          <w:szCs w:val="24"/>
        </w:rPr>
        <w:t xml:space="preserve"> 评标标准</w:t>
      </w:r>
      <w:bookmarkEnd w:id="6"/>
      <w:r/>
      <w:bookmarkEnd w:id="7"/>
      <w:r>
        <w:rPr>
          <w:rFonts w:hint="eastAsia" w:ascii="仿宋" w:hAnsi="仿宋" w:eastAsia="仿宋" w:cs="仿宋"/>
          <w:b/>
          <w:bCs/>
          <w:color w:val="000000"/>
          <w:sz w:val="24"/>
        </w:rPr>
      </w:r>
      <w:r/>
    </w:p>
    <w:p>
      <w:pPr>
        <w:pStyle w:val="854"/>
        <w:rPr>
          <w:rFonts w:hint="eastAsia"/>
          <w:color w:val="000000"/>
        </w:rPr>
      </w:pPr>
      <w:r>
        <w:rPr>
          <w:rFonts w:hint="eastAsia"/>
          <w:color w:val="000000"/>
        </w:rPr>
      </w:r>
      <w:r/>
    </w:p>
    <w:tbl>
      <w:tblPr>
        <w:tblW w:w="9630"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1500"/>
        <w:gridCol w:w="6856"/>
      </w:tblGrid>
      <w:tr>
        <w:trPr>
          <w:trHeight w:val="311"/>
        </w:trPr>
        <w:tc>
          <w:tcPr>
            <w:gridSpan w:val="2"/>
            <w:tcW w:w="2774" w:type="dxa"/>
            <w:vAlign w:val="center"/>
            <w:textDirection w:val="lrTb"/>
            <w:noWrap w:val="false"/>
          </w:tcPr>
          <w:p>
            <w:pPr>
              <w:pStyle w:val="795"/>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评分项目</w:t>
            </w:r>
            <w:r>
              <w:rPr>
                <w:rFonts w:hint="eastAsia" w:ascii="仿宋" w:hAnsi="仿宋" w:eastAsia="仿宋" w:cs="仿宋"/>
                <w:b/>
                <w:bCs/>
                <w:color w:val="000000"/>
                <w:sz w:val="24"/>
              </w:rPr>
            </w:r>
            <w:r/>
          </w:p>
        </w:tc>
        <w:tc>
          <w:tcPr>
            <w:tcW w:w="6856" w:type="dxa"/>
            <w:vAlign w:val="center"/>
            <w:textDirection w:val="lrTb"/>
            <w:noWrap w:val="false"/>
          </w:tcPr>
          <w:p>
            <w:pPr>
              <w:pStyle w:val="795"/>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评分细则</w:t>
            </w:r>
            <w:r>
              <w:rPr>
                <w:rFonts w:hint="eastAsia" w:ascii="仿宋" w:hAnsi="仿宋" w:eastAsia="仿宋" w:cs="仿宋"/>
                <w:b/>
                <w:bCs/>
                <w:color w:val="000000"/>
                <w:sz w:val="24"/>
              </w:rPr>
            </w:r>
            <w:r/>
          </w:p>
        </w:tc>
      </w:tr>
      <w:tr>
        <w:trPr>
          <w:trHeight w:val="20"/>
        </w:trPr>
        <w:tc>
          <w:tcPr>
            <w:gridSpan w:val="2"/>
            <w:tcW w:w="2774" w:type="dxa"/>
            <w:vAlign w:val="center"/>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投标价格（</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0分）</w:t>
            </w:r>
            <w:r>
              <w:rPr>
                <w:rFonts w:hint="eastAsia" w:ascii="仿宋" w:hAnsi="仿宋" w:eastAsia="仿宋" w:cs="仿宋"/>
                <w:color w:val="000000"/>
                <w:sz w:val="24"/>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采用低价优先法计算，即满足招标文件要求且投标人评审价格 最低的投标报价为评标基准价，其价格得分为满分。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各投标人价格得分=最低报价（投标人的最低评审价格）÷ 各投标人评审价格×</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0。（按四舍五入取至小数点后两位）</w:t>
            </w:r>
            <w:r>
              <w:rPr>
                <w:rFonts w:hint="eastAsia" w:ascii="仿宋" w:hAnsi="仿宋" w:eastAsia="仿宋" w:cs="仿宋"/>
                <w:color w:val="000000"/>
                <w:sz w:val="24"/>
              </w:rPr>
            </w:r>
            <w:r/>
          </w:p>
        </w:tc>
      </w:tr>
      <w:tr>
        <w:trPr>
          <w:trHeight w:val="20"/>
        </w:trPr>
        <w:tc>
          <w:tcPr>
            <w:tcW w:w="1274" w:type="dxa"/>
            <w:vAlign w:val="center"/>
            <w:vMerge w:val="restart"/>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商务部分（</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投标人业绩（</w:t>
            </w:r>
            <w:r>
              <w:rPr>
                <w:rFonts w:hint="eastAsia" w:ascii="仿宋" w:hAnsi="仿宋" w:eastAsia="仿宋" w:cs="仿宋"/>
                <w:color w:val="000000"/>
                <w:sz w:val="24"/>
                <w:lang w:val="en-US" w:eastAsia="zh-CN" w:bidi="ar"/>
              </w:rPr>
              <w:t xml:space="preserve">2</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6856" w:type="dxa"/>
            <w:vAlign w:val="center"/>
            <w:textDirection w:val="lrTb"/>
            <w:noWrap w:val="false"/>
          </w:tcPr>
          <w:p>
            <w:pPr>
              <w:pStyle w:val="795"/>
              <w:spacing w:line="36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投标文件中提供投标人为卖方（乙方），合同签订日期在2023年01月01日以后，合同内容为与道路保洁相同或类似的业绩，每份得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 分；本项最高得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b/>
                <w:bCs/>
                <w:color w:val="000000"/>
                <w:sz w:val="24"/>
              </w:rPr>
              <w:t xml:space="preserve">投标文件中须提供中标通知书（成交通知书）、合同原件扫描件，不提供的不得分</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投标人评价（</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投标文件中提供投标人的：（ISO9001）质量体系认证证书扫描件、（ISO14001）环境体系认证证书扫描件、（ISO45001）职业健康体系认证证书扫描件，</w:t>
            </w:r>
            <w:r>
              <w:rPr>
                <w:rFonts w:hint="eastAsia" w:ascii="仿宋" w:hAnsi="仿宋" w:eastAsia="仿宋" w:cs="仿宋"/>
                <w:color w:val="000000"/>
                <w:sz w:val="24"/>
                <w:lang w:eastAsia="en-US"/>
              </w:rPr>
              <w:t xml:space="preserve">每提供一个得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eastAsia="en-US"/>
              </w:rPr>
              <w:t xml:space="preserve">分；本项最高得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en-US"/>
              </w:rPr>
              <w:t xml:space="preserve">分</w:t>
            </w:r>
            <w:r>
              <w:rPr>
                <w:rFonts w:hint="eastAsia" w:ascii="仿宋" w:hAnsi="仿宋" w:eastAsia="仿宋" w:cs="仿宋"/>
                <w:color w:val="000000"/>
                <w:sz w:val="24"/>
              </w:rPr>
              <w:t xml:space="preserve">，提供不全得0分</w:t>
            </w:r>
            <w:r>
              <w:rPr>
                <w:rFonts w:hint="eastAsia" w:ascii="仿宋" w:hAnsi="仿宋" w:eastAsia="仿宋" w:cs="仿宋"/>
                <w:color w:val="000000"/>
                <w:sz w:val="24"/>
                <w:lang w:eastAsia="en-US"/>
              </w:rPr>
              <w:t xml:space="preserve">。</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投标文件中提供证书原件扫描件，并须同时提供在认监委网站对体系证书的信息查询截图作为评审依据，已失效或撤销的不得分。</w:t>
            </w:r>
            <w:r>
              <w:rPr>
                <w:rFonts w:hint="eastAsia" w:ascii="仿宋" w:hAnsi="仿宋" w:eastAsia="仿宋" w:cs="仿宋"/>
                <w:b/>
                <w:bCs/>
                <w:color w:val="000000"/>
                <w:sz w:val="24"/>
                <w:lang w:bidi="ar"/>
              </w:rPr>
            </w:r>
            <w:r/>
          </w:p>
        </w:tc>
      </w:tr>
      <w:tr>
        <w:trPr>
          <w:trHeight w:val="20"/>
        </w:trPr>
        <w:tc>
          <w:tcPr>
            <w:tcW w:w="1274" w:type="dxa"/>
            <w:vAlign w:val="center"/>
            <w:vMerge w:val="restart"/>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技术部分</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65</w:t>
            </w:r>
            <w:r>
              <w:rPr>
                <w:rFonts w:hint="eastAsia" w:ascii="仿宋" w:hAnsi="仿宋" w:eastAsia="仿宋" w:cs="仿宋"/>
                <w:color w:val="000000"/>
                <w:sz w:val="24"/>
                <w:lang w:bidi="ar"/>
              </w:rPr>
              <w:t xml:space="preserve">分）</w:t>
            </w:r>
            <w:r>
              <w:rPr>
                <w:rFonts w:hint="eastAsia" w:ascii="仿宋" w:hAnsi="仿宋" w:eastAsia="仿宋" w:cs="仿宋"/>
                <w:color w:val="000000"/>
                <w:sz w:val="24"/>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项目分析</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对投标文件中项目分析的服务定位和目标及作业范围和现场作业的难点、重点等描述与分析是否全面、清晰、准确进行打分。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镇区保洁管理方案</w:t>
            </w:r>
            <w:r>
              <w:rPr>
                <w:rFonts w:hint="eastAsia" w:ascii="仿宋" w:hAnsi="仿宋" w:eastAsia="仿宋" w:cs="仿宋"/>
                <w:color w:val="000000"/>
                <w:sz w:val="24"/>
                <w:lang w:bidi="ar"/>
              </w:rPr>
            </w:r>
            <w:r/>
          </w:p>
          <w:p>
            <w:pPr>
              <w:pStyle w:val="795"/>
              <w:jc w:val="center"/>
              <w:spacing w:line="360" w:lineRule="auto"/>
              <w:widowControl/>
              <w:rPr>
                <w:rFonts w:hint="eastAsia" w:eastAsia="仿宋"/>
                <w:color w:val="000000"/>
              </w:rPr>
            </w:pPr>
            <w:r>
              <w:rPr>
                <w:rFonts w:hint="eastAsia" w:ascii="仿宋" w:hAnsi="仿宋" w:eastAsia="仿宋" w:cs="仿宋"/>
                <w:color w:val="000000"/>
                <w:sz w:val="24"/>
                <w:lang w:bidi="ar"/>
              </w:rPr>
              <w:t xml:space="preserve">（10分）</w:t>
            </w:r>
            <w:r>
              <w:rPr>
                <w:rFonts w:hint="eastAsia" w:eastAsia="仿宋"/>
                <w:color w:val="000000"/>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对投标文件中镇区保洁管理方案的部门组织结构、人员班次、作业模式、绩效考核、保洁人员培训计划等进行打分。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村庄保洁管理方案</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对投标文件中村庄保洁管理方案的部门组织结构、人员班次、作业模式、绩效考核、保洁人员培训计划等进行打分。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人工保洁管理方案</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人工保洁管理方案中有提高劳动生产率、工人工资福利待遇保障、优化保洁人员配置等内容的，根据其可行性、科学性、合理性进行打分。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文明、安全作业管理实施方案</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 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eastAsia="zh-CN" w:bidi="ar"/>
              </w:rPr>
            </w:pPr>
            <w:r>
              <w:rPr>
                <w:rFonts w:hint="eastAsia" w:ascii="仿宋" w:hAnsi="仿宋" w:eastAsia="仿宋" w:cs="仿宋"/>
                <w:color w:val="000000"/>
                <w:sz w:val="24"/>
                <w:lang w:bidi="ar"/>
              </w:rPr>
              <w:t xml:space="preserve">对投标文件中文明、安全作业管理实施方案完整性、合理性等进行打分</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交接方案</w:t>
            </w:r>
            <w:r>
              <w:rPr>
                <w:rFonts w:hint="eastAsia" w:ascii="仿宋" w:hAnsi="仿宋" w:eastAsia="仿宋" w:cs="仿宋"/>
                <w:color w:val="000000"/>
                <w:sz w:val="24"/>
                <w:lang w:bidi="ar"/>
              </w:rPr>
            </w:r>
            <w:r/>
          </w:p>
          <w:p>
            <w:pPr>
              <w:pStyle w:val="795"/>
              <w:ind w:right="33"/>
              <w:jc w:val="center"/>
              <w:spacing w:line="360" w:lineRule="auto"/>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5</w:t>
            </w:r>
            <w:r>
              <w:rPr>
                <w:rFonts w:hint="eastAsia" w:ascii="仿宋" w:hAnsi="仿宋" w:eastAsia="仿宋" w:cs="仿宋"/>
                <w:color w:val="000000"/>
                <w:sz w:val="24"/>
                <w:lang w:bidi="ar"/>
              </w:rPr>
              <w:t xml:space="preserve">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进退场交接流程及交接内容、相关交接承诺：</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①方案可行性强、针对性强、内容完整得</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②方案可行性较强、针对性较强、内容较完整得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③方案可行性一般、针对性一般、内容一般得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④方案可行性较差、针对性较差、内容较差得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⑤方案可行性差、针对性差、内容差得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⑥未提供得0分。</w:t>
            </w:r>
            <w:r>
              <w:rPr>
                <w:rFonts w:hint="eastAsia" w:ascii="仿宋" w:hAnsi="仿宋" w:eastAsia="仿宋" w:cs="仿宋"/>
                <w:color w:val="000000"/>
                <w:sz w:val="24"/>
                <w:lang w:bidi="ar"/>
              </w:rPr>
            </w:r>
            <w:r/>
          </w:p>
        </w:tc>
      </w:tr>
      <w:tr>
        <w:trPr>
          <w:trHeight w:val="20"/>
        </w:trPr>
        <w:tc>
          <w:tcPr>
            <w:tcW w:w="1274" w:type="dxa"/>
            <w:vAlign w:val="center"/>
            <w:vMerge w:val="continue"/>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1500" w:type="dxa"/>
            <w:vAlign w:val="center"/>
            <w:textDirection w:val="lrTb"/>
            <w:noWrap w:val="false"/>
          </w:tcPr>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应急、突击保障方案</w:t>
            </w:r>
            <w:r>
              <w:rPr>
                <w:rFonts w:hint="eastAsia" w:ascii="仿宋" w:hAnsi="仿宋" w:eastAsia="仿宋" w:cs="仿宋"/>
                <w:color w:val="000000"/>
                <w:sz w:val="24"/>
                <w:lang w:bidi="ar"/>
              </w:rPr>
            </w:r>
            <w:r/>
          </w:p>
          <w:p>
            <w:pPr>
              <w:pStyle w:val="795"/>
              <w:jc w:val="center"/>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6856" w:type="dxa"/>
            <w:vAlign w:val="center"/>
            <w:textDirection w:val="lrTb"/>
            <w:noWrap w:val="false"/>
          </w:tcPr>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除雪、油污、渣土撒漏、清淤、无主垃圾、大型活动保障等应急保障方案进行打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1.合理性(4分)：合理的得4分；较合理得3分；欠缺的得1分；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2.针对性(3分)：针对性强得3分；针对性一般得2分；针对性不强的得1分。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3.可行性（3</w:t>
            </w:r>
            <w:r>
              <w:rPr>
                <w:rFonts w:hint="eastAsia" w:ascii="仿宋" w:hAnsi="仿宋" w:eastAsia="仿宋" w:cs="仿宋"/>
                <w:color w:val="000000"/>
                <w:szCs w:val="21"/>
                <w:lang w:bidi="ar"/>
              </w:rPr>
              <w:t xml:space="preserve">分)</w:t>
            </w:r>
            <w:r>
              <w:rPr>
                <w:rFonts w:hint="eastAsia" w:ascii="仿宋" w:hAnsi="仿宋" w:eastAsia="仿宋" w:cs="仿宋"/>
                <w:color w:val="000000"/>
                <w:sz w:val="24"/>
                <w:lang w:bidi="ar"/>
              </w:rPr>
              <w:t xml:space="preserve">：符合实际切实可行得3分；较切实可行得2分;可行性欠</w:t>
            </w:r>
            <w:r>
              <w:rPr>
                <w:rFonts w:hint="eastAsia" w:ascii="仿宋" w:hAnsi="仿宋" w:eastAsia="仿宋" w:cs="仿宋"/>
                <w:color w:val="000000"/>
                <w:sz w:val="24"/>
                <w:lang w:bidi="ar"/>
              </w:rPr>
              <w:t xml:space="preserve">缺的得1分。</w:t>
            </w:r>
            <w:r>
              <w:rPr>
                <w:rFonts w:hint="eastAsia" w:ascii="仿宋" w:hAnsi="仿宋" w:eastAsia="仿宋" w:cs="仿宋"/>
                <w:color w:val="000000"/>
                <w:sz w:val="24"/>
                <w:lang w:bidi="ar"/>
              </w:rPr>
            </w:r>
            <w:r/>
          </w:p>
          <w:p>
            <w:pPr>
              <w:pStyle w:val="795"/>
              <w:jc w:val="left"/>
              <w:spacing w:line="360" w:lineRule="auto"/>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未提供的不得分，本项最高得10分，最低得0分。</w:t>
            </w:r>
            <w:r>
              <w:rPr>
                <w:rFonts w:hint="eastAsia" w:ascii="仿宋" w:hAnsi="仿宋" w:eastAsia="仿宋" w:cs="仿宋"/>
                <w:color w:val="000000"/>
                <w:sz w:val="24"/>
                <w:lang w:bidi="ar"/>
              </w:rPr>
            </w:r>
            <w:r/>
          </w:p>
        </w:tc>
      </w:tr>
    </w:tbl>
    <w:p>
      <w:pPr>
        <w:pStyle w:val="795"/>
        <w:ind w:firstLine="600"/>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本章说明：本项目采用综合评分法。</w:t>
      </w:r>
      <w:r>
        <w:rPr>
          <w:rFonts w:hint="eastAsia" w:ascii="仿宋" w:hAnsi="仿宋" w:eastAsia="仿宋" w:cs="仿宋"/>
          <w:color w:val="000000"/>
          <w:sz w:val="24"/>
        </w:rPr>
      </w:r>
      <w:r/>
    </w:p>
    <w:p>
      <w:pPr>
        <w:pStyle w:val="1065"/>
        <w:numPr>
          <w:ilvl w:val="0"/>
          <w:numId w:val="2"/>
        </w:numPr>
        <w:ind w:firstLine="420"/>
        <w:rPr>
          <w:rFonts w:hint="eastAsia" w:ascii="仿宋" w:hAnsi="仿宋" w:eastAsia="仿宋" w:cs="仿宋"/>
          <w:color w:val="000000"/>
          <w:sz w:val="24"/>
          <w:szCs w:val="24"/>
        </w:rPr>
      </w:pPr>
      <w:r/>
      <w:bookmarkStart w:id="8" w:name="_Toc522790134"/>
      <w:r>
        <w:rPr>
          <w:rFonts w:hint="eastAsia" w:ascii="仿宋" w:hAnsi="仿宋" w:eastAsia="仿宋" w:cs="仿宋"/>
          <w:color w:val="000000"/>
          <w:sz w:val="24"/>
          <w:szCs w:val="24"/>
        </w:rPr>
        <w:br w:type="page" w:clear="all"/>
      </w:r>
      <w:bookmarkStart w:id="9" w:name="_Toc14780"/>
      <w:r>
        <w:rPr>
          <w:rFonts w:hint="eastAsia" w:ascii="仿宋" w:hAnsi="仿宋" w:eastAsia="仿宋" w:cs="仿宋"/>
          <w:color w:val="000000"/>
          <w:sz w:val="24"/>
          <w:szCs w:val="24"/>
        </w:rPr>
        <w:t xml:space="preserve"> 拟签订的合同文本</w:t>
      </w:r>
      <w:bookmarkEnd w:id="8"/>
      <w:r/>
      <w:bookmarkEnd w:id="9"/>
      <w:r>
        <w:rPr>
          <w:rFonts w:hint="eastAsia" w:ascii="仿宋" w:hAnsi="仿宋" w:eastAsia="仿宋" w:cs="仿宋"/>
          <w:color w:val="000000"/>
          <w:sz w:val="24"/>
          <w:szCs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863"/>
        <w:ind w:left="1470" w:right="1470"/>
        <w:rPr>
          <w:rFonts w:hint="eastAsia" w:ascii="仿宋" w:hAnsi="仿宋" w:eastAsia="仿宋" w:cs="仿宋"/>
          <w:color w:val="000000"/>
          <w:sz w:val="24"/>
        </w:rPr>
      </w:pPr>
      <w:r>
        <w:rPr>
          <w:rFonts w:hint="eastAsia" w:ascii="仿宋" w:hAnsi="仿宋" w:eastAsia="仿宋" w:cs="仿宋"/>
          <w:color w:val="000000"/>
          <w:sz w:val="24"/>
        </w:rPr>
      </w:r>
      <w:r/>
    </w:p>
    <w:p>
      <w:pPr>
        <w:pStyle w:val="1069"/>
        <w:rPr>
          <w:rFonts w:hint="eastAsia" w:ascii="仿宋" w:hAnsi="仿宋" w:eastAsia="仿宋" w:cs="仿宋"/>
          <w:color w:val="000000"/>
          <w:sz w:val="24"/>
        </w:rPr>
      </w:pPr>
      <w:r>
        <w:rPr>
          <w:rFonts w:hint="eastAsia" w:ascii="仿宋" w:hAnsi="仿宋" w:eastAsia="仿宋" w:cs="仿宋"/>
          <w:color w:val="000000"/>
          <w:sz w:val="24"/>
        </w:rPr>
        <w:t xml:space="preserve">项目名称：</w:t>
      </w:r>
      <w:r>
        <w:rPr>
          <w:rFonts w:hint="eastAsia" w:ascii="仿宋" w:hAnsi="仿宋" w:eastAsia="仿宋" w:cs="仿宋"/>
          <w:color w:val="000000"/>
          <w:sz w:val="24"/>
        </w:rPr>
      </w:r>
      <w:r/>
    </w:p>
    <w:p>
      <w:pPr>
        <w:pStyle w:val="1069"/>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rPr>
      </w:r>
      <w:r/>
    </w:p>
    <w:p>
      <w:pPr>
        <w:pStyle w:val="1071"/>
        <w:tabs>
          <w:tab w:val="left" w:pos="810" w:leader="none"/>
          <w:tab w:val="left" w:pos="907" w:leader="none"/>
          <w:tab w:val="left" w:pos="126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3"/>
        <w:rPr>
          <w:rFonts w:ascii="仿宋" w:hAnsi="仿宋" w:eastAsia="仿宋" w:cs="仿宋"/>
          <w:color w:val="000000"/>
          <w:sz w:val="24"/>
        </w:rPr>
      </w:pPr>
      <w:r>
        <w:rPr>
          <w:rFonts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1069"/>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政</w:t>
      </w:r>
      <w:r>
        <w:rPr>
          <w:rFonts w:hint="eastAsia" w:ascii="仿宋" w:hAnsi="仿宋" w:eastAsia="仿宋" w:cs="仿宋"/>
          <w:color w:val="000000"/>
          <w:sz w:val="44"/>
          <w:szCs w:val="44"/>
        </w:rPr>
      </w:r>
      <w:r/>
    </w:p>
    <w:p>
      <w:pPr>
        <w:pStyle w:val="1069"/>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府</w:t>
      </w:r>
      <w:r>
        <w:rPr>
          <w:rFonts w:hint="eastAsia" w:ascii="仿宋" w:hAnsi="仿宋" w:eastAsia="仿宋" w:cs="仿宋"/>
          <w:color w:val="000000"/>
          <w:sz w:val="44"/>
          <w:szCs w:val="44"/>
        </w:rPr>
      </w:r>
      <w:r/>
    </w:p>
    <w:p>
      <w:pPr>
        <w:pStyle w:val="1069"/>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采</w:t>
      </w:r>
      <w:r>
        <w:rPr>
          <w:rFonts w:hint="eastAsia" w:ascii="仿宋" w:hAnsi="仿宋" w:eastAsia="仿宋" w:cs="仿宋"/>
          <w:color w:val="000000"/>
          <w:sz w:val="44"/>
          <w:szCs w:val="44"/>
        </w:rPr>
      </w:r>
      <w:r/>
    </w:p>
    <w:p>
      <w:pPr>
        <w:pStyle w:val="1069"/>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购</w:t>
      </w:r>
      <w:r>
        <w:rPr>
          <w:rFonts w:hint="eastAsia" w:ascii="仿宋" w:hAnsi="仿宋" w:eastAsia="仿宋" w:cs="仿宋"/>
          <w:color w:val="000000"/>
          <w:sz w:val="44"/>
          <w:szCs w:val="44"/>
        </w:rPr>
      </w:r>
      <w:r/>
    </w:p>
    <w:p>
      <w:pPr>
        <w:pStyle w:val="1069"/>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合</w:t>
      </w:r>
      <w:r>
        <w:rPr>
          <w:rFonts w:hint="eastAsia" w:ascii="仿宋" w:hAnsi="仿宋" w:eastAsia="仿宋" w:cs="仿宋"/>
          <w:color w:val="000000"/>
          <w:sz w:val="44"/>
          <w:szCs w:val="44"/>
        </w:rPr>
      </w:r>
      <w:r/>
    </w:p>
    <w:p>
      <w:pPr>
        <w:pStyle w:val="1069"/>
        <w:jc w:val="center"/>
        <w:rPr>
          <w:rFonts w:hint="eastAsia" w:ascii="仿宋" w:hAnsi="仿宋" w:eastAsia="仿宋" w:cs="仿宋"/>
          <w:color w:val="000000"/>
          <w:sz w:val="44"/>
          <w:szCs w:val="44"/>
          <w:highlight w:val="yellow"/>
        </w:rPr>
      </w:pPr>
      <w:r>
        <w:rPr>
          <w:rFonts w:hint="eastAsia" w:ascii="仿宋" w:hAnsi="仿宋" w:eastAsia="仿宋" w:cs="仿宋"/>
          <w:color w:val="000000"/>
          <w:sz w:val="44"/>
          <w:szCs w:val="44"/>
        </w:rPr>
        <w:t xml:space="preserve">同</w:t>
      </w:r>
      <w:r>
        <w:rPr>
          <w:rFonts w:hint="eastAsia" w:ascii="仿宋" w:hAnsi="仿宋" w:eastAsia="仿宋" w:cs="仿宋"/>
          <w:color w:val="000000"/>
          <w:sz w:val="44"/>
          <w:szCs w:val="44"/>
          <w:highlight w:val="yellow"/>
        </w:rPr>
      </w:r>
      <w:r/>
    </w:p>
    <w:p>
      <w:pPr>
        <w:pStyle w:val="1069"/>
        <w:rPr>
          <w:rFonts w:hint="eastAsia" w:ascii="仿宋" w:hAnsi="仿宋" w:eastAsia="仿宋" w:cs="仿宋"/>
          <w:color w:val="000000"/>
          <w:sz w:val="24"/>
        </w:rPr>
      </w:pPr>
      <w:r>
        <w:rPr>
          <w:rFonts w:hint="eastAsia" w:ascii="仿宋" w:hAnsi="仿宋" w:eastAsia="仿宋" w:cs="仿宋"/>
          <w:color w:val="000000"/>
          <w:sz w:val="24"/>
        </w:rPr>
        <w:t xml:space="preserve">采  购  人：</w:t>
      </w:r>
      <w:r>
        <w:rPr>
          <w:rFonts w:hint="eastAsia" w:ascii="仿宋" w:hAnsi="仿宋" w:eastAsia="仿宋" w:cs="仿宋"/>
          <w:color w:val="000000"/>
          <w:sz w:val="24"/>
        </w:rPr>
      </w:r>
      <w:r/>
    </w:p>
    <w:p>
      <w:pPr>
        <w:pStyle w:val="1069"/>
        <w:rPr>
          <w:rFonts w:hint="eastAsia" w:ascii="仿宋" w:hAnsi="仿宋" w:eastAsia="仿宋" w:cs="仿宋"/>
          <w:color w:val="000000"/>
          <w:sz w:val="24"/>
        </w:rPr>
      </w:pPr>
      <w:r>
        <w:rPr>
          <w:rFonts w:hint="eastAsia" w:ascii="仿宋" w:hAnsi="仿宋" w:eastAsia="仿宋" w:cs="仿宋"/>
          <w:color w:val="000000"/>
          <w:sz w:val="24"/>
        </w:rPr>
        <w:t xml:space="preserve">成交供应商：</w:t>
      </w:r>
      <w:r>
        <w:rPr>
          <w:rFonts w:hint="eastAsia" w:ascii="仿宋" w:hAnsi="仿宋" w:eastAsia="仿宋" w:cs="仿宋"/>
          <w:color w:val="000000"/>
          <w:sz w:val="24"/>
        </w:rPr>
      </w:r>
      <w:r/>
    </w:p>
    <w:p>
      <w:pPr>
        <w:pStyle w:val="1069"/>
        <w:rPr>
          <w:rFonts w:hint="eastAsia" w:ascii="仿宋" w:hAnsi="仿宋" w:eastAsia="仿宋" w:cs="仿宋"/>
          <w:color w:val="000000"/>
          <w:sz w:val="24"/>
        </w:rPr>
      </w:pPr>
      <w:r>
        <w:rPr>
          <w:rFonts w:hint="eastAsia" w:ascii="仿宋" w:hAnsi="仿宋" w:eastAsia="仿宋" w:cs="仿宋"/>
          <w:color w:val="000000"/>
          <w:sz w:val="24"/>
        </w:rPr>
        <w:t xml:space="preserve">合同签订日期： 年 月 日</w:t>
      </w:r>
      <w:r>
        <w:rPr>
          <w:rFonts w:hint="eastAsia" w:ascii="仿宋" w:hAnsi="仿宋" w:eastAsia="仿宋" w:cs="仿宋"/>
          <w:color w:val="000000"/>
          <w:sz w:val="24"/>
        </w:rPr>
      </w:r>
      <w:r/>
    </w:p>
    <w:p>
      <w:pPr>
        <w:pStyle w:val="1069"/>
        <w:rPr>
          <w:rFonts w:hint="eastAsia" w:ascii="仿宋" w:hAnsi="仿宋" w:eastAsia="仿宋" w:cs="仿宋"/>
          <w:color w:val="000000"/>
          <w:sz w:val="24"/>
        </w:rPr>
      </w:pPr>
      <w:r>
        <w:rPr>
          <w:rFonts w:hint="eastAsia" w:ascii="仿宋" w:hAnsi="仿宋" w:eastAsia="仿宋" w:cs="仿宋"/>
          <w:color w:val="000000"/>
          <w:sz w:val="24"/>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4"/>
        </w:rPr>
      </w:r>
      <w:r/>
    </w:p>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4"/>
        </w:rPr>
      </w:r>
      <w:r/>
    </w:p>
    <w:p>
      <w:pPr>
        <w:pStyle w:val="795"/>
        <w:jc w:val="center"/>
        <w:rPr>
          <w:rFonts w:hint="eastAsia" w:ascii="仿宋" w:hAnsi="仿宋" w:eastAsia="仿宋" w:cs="仿宋"/>
          <w:b/>
          <w:bCs/>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拟签订的合同条款</w:t>
      </w:r>
      <w:r>
        <w:rPr>
          <w:rFonts w:hint="eastAsia" w:ascii="仿宋" w:hAnsi="仿宋" w:eastAsia="仿宋" w:cs="仿宋"/>
          <w:b/>
          <w:bCs/>
          <w:color w:val="000000"/>
          <w:sz w:val="24"/>
        </w:rPr>
      </w:r>
      <w:r/>
    </w:p>
    <w:p>
      <w:pPr>
        <w:pStyle w:val="795"/>
        <w:jc w:val="center"/>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rPr>
        <w:t xml:space="preserve">第一节 总 则</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第一条  本合同当事人</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联系电话：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乙方：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联系电话：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合同服务期限：    年    月    日至    年    月    日</w:t>
      </w:r>
      <w:r>
        <w:rPr>
          <w:rFonts w:hint="eastAsia" w:ascii="仿宋" w:hAnsi="仿宋" w:eastAsia="仿宋" w:cs="仿宋"/>
          <w:color w:val="000000"/>
          <w:sz w:val="24"/>
        </w:rPr>
      </w:r>
      <w:r/>
    </w:p>
    <w:p>
      <w:pPr>
        <w:pStyle w:val="795"/>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    第二条  合同编号</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合同编号：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采购编号：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签订地点：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第三条  合同签订依据</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为推行环卫市场化保洁运作，甲乙双方根据</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JSZC-320312-RCGC-G2026-0002</w:t>
      </w:r>
      <w:r>
        <w:rPr>
          <w:rFonts w:hint="eastAsia" w:ascii="仿宋" w:hAnsi="仿宋" w:eastAsia="仿宋" w:cs="仿宋"/>
          <w:color w:val="000000"/>
          <w:sz w:val="24"/>
        </w:rPr>
        <w:t xml:space="preserve"> )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第四条  合同文件的组成</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本合同所附下列文件是构成本合同不可分割的部分：</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rPr>
        <w:t xml:space="preserve">招标文件(项目编号：</w:t>
      </w:r>
      <w:r>
        <w:rPr>
          <w:rFonts w:hint="eastAsia" w:ascii="仿宋" w:hAnsi="仿宋" w:eastAsia="仿宋" w:cs="仿宋"/>
          <w:color w:val="000000"/>
          <w:sz w:val="24"/>
          <w:lang w:eastAsia="zh-CN"/>
        </w:rPr>
        <w:t xml:space="preserve">JSZC-320312-RCGC-G2026-0002</w:t>
      </w:r>
      <w:r>
        <w:rPr>
          <w:rFonts w:hint="eastAsia" w:ascii="仿宋" w:hAnsi="仿宋" w:eastAsia="仿宋" w:cs="仿宋"/>
          <w:color w:val="000000"/>
          <w:sz w:val="24"/>
        </w:rPr>
        <w:t xml:space="preserve">)以及相关的澄清、补充文件等；</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2.乙方的投标文件及其澄清、补充说明文件等；</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3.履约保证金；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4.中标通知书。</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第五条  承包范围</w:t>
      </w:r>
      <w:r>
        <w:rPr>
          <w:rFonts w:hint="eastAsia" w:ascii="仿宋" w:hAnsi="仿宋" w:eastAsia="仿宋" w:cs="仿宋"/>
          <w:color w:val="000000"/>
          <w:sz w:val="24"/>
        </w:rPr>
      </w:r>
      <w:r/>
    </w:p>
    <w:p>
      <w:pPr>
        <w:pStyle w:val="795"/>
        <w:ind w:firstLine="480"/>
        <w:jc w:val="left"/>
        <w:spacing w:line="440" w:lineRule="exact"/>
        <w:rPr>
          <w:color w:val="000000"/>
        </w:rPr>
      </w:pP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rPr>
        <w:t xml:space="preserve">招标文件（项目编号：</w:t>
      </w:r>
      <w:r>
        <w:rPr>
          <w:rFonts w:hint="eastAsia" w:ascii="仿宋" w:hAnsi="仿宋" w:eastAsia="仿宋" w:cs="仿宋"/>
          <w:color w:val="000000"/>
          <w:sz w:val="24"/>
          <w:lang w:eastAsia="zh-CN"/>
        </w:rPr>
        <w:t xml:space="preserve">JSZC-320312-RCGC-G2026-0002</w:t>
      </w:r>
      <w:r>
        <w:rPr>
          <w:rFonts w:hint="eastAsia" w:ascii="仿宋" w:hAnsi="仿宋" w:eastAsia="仿宋" w:cs="仿宋"/>
          <w:color w:val="000000"/>
          <w:sz w:val="24"/>
        </w:rPr>
        <w:t xml:space="preserve"> ），具体内容见招标文件第六章《项目要求》。</w:t>
      </w:r>
      <w:r>
        <w:rPr>
          <w:color w:val="000000"/>
        </w:rPr>
      </w:r>
      <w:r/>
    </w:p>
    <w:p>
      <w:pPr>
        <w:pStyle w:val="795"/>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第二节  项目内容</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lang w:eastAsia="zh-CN"/>
        </w:rPr>
      </w:pPr>
      <w:r>
        <w:rPr>
          <w:rFonts w:hint="eastAsia" w:ascii="仿宋" w:hAnsi="仿宋" w:eastAsia="仿宋" w:cs="仿宋"/>
          <w:color w:val="000000"/>
          <w:sz w:val="24"/>
        </w:rPr>
        <w:t xml:space="preserve">第六条 项目名称：</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lang w:eastAsia="zh-CN"/>
        </w:rPr>
      </w:r>
      <w:r/>
    </w:p>
    <w:p>
      <w:pPr>
        <w:pStyle w:val="795"/>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第七条 作业范围及内容：</w:t>
      </w:r>
      <w:r>
        <w:rPr>
          <w:rFonts w:hint="eastAsia" w:ascii="仿宋" w:hAnsi="仿宋" w:eastAsia="仿宋" w:cs="仿宋"/>
          <w:color w:val="000000"/>
          <w:sz w:val="24"/>
        </w:rPr>
      </w:r>
      <w:r/>
    </w:p>
    <w:p>
      <w:pPr>
        <w:pStyle w:val="795"/>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1.作业范围:徐州市铜山区何桥镇全镇域范围。</w:t>
      </w:r>
      <w:r>
        <w:rPr>
          <w:rFonts w:hint="eastAsia" w:ascii="仿宋" w:hAnsi="仿宋" w:eastAsia="仿宋" w:cs="仿宋"/>
          <w:color w:val="000000"/>
          <w:sz w:val="24"/>
        </w:rPr>
      </w:r>
      <w:r/>
    </w:p>
    <w:p>
      <w:pPr>
        <w:pStyle w:val="795"/>
        <w:ind w:firstLine="46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2.作业内容：</w:t>
      </w:r>
      <w:r>
        <w:rPr>
          <w:rFonts w:hint="eastAsia" w:ascii="仿宋" w:hAnsi="仿宋" w:eastAsia="仿宋" w:cs="仿宋"/>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ascii="仿宋" w:hAnsi="仿宋" w:eastAsia="仿宋" w:cs="仿宋"/>
          <w:bCs/>
          <w:color w:val="000000"/>
          <w:sz w:val="24"/>
        </w:rPr>
        <w:t xml:space="preserve">①</w:t>
      </w:r>
      <w:r>
        <w:rPr>
          <w:rFonts w:hint="eastAsia" w:ascii="仿宋" w:hAnsi="仿宋" w:eastAsia="仿宋" w:cs="仿宋"/>
          <w:bCs/>
          <w:color w:val="000000"/>
          <w:sz w:val="24"/>
        </w:rPr>
        <w:t xml:space="preserve">村庄（何桥村、双楼村、金安村、宗庄村、土楼村、肖庄村、马行村、张集村、赵台村、段庄村、苗庄村、叶庄村、付村、袁寨、庄里寨）环卫管理。野广告、村庄内外、大街小巷、房前屋后、坑塘沟渠道路等范围内卫生保洁和垃圾收集清运；村庄垃圾桶的管护维修、桶体擦洗、蚊蝇灭杀等；村庄范围内各类垃圾、杂物清理整治。</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ascii="仿宋" w:hAnsi="仿宋" w:eastAsia="仿宋" w:cs="仿宋"/>
          <w:bCs/>
          <w:color w:val="000000"/>
          <w:sz w:val="24"/>
        </w:rPr>
        <w:t xml:space="preserve">②</w:t>
      </w:r>
      <w:r>
        <w:rPr>
          <w:rFonts w:hint="eastAsia" w:ascii="仿宋" w:hAnsi="仿宋" w:eastAsia="仿宋" w:cs="仿宋"/>
          <w:bCs/>
          <w:color w:val="000000"/>
          <w:sz w:val="24"/>
        </w:rPr>
        <w:t xml:space="preserve">镇区保洁管理。镇区范围内背街小巷快慢车道及人行道路、广场、林带、绿地的清扫保洁，保洁范围“墙到墙”，无建筑物的，延伸至可视范围内；政府驻地道路两侧垃圾桶清运及垃圾桶周边卫生清理；垃圾桶维护、擦拭。</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r>
      <w:r/>
    </w:p>
    <w:tbl>
      <w:tblPr>
        <w:tblW w:w="0" w:type="auto"/>
        <w:jc w:val="center"/>
        <w:tblInd w:w="-216" w:type="dxa"/>
        <w:tblLayout w:type="autofit"/>
        <w:tblCellMar>
          <w:left w:w="108" w:type="dxa"/>
          <w:top w:w="0" w:type="dxa"/>
          <w:right w:w="108" w:type="dxa"/>
          <w:bottom w:w="0" w:type="dxa"/>
        </w:tblCellMar>
        <w:tblLook w:val="04A0" w:firstRow="1" w:lastRow="0" w:firstColumn="1" w:lastColumn="0" w:noHBand="0" w:noVBand="1"/>
      </w:tblPr>
      <w:tblGrid>
        <w:gridCol w:w="2364"/>
        <w:gridCol w:w="1701"/>
        <w:gridCol w:w="4738"/>
      </w:tblGrid>
      <w:tr>
        <w:trPr>
          <w:trHeight w:val="418"/>
        </w:trPr>
        <w:tc>
          <w:tcPr>
            <w:tcBorders>
              <w:top w:val="single" w:color="000000" w:sz="8" w:space="0"/>
              <w:left w:val="single" w:color="000000" w:sz="8" w:space="0"/>
              <w:bottom w:val="single" w:color="000000" w:sz="4" w:space="0"/>
              <w:right w:val="single" w:color="000000" w:sz="4" w:space="0"/>
            </w:tcBorders>
            <w:tcW w:w="2364"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名称</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1701"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数量</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4738"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服务时限</w:t>
            </w:r>
            <w:r>
              <w:rPr>
                <w:rFonts w:hint="eastAsia" w:ascii="仿宋" w:hAnsi="仿宋" w:eastAsia="仿宋" w:cs="仿宋"/>
                <w:b/>
                <w:bCs/>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4"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镇区市场化保洁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86430平方米</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tcPr>
          <w:p>
            <w:pPr>
              <w:pStyle w:val="795"/>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4"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村庄市场化保洁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5.3万人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tcPr>
          <w:p>
            <w:pPr>
              <w:pStyle w:val="795"/>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bl>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第八条 作业规范、标准及要求：作业规范符合但不限于《江苏省城市环境卫生作业质量标准》，《城市道路环卫机械化作业质量标准》等现行有关法律法规、规章和规范性文件。服务质量和要求详见合同附件《镇区市场化保洁考核评分细则》、《村庄市场化保洁考核评分细则》。如有最新标准的，按照最新标准执行。</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（一）规范管理</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1.组织机构健全。乙方应当按照环卫企业规范管理要求设立各相关内部管理机构，管理人员规范着装、挂牌上岗；每个采购包必须配备足够的通讯设备并保持畅通。</w:t>
      </w:r>
      <w:r>
        <w:rPr>
          <w:rFonts w:hint="eastAsia" w:ascii="仿宋" w:hAnsi="仿宋" w:eastAsia="仿宋" w:cs="仿宋"/>
          <w:color w:val="000000"/>
          <w:sz w:val="24"/>
        </w:rPr>
      </w:r>
      <w:r/>
    </w:p>
    <w:p>
      <w:pPr>
        <w:pStyle w:val="795"/>
        <w:ind w:firstLine="734"/>
        <w:jc w:val="left"/>
        <w:spacing w:line="440" w:lineRule="exact"/>
        <w:tabs>
          <w:tab w:val="left" w:pos="3332" w:leader="none"/>
        </w:tabs>
        <w:rPr>
          <w:rFonts w:hint="eastAsia" w:ascii="仿宋" w:hAnsi="仿宋" w:eastAsia="仿宋" w:cs="仿宋"/>
          <w:color w:val="000000"/>
          <w:sz w:val="24"/>
        </w:rPr>
      </w:pPr>
      <w:r>
        <w:rPr>
          <w:rFonts w:hint="eastAsia" w:ascii="仿宋" w:hAnsi="仿宋" w:eastAsia="仿宋" w:cs="仿宋"/>
          <w:color w:val="000000"/>
          <w:sz w:val="24"/>
        </w:rPr>
        <w:t xml:space="preserve">2.各项管理制度健全，制定各岗位操作规范，定期组织安全生产教育，具有完善的突发事件应急预案。 </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3.乙方须保障作业质量检查用车，服从甲方统一调配。</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（二）作业要求</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1.环卫作业应做到文明、安全和有序，最大限度地减少对环境的污染和对公众生活的影响。</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2.环卫作业人员应按照环卫管理机构要求穿着统一制式的作业服装（含鞋、帽、雨衣、雨靴等），做到着装整齐。</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3.环卫作业机具、设备的式样、颜色、结构等应全区统一。作业机具、设备喷涂的字样或图样，由环卫管理机构规定。</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4.乙方应编制突发事件应急预案，拥有应急突击队伍，做好各类重大活动、应急处置等保障。</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（三）作业时间</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1、人工保洁时间</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村庄保洁要求每日7:30前完成全覆盖保洁，3月20日至11月14日保洁至17:30，11月15日至次年3月19日保洁至17:00。</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（四）作业模式</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以人工清扫保洁为主，有条件进行机械化作业的路段，各镇视情况而定，并相应减少保洁员数量。</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1、垃圾前端收集运输</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（1）垃圾收集、运输采用全机械化密闭运输。</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（2）沿街店面、农村居民的生活垃圾实行上门收集。</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2、绿化带保洁、公共卫生间保洁</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符合作业规范及服务质量标准。</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3、护栏清洗</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人工擦洗或机械清洗。</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4、野广告清理</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专人巡查、清理。</w:t>
      </w:r>
      <w:r>
        <w:rPr>
          <w:rFonts w:hint="eastAsia" w:ascii="仿宋" w:hAnsi="仿宋" w:eastAsia="仿宋" w:cs="仿宋"/>
          <w:color w:val="000000"/>
          <w:sz w:val="24"/>
        </w:rPr>
      </w:r>
      <w:r/>
    </w:p>
    <w:p>
      <w:pPr>
        <w:pStyle w:val="795"/>
        <w:ind w:firstLine="787"/>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5、主次干道保洁模式</w:t>
      </w:r>
      <w:r>
        <w:rPr>
          <w:rFonts w:hint="eastAsia" w:ascii="仿宋" w:hAnsi="仿宋" w:eastAsia="仿宋" w:cs="仿宋"/>
          <w:color w:val="000000"/>
          <w:sz w:val="24"/>
        </w:rPr>
      </w:r>
      <w:r/>
    </w:p>
    <w:p>
      <w:pPr>
        <w:pStyle w:val="795"/>
        <w:ind w:firstLine="787"/>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机动车道：机械化冲洗+机械化洒水+机械化洗扫+深度洗扫+人工快速巡回保洁；</w:t>
      </w:r>
      <w:r>
        <w:rPr>
          <w:rFonts w:hint="eastAsia" w:ascii="仿宋" w:hAnsi="仿宋" w:eastAsia="仿宋" w:cs="仿宋"/>
          <w:color w:val="000000"/>
          <w:sz w:val="24"/>
        </w:rPr>
      </w:r>
      <w:r/>
    </w:p>
    <w:p>
      <w:pPr>
        <w:pStyle w:val="795"/>
        <w:ind w:firstLine="787"/>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非机动车道：机械化清洗（小型）+深度机械化清洗（油污路面）+人工清扫+快速巡回保洁；</w:t>
      </w:r>
      <w:r>
        <w:rPr>
          <w:rFonts w:hint="eastAsia" w:ascii="仿宋" w:hAnsi="仿宋" w:eastAsia="仿宋" w:cs="仿宋"/>
          <w:color w:val="000000"/>
          <w:sz w:val="24"/>
        </w:rPr>
      </w:r>
      <w:r/>
    </w:p>
    <w:p>
      <w:pPr>
        <w:pStyle w:val="795"/>
        <w:ind w:firstLine="102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人行道：人工清扫+快速巡回保洁；</w:t>
      </w:r>
      <w:r>
        <w:rPr>
          <w:rFonts w:hint="eastAsia" w:ascii="仿宋" w:hAnsi="仿宋" w:eastAsia="仿宋" w:cs="仿宋"/>
          <w:color w:val="000000"/>
          <w:sz w:val="24"/>
        </w:rPr>
      </w:r>
      <w:r/>
    </w:p>
    <w:p>
      <w:pPr>
        <w:pStyle w:val="795"/>
        <w:ind w:firstLine="96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绿化隔离带：日常人工捡拾清理+定期集中清理。</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（五）作业质量标准  </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作业质量符合：</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1.《江苏省城市环境卫生作业质量标准》（DGJ32/TC01-2015）</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2.《城市道路环卫机械化作业质量标准》（DGJ32/TJ172-2014）</w:t>
      </w:r>
      <w:r>
        <w:rPr>
          <w:rFonts w:hint="eastAsia" w:ascii="仿宋" w:hAnsi="仿宋" w:eastAsia="仿宋" w:cs="仿宋"/>
          <w:color w:val="000000"/>
          <w:sz w:val="24"/>
        </w:rPr>
      </w:r>
      <w:r/>
    </w:p>
    <w:p>
      <w:pPr>
        <w:pStyle w:val="795"/>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第三节  作业人员、服装、防护用品及设备（车辆）配置</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第九条  人员及服装要求</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镇区保洁人员数量配备：</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村庄保洁人员数量配备：</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 </w:t>
      </w:r>
      <w:r>
        <w:rPr>
          <w:rFonts w:hint="eastAsia" w:ascii="仿宋" w:hAnsi="仿宋" w:eastAsia="仿宋" w:cs="仿宋"/>
          <w:color w:val="000000"/>
          <w:sz w:val="24"/>
        </w:rPr>
      </w:r>
      <w:r/>
    </w:p>
    <w:p>
      <w:pPr>
        <w:pStyle w:val="795"/>
        <w:ind w:firstLine="734"/>
        <w:jc w:val="left"/>
        <w:spacing w:line="440" w:lineRule="exact"/>
        <w:rPr>
          <w:rFonts w:hint="eastAsia" w:ascii="仿宋" w:hAnsi="仿宋" w:eastAsia="仿宋" w:cs="仿宋"/>
          <w:color w:val="000000"/>
          <w:sz w:val="28"/>
          <w:szCs w:val="28"/>
        </w:rPr>
        <w:outlineLvl w:val="2"/>
      </w:pPr>
      <w:r>
        <w:rPr>
          <w:rFonts w:hint="eastAsia" w:ascii="仿宋" w:hAnsi="仿宋" w:eastAsia="仿宋" w:cs="仿宋"/>
          <w:color w:val="000000"/>
          <w:sz w:val="24"/>
        </w:rPr>
        <w:t xml:space="preserve">服装及防护用品配备：（1）夏装每人每年2套，春秋装每人每年1套，冬装棉服每人2年1件；（2）雨衣、雨裤、雨鞋每人一套；（3）式样、颜色、材质符合相关规定；（4）其他防护用品满足作业需要。</w:t>
      </w:r>
      <w:r>
        <w:rPr>
          <w:rFonts w:hint="eastAsia" w:ascii="仿宋" w:hAnsi="仿宋" w:eastAsia="仿宋" w:cs="仿宋"/>
          <w:color w:val="000000"/>
          <w:sz w:val="28"/>
          <w:szCs w:val="28"/>
        </w:rPr>
      </w:r>
      <w:r/>
    </w:p>
    <w:p>
      <w:pPr>
        <w:pStyle w:val="795"/>
        <w:numPr>
          <w:ilvl w:val="0"/>
          <w:numId w:val="3"/>
        </w:numPr>
        <w:ind w:firstLine="73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设备配置要求</w:t>
      </w:r>
      <w:r>
        <w:rPr>
          <w:rFonts w:hint="eastAsia" w:ascii="仿宋" w:hAnsi="仿宋" w:eastAsia="仿宋" w:cs="仿宋"/>
          <w:color w:val="000000"/>
          <w:sz w:val="24"/>
        </w:rPr>
      </w:r>
      <w:r/>
    </w:p>
    <w:p>
      <w:pPr>
        <w:pStyle w:val="1128"/>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整车质量不低于18吨</w:t>
      </w:r>
      <w:r>
        <w:rPr>
          <w:rFonts w:hint="eastAsia" w:ascii="仿宋" w:hAnsi="仿宋" w:eastAsia="仿宋" w:cs="仿宋"/>
          <w:bCs/>
          <w:color w:val="000000"/>
          <w:sz w:val="24"/>
        </w:rPr>
        <w:t xml:space="preserve">新能源</w:t>
      </w:r>
      <w:r>
        <w:rPr>
          <w:rFonts w:hint="eastAsia" w:ascii="仿宋" w:hAnsi="仿宋" w:eastAsia="仿宋" w:cs="仿宋"/>
          <w:color w:val="000000"/>
          <w:sz w:val="24"/>
          <w:szCs w:val="24"/>
        </w:rPr>
        <w:t xml:space="preserve">洒水车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 不低于3吨运力</w:t>
      </w:r>
      <w:r>
        <w:rPr>
          <w:rFonts w:hint="eastAsia" w:ascii="仿宋" w:hAnsi="仿宋" w:eastAsia="仿宋" w:cs="仿宋"/>
          <w:bCs/>
          <w:color w:val="000000"/>
          <w:sz w:val="24"/>
        </w:rPr>
        <w:t xml:space="preserve">新能源</w:t>
      </w:r>
      <w:r>
        <w:rPr>
          <w:rFonts w:hint="eastAsia" w:ascii="仿宋" w:hAnsi="仿宋" w:eastAsia="仿宋" w:cs="仿宋"/>
          <w:color w:val="000000"/>
          <w:sz w:val="24"/>
          <w:szCs w:val="24"/>
        </w:rPr>
        <w:t xml:space="preserve">挂桶车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 机动检查车辆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辆。</w:t>
      </w:r>
      <w:r>
        <w:rPr>
          <w:rFonts w:hint="eastAsia" w:ascii="仿宋" w:hAnsi="仿宋" w:eastAsia="仿宋" w:cs="仿宋"/>
          <w:color w:val="000000"/>
          <w:sz w:val="24"/>
          <w:szCs w:val="24"/>
        </w:rPr>
      </w:r>
      <w:r/>
    </w:p>
    <w:p>
      <w:pPr>
        <w:pStyle w:val="1128"/>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快速保洁车：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台。</w:t>
      </w:r>
      <w:r>
        <w:rPr>
          <w:rFonts w:hint="eastAsia" w:ascii="仿宋" w:hAnsi="仿宋" w:eastAsia="仿宋" w:cs="仿宋"/>
          <w:color w:val="000000"/>
          <w:sz w:val="24"/>
          <w:szCs w:val="24"/>
        </w:rPr>
      </w:r>
      <w:r/>
    </w:p>
    <w:p>
      <w:pPr>
        <w:pStyle w:val="1128"/>
        <w:numPr>
          <w:ilvl w:val="0"/>
          <w:numId w:val="4"/>
        </w:numPr>
        <w:ind w:left="0"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垃圾桶：</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个（其中镇区个；A村个；B村个；......）</w:t>
      </w:r>
      <w:r>
        <w:rPr>
          <w:rFonts w:hint="eastAsia" w:ascii="仿宋" w:hAnsi="仿宋" w:eastAsia="仿宋" w:cs="仿宋"/>
          <w:color w:val="000000"/>
          <w:sz w:val="24"/>
          <w:szCs w:val="24"/>
        </w:rPr>
      </w:r>
      <w:r/>
    </w:p>
    <w:p>
      <w:pPr>
        <w:pStyle w:val="1128"/>
        <w:numPr>
          <w:ilvl w:val="0"/>
          <w:numId w:val="4"/>
        </w:numPr>
        <w:ind w:left="0" w:firstLine="560"/>
        <w:spacing w:line="360" w:lineRule="auto"/>
        <w:rPr>
          <w:rFonts w:hint="eastAsia" w:ascii="仿宋" w:hAnsi="仿宋" w:eastAsia="仿宋" w:cs="仿宋"/>
          <w:color w:val="000000"/>
          <w:sz w:val="24"/>
        </w:rPr>
      </w:pPr>
      <w:r>
        <w:rPr>
          <w:rFonts w:hint="eastAsia" w:ascii="仿宋" w:hAnsi="仿宋" w:eastAsia="仿宋" w:cs="仿宋"/>
          <w:color w:val="000000"/>
          <w:sz w:val="24"/>
          <w:szCs w:val="24"/>
        </w:rPr>
        <w:t xml:space="preserve">合同期内环卫设备采用包干制，设备的更新、维修、更换均由乙方负责，甲方不再另付费用。</w:t>
      </w:r>
      <w:r>
        <w:rPr>
          <w:rFonts w:hint="eastAsia" w:ascii="仿宋" w:hAnsi="仿宋" w:eastAsia="仿宋" w:cs="仿宋"/>
          <w:color w:val="000000"/>
          <w:sz w:val="24"/>
        </w:rPr>
      </w:r>
      <w:r/>
    </w:p>
    <w:p>
      <w:pPr>
        <w:pStyle w:val="795"/>
        <w:ind w:firstLine="480"/>
        <w:jc w:val="center"/>
        <w:spacing w:line="360" w:lineRule="auto"/>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第四节  合同价款与支付</w:t>
      </w:r>
      <w:r>
        <w:rPr>
          <w:rFonts w:hint="eastAsia" w:ascii="仿宋" w:hAnsi="仿宋" w:eastAsia="仿宋" w:cs="仿宋"/>
          <w:color w:val="000000"/>
          <w:sz w:val="24"/>
        </w:rPr>
      </w:r>
      <w:r/>
    </w:p>
    <w:p>
      <w:pPr>
        <w:pStyle w:val="909"/>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第十一条  本合同总价款为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万元；其中镇区市场化保洁36个月总价款</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万元，每月金额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元；村庄市场化保洁36个月总价款</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万元，每月金额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w:t>
      </w:r>
      <w:r>
        <w:rPr>
          <w:rFonts w:hint="eastAsia" w:ascii="仿宋" w:hAnsi="仿宋" w:eastAsia="仿宋" w:cs="仿宋"/>
          <w:color w:val="000000"/>
          <w:sz w:val="24"/>
        </w:rPr>
      </w:r>
      <w:r/>
    </w:p>
    <w:p>
      <w:pPr>
        <w:pStyle w:val="795"/>
        <w:ind w:firstLine="480"/>
        <w:spacing w:line="360" w:lineRule="auto"/>
        <w:tabs>
          <w:tab w:val="left" w:pos="3239" w:leader="none"/>
          <w:tab w:val="left" w:pos="5279" w:leader="none"/>
          <w:tab w:val="left" w:pos="9359" w:leader="none"/>
        </w:tabs>
        <w:rPr>
          <w:rFonts w:hint="eastAsia" w:ascii="仿宋" w:hAnsi="仿宋" w:eastAsia="仿宋" w:cs="仿宋"/>
          <w:color w:val="000000"/>
          <w:sz w:val="24"/>
        </w:rPr>
      </w:pPr>
      <w:r>
        <w:rPr>
          <w:rFonts w:hint="eastAsia" w:ascii="仿宋" w:hAnsi="仿宋" w:eastAsia="仿宋" w:cs="仿宋"/>
          <w:color w:val="000000"/>
          <w:sz w:val="24"/>
        </w:rPr>
        <w:t xml:space="preserve">经双方协商一致，选择以下第</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种付款方式：</w:t>
      </w:r>
      <w:r>
        <w:rPr>
          <w:rFonts w:hint="eastAsia" w:ascii="仿宋" w:hAnsi="仿宋" w:eastAsia="仿宋" w:cs="仿宋"/>
          <w:color w:val="000000"/>
          <w:sz w:val="24"/>
        </w:rPr>
      </w:r>
      <w:r/>
    </w:p>
    <w:p>
      <w:pPr>
        <w:pStyle w:val="795"/>
        <w:ind w:firstLine="562"/>
        <w:spacing w:line="360" w:lineRule="auto"/>
        <w:rPr>
          <w:rFonts w:hint="eastAsia" w:ascii="仿宋" w:hAnsi="仿宋" w:eastAsia="仿宋" w:cs="仿宋"/>
          <w:b/>
          <w:bCs/>
          <w:color w:val="000000"/>
          <w:sz w:val="24"/>
        </w:rPr>
        <w:outlineLvl w:val="2"/>
      </w:pPr>
      <w:r>
        <w:rPr>
          <w:rFonts w:hint="eastAsia" w:ascii="仿宋" w:hAnsi="仿宋" w:eastAsia="仿宋" w:cs="仿宋"/>
          <w:b/>
          <w:bCs/>
          <w:color w:val="000000"/>
          <w:sz w:val="24"/>
        </w:rPr>
        <w:t xml:space="preserve">（一）付款方式一：提交预付款保函的</w:t>
      </w:r>
      <w:r>
        <w:rPr>
          <w:rFonts w:hint="eastAsia" w:ascii="仿宋" w:hAnsi="仿宋" w:eastAsia="仿宋" w:cs="仿宋"/>
          <w:b/>
          <w:bCs/>
          <w:color w:val="000000"/>
          <w:sz w:val="24"/>
        </w:rPr>
      </w:r>
      <w:r/>
    </w:p>
    <w:p>
      <w:pPr>
        <w:pStyle w:val="795"/>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合同价款的百分之四十(40%)即￥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元整，在双方签订合同，乙方向甲方出具等额预付款保函后15日内，办理政府采购资金结算手续支付给乙方。</w:t>
      </w:r>
      <w:r>
        <w:rPr>
          <w:rFonts w:hint="eastAsia" w:ascii="仿宋" w:hAnsi="仿宋" w:eastAsia="仿宋" w:cs="仿宋"/>
          <w:color w:val="000000"/>
          <w:sz w:val="24"/>
        </w:rPr>
      </w:r>
      <w:r/>
    </w:p>
    <w:p>
      <w:pPr>
        <w:pStyle w:val="795"/>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剩余合同价款甲方按月按考核结果支付。</w:t>
      </w:r>
      <w:r>
        <w:rPr>
          <w:rFonts w:hint="eastAsia" w:ascii="仿宋" w:hAnsi="仿宋" w:eastAsia="仿宋" w:cs="仿宋"/>
          <w:color w:val="000000"/>
          <w:sz w:val="24"/>
        </w:rPr>
      </w:r>
      <w:r/>
    </w:p>
    <w:p>
      <w:pPr>
        <w:pStyle w:val="795"/>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卖方需提交的支付文件包括：</w:t>
      </w:r>
      <w:r>
        <w:rPr>
          <w:rFonts w:hint="eastAsia" w:ascii="仿宋" w:hAnsi="仿宋" w:eastAsia="仿宋" w:cs="仿宋"/>
          <w:color w:val="000000"/>
          <w:sz w:val="24"/>
        </w:rPr>
      </w:r>
      <w:r/>
    </w:p>
    <w:p>
      <w:pPr>
        <w:pStyle w:val="795"/>
        <w:ind w:firstLine="560"/>
        <w:spacing w:line="360" w:lineRule="auto"/>
        <w:tabs>
          <w:tab w:val="left" w:pos="2940" w:leader="none"/>
        </w:tabs>
        <w:rPr>
          <w:rFonts w:hint="eastAsia" w:ascii="仿宋" w:hAnsi="仿宋" w:eastAsia="仿宋" w:cs="仿宋"/>
          <w:color w:val="000000"/>
          <w:sz w:val="24"/>
        </w:rPr>
      </w:pPr>
      <w:r>
        <w:rPr>
          <w:rFonts w:hint="eastAsia" w:ascii="仿宋" w:hAnsi="仿宋" w:eastAsia="仿宋" w:cs="仿宋"/>
          <w:color w:val="000000"/>
          <w:sz w:val="24"/>
        </w:rPr>
        <w:t xml:space="preserve">卖方出具的全额正式发票；</w:t>
      </w:r>
      <w:r>
        <w:rPr>
          <w:rFonts w:hint="eastAsia" w:ascii="仿宋" w:hAnsi="仿宋" w:eastAsia="仿宋" w:cs="仿宋"/>
          <w:color w:val="000000"/>
          <w:sz w:val="24"/>
        </w:rPr>
      </w:r>
      <w:r/>
    </w:p>
    <w:p>
      <w:pPr>
        <w:pStyle w:val="795"/>
        <w:ind w:firstLine="560"/>
        <w:jc w:val="left"/>
        <w:spacing w:line="380" w:lineRule="exact"/>
        <w:rPr>
          <w:rFonts w:ascii="仿宋" w:hAnsi="仿宋" w:eastAsia="仿宋" w:cs="仿宋"/>
          <w:b/>
          <w:bCs/>
          <w:color w:val="000000"/>
          <w:sz w:val="24"/>
        </w:rPr>
      </w:pPr>
      <w:r>
        <w:rPr>
          <w:rFonts w:ascii="仿宋" w:hAnsi="仿宋" w:eastAsia="仿宋" w:cs="仿宋"/>
          <w:b/>
          <w:bCs/>
          <w:color w:val="000000"/>
          <w:sz w:val="24"/>
        </w:rPr>
      </w:r>
      <w:r/>
    </w:p>
    <w:p>
      <w:pPr>
        <w:pStyle w:val="795"/>
        <w:ind w:firstLine="560"/>
        <w:jc w:val="left"/>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（二）付款方式二：不提交预付款保函的</w:t>
      </w:r>
      <w:r>
        <w:rPr>
          <w:rFonts w:hint="eastAsia" w:ascii="仿宋" w:hAnsi="仿宋" w:eastAsia="仿宋" w:cs="仿宋"/>
          <w:b/>
          <w:bCs/>
          <w:color w:val="000000"/>
          <w:sz w:val="24"/>
        </w:rPr>
      </w:r>
      <w:r/>
    </w:p>
    <w:p>
      <w:pPr>
        <w:pStyle w:val="1129"/>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合同价款的百分之十(10%)即￥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元整，在双方签订合同后15日内，办理政府采购资金结算手续支付给乙方。</w:t>
      </w:r>
      <w:r>
        <w:rPr>
          <w:rFonts w:hint="eastAsia" w:ascii="仿宋" w:hAnsi="仿宋" w:eastAsia="仿宋" w:cs="仿宋"/>
          <w:color w:val="000000"/>
          <w:sz w:val="24"/>
        </w:rPr>
      </w:r>
      <w:r/>
    </w:p>
    <w:p>
      <w:pPr>
        <w:pStyle w:val="1129"/>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合同总价的百分之九十(90%)即￥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，由甲方按月按考核结果支付，每月月底前对当月保洁情况进行考核结果汇总，次月</w:t>
      </w:r>
      <w:r>
        <w:rPr>
          <w:rFonts w:hint="eastAsia" w:ascii="仿宋" w:hAnsi="仿宋" w:eastAsia="仿宋" w:cs="仿宋"/>
          <w:color w:val="000000"/>
          <w:sz w:val="24"/>
          <w:u w:val="single"/>
        </w:rPr>
        <w:t xml:space="preserve"> 10</w:t>
      </w:r>
      <w:r>
        <w:rPr>
          <w:rFonts w:ascii="仿宋" w:hAnsi="仿宋" w:eastAsia="仿宋" w:cs="仿宋"/>
          <w:color w:val="000000"/>
          <w:sz w:val="24"/>
          <w:u w:val="single"/>
        </w:rPr>
        <w:t xml:space="preserve"> </w:t>
      </w:r>
      <w:r>
        <w:rPr>
          <w:rFonts w:hint="eastAsia" w:ascii="仿宋" w:hAnsi="仿宋" w:eastAsia="仿宋" w:cs="仿宋"/>
          <w:color w:val="000000"/>
          <w:sz w:val="24"/>
        </w:rPr>
        <w:t xml:space="preserve">日前按照考核结果，由甲方据实办理结算。卖方需提交的支付文件包括：</w:t>
      </w:r>
      <w:r>
        <w:rPr>
          <w:rFonts w:hint="eastAsia" w:ascii="仿宋" w:hAnsi="仿宋" w:eastAsia="仿宋" w:cs="仿宋"/>
          <w:color w:val="000000"/>
          <w:sz w:val="24"/>
        </w:rPr>
      </w:r>
      <w:r/>
    </w:p>
    <w:p>
      <w:pPr>
        <w:pStyle w:val="1129"/>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卖方出具的全额正式发票；</w:t>
      </w:r>
      <w:r>
        <w:rPr>
          <w:rFonts w:hint="eastAsia" w:ascii="仿宋" w:hAnsi="仿宋" w:eastAsia="仿宋" w:cs="仿宋"/>
          <w:color w:val="000000"/>
          <w:sz w:val="24"/>
        </w:rPr>
      </w:r>
      <w:r/>
    </w:p>
    <w:p>
      <w:pPr>
        <w:pStyle w:val="795"/>
        <w:ind w:firstLine="480"/>
        <w:jc w:val="left"/>
        <w:spacing w:line="440" w:lineRule="exact"/>
        <w:rPr>
          <w:rFonts w:ascii="仿宋" w:hAnsi="仿宋" w:eastAsia="仿宋" w:cs="仿宋"/>
          <w:color w:val="000000"/>
          <w:sz w:val="24"/>
        </w:rPr>
      </w:pPr>
      <w:r>
        <w:rPr>
          <w:rFonts w:hint="eastAsia" w:ascii="仿宋" w:hAnsi="仿宋" w:eastAsia="仿宋" w:cs="仿宋"/>
          <w:color w:val="000000"/>
          <w:sz w:val="24"/>
        </w:rPr>
        <w:t xml:space="preserve">合同期内，甲方根据检查考核结果按照合同价款按月支付。得分在95-100分的不罚款；90-95分罚款月服务费的1%；85-90分罚款月服务费的3%；85分以下甲方有权解除合同。</w:t>
      </w:r>
      <w:r>
        <w:rPr>
          <w:rFonts w:ascii="仿宋" w:hAnsi="仿宋" w:eastAsia="仿宋" w:cs="仿宋"/>
          <w:color w:val="000000"/>
          <w:sz w:val="24"/>
        </w:rPr>
      </w:r>
      <w:r/>
    </w:p>
    <w:p>
      <w:pPr>
        <w:pStyle w:val="795"/>
        <w:numPr>
          <w:ilvl w:val="0"/>
          <w:numId w:val="5"/>
        </w:numPr>
        <w:ind w:firstLine="504"/>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合同价款实行包干制。在合同约定的作业量范围内，甲方不再额外支付本合同约定以外的任何费用。</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第十四条  进场作业后，于次月起甲方根据检查考核结果按照月进度向乙方支付。</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第十五条  乙方须凭等额发票办理结算。</w:t>
      </w:r>
      <w:r>
        <w:rPr>
          <w:rFonts w:hint="eastAsia" w:ascii="仿宋" w:hAnsi="仿宋" w:eastAsia="仿宋" w:cs="仿宋"/>
          <w:color w:val="000000"/>
          <w:sz w:val="24"/>
        </w:rPr>
      </w:r>
      <w:r/>
    </w:p>
    <w:p>
      <w:pPr>
        <w:pStyle w:val="795"/>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收款人：   </w:t>
      </w:r>
      <w:r>
        <w:rPr>
          <w:rFonts w:hint="eastAsia" w:ascii="仿宋" w:hAnsi="仿宋" w:eastAsia="仿宋" w:cs="仿宋"/>
          <w:color w:val="000000"/>
          <w:sz w:val="24"/>
        </w:rPr>
      </w:r>
      <w:r/>
    </w:p>
    <w:p>
      <w:pPr>
        <w:pStyle w:val="795"/>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开户行：</w:t>
      </w:r>
      <w:r>
        <w:rPr>
          <w:rFonts w:hint="eastAsia" w:ascii="仿宋" w:hAnsi="仿宋" w:eastAsia="仿宋" w:cs="仿宋"/>
          <w:color w:val="000000"/>
          <w:sz w:val="24"/>
        </w:rPr>
      </w:r>
      <w:r/>
    </w:p>
    <w:p>
      <w:pPr>
        <w:pStyle w:val="795"/>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账  号：</w:t>
      </w:r>
      <w:r>
        <w:rPr>
          <w:rFonts w:hint="eastAsia" w:ascii="仿宋" w:hAnsi="仿宋" w:eastAsia="仿宋" w:cs="仿宋"/>
          <w:color w:val="000000"/>
          <w:sz w:val="24"/>
        </w:rPr>
      </w:r>
      <w:r/>
    </w:p>
    <w:p>
      <w:pPr>
        <w:pStyle w:val="795"/>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第五节 双方的权利和义务</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2"/>
      </w:pPr>
      <w:r>
        <w:rPr>
          <w:rFonts w:hint="eastAsia" w:ascii="仿宋" w:hAnsi="仿宋" w:eastAsia="仿宋" w:cs="仿宋"/>
          <w:color w:val="000000"/>
          <w:sz w:val="24"/>
        </w:rPr>
        <w:t xml:space="preserve">第十六条  甲方的权利和义务</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（二）各类重大活动，甲方有权要求乙方无条件保质保量按活动要求完成工作任务，如未能完成，甲方应纳入考核。</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（三）监督检查乙方对法律、法规、规章和相关作业标准、行业规范的履行情况。</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（四）对乙方本项目的列支费用进行监督审查。</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（五）定期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对乙方的工资单、保险单进行检查。</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（六）定期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对乙方的保洁人员进行检查，看是否足额配备保洁员。</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（七）在日常保洁工作中定期</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不定期</w:t>
      </w:r>
      <w:r>
        <w:rPr>
          <w:rFonts w:hint="eastAsia" w:ascii="仿宋" w:hAnsi="仿宋" w:eastAsia="仿宋" w:cs="仿宋"/>
          <w:color w:val="000000"/>
          <w:sz w:val="24"/>
        </w:rPr>
        <w:t xml:space="preserve">检查乙方有没有按照合同规定配备车辆，或者配备车辆与合同要求是否相符。</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（八）根据服务项目实际情况对环卫作业优化调整。</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（九）对乙方的项目部标准化建设检查验收。</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（十）对乙方在规定时间内提供上年度的有效社会保险和意义保险缴费清单进行审核，单位承担部分申请财政据实按年度拨付。</w:t>
      </w:r>
      <w:r>
        <w:rPr>
          <w:rFonts w:hint="eastAsia" w:ascii="仿宋" w:hAnsi="仿宋" w:eastAsia="仿宋" w:cs="仿宋"/>
          <w:color w:val="000000"/>
          <w:sz w:val="24"/>
        </w:rPr>
      </w:r>
      <w:r/>
    </w:p>
    <w:p>
      <w:pPr>
        <w:pStyle w:val="795"/>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（十一）对乙方环卫工人工资、津贴、加班工资发放情况进行检查。</w:t>
      </w:r>
      <w:r>
        <w:rPr>
          <w:rFonts w:hint="eastAsia" w:ascii="仿宋" w:hAnsi="仿宋" w:eastAsia="仿宋" w:cs="仿宋"/>
          <w:color w:val="000000"/>
          <w:sz w:val="24"/>
        </w:rPr>
      </w:r>
      <w:r/>
    </w:p>
    <w:p>
      <w:pPr>
        <w:pStyle w:val="795"/>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（十二）有权要求乙方更换项目负责人及其他服务人员。</w:t>
      </w:r>
      <w:r>
        <w:rPr>
          <w:rFonts w:hint="eastAsia" w:ascii="仿宋" w:hAnsi="仿宋" w:eastAsia="仿宋" w:cs="仿宋"/>
          <w:color w:val="000000"/>
          <w:sz w:val="24"/>
        </w:rPr>
      </w:r>
      <w:r/>
    </w:p>
    <w:p>
      <w:pPr>
        <w:pStyle w:val="795"/>
        <w:ind w:firstLine="420"/>
        <w:jc w:val="left"/>
        <w:spacing w:line="440" w:lineRule="exact"/>
        <w:tabs>
          <w:tab w:val="left" w:pos="2445" w:leader="none"/>
        </w:tabs>
        <w:rPr>
          <w:rFonts w:hint="eastAsia" w:ascii="仿宋" w:hAnsi="仿宋" w:eastAsia="仿宋" w:cs="仿宋"/>
          <w:color w:val="000000"/>
          <w:sz w:val="24"/>
        </w:rPr>
      </w:pPr>
      <w:r>
        <w:rPr>
          <w:rFonts w:hint="eastAsia" w:ascii="仿宋" w:hAnsi="仿宋" w:eastAsia="仿宋" w:cs="仿宋"/>
          <w:color w:val="000000"/>
          <w:sz w:val="24"/>
        </w:rPr>
        <w:t xml:space="preserve">（十三）定期对乙方车辆作业性能进行验收，有权要求更换达不到作业标准的车辆。</w:t>
      </w:r>
      <w:r>
        <w:rPr>
          <w:rFonts w:hint="eastAsia" w:ascii="仿宋" w:hAnsi="仿宋" w:eastAsia="仿宋" w:cs="仿宋"/>
          <w:color w:val="000000"/>
          <w:sz w:val="24"/>
        </w:rPr>
      </w:r>
      <w:r/>
    </w:p>
    <w:p>
      <w:pPr>
        <w:pStyle w:val="795"/>
        <w:ind w:firstLine="420"/>
        <w:jc w:val="left"/>
        <w:spacing w:line="440" w:lineRule="exact"/>
        <w:tabs>
          <w:tab w:val="left" w:pos="2445"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（十四）根据相关政策和规定调整考核细则和评分标准。</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2"/>
      </w:pPr>
      <w:r>
        <w:rPr>
          <w:rFonts w:hint="eastAsia" w:ascii="仿宋" w:hAnsi="仿宋" w:eastAsia="仿宋" w:cs="仿宋"/>
          <w:color w:val="000000"/>
          <w:sz w:val="24"/>
        </w:rPr>
        <w:t xml:space="preserve">第十七条  乙方权利和义务</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（一）遵守法律、法规、规章和相关作业标准、行业规范。</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根据合同和投标书所作的承诺自觉开展各项保洁工作，确保承包区域内环境卫生达到合同约定的质量标准；按指定地点、指定时间收运垃圾，严禁在承包范围内从事非经甲方认定或有碍甲方利益的各类业务。</w:t>
      </w:r>
      <w:r>
        <w:rPr>
          <w:rFonts w:hint="eastAsia" w:ascii="仿宋" w:hAnsi="仿宋" w:eastAsia="仿宋" w:cs="仿宋"/>
          <w:color w:val="000000"/>
          <w:sz w:val="24"/>
        </w:rPr>
      </w:r>
      <w:r/>
    </w:p>
    <w:p>
      <w:pPr>
        <w:pStyle w:val="795"/>
        <w:ind w:firstLine="480"/>
        <w:jc w:val="left"/>
        <w:spacing w:line="440" w:lineRule="exact"/>
        <w:tabs>
          <w:tab w:val="left" w:pos="552" w:leader="none"/>
        </w:tabs>
        <w:rPr>
          <w:rFonts w:hint="eastAsia" w:ascii="仿宋" w:hAnsi="仿宋" w:eastAsia="仿宋" w:cs="仿宋"/>
          <w:color w:val="000000"/>
          <w:sz w:val="24"/>
        </w:rPr>
      </w:pPr>
      <w:r>
        <w:rPr>
          <w:rFonts w:hint="eastAsia" w:ascii="仿宋" w:hAnsi="仿宋" w:eastAsia="仿宋" w:cs="仿宋"/>
          <w:color w:val="000000"/>
          <w:sz w:val="24"/>
        </w:rPr>
        <w:t xml:space="preserve">（三）接受甲方、环卫管理机构及第三方监理的指导、监督、检查和考核。</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四）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（五）独立承担作业人员及设备（车辆）的安全责任、用人责任。</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（六）做好环卫各项应急保障工作。</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（七）按照相关要求和标准建立每日自查制度，完善各项台账资料。</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（八）对徐州市政府12345服务热线、12319数字城管监督指挥中心派单、徐州市污染防治综合监管平台、媒体曝光、信访来电等有责投诉必须按规定进行整改，并将整改结果书面报送甲方。</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九）承担其工作人员的人身财产损害及造成第三人损害的法律责任。如发生任何安全事故或意外事件，乙方承担全部法律和经济责任，采购人不承担任何责任。任何乙方与其工作人员的纠纷及事故均由乙方负责解决及承担全部法律责任，如因此影响项目的正常进行或给甲方造成的不良影响，甲方有权解除合同并要求乙方承担全部法律责任。</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（十）必须将所投入本项目的设备（车辆）行驶证及机动车登记证书复印件交甲方备案，设备（车辆）只能在本项目专用，未经甲方书面同意不得用于其他项目。</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（十一）负责项目内环卫设施管理和维护，如有遗失、损坏由乙方承担赔偿责任。未经甲方书面同意不得迁移垃圾收集设施。</w:t>
      </w:r>
      <w:r>
        <w:rPr>
          <w:rFonts w:hint="eastAsia" w:ascii="仿宋" w:hAnsi="仿宋" w:eastAsia="仿宋" w:cs="仿宋"/>
          <w:color w:val="000000"/>
          <w:sz w:val="24"/>
        </w:rPr>
      </w:r>
      <w:r/>
    </w:p>
    <w:p>
      <w:pPr>
        <w:pStyle w:val="795"/>
        <w:ind w:firstLine="398"/>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（十二）积极按甲方要求参加相关会议和各类培训。</w:t>
      </w:r>
      <w:r>
        <w:rPr>
          <w:rFonts w:hint="eastAsia" w:ascii="仿宋" w:hAnsi="仿宋" w:eastAsia="仿宋" w:cs="仿宋"/>
          <w:color w:val="000000"/>
          <w:sz w:val="24"/>
        </w:rPr>
      </w:r>
      <w:r/>
    </w:p>
    <w:p>
      <w:pPr>
        <w:pStyle w:val="795"/>
        <w:ind w:firstLine="398"/>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（十三）必须对企业员工进行安全生产、职业技能等培训，教育职工严格遵守国家法律法规、环卫作业及安全操作规程。作业人员应经专业培训后方可上岗作业。</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（十四）接受政府相关部门的财务审核，提供真实有效资料。</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（十五）按照法律、法规和国家、省、市的规定，按月足额发放人员工资：</w:t>
      </w:r>
      <w:r>
        <w:rPr>
          <w:rFonts w:hint="eastAsia" w:ascii="仿宋" w:hAnsi="仿宋" w:eastAsia="仿宋" w:cs="仿宋"/>
          <w:color w:val="000000"/>
          <w:sz w:val="24"/>
        </w:rPr>
      </w:r>
      <w:r/>
    </w:p>
    <w:p>
      <w:pPr>
        <w:pStyle w:val="795"/>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1.按不低于当地最低工资标准的110%发放基础工资（不含延长工作时间的工资）。</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2.按照环卫行业有毒、有害岗位津贴制度，对相关岗位按照相关标准进行补助。参照徐政发[2014]14号文件规定。</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3.按当地最新标准发放高温津贴。</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4.延长工作时间的工资应按相关法律规定执行。</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5.人员工资发放采用银行代发方式。</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6.合同履行期内遇政策调整，要求提高环卫工人待遇的，乙方必须于政策调整执行日期起执行，甲方适当给予补贴。</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4"/>
      </w:pPr>
      <w:r>
        <w:rPr>
          <w:rFonts w:hint="eastAsia" w:ascii="仿宋" w:hAnsi="仿宋" w:eastAsia="仿宋" w:cs="仿宋"/>
          <w:color w:val="000000"/>
          <w:sz w:val="24"/>
        </w:rPr>
        <w:t xml:space="preserve">7.保证环卫工人每周至少休息一日。</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六）按照法律、法规规定为环卫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（十七）按法律、法规的规定为环卫工人提供必要的劳动保护用品，标准按环卫主管部门规定执行。</w:t>
      </w:r>
      <w:r>
        <w:rPr>
          <w:rFonts w:hint="eastAsia" w:ascii="仿宋" w:hAnsi="仿宋" w:eastAsia="仿宋" w:cs="仿宋"/>
          <w:color w:val="000000"/>
          <w:sz w:val="24"/>
        </w:rPr>
      </w:r>
      <w:r/>
    </w:p>
    <w:p>
      <w:pPr>
        <w:pStyle w:val="795"/>
        <w:ind w:firstLine="60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（十八）自觉接受甲方及其上级行政主管部门、劳动监察部门的管理、监督和检查，根据需要提供相关的检查文件和资料，以及作必要的解释和说明，乙方不得阻扰检查人员的检查工作。</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（十九）不断提高企业管理水平和作业能力，提高企业运营管理实力。</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（二十）不得自行调整作业范围、作业模式、作业量。</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十一）按甲方环卫主管部门要求购置环卫信息系统（含车辆和人员监管设备）、通信对讲系统等，承担安装及服务费用，包含在合同价格内。其中人员监管能够实时获取人员信息位置，作业排班、出勤情况、作业状态等相关数据，车辆能够获取环卫车辆信息、位置、实时监测视频影像、实时语音对讲、行车记录回放、实时安全驾驶管控、运行轨迹分析、作业状态监管等相关数据。</w:t>
      </w:r>
      <w:r>
        <w:rPr>
          <w:rFonts w:hint="eastAsia" w:ascii="仿宋" w:hAnsi="仿宋" w:eastAsia="仿宋" w:cs="仿宋"/>
          <w:color w:val="000000"/>
          <w:sz w:val="24"/>
        </w:rPr>
      </w:r>
      <w:r/>
    </w:p>
    <w:p>
      <w:pPr>
        <w:pStyle w:val="795"/>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第六节  不间断服务约定</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第十八条  乙方不得因法定代表人变更或其他管理失缺而影响服务质量。</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第十九条  乙方在任何情况下都必须保证其所服务项目的人员总数符合合同约定。</w:t>
      </w:r>
      <w:r>
        <w:rPr>
          <w:rFonts w:hint="eastAsia" w:ascii="仿宋" w:hAnsi="仿宋" w:eastAsia="仿宋" w:cs="仿宋"/>
          <w:color w:val="000000"/>
          <w:sz w:val="24"/>
        </w:rPr>
      </w:r>
      <w:r/>
    </w:p>
    <w:p>
      <w:pPr>
        <w:pStyle w:val="795"/>
        <w:ind w:firstLine="36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 第二十条  乙方在任何情况下都必须保证其所服务项目的设备数量及运行状态符合合同约定。</w:t>
      </w:r>
      <w:r>
        <w:rPr>
          <w:rFonts w:hint="eastAsia" w:ascii="仿宋" w:hAnsi="仿宋" w:eastAsia="仿宋" w:cs="仿宋"/>
          <w:color w:val="000000"/>
          <w:sz w:val="24"/>
        </w:rPr>
      </w:r>
      <w:r/>
    </w:p>
    <w:p>
      <w:pPr>
        <w:pStyle w:val="795"/>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rPr>
        <w:t xml:space="preserve">第七节  项目接管</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2"/>
      </w:pPr>
      <w:r>
        <w:rPr>
          <w:rFonts w:hint="eastAsia" w:ascii="仿宋" w:hAnsi="仿宋" w:eastAsia="仿宋" w:cs="仿宋"/>
          <w:color w:val="000000"/>
          <w:sz w:val="24"/>
        </w:rPr>
        <w:t xml:space="preserve">第二十一条  甲方有权在下列情形下接管乙方项目：</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（一）因乙方经营管理不善，发生重大质量、生产安全事故；</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（二）乙方擅自停业、歇业；</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（三）乙方作业过程造成重大环境污染；</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（四）其他重大、紧急可能危急公共安全行为的。</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乙方必须对其过错承担责任，包括经济赔偿责任及其他责任，事故处理后是否恢复履行合同由甲方决定。</w:t>
      </w:r>
      <w:r>
        <w:rPr>
          <w:rFonts w:hint="eastAsia" w:ascii="仿宋" w:hAnsi="仿宋" w:eastAsia="仿宋" w:cs="仿宋"/>
          <w:color w:val="000000"/>
          <w:sz w:val="24"/>
        </w:rPr>
      </w:r>
      <w:r/>
    </w:p>
    <w:p>
      <w:pPr>
        <w:pStyle w:val="795"/>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lang w:val="en-US" w:eastAsia="zh-CN"/>
        </w:rPr>
        <w:t xml:space="preserve">第八节</w:t>
      </w:r>
      <w:r>
        <w:rPr>
          <w:rFonts w:hint="eastAsia" w:ascii="仿宋" w:hAnsi="仿宋" w:eastAsia="仿宋" w:cs="仿宋"/>
          <w:color w:val="000000"/>
          <w:sz w:val="24"/>
        </w:rPr>
        <w:t xml:space="preserve">  履约验收</w:t>
      </w:r>
      <w:r>
        <w:rPr>
          <w:rFonts w:hint="eastAsia" w:ascii="仿宋" w:hAnsi="仿宋" w:eastAsia="仿宋" w:cs="仿宋"/>
          <w:color w:val="000000"/>
          <w:sz w:val="24"/>
        </w:rPr>
      </w:r>
      <w:r/>
    </w:p>
    <w:p>
      <w:pPr>
        <w:pStyle w:val="795"/>
        <w:ind w:left="0" w:right="0" w:firstLine="480"/>
        <w:jc w:val="both"/>
        <w:spacing w:before="0" w:after="0" w:line="360" w:lineRule="auto"/>
        <w:tabs>
          <w:tab w:val="left" w:pos="5131"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1、验收时间：每月月末。</w:t>
      </w:r>
      <w:r>
        <w:rPr>
          <w:rFonts w:hint="eastAsia" w:ascii="仿宋" w:hAnsi="仿宋" w:eastAsia="仿宋" w:cs="仿宋"/>
        </w:rPr>
      </w:r>
      <w:r/>
    </w:p>
    <w:p>
      <w:pPr>
        <w:pStyle w:val="795"/>
        <w:ind w:left="0" w:right="0" w:firstLine="480"/>
        <w:jc w:val="both"/>
        <w:spacing w:before="0" w:after="0" w:line="360" w:lineRule="auto"/>
        <w:tabs>
          <w:tab w:val="left" w:pos="5131" w:leader="none"/>
        </w:tabs>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2、验收主体：徐州市铜山区</w:t>
      </w:r>
      <w:r>
        <w:rPr>
          <w:rFonts w:hint="eastAsia" w:ascii="仿宋" w:hAnsi="仿宋" w:eastAsia="仿宋" w:cs="仿宋"/>
          <w:color w:val="000000"/>
          <w:sz w:val="24"/>
          <w:lang w:val="en-US" w:eastAsia="zh-CN"/>
        </w:rPr>
        <w:t xml:space="preserve">何桥镇人民政府。</w:t>
      </w:r>
      <w:r>
        <w:rPr>
          <w:rFonts w:hint="eastAsia" w:ascii="仿宋" w:hAnsi="仿宋" w:eastAsia="仿宋" w:cs="仿宋"/>
          <w:lang w:val="en-US" w:eastAsia="zh-CN"/>
        </w:rPr>
      </w:r>
      <w:r/>
    </w:p>
    <w:p>
      <w:pPr>
        <w:pStyle w:val="795"/>
        <w:ind w:left="0" w:right="0" w:firstLine="48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3、验收地点：</w:t>
      </w:r>
      <w:r>
        <w:rPr>
          <w:rFonts w:hint="eastAsia" w:ascii="仿宋" w:hAnsi="仿宋" w:eastAsia="仿宋" w:cs="仿宋"/>
          <w:color w:val="000000"/>
          <w:sz w:val="24"/>
          <w:lang w:val="en-US" w:eastAsia="zh-CN"/>
        </w:rPr>
        <w:t xml:space="preserve">铜山区何桥镇</w:t>
      </w:r>
      <w:r>
        <w:rPr>
          <w:rFonts w:hint="eastAsia" w:ascii="仿宋" w:hAnsi="仿宋" w:eastAsia="仿宋" w:cs="仿宋"/>
          <w:color w:val="000000"/>
          <w:sz w:val="24"/>
        </w:rPr>
        <w:t xml:space="preserve">镇区</w:t>
      </w:r>
      <w:r>
        <w:rPr>
          <w:rFonts w:hint="eastAsia" w:ascii="仿宋" w:hAnsi="仿宋" w:eastAsia="仿宋" w:cs="仿宋"/>
          <w:color w:val="000000"/>
          <w:sz w:val="24"/>
          <w:lang w:val="en-US" w:eastAsia="zh-CN"/>
        </w:rPr>
        <w:t xml:space="preserve">及镇域范围内的</w:t>
      </w:r>
      <w:r>
        <w:rPr>
          <w:rFonts w:hint="eastAsia" w:ascii="仿宋" w:hAnsi="仿宋" w:eastAsia="仿宋" w:cs="仿宋"/>
          <w:color w:val="000000"/>
          <w:sz w:val="24"/>
        </w:rPr>
        <w:t xml:space="preserve">村庄</w:t>
      </w:r>
      <w:r>
        <w:rPr>
          <w:rFonts w:hint="eastAsia" w:ascii="仿宋" w:hAnsi="仿宋" w:eastAsia="仿宋" w:cs="仿宋"/>
          <w:color w:val="000000"/>
          <w:sz w:val="24"/>
          <w:lang w:eastAsia="zh-CN"/>
        </w:rPr>
        <w:t xml:space="preserve">（</w:t>
      </w:r>
      <w:r>
        <w:rPr>
          <w:rFonts w:hint="eastAsia" w:ascii="仿宋" w:hAnsi="仿宋" w:eastAsia="仿宋" w:cs="仿宋"/>
          <w:bCs/>
          <w:sz w:val="24"/>
        </w:rPr>
        <w:t xml:space="preserve">何桥村、双楼村、金安村、宗庄村、土楼村、肖庄村、马行村、张集村、赵台村、段庄村、苗庄村、叶庄村、付村、袁寨、庄里寨</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w:t>
      </w:r>
      <w:r>
        <w:rPr>
          <w:rFonts w:hint="eastAsia" w:ascii="仿宋" w:hAnsi="仿宋" w:eastAsia="仿宋" w:cs="仿宋"/>
        </w:rPr>
      </w:r>
      <w:r/>
    </w:p>
    <w:p>
      <w:pPr>
        <w:pStyle w:val="795"/>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4、验收方式：</w:t>
      </w:r>
      <w:r>
        <w:rPr>
          <w:rFonts w:hint="eastAsia" w:ascii="仿宋" w:hAnsi="仿宋" w:eastAsia="仿宋" w:cs="仿宋"/>
          <w:color w:val="000000"/>
          <w:sz w:val="24"/>
          <w:lang w:val="en-US" w:eastAsia="zh-CN"/>
        </w:rPr>
        <w:t xml:space="preserve">何桥镇人居环境整治办公室</w:t>
      </w:r>
      <w:r>
        <w:rPr>
          <w:rFonts w:hint="eastAsia" w:ascii="仿宋" w:hAnsi="仿宋" w:eastAsia="仿宋" w:cs="仿宋"/>
          <w:color w:val="000000"/>
          <w:sz w:val="24"/>
        </w:rPr>
        <w:t xml:space="preserve">、环境卫生管理机构及社会各界（城管协管员、市民等）组织考核，徐州市铜山区</w:t>
      </w:r>
      <w:r>
        <w:rPr>
          <w:rFonts w:hint="eastAsia" w:ascii="仿宋" w:hAnsi="仿宋" w:eastAsia="仿宋" w:cs="仿宋"/>
          <w:color w:val="000000"/>
          <w:sz w:val="24"/>
          <w:lang w:eastAsia="zh-CN"/>
        </w:rPr>
        <w:t xml:space="preserve">何桥镇</w:t>
      </w:r>
      <w:r>
        <w:rPr>
          <w:rFonts w:hint="eastAsia" w:ascii="仿宋" w:hAnsi="仿宋" w:eastAsia="仿宋" w:cs="仿宋"/>
          <w:color w:val="000000"/>
          <w:sz w:val="24"/>
        </w:rPr>
        <w:t xml:space="preserve">人民政府在服务期内每月进行一次综合考评。</w:t>
      </w:r>
      <w:r>
        <w:rPr>
          <w:rFonts w:hint="eastAsia" w:ascii="仿宋" w:hAnsi="仿宋" w:eastAsia="仿宋" w:cs="仿宋"/>
        </w:rPr>
      </w:r>
      <w:r/>
    </w:p>
    <w:p>
      <w:pPr>
        <w:pStyle w:val="795"/>
        <w:ind w:left="0" w:right="0" w:firstLine="480"/>
        <w:jc w:val="both"/>
        <w:spacing w:before="0" w:after="0" w:line="360" w:lineRule="auto"/>
        <w:tabs>
          <w:tab w:val="left" w:pos="5131"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5、验收内容：村庄市场化保洁（路面保洁、机械化作业、绿化带保洁、野广告清理、护栏清洗、环卫设施管养维护、</w:t>
      </w:r>
      <w:r>
        <w:rPr>
          <w:rFonts w:hint="eastAsia" w:ascii="仿宋" w:hAnsi="仿宋" w:eastAsia="仿宋" w:cs="仿宋"/>
          <w:color w:val="000000"/>
          <w:sz w:val="24"/>
          <w:lang w:val="en-US" w:eastAsia="zh-CN"/>
        </w:rPr>
        <w:t xml:space="preserve">生活</w:t>
      </w:r>
      <w:r>
        <w:rPr>
          <w:rFonts w:hint="eastAsia" w:ascii="仿宋" w:hAnsi="仿宋" w:eastAsia="仿宋" w:cs="仿宋"/>
          <w:color w:val="000000"/>
          <w:sz w:val="24"/>
        </w:rPr>
        <w:t xml:space="preserve">垃圾收集容器管养维护、垃圾前端收集运输等），公厕管理（含保洁、维护），作业范围内的除雪、重大活动保障等应急任务，主管部门交办的临时性任务等。</w:t>
      </w:r>
      <w:r>
        <w:rPr>
          <w:rFonts w:hint="eastAsia" w:ascii="仿宋" w:hAnsi="仿宋" w:eastAsia="仿宋" w:cs="仿宋"/>
        </w:rPr>
      </w:r>
      <w:r/>
    </w:p>
    <w:p>
      <w:pPr>
        <w:pStyle w:val="795"/>
        <w:ind w:left="0" w:right="0" w:firstLine="480"/>
        <w:jc w:val="both"/>
        <w:spacing w:before="0" w:after="0" w:line="360" w:lineRule="auto"/>
        <w:tabs>
          <w:tab w:val="left" w:pos="5131" w:leader="none"/>
        </w:tabs>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6、验收标准：</w:t>
      </w:r>
      <w:r>
        <w:rPr>
          <w:rFonts w:hint="eastAsia" w:ascii="仿宋" w:hAnsi="仿宋" w:eastAsia="仿宋" w:cs="仿宋"/>
          <w:sz w:val="24"/>
        </w:rPr>
        <w:t xml:space="preserve">符合但不限于《江苏省城市环境卫生作业服务质量标准》，《城市道路环卫机械化作业质量标准》等现行有关法律法规、规章和规范性文件。服务质量和要求详见《铜山区镇区市场化保洁考核细则》与《铜山区村庄市场化保洁考核细则》及</w:t>
      </w:r>
      <w:r>
        <w:rPr>
          <w:rFonts w:hint="eastAsia" w:ascii="仿宋" w:hAnsi="仿宋" w:eastAsia="仿宋" w:cs="仿宋"/>
          <w:color w:val="000000"/>
          <w:sz w:val="24"/>
        </w:rPr>
        <w:t xml:space="preserve">招标人约定的采购需求及考核标准。</w:t>
      </w:r>
      <w:r>
        <w:rPr>
          <w:rFonts w:hint="eastAsia" w:ascii="仿宋" w:hAnsi="仿宋" w:eastAsia="仿宋" w:cs="仿宋"/>
          <w:sz w:val="22"/>
          <w:szCs w:val="22"/>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w:t>
      </w:r>
      <w:r>
        <w:rPr>
          <w:rFonts w:hint="eastAsia" w:ascii="仿宋" w:hAnsi="仿宋" w:eastAsia="仿宋" w:cs="仿宋"/>
          <w:color w:val="000000"/>
          <w:sz w:val="24"/>
          <w:lang w:val="en-US" w:eastAsia="zh-CN"/>
        </w:rPr>
        <w:t xml:space="preserve">九</w:t>
      </w:r>
      <w:r>
        <w:rPr>
          <w:rFonts w:hint="eastAsia" w:ascii="仿宋" w:hAnsi="仿宋" w:eastAsia="仿宋" w:cs="仿宋"/>
          <w:color w:val="000000"/>
          <w:sz w:val="24"/>
        </w:rPr>
        <w:t xml:space="preserve">节  履约保证金</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第二十二条  乙方应在合同签订前，按招标文件的规定，向甲方交纳履约保证金，履约保证金为合同总金额的</w:t>
      </w:r>
      <w:r>
        <w:rPr>
          <w:rFonts w:hint="eastAsia" w:ascii="仿宋" w:hAnsi="仿宋" w:eastAsia="仿宋" w:cs="仿宋"/>
          <w:color w:val="000000"/>
          <w:sz w:val="24"/>
          <w:u w:val="single"/>
        </w:rPr>
        <w:t xml:space="preserve">  1%  </w:t>
      </w:r>
      <w:r>
        <w:rPr>
          <w:rFonts w:hint="eastAsia" w:ascii="仿宋" w:hAnsi="仿宋" w:eastAsia="仿宋" w:cs="仿宋"/>
          <w:color w:val="000000"/>
          <w:sz w:val="24"/>
        </w:rPr>
        <w:t xml:space="preserve">，不计利息，履约保证金有效期应不低于合同有效期。</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第二十三条  乙方不履行合同的，履约保证金不予退还，给甲方造成的损失超过履约保证金数额的，还应当对超过部分予以赔偿。但因不可抗力不能履行合同的，不适应用此款规定。</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第二十四条  履约保证金（无息）将在乙方履行完合同义务，甲方收回保洁权完毕后退回乙方。</w:t>
      </w:r>
      <w:r>
        <w:rPr>
          <w:rFonts w:hint="eastAsia" w:ascii="仿宋" w:hAnsi="仿宋" w:eastAsia="仿宋" w:cs="仿宋"/>
          <w:color w:val="000000"/>
          <w:sz w:val="24"/>
        </w:rPr>
      </w:r>
      <w:r/>
    </w:p>
    <w:p>
      <w:pPr>
        <w:pStyle w:val="795"/>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w:t>
      </w:r>
      <w:r>
        <w:rPr>
          <w:rFonts w:hint="eastAsia" w:ascii="仿宋" w:hAnsi="仿宋" w:eastAsia="仿宋" w:cs="仿宋"/>
          <w:color w:val="000000"/>
          <w:sz w:val="24"/>
          <w:lang w:val="en-US" w:eastAsia="zh-CN"/>
        </w:rPr>
        <w:t xml:space="preserve">十</w:t>
      </w:r>
      <w:r>
        <w:rPr>
          <w:rFonts w:hint="eastAsia" w:ascii="仿宋" w:hAnsi="仿宋" w:eastAsia="仿宋" w:cs="仿宋"/>
          <w:color w:val="000000"/>
          <w:sz w:val="24"/>
        </w:rPr>
        <w:t xml:space="preserve">节 违约责任</w:t>
      </w:r>
      <w:r>
        <w:rPr>
          <w:rFonts w:hint="eastAsia" w:ascii="仿宋" w:hAnsi="仿宋" w:eastAsia="仿宋" w:cs="仿宋"/>
          <w:color w:val="000000"/>
          <w:sz w:val="24"/>
        </w:rPr>
      </w:r>
      <w:r/>
    </w:p>
    <w:p>
      <w:pPr>
        <w:pStyle w:val="795"/>
        <w:ind w:left="480"/>
        <w:jc w:val="left"/>
        <w:spacing w:before="183" w:line="218"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第二十五条  甲方未按约定支付合同价款，乙</w:t>
      </w:r>
      <w:r>
        <w:rPr>
          <w:rFonts w:hint="eastAsia" w:ascii="仿宋" w:hAnsi="仿宋" w:eastAsia="仿宋" w:cs="仿宋"/>
          <w:color w:val="000000"/>
          <w:spacing w:val="-1"/>
          <w:sz w:val="24"/>
        </w:rPr>
        <w:t xml:space="preserve">方可追究甲方违约责任。</w:t>
      </w:r>
      <w:r>
        <w:rPr>
          <w:rFonts w:hint="eastAsia" w:ascii="仿宋" w:hAnsi="仿宋" w:eastAsia="仿宋" w:cs="仿宋"/>
          <w:color w:val="000000"/>
          <w:sz w:val="24"/>
        </w:rPr>
      </w:r>
      <w:r/>
    </w:p>
    <w:p>
      <w:pPr>
        <w:pStyle w:val="795"/>
        <w:ind w:right="61" w:firstLine="480"/>
        <w:jc w:val="left"/>
        <w:spacing w:before="184" w:line="347" w:lineRule="auto"/>
        <w:widowControl/>
        <w:rPr>
          <w:rFonts w:hint="eastAsia" w:ascii="仿宋" w:hAnsi="仿宋" w:eastAsia="仿宋" w:cs="仿宋"/>
          <w:color w:val="000000"/>
          <w:sz w:val="24"/>
        </w:rPr>
      </w:pPr>
      <w:r>
        <w:rPr>
          <w:rFonts w:hint="eastAsia" w:ascii="仿宋" w:hAnsi="仿宋" w:eastAsia="仿宋" w:cs="仿宋"/>
          <w:color w:val="000000"/>
          <w:spacing w:val="-3"/>
          <w:sz w:val="24"/>
        </w:rPr>
        <w:t xml:space="preserve">第二十六条  乙方将承包的合同转包或肢解分包给他人，甲方有权没收履约保</w:t>
      </w:r>
      <w:r>
        <w:rPr>
          <w:rFonts w:hint="eastAsia" w:ascii="仿宋" w:hAnsi="仿宋" w:eastAsia="仿宋" w:cs="仿宋"/>
          <w:color w:val="000000"/>
          <w:spacing w:val="-1"/>
          <w:sz w:val="24"/>
        </w:rPr>
        <w:t xml:space="preserve">证金，并解除合同，乙方应赔偿甲方由此产生的经济损失。</w:t>
      </w:r>
      <w:r>
        <w:rPr>
          <w:rFonts w:hint="eastAsia" w:ascii="仿宋" w:hAnsi="仿宋" w:eastAsia="仿宋" w:cs="仿宋"/>
          <w:color w:val="000000"/>
          <w:sz w:val="24"/>
        </w:rPr>
      </w:r>
      <w:r/>
    </w:p>
    <w:p>
      <w:pPr>
        <w:pStyle w:val="795"/>
        <w:ind w:left="480"/>
        <w:jc w:val="left"/>
        <w:spacing w:before="34" w:line="219" w:lineRule="auto"/>
        <w:widowControl/>
        <w:rPr>
          <w:rFonts w:hint="eastAsia" w:ascii="仿宋" w:hAnsi="仿宋" w:eastAsia="仿宋" w:cs="仿宋"/>
          <w:color w:val="000000"/>
          <w:sz w:val="24"/>
        </w:rPr>
        <w:outlineLvl w:val="2"/>
      </w:pPr>
      <w:r>
        <w:rPr>
          <w:rFonts w:hint="eastAsia" w:ascii="仿宋" w:hAnsi="仿宋" w:eastAsia="仿宋" w:cs="仿宋"/>
          <w:color w:val="000000"/>
          <w:spacing w:val="-1"/>
          <w:sz w:val="24"/>
        </w:rPr>
        <w:t xml:space="preserve">第二十七条 发现以下情况的，可追究乙方违约责任：</w:t>
      </w:r>
      <w:r>
        <w:rPr>
          <w:rFonts w:hint="eastAsia" w:ascii="仿宋" w:hAnsi="仿宋" w:eastAsia="仿宋" w:cs="仿宋"/>
          <w:color w:val="000000"/>
          <w:sz w:val="24"/>
        </w:rPr>
      </w:r>
      <w:r/>
    </w:p>
    <w:p>
      <w:pPr>
        <w:pStyle w:val="795"/>
        <w:ind w:left="491"/>
        <w:jc w:val="left"/>
        <w:spacing w:before="184" w:line="219" w:lineRule="auto"/>
        <w:widowControl/>
        <w:rPr>
          <w:rFonts w:hint="eastAsia" w:ascii="仿宋" w:hAnsi="仿宋" w:eastAsia="仿宋" w:cs="仿宋"/>
          <w:color w:val="000000"/>
          <w:sz w:val="24"/>
        </w:rPr>
      </w:pPr>
      <w:r>
        <w:rPr>
          <w:rFonts w:hint="eastAsia" w:ascii="仿宋" w:hAnsi="仿宋" w:eastAsia="仿宋" w:cs="仿宋"/>
          <w:color w:val="000000"/>
          <w:spacing w:val="-2"/>
          <w:sz w:val="24"/>
        </w:rPr>
        <w:t xml:space="preserve">（一）乙方违反合同“人员及服装配备要求</w:t>
      </w:r>
      <w:r>
        <w:rPr>
          <w:rFonts w:hint="eastAsia" w:ascii="仿宋" w:hAnsi="仿宋" w:eastAsia="仿宋" w:cs="仿宋"/>
          <w:color w:val="000000"/>
          <w:spacing w:val="-76"/>
          <w:sz w:val="24"/>
        </w:rPr>
        <w:t xml:space="preserve"> </w:t>
      </w:r>
      <w:r>
        <w:rPr>
          <w:rFonts w:hint="eastAsia" w:ascii="仿宋" w:hAnsi="仿宋" w:eastAsia="仿宋" w:cs="仿宋"/>
          <w:color w:val="000000"/>
          <w:spacing w:val="-2"/>
          <w:sz w:val="24"/>
        </w:rPr>
        <w:t xml:space="preserve">”的约定，甲方发现并查实的；</w:t>
      </w:r>
      <w:r>
        <w:rPr>
          <w:rFonts w:hint="eastAsia" w:ascii="仿宋" w:hAnsi="仿宋" w:eastAsia="仿宋" w:cs="仿宋"/>
          <w:color w:val="000000"/>
          <w:sz w:val="24"/>
        </w:rPr>
      </w:r>
      <w:r/>
    </w:p>
    <w:p>
      <w:pPr>
        <w:pStyle w:val="795"/>
        <w:ind w:left="491"/>
        <w:jc w:val="left"/>
        <w:spacing w:before="183" w:line="219" w:lineRule="auto"/>
        <w:widowControl/>
        <w:rPr>
          <w:rFonts w:hint="eastAsia" w:ascii="仿宋" w:hAnsi="仿宋" w:eastAsia="仿宋" w:cs="仿宋"/>
          <w:color w:val="000000"/>
          <w:sz w:val="24"/>
        </w:rPr>
      </w:pPr>
      <w:r>
        <w:rPr>
          <w:rFonts w:hint="eastAsia" w:ascii="仿宋" w:hAnsi="仿宋" w:eastAsia="仿宋" w:cs="仿宋"/>
          <w:color w:val="000000"/>
          <w:spacing w:val="-2"/>
          <w:sz w:val="24"/>
        </w:rPr>
        <w:t xml:space="preserve">（二）乙方违反合同“设备配置要求</w:t>
      </w:r>
      <w:r>
        <w:rPr>
          <w:rFonts w:hint="eastAsia" w:ascii="仿宋" w:hAnsi="仿宋" w:eastAsia="仿宋" w:cs="仿宋"/>
          <w:color w:val="000000"/>
          <w:spacing w:val="-82"/>
          <w:sz w:val="24"/>
        </w:rPr>
        <w:t xml:space="preserve"> </w:t>
      </w:r>
      <w:r>
        <w:rPr>
          <w:rFonts w:hint="eastAsia" w:ascii="仿宋" w:hAnsi="仿宋" w:eastAsia="仿宋" w:cs="仿宋"/>
          <w:color w:val="000000"/>
          <w:spacing w:val="-2"/>
          <w:sz w:val="24"/>
        </w:rPr>
        <w:t xml:space="preserve">”的约定，甲方发现并查实的。</w:t>
      </w:r>
      <w:r>
        <w:rPr>
          <w:rFonts w:hint="eastAsia" w:ascii="仿宋" w:hAnsi="仿宋" w:eastAsia="仿宋" w:cs="仿宋"/>
          <w:color w:val="000000"/>
          <w:sz w:val="24"/>
        </w:rPr>
      </w:r>
      <w:r/>
    </w:p>
    <w:p>
      <w:pPr>
        <w:pStyle w:val="795"/>
        <w:ind w:left="2" w:right="61" w:firstLine="477"/>
        <w:jc w:val="left"/>
        <w:spacing w:before="184" w:line="346" w:lineRule="auto"/>
        <w:widowControl/>
        <w:rPr>
          <w:rFonts w:hint="eastAsia" w:ascii="仿宋" w:hAnsi="仿宋" w:eastAsia="仿宋" w:cs="仿宋"/>
          <w:color w:val="000000"/>
          <w:sz w:val="24"/>
        </w:rPr>
      </w:pPr>
      <w:r>
        <w:rPr>
          <w:rFonts w:hint="eastAsia" w:ascii="仿宋" w:hAnsi="仿宋" w:eastAsia="仿宋" w:cs="仿宋"/>
          <w:color w:val="000000"/>
          <w:spacing w:val="-3"/>
          <w:sz w:val="24"/>
        </w:rPr>
        <w:t xml:space="preserve">第二十八条  乙方违反本合同的规定，未按规定配发工具材料的，甲方发现并</w:t>
      </w:r>
      <w:r>
        <w:rPr>
          <w:rFonts w:hint="eastAsia" w:ascii="仿宋" w:hAnsi="仿宋" w:eastAsia="仿宋" w:cs="仿宋"/>
          <w:color w:val="000000"/>
          <w:spacing w:val="-1"/>
          <w:sz w:val="24"/>
        </w:rPr>
        <w:t xml:space="preserve">查实，可追究乙方违约责任。</w:t>
      </w:r>
      <w:r>
        <w:rPr>
          <w:rFonts w:hint="eastAsia" w:ascii="仿宋" w:hAnsi="仿宋" w:eastAsia="仿宋" w:cs="仿宋"/>
          <w:color w:val="000000"/>
          <w:sz w:val="24"/>
        </w:rPr>
      </w:r>
      <w:r/>
    </w:p>
    <w:p>
      <w:pPr>
        <w:pStyle w:val="795"/>
        <w:ind w:left="5" w:right="61" w:firstLine="474"/>
        <w:jc w:val="left"/>
        <w:spacing w:before="37" w:line="346" w:lineRule="auto"/>
        <w:widowControl/>
        <w:rPr>
          <w:rFonts w:hint="eastAsia" w:ascii="仿宋" w:hAnsi="仿宋" w:eastAsia="仿宋" w:cs="仿宋"/>
          <w:color w:val="000000"/>
          <w:spacing w:val="-2"/>
          <w:sz w:val="24"/>
        </w:rPr>
      </w:pPr>
      <w:r>
        <w:rPr>
          <w:rFonts w:hint="eastAsia" w:ascii="仿宋" w:hAnsi="仿宋" w:eastAsia="仿宋" w:cs="仿宋"/>
          <w:color w:val="000000"/>
          <w:spacing w:val="-3"/>
          <w:sz w:val="24"/>
        </w:rPr>
        <w:t xml:space="preserve">第二十九条  乙方未按规定发放环卫工人工资、津贴、加班工资等，经甲方查</w:t>
      </w:r>
      <w:r>
        <w:rPr>
          <w:rFonts w:hint="eastAsia" w:ascii="仿宋" w:hAnsi="仿宋" w:eastAsia="仿宋" w:cs="仿宋"/>
          <w:color w:val="000000"/>
          <w:spacing w:val="-2"/>
          <w:sz w:val="24"/>
        </w:rPr>
        <w:t xml:space="preserve">实的，可追究乙方违约责任。</w:t>
      </w:r>
      <w:r>
        <w:rPr>
          <w:rFonts w:hint="eastAsia" w:ascii="仿宋" w:hAnsi="仿宋" w:eastAsia="仿宋" w:cs="仿宋"/>
          <w:color w:val="000000"/>
          <w:spacing w:val="-2"/>
          <w:sz w:val="24"/>
        </w:rPr>
      </w:r>
      <w:r/>
    </w:p>
    <w:p>
      <w:pPr>
        <w:pStyle w:val="795"/>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第十</w:t>
      </w:r>
      <w:r>
        <w:rPr>
          <w:rFonts w:hint="eastAsia" w:ascii="仿宋" w:hAnsi="仿宋" w:eastAsia="仿宋" w:cs="仿宋"/>
          <w:color w:val="000000"/>
          <w:sz w:val="24"/>
          <w:lang w:val="en-US" w:eastAsia="zh-CN"/>
        </w:rPr>
        <w:t xml:space="preserve">一</w:t>
      </w:r>
      <w:r>
        <w:rPr>
          <w:rFonts w:hint="eastAsia" w:ascii="仿宋" w:hAnsi="仿宋" w:eastAsia="仿宋" w:cs="仿宋"/>
          <w:color w:val="000000"/>
          <w:sz w:val="24"/>
        </w:rPr>
        <w:t xml:space="preserve">节   不可抗力</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第三十条  不可抗力或甲、乙双方不能控制的原因不能履行合同的，根据不可抗力的影响，部分或者全部免除责任，但合同一方迟延履行后发生不可抗力的，不能免除责任。</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第三十一条  合同一方因不可抗力不能履行合同的，应当及时通知对方，以减轻可能给对方造成损失，并应当在合理期限内提供证明。  </w:t>
      </w:r>
      <w:r>
        <w:rPr>
          <w:rFonts w:hint="eastAsia" w:ascii="仿宋" w:hAnsi="仿宋" w:eastAsia="仿宋" w:cs="仿宋"/>
          <w:color w:val="000000"/>
          <w:sz w:val="24"/>
        </w:rPr>
      </w:r>
      <w:r/>
    </w:p>
    <w:p>
      <w:pPr>
        <w:pStyle w:val="795"/>
        <w:ind w:firstLine="480"/>
        <w:jc w:val="center"/>
        <w:spacing w:line="440" w:lineRule="exact"/>
        <w:tabs>
          <w:tab w:val="center" w:pos="5131" w:leader="none"/>
        </w:tabs>
        <w:rPr>
          <w:rFonts w:hint="eastAsia" w:ascii="仿宋" w:hAnsi="仿宋" w:eastAsia="仿宋" w:cs="仿宋"/>
          <w:color w:val="000000"/>
          <w:sz w:val="24"/>
        </w:rPr>
        <w:outlineLvl w:val="1"/>
      </w:pPr>
      <w:r>
        <w:rPr>
          <w:rFonts w:hint="eastAsia" w:ascii="仿宋" w:hAnsi="仿宋" w:eastAsia="仿宋" w:cs="仿宋"/>
          <w:color w:val="000000"/>
          <w:sz w:val="24"/>
        </w:rPr>
        <w:t xml:space="preserve">第十</w:t>
      </w:r>
      <w:r>
        <w:rPr>
          <w:rFonts w:hint="eastAsia" w:ascii="仿宋" w:hAnsi="仿宋" w:eastAsia="仿宋" w:cs="仿宋"/>
          <w:color w:val="000000"/>
          <w:sz w:val="24"/>
          <w:lang w:val="en-US" w:eastAsia="zh-CN"/>
        </w:rPr>
        <w:t xml:space="preserve">二</w:t>
      </w:r>
      <w:r>
        <w:rPr>
          <w:rFonts w:hint="eastAsia" w:ascii="仿宋" w:hAnsi="仿宋" w:eastAsia="仿宋" w:cs="仿宋"/>
          <w:color w:val="000000"/>
          <w:sz w:val="24"/>
        </w:rPr>
        <w:t xml:space="preserve">节  合同的解除</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第三十二条  甲方和乙方经协商一致并达成书面协议，可以解除合同。</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如履行合同期间乙方中途退场需提前2个月以书面形式通知甲方，扣除乙方履约保证金并按合同金额的2%支付违约金。</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2"/>
      </w:pPr>
      <w:r>
        <w:rPr>
          <w:rFonts w:hint="eastAsia" w:ascii="仿宋" w:hAnsi="仿宋" w:eastAsia="仿宋" w:cs="仿宋"/>
          <w:color w:val="000000"/>
          <w:sz w:val="24"/>
        </w:rPr>
        <w:t xml:space="preserve">第三十三条  有下列情形之一，甲方有权解除合同</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outlineLvl w:val="3"/>
      </w:pPr>
      <w:r>
        <w:rPr>
          <w:rFonts w:hint="eastAsia" w:ascii="仿宋" w:hAnsi="仿宋" w:eastAsia="仿宋" w:cs="仿宋"/>
          <w:color w:val="000000"/>
          <w:sz w:val="24"/>
        </w:rPr>
        <w:t xml:space="preserve">（一）乙方年度综合考核得分低于85分。</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（二）合同期内累计3次以上（含3次）受到甲方或环卫主管部门书面通报批评的。</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（三）保洁工作不符合项目要求，新闻媒体曝光及群众投诉造成重大影响的或受到上级部门书面通报的，经查属实且有责三次以上（含三次）；</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（四）突发事件（如灾害性天气）或重大活动期间，不执行指令性任务或未按相关要求、标准完成任务，达三次以上（含三次）；</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（五）未经甲方同意，将合同转让或进行分包的；</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（六）乙方与其职工发生劳资、工伤等纠纷，未按规定妥善解决，导致职工越级上访或引发群体性事件的；</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（七）擅自停业、歇业，影响社会公共利益和安全的；</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（八）乙方未按规定发放环卫工人工资、津贴、加班工资等的，被甲方或环卫管理机构通报三次以上的；</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outlineLvl w:val="3"/>
      </w:pPr>
      <w:r>
        <w:rPr>
          <w:rFonts w:hint="eastAsia" w:ascii="仿宋" w:hAnsi="仿宋" w:eastAsia="仿宋" w:cs="仿宋"/>
          <w:color w:val="000000"/>
          <w:sz w:val="24"/>
        </w:rPr>
        <w:t xml:space="preserve">（九）其他严重违反第十七条所列的乙方的权利和义务的行为。</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第三十四条  合同解除时应书面通知乙方，书面通知到达乙方时解除。</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第三十五条  因乙方违约解除合同的，其履约保证金不予退回，并视情况轻重列入</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"http://www.ccgp.gov.cn/search/cr/./" \o "政府采购严重违法失信行为记录名单"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w:t>
      </w:r>
      <w:bookmarkStart w:id="10" w:name="_Hlt36220120"/>
      <w:r/>
      <w:bookmarkStart w:id="11" w:name="_Hlt36220121"/>
      <w:r>
        <w:rPr>
          <w:rFonts w:hint="eastAsia" w:ascii="仿宋" w:hAnsi="仿宋" w:eastAsia="仿宋" w:cs="仿宋"/>
          <w:color w:val="000000"/>
          <w:sz w:val="24"/>
        </w:rPr>
        <w:t xml:space="preserve">购</w:t>
      </w:r>
      <w:bookmarkEnd w:id="10"/>
      <w:r/>
      <w:bookmarkEnd w:id="11"/>
      <w:r>
        <w:rPr>
          <w:rFonts w:hint="eastAsia" w:ascii="仿宋" w:hAnsi="仿宋" w:eastAsia="仿宋" w:cs="仿宋"/>
          <w:color w:val="000000"/>
          <w:sz w:val="24"/>
        </w:rPr>
        <w:t xml:space="preserve">失信行为记录名单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jc w:val="left"/>
        <w:spacing w:line="440" w:lineRule="exact"/>
        <w:tabs>
          <w:tab w:val="center" w:pos="5131" w:leader="none"/>
        </w:tabs>
        <w:rPr>
          <w:rFonts w:hint="eastAsia" w:ascii="仿宋" w:hAnsi="仿宋" w:eastAsia="仿宋" w:cs="仿宋"/>
          <w:color w:val="000000"/>
          <w:sz w:val="24"/>
        </w:rPr>
      </w:pPr>
      <w:r>
        <w:rPr>
          <w:rFonts w:hint="eastAsia" w:ascii="仿宋" w:hAnsi="仿宋" w:eastAsia="仿宋" w:cs="仿宋"/>
          <w:color w:val="000000"/>
          <w:sz w:val="24"/>
        </w:rPr>
        <w:t xml:space="preserve">第三十六条  合同解除后，甲方有权临时接管或指定第三方负责该采购包保洁工作。</w:t>
      </w:r>
      <w:r>
        <w:rPr>
          <w:rFonts w:hint="eastAsia" w:ascii="仿宋" w:hAnsi="仿宋" w:eastAsia="仿宋" w:cs="仿宋"/>
          <w:color w:val="000000"/>
          <w:sz w:val="24"/>
        </w:rPr>
      </w:r>
      <w:r/>
    </w:p>
    <w:p>
      <w:pPr>
        <w:pStyle w:val="795"/>
        <w:jc w:val="center"/>
        <w:spacing w:line="440" w:lineRule="exact"/>
        <w:rPr>
          <w:rFonts w:hint="eastAsia" w:ascii="仿宋" w:hAnsi="仿宋" w:eastAsia="仿宋" w:cs="仿宋"/>
          <w:color w:val="000000"/>
          <w:sz w:val="24"/>
        </w:rPr>
        <w:outlineLvl w:val="1"/>
      </w:pPr>
      <w:r>
        <w:rPr>
          <w:rFonts w:hint="eastAsia" w:ascii="仿宋" w:hAnsi="仿宋" w:eastAsia="仿宋" w:cs="仿宋"/>
          <w:color w:val="000000"/>
          <w:sz w:val="24"/>
        </w:rPr>
        <w:t xml:space="preserve">第十</w:t>
      </w:r>
      <w:r>
        <w:rPr>
          <w:rFonts w:hint="eastAsia" w:ascii="仿宋" w:hAnsi="仿宋" w:eastAsia="仿宋" w:cs="仿宋"/>
          <w:color w:val="000000"/>
          <w:sz w:val="24"/>
          <w:lang w:val="en-US" w:eastAsia="zh-CN"/>
        </w:rPr>
        <w:t xml:space="preserve">三</w:t>
      </w:r>
      <w:r>
        <w:rPr>
          <w:rFonts w:hint="eastAsia" w:ascii="仿宋" w:hAnsi="仿宋" w:eastAsia="仿宋" w:cs="仿宋"/>
          <w:color w:val="000000"/>
          <w:sz w:val="24"/>
        </w:rPr>
        <w:t xml:space="preserve">节  附则</w:t>
      </w:r>
      <w:r>
        <w:rPr>
          <w:rFonts w:hint="eastAsia" w:ascii="仿宋" w:hAnsi="仿宋" w:eastAsia="仿宋" w:cs="仿宋"/>
          <w:color w:val="000000"/>
          <w:sz w:val="24"/>
        </w:rPr>
      </w:r>
      <w:r/>
    </w:p>
    <w:p>
      <w:pPr>
        <w:pStyle w:val="795"/>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第三十七条  双方约定自本合同生效之日起，根据甲方委托承包事项，办理接管验收手续。 </w:t>
      </w:r>
      <w:r>
        <w:rPr>
          <w:rFonts w:hint="eastAsia" w:ascii="仿宋" w:hAnsi="仿宋" w:eastAsia="仿宋" w:cs="仿宋"/>
          <w:color w:val="000000"/>
          <w:sz w:val="24"/>
        </w:rPr>
      </w:r>
      <w:r/>
    </w:p>
    <w:p>
      <w:pPr>
        <w:pStyle w:val="795"/>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第三十八条  专用账户</w:t>
      </w:r>
      <w:r>
        <w:rPr>
          <w:rFonts w:hint="eastAsia" w:ascii="仿宋" w:hAnsi="仿宋" w:eastAsia="仿宋" w:cs="仿宋"/>
          <w:color w:val="000000"/>
          <w:sz w:val="24"/>
        </w:rPr>
      </w:r>
      <w:r/>
    </w:p>
    <w:p>
      <w:pPr>
        <w:pStyle w:val="795"/>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根据《住房城乡建设部等6部门关于加强环卫工人权益保障的通知》文件要求，将建立环卫工人工资“专用账户”，切实做好环卫工人权益保障工作。</w:t>
      </w:r>
      <w:r>
        <w:rPr>
          <w:rFonts w:hint="eastAsia" w:ascii="仿宋" w:hAnsi="仿宋" w:eastAsia="仿宋" w:cs="仿宋"/>
          <w:color w:val="000000"/>
          <w:sz w:val="24"/>
        </w:rPr>
      </w:r>
      <w:r/>
    </w:p>
    <w:p>
      <w:pPr>
        <w:pStyle w:val="795"/>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中标人签订合同后，须与采购人一起到银行开设“环卫工人工资专用账户”，并签订专门协议。</w:t>
      </w:r>
      <w:r>
        <w:rPr>
          <w:rFonts w:hint="eastAsia" w:ascii="仿宋" w:hAnsi="仿宋" w:eastAsia="仿宋" w:cs="仿宋"/>
          <w:color w:val="000000"/>
          <w:sz w:val="24"/>
        </w:rPr>
      </w:r>
      <w:r/>
    </w:p>
    <w:p>
      <w:pPr>
        <w:pStyle w:val="795"/>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第三十九条  本合同之附件均为合同有效组成部分。本合同及其附件和补充协议未规定的事宜，均遵照中华人民共和国有关法律、法规和规章执行。</w:t>
      </w:r>
      <w:r>
        <w:rPr>
          <w:rFonts w:hint="eastAsia" w:ascii="仿宋" w:hAnsi="仿宋" w:eastAsia="仿宋" w:cs="仿宋"/>
          <w:color w:val="000000"/>
          <w:sz w:val="24"/>
        </w:rPr>
      </w:r>
      <w:r/>
    </w:p>
    <w:p>
      <w:pPr>
        <w:pStyle w:val="795"/>
        <w:ind w:firstLine="482"/>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第四十条  本合同连同附件页，一式陆份，具有同等法律效力，甲方三份， 乙方一份，区财政局采购科一份，区财政局综合科一份。</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第四十一条  本合同执行期限内如因自然灾害、城市建设、政策调整或者不可抗力导致合同不得不终止，甲乙双方应该相互理解，妥善处理终止合同所涉及相关事宜，互不追究对方责任。</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第四十二条  本合同未尽事宜，由甲乙双方协商解决。如果不能协商一致，合同任何一方有权向甲方所在地人民法院提起诉讼。</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第四十三条  本合同其它未尽事宜及与采购文件有矛盾之处，以采购文件（项目编号：</w:t>
      </w:r>
      <w:r>
        <w:rPr>
          <w:rFonts w:hint="eastAsia" w:ascii="仿宋" w:hAnsi="仿宋" w:eastAsia="仿宋" w:cs="仿宋"/>
          <w:color w:val="000000"/>
          <w:sz w:val="24"/>
          <w:lang w:eastAsia="zh-CN"/>
        </w:rPr>
        <w:t xml:space="preserve">JSZC-320312-RCGC-G2026-0002</w:t>
      </w:r>
      <w:r>
        <w:rPr>
          <w:rFonts w:hint="eastAsia" w:ascii="仿宋" w:hAnsi="仿宋" w:eastAsia="仿宋" w:cs="仿宋"/>
          <w:color w:val="000000"/>
          <w:sz w:val="24"/>
        </w:rPr>
        <w:t xml:space="preserve">）为准。</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第四十四条  合同的变更：甲方在履行完政府采购计划变更手续并完成相关采购程序后，签订政府采购补充（变更）协议后予以变更。</w:t>
      </w:r>
      <w:r>
        <w:rPr>
          <w:rFonts w:hint="eastAsia" w:ascii="仿宋" w:hAnsi="仿宋" w:eastAsia="仿宋" w:cs="仿宋"/>
          <w:color w:val="000000"/>
          <w:sz w:val="24"/>
        </w:rPr>
      </w:r>
      <w:r/>
    </w:p>
    <w:p>
      <w:pPr>
        <w:pStyle w:val="795"/>
        <w:ind w:firstLine="480"/>
        <w:spacing w:line="440" w:lineRule="exact"/>
        <w:tabs>
          <w:tab w:val="left" w:pos="3479" w:leader="none"/>
        </w:tabs>
        <w:rPr>
          <w:rFonts w:hint="eastAsia" w:ascii="仿宋" w:hAnsi="仿宋" w:eastAsia="仿宋" w:cs="仿宋"/>
          <w:color w:val="000000"/>
          <w:sz w:val="24"/>
        </w:rPr>
      </w:pPr>
      <w:r>
        <w:rPr>
          <w:rFonts w:hint="eastAsia" w:ascii="仿宋" w:hAnsi="仿宋" w:eastAsia="仿宋" w:cs="仿宋"/>
          <w:color w:val="000000"/>
          <w:sz w:val="24"/>
        </w:rPr>
        <w:t xml:space="preserve">第四十五条 本合同自双方签章后生效。</w:t>
      </w:r>
      <w:r>
        <w:rPr>
          <w:rFonts w:hint="eastAsia" w:ascii="仿宋" w:hAnsi="仿宋" w:eastAsia="仿宋" w:cs="仿宋"/>
          <w:color w:val="000000"/>
          <w:sz w:val="24"/>
        </w:rPr>
      </w:r>
      <w:r/>
    </w:p>
    <w:p>
      <w:pPr>
        <w:pStyle w:val="795"/>
        <w:ind w:firstLine="480"/>
        <w:spacing w:line="440" w:lineRule="exact"/>
        <w:tabs>
          <w:tab w:val="left" w:pos="3479" w:leader="none"/>
        </w:tabs>
        <w:rPr>
          <w:rFonts w:hint="eastAsia" w:ascii="仿宋" w:hAnsi="仿宋" w:eastAsia="仿宋" w:cs="仿宋"/>
          <w:color w:val="000000"/>
          <w:sz w:val="24"/>
        </w:rPr>
      </w:pPr>
      <w:r>
        <w:rPr>
          <w:rFonts w:hint="eastAsia" w:ascii="仿宋" w:hAnsi="仿宋" w:eastAsia="仿宋" w:cs="仿宋"/>
          <w:color w:val="000000"/>
          <w:sz w:val="24"/>
        </w:rPr>
        <w:t xml:space="preserve">第四十六条 合同生效及其他</w:t>
      </w:r>
      <w:r>
        <w:rPr>
          <w:rFonts w:hint="eastAsia" w:ascii="仿宋" w:hAnsi="仿宋" w:eastAsia="仿宋" w:cs="仿宋"/>
          <w:color w:val="000000"/>
          <w:sz w:val="24"/>
        </w:rPr>
      </w:r>
      <w:r/>
    </w:p>
    <w:p>
      <w:pPr>
        <w:pStyle w:val="795"/>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1、合同应在甲乙双方代表签字并加盖公章后生效。</w:t>
      </w:r>
      <w:r>
        <w:rPr>
          <w:rFonts w:hint="eastAsia" w:ascii="仿宋" w:hAnsi="仿宋" w:eastAsia="仿宋" w:cs="仿宋"/>
          <w:color w:val="000000"/>
          <w:sz w:val="24"/>
        </w:rPr>
      </w:r>
      <w:r/>
    </w:p>
    <w:p>
      <w:pPr>
        <w:pStyle w:val="795"/>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2、本合同应按照中华人民共和国的现行法律进行解释。</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甲方（签章）：                          乙方（签章）：</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地址：                                  地址：</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邮编：                                  邮编：</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传真：                                  传真：</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电话：                                  电话：</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法定代表人或授权代表(签名)：             法定代表人或授权代表(签名)：</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开户银行：</w:t>
      </w:r>
      <w:r>
        <w:rPr>
          <w:rFonts w:hint="eastAsia" w:ascii="仿宋" w:hAnsi="仿宋" w:eastAsia="仿宋" w:cs="仿宋"/>
          <w:color w:val="000000"/>
          <w:sz w:val="24"/>
        </w:rPr>
      </w:r>
      <w:r/>
    </w:p>
    <w:p>
      <w:pPr>
        <w:pStyle w:val="795"/>
        <w:ind w:firstLine="48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银行账号：</w:t>
      </w:r>
      <w:r>
        <w:rPr>
          <w:rFonts w:hint="eastAsia" w:ascii="仿宋" w:hAnsi="仿宋" w:eastAsia="仿宋" w:cs="仿宋"/>
          <w:color w:val="000000"/>
          <w:sz w:val="24"/>
        </w:rPr>
      </w:r>
      <w:r/>
    </w:p>
    <w:p>
      <w:pPr>
        <w:pStyle w:val="795"/>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年   月   日                            年   月    日</w:t>
      </w: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540"/>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63"/>
        <w:rPr>
          <w:rFonts w:hint="eastAsia"/>
          <w:color w:val="000000"/>
        </w:rPr>
      </w:pPr>
      <w:r>
        <w:rPr>
          <w:rFonts w:hint="eastAsia"/>
          <w:color w:val="000000"/>
        </w:rPr>
      </w:r>
      <w:r/>
    </w:p>
    <w:p>
      <w:pPr>
        <w:pStyle w:val="795"/>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6"/>
        <w:ind w:firstLine="482"/>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附件1：铜山区镇区市场化保洁考核评分细则</w:t>
      </w:r>
      <w:r>
        <w:rPr>
          <w:rFonts w:hint="eastAsia" w:ascii="仿宋" w:hAnsi="仿宋" w:eastAsia="仿宋" w:cs="仿宋"/>
          <w:color w:val="000000"/>
          <w:sz w:val="28"/>
          <w:szCs w:val="28"/>
        </w:rPr>
      </w:r>
      <w:r/>
    </w:p>
    <w:p>
      <w:pPr>
        <w:pStyle w:val="866"/>
        <w:ind w:firstLine="482"/>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9333"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320"/>
        <w:gridCol w:w="3475"/>
        <w:gridCol w:w="3010"/>
        <w:gridCol w:w="870"/>
      </w:tblGrid>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序号</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考核项目</w:t>
            </w:r>
            <w:r>
              <w:rPr>
                <w:rFonts w:hint="eastAsia" w:ascii="仿宋" w:hAnsi="仿宋" w:eastAsia="仿宋" w:cs="仿宋"/>
                <w:color w:val="000000"/>
                <w:sz w:val="24"/>
                <w:lang w:bidi="ar"/>
              </w:rPr>
            </w:r>
            <w:r/>
          </w:p>
        </w:tc>
        <w:tc>
          <w:tcPr>
            <w:tcW w:w="3475"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评分标准</w:t>
            </w:r>
            <w:r>
              <w:rPr>
                <w:rFonts w:hint="eastAsia" w:ascii="仿宋" w:hAnsi="仿宋" w:eastAsia="仿宋" w:cs="仿宋"/>
                <w:color w:val="000000"/>
                <w:sz w:val="24"/>
                <w:lang w:bidi="ar"/>
              </w:rPr>
            </w:r>
            <w:r/>
          </w:p>
        </w:tc>
        <w:tc>
          <w:tcPr>
            <w:tcW w:w="301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评分方法</w:t>
            </w:r>
            <w:r>
              <w:rPr>
                <w:rFonts w:hint="eastAsia" w:ascii="仿宋" w:hAnsi="仿宋" w:eastAsia="仿宋" w:cs="仿宋"/>
                <w:color w:val="000000"/>
                <w:sz w:val="24"/>
                <w:lang w:bidi="ar"/>
              </w:rPr>
            </w:r>
            <w:r/>
          </w:p>
        </w:tc>
        <w:tc>
          <w:tcPr>
            <w:tcW w:w="87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备注</w:t>
            </w: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保洁员及保洁工具配备</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镇区保洁员不低于镇区人口的</w:t>
            </w:r>
            <w:r>
              <w:rPr>
                <w:rFonts w:hint="eastAsia" w:ascii="仿宋" w:hAnsi="仿宋" w:eastAsia="仿宋" w:cs="仿宋"/>
                <w:color w:val="000000"/>
                <w:sz w:val="24"/>
                <w:lang w:val="en-US" w:eastAsia="zh-CN" w:bidi="ar"/>
              </w:rPr>
              <w:t xml:space="preserve">2</w:t>
            </w:r>
            <w:r>
              <w:rPr>
                <w:rFonts w:hint="eastAsia" w:ascii="仿宋" w:hAnsi="仿宋" w:eastAsia="仿宋" w:cs="仿宋"/>
                <w:color w:val="000000"/>
                <w:sz w:val="24"/>
                <w:lang w:bidi="ar"/>
              </w:rPr>
              <w:t xml:space="preserve">‰，且人均保洁面积不超过6000平方米；保洁员人手1辆不锈钢保洁车或快速新能源保洁车，扫帚等保洁工具及时更换。 </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保洁员未按标准配备的，每少1人扣5分；保洁车辆不合格的每例扣3分，保洁工具未及时更换的每例扣2分。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环卫设施设备配备</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照《环境卫生设施设置标准》（CJJ27-2012）要求，按照服务半径70米的标准设置分类果皮箱、垃圾桶等垃圾收集容器；所有收集容器外观颜色、标志标识要与省市标准相符，不占用道路，外观整洁、完好、闭盖状态，及时清运，无垃圾外溢；有条件的镇可以添置</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机扫车、</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洒水车等机械化设备，可适当减少保洁员数量。</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垃圾收集容器未能满足镇区垃圾收运需求的扣5分，配备颜色及标志标识不符合规定的每例扣1分，破损未及时维修更换的每例扣3分；箱体不洁、垃圾外溢的每例扣2分。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规范、文明作业</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保洁质量</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道路、街巷路面垃圾及时清运，无积存、暴露垃圾,渣土撒漏及时清理；沿路绿化带内不得有烟头、杂物、纸屑、漂浮物等，每100平方不得超过2处；河道无垃圾等漂浮物；降雪天气及时组织除雪作业；两侧建（构）筑物表面野广告及时清除及保洁，粉刷色调要和原建筑风貌一致。</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的一处扣1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265"/>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问题整改</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发现问题及时整改，按要求反馈整改情况，无新闻媒体曝光。</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整改后未按要求反馈扣1分；新闻媒体曝光的问题经查实的，每例扣5分。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工资发放</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按规定及时发放保洁员工资福利待遇等，不克扣拖延。</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克扣拖延工资的，每人次扣5分。达不到要求工资标准的视情节状况，可以不受该项分值限制。</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658"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bidi="ar"/>
              </w:rPr>
            </w:r>
            <w:r/>
          </w:p>
        </w:tc>
        <w:tc>
          <w:tcPr>
            <w:tcW w:w="1320"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监督考核</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（10分）</w:t>
            </w:r>
            <w:r>
              <w:rPr>
                <w:rFonts w:hint="eastAsia" w:ascii="仿宋" w:hAnsi="仿宋" w:eastAsia="仿宋" w:cs="仿宋"/>
                <w:color w:val="000000"/>
                <w:sz w:val="24"/>
                <w:lang w:bidi="ar"/>
              </w:rPr>
            </w:r>
            <w:r/>
          </w:p>
        </w:tc>
        <w:tc>
          <w:tcPr>
            <w:tcW w:w="3475"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对进驻物业公司严格监管，依法合理表达要求，无上访、信访等事件。</w:t>
            </w:r>
            <w:r>
              <w:rPr>
                <w:rFonts w:hint="eastAsia" w:ascii="仿宋" w:hAnsi="仿宋" w:eastAsia="仿宋" w:cs="仿宋"/>
                <w:color w:val="000000"/>
                <w:sz w:val="24"/>
                <w:lang w:bidi="ar"/>
              </w:rPr>
            </w:r>
            <w:r/>
          </w:p>
        </w:tc>
        <w:tc>
          <w:tcPr>
            <w:tcW w:w="3010"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出现顶撞、辱骂、殴打及上访、信访等事件，视情节影响扣1-10分。</w:t>
            </w:r>
            <w:r>
              <w:rPr>
                <w:rFonts w:hint="eastAsia" w:ascii="仿宋" w:hAnsi="仿宋" w:eastAsia="仿宋" w:cs="仿宋"/>
                <w:color w:val="000000"/>
                <w:sz w:val="24"/>
                <w:lang w:bidi="ar"/>
              </w:rPr>
            </w:r>
            <w:r/>
          </w:p>
        </w:tc>
        <w:tc>
          <w:tcPr>
            <w:tcW w:w="870" w:type="dxa"/>
            <w:vAlign w:val="center"/>
            <w:textDirection w:val="lrTb"/>
            <w:noWrap w:val="false"/>
          </w:tcPr>
          <w:p>
            <w:pPr>
              <w:pStyle w:val="795"/>
              <w:jc w:val="left"/>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95"/>
        <w:spacing w:line="480" w:lineRule="auto"/>
        <w:rPr>
          <w:rFonts w:hint="eastAsia" w:ascii="仿宋" w:hAnsi="仿宋" w:eastAsia="仿宋" w:cs="仿宋"/>
          <w:color w:val="000000"/>
          <w:sz w:val="24"/>
          <w:lang w:bidi="ar"/>
        </w:rPr>
      </w:pPr>
      <w:r>
        <w:rPr>
          <w:rFonts w:hint="eastAsia" w:ascii="仿宋" w:hAnsi="仿宋" w:eastAsia="仿宋" w:cs="仿宋"/>
          <w:color w:val="000000"/>
          <w:sz w:val="28"/>
          <w:szCs w:val="28"/>
        </w:rPr>
        <w:t xml:space="preserve">附件2：村庄市场化保洁考核评分细则</w:t>
      </w:r>
      <w:r>
        <w:rPr>
          <w:rFonts w:hint="eastAsia" w:ascii="仿宋" w:hAnsi="仿宋" w:eastAsia="仿宋" w:cs="仿宋"/>
          <w:color w:val="000000"/>
          <w:sz w:val="24"/>
          <w:lang w:bidi="ar"/>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327"/>
        <w:gridCol w:w="3101"/>
        <w:gridCol w:w="3589"/>
        <w:gridCol w:w="907"/>
      </w:tblGrid>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序号</w:t>
            </w:r>
            <w:r>
              <w:rPr>
                <w:rFonts w:hint="eastAsia" w:ascii="仿宋" w:hAnsi="仿宋" w:eastAsia="仿宋" w:cs="仿宋"/>
                <w:color w:val="000000"/>
                <w:sz w:val="24"/>
                <w:lang w:bidi="ar"/>
              </w:rPr>
            </w:r>
            <w:r/>
          </w:p>
        </w:tc>
        <w:tc>
          <w:tcPr>
            <w:tcW w:w="1327"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考核项目</w:t>
            </w:r>
            <w:r>
              <w:rPr>
                <w:rFonts w:hint="eastAsia" w:ascii="仿宋" w:hAnsi="仿宋" w:eastAsia="仿宋" w:cs="仿宋"/>
                <w:color w:val="000000"/>
                <w:sz w:val="24"/>
                <w:lang w:bidi="ar"/>
              </w:rPr>
            </w:r>
            <w:r/>
          </w:p>
        </w:tc>
        <w:tc>
          <w:tcPr>
            <w:tcW w:w="3101"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评分标准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评分办法</w:t>
            </w:r>
            <w:r>
              <w:rPr>
                <w:rFonts w:hint="eastAsia" w:ascii="仿宋" w:hAnsi="仿宋" w:eastAsia="仿宋" w:cs="仿宋"/>
                <w:color w:val="000000"/>
                <w:sz w:val="24"/>
                <w:lang w:bidi="ar"/>
              </w:rPr>
            </w:r>
            <w:r/>
          </w:p>
        </w:tc>
        <w:tc>
          <w:tcPr>
            <w:tcW w:w="907"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备注</w:t>
            </w: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保洁制度管理</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（16分）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镇成立农村保洁管理办公室，有办公地点，有督查车辆；每个行政村至少配备一名环卫主任，负责村内保洁工作的监督、考核。（4分）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未成立机构的扣2分，无办公地点、督查车辆的各扣1分；行政村没有环卫主任的扣2分，环卫主任未履职尽责的扣1分。扣完为止。</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按月足额拨付保洁公司保洁经费，并监督保洁公司及时发放保洁工资福利待遇等，保障环卫工人合法权益。（6分）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未能按月足额拨付保洁经费的每例扣3分；未按时或不足额发放保洁员工资福利待遇的每例扣2分。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镇村环境卫生无媒体曝光、群众举报等情况出现。（6分）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凡被市级（含）以上各项检查、考核通报违规情况的每处扣2分，未及时整改的再扣2分；保洁问题被群众举报的每例扣1分，未办结回复的再扣1分；媒体曝光的视情节扣3分至一票否决。</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保洁人员及车辆配置</w:t>
            </w: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rPr>
              <w:t xml:space="preserve">（11分）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按人口数不低于2‰的比例配备保洁员，每个自然村不少于1名保洁人员。（5分）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保洁员少于人口千分之三的每少一人扣1分，自然村专职保洁员的每例扣1分。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保洁队伍稳定，服装规范统一，配备必要的清扫工具和人力（新能源）垃圾收集车辆。（6分）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保洁车等保洁工具配备不到位的每例扣1分，服装未规范统一的每例扣1分。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垃圾收集转运设施建设</w:t>
            </w:r>
            <w:r>
              <w:rPr>
                <w:rFonts w:hint="eastAsia" w:ascii="仿宋" w:hAnsi="仿宋" w:eastAsia="仿宋" w:cs="仿宋"/>
                <w:color w:val="000000"/>
                <w:sz w:val="24"/>
                <w:lang w:bidi="ar"/>
              </w:rPr>
            </w:r>
            <w:r/>
          </w:p>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（33分）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采取“桶车对接”方式开展生活垃圾收运，实现“垃圾不落地”。（15分）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未采取“桶车对接”模式的扣15分；存在拉臂箱等收集容器的每例扣2分。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7</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自然村按照10-15户标准配备1个240L垃圾桶。（8分）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垃圾桶数量不足的，每例扣2分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8</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按照每万人不少于3吨运力配备密闭环保</w:t>
            </w:r>
            <w:r>
              <w:rPr>
                <w:rFonts w:hint="eastAsia" w:ascii="仿宋" w:hAnsi="仿宋" w:eastAsia="仿宋" w:cs="仿宋"/>
                <w:bCs/>
                <w:color w:val="000000"/>
                <w:sz w:val="24"/>
              </w:rPr>
              <w:t xml:space="preserve">新能源</w:t>
            </w:r>
            <w:r>
              <w:rPr>
                <w:rFonts w:hint="eastAsia" w:ascii="仿宋" w:hAnsi="仿宋" w:eastAsia="仿宋" w:cs="仿宋"/>
                <w:color w:val="000000"/>
                <w:sz w:val="24"/>
                <w:lang w:bidi="ar"/>
              </w:rPr>
              <w:t xml:space="preserve">垃圾运输车辆，农村生活垃圾密闭运输率达到100%。（10分）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运输车辆数量不足的每例扣5分；车体未密闭或车体不洁的每例扣2分，出现一起安全事故扣3分。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9</w:t>
            </w:r>
            <w:r>
              <w:rPr>
                <w:rFonts w:hint="eastAsia" w:ascii="仿宋" w:hAnsi="仿宋" w:eastAsia="仿宋" w:cs="仿宋"/>
                <w:color w:val="000000"/>
                <w:sz w:val="24"/>
                <w:lang w:bidi="ar"/>
              </w:rPr>
            </w:r>
            <w:r/>
          </w:p>
        </w:tc>
        <w:tc>
          <w:tcPr>
            <w:tcW w:w="1327" w:type="dxa"/>
            <w:vAlign w:val="center"/>
            <w:vMerge w:val="restart"/>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镇级中转站管理（15分）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10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运转不正常的扣5分；缺少标识、制度或不规范的每例扣1分；台账记录不规范的每例扣1分；渗沥液未按环保要求收集处理的，扣2分；垃圾未日产日清、环境不整洁的每例扣2分；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镇域垃圾收集转运率达到100%（3分）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垃圾转运率达到或超过100%得3分，低于100%的不得分；垃圾应产量按照每人每天0.5千克计算。                                         </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bidi="ar"/>
              </w:rPr>
            </w:r>
            <w:r/>
          </w:p>
        </w:tc>
        <w:tc>
          <w:tcPr>
            <w:tcW w:w="1327" w:type="dxa"/>
            <w:vAlign w:val="center"/>
            <w:vMerge w:val="continue"/>
            <w:textDirection w:val="lrTb"/>
            <w:noWrap w:val="false"/>
          </w:tcPr>
          <w:p>
            <w:pPr>
              <w:pStyle w:val="795"/>
              <w:jc w:val="center"/>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运送的生活垃圾中无掺杂砖瓦石块、淤泥等非生活垃圾以及故意掺水等违规现象。（2分）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前述违规现象，每发现一次扣1分。</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c>
          <w:tcPr>
            <w:tcW w:w="513"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12</w:t>
            </w:r>
            <w:r>
              <w:rPr>
                <w:rFonts w:hint="eastAsia" w:ascii="仿宋" w:hAnsi="仿宋" w:eastAsia="仿宋" w:cs="仿宋"/>
                <w:color w:val="000000"/>
                <w:sz w:val="24"/>
                <w:lang w:bidi="ar"/>
              </w:rPr>
            </w:r>
            <w:r/>
          </w:p>
        </w:tc>
        <w:tc>
          <w:tcPr>
            <w:tcW w:w="1327" w:type="dxa"/>
            <w:vAlign w:val="center"/>
            <w:textDirection w:val="lrTb"/>
            <w:noWrap w:val="false"/>
          </w:tcPr>
          <w:p>
            <w:pPr>
              <w:pStyle w:val="795"/>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环境卫生质量</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（15分）</w:t>
            </w:r>
            <w:r>
              <w:rPr>
                <w:rFonts w:hint="eastAsia" w:ascii="仿宋" w:hAnsi="仿宋" w:eastAsia="仿宋" w:cs="仿宋"/>
                <w:color w:val="000000"/>
                <w:sz w:val="24"/>
                <w:lang w:bidi="ar"/>
              </w:rPr>
            </w:r>
            <w:r/>
          </w:p>
        </w:tc>
        <w:tc>
          <w:tcPr>
            <w:tcW w:w="3101"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村庄道路、房前屋后、田边地头、沟塘河渠等无积存、倾倒垃圾和漂浮物，无焚烧垃圾现象；镇、村建筑物外立面无墙体野广告；集中规整柴草、建筑物料等杂物，不见乱堆乱放；垃圾收集容器整洁，不见垃圾外溢现象。（15分）</w:t>
            </w:r>
            <w:r>
              <w:rPr>
                <w:rFonts w:hint="eastAsia" w:ascii="仿宋" w:hAnsi="仿宋" w:eastAsia="仿宋" w:cs="仿宋"/>
                <w:color w:val="000000"/>
                <w:sz w:val="24"/>
                <w:lang w:bidi="ar"/>
              </w:rPr>
            </w:r>
            <w:r/>
          </w:p>
        </w:tc>
        <w:tc>
          <w:tcPr>
            <w:tcW w:w="3589" w:type="dxa"/>
            <w:vAlign w:val="center"/>
            <w:textDirection w:val="lrTb"/>
            <w:noWrap w:val="false"/>
          </w:tcPr>
          <w:p>
            <w:pPr>
              <w:pStyle w:val="795"/>
              <w:jc w:val="lef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前述违规现象，每发现一例扣1分，扣完为止。</w:t>
            </w:r>
            <w:r>
              <w:rPr>
                <w:rFonts w:hint="eastAsia" w:ascii="仿宋" w:hAnsi="仿宋" w:eastAsia="仿宋" w:cs="仿宋"/>
                <w:color w:val="000000"/>
                <w:sz w:val="24"/>
                <w:lang w:bidi="ar"/>
              </w:rPr>
            </w:r>
            <w:r/>
          </w:p>
        </w:tc>
        <w:tc>
          <w:tcPr>
            <w:tcW w:w="907" w:type="dxa"/>
            <w:vAlign w:val="center"/>
            <w:textDirection w:val="lrTb"/>
            <w:noWrap w:val="false"/>
          </w:tcPr>
          <w:p>
            <w:pPr>
              <w:pStyle w:val="795"/>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pStyle w:val="795"/>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5"/>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5"/>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795"/>
        <w:widowControl/>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63"/>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63"/>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63"/>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63"/>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863"/>
        <w:rPr>
          <w:rFonts w:ascii="方正小标宋简体" w:hAnsi="方正小标宋简体" w:eastAsia="方正小标宋简体" w:cs="方正小标宋简体"/>
          <w:color w:val="000000"/>
          <w:sz w:val="40"/>
          <w:szCs w:val="40"/>
        </w:rPr>
      </w:pPr>
      <w:r>
        <w:rPr>
          <w:rFonts w:ascii="方正小标宋简体" w:hAnsi="方正小标宋简体" w:eastAsia="方正小标宋简体" w:cs="方正小标宋简体"/>
          <w:color w:val="000000"/>
          <w:sz w:val="40"/>
          <w:szCs w:val="40"/>
        </w:rPr>
      </w:r>
      <w:r/>
    </w:p>
    <w:p>
      <w:pPr>
        <w:pStyle w:val="1065"/>
        <w:spacing w:line="360" w:lineRule="exact"/>
        <w:rPr>
          <w:rFonts w:ascii="仿宋" w:hAnsi="仿宋" w:eastAsia="仿宋" w:cs="仿宋"/>
          <w:color w:val="000000"/>
          <w:sz w:val="24"/>
          <w:szCs w:val="24"/>
        </w:rPr>
      </w:pPr>
      <w:r/>
      <w:bookmarkStart w:id="12" w:name="_Toc522790136"/>
      <w:r/>
      <w:bookmarkStart w:id="13" w:name="_Toc17335"/>
      <w:r>
        <w:rPr>
          <w:rFonts w:hint="eastAsia" w:ascii="仿宋" w:hAnsi="仿宋" w:eastAsia="仿宋" w:cs="仿宋"/>
          <w:color w:val="000000"/>
          <w:sz w:val="24"/>
          <w:szCs w:val="24"/>
        </w:rPr>
        <w:t xml:space="preserve">第六章  采购需求</w:t>
      </w:r>
      <w:r>
        <w:rPr>
          <w:rFonts w:ascii="仿宋" w:hAnsi="仿宋" w:eastAsia="仿宋" w:cs="仿宋"/>
          <w:color w:val="000000"/>
          <w:sz w:val="24"/>
          <w:szCs w:val="24"/>
        </w:rPr>
      </w:r>
      <w:r/>
    </w:p>
    <w:p>
      <w:pPr>
        <w:pStyle w:val="795"/>
        <w:rPr>
          <w:rFonts w:hint="eastAsia"/>
          <w:color w:val="000000"/>
        </w:rPr>
      </w:pPr>
      <w:r>
        <w:rPr>
          <w:rFonts w:hint="eastAsia"/>
          <w:color w:val="000000"/>
        </w:rPr>
      </w:r>
      <w:r/>
    </w:p>
    <w:p>
      <w:pPr>
        <w:pStyle w:val="795"/>
        <w:ind w:firstLine="480"/>
        <w:jc w:val="left"/>
        <w:spacing w:line="360" w:lineRule="exact"/>
        <w:widowControl/>
        <w:rPr>
          <w:rFonts w:hint="eastAsia"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一、</w:t>
      </w:r>
      <w:r>
        <w:rPr>
          <w:rFonts w:hint="eastAsia" w:ascii="仿宋" w:hAnsi="仿宋" w:eastAsia="仿宋" w:cs="仿宋"/>
          <w:b/>
          <w:bCs/>
          <w:color w:val="000000"/>
          <w:sz w:val="24"/>
        </w:rPr>
        <w:t xml:space="preserve">本项目</w:t>
      </w:r>
      <w:r>
        <w:rPr>
          <w:rFonts w:hint="eastAsia" w:ascii="仿宋" w:hAnsi="仿宋" w:eastAsia="仿宋" w:cs="仿宋"/>
          <w:b/>
          <w:bCs/>
          <w:color w:val="000000"/>
          <w:sz w:val="24"/>
          <w:lang w:bidi="ar"/>
        </w:rPr>
        <w:t xml:space="preserve">预算金额：</w:t>
      </w:r>
      <w:r>
        <w:rPr>
          <w:rFonts w:hint="eastAsia" w:ascii="仿宋" w:hAnsi="仿宋" w:eastAsia="仿宋" w:cs="仿宋"/>
          <w:color w:val="000000"/>
          <w:sz w:val="24"/>
        </w:rPr>
        <w:t xml:space="preserve">8</w:t>
      </w:r>
      <w:r>
        <w:rPr>
          <w:rFonts w:ascii="仿宋" w:hAnsi="仿宋" w:eastAsia="仿宋" w:cs="仿宋"/>
          <w:color w:val="000000"/>
          <w:sz w:val="24"/>
        </w:rPr>
        <w:t xml:space="preserve">0</w:t>
      </w:r>
      <w:r>
        <w:rPr>
          <w:rFonts w:hint="eastAsia" w:ascii="仿宋" w:hAnsi="仿宋" w:eastAsia="仿宋" w:cs="仿宋"/>
          <w:color w:val="000000"/>
          <w:sz w:val="24"/>
        </w:rPr>
        <w:t xml:space="preserve">3.</w:t>
      </w:r>
      <w:r>
        <w:rPr>
          <w:rFonts w:ascii="仿宋" w:hAnsi="仿宋" w:eastAsia="仿宋" w:cs="仿宋"/>
          <w:color w:val="000000"/>
          <w:sz w:val="24"/>
        </w:rPr>
        <w:t xml:space="preserve">5</w:t>
      </w:r>
      <w:r>
        <w:rPr>
          <w:rFonts w:hint="eastAsia" w:ascii="仿宋" w:hAnsi="仿宋" w:eastAsia="仿宋" w:cs="仿宋"/>
          <w:color w:val="000000"/>
          <w:sz w:val="24"/>
          <w:lang w:val="en-US" w:eastAsia="zh-CN"/>
        </w:rPr>
        <w:t xml:space="preserve">万元</w:t>
      </w:r>
      <w:r>
        <w:rPr>
          <w:rFonts w:hint="eastAsia" w:ascii="仿宋" w:hAnsi="仿宋" w:eastAsia="仿宋" w:cs="仿宋"/>
          <w:b/>
          <w:bCs/>
          <w:color w:val="000000"/>
          <w:sz w:val="24"/>
          <w:lang w:bidi="ar"/>
        </w:rPr>
        <w:t xml:space="preserve">；</w:t>
      </w:r>
      <w:r>
        <w:rPr>
          <w:rFonts w:hint="eastAsia" w:ascii="仿宋" w:hAnsi="仿宋" w:eastAsia="仿宋" w:cs="仿宋"/>
          <w:b/>
          <w:bCs/>
          <w:color w:val="000000"/>
          <w:sz w:val="24"/>
        </w:rPr>
        <w:t xml:space="preserve">最高投标限价：</w:t>
      </w:r>
      <w:r>
        <w:rPr>
          <w:rFonts w:hint="eastAsia" w:ascii="仿宋" w:hAnsi="仿宋" w:eastAsia="仿宋" w:cs="仿宋"/>
          <w:color w:val="000000"/>
          <w:sz w:val="24"/>
        </w:rPr>
        <w:t xml:space="preserve">803.5</w:t>
      </w:r>
      <w:r>
        <w:rPr>
          <w:rFonts w:hint="eastAsia" w:ascii="仿宋" w:hAnsi="仿宋" w:eastAsia="仿宋" w:cs="仿宋"/>
          <w:color w:val="000000"/>
          <w:sz w:val="24"/>
          <w:lang w:val="en-US" w:eastAsia="zh-CN"/>
        </w:rPr>
        <w:t xml:space="preserve">万元</w:t>
      </w:r>
      <w:r>
        <w:rPr>
          <w:rFonts w:hint="eastAsia" w:ascii="仿宋" w:hAnsi="仿宋" w:eastAsia="仿宋" w:cs="仿宋"/>
          <w:b/>
          <w:bCs/>
          <w:color w:val="000000"/>
          <w:sz w:val="24"/>
          <w:lang w:bidi="ar"/>
        </w:rPr>
        <w:t xml:space="preserve">。</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本次报价包含了投标人完成规定的全部工作后，委托人应支付的全部费用。总报价包括人工费、资料费、服装、清扫工具、耗材、相关税金、合理利润以及投标人认为完成本项目所需要的其他费用等。</w:t>
      </w:r>
      <w:r>
        <w:rPr>
          <w:rFonts w:hint="eastAsia" w:ascii="仿宋" w:hAnsi="仿宋" w:eastAsia="仿宋" w:cs="仿宋"/>
          <w:bCs/>
          <w:color w:val="000000"/>
          <w:sz w:val="24"/>
        </w:rPr>
      </w:r>
      <w:r/>
    </w:p>
    <w:p>
      <w:pPr>
        <w:pStyle w:val="795"/>
        <w:jc w:val="left"/>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82"/>
        <w:jc w:val="left"/>
        <w:spacing w:line="360" w:lineRule="exact"/>
        <w:widowControl/>
        <w:rPr>
          <w:rFonts w:hint="eastAsia" w:ascii="仿宋" w:hAnsi="仿宋" w:eastAsia="仿宋" w:cs="仿宋"/>
          <w:b/>
          <w:color w:val="000000"/>
          <w:sz w:val="24"/>
        </w:rPr>
        <w:outlineLvl w:val="1"/>
      </w:pPr>
      <w:r>
        <w:rPr>
          <w:rFonts w:hint="eastAsia" w:ascii="仿宋" w:hAnsi="仿宋" w:eastAsia="仿宋" w:cs="仿宋"/>
          <w:b/>
          <w:color w:val="000000"/>
          <w:sz w:val="24"/>
        </w:rPr>
        <w:t xml:space="preserve">二、实施范围及内容：</w:t>
      </w:r>
      <w:r>
        <w:rPr>
          <w:rFonts w:hint="eastAsia" w:ascii="仿宋" w:hAnsi="仿宋" w:eastAsia="仿宋" w:cs="仿宋"/>
          <w:b/>
          <w:color w:val="000000"/>
          <w:sz w:val="24"/>
        </w:rPr>
      </w:r>
      <w:r/>
    </w:p>
    <w:p>
      <w:pPr>
        <w:pStyle w:val="795"/>
        <w:ind w:firstLine="480"/>
        <w:jc w:val="left"/>
        <w:spacing w:line="360" w:lineRule="exact"/>
        <w:widowControl/>
        <w:rPr>
          <w:rFonts w:hint="eastAsia" w:ascii="仿宋" w:hAnsi="仿宋" w:eastAsia="仿宋" w:cs="仿宋"/>
          <w:bCs/>
          <w:color w:val="000000"/>
          <w:sz w:val="24"/>
        </w:rPr>
      </w:pPr>
      <w:r/>
      <w:bookmarkStart w:id="14" w:name="_Toc481146123"/>
      <w:r>
        <w:rPr>
          <w:rFonts w:hint="eastAsia" w:ascii="仿宋" w:hAnsi="仿宋" w:eastAsia="仿宋" w:cs="仿宋"/>
          <w:bCs/>
          <w:color w:val="000000"/>
          <w:sz w:val="24"/>
        </w:rPr>
        <w:t xml:space="preserve">1、村庄环卫管理。野广告、村庄内外、大街小巷、房前屋后、坑塘沟渠道路等范围内卫生保洁和垃圾收集清运；村庄垃圾桶的管护维修、桶体擦洗、蚊蝇灭杀等；村庄范围内各类垃圾、杂物清理整治。</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镇区范围内背街小巷快慢车道及人行道路、广场、林带、绿地的清扫保洁，保洁范围“墙到墙”，无建筑物的，延伸至可视范围内；政府驻地道路两侧垃圾桶清运及垃圾桶周边卫生清理；垃圾桶维护、擦拭。</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r>
      <w:r/>
    </w:p>
    <w:tbl>
      <w:tblPr>
        <w:tblW w:w="0" w:type="auto"/>
        <w:jc w:val="center"/>
        <w:tblInd w:w="-216" w:type="dxa"/>
        <w:tblLayout w:type="autofit"/>
        <w:tblCellMar>
          <w:left w:w="108" w:type="dxa"/>
          <w:top w:w="0" w:type="dxa"/>
          <w:right w:w="108" w:type="dxa"/>
          <w:bottom w:w="0" w:type="dxa"/>
        </w:tblCellMar>
        <w:tblLook w:val="04A0" w:firstRow="1" w:lastRow="0" w:firstColumn="1" w:lastColumn="0" w:noHBand="0" w:noVBand="1"/>
      </w:tblPr>
      <w:tblGrid>
        <w:gridCol w:w="2362"/>
        <w:gridCol w:w="1594"/>
        <w:gridCol w:w="4566"/>
      </w:tblGrid>
      <w:tr>
        <w:trPr>
          <w:trHeight w:val="418"/>
        </w:trPr>
        <w:tc>
          <w:tcPr>
            <w:tcBorders>
              <w:top w:val="single" w:color="000000" w:sz="8" w:space="0"/>
              <w:left w:val="single" w:color="000000" w:sz="8" w:space="0"/>
              <w:bottom w:val="single" w:color="000000" w:sz="4" w:space="0"/>
              <w:right w:val="single" w:color="000000" w:sz="4" w:space="0"/>
            </w:tcBorders>
            <w:tcW w:w="2362"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名称</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1594"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数量</w:t>
            </w:r>
            <w:r>
              <w:rPr>
                <w:rFonts w:hint="eastAsia" w:ascii="仿宋" w:hAnsi="仿宋" w:eastAsia="仿宋" w:cs="仿宋"/>
                <w:b/>
                <w:bCs/>
                <w:color w:val="000000"/>
                <w:sz w:val="24"/>
              </w:rPr>
            </w:r>
            <w:r/>
          </w:p>
        </w:tc>
        <w:tc>
          <w:tcPr>
            <w:tcBorders>
              <w:top w:val="single" w:color="000000" w:sz="8" w:space="0"/>
              <w:left w:val="single" w:color="000000" w:sz="4" w:space="0"/>
              <w:bottom w:val="single" w:color="000000" w:sz="4" w:space="0"/>
              <w:right w:val="single" w:color="000000" w:sz="4" w:space="0"/>
            </w:tcBorders>
            <w:tcW w:w="4566" w:type="dxa"/>
            <w:vAlign w:val="center"/>
            <w:textDirection w:val="lrTb"/>
            <w:noWrap/>
          </w:tcPr>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服务时限</w:t>
            </w:r>
            <w:r>
              <w:rPr>
                <w:rFonts w:hint="eastAsia" w:ascii="仿宋" w:hAnsi="仿宋" w:eastAsia="仿宋" w:cs="仿宋"/>
                <w:b/>
                <w:bCs/>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2"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镇区市场化保洁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86430平方米</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tcPr>
          <w:p>
            <w:pPr>
              <w:pStyle w:val="795"/>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r>
        <w:trPr>
          <w:trHeight w:val="418"/>
        </w:trPr>
        <w:tc>
          <w:tcPr>
            <w:tcBorders>
              <w:top w:val="single" w:color="000000" w:sz="4" w:space="0"/>
              <w:left w:val="single" w:color="000000" w:sz="8" w:space="0"/>
              <w:bottom w:val="single" w:color="000000" w:sz="4" w:space="0"/>
              <w:right w:val="single" w:color="000000" w:sz="4" w:space="0"/>
            </w:tcBorders>
            <w:tcW w:w="2362"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村庄市场化保洁</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5.3万人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tcPr>
          <w:p>
            <w:pPr>
              <w:pStyle w:val="795"/>
              <w:jc w:val="center"/>
              <w:widowControl/>
              <w:rPr>
                <w:rFonts w:ascii="仿宋" w:hAnsi="仿宋" w:eastAsia="仿宋" w:cs="仿宋"/>
                <w:color w:val="000000"/>
                <w:sz w:val="24"/>
              </w:rPr>
            </w:pPr>
            <w:r>
              <w:rPr>
                <w:rFonts w:hint="eastAsia" w:ascii="仿宋" w:hAnsi="仿宋" w:eastAsia="仿宋" w:cs="仿宋"/>
                <w:color w:val="000000"/>
                <w:sz w:val="24"/>
              </w:rPr>
              <w:t xml:space="preserve">36个月</w:t>
            </w:r>
            <w:r>
              <w:rPr>
                <w:rFonts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ascii="仿宋" w:hAnsi="仿宋" w:eastAsia="仿宋" w:cs="仿宋"/>
                <w:color w:val="000000"/>
                <w:sz w:val="24"/>
              </w:rPr>
              <w:t xml:space="preserve">(2026</w:t>
            </w:r>
            <w:r>
              <w:rPr>
                <w:rFonts w:hint="eastAsia" w:ascii="仿宋" w:hAnsi="仿宋" w:eastAsia="仿宋" w:cs="仿宋"/>
                <w:color w:val="000000"/>
                <w:sz w:val="24"/>
              </w:rPr>
              <w:t xml:space="preserve">年7月1日至2</w:t>
            </w:r>
            <w:r>
              <w:rPr>
                <w:rFonts w:ascii="仿宋" w:hAnsi="仿宋" w:eastAsia="仿宋" w:cs="仿宋"/>
                <w:color w:val="000000"/>
                <w:sz w:val="24"/>
              </w:rPr>
              <w:t xml:space="preserve">029</w:t>
            </w:r>
            <w:r>
              <w:rPr>
                <w:rFonts w:hint="eastAsia" w:ascii="仿宋" w:hAnsi="仿宋" w:eastAsia="仿宋" w:cs="仿宋"/>
                <w:color w:val="000000"/>
                <w:sz w:val="24"/>
              </w:rPr>
              <w:t xml:space="preserve">年6月3</w:t>
            </w:r>
            <w:r>
              <w:rPr>
                <w:rFonts w:ascii="仿宋" w:hAnsi="仿宋" w:eastAsia="仿宋" w:cs="仿宋"/>
                <w:color w:val="000000"/>
                <w:sz w:val="24"/>
              </w:rPr>
              <w:t xml:space="preserve">0</w:t>
            </w:r>
            <w:r>
              <w:rPr>
                <w:rFonts w:hint="eastAsia" w:ascii="仿宋" w:hAnsi="仿宋" w:eastAsia="仿宋" w:cs="仿宋"/>
                <w:color w:val="000000"/>
                <w:sz w:val="24"/>
              </w:rPr>
              <w:t xml:space="preserve">日</w:t>
            </w:r>
            <w:r>
              <w:rPr>
                <w:rFonts w:ascii="仿宋" w:hAnsi="仿宋" w:eastAsia="仿宋" w:cs="仿宋"/>
                <w:color w:val="000000"/>
                <w:sz w:val="24"/>
              </w:rPr>
              <w:t xml:space="preserve">)</w:t>
            </w:r>
            <w:r>
              <w:rPr>
                <w:rFonts w:hint="eastAsia" w:ascii="仿宋" w:hAnsi="仿宋" w:eastAsia="仿宋" w:cs="仿宋"/>
                <w:color w:val="000000"/>
                <w:sz w:val="24"/>
              </w:rPr>
            </w:r>
            <w:r/>
          </w:p>
        </w:tc>
      </w:tr>
    </w:tbl>
    <w:p>
      <w:pPr>
        <w:pStyle w:val="795"/>
        <w:jc w:val="left"/>
        <w:spacing w:line="360" w:lineRule="exact"/>
        <w:widowControl/>
        <w:rPr>
          <w:rFonts w:ascii="仿宋" w:hAnsi="仿宋" w:eastAsia="仿宋" w:cs="仿宋"/>
          <w:bCs/>
          <w:color w:val="000000"/>
          <w:sz w:val="24"/>
        </w:rPr>
        <w:outlineLvl w:val="1"/>
      </w:pPr>
      <w:r>
        <w:rPr>
          <w:rFonts w:ascii="仿宋" w:hAnsi="仿宋" w:eastAsia="仿宋" w:cs="仿宋"/>
          <w:bCs/>
          <w:color w:val="000000"/>
          <w:sz w:val="24"/>
        </w:rPr>
      </w:r>
      <w:r/>
    </w:p>
    <w:p>
      <w:pPr>
        <w:pStyle w:val="795"/>
        <w:ind w:firstLine="482"/>
        <w:jc w:val="left"/>
        <w:spacing w:line="360" w:lineRule="exact"/>
        <w:widowControl/>
        <w:rPr>
          <w:rFonts w:ascii="仿宋" w:hAnsi="仿宋" w:eastAsia="仿宋" w:cs="仿宋"/>
          <w:b/>
          <w:color w:val="000000"/>
          <w:sz w:val="24"/>
        </w:rPr>
        <w:outlineLvl w:val="1"/>
      </w:pPr>
      <w:r>
        <w:rPr>
          <w:rFonts w:hint="eastAsia" w:ascii="仿宋" w:hAnsi="仿宋" w:eastAsia="仿宋" w:cs="仿宋"/>
          <w:b/>
          <w:color w:val="000000"/>
          <w:sz w:val="24"/>
        </w:rPr>
        <w:t xml:space="preserve">三、项目要求：</w:t>
      </w:r>
      <w:r>
        <w:rPr>
          <w:rFonts w:ascii="仿宋" w:hAnsi="仿宋" w:eastAsia="仿宋" w:cs="仿宋"/>
          <w:b/>
          <w:color w:val="000000"/>
          <w:sz w:val="24"/>
        </w:rPr>
      </w:r>
      <w:r/>
    </w:p>
    <w:p>
      <w:pPr>
        <w:pStyle w:val="795"/>
        <w:ind w:firstLine="480"/>
        <w:jc w:val="left"/>
        <w:spacing w:line="360" w:lineRule="exact"/>
        <w:widowControl/>
        <w:rPr>
          <w:rFonts w:hint="eastAsia" w:ascii="仿宋" w:hAnsi="仿宋" w:eastAsia="仿宋" w:cs="仿宋"/>
          <w:bCs/>
          <w:color w:val="000000"/>
          <w:sz w:val="24"/>
        </w:rPr>
        <w:outlineLvl w:val="1"/>
      </w:pPr>
      <w:r>
        <w:rPr>
          <w:rFonts w:hint="eastAsia" w:ascii="仿宋" w:hAnsi="仿宋" w:eastAsia="仿宋" w:cs="仿宋"/>
          <w:bCs/>
          <w:color w:val="000000"/>
          <w:sz w:val="24"/>
        </w:rPr>
        <w:t xml:space="preserve">（一）镇区市场化保洁：</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镇区主次干道、绿化带、路沿石至单位院墙或建筑物间区域路面卫生机械洗扫、人工保洁及垃圾捡拾及时，沿石边及人行道铺装路面杂草清除、雨水井箅子清理、果皮箱清掏及时，机械洗扫清扫一日两次作业，人工一日两扫、全天保洁；果皮箱、垃圾箱（桶）维护、擦拭及时，并摆放有序；路名牌等设施清擦、可视范围内纸质宣传品及小广告清除及时；对垃圾桶进行除臭灭蝇等药物消杀。保洁标准要达到“五净五无”。“五净”即路面净，边沟净，绿化带净，路边至墙净，水面净；“五无”即无垃圾，无杂草，无人畜粪便，无碎砖瓦泥土，无卫生死角。</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1、人员最低配备要求</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保洁人员数量配备14人（其中项目经理1人，保洁班长1名（保洁员兼任），洒水车司机1人，镇区保洁员10人，小型新能源冲刷车司机2名）。</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说明：</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1）保洁人员应有保洁相关经验，身体健康，有吃苦耐劳的精神，遵守管理规定，管理人员年龄不低于22周岁且不超过55周岁。 </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2）项目经理（或项目负责人）、班长、保洁员、垃圾清运人员实行定人、定时、定岗、定责管理。</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3）日常管理人员应知法，懂法，守法，依法办事，必须严格遵守从业规范及安全管理规定。</w:t>
      </w:r>
      <w:r>
        <w:rPr>
          <w:rFonts w:hint="eastAsia" w:ascii="仿宋" w:hAnsi="仿宋" w:eastAsia="仿宋" w:cs="仿宋"/>
          <w:bCs/>
          <w:color w:val="000000"/>
          <w:sz w:val="24"/>
        </w:rPr>
      </w:r>
      <w:r/>
    </w:p>
    <w:p>
      <w:pPr>
        <w:pStyle w:val="795"/>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工作人员应有吃苦耐劳的精神和高度的责任感，受过专门的岗前培训，要知法守法，严格遵守从业规范及安全管理规定。管理人员应严格岗位职责，善于发现各类问题，具备一定的管理经验和处理突发事件的能力。 </w:t>
      </w:r>
      <w:r>
        <w:rPr>
          <w:rFonts w:hint="eastAsia" w:ascii="仿宋" w:hAnsi="仿宋" w:eastAsia="仿宋" w:cs="仿宋"/>
          <w:bCs/>
          <w:color w:val="000000"/>
          <w:sz w:val="24"/>
        </w:rPr>
      </w:r>
      <w:r/>
    </w:p>
    <w:p>
      <w:pPr>
        <w:pStyle w:val="795"/>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5）项目经理（或项目负责人）不得兼任其他项目的项目经理（或项目负责人），项目经理（或项目负责人）都必须具有项目工作经验。）投标人应在投标文件中提供人员配备要求的承诺文件，格式见招标文件。</w:t>
      </w:r>
      <w:r>
        <w:rPr>
          <w:rFonts w:hint="eastAsia" w:ascii="仿宋" w:hAnsi="仿宋" w:eastAsia="仿宋" w:cs="仿宋"/>
          <w:bCs/>
          <w:color w:val="000000"/>
          <w:sz w:val="24"/>
        </w:rPr>
      </w:r>
      <w:r/>
    </w:p>
    <w:p>
      <w:pPr>
        <w:pStyle w:val="795"/>
        <w:ind w:firstLine="482"/>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2、作业机械、工具和材料配备要求：</w:t>
      </w:r>
      <w:r>
        <w:rPr>
          <w:rFonts w:hint="eastAsia" w:ascii="仿宋" w:hAnsi="仿宋" w:eastAsia="仿宋" w:cs="仿宋"/>
          <w:bCs/>
          <w:color w:val="000000"/>
          <w:sz w:val="24"/>
        </w:rPr>
      </w:r>
      <w:r/>
    </w:p>
    <w:p>
      <w:pPr>
        <w:pStyle w:val="863"/>
        <w:ind w:left="0" w:right="86" w:firstLine="482"/>
        <w:spacing w:line="3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配备小型新能源冲刷车（1000L）2辆；新能源洒水车1辆；新能源/人力三轮车10辆；240L垃圾桶更换不低于30个/年；保洁工具每人一套，大扫帚二个月更换一次，扫帚、簸箕、铁锹、垃圾夹，每季度更换1次。</w:t>
      </w:r>
      <w:r>
        <w:rPr>
          <w:rFonts w:hint="eastAsia" w:ascii="仿宋" w:hAnsi="仿宋" w:eastAsia="仿宋" w:cs="仿宋"/>
          <w:bCs/>
          <w:color w:val="000000"/>
          <w:sz w:val="24"/>
        </w:rPr>
      </w:r>
      <w:r/>
    </w:p>
    <w:p>
      <w:pPr>
        <w:pStyle w:val="863"/>
        <w:ind w:left="0" w:right="86" w:firstLine="480"/>
        <w:spacing w:line="3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（二）村庄市场化保洁：</w:t>
      </w:r>
      <w:r>
        <w:rPr>
          <w:rFonts w:hint="eastAsia" w:ascii="仿宋" w:hAnsi="仿宋" w:eastAsia="仿宋" w:cs="仿宋"/>
          <w:bCs/>
          <w:color w:val="000000"/>
          <w:sz w:val="24"/>
        </w:rPr>
      </w:r>
      <w:r/>
    </w:p>
    <w:p>
      <w:pPr>
        <w:pStyle w:val="795"/>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村庄</w:t>
      </w:r>
      <w:r>
        <w:rPr>
          <w:rFonts w:hint="eastAsia" w:ascii="仿宋" w:hAnsi="仿宋" w:eastAsia="仿宋" w:cs="仿宋"/>
          <w:bCs/>
          <w:color w:val="000000"/>
          <w:sz w:val="24"/>
        </w:rPr>
        <w:t xml:space="preserve">内大街小巷路面一日两次普扫，村庄内外全天巡回保洁，及时将垃圾桶外垃圾清理入桶，垃圾桶无满溢现象；村内道路（包括背街小巷）和进出村道路，路面及道路两侧（绿化带内）、坑塘、排水沟，无杂草、无人畜粪便、无碎砖瓦泥土、无塑料袋等垃圾、杂物；路沿石、树穴、下水道口、沟沿、排水沟干净；小广告及时清理，村周边道路、坑塘、沟渠及其他区域干净整洁，无垃圾和白色污染；进出村道路两侧无白色垃圾、生活等成堆垃圾；河道、水塘、排水沟周边的垃圾、杂物随时清理。生活垃圾收集清理并运送至指定垃圾中转站或垃圾厂处理，运送途中实行密闭无撒漏。</w:t>
      </w:r>
      <w:r>
        <w:rPr>
          <w:rFonts w:ascii="仿宋" w:hAnsi="仿宋" w:eastAsia="仿宋" w:cs="仿宋"/>
          <w:bCs/>
          <w:color w:val="000000"/>
          <w:sz w:val="24"/>
        </w:rPr>
      </w:r>
      <w:r/>
    </w:p>
    <w:p>
      <w:pPr>
        <w:pStyle w:val="795"/>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1、项目地点：何桥镇15个行政村。</w:t>
      </w:r>
      <w:r>
        <w:rPr>
          <w:rFonts w:ascii="仿宋" w:hAnsi="仿宋" w:eastAsia="仿宋" w:cs="仿宋"/>
          <w:bCs/>
          <w:color w:val="000000"/>
          <w:sz w:val="24"/>
        </w:rPr>
      </w:r>
      <w:r/>
    </w:p>
    <w:p>
      <w:pPr>
        <w:pStyle w:val="795"/>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2、项目内容：何桥镇15个行政村（何桥村、双楼村、金安村、宗庄村、土楼村、肖庄村、马行村、张集村、赵台村、段庄村、苗庄村、叶庄村、付村、袁寨、庄里寨）卫生保洁管护、垃圾清运转运，墙体广告的清理等。</w:t>
      </w:r>
      <w:r>
        <w:rPr>
          <w:rFonts w:ascii="仿宋" w:hAnsi="仿宋" w:eastAsia="仿宋" w:cs="仿宋"/>
          <w:bCs/>
          <w:color w:val="000000"/>
          <w:sz w:val="24"/>
        </w:rPr>
      </w:r>
      <w:r/>
    </w:p>
    <w:p>
      <w:pPr>
        <w:pStyle w:val="795"/>
        <w:ind w:firstLine="48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3、项目要求</w:t>
      </w:r>
      <w:r>
        <w:rPr>
          <w:rFonts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村庄作业标准及要求：</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1）村内硬化道路主干道保证每天普扫一次，保证路面无尘土、石子、垃圾、粪便、柴草、树叶等；</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2）确保房前屋后无垃圾、杂草等，镇村、道路两侧及沟渠、坑塘、河道等视野范围内无垃圾即全域保洁 (包括农林废弃物等)，村内整洁，管理区域内无乱贴乱画野广告；</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3）管理区域其他垃圾收集集放点及容器必须每天清运，确保无积存其他垃圾、日产日清，做到车走地净；</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4）所有村庄根据实际情况使用垃圾桶、垃圾箱，垃圾收集点用新能源压缩车、新能源转运车清运；</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5）清运车辆必须按规定封闭运输，途中不得有抛洒滴漏现象，保持车体外观干净整洁；</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6）如遇重大活动及上级检查，按工作要求进行实时保洁；</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7）配合各级环境卫生管理、监理部门做好检查考核工作；</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8）积极协助甲方及上级环境卫生管理部门对个人和单位违反市容环境卫生行为的取证工作；</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9）做好紧急、突发事件的处理预案，如停电、冬季除雪等保障处理预案。按甲方规定的时间和要求做好保洁及清运工作；</w:t>
      </w:r>
      <w:r>
        <w:rPr>
          <w:rFonts w:hint="eastAsia"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10）何桥镇人民政府交办的临时任务无条件执行（不再增加费用）；</w:t>
      </w:r>
      <w:r>
        <w:rPr>
          <w:rFonts w:hint="eastAsia" w:ascii="仿宋" w:hAnsi="仿宋" w:eastAsia="仿宋" w:cs="仿宋"/>
          <w:bCs/>
          <w:color w:val="000000"/>
          <w:sz w:val="24"/>
        </w:rPr>
      </w:r>
      <w:r/>
    </w:p>
    <w:p>
      <w:pPr>
        <w:pStyle w:val="795"/>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11）定时对垃圾桶进行擦洗，确保垃圾桶外观整洁、摆放整齐，无垃圾外溢现象，垃圾桶周围无散落垃圾。4-10月份期间，对服务项目范围内的垃圾桶进行药物消杀。</w:t>
      </w:r>
      <w:r>
        <w:rPr>
          <w:rFonts w:ascii="仿宋" w:hAnsi="仿宋" w:eastAsia="仿宋" w:cs="仿宋"/>
          <w:bCs/>
          <w:color w:val="000000"/>
          <w:sz w:val="24"/>
        </w:rPr>
      </w:r>
      <w:r/>
    </w:p>
    <w:p>
      <w:pPr>
        <w:pStyle w:val="795"/>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4、人员配置：</w:t>
      </w:r>
      <w:r>
        <w:rPr>
          <w:rFonts w:ascii="仿宋" w:hAnsi="仿宋" w:eastAsia="仿宋" w:cs="仿宋"/>
          <w:bCs/>
          <w:color w:val="000000"/>
          <w:sz w:val="24"/>
        </w:rPr>
      </w:r>
      <w:r/>
    </w:p>
    <w:p>
      <w:pPr>
        <w:pStyle w:val="795"/>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保洁人员数量配备不少于113人，保洁员</w:t>
      </w:r>
      <w:r>
        <w:rPr>
          <w:rFonts w:ascii="仿宋" w:hAnsi="仿宋" w:eastAsia="仿宋" w:cs="仿宋"/>
          <w:bCs/>
          <w:color w:val="000000"/>
          <w:sz w:val="24"/>
        </w:rPr>
        <w:t xml:space="preserve">1</w:t>
      </w:r>
      <w:r>
        <w:rPr>
          <w:rFonts w:hint="eastAsia" w:ascii="仿宋" w:hAnsi="仿宋" w:eastAsia="仿宋" w:cs="仿宋"/>
          <w:bCs/>
          <w:color w:val="000000"/>
          <w:sz w:val="24"/>
        </w:rPr>
        <w:t xml:space="preserve">07人，保洁班长1</w:t>
      </w:r>
      <w:r>
        <w:rPr>
          <w:rFonts w:ascii="仿宋" w:hAnsi="仿宋" w:eastAsia="仿宋" w:cs="仿宋"/>
          <w:bCs/>
          <w:color w:val="000000"/>
          <w:sz w:val="24"/>
        </w:rPr>
        <w:t xml:space="preserve">5</w:t>
      </w:r>
      <w:r>
        <w:rPr>
          <w:rFonts w:hint="eastAsia" w:ascii="仿宋" w:hAnsi="仿宋" w:eastAsia="仿宋" w:cs="仿宋"/>
          <w:bCs/>
          <w:color w:val="000000"/>
          <w:sz w:val="24"/>
        </w:rPr>
        <w:t xml:space="preserve">人（保洁员选任），新能源垃圾压缩车驾驶员</w:t>
      </w:r>
      <w:r>
        <w:rPr>
          <w:rFonts w:ascii="仿宋" w:hAnsi="仿宋" w:eastAsia="仿宋" w:cs="仿宋"/>
          <w:bCs/>
          <w:color w:val="000000"/>
          <w:sz w:val="24"/>
        </w:rPr>
        <w:t xml:space="preserve">3</w:t>
      </w:r>
      <w:r>
        <w:rPr>
          <w:rFonts w:hint="eastAsia" w:ascii="仿宋" w:hAnsi="仿宋" w:eastAsia="仿宋" w:cs="仿宋"/>
          <w:bCs/>
          <w:color w:val="000000"/>
          <w:sz w:val="24"/>
        </w:rPr>
        <w:t xml:space="preserve">人，新能源垃圾车装工</w:t>
      </w:r>
      <w:r>
        <w:rPr>
          <w:rFonts w:ascii="仿宋" w:hAnsi="仿宋" w:eastAsia="仿宋" w:cs="仿宋"/>
          <w:bCs/>
          <w:color w:val="000000"/>
          <w:sz w:val="24"/>
        </w:rPr>
        <w:t xml:space="preserve">3</w:t>
      </w:r>
      <w:r>
        <w:rPr>
          <w:rFonts w:hint="eastAsia" w:ascii="仿宋" w:hAnsi="仿宋" w:eastAsia="仿宋" w:cs="仿宋"/>
          <w:bCs/>
          <w:color w:val="000000"/>
          <w:sz w:val="24"/>
        </w:rPr>
        <w:t xml:space="preserve">人。</w:t>
      </w:r>
      <w:r>
        <w:rPr>
          <w:rFonts w:ascii="仿宋" w:hAnsi="仿宋" w:eastAsia="仿宋" w:cs="仿宋"/>
          <w:bCs/>
          <w:color w:val="000000"/>
          <w:sz w:val="24"/>
        </w:rPr>
      </w:r>
      <w:r/>
    </w:p>
    <w:p>
      <w:pPr>
        <w:pStyle w:val="795"/>
        <w:ind w:firstLine="420"/>
        <w:jc w:val="left"/>
        <w:spacing w:line="360" w:lineRule="exact"/>
        <w:widowControl/>
        <w:rPr>
          <w:rFonts w:ascii="仿宋" w:hAnsi="仿宋" w:eastAsia="仿宋" w:cs="仿宋"/>
          <w:bCs/>
          <w:color w:val="000000"/>
          <w:sz w:val="24"/>
        </w:rPr>
      </w:pPr>
      <w:r>
        <w:rPr>
          <w:rFonts w:hint="eastAsia" w:ascii="仿宋" w:hAnsi="仿宋" w:eastAsia="仿宋" w:cs="仿宋"/>
          <w:bCs/>
          <w:color w:val="000000"/>
          <w:sz w:val="24"/>
        </w:rPr>
        <w:t xml:space="preserve">5、设备配置：</w:t>
      </w:r>
      <w:r>
        <w:rPr>
          <w:rFonts w:ascii="仿宋" w:hAnsi="仿宋" w:eastAsia="仿宋" w:cs="仿宋"/>
          <w:bCs/>
          <w:color w:val="000000"/>
          <w:sz w:val="24"/>
        </w:rPr>
      </w:r>
      <w:r/>
    </w:p>
    <w:p>
      <w:pPr>
        <w:pStyle w:val="795"/>
        <w:ind w:firstLine="42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配备新能源压缩垃圾车（≥5吨）</w:t>
      </w:r>
      <w:r>
        <w:rPr>
          <w:rFonts w:ascii="仿宋" w:hAnsi="仿宋" w:eastAsia="仿宋" w:cs="仿宋"/>
          <w:bCs/>
          <w:color w:val="000000"/>
          <w:sz w:val="24"/>
        </w:rPr>
        <w:t xml:space="preserve">3</w:t>
      </w:r>
      <w:r>
        <w:rPr>
          <w:rFonts w:hint="eastAsia" w:ascii="仿宋" w:hAnsi="仿宋" w:eastAsia="仿宋" w:cs="仿宋"/>
          <w:bCs/>
          <w:color w:val="000000"/>
          <w:sz w:val="24"/>
        </w:rPr>
        <w:t xml:space="preserve">辆，新能源/人力三轮车</w:t>
      </w:r>
      <w:r>
        <w:rPr>
          <w:rFonts w:ascii="仿宋" w:hAnsi="仿宋" w:eastAsia="仿宋" w:cs="仿宋"/>
          <w:bCs/>
          <w:color w:val="000000"/>
          <w:sz w:val="24"/>
        </w:rPr>
        <w:t xml:space="preserve">107</w:t>
      </w:r>
      <w:r>
        <w:rPr>
          <w:rFonts w:hint="eastAsia" w:ascii="仿宋" w:hAnsi="仿宋" w:eastAsia="仿宋" w:cs="仿宋"/>
          <w:bCs/>
          <w:color w:val="000000"/>
          <w:sz w:val="24"/>
        </w:rPr>
        <w:t xml:space="preserve">辆，240L垃圾桶更换不低于270个/年，保洁工具每人一套，大扫帚二个月更换一次，扫帚、簸箕、铁锹、垃圾夹每季度更换1次。</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机动车辆需为投标人自有。</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说明：</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1）保洁人员应有保洁相关经验，身体健康，有吃苦耐劳的精神，遵守管理规定，管理人员年龄不低于22周岁且不超过55周岁。</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2）项目经理（或项目负责人）、班长、保洁员、垃圾清运人员实行定人、定时、定岗、定责管理。</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3）日常管理人员应知法，懂法，守法，依法办事，必须严格遵守从业规范及安全管理规定。</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4）工作人员应有吃苦耐劳的精神和高度的责任感，受过专门的岗前培训，要知法守法，严格遵守从业规范及安全管理规定。管理人员应严格岗位职责，善于发现各类问题，具备一定的管理经验和处理突发事件的能力。</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5）项目经理（或项目负责人）不得兼任其他项目的项目经理（或项目负责人），项目经理（或项目负责人）都必须具有项目工作经验。</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6）投标人应在投标文件中提供人员配备要求的承诺文件，格式见招标文件。</w:t>
      </w:r>
      <w:r>
        <w:rPr>
          <w:rFonts w:hint="eastAsia" w:ascii="仿宋" w:hAnsi="仿宋" w:eastAsia="仿宋" w:cs="仿宋"/>
          <w:bCs/>
          <w:color w:val="000000"/>
          <w:sz w:val="24"/>
        </w:rPr>
      </w:r>
      <w:r/>
    </w:p>
    <w:p>
      <w:pPr>
        <w:pStyle w:val="795"/>
        <w:jc w:val="left"/>
        <w:spacing w:line="360" w:lineRule="exact"/>
        <w:widowControl/>
        <w:rPr>
          <w:rFonts w:ascii="仿宋" w:hAnsi="仿宋" w:eastAsia="仿宋" w:cs="仿宋"/>
          <w:bCs/>
          <w:color w:val="000000"/>
          <w:sz w:val="24"/>
        </w:rPr>
      </w:pPr>
      <w:r>
        <w:rPr>
          <w:rFonts w:ascii="仿宋" w:hAnsi="仿宋" w:eastAsia="仿宋" w:cs="仿宋"/>
          <w:bCs/>
          <w:color w:val="000000"/>
          <w:sz w:val="24"/>
        </w:rPr>
      </w:r>
      <w:r/>
    </w:p>
    <w:p>
      <w:pPr>
        <w:pStyle w:val="795"/>
        <w:ind w:firstLine="482"/>
        <w:jc w:val="left"/>
        <w:spacing w:line="360" w:lineRule="exact"/>
        <w:widowControl/>
        <w:rPr>
          <w:rFonts w:hint="eastAsia" w:ascii="仿宋" w:hAnsi="仿宋" w:eastAsia="仿宋" w:cs="仿宋"/>
          <w:b/>
          <w:color w:val="000000"/>
          <w:sz w:val="24"/>
        </w:rPr>
        <w:outlineLvl w:val="1"/>
      </w:pPr>
      <w:r/>
      <w:bookmarkEnd w:id="14"/>
      <w:r>
        <w:rPr>
          <w:rFonts w:hint="eastAsia" w:ascii="仿宋" w:hAnsi="仿宋" w:eastAsia="仿宋" w:cs="仿宋"/>
          <w:b/>
          <w:color w:val="000000"/>
          <w:sz w:val="24"/>
        </w:rPr>
        <w:t xml:space="preserve">五、实施方案</w:t>
      </w:r>
      <w:r>
        <w:rPr>
          <w:rFonts w:hint="eastAsia" w:ascii="仿宋" w:hAnsi="仿宋" w:eastAsia="仿宋" w:cs="仿宋"/>
          <w:b/>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投标人应针对本项目制定实施方案，实施方案至少应包含以下部分：</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1.项目分析：</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投标人根据招标文件、地方情况和个人理解等方面，对项目整体、作业范围、作业难点重点等进行分析。</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2.镇区保洁管理方案：</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投标人应根据镇区保洁特点编制管理方案。</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3.村庄保洁管理方案：</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投标人应根据村庄保洁特点编制管理方案。</w:t>
      </w:r>
      <w:r>
        <w:rPr>
          <w:rFonts w:hint="eastAsia" w:ascii="仿宋" w:hAnsi="仿宋" w:eastAsia="仿宋" w:cs="仿宋"/>
          <w:bCs/>
          <w:color w:val="000000"/>
          <w:sz w:val="24"/>
        </w:rPr>
      </w:r>
      <w:r/>
    </w:p>
    <w:p>
      <w:pPr>
        <w:pStyle w:val="795"/>
        <w:ind w:firstLine="480"/>
        <w:spacing w:line="360" w:lineRule="exact"/>
        <w:widowControl/>
        <w:rPr>
          <w:rFonts w:hint="eastAsia" w:ascii="仿宋" w:hAnsi="仿宋" w:eastAsia="仿宋" w:cs="仿宋"/>
          <w:color w:val="000000"/>
          <w:sz w:val="24"/>
          <w:lang w:bidi="ar"/>
        </w:rPr>
      </w:pPr>
      <w:r>
        <w:rPr>
          <w:rFonts w:hint="eastAsia" w:ascii="仿宋" w:hAnsi="仿宋" w:eastAsia="仿宋" w:cs="仿宋"/>
          <w:bCs/>
          <w:color w:val="000000"/>
          <w:sz w:val="24"/>
        </w:rPr>
        <w:t xml:space="preserve">4.</w:t>
      </w:r>
      <w:r>
        <w:rPr>
          <w:rFonts w:hint="eastAsia" w:ascii="仿宋" w:hAnsi="仿宋" w:eastAsia="仿宋" w:cs="仿宋"/>
          <w:color w:val="000000"/>
          <w:sz w:val="24"/>
          <w:lang w:bidi="ar"/>
        </w:rPr>
        <w:t xml:space="preserve">环卫机械化作业管理方案：</w:t>
      </w:r>
      <w:r>
        <w:rPr>
          <w:rFonts w:hint="eastAsia" w:ascii="仿宋" w:hAnsi="仿宋" w:eastAsia="仿宋" w:cs="仿宋"/>
          <w:color w:val="000000"/>
          <w:sz w:val="24"/>
          <w:lang w:bidi="ar"/>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color w:val="000000"/>
          <w:sz w:val="24"/>
          <w:lang w:bidi="ar"/>
        </w:rPr>
        <w:t xml:space="preserve">根据机械化设备配备、作业方案、日常和季节性作业时间安排、停车场地、机械化设备管理制度、内部人员管理制度、内部人员岗位职责、设备保养等内容</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5.人工保洁管理方案：</w:t>
      </w:r>
      <w:r>
        <w:rPr>
          <w:rFonts w:hint="eastAsia" w:ascii="仿宋" w:hAnsi="仿宋" w:eastAsia="仿宋" w:cs="仿宋"/>
          <w:bCs/>
          <w:color w:val="000000"/>
          <w:sz w:val="24"/>
        </w:rPr>
      </w:r>
      <w:r/>
    </w:p>
    <w:p>
      <w:pPr>
        <w:pStyle w:val="795"/>
        <w:ind w:firstLine="480"/>
        <w:jc w:val="left"/>
        <w:spacing w:line="36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根据提高劳动生产率、工人工资福利待遇保障、优化保洁人员配置等内容制定方案。</w:t>
      </w:r>
      <w:r>
        <w:rPr>
          <w:rFonts w:ascii="仿宋" w:hAnsi="仿宋" w:eastAsia="仿宋" w:cs="仿宋"/>
          <w:color w:val="000000"/>
          <w:sz w:val="24"/>
          <w:lang w:bidi="ar"/>
        </w:rPr>
      </w:r>
      <w:r/>
    </w:p>
    <w:p>
      <w:pPr>
        <w:pStyle w:val="795"/>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val="en-US" w:eastAsia="zh-CN" w:bidi="ar"/>
        </w:rPr>
        <w:t xml:space="preserve">6.</w:t>
      </w:r>
      <w:r>
        <w:rPr>
          <w:rFonts w:hint="eastAsia" w:ascii="仿宋" w:hAnsi="仿宋" w:eastAsia="仿宋" w:cs="仿宋"/>
          <w:color w:val="000000"/>
          <w:sz w:val="24"/>
          <w:lang w:bidi="ar"/>
        </w:rPr>
        <w:t xml:space="preserve">文明、安全作业管理实施方案</w:t>
      </w:r>
      <w:r>
        <w:rPr>
          <w:rFonts w:hint="eastAsia" w:ascii="仿宋" w:hAnsi="仿宋" w:eastAsia="仿宋" w:cs="仿宋"/>
          <w:color w:val="000000"/>
          <w:sz w:val="24"/>
          <w:lang w:bidi="ar"/>
        </w:rPr>
      </w:r>
      <w:r/>
    </w:p>
    <w:p>
      <w:pPr>
        <w:pStyle w:val="795"/>
        <w:ind w:firstLine="480"/>
        <w:jc w:val="left"/>
        <w:spacing w:line="360" w:lineRule="exact"/>
        <w:widowControl/>
        <w:rPr>
          <w:rFonts w:ascii="仿宋" w:hAnsi="仿宋" w:eastAsia="仿宋" w:cs="仿宋"/>
          <w:color w:val="000000"/>
          <w:sz w:val="24"/>
          <w:lang w:val="en-US" w:eastAsia="zh-CN" w:bidi="ar"/>
        </w:rPr>
      </w:pPr>
      <w:r>
        <w:rPr>
          <w:rFonts w:hint="eastAsia" w:ascii="仿宋" w:hAnsi="仿宋" w:eastAsia="仿宋" w:cs="仿宋"/>
          <w:color w:val="000000"/>
          <w:sz w:val="24"/>
          <w:lang w:val="en-US" w:eastAsia="zh-CN" w:bidi="ar"/>
        </w:rPr>
        <w:t xml:space="preserve">为了文明、安全地实施项目，制定详实的作业管理实施方案。</w:t>
      </w:r>
      <w:r>
        <w:rPr>
          <w:rFonts w:ascii="仿宋" w:hAnsi="仿宋" w:eastAsia="仿宋" w:cs="仿宋"/>
          <w:color w:val="000000"/>
          <w:sz w:val="24"/>
          <w:lang w:val="en-US" w:eastAsia="zh-CN" w:bidi="ar"/>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7</w:t>
      </w:r>
      <w:r>
        <w:rPr>
          <w:rFonts w:hint="eastAsia" w:ascii="仿宋" w:hAnsi="仿宋" w:eastAsia="仿宋" w:cs="仿宋"/>
          <w:bCs/>
          <w:color w:val="000000"/>
          <w:sz w:val="24"/>
        </w:rPr>
        <w:t xml:space="preserve">.交接方案：</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进退场交接流程及交接内容、相关交接承诺。</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val="en-US" w:eastAsia="zh-CN" w:bidi="ar"/>
        </w:rPr>
        <w:t xml:space="preserve">8</w:t>
      </w:r>
      <w:r>
        <w:rPr>
          <w:rFonts w:hint="eastAsia" w:ascii="仿宋" w:hAnsi="仿宋" w:eastAsia="仿宋" w:cs="仿宋"/>
          <w:color w:val="000000"/>
          <w:sz w:val="24"/>
          <w:lang w:bidi="ar"/>
        </w:rPr>
        <w:t xml:space="preserve">.应急、突击保障方案：</w:t>
      </w:r>
      <w:r>
        <w:rPr>
          <w:rFonts w:hint="eastAsia" w:ascii="仿宋" w:hAnsi="仿宋" w:eastAsia="仿宋" w:cs="仿宋"/>
          <w:color w:val="000000"/>
          <w:sz w:val="24"/>
          <w:lang w:bidi="ar"/>
        </w:rPr>
      </w:r>
      <w:r/>
    </w:p>
    <w:p>
      <w:pPr>
        <w:pStyle w:val="795"/>
        <w:ind w:firstLine="480"/>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方案内容中至少提供《重大活动保障应急预案》、《特殊季节性保洁应急预案》、《道路大面积污染应急预案》、《除雪应急预案》、《台风暴雨等恶劣天气应急预案》这五类预案。</w:t>
      </w:r>
      <w:r>
        <w:rPr>
          <w:rFonts w:hint="eastAsia" w:ascii="仿宋" w:hAnsi="仿宋" w:eastAsia="仿宋" w:cs="仿宋"/>
          <w:color w:val="000000"/>
          <w:sz w:val="24"/>
          <w:lang w:bidi="ar"/>
        </w:rPr>
      </w:r>
      <w:r/>
    </w:p>
    <w:p>
      <w:pPr>
        <w:pStyle w:val="795"/>
        <w:ind w:left="480"/>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六、专用账户</w:t>
      </w:r>
      <w:r>
        <w:rPr>
          <w:rFonts w:hint="eastAsia" w:ascii="仿宋" w:hAnsi="仿宋" w:eastAsia="仿宋" w:cs="仿宋"/>
          <w:b/>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根据《住房城乡建设部等6部门关于加强环卫工人权益保障的通知》文件要求，将建立环卫工人工资“专用账户”，切实做好环卫工人权益保障工作。</w:t>
      </w:r>
      <w:r>
        <w:rPr>
          <w:rFonts w:hint="eastAsia" w:ascii="仿宋" w:hAnsi="仿宋" w:eastAsia="仿宋" w:cs="仿宋"/>
          <w:bCs/>
          <w:color w:val="000000"/>
          <w:sz w:val="24"/>
        </w:rPr>
      </w:r>
      <w:r/>
    </w:p>
    <w:p>
      <w:pPr>
        <w:pStyle w:val="795"/>
        <w:ind w:firstLine="480"/>
        <w:jc w:val="left"/>
        <w:spacing w:line="360" w:lineRule="exact"/>
        <w:widowControl/>
        <w:rPr>
          <w:rFonts w:hint="eastAsia" w:ascii="仿宋" w:hAnsi="仿宋" w:eastAsia="仿宋" w:cs="仿宋"/>
          <w:bCs/>
          <w:color w:val="000000"/>
          <w:sz w:val="24"/>
        </w:rPr>
      </w:pPr>
      <w:r>
        <w:rPr>
          <w:rFonts w:hint="eastAsia" w:ascii="仿宋" w:hAnsi="仿宋" w:eastAsia="仿宋" w:cs="仿宋"/>
          <w:bCs/>
          <w:color w:val="000000"/>
          <w:sz w:val="24"/>
        </w:rPr>
        <w:t xml:space="preserve">中标人签订合同后，须与采购人一起到银行开设“环卫工人工资专用账户”，并签订专门协议。</w:t>
      </w:r>
      <w:r>
        <w:rPr>
          <w:rFonts w:hint="eastAsia" w:ascii="仿宋" w:hAnsi="仿宋" w:eastAsia="仿宋" w:cs="仿宋"/>
          <w:bCs/>
          <w:color w:val="000000"/>
          <w:sz w:val="24"/>
        </w:rPr>
      </w:r>
      <w:r/>
    </w:p>
    <w:p>
      <w:pPr>
        <w:pStyle w:val="795"/>
        <w:ind w:left="480"/>
        <w:spacing w:line="360" w:lineRule="auto"/>
        <w:rPr>
          <w:rFonts w:hint="eastAsia" w:ascii="仿宋" w:hAnsi="仿宋" w:eastAsia="仿宋" w:cs="仿宋"/>
          <w:b/>
          <w:color w:val="000000"/>
          <w:sz w:val="24"/>
        </w:rPr>
      </w:pPr>
      <w:r>
        <w:rPr>
          <w:rFonts w:hint="eastAsia" w:ascii="仿宋" w:hAnsi="仿宋" w:eastAsia="仿宋" w:cs="仿宋"/>
          <w:b/>
          <w:color w:val="000000"/>
          <w:sz w:val="24"/>
          <w:lang w:val="en-US" w:eastAsia="zh-CN"/>
        </w:rPr>
        <w:t xml:space="preserve">七</w:t>
      </w:r>
      <w:r>
        <w:rPr>
          <w:rFonts w:hint="eastAsia" w:ascii="仿宋" w:hAnsi="仿宋" w:eastAsia="仿宋" w:cs="仿宋"/>
          <w:b/>
          <w:color w:val="000000"/>
          <w:sz w:val="24"/>
        </w:rPr>
        <w:t xml:space="preserve">、考核标准</w:t>
      </w:r>
      <w:r>
        <w:rPr>
          <w:rFonts w:hint="eastAsia" w:ascii="仿宋" w:hAnsi="仿宋" w:eastAsia="仿宋" w:cs="仿宋"/>
          <w:b/>
          <w:color w:val="000000"/>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细则。</w:t>
      </w:r>
      <w:r>
        <w:rPr>
          <w:rFonts w:hint="eastAsia" w:ascii="仿宋" w:hAnsi="仿宋" w:eastAsia="仿宋" w:cs="仿宋"/>
          <w:sz w:val="24"/>
        </w:rPr>
      </w:r>
      <w:r/>
    </w:p>
    <w:p>
      <w:pPr>
        <w:pStyle w:val="795"/>
        <w:ind w:firstLine="482"/>
        <w:spacing w:line="360" w:lineRule="auto"/>
        <w:rPr>
          <w:rFonts w:hint="eastAsia" w:ascii="仿宋" w:hAnsi="仿宋" w:eastAsia="仿宋" w:cs="仿宋"/>
          <w:sz w:val="24"/>
        </w:rPr>
      </w:pPr>
      <w:r>
        <w:rPr>
          <w:rFonts w:hint="eastAsia" w:ascii="仿宋" w:hAnsi="仿宋" w:eastAsia="仿宋" w:cs="仿宋"/>
          <w:b/>
          <w:sz w:val="24"/>
        </w:rPr>
        <w:t xml:space="preserve">1、考核主体及内容</w:t>
      </w:r>
      <w:r>
        <w:rPr>
          <w:rFonts w:hint="eastAsia" w:ascii="仿宋" w:hAnsi="仿宋" w:eastAsia="仿宋" w:cs="仿宋"/>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lang w:eastAsia="zh-CN"/>
        </w:rPr>
        <w:t xml:space="preserve">何桥镇</w:t>
      </w:r>
      <w:r>
        <w:rPr>
          <w:rFonts w:hint="eastAsia" w:ascii="仿宋" w:hAnsi="仿宋" w:eastAsia="仿宋" w:cs="仿宋"/>
          <w:sz w:val="24"/>
        </w:rPr>
        <w:t xml:space="preserve">人民政府、镇环境卫生管理机构及社会各界（城管协管员、市民、外地游客等）分别组织进行以下几方面内容的检查考核：村庄市场化保洁（路面保洁、机械化作业、绿化带保洁、野广告清理、护栏清洗、环卫设施管养维护、生活垃圾收集容器管养维护、垃圾前端收集运输等），公厕管理（含保洁、维护），作业范围内的除雪、重大活动保障等应急任务，主管部门交办的临时性任务等。</w:t>
      </w:r>
      <w:r>
        <w:rPr>
          <w:rFonts w:hint="eastAsia" w:ascii="仿宋" w:hAnsi="仿宋" w:eastAsia="仿宋" w:cs="仿宋"/>
          <w:sz w:val="24"/>
        </w:rPr>
      </w:r>
      <w:r/>
    </w:p>
    <w:p>
      <w:pPr>
        <w:pStyle w:val="795"/>
        <w:ind w:firstLine="482"/>
        <w:spacing w:line="360" w:lineRule="auto"/>
        <w:rPr>
          <w:rFonts w:hint="eastAsia" w:ascii="仿宋" w:hAnsi="仿宋" w:eastAsia="仿宋" w:cs="仿宋"/>
          <w:b/>
          <w:sz w:val="24"/>
        </w:rPr>
      </w:pPr>
      <w:r>
        <w:rPr>
          <w:rFonts w:hint="eastAsia" w:ascii="仿宋" w:hAnsi="仿宋" w:eastAsia="仿宋" w:cs="仿宋"/>
          <w:b/>
          <w:sz w:val="24"/>
        </w:rPr>
        <w:t xml:space="preserve">2、考核方式</w:t>
      </w:r>
      <w:r>
        <w:rPr>
          <w:rFonts w:hint="eastAsia" w:ascii="仿宋" w:hAnsi="仿宋" w:eastAsia="仿宋" w:cs="仿宋"/>
          <w:b/>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eastAsia="zh-CN"/>
        </w:rPr>
        <w:t xml:space="preserve">何桥镇</w:t>
      </w:r>
      <w:r>
        <w:rPr>
          <w:rFonts w:hint="eastAsia" w:ascii="仿宋" w:hAnsi="仿宋" w:eastAsia="仿宋" w:cs="仿宋"/>
          <w:sz w:val="24"/>
        </w:rPr>
        <w:t xml:space="preserve">环卫主管部门考核</w:t>
      </w:r>
      <w:r>
        <w:rPr>
          <w:rFonts w:hint="eastAsia" w:ascii="仿宋" w:hAnsi="仿宋" w:eastAsia="仿宋" w:cs="仿宋"/>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sz w:val="24"/>
          <w:lang w:eastAsia="zh-CN"/>
        </w:rPr>
        <w:t xml:space="preserve">何桥镇</w:t>
      </w:r>
      <w:r>
        <w:rPr>
          <w:rFonts w:hint="eastAsia" w:ascii="仿宋" w:hAnsi="仿宋" w:eastAsia="仿宋" w:cs="仿宋"/>
          <w:sz w:val="24"/>
        </w:rPr>
        <w:t xml:space="preserve">负责对环境卫生的作业质量进行督查，环境卫生主管部门负责对市场化清扫保洁作业的质量进行日常检查考核，</w:t>
      </w:r>
      <w:r>
        <w:rPr>
          <w:rFonts w:hint="eastAsia" w:ascii="仿宋" w:hAnsi="仿宋" w:eastAsia="仿宋" w:cs="仿宋"/>
          <w:color w:val="000000"/>
          <w:sz w:val="24"/>
        </w:rPr>
        <w:t xml:space="preserve">检查方式采取日常巡查、不定期暗访和专项检查相结合的方式。</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（2）社会监督考核</w:t>
      </w:r>
      <w:r>
        <w:rPr>
          <w:rFonts w:hint="eastAsia" w:ascii="仿宋" w:hAnsi="仿宋" w:eastAsia="仿宋" w:cs="仿宋"/>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对保洁项目存在的重点、难点问题进行专项监督考核，经区、镇两级环卫主管部门核实后，按社会监督考核细则实施。</w:t>
      </w:r>
      <w:r>
        <w:rPr>
          <w:rFonts w:hint="eastAsia" w:ascii="仿宋" w:hAnsi="仿宋" w:eastAsia="仿宋" w:cs="仿宋"/>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（3）附加项考核</w:t>
      </w:r>
      <w:r>
        <w:rPr>
          <w:rFonts w:hint="eastAsia" w:ascii="仿宋" w:hAnsi="仿宋" w:eastAsia="仿宋" w:cs="仿宋"/>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镇环卫主管部门对各作业单位（企业）在工资、津贴、加班工资发放情况、应急处置、重大活动保障及行业基础数据申报、规章制度落实执行情况等方面进行不定期考核。</w:t>
      </w:r>
      <w:r>
        <w:rPr>
          <w:rFonts w:hint="eastAsia" w:ascii="仿宋" w:hAnsi="仿宋" w:eastAsia="仿宋" w:cs="仿宋"/>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（4）建立环卫检查考核信息反馈和整改制度</w:t>
      </w:r>
      <w:r>
        <w:rPr>
          <w:rFonts w:hint="eastAsia" w:ascii="仿宋" w:hAnsi="仿宋" w:eastAsia="仿宋" w:cs="仿宋"/>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环卫作业质量和管理工作检查考核结果以通知单形式下发到承包方。如发现重大问题以整改通知书的形式通知作业单位，并限期整改，期满进行复查。</w:t>
      </w:r>
      <w:r>
        <w:rPr>
          <w:rFonts w:hint="eastAsia" w:ascii="仿宋" w:hAnsi="仿宋" w:eastAsia="仿宋" w:cs="仿宋"/>
          <w:sz w:val="24"/>
        </w:rPr>
      </w:r>
      <w:r/>
    </w:p>
    <w:p>
      <w:pPr>
        <w:pStyle w:val="795"/>
        <w:ind w:firstLine="480"/>
        <w:spacing w:line="360" w:lineRule="auto"/>
        <w:rPr>
          <w:rFonts w:hint="eastAsia" w:ascii="仿宋" w:hAnsi="仿宋" w:eastAsia="仿宋" w:cs="仿宋"/>
          <w:sz w:val="24"/>
        </w:rPr>
      </w:pPr>
      <w:r>
        <w:rPr>
          <w:rFonts w:hint="eastAsia" w:ascii="仿宋" w:hAnsi="仿宋" w:eastAsia="仿宋" w:cs="仿宋"/>
          <w:sz w:val="24"/>
        </w:rPr>
        <w:t xml:space="preserve">（5）建立考核检查台帐制度</w:t>
      </w:r>
      <w:r>
        <w:rPr>
          <w:rFonts w:hint="eastAsia" w:ascii="仿宋" w:hAnsi="仿宋" w:eastAsia="仿宋" w:cs="仿宋"/>
          <w:sz w:val="24"/>
        </w:rPr>
      </w:r>
      <w:r/>
    </w:p>
    <w:p>
      <w:pPr>
        <w:pStyle w:val="795"/>
        <w:ind w:firstLine="480"/>
        <w:spacing w:line="360" w:lineRule="auto"/>
        <w:rPr>
          <w:rFonts w:hint="eastAsia" w:ascii="仿宋" w:hAnsi="仿宋" w:eastAsia="仿宋" w:cs="仿宋"/>
          <w:sz w:val="20"/>
        </w:rPr>
      </w:pPr>
      <w:r>
        <w:rPr>
          <w:rFonts w:hint="eastAsia" w:ascii="仿宋" w:hAnsi="仿宋" w:eastAsia="仿宋" w:cs="仿宋"/>
          <w:sz w:val="24"/>
        </w:rPr>
        <w:t xml:space="preserve">制定统一格式的《保洁服务督查情况通知单》，检查人员按照要求做好管理和保洁质量的检查记录，建立台帐。内容包括检查时间、存在问题及处理情况。作业单位应建立自查台帐。</w:t>
      </w:r>
      <w:r>
        <w:rPr>
          <w:rFonts w:hint="eastAsia" w:ascii="仿宋" w:hAnsi="仿宋" w:eastAsia="仿宋" w:cs="仿宋"/>
          <w:sz w:val="20"/>
        </w:rPr>
      </w:r>
      <w:r/>
    </w:p>
    <w:p>
      <w:pPr>
        <w:pStyle w:val="795"/>
        <w:ind w:left="480"/>
        <w:spacing w:line="360" w:lineRule="auto"/>
        <w:rPr>
          <w:rFonts w:hint="eastAsia" w:ascii="仿宋" w:hAnsi="仿宋" w:eastAsia="仿宋" w:cs="仿宋"/>
          <w:b/>
          <w:color w:val="000000"/>
          <w:sz w:val="24"/>
          <w:lang w:val="en-US" w:eastAsia="zh-CN"/>
        </w:rPr>
      </w:pPr>
      <w:r>
        <w:rPr>
          <w:rFonts w:hint="eastAsia" w:ascii="仿宋" w:hAnsi="仿宋" w:eastAsia="仿宋" w:cs="仿宋"/>
          <w:b/>
          <w:color w:val="000000"/>
          <w:sz w:val="24"/>
          <w:lang w:val="en-US" w:eastAsia="zh-CN"/>
        </w:rPr>
        <w:t xml:space="preserve">八、其他要求：见招标文件《合同主要条款》、《合同附件》。</w:t>
      </w:r>
      <w:r>
        <w:rPr>
          <w:rFonts w:hint="eastAsia" w:ascii="仿宋" w:hAnsi="仿宋" w:eastAsia="仿宋" w:cs="仿宋"/>
          <w:b/>
          <w:color w:val="000000"/>
          <w:sz w:val="24"/>
          <w:lang w:val="en-US" w:eastAsia="zh-CN"/>
        </w:rPr>
      </w:r>
      <w:r/>
    </w:p>
    <w:p>
      <w:pPr>
        <w:pStyle w:val="795"/>
        <w:spacing w:line="520" w:lineRule="exact"/>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795"/>
        <w:rPr>
          <w:color w:val="000000"/>
        </w:rPr>
      </w:pPr>
      <w:r>
        <w:rPr>
          <w:color w:val="000000"/>
        </w:rPr>
      </w:r>
      <w:r/>
    </w:p>
    <w:p>
      <w:pPr>
        <w:pStyle w:val="795"/>
        <w:spacing w:line="520" w:lineRule="exact"/>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795"/>
        <w:ind w:firstLine="602"/>
        <w:jc w:val="center"/>
        <w:spacing w:line="520" w:lineRule="exact"/>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863"/>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r>
      <w:r/>
    </w:p>
    <w:p>
      <w:pPr>
        <w:pStyle w:val="795"/>
        <w:ind w:firstLine="602"/>
        <w:jc w:val="center"/>
        <w:spacing w:line="520" w:lineRule="exact"/>
        <w:rPr>
          <w:rStyle w:val="1066"/>
          <w:rFonts w:hint="eastAsia" w:ascii="仿宋" w:hAnsi="仿宋" w:eastAsia="仿宋" w:cs="仿宋"/>
          <w:color w:val="000000"/>
          <w:sz w:val="24"/>
          <w:szCs w:val="24"/>
        </w:rPr>
      </w:pPr>
      <w:r>
        <w:rPr>
          <w:rStyle w:val="1066"/>
          <w:rFonts w:hint="eastAsia" w:ascii="仿宋" w:hAnsi="仿宋" w:eastAsia="仿宋" w:cs="仿宋"/>
          <w:color w:val="000000"/>
          <w:sz w:val="24"/>
          <w:szCs w:val="24"/>
        </w:rPr>
        <w:t xml:space="preserve">第七章  投标文件相关格式</w:t>
      </w:r>
      <w:bookmarkEnd w:id="12"/>
      <w:r/>
      <w:bookmarkEnd w:id="13"/>
      <w:r>
        <w:rPr>
          <w:rStyle w:val="1066"/>
          <w:rFonts w:hint="eastAsia" w:ascii="仿宋" w:hAnsi="仿宋" w:eastAsia="仿宋" w:cs="仿宋"/>
          <w:color w:val="000000"/>
          <w:sz w:val="24"/>
          <w:szCs w:val="24"/>
        </w:rPr>
      </w:r>
      <w:r/>
    </w:p>
    <w:p>
      <w:pPr>
        <w:pStyle w:val="795"/>
        <w:jc w:val="center"/>
        <w:spacing w:line="520" w:lineRule="exact"/>
        <w:rPr>
          <w:rFonts w:hint="eastAsia" w:ascii="仿宋" w:hAnsi="仿宋" w:eastAsia="仿宋" w:cs="仿宋"/>
          <w:color w:val="000000"/>
          <w:sz w:val="24"/>
        </w:rPr>
      </w:pPr>
      <w:r>
        <w:rPr>
          <w:rFonts w:hint="eastAsia" w:ascii="仿宋" w:hAnsi="仿宋" w:eastAsia="仿宋" w:cs="仿宋"/>
          <w:b/>
          <w:bCs/>
          <w:color w:val="000000"/>
          <w:sz w:val="24"/>
        </w:rPr>
        <w:t xml:space="preserve">一、投标函格式</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致：</w:t>
      </w:r>
      <w:r>
        <w:rPr>
          <w:rFonts w:hint="eastAsia" w:ascii="仿宋" w:hAnsi="仿宋" w:eastAsia="仿宋" w:cs="仿宋"/>
          <w:color w:val="000000"/>
          <w:sz w:val="24"/>
          <w:u w:val="single"/>
        </w:rPr>
        <w:t xml:space="preserve"> 江苏荣初工程科技有限公司</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根据</w:t>
      </w:r>
      <w:r>
        <w:rPr>
          <w:rFonts w:hint="eastAsia" w:ascii="仿宋" w:hAnsi="仿宋" w:eastAsia="仿宋" w:cs="仿宋"/>
          <w:color w:val="000000"/>
          <w:sz w:val="24"/>
          <w:u w:val="single"/>
        </w:rPr>
        <w:t xml:space="preserve">徐州市铜山区何桥镇人民政府</w:t>
      </w:r>
      <w:r>
        <w:rPr>
          <w:rFonts w:hint="eastAsia" w:ascii="仿宋" w:hAnsi="仿宋" w:eastAsia="仿宋" w:cs="仿宋"/>
          <w:color w:val="000000"/>
          <w:sz w:val="24"/>
          <w:u w:val="single"/>
          <w:lang w:eastAsia="zh-CN"/>
        </w:rPr>
        <w:t xml:space="preserve">何桥镇人居环境综合管护</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z w:val="24"/>
        </w:rPr>
        <w:t xml:space="preserve">]招标文件，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(姓名)代表我方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（投标人的名称）全权处理本次投标的有关事宜。</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据此函，投标人承诺并同意如下： </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 投标人唯一投标报价见《开标一览表》。</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 投标人将按招标文件的规定履行合同责任和义务。</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4. 投标有效期为开标之日后90天。</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 投标人同意在授予合同后，按照有关规定支付公证费(如有)。</w:t>
      </w:r>
      <w:r>
        <w:rPr>
          <w:rFonts w:hint="eastAsia" w:ascii="仿宋" w:hAnsi="仿宋" w:eastAsia="仿宋" w:cs="仿宋"/>
          <w:color w:val="000000"/>
          <w:sz w:val="24"/>
        </w:rPr>
      </w:r>
      <w:r/>
    </w:p>
    <w:p>
      <w:pPr>
        <w:pStyle w:val="795"/>
        <w:ind w:right="29"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 江苏荣初工程科技有限公司有权将我单位本项目的《开标一览表》和《分项价格表》予以公示，公示的方式由江苏荣初工程科技有限公司确定。</w:t>
      </w:r>
      <w:r>
        <w:rPr>
          <w:rFonts w:hint="eastAsia" w:ascii="仿宋" w:hAnsi="仿宋" w:eastAsia="仿宋" w:cs="仿宋"/>
          <w:color w:val="000000"/>
          <w:sz w:val="24"/>
        </w:rPr>
      </w:r>
      <w:r/>
    </w:p>
    <w:p>
      <w:pPr>
        <w:pStyle w:val="795"/>
        <w:ind w:right="29"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9. 与本投标有关的一切正式往来信函请寄：</w:t>
      </w:r>
      <w:r>
        <w:rPr>
          <w:rFonts w:hint="eastAsia" w:ascii="仿宋" w:hAnsi="仿宋" w:eastAsia="仿宋" w:cs="仿宋"/>
          <w:color w:val="000000"/>
          <w:sz w:val="24"/>
        </w:rPr>
      </w:r>
      <w:r/>
    </w:p>
    <w:p>
      <w:pPr>
        <w:pStyle w:val="795"/>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地址： </w:t>
      </w:r>
      <w:r>
        <w:rPr>
          <w:rFonts w:hint="eastAsia" w:ascii="仿宋" w:hAnsi="仿宋" w:eastAsia="仿宋" w:cs="仿宋"/>
          <w:color w:val="000000"/>
          <w:sz w:val="24"/>
        </w:rPr>
      </w:r>
      <w:r/>
    </w:p>
    <w:p>
      <w:pPr>
        <w:pStyle w:val="795"/>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电话： </w:t>
      </w:r>
      <w:r>
        <w:rPr>
          <w:rFonts w:hint="eastAsia" w:ascii="仿宋" w:hAnsi="仿宋" w:eastAsia="仿宋" w:cs="仿宋"/>
          <w:color w:val="000000"/>
          <w:sz w:val="24"/>
        </w:rPr>
      </w:r>
      <w:r/>
    </w:p>
    <w:p>
      <w:pPr>
        <w:pStyle w:val="795"/>
        <w:ind w:firstLine="12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传真： </w:t>
      </w:r>
      <w:r>
        <w:rPr>
          <w:rFonts w:hint="eastAsia" w:ascii="仿宋" w:hAnsi="仿宋" w:eastAsia="仿宋" w:cs="仿宋"/>
          <w:color w:val="000000"/>
          <w:sz w:val="24"/>
        </w:rPr>
      </w:r>
      <w:r/>
    </w:p>
    <w:p>
      <w:pPr>
        <w:pStyle w:val="795"/>
        <w:ind w:firstLine="27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4500"/>
        <w:jc w:val="right"/>
        <w:spacing w:line="480" w:lineRule="exact"/>
        <w:rPr>
          <w:rFonts w:hint="eastAsia" w:ascii="仿宋" w:hAnsi="仿宋" w:eastAsia="仿宋" w:cs="仿宋"/>
          <w:color w:val="000000"/>
          <w:sz w:val="24"/>
          <w:szCs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ind w:left="0" w:right="0" w:firstLine="0"/>
        <w:jc w:val="center"/>
        <w:spacing w:line="480" w:lineRule="exact"/>
        <w:rPr>
          <w:rFonts w:hint="eastAsia" w:ascii="仿宋" w:hAnsi="仿宋" w:eastAsia="仿宋" w:cs="仿宋"/>
          <w:color w:val="000000"/>
          <w:sz w:val="24"/>
          <w:szCs w:val="24"/>
        </w:rPr>
      </w:pPr>
      <w:r>
        <w:rPr>
          <w:rFonts w:hint="eastAsia" w:ascii="仿宋" w:hAnsi="仿宋" w:eastAsia="仿宋" w:cs="仿宋"/>
          <w:color w:val="000000"/>
          <w:sz w:val="24"/>
        </w:rPr>
      </w:r>
      <w:r>
        <w:rPr>
          <w:rFonts w:hint="eastAsia" w:ascii="仿宋" w:hAnsi="仿宋" w:eastAsia="仿宋" w:cs="仿宋"/>
          <w:b/>
          <w:bCs/>
          <w:color w:val="000000"/>
          <w:sz w:val="24"/>
        </w:rPr>
        <w:t xml:space="preserve">二、开标一览表格式</w:t>
      </w:r>
      <w:r>
        <w:rPr>
          <w:rFonts w:hint="eastAsia" w:ascii="仿宋" w:hAnsi="仿宋" w:eastAsia="仿宋" w:cs="仿宋"/>
          <w:color w:val="000000"/>
          <w:sz w:val="24"/>
        </w:rPr>
      </w:r>
      <w:r/>
    </w:p>
    <w:p>
      <w:pPr>
        <w:pStyle w:val="795"/>
        <w:spacing w:line="52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项目名称：</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rPr>
        <w:t xml:space="preserve"> </w:t>
      </w:r>
      <w:r>
        <w:rPr>
          <w:rFonts w:hint="eastAsia" w:ascii="仿宋" w:hAnsi="仿宋" w:eastAsia="仿宋" w:cs="仿宋"/>
          <w:color w:val="000000"/>
          <w:sz w:val="24"/>
          <w:u w:val="single"/>
        </w:rPr>
      </w:r>
      <w:r/>
    </w:p>
    <w:p>
      <w:pPr>
        <w:pStyle w:val="795"/>
        <w:spacing w:line="52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z w:val="24"/>
          <w:lang w:eastAsia="zh-CN"/>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货币单位：人民币元</w:t>
      </w:r>
      <w:r>
        <w:rPr>
          <w:rFonts w:hint="eastAsia" w:ascii="仿宋" w:hAnsi="仿宋" w:eastAsia="仿宋" w:cs="仿宋"/>
          <w:color w:val="000000"/>
          <w:sz w:val="24"/>
        </w:rPr>
      </w:r>
      <w:r/>
    </w:p>
    <w:tbl>
      <w:tblPr>
        <w:tblW w:w="0" w:type="auto"/>
        <w:jc w:val="center"/>
        <w:tblInd w:w="-216"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trHeight w:val="1163"/>
        </w:trPr>
        <w:tc>
          <w:tcPr>
            <w:tcW w:w="3556"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项目名称</w:t>
            </w:r>
            <w:r>
              <w:rPr>
                <w:rFonts w:hint="eastAsia" w:ascii="仿宋" w:hAnsi="仿宋" w:eastAsia="仿宋" w:cs="仿宋"/>
                <w:color w:val="000000"/>
                <w:sz w:val="24"/>
              </w:rPr>
            </w:r>
            <w:r/>
          </w:p>
        </w:tc>
        <w:tc>
          <w:tcPr>
            <w:tcW w:w="2501"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项目内容</w:t>
            </w:r>
            <w:r>
              <w:rPr>
                <w:rFonts w:hint="eastAsia" w:ascii="仿宋" w:hAnsi="仿宋" w:eastAsia="仿宋" w:cs="仿宋"/>
                <w:color w:val="000000"/>
                <w:sz w:val="24"/>
              </w:rPr>
            </w:r>
            <w:r/>
          </w:p>
        </w:tc>
        <w:tc>
          <w:tcPr>
            <w:tcW w:w="3277"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总价（小写）</w:t>
            </w:r>
            <w:r>
              <w:rPr>
                <w:rFonts w:hint="eastAsia" w:ascii="仿宋" w:hAnsi="仿宋" w:eastAsia="仿宋" w:cs="仿宋"/>
                <w:color w:val="000000"/>
                <w:sz w:val="24"/>
              </w:rPr>
            </w:r>
            <w:r/>
          </w:p>
        </w:tc>
      </w:tr>
      <w:tr>
        <w:trPr>
          <w:cantSplit/>
          <w:trHeight w:val="1214"/>
        </w:trPr>
        <w:tc>
          <w:tcPr>
            <w:tcW w:w="3556" w:type="dxa"/>
            <w:vAlign w:val="center"/>
            <w:textDirection w:val="lrTb"/>
            <w:noWrap w:val="false"/>
          </w:tcPr>
          <w:p>
            <w:pPr>
              <w:pStyle w:val="795"/>
              <w:jc w:val="center"/>
              <w:rPr>
                <w:rFonts w:hint="eastAsia" w:ascii="仿宋" w:hAnsi="仿宋" w:eastAsia="仿宋" w:cs="仿宋"/>
                <w:color w:val="000000"/>
                <w:sz w:val="24"/>
                <w:u w:val="single"/>
                <w:lang w:eastAsia="zh-CN"/>
              </w:rPr>
            </w:pP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u w:val="single"/>
                <w:lang w:eastAsia="zh-CN"/>
              </w:rPr>
            </w:r>
            <w:r/>
          </w:p>
        </w:tc>
        <w:tc>
          <w:tcPr>
            <w:tcW w:w="2501"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详见投标文件</w:t>
            </w:r>
            <w:r>
              <w:rPr>
                <w:rFonts w:hint="eastAsia" w:ascii="仿宋" w:hAnsi="仿宋" w:eastAsia="仿宋" w:cs="仿宋"/>
                <w:color w:val="000000"/>
                <w:sz w:val="24"/>
              </w:rPr>
            </w:r>
            <w:r/>
          </w:p>
        </w:tc>
        <w:tc>
          <w:tcPr>
            <w:tcW w:w="3277"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r>
            <w:r/>
          </w:p>
        </w:tc>
      </w:tr>
      <w:tr>
        <w:trPr>
          <w:cantSplit/>
          <w:trHeight w:val="1452"/>
        </w:trPr>
        <w:tc>
          <w:tcPr>
            <w:tcW w:w="3556"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t xml:space="preserve">总价（大写）：</w:t>
            </w:r>
            <w:r>
              <w:rPr>
                <w:rFonts w:hint="eastAsia" w:ascii="仿宋" w:hAnsi="仿宋" w:eastAsia="仿宋" w:cs="仿宋"/>
                <w:color w:val="000000"/>
                <w:sz w:val="24"/>
              </w:rPr>
            </w:r>
            <w:r/>
          </w:p>
        </w:tc>
        <w:tc>
          <w:tcPr>
            <w:gridSpan w:val="2"/>
            <w:tcW w:w="5778" w:type="dxa"/>
            <w:vAlign w:val="center"/>
            <w:textDirection w:val="lrTb"/>
            <w:noWrap w:val="false"/>
          </w:tcPr>
          <w:p>
            <w:pPr>
              <w:pStyle w:val="795"/>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31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39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9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ind w:firstLine="241"/>
        <w:rPr>
          <w:rFonts w:ascii="仿宋" w:hAnsi="仿宋" w:eastAsia="仿宋" w:cs="仿宋"/>
          <w:b/>
          <w:bCs/>
          <w:color w:val="000000"/>
          <w:sz w:val="24"/>
        </w:rPr>
      </w:pPr>
      <w:r>
        <w:rPr>
          <w:rFonts w:ascii="仿宋" w:hAnsi="仿宋" w:eastAsia="仿宋" w:cs="仿宋"/>
          <w:b/>
          <w:bCs/>
          <w:color w:val="000000"/>
          <w:sz w:val="24"/>
        </w:rPr>
      </w:r>
      <w:r/>
    </w:p>
    <w:p>
      <w:pPr>
        <w:pStyle w:val="795"/>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rPr>
          <w:rFonts w:hint="eastAsia" w:ascii="仿宋" w:hAnsi="仿宋" w:eastAsia="仿宋" w:cs="仿宋"/>
          <w:b/>
          <w:bCs/>
          <w:color w:val="000000"/>
          <w:sz w:val="24"/>
        </w:rPr>
      </w:pPr>
      <w:r>
        <w:rPr>
          <w:rFonts w:hint="eastAsia" w:ascii="仿宋" w:hAnsi="仿宋" w:eastAsia="仿宋" w:cs="仿宋"/>
          <w:b/>
          <w:bCs/>
          <w:color w:val="000000"/>
          <w:sz w:val="24"/>
        </w:rPr>
        <w:t xml:space="preserve">（最终以政府采购客户端工具输入报价自动生成的为准）</w:t>
      </w:r>
      <w:r>
        <w:rPr>
          <w:rFonts w:hint="eastAsia" w:ascii="仿宋" w:hAnsi="仿宋" w:eastAsia="仿宋" w:cs="仿宋"/>
          <w:b/>
          <w:bCs/>
          <w:color w:val="000000"/>
          <w:sz w:val="24"/>
        </w:rPr>
      </w:r>
      <w:r/>
    </w:p>
    <w:p>
      <w:pPr>
        <w:pStyle w:val="902"/>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numPr>
          <w:ilvl w:val="0"/>
          <w:numId w:val="6"/>
        </w:numPr>
        <w:jc w:val="center"/>
        <w:widowControl/>
        <w:rPr>
          <w:rFonts w:hint="eastAsia" w:ascii="仿宋" w:hAnsi="仿宋" w:eastAsia="仿宋" w:cs="仿宋"/>
          <w:b/>
          <w:bCs/>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分项价格表格式</w:t>
      </w:r>
      <w:r>
        <w:rPr>
          <w:rFonts w:hint="eastAsia" w:ascii="仿宋" w:hAnsi="仿宋" w:eastAsia="仿宋" w:cs="仿宋"/>
          <w:b/>
          <w:bCs/>
          <w:color w:val="000000"/>
          <w:sz w:val="24"/>
        </w:rPr>
      </w:r>
      <w:r/>
    </w:p>
    <w:p>
      <w:pPr>
        <w:pStyle w:val="795"/>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ind w:firstLine="600"/>
        <w:spacing w:line="480" w:lineRule="exact"/>
        <w:rPr>
          <w:rFonts w:hint="eastAsia" w:ascii="仿宋" w:hAnsi="仿宋" w:eastAsia="仿宋" w:cs="仿宋"/>
          <w:color w:val="000000"/>
          <w:sz w:val="24"/>
          <w:u w:val="single"/>
        </w:rPr>
      </w:pPr>
      <w:r>
        <w:rPr>
          <w:rFonts w:hint="eastAsia" w:ascii="仿宋" w:hAnsi="仿宋" w:eastAsia="仿宋" w:cs="仿宋"/>
          <w:color w:val="000000"/>
          <w:sz w:val="24"/>
        </w:rPr>
        <w:t xml:space="preserve">项目名称：</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rPr>
        <w:t xml:space="preserve"> </w:t>
      </w:r>
      <w:r>
        <w:rPr>
          <w:rFonts w:hint="eastAsia" w:ascii="仿宋" w:hAnsi="仿宋" w:eastAsia="仿宋" w:cs="仿宋"/>
          <w:color w:val="000000"/>
          <w:sz w:val="24"/>
          <w:u w:val="single"/>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货币单位：人民币</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tbl>
      <w:tblPr>
        <w:tblW w:w="4780" w:type="pct"/>
        <w:tblInd w:w="78" w:type="dxa"/>
        <w:tblLayout w:type="fixed"/>
        <w:tblCellMar>
          <w:left w:w="108" w:type="dxa"/>
          <w:top w:w="0" w:type="dxa"/>
          <w:right w:w="108" w:type="dxa"/>
          <w:bottom w:w="0" w:type="dxa"/>
        </w:tblCellMar>
        <w:tblLook w:val="04A0" w:firstRow="1" w:lastRow="0" w:firstColumn="1" w:lastColumn="0" w:noHBand="0" w:noVBand="1"/>
      </w:tblPr>
      <w:tblGrid>
        <w:gridCol w:w="1995"/>
        <w:gridCol w:w="1124"/>
        <w:gridCol w:w="1829"/>
        <w:gridCol w:w="2387"/>
        <w:gridCol w:w="2189"/>
      </w:tblGrid>
      <w:tr>
        <w:trPr>
          <w:trHeight w:val="536"/>
        </w:trPr>
        <w:tc>
          <w:tcPr>
            <w:tcBorders>
              <w:top w:val="single" w:color="000000" w:sz="8" w:space="0"/>
              <w:left w:val="single" w:color="000000" w:sz="8" w:space="0"/>
              <w:bottom w:val="single" w:color="000000" w:sz="4" w:space="0"/>
              <w:right w:val="single" w:color="000000" w:sz="4" w:space="0"/>
            </w:tcBorders>
            <w:tcW w:w="1995"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名称</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1124"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数量（月）</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182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单价（元/月）</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4" w:space="0"/>
            </w:tcBorders>
            <w:tcW w:w="2387"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总费用（万元/年）</w:t>
            </w:r>
            <w:r>
              <w:rPr>
                <w:rFonts w:hint="eastAsia" w:ascii="仿宋" w:hAnsi="仿宋" w:eastAsia="仿宋" w:cs="仿宋"/>
                <w:color w:val="000000"/>
                <w:sz w:val="24"/>
                <w:szCs w:val="32"/>
              </w:rPr>
            </w:r>
            <w:r/>
          </w:p>
        </w:tc>
        <w:tc>
          <w:tcPr>
            <w:tcBorders>
              <w:top w:val="single" w:color="000000" w:sz="8" w:space="0"/>
              <w:left w:val="single" w:color="000000" w:sz="4" w:space="0"/>
              <w:bottom w:val="single" w:color="000000" w:sz="4" w:space="0"/>
              <w:right w:val="single" w:color="000000" w:sz="8" w:space="0"/>
            </w:tcBorders>
            <w:tcW w:w="218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3年费用（万元）</w:t>
            </w:r>
            <w:r>
              <w:rPr>
                <w:rFonts w:hint="eastAsia" w:ascii="仿宋" w:hAnsi="仿宋" w:eastAsia="仿宋" w:cs="仿宋"/>
                <w:color w:val="000000"/>
                <w:sz w:val="24"/>
                <w:szCs w:val="32"/>
              </w:rPr>
            </w:r>
            <w:r/>
          </w:p>
        </w:tc>
      </w:tr>
      <w:tr>
        <w:trPr>
          <w:trHeight w:val="380"/>
        </w:trPr>
        <w:tc>
          <w:tcPr>
            <w:tcBorders>
              <w:top w:val="single" w:color="000000" w:sz="4" w:space="0"/>
              <w:left w:val="single" w:color="000000" w:sz="8" w:space="0"/>
              <w:bottom w:val="single" w:color="000000" w:sz="4" w:space="0"/>
              <w:right w:val="single" w:color="000000" w:sz="4" w:space="0"/>
            </w:tcBorders>
            <w:tcW w:w="1995"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村庄保洁</w:t>
            </w: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95"/>
              <w:jc w:val="center"/>
              <w:rPr>
                <w:rFonts w:ascii="仿宋" w:hAnsi="仿宋" w:eastAsia="仿宋" w:cs="仿宋"/>
                <w:color w:val="000000"/>
                <w:sz w:val="24"/>
                <w:szCs w:val="32"/>
              </w:rPr>
            </w:pPr>
            <w:r>
              <w:rPr>
                <w:rFonts w:hint="eastAsia" w:ascii="仿宋" w:hAnsi="仿宋" w:eastAsia="仿宋" w:cs="仿宋"/>
                <w:color w:val="000000"/>
                <w:sz w:val="24"/>
                <w:szCs w:val="32"/>
              </w:rPr>
              <w:t xml:space="preserve">36</w:t>
            </w:r>
            <w:r>
              <w:rPr>
                <w:rFonts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8" w:space="0"/>
            </w:tcBorders>
            <w:tcW w:w="218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r>
      <w:tr>
        <w:trPr>
          <w:trHeight w:val="380"/>
        </w:trPr>
        <w:tc>
          <w:tcPr>
            <w:tcBorders>
              <w:top w:val="single" w:color="000000" w:sz="4" w:space="0"/>
              <w:left w:val="single" w:color="000000" w:sz="8" w:space="0"/>
              <w:bottom w:val="single" w:color="000000" w:sz="4" w:space="0"/>
              <w:right w:val="single" w:color="000000" w:sz="4" w:space="0"/>
            </w:tcBorders>
            <w:tcW w:w="1995"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镇区保洁</w:t>
            </w: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95"/>
              <w:jc w:val="center"/>
              <w:rPr>
                <w:rFonts w:ascii="仿宋" w:hAnsi="仿宋" w:eastAsia="仿宋" w:cs="仿宋"/>
                <w:color w:val="000000"/>
                <w:sz w:val="24"/>
                <w:szCs w:val="32"/>
              </w:rPr>
            </w:pPr>
            <w:r>
              <w:rPr>
                <w:rFonts w:hint="eastAsia" w:ascii="仿宋" w:hAnsi="仿宋" w:eastAsia="仿宋" w:cs="仿宋"/>
                <w:color w:val="000000"/>
                <w:sz w:val="24"/>
                <w:szCs w:val="32"/>
              </w:rPr>
              <w:t xml:space="preserve">36</w:t>
            </w:r>
            <w:r>
              <w:rPr>
                <w:rFonts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c>
          <w:tcPr>
            <w:tcBorders>
              <w:top w:val="single" w:color="000000" w:sz="4" w:space="0"/>
              <w:left w:val="single" w:color="000000" w:sz="4" w:space="0"/>
              <w:bottom w:val="single" w:color="000000" w:sz="4" w:space="0"/>
              <w:right w:val="single" w:color="000000" w:sz="8" w:space="0"/>
            </w:tcBorders>
            <w:tcW w:w="218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r>
            <w:r/>
          </w:p>
        </w:tc>
      </w:tr>
      <w:tr>
        <w:trPr>
          <w:trHeight w:val="390"/>
        </w:trPr>
        <w:tc>
          <w:tcPr>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总计</w:t>
            </w:r>
            <w:r>
              <w:rPr>
                <w:rFonts w:hint="eastAsia" w:ascii="仿宋" w:hAnsi="仿宋" w:eastAsia="仿宋" w:cs="仿宋"/>
                <w:color w:val="000000"/>
                <w:sz w:val="24"/>
                <w:szCs w:val="32"/>
              </w:rPr>
            </w:r>
            <w:r/>
          </w:p>
        </w:tc>
        <w:tc>
          <w:tcPr>
            <w:gridSpan w:val="4"/>
            <w:tcBorders>
              <w:top w:val="single" w:color="000000" w:sz="8" w:space="0"/>
              <w:left w:val="single" w:color="000000" w:sz="8" w:space="0"/>
              <w:bottom w:val="single" w:color="000000" w:sz="8" w:space="0"/>
              <w:right w:val="single" w:color="000000" w:sz="8" w:space="0"/>
            </w:tcBorders>
            <w:tcW w:w="7529" w:type="dxa"/>
            <w:vAlign w:val="center"/>
            <w:textDirection w:val="lrTb"/>
            <w:noWrap/>
          </w:tcPr>
          <w:p>
            <w:pPr>
              <w:pStyle w:val="795"/>
              <w:jc w:val="center"/>
              <w:rPr>
                <w:rFonts w:hint="eastAsia" w:ascii="仿宋" w:hAnsi="仿宋" w:eastAsia="仿宋" w:cs="仿宋"/>
                <w:color w:val="000000"/>
                <w:sz w:val="24"/>
                <w:szCs w:val="32"/>
              </w:rPr>
            </w:pPr>
            <w:r>
              <w:rPr>
                <w:rFonts w:hint="eastAsia" w:ascii="仿宋" w:hAnsi="仿宋" w:eastAsia="仿宋" w:cs="仿宋"/>
                <w:color w:val="000000"/>
                <w:sz w:val="24"/>
                <w:szCs w:val="32"/>
              </w:rPr>
              <w:t xml:space="preserve">（万元）</w:t>
            </w:r>
            <w:r>
              <w:rPr>
                <w:rFonts w:hint="eastAsia" w:ascii="仿宋" w:hAnsi="仿宋" w:eastAsia="仿宋" w:cs="仿宋"/>
                <w:color w:val="000000"/>
                <w:sz w:val="24"/>
                <w:szCs w:val="32"/>
              </w:rPr>
            </w:r>
            <w:r/>
          </w:p>
        </w:tc>
      </w:tr>
    </w:tbl>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39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本款说明：</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2.享受政府采购支持政策的残疾人福利性单位应满足的条件以《关于促进残疾人就业政府采购政策的通知》（财库〔2017〕141号）的规定为准。</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注：①如果不提供详细分项报价的，将视为没有实质性响应招标文件。②投标人对以上数据的真实性负责。</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江苏荣初工程科技有限公司有权将以上内容进行公示。</w:t>
      </w:r>
      <w:r>
        <w:rPr>
          <w:rFonts w:hint="eastAsia" w:ascii="仿宋" w:hAnsi="仿宋" w:eastAsia="仿宋" w:cs="仿宋"/>
          <w:color w:val="000000"/>
          <w:sz w:val="24"/>
        </w:rPr>
      </w:r>
      <w:r/>
    </w:p>
    <w:p>
      <w:pPr>
        <w:pStyle w:val="795"/>
        <w:ind w:firstLine="560"/>
        <w:jc w:val="center"/>
        <w:spacing w:line="480" w:lineRule="exact"/>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四、偏离表格式</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u w:val="single"/>
          <w:lang w:eastAsia="zh-CN"/>
        </w:rPr>
      </w:pPr>
      <w:r>
        <w:rPr>
          <w:rFonts w:hint="eastAsia" w:ascii="仿宋" w:hAnsi="仿宋" w:eastAsia="仿宋" w:cs="仿宋"/>
          <w:color w:val="000000"/>
          <w:sz w:val="24"/>
        </w:rPr>
        <w:t xml:space="preserve">项目名称：</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u w:val="single"/>
          <w:lang w:eastAsia="zh-CN"/>
        </w:rPr>
      </w:r>
      <w:r/>
    </w:p>
    <w:p>
      <w:pPr>
        <w:pStyle w:val="795"/>
        <w:ind w:firstLine="600"/>
        <w:spacing w:line="480" w:lineRule="exact"/>
        <w:rPr>
          <w:rFonts w:hint="eastAsia" w:ascii="仿宋" w:hAnsi="仿宋" w:eastAsia="仿宋" w:cs="仿宋"/>
          <w:color w:val="000000"/>
          <w:sz w:val="24"/>
          <w:u w:val="single"/>
          <w:lang w:eastAsia="zh-CN"/>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z w:val="24"/>
          <w:u w:val="single"/>
          <w:lang w:eastAsia="zh-CN"/>
        </w:rPr>
      </w:r>
      <w:r/>
    </w:p>
    <w:p>
      <w:pPr>
        <w:pStyle w:val="795"/>
        <w:rPr>
          <w:rFonts w:hint="eastAsia" w:ascii="仿宋" w:hAnsi="仿宋" w:eastAsia="仿宋" w:cs="仿宋"/>
          <w:color w:val="000000"/>
          <w:sz w:val="24"/>
          <w:u w:val="single"/>
        </w:rPr>
      </w:pPr>
      <w:r>
        <w:rPr>
          <w:rFonts w:hint="eastAsia" w:ascii="仿宋" w:hAnsi="仿宋" w:eastAsia="仿宋" w:cs="仿宋"/>
          <w:color w:val="000000"/>
          <w:sz w:val="24"/>
          <w:u w:val="single"/>
        </w:rPr>
      </w:r>
      <w:r/>
    </w:p>
    <w:tbl>
      <w:tblPr>
        <w:tblW w:w="0" w:type="auto"/>
        <w:jc w:val="center"/>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W w:w="1404"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W w:w="1476"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W w:w="1620"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W w:w="1260"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W w:w="2520" w:type="dxa"/>
            <w:vAlign w:val="center"/>
            <w:textDirection w:val="lrTb"/>
            <w:noWrap w:val="false"/>
          </w:tcPr>
          <w:p>
            <w:pPr>
              <w:pStyle w:val="795"/>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95"/>
              <w:rPr>
                <w:rFonts w:hint="eastAsia" w:ascii="仿宋" w:hAnsi="仿宋" w:eastAsia="仿宋" w:cs="仿宋"/>
                <w:color w:val="000000"/>
                <w:sz w:val="24"/>
              </w:rPr>
            </w:pPr>
            <w:r>
              <w:rPr>
                <w:rFonts w:hint="eastAsia" w:ascii="仿宋" w:hAnsi="仿宋" w:eastAsia="仿宋" w:cs="仿宋"/>
                <w:color w:val="000000"/>
                <w:sz w:val="24"/>
              </w:rPr>
            </w:r>
            <w:r/>
          </w:p>
        </w:tc>
      </w:tr>
    </w:tbl>
    <w:p>
      <w:pPr>
        <w:pStyle w:val="795"/>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795"/>
        <w:ind w:firstLine="562"/>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注</w:t>
      </w:r>
      <w:r>
        <w:rPr>
          <w:rFonts w:hint="eastAsia" w:ascii="仿宋" w:hAnsi="仿宋" w:eastAsia="仿宋" w:cs="仿宋"/>
          <w:color w:val="000000"/>
          <w:sz w:val="24"/>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4"/>
        </w:rPr>
      </w:r>
      <w:r/>
    </w:p>
    <w:p>
      <w:pPr>
        <w:pStyle w:val="795"/>
        <w:ind w:firstLine="2850"/>
        <w:jc w:val="right"/>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jc w:val="right"/>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390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390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95"/>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95"/>
        <w:ind w:firstLine="600"/>
        <w:spacing w:line="48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bCs/>
          <w:color w:val="000000"/>
          <w:sz w:val="24"/>
        </w:rPr>
        <w:br w:type="page" w:clear="all"/>
      </w:r>
      <w:r>
        <w:rPr>
          <w:rFonts w:hint="eastAsia" w:ascii="仿宋" w:hAnsi="仿宋" w:eastAsia="仿宋" w:cs="仿宋"/>
          <w:b/>
          <w:color w:val="000000"/>
          <w:sz w:val="24"/>
        </w:rPr>
        <w:t xml:space="preserve">五、法定代表人授权书格式</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委托人：</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地  址：</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法定代表人（负责人）：               职务：</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统一社会信用代码：</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受托人：                   性别：男（女）  </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年龄：  岁                 民族：   族</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职务：</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身份证号：</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兹委托（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）全权代表我企业（公司）参与徐州市铜山区何桥镇人民政府（</w:t>
      </w:r>
      <w:r>
        <w:rPr>
          <w:rFonts w:hint="eastAsia" w:ascii="仿宋" w:hAnsi="仿宋" w:eastAsia="仿宋" w:cs="仿宋"/>
          <w:color w:val="000000"/>
          <w:sz w:val="24"/>
          <w:u w:val="single"/>
          <w:lang w:eastAsia="zh-CN"/>
        </w:rPr>
        <w:t xml:space="preserve">何桥镇人居环境综合管护</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）的招、投标活动及签订合同。（</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）以我企业（公司）名义所为的法律行为及签署的文件，我企业（公司）均予以认可。有关法律责任均由我企业（公司）承担。（</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）无转委托权。委托期限自</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日起至</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日止。</w:t>
      </w:r>
      <w:r>
        <w:rPr>
          <w:rFonts w:hint="eastAsia" w:ascii="仿宋" w:hAnsi="仿宋" w:eastAsia="仿宋" w:cs="仿宋"/>
          <w:color w:val="000000"/>
          <w:sz w:val="24"/>
        </w:rPr>
      </w:r>
      <w:r/>
    </w:p>
    <w:p>
      <w:pPr>
        <w:pStyle w:val="795"/>
        <w:ind w:firstLine="63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特此授权委托。</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委托人（盖单位电子签章）：       受托人（签字或盖章）：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法定代表人（签字或盖章）： </w:t>
      </w:r>
      <w:r>
        <w:rPr>
          <w:rFonts w:hint="eastAsia" w:ascii="仿宋" w:hAnsi="仿宋" w:eastAsia="仿宋" w:cs="仿宋"/>
          <w:color w:val="000000"/>
          <w:sz w:val="24"/>
        </w:rPr>
      </w:r>
      <w:r/>
    </w:p>
    <w:p>
      <w:pPr>
        <w:pStyle w:val="795"/>
        <w:ind w:right="600"/>
        <w:jc w:val="righ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年   月   日 </w:t>
      </w: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(受托人身份证复印件附后)</w:t>
      </w:r>
      <w:r>
        <w:rPr>
          <w:rFonts w:hint="eastAsia" w:ascii="仿宋" w:hAnsi="仿宋" w:eastAsia="仿宋" w:cs="仿宋"/>
          <w:color w:val="000000"/>
          <w:sz w:val="24"/>
        </w:rPr>
      </w:r>
      <w:r/>
    </w:p>
    <w:p>
      <w:pPr>
        <w:pStyle w:val="795"/>
        <w:ind w:firstLine="4470"/>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470"/>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六、中小企业声明函格式</w:t>
      </w:r>
      <w:r>
        <w:rPr>
          <w:rFonts w:hint="eastAsia" w:ascii="仿宋" w:hAnsi="仿宋" w:eastAsia="仿宋" w:cs="仿宋"/>
          <w:color w:val="000000"/>
          <w:sz w:val="24"/>
        </w:rPr>
      </w:r>
      <w:r/>
    </w:p>
    <w:p>
      <w:pPr>
        <w:pStyle w:val="795"/>
        <w:ind w:firstLine="624"/>
        <w:spacing w:line="360" w:lineRule="auto"/>
        <w:rPr>
          <w:rFonts w:hint="eastAsia" w:ascii="仿宋" w:hAnsi="仿宋" w:eastAsia="仿宋" w:cs="仿宋"/>
          <w:color w:val="000000"/>
          <w:spacing w:val="6"/>
          <w:sz w:val="24"/>
          <w:lang w:eastAsia="zh-CN"/>
        </w:rPr>
      </w:pPr>
      <w:r>
        <w:rPr>
          <w:rFonts w:hint="eastAsia" w:ascii="仿宋" w:hAnsi="仿宋" w:eastAsia="仿宋" w:cs="仿宋"/>
          <w:color w:val="000000"/>
          <w:spacing w:val="6"/>
          <w:sz w:val="24"/>
        </w:rPr>
        <w:t xml:space="preserve">项目名称：</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pacing w:val="6"/>
          <w:sz w:val="24"/>
          <w:lang w:eastAsia="zh-CN"/>
        </w:rPr>
      </w:r>
      <w:r/>
    </w:p>
    <w:p>
      <w:pPr>
        <w:pStyle w:val="795"/>
        <w:ind w:firstLine="624"/>
        <w:spacing w:line="360" w:lineRule="auto"/>
        <w:rPr>
          <w:rFonts w:hint="eastAsia" w:ascii="仿宋" w:hAnsi="仿宋" w:eastAsia="仿宋" w:cs="仿宋"/>
          <w:color w:val="000000"/>
          <w:spacing w:val="6"/>
          <w:sz w:val="24"/>
          <w:lang w:eastAsia="zh-CN"/>
        </w:rPr>
      </w:pPr>
      <w:r>
        <w:rPr>
          <w:rFonts w:hint="eastAsia" w:ascii="仿宋" w:hAnsi="仿宋" w:eastAsia="仿宋" w:cs="仿宋"/>
          <w:color w:val="000000"/>
          <w:spacing w:val="6"/>
          <w:sz w:val="24"/>
        </w:rPr>
        <w:t xml:space="preserve">项目编号：</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pacing w:val="6"/>
          <w:sz w:val="24"/>
          <w:lang w:eastAsia="zh-CN"/>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本公司郑重声明，根据《政府采购促进中小企业发展管理办法》（财库﹝2020﹞46 号）的规定，本公司参加</w:t>
      </w:r>
      <w:r>
        <w:rPr>
          <w:rFonts w:hint="eastAsia" w:ascii="仿宋" w:hAnsi="仿宋" w:eastAsia="仿宋" w:cs="仿宋"/>
          <w:color w:val="000000"/>
          <w:sz w:val="24"/>
          <w:u w:val="single"/>
        </w:rPr>
        <w:t xml:space="preserve">（徐州市铜山区何桥镇人民政府）</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eastAsia="zh-CN"/>
        </w:rPr>
        <w:t xml:space="preserve">何桥镇人居环境综合管护</w:t>
      </w:r>
      <w:r>
        <w:rPr>
          <w:rFonts w:hint="eastAsia" w:ascii="仿宋" w:hAnsi="仿宋" w:eastAsia="仿宋" w:cs="仿宋"/>
          <w:color w:val="000000"/>
          <w:sz w:val="24"/>
          <w:u w:val="single"/>
        </w:rPr>
        <w:t xml:space="preserve">）项目</w:t>
      </w:r>
      <w:r>
        <w:rPr>
          <w:rFonts w:hint="eastAsia" w:ascii="仿宋" w:hAnsi="仿宋" w:eastAsia="仿宋" w:cs="仿宋"/>
          <w:color w:val="000000"/>
          <w:sz w:val="24"/>
        </w:rPr>
        <w:t xml:space="preserve">采购活动，服务全部由符合政策要求的中小企业承接。相关企业的具体情况如下：</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eastAsia="zh-CN"/>
        </w:rPr>
        <w:t xml:space="preserve">何桥镇人居环境综合管护</w:t>
      </w:r>
      <w:r>
        <w:rPr>
          <w:rFonts w:hint="eastAsia" w:ascii="仿宋" w:hAnsi="仿宋" w:eastAsia="仿宋" w:cs="仿宋"/>
          <w:color w:val="000000"/>
          <w:sz w:val="24"/>
          <w:u w:val="single"/>
        </w:rPr>
        <w:t xml:space="preserve">）项目</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其他未列明行业</w:t>
      </w:r>
      <w:r>
        <w:rPr>
          <w:rFonts w:hint="eastAsia" w:ascii="仿宋" w:hAnsi="仿宋" w:eastAsia="仿宋" w:cs="仿宋"/>
          <w:color w:val="000000"/>
          <w:sz w:val="24"/>
        </w:rPr>
      </w:r>
      <w:r>
        <w:rPr>
          <w:rFonts w:hint="eastAsia" w:ascii="仿宋" w:hAnsi="仿宋" w:eastAsia="仿宋" w:cs="仿宋"/>
          <w:color w:val="000000"/>
          <w:sz w:val="24"/>
        </w:rPr>
        <w:t xml:space="preserve">行业； 承建（承接）企业为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中型企业、</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小型企业、</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微型企业</w:t>
      </w:r>
      <w:r>
        <w:rPr>
          <w:rFonts w:hint="eastAsia" w:ascii="仿宋" w:hAnsi="仿宋" w:eastAsia="仿宋" w:cs="仿宋"/>
          <w:b/>
          <w:color w:val="000000"/>
          <w:sz w:val="24"/>
        </w:rPr>
        <w:t xml:space="preserve">，请勾选！</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pacing w:val="6"/>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rPr>
      </w:r>
      <w:r/>
    </w:p>
    <w:p>
      <w:pPr>
        <w:pStyle w:val="795"/>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企业名称（盖单位电子签章）：</w:t>
      </w:r>
      <w:r>
        <w:rPr>
          <w:rFonts w:hint="eastAsia" w:ascii="仿宋" w:hAnsi="仿宋" w:eastAsia="仿宋" w:cs="仿宋"/>
          <w:color w:val="000000"/>
          <w:sz w:val="24"/>
        </w:rPr>
      </w:r>
      <w:r/>
    </w:p>
    <w:p>
      <w:pPr>
        <w:pStyle w:val="795"/>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日期：</w:t>
      </w:r>
      <w:r>
        <w:rPr>
          <w:rFonts w:hint="eastAsia" w:ascii="仿宋" w:hAnsi="仿宋" w:eastAsia="仿宋" w:cs="仿宋"/>
          <w:color w:val="000000"/>
          <w:sz w:val="24"/>
        </w:rPr>
      </w:r>
      <w:r/>
    </w:p>
    <w:p>
      <w:pPr>
        <w:pStyle w:val="795"/>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注：本项目采购的服务属于</w:t>
      </w:r>
      <w:r>
        <w:rPr>
          <w:rFonts w:hint="eastAsia" w:ascii="仿宋" w:hAnsi="仿宋" w:eastAsia="仿宋" w:cs="仿宋"/>
          <w:color w:val="000000"/>
          <w:sz w:val="24"/>
        </w:rPr>
      </w:r>
      <w:r>
        <w:rPr>
          <w:rFonts w:hint="eastAsia" w:ascii="仿宋" w:hAnsi="仿宋" w:eastAsia="仿宋" w:cs="仿宋"/>
          <w:color w:val="000000"/>
          <w:sz w:val="24"/>
        </w:rPr>
        <w:t xml:space="preserve">其他未列明行业</w:t>
      </w:r>
      <w:r>
        <w:rPr>
          <w:rFonts w:hint="eastAsia" w:ascii="仿宋" w:hAnsi="仿宋" w:eastAsia="仿宋" w:cs="仿宋"/>
          <w:color w:val="000000"/>
          <w:sz w:val="24"/>
        </w:rPr>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w:t>
      </w:r>
      <w:r>
        <w:rPr>
          <w:rFonts w:hint="eastAsia" w:ascii="仿宋" w:hAnsi="仿宋" w:eastAsia="仿宋" w:cs="仿宋"/>
          <w:color w:val="000000"/>
          <w:sz w:val="24"/>
        </w:rPr>
      </w:r>
      <w:r/>
    </w:p>
    <w:p>
      <w:pPr>
        <w:pStyle w:val="795"/>
        <w:ind w:firstLine="60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1、从业人员、营业收入、资产总额填报上一年度数据，无上一年度数据的新成立企业可不填报。</w:t>
      </w:r>
      <w:r>
        <w:rPr>
          <w:rFonts w:hint="eastAsia" w:ascii="仿宋" w:hAnsi="仿宋" w:eastAsia="仿宋" w:cs="仿宋"/>
          <w:color w:val="000000"/>
          <w:sz w:val="24"/>
        </w:rPr>
      </w:r>
      <w:r/>
    </w:p>
    <w:p>
      <w:pPr>
        <w:pStyle w:val="1082"/>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2265680</wp:posOffset>
                </wp:positionH>
                <wp:positionV relativeFrom="paragraph">
                  <wp:posOffset>472440</wp:posOffset>
                </wp:positionV>
                <wp:extent cx="1534795" cy="30708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78.4pt;mso-position-horizontal:absolute;mso-position-vertical-relative:text;margin-top:37.2pt;mso-position-vertical:absolute;width:120.8pt;height:241.8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000000"/>
          <w:sz w:val="24"/>
          <w:szCs w:val="24"/>
        </w:rPr>
        <w:t xml:space="preserve">2、《中小企业声明函》查询渠道参考工业和信息化部发布的中小企业规模自测小程序。</w:t>
      </w:r>
      <w:r>
        <w:rPr>
          <w:rFonts w:hint="eastAsia" w:ascii="仿宋" w:hAnsi="仿宋" w:eastAsia="仿宋" w:cs="仿宋"/>
          <w:color w:val="000000"/>
          <w:sz w:val="24"/>
          <w:szCs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before="100" w:beforeAutospacing="1" w:after="100" w:afterAutospacing="1" w:line="46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jc w:val="center"/>
        <w:spacing w:line="480" w:lineRule="exact"/>
        <w:rPr>
          <w:rFonts w:hint="eastAsia" w:ascii="仿宋" w:hAnsi="仿宋" w:eastAsia="仿宋" w:cs="仿宋"/>
          <w:b/>
          <w:color w:val="000000"/>
          <w:spacing w:val="6"/>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七、残疾人福利性单位声明函格式</w:t>
      </w:r>
      <w:r>
        <w:rPr>
          <w:rFonts w:hint="eastAsia" w:ascii="仿宋" w:hAnsi="仿宋" w:eastAsia="仿宋" w:cs="仿宋"/>
          <w:b/>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项目名称：</w:t>
      </w:r>
      <w:r>
        <w:rPr>
          <w:rFonts w:hint="eastAsia" w:ascii="仿宋" w:hAnsi="仿宋" w:eastAsia="仿宋" w:cs="仿宋"/>
          <w:color w:val="000000"/>
          <w:spacing w:val="6"/>
          <w:sz w:val="24"/>
          <w:lang w:eastAsia="zh-CN"/>
        </w:rPr>
        <w:t xml:space="preserve">何桥镇人居环境综合管护</w:t>
      </w:r>
      <w:r>
        <w:rPr>
          <w:rFonts w:hint="eastAsia" w:ascii="仿宋" w:hAnsi="仿宋" w:eastAsia="仿宋" w:cs="仿宋"/>
          <w:color w:val="000000"/>
          <w:spacing w:val="6"/>
          <w:sz w:val="24"/>
        </w:rPr>
        <w:t xml:space="preserve"> </w:t>
      </w: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lang w:eastAsia="zh-CN"/>
        </w:rPr>
      </w:pPr>
      <w:r>
        <w:rPr>
          <w:rFonts w:hint="eastAsia" w:ascii="仿宋" w:hAnsi="仿宋" w:eastAsia="仿宋" w:cs="仿宋"/>
          <w:color w:val="000000"/>
          <w:spacing w:val="6"/>
          <w:sz w:val="24"/>
        </w:rPr>
        <w:t xml:space="preserve">项目编号：</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pacing w:val="6"/>
          <w:sz w:val="24"/>
          <w:lang w:eastAsia="zh-CN"/>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本单位郑重声明，根据《财政部 民政部 中国残疾人联合会关于促进残疾人就业政府采购政策的通知》（财库</w:t>
      </w:r>
      <w:r>
        <w:rPr>
          <w:rFonts w:hint="eastAsia" w:ascii="仿宋" w:hAnsi="仿宋" w:eastAsia="仿宋" w:cs="仿宋"/>
          <w:color w:val="000000"/>
          <w:sz w:val="24"/>
        </w:rPr>
        <w:t xml:space="preserve">〔2017〕 141</w:t>
      </w:r>
      <w:r>
        <w:rPr>
          <w:rFonts w:hint="eastAsia" w:ascii="仿宋" w:hAnsi="仿宋" w:eastAsia="仿宋" w:cs="仿宋"/>
          <w:color w:val="000000"/>
          <w:spacing w:val="6"/>
          <w:sz w:val="24"/>
        </w:rPr>
        <w:t xml:space="preserve">号）的规定，本单位为符合条件的残疾人福利性单位，且本单位参加</w:t>
      </w:r>
      <w:r>
        <w:rPr>
          <w:rFonts w:hint="eastAsia" w:ascii="仿宋" w:hAnsi="仿宋" w:eastAsia="仿宋" w:cs="仿宋"/>
          <w:color w:val="000000"/>
          <w:sz w:val="24"/>
        </w:rPr>
        <w:t xml:space="preserve">徐州市铜山区何桥镇人民政府</w:t>
      </w:r>
      <w:r>
        <w:rPr>
          <w:rFonts w:hint="eastAsia" w:ascii="仿宋" w:hAnsi="仿宋" w:eastAsia="仿宋" w:cs="仿宋"/>
          <w:color w:val="000000"/>
          <w:spacing w:val="6"/>
          <w:sz w:val="24"/>
        </w:rPr>
        <w:t xml:space="preserve">的</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t xml:space="preserve">本单位对上述声明的真实性负责。如有虚假，将依法承担相应责任。</w:t>
      </w: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95"/>
        <w:ind w:firstLine="624"/>
        <w:spacing w:line="480" w:lineRule="exact"/>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pStyle w:val="795"/>
        <w:ind w:firstLine="25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b/>
          <w:bCs/>
          <w:color w:val="000000"/>
          <w:sz w:val="24"/>
        </w:rPr>
        <w:t xml:space="preserve">八、投标人参加政府采购活动前3年内在经营活动中没有重大违法记录的书面声明格式</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我单位在参加徐州市铜山区何桥镇人民政府</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z w:val="24"/>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z w:val="24"/>
        </w:rPr>
      </w:r>
      <w:r/>
    </w:p>
    <w:p>
      <w:pPr>
        <w:pStyle w:val="1095"/>
        <w:ind w:firstLine="600"/>
        <w:spacing w:before="0" w:beforeAutospacing="0" w:after="0" w:afterAutospacing="0" w:line="480" w:lineRule="exact"/>
        <w:rPr>
          <w:rFonts w:hint="eastAsia" w:ascii="仿宋" w:hAnsi="仿宋" w:eastAsia="仿宋" w:cs="仿宋"/>
          <w:color w:val="000000"/>
        </w:rPr>
      </w:pPr>
      <w:r>
        <w:rPr>
          <w:rFonts w:hint="eastAsia" w:ascii="仿宋" w:hAnsi="仿宋" w:eastAsia="仿宋" w:cs="仿宋"/>
          <w:color w:val="000000"/>
        </w:rPr>
        <w:t xml:space="preserve">我单位对上述声明的真实性负责。如有虚假，将依法承担相应责任。</w:t>
      </w:r>
      <w:r>
        <w:rPr>
          <w:rFonts w:hint="eastAsia" w:ascii="仿宋" w:hAnsi="仿宋" w:eastAsia="仿宋" w:cs="仿宋"/>
          <w:color w:val="000000"/>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85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（盖单位电子签章）</w:t>
      </w:r>
      <w:r>
        <w:rPr>
          <w:rFonts w:hint="eastAsia" w:ascii="仿宋" w:hAnsi="仿宋" w:eastAsia="仿宋" w:cs="仿宋"/>
          <w:color w:val="000000"/>
          <w:sz w:val="24"/>
        </w:rPr>
      </w:r>
      <w:r/>
    </w:p>
    <w:p>
      <w:pPr>
        <w:pStyle w:val="795"/>
        <w:ind w:firstLine="6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               投标人授权代表：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（签字或盖章）  </w:t>
      </w:r>
      <w:r>
        <w:rPr>
          <w:rFonts w:hint="eastAsia" w:ascii="仿宋" w:hAnsi="仿宋" w:eastAsia="仿宋" w:cs="仿宋"/>
          <w:color w:val="000000"/>
          <w:sz w:val="24"/>
        </w:rPr>
      </w:r>
      <w:r/>
    </w:p>
    <w:p>
      <w:pPr>
        <w:pStyle w:val="795"/>
        <w:ind w:firstLine="450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950"/>
        <w:spacing w:line="480" w:lineRule="exact"/>
        <w:rPr>
          <w:rFonts w:hint="eastAsia" w:ascii="仿宋" w:hAnsi="仿宋" w:eastAsia="仿宋" w:cs="仿宋"/>
          <w:color w:val="000000"/>
          <w:sz w:val="24"/>
        </w:rPr>
        <w:sectPr>
          <w:headerReference w:type="default" r:id="rId11"/>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795"/>
        <w:ind w:firstLine="643"/>
        <w:jc w:val="center"/>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九、具备履行合同所必需的设备和专业技术能力的书面声明（附证明材料扫描件）</w:t>
      </w:r>
      <w:r>
        <w:rPr>
          <w:rFonts w:hint="eastAsia" w:ascii="仿宋" w:hAnsi="仿宋" w:eastAsia="仿宋" w:cs="仿宋"/>
          <w:b/>
          <w:bCs/>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项目名称：</w:t>
      </w:r>
      <w:r>
        <w:rPr>
          <w:rFonts w:hint="eastAsia" w:ascii="仿宋" w:hAnsi="仿宋" w:eastAsia="仿宋" w:cs="仿宋"/>
          <w:color w:val="000000"/>
          <w:sz w:val="24"/>
          <w:lang w:eastAsia="zh-CN"/>
        </w:rPr>
        <w:t xml:space="preserve">何桥镇人居环境综合管护</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z w:val="24"/>
          <w:lang w:eastAsia="zh-CN"/>
        </w:rPr>
      </w:r>
      <w:r/>
    </w:p>
    <w:p>
      <w:pPr>
        <w:pStyle w:val="1082"/>
        <w:ind w:firstLine="3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本单位郑重声明：本单位具备履行合同（项目名称：</w:t>
      </w:r>
      <w:r>
        <w:rPr>
          <w:rFonts w:hint="eastAsia" w:ascii="仿宋" w:hAnsi="仿宋" w:eastAsia="仿宋" w:cs="仿宋"/>
          <w:color w:val="000000"/>
          <w:sz w:val="24"/>
          <w:u w:val="single"/>
          <w:lang w:eastAsia="zh-CN"/>
        </w:rPr>
        <w:t xml:space="preserve">何桥镇人居环境综合管护</w:t>
      </w:r>
      <w:r>
        <w:rPr>
          <w:rFonts w:hint="eastAsia" w:ascii="仿宋" w:hAnsi="仿宋" w:eastAsia="仿宋" w:cs="仿宋"/>
          <w:color w:val="000000"/>
          <w:sz w:val="24"/>
        </w:rPr>
        <w:t xml:space="preserve">，项目编号：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JSZC-320312-RCGC-G2026-0002</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）所必需的设备和专业技术能力。</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特此声明。</w:t>
      </w: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（电子签章）</w:t>
      </w:r>
      <w:r>
        <w:rPr>
          <w:rFonts w:hint="eastAsia" w:ascii="仿宋" w:hAnsi="仿宋" w:eastAsia="仿宋" w:cs="仿宋"/>
          <w:color w:val="000000"/>
          <w:sz w:val="24"/>
        </w:rPr>
      </w:r>
      <w:r/>
    </w:p>
    <w:p>
      <w:pPr>
        <w:pStyle w:val="795"/>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rPr>
          <w:rFonts w:hint="eastAsia" w:ascii="仿宋" w:hAnsi="仿宋" w:eastAsia="仿宋" w:cs="仿宋"/>
          <w:color w:val="000000"/>
          <w:sz w:val="24"/>
        </w:rPr>
      </w:r>
      <w:r/>
    </w:p>
    <w:p>
      <w:pPr>
        <w:pStyle w:val="1082"/>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83"/>
        <w:rPr>
          <w:rFonts w:hint="eastAsia" w:ascii="仿宋" w:hAnsi="仿宋" w:eastAsia="仿宋" w:cs="仿宋"/>
          <w:color w:val="000000"/>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rPr>
      </w:r>
      <w:r/>
    </w:p>
    <w:p>
      <w:pPr>
        <w:pStyle w:val="795"/>
        <w:ind w:firstLine="600"/>
        <w:jc w:val="center"/>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十.“中标后作业人员、设备配置”的承诺函</w:t>
      </w:r>
      <w:r>
        <w:rPr>
          <w:rFonts w:hint="eastAsia" w:ascii="仿宋" w:hAnsi="仿宋" w:eastAsia="仿宋" w:cs="仿宋"/>
          <w:b/>
          <w:bCs/>
          <w:color w:val="000000"/>
          <w:sz w:val="24"/>
        </w:rPr>
      </w:r>
      <w:r/>
    </w:p>
    <w:p>
      <w:pPr>
        <w:pStyle w:val="795"/>
        <w:spacing w:after="120"/>
        <w:rPr>
          <w:rFonts w:hint="eastAsia" w:ascii="仿宋" w:hAnsi="仿宋" w:eastAsia="仿宋" w:cs="仿宋"/>
          <w:color w:val="000000"/>
          <w:sz w:val="24"/>
        </w:rPr>
      </w:pP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spacing w:after="120"/>
        <w:rPr>
          <w:rFonts w:hint="eastAsia" w:ascii="仿宋" w:hAnsi="仿宋" w:eastAsia="仿宋" w:cs="仿宋"/>
          <w:color w:val="000000"/>
          <w:sz w:val="24"/>
        </w:rPr>
        <w:outlineLvl w:val="2"/>
      </w:pPr>
      <w:r>
        <w:rPr>
          <w:rFonts w:hint="eastAsia" w:ascii="仿宋" w:hAnsi="仿宋" w:eastAsia="仿宋" w:cs="仿宋"/>
          <w:color w:val="000000"/>
          <w:sz w:val="24"/>
        </w:rPr>
        <w:t xml:space="preserve">格式自拟（详细表述人员的数量）</w:t>
      </w: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ind w:left="420" w:right="33"/>
        <w:jc w:val="left"/>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widowControl/>
        <w:rPr>
          <w:rFonts w:hint="eastAsia" w:ascii="仿宋" w:hAnsi="仿宋" w:eastAsia="仿宋" w:cs="仿宋"/>
          <w:color w:val="000000"/>
          <w:sz w:val="24"/>
        </w:rPr>
      </w:pPr>
      <w:r>
        <w:rPr>
          <w:rFonts w:hint="eastAsia" w:ascii="仿宋" w:hAnsi="仿宋" w:eastAsia="仿宋" w:cs="仿宋"/>
          <w:color w:val="000000"/>
          <w:sz w:val="24"/>
        </w:rPr>
      </w:r>
      <w:r/>
    </w:p>
    <w:p>
      <w:pPr>
        <w:pStyle w:val="795"/>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200"/>
        <w:jc w:val="center"/>
        <w:widowControl/>
        <w:rPr>
          <w:rFonts w:hint="eastAsia" w:ascii="仿宋" w:hAnsi="仿宋" w:eastAsia="仿宋" w:cs="仿宋"/>
          <w:bCs/>
          <w:color w:val="000000"/>
          <w:sz w:val="24"/>
        </w:rPr>
      </w:pPr>
      <w:r>
        <w:rPr>
          <w:rFonts w:hint="eastAsia" w:ascii="仿宋" w:hAnsi="仿宋" w:eastAsia="仿宋" w:cs="仿宋"/>
          <w:bCs/>
          <w:color w:val="000000"/>
          <w:sz w:val="24"/>
        </w:rPr>
      </w:r>
      <w:r/>
    </w:p>
    <w:p>
      <w:pPr>
        <w:pStyle w:val="795"/>
        <w:jc w:val="center"/>
        <w:widowControl/>
        <w:rPr>
          <w:rFonts w:hint="eastAsia" w:ascii="仿宋" w:hAnsi="仿宋" w:eastAsia="仿宋" w:cs="仿宋"/>
          <w:b/>
          <w:bCs/>
          <w:color w:val="000000"/>
          <w:sz w:val="24"/>
        </w:rPr>
        <w:outlineLvl w:val="1"/>
      </w:pPr>
      <w:r>
        <w:rPr>
          <w:rFonts w:hint="eastAsia" w:ascii="仿宋" w:hAnsi="仿宋" w:eastAsia="仿宋" w:cs="仿宋"/>
          <w:b/>
          <w:bCs/>
          <w:color w:val="000000"/>
          <w:sz w:val="24"/>
        </w:rPr>
        <w:t xml:space="preserve">十一.预付款保函支付条款</w:t>
      </w:r>
      <w:r>
        <w:rPr>
          <w:rFonts w:hint="eastAsia" w:ascii="仿宋" w:hAnsi="仿宋" w:eastAsia="仿宋" w:cs="仿宋"/>
          <w:b/>
          <w:bCs/>
          <w:color w:val="000000"/>
          <w:sz w:val="24"/>
        </w:rPr>
      </w:r>
      <w:r/>
    </w:p>
    <w:p>
      <w:pPr>
        <w:pStyle w:val="795"/>
        <w:ind w:firstLine="482"/>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ind w:firstLine="482"/>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付款条件一：提交预付款保函的</w:t>
      </w:r>
      <w:r>
        <w:rPr>
          <w:rFonts w:hint="eastAsia" w:ascii="仿宋" w:hAnsi="仿宋" w:eastAsia="仿宋" w:cs="仿宋"/>
          <w:b/>
          <w:bCs/>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（1）合同签订且乙方向甲方出具预付款保函后个</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（2）验收合格后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XX</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2"/>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795"/>
        <w:ind w:firstLine="482"/>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付款条件二：不提交预付款保函的</w:t>
      </w:r>
      <w:r>
        <w:rPr>
          <w:rFonts w:hint="eastAsia" w:ascii="仿宋" w:hAnsi="仿宋" w:eastAsia="仿宋" w:cs="仿宋"/>
          <w:b/>
          <w:bCs/>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（1）合同签订后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（2）验收合格后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个工作日内，甲方应支付合同价款的百分之</w:t>
      </w:r>
      <w:r>
        <w:rPr>
          <w:rFonts w:hint="eastAsia" w:ascii="仿宋" w:hAnsi="仿宋" w:eastAsia="仿宋" w:cs="仿宋"/>
          <w:color w:val="000000"/>
          <w:sz w:val="24"/>
          <w:u w:val="single"/>
        </w:rPr>
        <w:t xml:space="preserve"> XX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XX</w:t>
      </w:r>
      <w:r>
        <w:rPr>
          <w:rFonts w:hint="eastAsia" w:ascii="仿宋" w:hAnsi="仿宋" w:eastAsia="仿宋" w:cs="仿宋"/>
          <w:color w:val="000000"/>
          <w:sz w:val="24"/>
        </w:rPr>
        <w:t xml:space="preserve">%)小写￥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大写：人民币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795"/>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注：1、付款条件一中，出具预付款保函后支付的合同款应当与保函金额一致。</w:t>
      </w:r>
      <w:r>
        <w:rPr>
          <w:rFonts w:hint="eastAsia" w:ascii="仿宋" w:hAnsi="仿宋" w:eastAsia="仿宋" w:cs="仿宋"/>
          <w:color w:val="000000"/>
          <w:sz w:val="24"/>
        </w:rPr>
      </w:r>
      <w:r/>
    </w:p>
    <w:p>
      <w:pPr>
        <w:pStyle w:val="795"/>
        <w:rPr>
          <w:rFonts w:hint="eastAsia" w:ascii="仿宋" w:hAnsi="仿宋" w:eastAsia="仿宋" w:cs="仿宋"/>
          <w:color w:val="000000"/>
          <w:sz w:val="24"/>
        </w:rPr>
      </w:pPr>
      <w:r>
        <w:rPr>
          <w:rFonts w:hint="eastAsia" w:ascii="仿宋" w:hAnsi="仿宋" w:eastAsia="仿宋" w:cs="仿宋"/>
          <w:color w:val="000000"/>
          <w:sz w:val="24"/>
        </w:rPr>
        <w:t xml:space="preserve">付款条件二中，预付款比例设定应符合《关于做好政府采购支持企业发展有关事项的通知》(苏财购（2020）52号)要求。</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Calibri Light">
    <w:panose1 w:val="020F0302020204030204"/>
  </w:font>
  <w:font w:name="Tahoma">
    <w:panose1 w:val="020B0604030504040204"/>
  </w:font>
  <w:font w:name="新宋体">
    <w:panose1 w:val="02010609030101010101"/>
  </w:font>
  <w:font w:name="Symbol">
    <w:panose1 w:val="05050102010706020507"/>
  </w:font>
  <w:font w:name="仿宋">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rStyle w:val="1088"/>
      </w:rPr>
      <w:framePr w:wrap="around" w:vAnchor="text" w:hAnchor="margin" w:xAlign="center" w:y="1"/>
    </w:pPr>
    <w:r>
      <w:fldChar w:fldCharType="begin"/>
    </w:r>
    <w:r>
      <w:rPr>
        <w:rStyle w:val="1088"/>
      </w:rPr>
      <w:instrText xml:space="preserve">PAGE  </w:instrText>
    </w:r>
    <w:r>
      <w:fldChar w:fldCharType="end"/>
    </w:r>
    <w:r>
      <w:rPr>
        <w:rStyle w:val="1088"/>
      </w:rPr>
    </w:r>
    <w:r/>
  </w:p>
  <w:p>
    <w:pPr>
      <w:pStyle w:val="109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spacing w:after="120" w:line="14" w:lineRule="auto"/>
      <w:rPr>
        <w:rFonts w:ascii="Calibri" w:hAnsi="Calibri"/>
      </w:rPr>
    </w:pPr>
    <w:r>
      <w:rPr>
        <w:rFonts w:ascii="Calibri" w:hAnsi="Calibr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795"/>
                          </w:pPr>
                          <w:r/>
                          <w:r/>
                        </w:p>
                        <w:p>
                          <w:pPr>
                            <w:pStyle w:val="79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795"/>
                    </w:pPr>
                    <w:r/>
                    <w:r/>
                  </w:p>
                  <w:p>
                    <w:pPr>
                      <w:pStyle w:val="7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spacing w:after="120" w:line="14" w:lineRule="auto"/>
      <w:rPr>
        <w:rFonts w:ascii="Calibri" w:hAnsi="Calibri"/>
      </w:rPr>
    </w:pPr>
    <w:r>
      <w:rPr>
        <w:rFonts w:ascii="Calibri" w:hAnsi="Calibri"/>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914400</wp:posOffset>
              </wp:positionH>
              <wp:positionV relativeFrom="page">
                <wp:posOffset>677545</wp:posOffset>
              </wp:positionV>
              <wp:extent cx="444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noFill/>
                      <a:ln w="6096">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72.0pt,53.3pt" to="72.3pt,53.3pt" filled="f" strokecolor="#000000" strokeweight="0.48pt"/>
          </w:pict>
        </mc:Fallback>
      </mc:AlternateContent>
    </w:r>
    <w:r>
      <w:rPr>
        <w:rFonts w:ascii="Calibri" w:hAnsi="Calibr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95"/>
        <w:ind w:left="1140" w:hanging="420"/>
      </w:pPr>
    </w:lvl>
    <w:lvl w:ilvl="1">
      <w:start w:val="1"/>
      <w:numFmt w:val="lowerLetter"/>
      <w:isLgl w:val="false"/>
      <w:suff w:val="tab"/>
      <w:lvlText w:val="%2)"/>
      <w:lvlJc w:val="left"/>
      <w:pPr>
        <w:pStyle w:val="795"/>
        <w:ind w:left="1560" w:hanging="420"/>
      </w:pPr>
    </w:lvl>
    <w:lvl w:ilvl="2">
      <w:start w:val="1"/>
      <w:numFmt w:val="lowerRoman"/>
      <w:isLgl w:val="false"/>
      <w:suff w:val="tab"/>
      <w:lvlText w:val="%3."/>
      <w:lvlJc w:val="right"/>
      <w:pPr>
        <w:pStyle w:val="795"/>
        <w:ind w:left="1980" w:hanging="420"/>
      </w:pPr>
    </w:lvl>
    <w:lvl w:ilvl="3">
      <w:start w:val="1"/>
      <w:numFmt w:val="decimal"/>
      <w:isLgl w:val="false"/>
      <w:suff w:val="tab"/>
      <w:lvlText w:val="%4."/>
      <w:lvlJc w:val="left"/>
      <w:pPr>
        <w:pStyle w:val="795"/>
        <w:ind w:left="2400" w:hanging="420"/>
      </w:pPr>
    </w:lvl>
    <w:lvl w:ilvl="4">
      <w:start w:val="1"/>
      <w:numFmt w:val="lowerLetter"/>
      <w:isLgl w:val="false"/>
      <w:suff w:val="tab"/>
      <w:lvlText w:val="%5)"/>
      <w:lvlJc w:val="left"/>
      <w:pPr>
        <w:pStyle w:val="795"/>
        <w:ind w:left="2820" w:hanging="420"/>
      </w:pPr>
    </w:lvl>
    <w:lvl w:ilvl="5">
      <w:start w:val="1"/>
      <w:numFmt w:val="lowerRoman"/>
      <w:isLgl w:val="false"/>
      <w:suff w:val="tab"/>
      <w:lvlText w:val="%6."/>
      <w:lvlJc w:val="right"/>
      <w:pPr>
        <w:pStyle w:val="795"/>
        <w:ind w:left="3240" w:hanging="420"/>
      </w:pPr>
    </w:lvl>
    <w:lvl w:ilvl="6">
      <w:start w:val="1"/>
      <w:numFmt w:val="decimal"/>
      <w:isLgl w:val="false"/>
      <w:suff w:val="tab"/>
      <w:lvlText w:val="%7."/>
      <w:lvlJc w:val="left"/>
      <w:pPr>
        <w:pStyle w:val="795"/>
        <w:ind w:left="3660" w:hanging="420"/>
      </w:pPr>
    </w:lvl>
    <w:lvl w:ilvl="7">
      <w:start w:val="1"/>
      <w:numFmt w:val="lowerLetter"/>
      <w:isLgl w:val="false"/>
      <w:suff w:val="tab"/>
      <w:lvlText w:val="%8)"/>
      <w:lvlJc w:val="left"/>
      <w:pPr>
        <w:pStyle w:val="795"/>
        <w:ind w:left="4080" w:hanging="420"/>
      </w:pPr>
    </w:lvl>
    <w:lvl w:ilvl="8">
      <w:start w:val="1"/>
      <w:numFmt w:val="lowerRoman"/>
      <w:isLgl w:val="false"/>
      <w:suff w:val="tab"/>
      <w:lvlText w:val="%9."/>
      <w:lvlJc w:val="right"/>
      <w:pPr>
        <w:pStyle w:val="795"/>
        <w:ind w:left="4500" w:hanging="420"/>
      </w:pPr>
    </w:lvl>
  </w:abstractNum>
  <w:abstractNum w:abstractNumId="2">
    <w:multiLevelType w:val="hybridMultilevel"/>
    <w:lvl w:ilvl="0">
      <w:start w:val="4"/>
      <w:numFmt w:val="chineseCounting"/>
      <w:isLgl w:val="false"/>
      <w:suff w:val="space"/>
      <w:lvlText w:val="第%1章"/>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95"/>
        <w:tabs>
          <w:tab w:val="num" w:pos="312" w:leader="none"/>
        </w:tabs>
      </w:p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4">
    <w:multiLevelType w:val="hybridMultilevel"/>
    <w:lvl w:ilvl="0">
      <w:start w:val="3"/>
      <w:numFmt w:val="japaneseCounting"/>
      <w:isLgl w:val="false"/>
      <w:suff w:val="tab"/>
      <w:lvlText w:val="%1、"/>
      <w:lvlJc w:val="left"/>
      <w:pPr>
        <w:pStyle w:val="795"/>
        <w:ind w:left="1454" w:hanging="720"/>
      </w:pPr>
      <w:rPr>
        <w:b w:val="0"/>
      </w:rPr>
    </w:lvl>
    <w:lvl w:ilvl="1">
      <w:start w:val="1"/>
      <w:numFmt w:val="lowerLetter"/>
      <w:isLgl w:val="false"/>
      <w:suff w:val="tab"/>
      <w:lvlText w:val="%2)"/>
      <w:lvlJc w:val="left"/>
      <w:pPr>
        <w:pStyle w:val="795"/>
        <w:ind w:left="1574" w:hanging="420"/>
      </w:pPr>
    </w:lvl>
    <w:lvl w:ilvl="2">
      <w:start w:val="1"/>
      <w:numFmt w:val="lowerRoman"/>
      <w:isLgl w:val="false"/>
      <w:suff w:val="tab"/>
      <w:lvlText w:val="%3."/>
      <w:lvlJc w:val="right"/>
      <w:pPr>
        <w:pStyle w:val="795"/>
        <w:ind w:left="1994" w:hanging="420"/>
      </w:pPr>
    </w:lvl>
    <w:lvl w:ilvl="3">
      <w:start w:val="1"/>
      <w:numFmt w:val="decimal"/>
      <w:isLgl w:val="false"/>
      <w:suff w:val="tab"/>
      <w:lvlText w:val="%4."/>
      <w:lvlJc w:val="left"/>
      <w:pPr>
        <w:pStyle w:val="795"/>
        <w:ind w:left="2414" w:hanging="420"/>
      </w:pPr>
    </w:lvl>
    <w:lvl w:ilvl="4">
      <w:start w:val="1"/>
      <w:numFmt w:val="lowerLetter"/>
      <w:isLgl w:val="false"/>
      <w:suff w:val="tab"/>
      <w:lvlText w:val="%5)"/>
      <w:lvlJc w:val="left"/>
      <w:pPr>
        <w:pStyle w:val="795"/>
        <w:ind w:left="2834" w:hanging="420"/>
      </w:pPr>
    </w:lvl>
    <w:lvl w:ilvl="5">
      <w:start w:val="1"/>
      <w:numFmt w:val="lowerRoman"/>
      <w:isLgl w:val="false"/>
      <w:suff w:val="tab"/>
      <w:lvlText w:val="%6."/>
      <w:lvlJc w:val="right"/>
      <w:pPr>
        <w:pStyle w:val="795"/>
        <w:ind w:left="3254" w:hanging="420"/>
      </w:pPr>
    </w:lvl>
    <w:lvl w:ilvl="6">
      <w:start w:val="1"/>
      <w:numFmt w:val="decimal"/>
      <w:isLgl w:val="false"/>
      <w:suff w:val="tab"/>
      <w:lvlText w:val="%7."/>
      <w:lvlJc w:val="left"/>
      <w:pPr>
        <w:pStyle w:val="795"/>
        <w:ind w:left="3674" w:hanging="420"/>
      </w:pPr>
    </w:lvl>
    <w:lvl w:ilvl="7">
      <w:start w:val="1"/>
      <w:numFmt w:val="lowerLetter"/>
      <w:isLgl w:val="false"/>
      <w:suff w:val="tab"/>
      <w:lvlText w:val="%8)"/>
      <w:lvlJc w:val="left"/>
      <w:pPr>
        <w:pStyle w:val="795"/>
        <w:ind w:left="4094" w:hanging="420"/>
      </w:pPr>
    </w:lvl>
    <w:lvl w:ilvl="8">
      <w:start w:val="1"/>
      <w:numFmt w:val="lowerRoman"/>
      <w:isLgl w:val="false"/>
      <w:suff w:val="tab"/>
      <w:lvlText w:val="%9."/>
      <w:lvlJc w:val="right"/>
      <w:pPr>
        <w:pStyle w:val="795"/>
        <w:ind w:left="4514" w:hanging="420"/>
      </w:pPr>
    </w:lvl>
  </w:abstractNum>
  <w:abstractNum w:abstractNumId="5">
    <w:multiLevelType w:val="hybridMultilevel"/>
    <w:lvl w:ilvl="0">
      <w:start w:val="1"/>
      <w:numFmt w:val="chineseCounting"/>
      <w:isLgl w:val="false"/>
      <w:suff w:val="nothing"/>
      <w:lvlText w:val="%1、"/>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795"/>
    <w:next w:val="795"/>
    <w:link w:val="915"/>
    <w:uiPriority w:val="9"/>
    <w:qFormat/>
    <w:pPr>
      <w:keepLines/>
      <w:keepNext/>
      <w:spacing w:before="480" w:after="200"/>
      <w:outlineLvl w:val="0"/>
    </w:pPr>
    <w:rPr>
      <w:rFonts w:ascii="Arial" w:hAnsi="Arial" w:eastAsia="Arial" w:cs="Arial"/>
      <w:sz w:val="40"/>
      <w:szCs w:val="40"/>
    </w:rPr>
  </w:style>
  <w:style w:type="paragraph" w:styleId="766">
    <w:name w:val="Heading 2"/>
    <w:basedOn w:val="795"/>
    <w:next w:val="795"/>
    <w:link w:val="916"/>
    <w:uiPriority w:val="9"/>
    <w:unhideWhenUsed/>
    <w:qFormat/>
    <w:pPr>
      <w:keepLines/>
      <w:keepNext/>
      <w:spacing w:before="360" w:after="200"/>
      <w:outlineLvl w:val="1"/>
    </w:pPr>
    <w:rPr>
      <w:rFonts w:ascii="Arial" w:hAnsi="Arial" w:eastAsia="Arial" w:cs="Arial"/>
      <w:sz w:val="34"/>
    </w:rPr>
  </w:style>
  <w:style w:type="paragraph" w:styleId="767">
    <w:name w:val="Heading 3"/>
    <w:basedOn w:val="795"/>
    <w:next w:val="795"/>
    <w:link w:val="917"/>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95"/>
    <w:next w:val="795"/>
    <w:link w:val="918"/>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95"/>
    <w:next w:val="795"/>
    <w:link w:val="919"/>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95"/>
    <w:next w:val="795"/>
    <w:link w:val="920"/>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95"/>
    <w:next w:val="795"/>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95"/>
    <w:next w:val="795"/>
    <w:link w:val="922"/>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95"/>
    <w:next w:val="795"/>
    <w:link w:val="923"/>
    <w:uiPriority w:val="9"/>
    <w:unhideWhenUsed/>
    <w:qFormat/>
    <w:pPr>
      <w:keepLines/>
      <w:keepNext/>
      <w:spacing w:before="320" w:after="200"/>
      <w:outlineLvl w:val="8"/>
    </w:pPr>
    <w:rPr>
      <w:rFonts w:ascii="Arial" w:hAnsi="Arial" w:eastAsia="Arial" w:cs="Arial"/>
      <w:i/>
      <w:iCs/>
      <w:sz w:val="21"/>
      <w:szCs w:val="21"/>
    </w:rPr>
  </w:style>
  <w:style w:type="paragraph" w:styleId="774">
    <w:name w:val="Title"/>
    <w:basedOn w:val="795"/>
    <w:next w:val="795"/>
    <w:link w:val="924"/>
    <w:uiPriority w:val="10"/>
    <w:qFormat/>
    <w:pPr>
      <w:contextualSpacing/>
      <w:spacing w:before="300" w:after="200"/>
    </w:pPr>
    <w:rPr>
      <w:sz w:val="48"/>
      <w:szCs w:val="48"/>
    </w:rPr>
  </w:style>
  <w:style w:type="paragraph" w:styleId="775">
    <w:name w:val="Subtitle"/>
    <w:basedOn w:val="795"/>
    <w:next w:val="795"/>
    <w:link w:val="925"/>
    <w:uiPriority w:val="11"/>
    <w:qFormat/>
    <w:pPr>
      <w:spacing w:before="200" w:after="200"/>
    </w:pPr>
    <w:rPr>
      <w:sz w:val="24"/>
      <w:szCs w:val="24"/>
    </w:rPr>
  </w:style>
  <w:style w:type="paragraph" w:styleId="776">
    <w:name w:val="Header"/>
    <w:basedOn w:val="795"/>
    <w:link w:val="928"/>
    <w:uiPriority w:val="99"/>
    <w:unhideWhenUsed/>
    <w:pPr>
      <w:spacing w:after="0" w:line="240" w:lineRule="auto"/>
      <w:tabs>
        <w:tab w:val="center" w:pos="7143" w:leader="none"/>
        <w:tab w:val="right" w:pos="14287" w:leader="none"/>
      </w:tabs>
    </w:pPr>
  </w:style>
  <w:style w:type="paragraph" w:styleId="777">
    <w:name w:val="Footer"/>
    <w:basedOn w:val="795"/>
    <w:link w:val="929"/>
    <w:uiPriority w:val="99"/>
    <w:unhideWhenUsed/>
    <w:pPr>
      <w:spacing w:after="0" w:line="240" w:lineRule="auto"/>
      <w:tabs>
        <w:tab w:val="center" w:pos="7143" w:leader="none"/>
        <w:tab w:val="right" w:pos="14287" w:leader="none"/>
      </w:tabs>
    </w:pPr>
  </w:style>
  <w:style w:type="paragraph" w:styleId="778">
    <w:name w:val="Caption"/>
    <w:basedOn w:val="795"/>
    <w:next w:val="795"/>
    <w:uiPriority w:val="35"/>
    <w:semiHidden/>
    <w:unhideWhenUsed/>
    <w:qFormat/>
    <w:pPr>
      <w:spacing w:line="276" w:lineRule="auto"/>
    </w:pPr>
    <w:rPr>
      <w:b/>
      <w:bCs/>
      <w:color w:val="4f81bd" w:themeColor="accent1"/>
      <w:sz w:val="18"/>
      <w:szCs w:val="18"/>
    </w:rPr>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Hyperlink"/>
    <w:uiPriority w:val="99"/>
    <w:unhideWhenUsed/>
    <w:rPr>
      <w:color w:val="0000ff" w:themeColor="hyperlink"/>
      <w:u w:val="single"/>
    </w:rPr>
  </w:style>
  <w:style w:type="paragraph" w:styleId="781">
    <w:name w:val="footnote text"/>
    <w:basedOn w:val="795"/>
    <w:link w:val="930"/>
    <w:uiPriority w:val="99"/>
    <w:semiHidden/>
    <w:unhideWhenUsed/>
    <w:pPr>
      <w:spacing w:after="40" w:line="240" w:lineRule="auto"/>
    </w:pPr>
    <w:rPr>
      <w:sz w:val="18"/>
    </w:rPr>
  </w:style>
  <w:style w:type="character" w:styleId="782">
    <w:name w:val="footnote reference"/>
    <w:uiPriority w:val="99"/>
    <w:unhideWhenUsed/>
    <w:rPr>
      <w:vertAlign w:val="superscript"/>
    </w:rPr>
  </w:style>
  <w:style w:type="paragraph" w:styleId="783">
    <w:name w:val="endnote text"/>
    <w:basedOn w:val="795"/>
    <w:link w:val="931"/>
    <w:uiPriority w:val="99"/>
    <w:semiHidden/>
    <w:unhideWhenUsed/>
    <w:pPr>
      <w:spacing w:after="0" w:line="240" w:lineRule="auto"/>
    </w:pPr>
    <w:rPr>
      <w:sz w:val="20"/>
    </w:rPr>
  </w:style>
  <w:style w:type="character" w:styleId="784">
    <w:name w:val="endnote reference"/>
    <w:uiPriority w:val="99"/>
    <w:semiHidden/>
    <w:unhideWhenUsed/>
    <w:rPr>
      <w:vertAlign w:val="superscript"/>
    </w:rPr>
  </w:style>
  <w:style w:type="paragraph" w:styleId="785">
    <w:name w:val="toc 1"/>
    <w:basedOn w:val="795"/>
    <w:next w:val="795"/>
    <w:uiPriority w:val="39"/>
    <w:unhideWhenUsed/>
    <w:pPr>
      <w:ind w:left="0" w:right="0" w:firstLine="0"/>
      <w:spacing w:after="57"/>
    </w:pPr>
  </w:style>
  <w:style w:type="paragraph" w:styleId="786">
    <w:name w:val="toc 2"/>
    <w:basedOn w:val="795"/>
    <w:next w:val="795"/>
    <w:uiPriority w:val="39"/>
    <w:unhideWhenUsed/>
    <w:pPr>
      <w:ind w:left="283" w:right="0" w:firstLine="0"/>
      <w:spacing w:after="57"/>
    </w:pPr>
  </w:style>
  <w:style w:type="paragraph" w:styleId="787">
    <w:name w:val="toc 3"/>
    <w:basedOn w:val="795"/>
    <w:next w:val="795"/>
    <w:uiPriority w:val="39"/>
    <w:unhideWhenUsed/>
    <w:pPr>
      <w:ind w:left="567" w:right="0" w:firstLine="0"/>
      <w:spacing w:after="57"/>
    </w:pPr>
  </w:style>
  <w:style w:type="paragraph" w:styleId="788">
    <w:name w:val="toc 4"/>
    <w:basedOn w:val="795"/>
    <w:next w:val="795"/>
    <w:uiPriority w:val="39"/>
    <w:unhideWhenUsed/>
    <w:pPr>
      <w:ind w:left="850" w:right="0" w:firstLine="0"/>
      <w:spacing w:after="57"/>
    </w:pPr>
  </w:style>
  <w:style w:type="paragraph" w:styleId="789">
    <w:name w:val="toc 5"/>
    <w:basedOn w:val="795"/>
    <w:next w:val="795"/>
    <w:uiPriority w:val="39"/>
    <w:unhideWhenUsed/>
    <w:pPr>
      <w:ind w:left="1134" w:right="0" w:firstLine="0"/>
      <w:spacing w:after="57"/>
    </w:pPr>
  </w:style>
  <w:style w:type="paragraph" w:styleId="790">
    <w:name w:val="toc 6"/>
    <w:basedOn w:val="795"/>
    <w:next w:val="795"/>
    <w:uiPriority w:val="39"/>
    <w:unhideWhenUsed/>
    <w:pPr>
      <w:ind w:left="1417" w:right="0" w:firstLine="0"/>
      <w:spacing w:after="57"/>
    </w:pPr>
  </w:style>
  <w:style w:type="paragraph" w:styleId="791">
    <w:name w:val="toc 7"/>
    <w:basedOn w:val="795"/>
    <w:next w:val="795"/>
    <w:uiPriority w:val="39"/>
    <w:unhideWhenUsed/>
    <w:pPr>
      <w:ind w:left="1701" w:right="0" w:firstLine="0"/>
      <w:spacing w:after="57"/>
    </w:pPr>
  </w:style>
  <w:style w:type="paragraph" w:styleId="792">
    <w:name w:val="toc 8"/>
    <w:basedOn w:val="795"/>
    <w:next w:val="795"/>
    <w:uiPriority w:val="39"/>
    <w:unhideWhenUsed/>
    <w:pPr>
      <w:ind w:left="1984" w:right="0" w:firstLine="0"/>
      <w:spacing w:after="57"/>
    </w:pPr>
  </w:style>
  <w:style w:type="paragraph" w:styleId="793">
    <w:name w:val="toc 9"/>
    <w:basedOn w:val="795"/>
    <w:next w:val="795"/>
    <w:uiPriority w:val="39"/>
    <w:unhideWhenUsed/>
    <w:pPr>
      <w:ind w:left="2268" w:right="0" w:firstLine="0"/>
      <w:spacing w:after="57"/>
    </w:pPr>
  </w:style>
  <w:style w:type="paragraph" w:styleId="794">
    <w:name w:val="table of figures"/>
    <w:basedOn w:val="795"/>
    <w:next w:val="795"/>
    <w:uiPriority w:val="99"/>
    <w:unhideWhenUsed/>
    <w:pPr>
      <w:spacing w:after="0" w:afterAutospacing="0"/>
    </w:pPr>
  </w:style>
  <w:style w:type="paragraph" w:styleId="795" w:default="1">
    <w:name w:val="Normal"/>
    <w:next w:val="795"/>
    <w:link w:val="795"/>
    <w:qFormat/>
    <w:pPr>
      <w:jc w:val="both"/>
      <w:widowControl w:val="off"/>
    </w:pPr>
    <w:rPr>
      <w:rFonts w:ascii="Times New Roman" w:hAnsi="Times New Roman" w:eastAsia="宋体" w:cs="Times New Roman"/>
      <w:sz w:val="21"/>
      <w:szCs w:val="24"/>
      <w:lang w:val="en-US" w:eastAsia="zh-CN" w:bidi="ar-SA"/>
    </w:rPr>
  </w:style>
  <w:style w:type="paragraph" w:styleId="796">
    <w:name w:val="标题 1"/>
    <w:basedOn w:val="795"/>
    <w:next w:val="795"/>
    <w:link w:val="795"/>
    <w:uiPriority w:val="9"/>
    <w:qFormat/>
    <w:pPr>
      <w:keepLines/>
      <w:keepNext/>
      <w:spacing w:before="480" w:after="200"/>
      <w:outlineLvl w:val="0"/>
    </w:pPr>
    <w:rPr>
      <w:rFonts w:ascii="Arial" w:hAnsi="Arial" w:eastAsia="Arial" w:cs="Arial"/>
      <w:sz w:val="40"/>
      <w:szCs w:val="40"/>
    </w:rPr>
  </w:style>
  <w:style w:type="paragraph" w:styleId="797">
    <w:name w:val="标题 2"/>
    <w:basedOn w:val="795"/>
    <w:next w:val="795"/>
    <w:link w:val="795"/>
    <w:uiPriority w:val="9"/>
    <w:unhideWhenUsed/>
    <w:qFormat/>
    <w:pPr>
      <w:keepLines/>
      <w:keepNext/>
      <w:spacing w:before="360" w:after="200"/>
      <w:outlineLvl w:val="1"/>
    </w:pPr>
    <w:rPr>
      <w:rFonts w:ascii="Arial" w:hAnsi="Arial" w:eastAsia="Arial" w:cs="Arial"/>
      <w:sz w:val="34"/>
    </w:rPr>
  </w:style>
  <w:style w:type="paragraph" w:styleId="798">
    <w:name w:val="标题 3"/>
    <w:basedOn w:val="795"/>
    <w:next w:val="795"/>
    <w:link w:val="795"/>
    <w:uiPriority w:val="9"/>
    <w:unhideWhenUsed/>
    <w:qFormat/>
    <w:pPr>
      <w:keepLines/>
      <w:keepNext/>
      <w:spacing w:before="320" w:after="200"/>
      <w:outlineLvl w:val="2"/>
    </w:pPr>
    <w:rPr>
      <w:rFonts w:ascii="Arial" w:hAnsi="Arial" w:eastAsia="Arial" w:cs="Arial"/>
      <w:sz w:val="30"/>
      <w:szCs w:val="30"/>
    </w:rPr>
  </w:style>
  <w:style w:type="paragraph" w:styleId="799">
    <w:name w:val="标题 4"/>
    <w:basedOn w:val="795"/>
    <w:next w:val="795"/>
    <w:link w:val="795"/>
    <w:uiPriority w:val="9"/>
    <w:unhideWhenUsed/>
    <w:qFormat/>
    <w:pPr>
      <w:keepLines/>
      <w:keepNext/>
      <w:spacing w:before="320" w:after="200"/>
      <w:outlineLvl w:val="3"/>
    </w:pPr>
    <w:rPr>
      <w:rFonts w:ascii="Arial" w:hAnsi="Arial" w:eastAsia="Arial" w:cs="Arial"/>
      <w:b/>
      <w:bCs/>
      <w:sz w:val="26"/>
      <w:szCs w:val="26"/>
    </w:rPr>
  </w:style>
  <w:style w:type="paragraph" w:styleId="800">
    <w:name w:val="标题 5"/>
    <w:basedOn w:val="795"/>
    <w:next w:val="795"/>
    <w:link w:val="795"/>
    <w:uiPriority w:val="9"/>
    <w:unhideWhenUsed/>
    <w:qFormat/>
    <w:pPr>
      <w:keepLines/>
      <w:keepNext/>
      <w:spacing w:before="320" w:after="200"/>
      <w:outlineLvl w:val="4"/>
    </w:pPr>
    <w:rPr>
      <w:rFonts w:ascii="Arial" w:hAnsi="Arial" w:eastAsia="Arial" w:cs="Arial"/>
      <w:b/>
      <w:bCs/>
      <w:sz w:val="24"/>
      <w:szCs w:val="24"/>
    </w:rPr>
  </w:style>
  <w:style w:type="paragraph" w:styleId="801">
    <w:name w:val="标题 6"/>
    <w:basedOn w:val="795"/>
    <w:next w:val="795"/>
    <w:link w:val="795"/>
    <w:uiPriority w:val="9"/>
    <w:unhideWhenUsed/>
    <w:qFormat/>
    <w:pPr>
      <w:keepLines/>
      <w:keepNext/>
      <w:spacing w:before="320" w:after="200"/>
      <w:outlineLvl w:val="5"/>
    </w:pPr>
    <w:rPr>
      <w:rFonts w:ascii="Arial" w:hAnsi="Arial" w:eastAsia="Arial" w:cs="Arial"/>
      <w:b/>
      <w:bCs/>
      <w:sz w:val="22"/>
      <w:szCs w:val="22"/>
    </w:rPr>
  </w:style>
  <w:style w:type="paragraph" w:styleId="802">
    <w:name w:val="标题 7"/>
    <w:basedOn w:val="795"/>
    <w:next w:val="795"/>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标题 8"/>
    <w:basedOn w:val="795"/>
    <w:next w:val="795"/>
    <w:link w:val="795"/>
    <w:uiPriority w:val="9"/>
    <w:unhideWhenUsed/>
    <w:qFormat/>
    <w:pPr>
      <w:keepLines/>
      <w:keepNext/>
      <w:spacing w:before="320" w:after="200"/>
      <w:outlineLvl w:val="7"/>
    </w:pPr>
    <w:rPr>
      <w:rFonts w:ascii="Arial" w:hAnsi="Arial" w:eastAsia="Arial" w:cs="Arial"/>
      <w:i/>
      <w:iCs/>
      <w:sz w:val="22"/>
      <w:szCs w:val="22"/>
    </w:rPr>
  </w:style>
  <w:style w:type="paragraph" w:styleId="804">
    <w:name w:val="标题 9"/>
    <w:basedOn w:val="795"/>
    <w:next w:val="795"/>
    <w:link w:val="795"/>
    <w:uiPriority w:val="9"/>
    <w:unhideWhenUsed/>
    <w:qFormat/>
    <w:pPr>
      <w:keepLines/>
      <w:keepNext/>
      <w:spacing w:before="320" w:after="200"/>
      <w:outlineLvl w:val="8"/>
    </w:pPr>
    <w:rPr>
      <w:rFonts w:ascii="Arial" w:hAnsi="Arial" w:eastAsia="Arial" w:cs="Arial"/>
      <w:i/>
      <w:iCs/>
      <w:sz w:val="21"/>
      <w:szCs w:val="21"/>
    </w:rPr>
  </w:style>
  <w:style w:type="character" w:styleId="805">
    <w:name w:val="默认段落字体"/>
    <w:next w:val="805"/>
    <w:link w:val="795"/>
    <w:uiPriority w:val="1"/>
    <w:unhideWhenUsed/>
    <w:qFormat/>
  </w:style>
  <w:style w:type="table" w:styleId="806">
    <w:name w:val="普通表格"/>
    <w:next w:val="806"/>
    <w:link w:val="795"/>
    <w:uiPriority w:val="99"/>
    <w:unhideWhenUsed/>
    <w:qFormat/>
    <w:tblPr/>
  </w:style>
  <w:style w:type="paragraph" w:styleId="807">
    <w:name w:val="目录 7"/>
    <w:basedOn w:val="795"/>
    <w:next w:val="795"/>
    <w:link w:val="795"/>
    <w:uiPriority w:val="39"/>
    <w:unhideWhenUsed/>
    <w:qFormat/>
    <w:pPr>
      <w:ind w:left="1701" w:right="0" w:firstLine="0"/>
      <w:spacing w:after="57"/>
    </w:pPr>
  </w:style>
  <w:style w:type="paragraph" w:styleId="808">
    <w:name w:val="题注"/>
    <w:basedOn w:val="795"/>
    <w:next w:val="795"/>
    <w:link w:val="795"/>
    <w:uiPriority w:val="35"/>
    <w:unhideWhenUsed/>
    <w:qFormat/>
    <w:pPr>
      <w:spacing w:line="276" w:lineRule="auto"/>
    </w:pPr>
    <w:rPr>
      <w:b/>
      <w:bCs/>
      <w:color w:val="4f81bd"/>
      <w:sz w:val="18"/>
      <w:szCs w:val="18"/>
    </w:rPr>
  </w:style>
  <w:style w:type="paragraph" w:styleId="809">
    <w:name w:val="目录 5"/>
    <w:basedOn w:val="795"/>
    <w:next w:val="795"/>
    <w:link w:val="795"/>
    <w:uiPriority w:val="39"/>
    <w:unhideWhenUsed/>
    <w:qFormat/>
    <w:pPr>
      <w:ind w:left="1134" w:right="0" w:firstLine="0"/>
      <w:spacing w:after="57"/>
    </w:pPr>
  </w:style>
  <w:style w:type="paragraph" w:styleId="810">
    <w:name w:val="目录 3"/>
    <w:basedOn w:val="795"/>
    <w:next w:val="795"/>
    <w:link w:val="795"/>
    <w:uiPriority w:val="39"/>
    <w:unhideWhenUsed/>
    <w:qFormat/>
    <w:pPr>
      <w:ind w:left="567" w:right="0" w:firstLine="0"/>
      <w:spacing w:after="57"/>
    </w:pPr>
  </w:style>
  <w:style w:type="paragraph" w:styleId="811">
    <w:name w:val="目录 8"/>
    <w:basedOn w:val="795"/>
    <w:next w:val="795"/>
    <w:link w:val="795"/>
    <w:uiPriority w:val="39"/>
    <w:unhideWhenUsed/>
    <w:qFormat/>
    <w:pPr>
      <w:ind w:left="1984" w:right="0" w:firstLine="0"/>
      <w:spacing w:after="57"/>
    </w:pPr>
  </w:style>
  <w:style w:type="paragraph" w:styleId="812">
    <w:name w:val="尾注文本"/>
    <w:basedOn w:val="795"/>
    <w:next w:val="812"/>
    <w:link w:val="795"/>
    <w:uiPriority w:val="99"/>
    <w:unhideWhenUsed/>
    <w:qFormat/>
    <w:pPr>
      <w:spacing w:after="0" w:line="240" w:lineRule="auto"/>
    </w:pPr>
    <w:rPr>
      <w:sz w:val="20"/>
    </w:rPr>
  </w:style>
  <w:style w:type="paragraph" w:styleId="813">
    <w:name w:val="页脚"/>
    <w:basedOn w:val="795"/>
    <w:next w:val="813"/>
    <w:link w:val="795"/>
    <w:uiPriority w:val="99"/>
    <w:unhideWhenUsed/>
    <w:pPr>
      <w:spacing w:after="0" w:line="240" w:lineRule="auto"/>
      <w:tabs>
        <w:tab w:val="center" w:pos="7143" w:leader="none"/>
        <w:tab w:val="right" w:pos="14287" w:leader="none"/>
      </w:tabs>
    </w:pPr>
  </w:style>
  <w:style w:type="paragraph" w:styleId="814">
    <w:name w:val="页眉"/>
    <w:basedOn w:val="795"/>
    <w:next w:val="814"/>
    <w:link w:val="795"/>
    <w:uiPriority w:val="99"/>
    <w:unhideWhenUsed/>
    <w:qFormat/>
    <w:pPr>
      <w:spacing w:after="0" w:line="240" w:lineRule="auto"/>
      <w:tabs>
        <w:tab w:val="center" w:pos="7143" w:leader="none"/>
        <w:tab w:val="right" w:pos="14287" w:leader="none"/>
      </w:tabs>
    </w:pPr>
  </w:style>
  <w:style w:type="paragraph" w:styleId="815">
    <w:name w:val="目录 1"/>
    <w:basedOn w:val="795"/>
    <w:next w:val="795"/>
    <w:link w:val="795"/>
    <w:uiPriority w:val="39"/>
    <w:unhideWhenUsed/>
    <w:qFormat/>
    <w:pPr>
      <w:ind w:left="0" w:right="0" w:firstLine="0"/>
      <w:spacing w:after="57"/>
    </w:pPr>
  </w:style>
  <w:style w:type="paragraph" w:styleId="816">
    <w:name w:val="目录 4"/>
    <w:basedOn w:val="795"/>
    <w:next w:val="795"/>
    <w:link w:val="795"/>
    <w:uiPriority w:val="39"/>
    <w:unhideWhenUsed/>
    <w:qFormat/>
    <w:pPr>
      <w:ind w:left="850" w:right="0" w:firstLine="0"/>
      <w:spacing w:after="57"/>
    </w:pPr>
  </w:style>
  <w:style w:type="paragraph" w:styleId="817">
    <w:name w:val="副标题"/>
    <w:basedOn w:val="795"/>
    <w:next w:val="795"/>
    <w:link w:val="795"/>
    <w:uiPriority w:val="11"/>
    <w:qFormat/>
    <w:pPr>
      <w:spacing w:before="200" w:after="200"/>
    </w:pPr>
    <w:rPr>
      <w:sz w:val="24"/>
      <w:szCs w:val="24"/>
    </w:rPr>
  </w:style>
  <w:style w:type="paragraph" w:styleId="818">
    <w:name w:val="脚注文本"/>
    <w:basedOn w:val="795"/>
    <w:next w:val="818"/>
    <w:link w:val="795"/>
    <w:uiPriority w:val="99"/>
    <w:unhideWhenUsed/>
    <w:qFormat/>
    <w:pPr>
      <w:spacing w:after="40" w:line="240" w:lineRule="auto"/>
    </w:pPr>
    <w:rPr>
      <w:sz w:val="18"/>
    </w:rPr>
  </w:style>
  <w:style w:type="paragraph" w:styleId="819">
    <w:name w:val="目录 6"/>
    <w:basedOn w:val="795"/>
    <w:next w:val="795"/>
    <w:link w:val="795"/>
    <w:uiPriority w:val="39"/>
    <w:unhideWhenUsed/>
    <w:qFormat/>
    <w:pPr>
      <w:ind w:left="1417" w:right="0" w:firstLine="0"/>
      <w:spacing w:after="57"/>
    </w:pPr>
  </w:style>
  <w:style w:type="paragraph" w:styleId="820">
    <w:name w:val="图表目录"/>
    <w:basedOn w:val="795"/>
    <w:next w:val="795"/>
    <w:link w:val="795"/>
    <w:uiPriority w:val="99"/>
    <w:unhideWhenUsed/>
    <w:qFormat/>
    <w:pPr>
      <w:spacing w:after="0" w:afterAutospacing="0"/>
    </w:pPr>
  </w:style>
  <w:style w:type="paragraph" w:styleId="821">
    <w:name w:val="目录 2"/>
    <w:basedOn w:val="795"/>
    <w:next w:val="795"/>
    <w:link w:val="795"/>
    <w:uiPriority w:val="39"/>
    <w:unhideWhenUsed/>
    <w:qFormat/>
    <w:pPr>
      <w:ind w:left="283" w:right="0" w:firstLine="0"/>
      <w:spacing w:after="57"/>
    </w:pPr>
  </w:style>
  <w:style w:type="paragraph" w:styleId="822">
    <w:name w:val="目录 9"/>
    <w:basedOn w:val="795"/>
    <w:next w:val="795"/>
    <w:link w:val="795"/>
    <w:uiPriority w:val="39"/>
    <w:unhideWhenUsed/>
    <w:qFormat/>
    <w:pPr>
      <w:ind w:left="2268" w:right="0" w:firstLine="0"/>
      <w:spacing w:after="57"/>
    </w:pPr>
  </w:style>
  <w:style w:type="paragraph" w:styleId="823">
    <w:name w:val="标题"/>
    <w:basedOn w:val="795"/>
    <w:next w:val="795"/>
    <w:link w:val="795"/>
    <w:uiPriority w:val="10"/>
    <w:qFormat/>
    <w:pPr>
      <w:contextualSpacing/>
      <w:spacing w:before="300" w:after="200"/>
    </w:pPr>
    <w:rPr>
      <w:sz w:val="48"/>
      <w:szCs w:val="48"/>
    </w:rPr>
  </w:style>
  <w:style w:type="table" w:styleId="824">
    <w:name w:val="网格型"/>
    <w:next w:val="824"/>
    <w:link w:val="795"/>
    <w:uiPriority w:val="59"/>
    <w:pPr>
      <w:spacing w:after="0" w:line="240" w:lineRule="auto"/>
    </w:pPr>
    <w:tblPr/>
  </w:style>
  <w:style w:type="character" w:styleId="825">
    <w:name w:val="尾注引用"/>
    <w:next w:val="825"/>
    <w:link w:val="795"/>
    <w:uiPriority w:val="99"/>
    <w:unhideWhenUsed/>
    <w:qFormat/>
    <w:rPr>
      <w:vertAlign w:val="superscript"/>
    </w:rPr>
  </w:style>
  <w:style w:type="character" w:styleId="826">
    <w:name w:val="超链接"/>
    <w:next w:val="826"/>
    <w:link w:val="795"/>
    <w:uiPriority w:val="99"/>
    <w:unhideWhenUsed/>
    <w:qFormat/>
    <w:rPr>
      <w:color w:val="0000ff"/>
      <w:u w:val="single"/>
    </w:rPr>
  </w:style>
  <w:style w:type="character" w:styleId="827">
    <w:name w:val="脚注引用"/>
    <w:next w:val="827"/>
    <w:link w:val="795"/>
    <w:uiPriority w:val="99"/>
    <w:unhideWhenUsed/>
    <w:qFormat/>
    <w:rPr>
      <w:vertAlign w:val="superscript"/>
    </w:rPr>
  </w:style>
  <w:style w:type="character" w:styleId="828">
    <w:name w:val="NormalCharacter11"/>
    <w:next w:val="828"/>
    <w:link w:val="795"/>
    <w:semiHidden/>
    <w:qFormat/>
    <w:rPr>
      <w:sz w:val="28"/>
      <w:lang w:val="en-US" w:eastAsia="zh-CN" w:bidi="ar-SA"/>
    </w:rPr>
  </w:style>
  <w:style w:type="paragraph" w:styleId="829">
    <w:name w:val="List Paragraph"/>
    <w:basedOn w:val="795"/>
    <w:next w:val="829"/>
    <w:link w:val="795"/>
    <w:uiPriority w:val="34"/>
    <w:qFormat/>
    <w:pPr>
      <w:contextualSpacing/>
      <w:ind w:left="720"/>
    </w:pPr>
  </w:style>
  <w:style w:type="paragraph" w:styleId="830">
    <w:name w:val="No Spacing"/>
    <w:next w:val="830"/>
    <w:link w:val="795"/>
    <w:uiPriority w:val="1"/>
    <w:qFormat/>
    <w:pPr>
      <w:spacing w:before="0" w:after="0" w:line="240" w:lineRule="auto"/>
    </w:pPr>
    <w:rPr>
      <w:rFonts w:ascii="Times New Roman" w:hAnsi="Times New Roman" w:eastAsia="宋体" w:cs="Times New Roman"/>
    </w:rPr>
  </w:style>
  <w:style w:type="paragraph" w:styleId="831">
    <w:name w:val="Quote"/>
    <w:basedOn w:val="795"/>
    <w:next w:val="795"/>
    <w:link w:val="795"/>
    <w:uiPriority w:val="29"/>
    <w:qFormat/>
    <w:pPr>
      <w:ind w:left="720" w:right="720"/>
    </w:pPr>
    <w:rPr>
      <w:i/>
    </w:rPr>
  </w:style>
  <w:style w:type="paragraph" w:styleId="832">
    <w:name w:val="Intense Quote"/>
    <w:basedOn w:val="795"/>
    <w:next w:val="795"/>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3">
    <w:name w:val="标题 111"/>
    <w:basedOn w:val="795"/>
    <w:next w:val="795"/>
    <w:link w:val="834"/>
    <w:uiPriority w:val="9"/>
    <w:qFormat/>
    <w:pPr>
      <w:keepLines/>
      <w:keepNext/>
      <w:spacing w:before="480" w:after="200"/>
      <w:outlineLvl w:val="0"/>
    </w:pPr>
    <w:rPr>
      <w:rFonts w:ascii="Arial" w:hAnsi="Arial" w:eastAsia="Arial"/>
      <w:sz w:val="40"/>
      <w:szCs w:val="40"/>
    </w:rPr>
  </w:style>
  <w:style w:type="character" w:styleId="834">
    <w:name w:val="标题 1 Char1"/>
    <w:next w:val="834"/>
    <w:link w:val="833"/>
    <w:uiPriority w:val="9"/>
    <w:qFormat/>
    <w:rPr>
      <w:rFonts w:ascii="Arial" w:hAnsi="Arial" w:eastAsia="Arial" w:cs="Arial"/>
      <w:sz w:val="40"/>
      <w:szCs w:val="40"/>
    </w:rPr>
  </w:style>
  <w:style w:type="paragraph" w:styleId="835">
    <w:name w:val="标题 211"/>
    <w:basedOn w:val="795"/>
    <w:next w:val="795"/>
    <w:link w:val="836"/>
    <w:uiPriority w:val="9"/>
    <w:qFormat/>
    <w:pPr>
      <w:keepLines/>
      <w:keepNext/>
      <w:spacing w:before="360" w:after="200"/>
      <w:outlineLvl w:val="1"/>
    </w:pPr>
    <w:rPr>
      <w:rFonts w:ascii="Arial" w:hAnsi="Arial" w:eastAsia="Arial"/>
      <w:sz w:val="34"/>
      <w:szCs w:val="20"/>
    </w:rPr>
  </w:style>
  <w:style w:type="character" w:styleId="836">
    <w:name w:val="标题 2 Char"/>
    <w:next w:val="836"/>
    <w:link w:val="835"/>
    <w:uiPriority w:val="9"/>
    <w:qFormat/>
    <w:rPr>
      <w:rFonts w:ascii="Arial" w:hAnsi="Arial" w:eastAsia="Arial" w:cs="Arial"/>
      <w:sz w:val="34"/>
    </w:rPr>
  </w:style>
  <w:style w:type="paragraph" w:styleId="837">
    <w:name w:val="标题 311"/>
    <w:basedOn w:val="795"/>
    <w:next w:val="795"/>
    <w:link w:val="838"/>
    <w:uiPriority w:val="9"/>
    <w:qFormat/>
    <w:pPr>
      <w:keepLines/>
      <w:keepNext/>
      <w:spacing w:before="320" w:after="200"/>
      <w:outlineLvl w:val="2"/>
    </w:pPr>
    <w:rPr>
      <w:rFonts w:ascii="Arial" w:hAnsi="Arial" w:eastAsia="Arial"/>
      <w:sz w:val="30"/>
      <w:szCs w:val="30"/>
    </w:rPr>
  </w:style>
  <w:style w:type="character" w:styleId="838">
    <w:name w:val="标题 3 Char1"/>
    <w:next w:val="838"/>
    <w:link w:val="837"/>
    <w:uiPriority w:val="9"/>
    <w:qFormat/>
    <w:rPr>
      <w:rFonts w:ascii="Arial" w:hAnsi="Arial" w:eastAsia="Arial" w:cs="Arial"/>
      <w:sz w:val="30"/>
      <w:szCs w:val="30"/>
    </w:rPr>
  </w:style>
  <w:style w:type="paragraph" w:styleId="839">
    <w:name w:val="标题 411"/>
    <w:basedOn w:val="795"/>
    <w:next w:val="795"/>
    <w:link w:val="840"/>
    <w:uiPriority w:val="9"/>
    <w:qFormat/>
    <w:pPr>
      <w:keepLines/>
      <w:keepNext/>
      <w:spacing w:before="320" w:after="200"/>
      <w:outlineLvl w:val="3"/>
    </w:pPr>
    <w:rPr>
      <w:rFonts w:ascii="Arial" w:hAnsi="Arial" w:eastAsia="Arial"/>
      <w:b/>
      <w:bCs/>
      <w:sz w:val="26"/>
      <w:szCs w:val="26"/>
    </w:rPr>
  </w:style>
  <w:style w:type="character" w:styleId="840">
    <w:name w:val="标题 4 Char1"/>
    <w:next w:val="840"/>
    <w:link w:val="839"/>
    <w:uiPriority w:val="9"/>
    <w:qFormat/>
    <w:rPr>
      <w:rFonts w:ascii="Arial" w:hAnsi="Arial" w:eastAsia="Arial" w:cs="Arial"/>
      <w:b/>
      <w:bCs/>
      <w:sz w:val="26"/>
      <w:szCs w:val="26"/>
    </w:rPr>
  </w:style>
  <w:style w:type="paragraph" w:styleId="841">
    <w:name w:val="标题 51"/>
    <w:basedOn w:val="795"/>
    <w:next w:val="795"/>
    <w:link w:val="842"/>
    <w:uiPriority w:val="9"/>
    <w:qFormat/>
    <w:pPr>
      <w:keepLines/>
      <w:keepNext/>
      <w:spacing w:before="320" w:after="200"/>
      <w:outlineLvl w:val="4"/>
    </w:pPr>
    <w:rPr>
      <w:rFonts w:ascii="Arial" w:hAnsi="Arial" w:eastAsia="Arial"/>
      <w:b/>
      <w:bCs/>
      <w:sz w:val="24"/>
    </w:rPr>
  </w:style>
  <w:style w:type="character" w:styleId="842">
    <w:name w:val="标题 5 Char"/>
    <w:next w:val="842"/>
    <w:link w:val="841"/>
    <w:uiPriority w:val="9"/>
    <w:qFormat/>
    <w:rPr>
      <w:rFonts w:ascii="Arial" w:hAnsi="Arial" w:eastAsia="Arial" w:cs="Arial"/>
      <w:b/>
      <w:bCs/>
      <w:sz w:val="24"/>
      <w:szCs w:val="24"/>
    </w:rPr>
  </w:style>
  <w:style w:type="paragraph" w:styleId="843">
    <w:name w:val="标题 61"/>
    <w:basedOn w:val="795"/>
    <w:next w:val="795"/>
    <w:link w:val="844"/>
    <w:uiPriority w:val="9"/>
    <w:qFormat/>
    <w:pPr>
      <w:keepLines/>
      <w:keepNext/>
      <w:spacing w:before="320" w:after="200"/>
      <w:outlineLvl w:val="5"/>
    </w:pPr>
    <w:rPr>
      <w:rFonts w:ascii="Arial" w:hAnsi="Arial" w:eastAsia="Arial"/>
      <w:b/>
      <w:bCs/>
      <w:sz w:val="22"/>
      <w:szCs w:val="22"/>
    </w:rPr>
  </w:style>
  <w:style w:type="character" w:styleId="844">
    <w:name w:val="标题 6 Char"/>
    <w:next w:val="844"/>
    <w:link w:val="843"/>
    <w:uiPriority w:val="9"/>
    <w:qFormat/>
    <w:rPr>
      <w:rFonts w:ascii="Arial" w:hAnsi="Arial" w:eastAsia="Arial" w:cs="Arial"/>
      <w:b/>
      <w:bCs/>
      <w:sz w:val="22"/>
      <w:szCs w:val="22"/>
    </w:rPr>
  </w:style>
  <w:style w:type="paragraph" w:styleId="845">
    <w:name w:val="标题 71"/>
    <w:basedOn w:val="795"/>
    <w:next w:val="795"/>
    <w:link w:val="846"/>
    <w:uiPriority w:val="9"/>
    <w:qFormat/>
    <w:pPr>
      <w:keepLines/>
      <w:keepNext/>
      <w:spacing w:before="320" w:after="200"/>
      <w:outlineLvl w:val="6"/>
    </w:pPr>
    <w:rPr>
      <w:rFonts w:ascii="Arial" w:hAnsi="Arial" w:eastAsia="Arial"/>
      <w:b/>
      <w:bCs/>
      <w:i/>
      <w:iCs/>
      <w:sz w:val="22"/>
      <w:szCs w:val="22"/>
    </w:rPr>
  </w:style>
  <w:style w:type="character" w:styleId="846">
    <w:name w:val="标题 7 Char"/>
    <w:next w:val="846"/>
    <w:link w:val="845"/>
    <w:uiPriority w:val="9"/>
    <w:qFormat/>
    <w:rPr>
      <w:rFonts w:ascii="Arial" w:hAnsi="Arial" w:eastAsia="Arial" w:cs="Arial"/>
      <w:b/>
      <w:bCs/>
      <w:i/>
      <w:iCs/>
      <w:sz w:val="22"/>
      <w:szCs w:val="22"/>
    </w:rPr>
  </w:style>
  <w:style w:type="paragraph" w:styleId="847">
    <w:name w:val="标题 81"/>
    <w:basedOn w:val="795"/>
    <w:next w:val="795"/>
    <w:link w:val="848"/>
    <w:uiPriority w:val="9"/>
    <w:qFormat/>
    <w:pPr>
      <w:keepLines/>
      <w:keepNext/>
      <w:spacing w:before="320" w:after="200"/>
      <w:outlineLvl w:val="7"/>
    </w:pPr>
    <w:rPr>
      <w:rFonts w:ascii="Arial" w:hAnsi="Arial" w:eastAsia="Arial"/>
      <w:i/>
      <w:iCs/>
      <w:sz w:val="22"/>
      <w:szCs w:val="22"/>
    </w:rPr>
  </w:style>
  <w:style w:type="character" w:styleId="848">
    <w:name w:val="标题 8 Char"/>
    <w:next w:val="848"/>
    <w:link w:val="847"/>
    <w:uiPriority w:val="9"/>
    <w:qFormat/>
    <w:rPr>
      <w:rFonts w:ascii="Arial" w:hAnsi="Arial" w:eastAsia="Arial" w:cs="Arial"/>
      <w:i/>
      <w:iCs/>
      <w:sz w:val="22"/>
      <w:szCs w:val="22"/>
    </w:rPr>
  </w:style>
  <w:style w:type="paragraph" w:styleId="849">
    <w:name w:val="标题 91"/>
    <w:basedOn w:val="795"/>
    <w:next w:val="795"/>
    <w:link w:val="850"/>
    <w:uiPriority w:val="9"/>
    <w:qFormat/>
    <w:pPr>
      <w:keepLines/>
      <w:keepNext/>
      <w:spacing w:before="320" w:after="200"/>
      <w:outlineLvl w:val="8"/>
    </w:pPr>
    <w:rPr>
      <w:rFonts w:ascii="Arial" w:hAnsi="Arial" w:eastAsia="Arial"/>
      <w:i/>
      <w:iCs/>
      <w:szCs w:val="21"/>
    </w:rPr>
  </w:style>
  <w:style w:type="character" w:styleId="850">
    <w:name w:val="标题 9 Char"/>
    <w:next w:val="850"/>
    <w:link w:val="849"/>
    <w:uiPriority w:val="9"/>
    <w:qFormat/>
    <w:rPr>
      <w:rFonts w:ascii="Arial" w:hAnsi="Arial" w:eastAsia="Arial" w:cs="Arial"/>
      <w:i/>
      <w:iCs/>
      <w:sz w:val="21"/>
      <w:szCs w:val="21"/>
    </w:rPr>
  </w:style>
  <w:style w:type="character" w:styleId="851">
    <w:name w:val="默认段落字体11"/>
    <w:next w:val="851"/>
    <w:link w:val="795"/>
    <w:uiPriority w:val="1"/>
    <w:unhideWhenUsed/>
    <w:qFormat/>
  </w:style>
  <w:style w:type="table" w:styleId="852">
    <w:name w:val="普通表格11"/>
    <w:next w:val="852"/>
    <w:link w:val="795"/>
    <w:uiPriority w:val="99"/>
    <w:unhideWhenUsed/>
    <w:qFormat/>
    <w:tblPr/>
  </w:style>
  <w:style w:type="paragraph" w:styleId="853">
    <w:name w:val="目录 71"/>
    <w:basedOn w:val="795"/>
    <w:next w:val="795"/>
    <w:link w:val="795"/>
    <w:uiPriority w:val="39"/>
    <w:unhideWhenUsed/>
    <w:qFormat/>
    <w:pPr>
      <w:ind w:left="1701"/>
      <w:spacing w:after="57"/>
    </w:pPr>
  </w:style>
  <w:style w:type="paragraph" w:styleId="854">
    <w:name w:val="正文缩进11"/>
    <w:basedOn w:val="795"/>
    <w:next w:val="854"/>
    <w:link w:val="795"/>
    <w:uiPriority w:val="99"/>
    <w:qFormat/>
    <w:pPr>
      <w:ind w:firstLine="420"/>
    </w:pPr>
  </w:style>
  <w:style w:type="paragraph" w:styleId="855">
    <w:name w:val="题注1"/>
    <w:basedOn w:val="795"/>
    <w:next w:val="795"/>
    <w:link w:val="795"/>
    <w:uiPriority w:val="35"/>
    <w:qFormat/>
    <w:pPr>
      <w:spacing w:line="276" w:lineRule="auto"/>
    </w:pPr>
    <w:rPr>
      <w:b/>
      <w:bCs/>
      <w:color w:val="4f81bd"/>
      <w:sz w:val="18"/>
      <w:szCs w:val="18"/>
    </w:rPr>
  </w:style>
  <w:style w:type="paragraph" w:styleId="856">
    <w:name w:val="文档结构图1"/>
    <w:basedOn w:val="795"/>
    <w:next w:val="856"/>
    <w:link w:val="857"/>
    <w:uiPriority w:val="99"/>
    <w:unhideWhenUsed/>
    <w:rPr>
      <w:rFonts w:ascii="宋体"/>
      <w:sz w:val="18"/>
      <w:szCs w:val="18"/>
    </w:rPr>
  </w:style>
  <w:style w:type="character" w:styleId="857">
    <w:name w:val="文档结构图 Char"/>
    <w:next w:val="857"/>
    <w:link w:val="856"/>
    <w:uiPriority w:val="99"/>
    <w:semiHidden/>
    <w:rPr>
      <w:rFonts w:ascii="宋体"/>
      <w:sz w:val="18"/>
      <w:szCs w:val="18"/>
    </w:rPr>
  </w:style>
  <w:style w:type="paragraph" w:styleId="858">
    <w:name w:val="批注文字11"/>
    <w:basedOn w:val="795"/>
    <w:next w:val="858"/>
    <w:link w:val="859"/>
    <w:uiPriority w:val="99"/>
    <w:unhideWhenUsed/>
    <w:pPr>
      <w:jc w:val="left"/>
    </w:pPr>
  </w:style>
  <w:style w:type="character" w:styleId="859">
    <w:name w:val="批注文字 Char"/>
    <w:next w:val="859"/>
    <w:link w:val="858"/>
    <w:uiPriority w:val="99"/>
    <w:semiHidden/>
    <w:qFormat/>
    <w:rPr>
      <w:sz w:val="21"/>
      <w:szCs w:val="24"/>
    </w:rPr>
  </w:style>
  <w:style w:type="paragraph" w:styleId="860">
    <w:name w:val="正文文本12"/>
    <w:basedOn w:val="795"/>
    <w:next w:val="861"/>
    <w:link w:val="795"/>
    <w:uiPriority w:val="99"/>
    <w:qFormat/>
    <w:pPr>
      <w:spacing w:after="120"/>
    </w:pPr>
  </w:style>
  <w:style w:type="paragraph" w:styleId="861">
    <w:name w:val="_Style 2"/>
    <w:basedOn w:val="795"/>
    <w:next w:val="795"/>
    <w:link w:val="795"/>
    <w:qFormat/>
    <w:pPr>
      <w:ind w:firstLine="420"/>
    </w:pPr>
  </w:style>
  <w:style w:type="paragraph" w:styleId="862">
    <w:name w:val="正文文本缩进12"/>
    <w:basedOn w:val="795"/>
    <w:next w:val="862"/>
    <w:link w:val="795"/>
    <w:qFormat/>
    <w:pPr>
      <w:ind w:firstLine="480"/>
    </w:pPr>
    <w:rPr>
      <w:rFonts w:ascii="仿宋_GB2312" w:eastAsia="仿宋_GB2312"/>
      <w:sz w:val="24"/>
    </w:rPr>
  </w:style>
  <w:style w:type="paragraph" w:styleId="863">
    <w:name w:val="文本块12"/>
    <w:basedOn w:val="795"/>
    <w:next w:val="863"/>
    <w:link w:val="795"/>
    <w:uiPriority w:val="99"/>
    <w:unhideWhenUsed/>
    <w:qFormat/>
    <w:pPr>
      <w:ind w:left="1440" w:right="1440"/>
      <w:spacing w:after="120"/>
    </w:pPr>
    <w:rPr>
      <w:rFonts w:ascii="Calibri" w:hAnsi="Calibri"/>
    </w:rPr>
  </w:style>
  <w:style w:type="paragraph" w:styleId="864">
    <w:name w:val="目录 51"/>
    <w:basedOn w:val="795"/>
    <w:next w:val="795"/>
    <w:link w:val="795"/>
    <w:uiPriority w:val="39"/>
    <w:unhideWhenUsed/>
    <w:qFormat/>
    <w:pPr>
      <w:ind w:left="1134"/>
      <w:spacing w:after="57"/>
    </w:pPr>
  </w:style>
  <w:style w:type="paragraph" w:styleId="865">
    <w:name w:val="目录 31"/>
    <w:basedOn w:val="795"/>
    <w:next w:val="795"/>
    <w:link w:val="795"/>
    <w:uiPriority w:val="39"/>
    <w:unhideWhenUsed/>
    <w:qFormat/>
    <w:pPr>
      <w:ind w:left="567"/>
      <w:spacing w:after="57"/>
    </w:pPr>
  </w:style>
  <w:style w:type="paragraph" w:styleId="866">
    <w:name w:val="纯文本11"/>
    <w:basedOn w:val="795"/>
    <w:next w:val="866"/>
    <w:link w:val="795"/>
    <w:qFormat/>
    <w:rPr>
      <w:rFonts w:ascii="宋体" w:hAnsi="Courier New"/>
    </w:rPr>
  </w:style>
  <w:style w:type="paragraph" w:styleId="867">
    <w:name w:val="目录 81"/>
    <w:basedOn w:val="795"/>
    <w:next w:val="795"/>
    <w:link w:val="795"/>
    <w:uiPriority w:val="39"/>
    <w:unhideWhenUsed/>
    <w:qFormat/>
    <w:pPr>
      <w:ind w:left="1984"/>
      <w:spacing w:after="57"/>
    </w:pPr>
  </w:style>
  <w:style w:type="paragraph" w:styleId="868">
    <w:name w:val="尾注文本1"/>
    <w:basedOn w:val="795"/>
    <w:next w:val="868"/>
    <w:link w:val="869"/>
    <w:uiPriority w:val="99"/>
    <w:unhideWhenUsed/>
    <w:qFormat/>
    <w:rPr>
      <w:sz w:val="20"/>
      <w:szCs w:val="20"/>
    </w:rPr>
  </w:style>
  <w:style w:type="character" w:styleId="869">
    <w:name w:val="尾注文本 Char"/>
    <w:next w:val="869"/>
    <w:link w:val="868"/>
    <w:uiPriority w:val="99"/>
    <w:qFormat/>
    <w:rPr>
      <w:sz w:val="20"/>
    </w:rPr>
  </w:style>
  <w:style w:type="paragraph" w:styleId="870">
    <w:name w:val="批注框文本11"/>
    <w:basedOn w:val="795"/>
    <w:next w:val="870"/>
    <w:link w:val="871"/>
    <w:uiPriority w:val="99"/>
    <w:unhideWhenUsed/>
    <w:rPr>
      <w:sz w:val="18"/>
      <w:szCs w:val="18"/>
    </w:rPr>
  </w:style>
  <w:style w:type="character" w:styleId="871">
    <w:name w:val="批注框文本 Char1"/>
    <w:next w:val="871"/>
    <w:link w:val="870"/>
    <w:uiPriority w:val="99"/>
    <w:semiHidden/>
    <w:qFormat/>
    <w:rPr>
      <w:sz w:val="18"/>
      <w:szCs w:val="18"/>
    </w:rPr>
  </w:style>
  <w:style w:type="paragraph" w:styleId="872">
    <w:name w:val="页脚11"/>
    <w:basedOn w:val="795"/>
    <w:next w:val="872"/>
    <w:link w:val="873"/>
    <w:uiPriority w:val="99"/>
    <w:unhideWhenUsed/>
    <w:qFormat/>
    <w:pPr>
      <w:tabs>
        <w:tab w:val="center" w:pos="7143" w:leader="none"/>
        <w:tab w:val="right" w:pos="14287" w:leader="none"/>
      </w:tabs>
    </w:pPr>
  </w:style>
  <w:style w:type="character" w:styleId="873">
    <w:name w:val="页脚 Char1"/>
    <w:next w:val="873"/>
    <w:link w:val="872"/>
    <w:uiPriority w:val="99"/>
    <w:qFormat/>
  </w:style>
  <w:style w:type="paragraph" w:styleId="874">
    <w:name w:val="页眉11"/>
    <w:basedOn w:val="795"/>
    <w:next w:val="874"/>
    <w:link w:val="875"/>
    <w:uiPriority w:val="99"/>
    <w:unhideWhenUsed/>
    <w:qFormat/>
    <w:pPr>
      <w:tabs>
        <w:tab w:val="center" w:pos="7143" w:leader="none"/>
        <w:tab w:val="right" w:pos="14287" w:leader="none"/>
      </w:tabs>
    </w:pPr>
  </w:style>
  <w:style w:type="character" w:styleId="875">
    <w:name w:val="页眉 Char"/>
    <w:next w:val="875"/>
    <w:link w:val="874"/>
    <w:uiPriority w:val="99"/>
    <w:qFormat/>
  </w:style>
  <w:style w:type="paragraph" w:styleId="876">
    <w:name w:val="目录 1111"/>
    <w:basedOn w:val="795"/>
    <w:next w:val="795"/>
    <w:link w:val="795"/>
    <w:uiPriority w:val="39"/>
    <w:unhideWhenUsed/>
    <w:qFormat/>
    <w:pPr>
      <w:spacing w:after="57"/>
    </w:pPr>
  </w:style>
  <w:style w:type="paragraph" w:styleId="877">
    <w:name w:val="目录 41"/>
    <w:basedOn w:val="795"/>
    <w:next w:val="795"/>
    <w:link w:val="795"/>
    <w:uiPriority w:val="39"/>
    <w:unhideWhenUsed/>
    <w:qFormat/>
    <w:pPr>
      <w:ind w:left="850"/>
      <w:spacing w:after="57"/>
    </w:pPr>
  </w:style>
  <w:style w:type="paragraph" w:styleId="878">
    <w:name w:val="索引标题1"/>
    <w:basedOn w:val="795"/>
    <w:next w:val="879"/>
    <w:link w:val="795"/>
    <w:uiPriority w:val="99"/>
    <w:unhideWhenUsed/>
    <w:qFormat/>
    <w:pPr>
      <w:spacing w:line="500" w:lineRule="exact"/>
    </w:pPr>
    <w:rPr>
      <w:rFonts w:ascii="仿宋_GB2312" w:eastAsia="仿宋_GB2312"/>
      <w:sz w:val="28"/>
      <w:szCs w:val="20"/>
    </w:rPr>
  </w:style>
  <w:style w:type="paragraph" w:styleId="879">
    <w:name w:val="索引 11"/>
    <w:basedOn w:val="795"/>
    <w:next w:val="795"/>
    <w:link w:val="795"/>
    <w:uiPriority w:val="99"/>
    <w:unhideWhenUsed/>
    <w:qFormat/>
    <w:pPr>
      <w:jc w:val="left"/>
      <w:spacing w:line="288" w:lineRule="auto"/>
      <w:suppressLineNumbers/>
    </w:pPr>
    <w:rPr>
      <w:sz w:val="24"/>
      <w:szCs w:val="20"/>
    </w:rPr>
  </w:style>
  <w:style w:type="paragraph" w:styleId="880">
    <w:name w:val="副标题1"/>
    <w:basedOn w:val="795"/>
    <w:next w:val="795"/>
    <w:link w:val="881"/>
    <w:uiPriority w:val="11"/>
    <w:qFormat/>
    <w:pPr>
      <w:spacing w:before="200" w:after="200"/>
    </w:pPr>
    <w:rPr>
      <w:sz w:val="24"/>
    </w:rPr>
  </w:style>
  <w:style w:type="character" w:styleId="881">
    <w:name w:val="副标题 Char"/>
    <w:next w:val="881"/>
    <w:link w:val="880"/>
    <w:uiPriority w:val="11"/>
    <w:qFormat/>
    <w:rPr>
      <w:sz w:val="24"/>
      <w:szCs w:val="24"/>
    </w:rPr>
  </w:style>
  <w:style w:type="paragraph" w:styleId="882">
    <w:name w:val="脚注文本12"/>
    <w:basedOn w:val="795"/>
    <w:next w:val="882"/>
    <w:link w:val="883"/>
    <w:uiPriority w:val="99"/>
    <w:unhideWhenUsed/>
    <w:qFormat/>
    <w:pPr>
      <w:spacing w:after="40"/>
    </w:pPr>
    <w:rPr>
      <w:sz w:val="18"/>
      <w:szCs w:val="20"/>
    </w:rPr>
  </w:style>
  <w:style w:type="character" w:styleId="883">
    <w:name w:val="脚注文本 Char1"/>
    <w:next w:val="883"/>
    <w:link w:val="882"/>
    <w:uiPriority w:val="99"/>
    <w:qFormat/>
    <w:rPr>
      <w:sz w:val="18"/>
    </w:rPr>
  </w:style>
  <w:style w:type="paragraph" w:styleId="884">
    <w:name w:val="目录 61"/>
    <w:basedOn w:val="795"/>
    <w:next w:val="795"/>
    <w:link w:val="795"/>
    <w:uiPriority w:val="39"/>
    <w:unhideWhenUsed/>
    <w:qFormat/>
    <w:pPr>
      <w:ind w:left="1417"/>
      <w:spacing w:after="57"/>
    </w:pPr>
  </w:style>
  <w:style w:type="paragraph" w:styleId="885">
    <w:name w:val="图表目录1"/>
    <w:basedOn w:val="795"/>
    <w:next w:val="795"/>
    <w:link w:val="795"/>
    <w:uiPriority w:val="99"/>
    <w:unhideWhenUsed/>
    <w:qFormat/>
  </w:style>
  <w:style w:type="paragraph" w:styleId="886">
    <w:name w:val="目录 211"/>
    <w:basedOn w:val="795"/>
    <w:next w:val="795"/>
    <w:link w:val="795"/>
    <w:uiPriority w:val="39"/>
    <w:unhideWhenUsed/>
    <w:qFormat/>
    <w:pPr>
      <w:ind w:left="283"/>
      <w:spacing w:after="57"/>
    </w:pPr>
  </w:style>
  <w:style w:type="paragraph" w:styleId="887">
    <w:name w:val="目录 91"/>
    <w:basedOn w:val="795"/>
    <w:next w:val="795"/>
    <w:link w:val="795"/>
    <w:uiPriority w:val="39"/>
    <w:unhideWhenUsed/>
    <w:qFormat/>
    <w:pPr>
      <w:ind w:left="2268"/>
      <w:spacing w:after="57"/>
    </w:pPr>
  </w:style>
  <w:style w:type="paragraph" w:styleId="888">
    <w:name w:val="标题1"/>
    <w:basedOn w:val="795"/>
    <w:next w:val="795"/>
    <w:link w:val="889"/>
    <w:uiPriority w:val="10"/>
    <w:qFormat/>
    <w:pPr>
      <w:contextualSpacing/>
      <w:spacing w:before="300" w:after="200"/>
    </w:pPr>
    <w:rPr>
      <w:sz w:val="48"/>
      <w:szCs w:val="48"/>
    </w:rPr>
  </w:style>
  <w:style w:type="character" w:styleId="889">
    <w:name w:val="标题 Char"/>
    <w:next w:val="889"/>
    <w:link w:val="888"/>
    <w:uiPriority w:val="10"/>
    <w:qFormat/>
    <w:rPr>
      <w:sz w:val="48"/>
      <w:szCs w:val="48"/>
    </w:rPr>
  </w:style>
  <w:style w:type="paragraph" w:styleId="890">
    <w:name w:val="批注主题1"/>
    <w:basedOn w:val="858"/>
    <w:next w:val="858"/>
    <w:link w:val="891"/>
    <w:uiPriority w:val="99"/>
    <w:unhideWhenUsed/>
    <w:qFormat/>
    <w:rPr>
      <w:b/>
      <w:bCs/>
    </w:rPr>
  </w:style>
  <w:style w:type="character" w:styleId="891">
    <w:name w:val="批注主题 Char"/>
    <w:next w:val="891"/>
    <w:link w:val="890"/>
    <w:uiPriority w:val="99"/>
    <w:semiHidden/>
    <w:qFormat/>
    <w:rPr>
      <w:b/>
      <w:bCs/>
      <w:sz w:val="21"/>
      <w:szCs w:val="24"/>
    </w:rPr>
  </w:style>
  <w:style w:type="paragraph" w:styleId="892">
    <w:name w:val="正文首行缩进 212"/>
    <w:basedOn w:val="862"/>
    <w:next w:val="892"/>
    <w:link w:val="795"/>
    <w:qFormat/>
    <w:pPr>
      <w:ind w:firstLine="420"/>
    </w:pPr>
  </w:style>
  <w:style w:type="table" w:styleId="893">
    <w:name w:val="网格型11"/>
    <w:next w:val="893"/>
    <w:link w:val="795"/>
    <w:uiPriority w:val="59"/>
    <w:qFormat/>
    <w:rPr>
      <w:lang w:val="en-US" w:eastAsia="zh-CN" w:bidi="ar-SA"/>
    </w:rPr>
    <w:tblPr/>
  </w:style>
  <w:style w:type="character" w:styleId="894">
    <w:name w:val="要点1"/>
    <w:next w:val="894"/>
    <w:link w:val="795"/>
    <w:uiPriority w:val="22"/>
    <w:qFormat/>
    <w:rPr>
      <w:b/>
      <w:bCs/>
    </w:rPr>
  </w:style>
  <w:style w:type="character" w:styleId="895">
    <w:name w:val="尾注引用1"/>
    <w:next w:val="895"/>
    <w:link w:val="795"/>
    <w:uiPriority w:val="99"/>
    <w:unhideWhenUsed/>
    <w:qFormat/>
    <w:rPr>
      <w:vertAlign w:val="superscript"/>
    </w:rPr>
  </w:style>
  <w:style w:type="character" w:styleId="896">
    <w:name w:val="已访问的超链接1"/>
    <w:next w:val="896"/>
    <w:link w:val="795"/>
    <w:uiPriority w:val="99"/>
    <w:unhideWhenUsed/>
    <w:qFormat/>
    <w:rPr>
      <w:color w:val="333333"/>
      <w:u w:val="none"/>
    </w:rPr>
  </w:style>
  <w:style w:type="character" w:styleId="897">
    <w:name w:val="超链接11"/>
    <w:next w:val="897"/>
    <w:link w:val="795"/>
    <w:uiPriority w:val="99"/>
    <w:unhideWhenUsed/>
    <w:qFormat/>
    <w:rPr>
      <w:color w:val="0000ff"/>
      <w:u w:val="single"/>
    </w:rPr>
  </w:style>
  <w:style w:type="character" w:styleId="898">
    <w:name w:val="HTML 代码1"/>
    <w:next w:val="898"/>
    <w:link w:val="795"/>
    <w:uiPriority w:val="99"/>
    <w:unhideWhenUsed/>
    <w:qFormat/>
    <w:rPr>
      <w:rFonts w:ascii="宋体" w:hAnsi="宋体" w:eastAsia="宋体" w:cs="宋体"/>
      <w:sz w:val="24"/>
      <w:szCs w:val="24"/>
    </w:rPr>
  </w:style>
  <w:style w:type="character" w:styleId="899">
    <w:name w:val="批注引用1"/>
    <w:next w:val="899"/>
    <w:link w:val="795"/>
    <w:uiPriority w:val="99"/>
    <w:unhideWhenUsed/>
    <w:qFormat/>
    <w:rPr>
      <w:sz w:val="21"/>
      <w:szCs w:val="21"/>
    </w:rPr>
  </w:style>
  <w:style w:type="character" w:styleId="900">
    <w:name w:val="脚注引用1"/>
    <w:next w:val="900"/>
    <w:link w:val="795"/>
    <w:uiPriority w:val="99"/>
    <w:unhideWhenUsed/>
    <w:qFormat/>
    <w:rPr>
      <w:vertAlign w:val="superscript"/>
    </w:rPr>
  </w:style>
  <w:style w:type="paragraph" w:styleId="901">
    <w:name w:val="Block Text1"/>
    <w:basedOn w:val="795"/>
    <w:next w:val="839"/>
    <w:link w:val="795"/>
    <w:qFormat/>
    <w:pPr>
      <w:ind w:left="256" w:right="6" w:firstLine="624"/>
    </w:pPr>
    <w:rPr>
      <w:rFonts w:eastAsia="仿宋"/>
      <w:sz w:val="28"/>
    </w:rPr>
  </w:style>
  <w:style w:type="paragraph" w:styleId="902">
    <w:name w:val="文本块11"/>
    <w:basedOn w:val="903"/>
    <w:next w:val="902"/>
    <w:link w:val="795"/>
    <w:uiPriority w:val="6"/>
    <w:unhideWhenUsed/>
    <w:qFormat/>
    <w:pPr>
      <w:ind w:left="1440" w:right="1440"/>
      <w:spacing w:after="120"/>
    </w:pPr>
  </w:style>
  <w:style w:type="paragraph" w:styleId="903">
    <w:name w:val="正文1111"/>
    <w:next w:val="905"/>
    <w:link w:val="904"/>
    <w:qFormat/>
    <w:pPr>
      <w:jc w:val="both"/>
      <w:widowControl w:val="off"/>
    </w:pPr>
    <w:rPr>
      <w:rFonts w:ascii="Times New Roman" w:hAnsi="Times New Roman" w:eastAsia="宋体" w:cs="Times New Roman"/>
      <w:sz w:val="21"/>
      <w:szCs w:val="24"/>
      <w:lang w:val="en-US" w:eastAsia="zh-CN" w:bidi="ar-SA"/>
    </w:rPr>
  </w:style>
  <w:style w:type="character" w:styleId="904">
    <w:name w:val="font11"/>
    <w:next w:val="904"/>
    <w:link w:val="903"/>
    <w:qFormat/>
    <w:rPr>
      <w:sz w:val="21"/>
      <w:szCs w:val="24"/>
      <w:lang w:val="en-US" w:eastAsia="zh-CN" w:bidi="ar-SA"/>
    </w:rPr>
  </w:style>
  <w:style w:type="paragraph" w:styleId="905">
    <w:name w:val="正文1"/>
    <w:basedOn w:val="906"/>
    <w:next w:val="913"/>
    <w:link w:val="795"/>
    <w:qFormat/>
  </w:style>
  <w:style w:type="paragraph" w:styleId="906">
    <w:name w:val="正文11"/>
    <w:next w:val="908"/>
    <w:link w:val="907"/>
    <w:qFormat/>
    <w:pPr>
      <w:jc w:val="both"/>
      <w:widowControl w:val="off"/>
    </w:pPr>
    <w:rPr>
      <w:rFonts w:ascii="Times New Roman" w:hAnsi="Times New Roman" w:eastAsia="宋体" w:cs="Times New Roman"/>
      <w:sz w:val="21"/>
      <w:szCs w:val="24"/>
      <w:lang w:val="en-US" w:eastAsia="zh-CN" w:bidi="ar-SA"/>
    </w:rPr>
  </w:style>
  <w:style w:type="character" w:styleId="907">
    <w:name w:val="超链接1"/>
    <w:next w:val="907"/>
    <w:link w:val="906"/>
    <w:qFormat/>
    <w:rPr>
      <w:sz w:val="21"/>
      <w:szCs w:val="24"/>
      <w:lang w:val="en-US" w:eastAsia="zh-CN" w:bidi="ar-SA"/>
    </w:rPr>
  </w:style>
  <w:style w:type="paragraph" w:styleId="908">
    <w:name w:val="标题 21"/>
    <w:basedOn w:val="909"/>
    <w:next w:val="906"/>
    <w:link w:val="795"/>
    <w:uiPriority w:val="99"/>
    <w:qFormat/>
    <w:pPr>
      <w:jc w:val="center"/>
      <w:keepLines/>
      <w:keepNext/>
      <w:spacing w:before="260" w:after="260" w:line="360" w:lineRule="auto"/>
      <w:outlineLvl w:val="1"/>
    </w:pPr>
    <w:rPr>
      <w:rFonts w:ascii="Arial" w:hAnsi="Arial" w:eastAsia="仿宋"/>
      <w:bCs/>
      <w:sz w:val="24"/>
      <w:szCs w:val="32"/>
    </w:rPr>
  </w:style>
  <w:style w:type="paragraph" w:styleId="909">
    <w:name w:val="正文111"/>
    <w:next w:val="910"/>
    <w:link w:val="795"/>
    <w:qFormat/>
    <w:pPr>
      <w:jc w:val="both"/>
      <w:widowControl w:val="off"/>
    </w:pPr>
    <w:rPr>
      <w:rFonts w:ascii="Times New Roman" w:hAnsi="Times New Roman" w:eastAsia="宋体" w:cs="Times New Roman"/>
      <w:sz w:val="21"/>
      <w:szCs w:val="24"/>
      <w:lang w:val="en-US" w:eastAsia="zh-CN" w:bidi="ar-SA"/>
    </w:rPr>
  </w:style>
  <w:style w:type="paragraph" w:styleId="910">
    <w:name w:val="正文首行缩进11"/>
    <w:basedOn w:val="911"/>
    <w:next w:val="910"/>
    <w:link w:val="795"/>
    <w:qFormat/>
    <w:pPr>
      <w:ind w:firstLine="420"/>
    </w:pPr>
    <w:rPr>
      <w:rFonts w:ascii="仿宋_GB2312" w:hAnsi="Times New Roman" w:eastAsia="仿宋_GB2312"/>
      <w:sz w:val="30"/>
      <w:szCs w:val="30"/>
    </w:rPr>
  </w:style>
  <w:style w:type="paragraph" w:styleId="911">
    <w:name w:val="正文文本11"/>
    <w:basedOn w:val="912"/>
    <w:next w:val="909"/>
    <w:link w:val="795"/>
    <w:qFormat/>
    <w:pPr>
      <w:spacing w:after="120"/>
    </w:pPr>
    <w:rPr>
      <w:rFonts w:ascii="Calibri" w:hAnsi="Calibri"/>
    </w:rPr>
  </w:style>
  <w:style w:type="paragraph" w:styleId="912">
    <w:name w:val="正文12"/>
    <w:next w:val="902"/>
    <w:link w:val="795"/>
    <w:qFormat/>
    <w:pPr>
      <w:jc w:val="both"/>
      <w:widowControl w:val="off"/>
    </w:pPr>
    <w:rPr>
      <w:rFonts w:ascii="Times New Roman" w:hAnsi="Times New Roman" w:eastAsia="宋体" w:cs="Times New Roman"/>
      <w:sz w:val="21"/>
      <w:szCs w:val="24"/>
      <w:lang w:val="en-US" w:eastAsia="zh-CN" w:bidi="ar-SA"/>
    </w:rPr>
  </w:style>
  <w:style w:type="paragraph" w:styleId="913">
    <w:name w:val="脚注文本1"/>
    <w:basedOn w:val="905"/>
    <w:next w:val="914"/>
    <w:link w:val="795"/>
    <w:qFormat/>
    <w:pPr>
      <w:jc w:val="left"/>
    </w:pPr>
    <w:rPr>
      <w:rFonts w:ascii="宋体" w:eastAsia="Times New Roman"/>
      <w:sz w:val="18"/>
      <w:szCs w:val="18"/>
    </w:rPr>
  </w:style>
  <w:style w:type="paragraph" w:styleId="914">
    <w:name w:val="索引 51"/>
    <w:basedOn w:val="905"/>
    <w:next w:val="905"/>
    <w:link w:val="795"/>
    <w:qFormat/>
    <w:pPr>
      <w:ind w:left="798"/>
      <w:jc w:val="left"/>
    </w:pPr>
    <w:rPr>
      <w:rFonts w:ascii="Calibri" w:hAnsi="Calibri"/>
    </w:rPr>
  </w:style>
  <w:style w:type="character" w:styleId="915">
    <w:name w:val="Heading 1 Char"/>
    <w:next w:val="915"/>
    <w:link w:val="795"/>
    <w:uiPriority w:val="9"/>
    <w:qFormat/>
    <w:rPr>
      <w:rFonts w:ascii="Arial" w:hAnsi="Arial" w:eastAsia="Arial" w:cs="Arial"/>
      <w:sz w:val="40"/>
      <w:szCs w:val="40"/>
    </w:rPr>
  </w:style>
  <w:style w:type="character" w:styleId="916">
    <w:name w:val="Heading 2 Char"/>
    <w:next w:val="916"/>
    <w:link w:val="795"/>
    <w:uiPriority w:val="9"/>
    <w:qFormat/>
    <w:rPr>
      <w:rFonts w:ascii="Arial" w:hAnsi="Arial" w:eastAsia="Arial" w:cs="Arial"/>
      <w:sz w:val="34"/>
    </w:rPr>
  </w:style>
  <w:style w:type="character" w:styleId="917">
    <w:name w:val="Heading 3 Char"/>
    <w:next w:val="917"/>
    <w:link w:val="795"/>
    <w:uiPriority w:val="9"/>
    <w:qFormat/>
    <w:rPr>
      <w:rFonts w:ascii="Arial" w:hAnsi="Arial" w:eastAsia="Arial" w:cs="Arial"/>
      <w:sz w:val="30"/>
      <w:szCs w:val="30"/>
    </w:rPr>
  </w:style>
  <w:style w:type="character" w:styleId="918">
    <w:name w:val="Heading 4 Char"/>
    <w:next w:val="918"/>
    <w:link w:val="795"/>
    <w:uiPriority w:val="9"/>
    <w:qFormat/>
    <w:rPr>
      <w:rFonts w:ascii="Arial" w:hAnsi="Arial" w:eastAsia="Arial" w:cs="Arial"/>
      <w:b/>
      <w:bCs/>
      <w:sz w:val="26"/>
      <w:szCs w:val="26"/>
    </w:rPr>
  </w:style>
  <w:style w:type="character" w:styleId="919">
    <w:name w:val="Heading 5 Char"/>
    <w:next w:val="919"/>
    <w:link w:val="795"/>
    <w:uiPriority w:val="9"/>
    <w:qFormat/>
    <w:rPr>
      <w:rFonts w:ascii="Arial" w:hAnsi="Arial" w:eastAsia="Arial" w:cs="Arial"/>
      <w:b/>
      <w:bCs/>
      <w:sz w:val="24"/>
      <w:szCs w:val="24"/>
    </w:rPr>
  </w:style>
  <w:style w:type="character" w:styleId="920">
    <w:name w:val="Heading 6 Char"/>
    <w:next w:val="920"/>
    <w:link w:val="795"/>
    <w:uiPriority w:val="9"/>
    <w:qFormat/>
    <w:rPr>
      <w:rFonts w:ascii="Arial" w:hAnsi="Arial" w:eastAsia="Arial" w:cs="Arial"/>
      <w:b/>
      <w:bCs/>
      <w:sz w:val="22"/>
      <w:szCs w:val="22"/>
    </w:rPr>
  </w:style>
  <w:style w:type="character" w:styleId="921">
    <w:name w:val="Heading 7 Char"/>
    <w:next w:val="921"/>
    <w:link w:val="795"/>
    <w:uiPriority w:val="9"/>
    <w:qFormat/>
    <w:rPr>
      <w:rFonts w:ascii="Arial" w:hAnsi="Arial" w:eastAsia="Arial" w:cs="Arial"/>
      <w:b/>
      <w:bCs/>
      <w:i/>
      <w:iCs/>
      <w:sz w:val="22"/>
      <w:szCs w:val="22"/>
    </w:rPr>
  </w:style>
  <w:style w:type="character" w:styleId="922">
    <w:name w:val="Heading 8 Char"/>
    <w:next w:val="922"/>
    <w:link w:val="795"/>
    <w:uiPriority w:val="9"/>
    <w:qFormat/>
    <w:rPr>
      <w:rFonts w:ascii="Arial" w:hAnsi="Arial" w:eastAsia="Arial" w:cs="Arial"/>
      <w:i/>
      <w:iCs/>
      <w:sz w:val="22"/>
      <w:szCs w:val="22"/>
    </w:rPr>
  </w:style>
  <w:style w:type="character" w:styleId="923">
    <w:name w:val="Heading 9 Char"/>
    <w:next w:val="923"/>
    <w:link w:val="795"/>
    <w:uiPriority w:val="9"/>
    <w:qFormat/>
    <w:rPr>
      <w:rFonts w:ascii="Arial" w:hAnsi="Arial" w:eastAsia="Arial" w:cs="Arial"/>
      <w:i/>
      <w:iCs/>
      <w:sz w:val="21"/>
      <w:szCs w:val="21"/>
    </w:rPr>
  </w:style>
  <w:style w:type="character" w:styleId="924">
    <w:name w:val="Title Char"/>
    <w:next w:val="924"/>
    <w:link w:val="795"/>
    <w:uiPriority w:val="10"/>
    <w:qFormat/>
    <w:rPr>
      <w:sz w:val="48"/>
      <w:szCs w:val="48"/>
    </w:rPr>
  </w:style>
  <w:style w:type="character" w:styleId="925">
    <w:name w:val="Subtitle Char"/>
    <w:next w:val="925"/>
    <w:link w:val="795"/>
    <w:uiPriority w:val="11"/>
    <w:qFormat/>
    <w:rPr>
      <w:sz w:val="24"/>
      <w:szCs w:val="24"/>
    </w:rPr>
  </w:style>
  <w:style w:type="character" w:styleId="926">
    <w:name w:val="Quote Char"/>
    <w:next w:val="926"/>
    <w:link w:val="795"/>
    <w:uiPriority w:val="29"/>
    <w:qFormat/>
    <w:rPr>
      <w:i/>
    </w:rPr>
  </w:style>
  <w:style w:type="character" w:styleId="927">
    <w:name w:val="Intense Quote Char"/>
    <w:next w:val="927"/>
    <w:link w:val="795"/>
    <w:uiPriority w:val="30"/>
    <w:qFormat/>
    <w:rPr>
      <w:i/>
    </w:rPr>
  </w:style>
  <w:style w:type="character" w:styleId="928">
    <w:name w:val="Header Char"/>
    <w:next w:val="928"/>
    <w:link w:val="795"/>
    <w:uiPriority w:val="99"/>
    <w:qFormat/>
  </w:style>
  <w:style w:type="character" w:styleId="929">
    <w:name w:val="Caption Char"/>
    <w:next w:val="929"/>
    <w:link w:val="795"/>
    <w:uiPriority w:val="99"/>
    <w:qFormat/>
  </w:style>
  <w:style w:type="character" w:styleId="930">
    <w:name w:val="Footnote Text Char"/>
    <w:next w:val="930"/>
    <w:link w:val="795"/>
    <w:uiPriority w:val="99"/>
    <w:qFormat/>
    <w:rPr>
      <w:sz w:val="18"/>
    </w:rPr>
  </w:style>
  <w:style w:type="character" w:styleId="931">
    <w:name w:val="Endnote Text Char"/>
    <w:next w:val="931"/>
    <w:link w:val="795"/>
    <w:uiPriority w:val="99"/>
    <w:qFormat/>
    <w:rPr>
      <w:sz w:val="20"/>
    </w:rPr>
  </w:style>
  <w:style w:type="paragraph" w:styleId="932">
    <w:name w:val="TOC Heading"/>
    <w:next w:val="932"/>
    <w:link w:val="795"/>
    <w:uiPriority w:val="39"/>
    <w:unhideWhenUsed/>
    <w:qFormat/>
    <w:rPr>
      <w:rFonts w:ascii="Times New Roman" w:hAnsi="Times New Roman" w:eastAsia="宋体" w:cs="Times New Roman"/>
      <w:lang w:val="en-US" w:eastAsia="zh-CN" w:bidi="ar-SA"/>
    </w:rPr>
  </w:style>
  <w:style w:type="paragraph" w:styleId="933">
    <w:name w:val="无间隔"/>
    <w:next w:val="933"/>
    <w:link w:val="795"/>
    <w:uiPriority w:val="1"/>
    <w:qFormat/>
    <w:rPr>
      <w:rFonts w:ascii="Calibri" w:hAnsi="Calibri" w:eastAsia="宋体" w:cs="Times New Roman"/>
      <w:lang w:val="en-US" w:eastAsia="zh-CN" w:bidi="ar-SA"/>
    </w:rPr>
  </w:style>
  <w:style w:type="paragraph" w:styleId="934">
    <w:name w:val="引用"/>
    <w:basedOn w:val="795"/>
    <w:next w:val="795"/>
    <w:link w:val="935"/>
    <w:uiPriority w:val="29"/>
    <w:qFormat/>
    <w:pPr>
      <w:ind w:left="720" w:right="720"/>
    </w:pPr>
    <w:rPr>
      <w:i/>
      <w:sz w:val="20"/>
      <w:szCs w:val="20"/>
    </w:rPr>
  </w:style>
  <w:style w:type="character" w:styleId="935">
    <w:name w:val="引用 Char"/>
    <w:next w:val="935"/>
    <w:link w:val="934"/>
    <w:uiPriority w:val="29"/>
    <w:qFormat/>
    <w:rPr>
      <w:i/>
    </w:rPr>
  </w:style>
  <w:style w:type="paragraph" w:styleId="936">
    <w:name w:val="明显引用"/>
    <w:basedOn w:val="795"/>
    <w:next w:val="795"/>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37">
    <w:name w:val="明显引用 Char"/>
    <w:next w:val="937"/>
    <w:link w:val="936"/>
    <w:uiPriority w:val="30"/>
    <w:qFormat/>
    <w:rPr>
      <w:i/>
    </w:rPr>
  </w:style>
  <w:style w:type="character" w:styleId="938">
    <w:name w:val="Footer Char"/>
    <w:next w:val="938"/>
    <w:link w:val="795"/>
    <w:uiPriority w:val="99"/>
    <w:qFormat/>
  </w:style>
  <w:style w:type="table" w:styleId="939">
    <w:name w:val="Table Grid Light"/>
    <w:next w:val="939"/>
    <w:link w:val="795"/>
    <w:uiPriority w:val="59"/>
    <w:qFormat/>
    <w:rPr>
      <w:lang w:val="en-US" w:eastAsia="zh-CN" w:bidi="ar-SA"/>
    </w:rPr>
    <w:tblPr/>
  </w:style>
  <w:style w:type="table" w:styleId="940">
    <w:name w:val="Plain Table 1"/>
    <w:next w:val="940"/>
    <w:link w:val="795"/>
    <w:uiPriority w:val="59"/>
    <w:qFormat/>
    <w:rPr>
      <w:lang w:val="en-US" w:eastAsia="zh-CN" w:bidi="ar-SA"/>
    </w:rPr>
    <w:tblPr/>
  </w:style>
  <w:style w:type="table" w:styleId="941">
    <w:name w:val="Plain Table 2"/>
    <w:next w:val="941"/>
    <w:link w:val="795"/>
    <w:uiPriority w:val="59"/>
    <w:qFormat/>
    <w:rPr>
      <w:lang w:val="en-US" w:eastAsia="zh-CN" w:bidi="ar-SA"/>
    </w:rPr>
    <w:tblPr/>
  </w:style>
  <w:style w:type="table" w:styleId="942">
    <w:name w:val="Plain Table 3"/>
    <w:next w:val="942"/>
    <w:link w:val="795"/>
    <w:uiPriority w:val="99"/>
    <w:qFormat/>
    <w:rPr>
      <w:lang w:val="en-US" w:eastAsia="zh-CN" w:bidi="ar-SA"/>
    </w:rPr>
    <w:tblPr/>
  </w:style>
  <w:style w:type="table" w:styleId="943">
    <w:name w:val="Plain Table 4"/>
    <w:next w:val="943"/>
    <w:link w:val="795"/>
    <w:uiPriority w:val="99"/>
    <w:qFormat/>
    <w:rPr>
      <w:lang w:val="en-US" w:eastAsia="zh-CN" w:bidi="ar-SA"/>
    </w:rPr>
    <w:tblPr/>
  </w:style>
  <w:style w:type="table" w:styleId="944">
    <w:name w:val="Plain Table 5"/>
    <w:next w:val="944"/>
    <w:link w:val="795"/>
    <w:uiPriority w:val="99"/>
    <w:qFormat/>
    <w:rPr>
      <w:lang w:val="en-US" w:eastAsia="zh-CN" w:bidi="ar-SA"/>
    </w:rPr>
    <w:tblPr/>
  </w:style>
  <w:style w:type="table" w:styleId="945">
    <w:name w:val="Grid Table 1 Light"/>
    <w:next w:val="945"/>
    <w:link w:val="795"/>
    <w:uiPriority w:val="99"/>
    <w:qFormat/>
    <w:rPr>
      <w:lang w:val="en-US" w:eastAsia="zh-CN" w:bidi="ar-SA"/>
    </w:rPr>
    <w:tblPr/>
  </w:style>
  <w:style w:type="table" w:styleId="946">
    <w:name w:val="Grid Table 1 Light - Accent 1"/>
    <w:next w:val="946"/>
    <w:link w:val="795"/>
    <w:uiPriority w:val="99"/>
    <w:qFormat/>
    <w:rPr>
      <w:lang w:val="en-US" w:eastAsia="zh-CN" w:bidi="ar-SA"/>
    </w:rPr>
    <w:tblPr/>
  </w:style>
  <w:style w:type="table" w:styleId="947">
    <w:name w:val="Grid Table 1 Light - Accent 2"/>
    <w:next w:val="947"/>
    <w:link w:val="795"/>
    <w:uiPriority w:val="99"/>
    <w:qFormat/>
    <w:rPr>
      <w:lang w:val="en-US" w:eastAsia="zh-CN" w:bidi="ar-SA"/>
    </w:rPr>
    <w:tblPr/>
  </w:style>
  <w:style w:type="table" w:styleId="948">
    <w:name w:val="Grid Table 1 Light - Accent 3"/>
    <w:next w:val="948"/>
    <w:link w:val="795"/>
    <w:uiPriority w:val="99"/>
    <w:qFormat/>
    <w:rPr>
      <w:lang w:val="en-US" w:eastAsia="zh-CN" w:bidi="ar-SA"/>
    </w:rPr>
    <w:tblPr/>
  </w:style>
  <w:style w:type="table" w:styleId="949">
    <w:name w:val="Grid Table 1 Light - Accent 4"/>
    <w:next w:val="949"/>
    <w:link w:val="795"/>
    <w:uiPriority w:val="99"/>
    <w:qFormat/>
    <w:rPr>
      <w:lang w:val="en-US" w:eastAsia="zh-CN" w:bidi="ar-SA"/>
    </w:rPr>
    <w:tblPr/>
  </w:style>
  <w:style w:type="table" w:styleId="950">
    <w:name w:val="Grid Table 1 Light - Accent 5"/>
    <w:next w:val="950"/>
    <w:link w:val="795"/>
    <w:uiPriority w:val="99"/>
    <w:qFormat/>
    <w:rPr>
      <w:lang w:val="en-US" w:eastAsia="zh-CN" w:bidi="ar-SA"/>
    </w:rPr>
    <w:tblPr/>
  </w:style>
  <w:style w:type="table" w:styleId="951">
    <w:name w:val="Grid Table 1 Light - Accent 6"/>
    <w:next w:val="951"/>
    <w:link w:val="795"/>
    <w:uiPriority w:val="99"/>
    <w:qFormat/>
    <w:rPr>
      <w:lang w:val="en-US" w:eastAsia="zh-CN" w:bidi="ar-SA"/>
    </w:rPr>
    <w:tblPr/>
  </w:style>
  <w:style w:type="table" w:styleId="952">
    <w:name w:val="Grid Table 2"/>
    <w:next w:val="952"/>
    <w:link w:val="795"/>
    <w:uiPriority w:val="99"/>
    <w:qFormat/>
    <w:rPr>
      <w:lang w:val="en-US" w:eastAsia="zh-CN" w:bidi="ar-SA"/>
    </w:rPr>
    <w:tblPr/>
  </w:style>
  <w:style w:type="table" w:styleId="953">
    <w:name w:val="Grid Table 2 - Accent 1"/>
    <w:next w:val="953"/>
    <w:link w:val="795"/>
    <w:uiPriority w:val="99"/>
    <w:qFormat/>
    <w:rPr>
      <w:lang w:val="en-US" w:eastAsia="zh-CN" w:bidi="ar-SA"/>
    </w:rPr>
    <w:tblPr/>
  </w:style>
  <w:style w:type="table" w:styleId="954">
    <w:name w:val="Grid Table 2 - Accent 2"/>
    <w:next w:val="954"/>
    <w:link w:val="795"/>
    <w:uiPriority w:val="99"/>
    <w:qFormat/>
    <w:rPr>
      <w:lang w:val="en-US" w:eastAsia="zh-CN" w:bidi="ar-SA"/>
    </w:rPr>
    <w:tblPr/>
  </w:style>
  <w:style w:type="table" w:styleId="955">
    <w:name w:val="Grid Table 2 - Accent 3"/>
    <w:next w:val="955"/>
    <w:link w:val="795"/>
    <w:uiPriority w:val="99"/>
    <w:qFormat/>
    <w:rPr>
      <w:lang w:val="en-US" w:eastAsia="zh-CN" w:bidi="ar-SA"/>
    </w:rPr>
    <w:tblPr/>
  </w:style>
  <w:style w:type="table" w:styleId="956">
    <w:name w:val="Grid Table 2 - Accent 4"/>
    <w:next w:val="956"/>
    <w:link w:val="795"/>
    <w:uiPriority w:val="99"/>
    <w:qFormat/>
    <w:rPr>
      <w:lang w:val="en-US" w:eastAsia="zh-CN" w:bidi="ar-SA"/>
    </w:rPr>
    <w:tblPr/>
  </w:style>
  <w:style w:type="table" w:styleId="957">
    <w:name w:val="Grid Table 2 - Accent 5"/>
    <w:next w:val="957"/>
    <w:link w:val="795"/>
    <w:uiPriority w:val="99"/>
    <w:qFormat/>
    <w:rPr>
      <w:lang w:val="en-US" w:eastAsia="zh-CN" w:bidi="ar-SA"/>
    </w:rPr>
    <w:tblPr/>
  </w:style>
  <w:style w:type="table" w:styleId="958">
    <w:name w:val="Grid Table 2 - Accent 6"/>
    <w:next w:val="958"/>
    <w:link w:val="795"/>
    <w:uiPriority w:val="99"/>
    <w:qFormat/>
    <w:rPr>
      <w:lang w:val="en-US" w:eastAsia="zh-CN" w:bidi="ar-SA"/>
    </w:rPr>
    <w:tblPr/>
  </w:style>
  <w:style w:type="table" w:styleId="959">
    <w:name w:val="Grid Table 3"/>
    <w:next w:val="959"/>
    <w:link w:val="795"/>
    <w:uiPriority w:val="99"/>
    <w:qFormat/>
    <w:rPr>
      <w:lang w:val="en-US" w:eastAsia="zh-CN" w:bidi="ar-SA"/>
    </w:rPr>
    <w:tblPr/>
  </w:style>
  <w:style w:type="table" w:styleId="960">
    <w:name w:val="Grid Table 3 - Accent 1"/>
    <w:next w:val="960"/>
    <w:link w:val="795"/>
    <w:uiPriority w:val="99"/>
    <w:qFormat/>
    <w:rPr>
      <w:lang w:val="en-US" w:eastAsia="zh-CN" w:bidi="ar-SA"/>
    </w:rPr>
    <w:tblPr/>
  </w:style>
  <w:style w:type="table" w:styleId="961">
    <w:name w:val="Grid Table 3 - Accent 2"/>
    <w:next w:val="961"/>
    <w:link w:val="795"/>
    <w:uiPriority w:val="99"/>
    <w:qFormat/>
    <w:rPr>
      <w:lang w:val="en-US" w:eastAsia="zh-CN" w:bidi="ar-SA"/>
    </w:rPr>
    <w:tblPr/>
  </w:style>
  <w:style w:type="table" w:styleId="962">
    <w:name w:val="Grid Table 3 - Accent 3"/>
    <w:next w:val="962"/>
    <w:link w:val="795"/>
    <w:uiPriority w:val="99"/>
    <w:qFormat/>
    <w:rPr>
      <w:lang w:val="en-US" w:eastAsia="zh-CN" w:bidi="ar-SA"/>
    </w:rPr>
    <w:tblPr/>
  </w:style>
  <w:style w:type="table" w:styleId="963">
    <w:name w:val="Grid Table 3 - Accent 4"/>
    <w:next w:val="963"/>
    <w:link w:val="795"/>
    <w:uiPriority w:val="99"/>
    <w:qFormat/>
    <w:rPr>
      <w:lang w:val="en-US" w:eastAsia="zh-CN" w:bidi="ar-SA"/>
    </w:rPr>
    <w:tblPr/>
  </w:style>
  <w:style w:type="table" w:styleId="964">
    <w:name w:val="Grid Table 3 - Accent 5"/>
    <w:next w:val="964"/>
    <w:link w:val="795"/>
    <w:uiPriority w:val="99"/>
    <w:qFormat/>
    <w:rPr>
      <w:lang w:val="en-US" w:eastAsia="zh-CN" w:bidi="ar-SA"/>
    </w:rPr>
    <w:tblPr/>
  </w:style>
  <w:style w:type="table" w:styleId="965">
    <w:name w:val="Grid Table 3 - Accent 6"/>
    <w:next w:val="965"/>
    <w:link w:val="795"/>
    <w:uiPriority w:val="99"/>
    <w:qFormat/>
    <w:rPr>
      <w:lang w:val="en-US" w:eastAsia="zh-CN" w:bidi="ar-SA"/>
    </w:rPr>
    <w:tblPr/>
  </w:style>
  <w:style w:type="table" w:styleId="966">
    <w:name w:val="Grid Table 4"/>
    <w:next w:val="966"/>
    <w:link w:val="795"/>
    <w:uiPriority w:val="59"/>
    <w:qFormat/>
    <w:rPr>
      <w:lang w:val="en-US" w:eastAsia="zh-CN" w:bidi="ar-SA"/>
    </w:rPr>
    <w:tblPr/>
  </w:style>
  <w:style w:type="table" w:styleId="967">
    <w:name w:val="Grid Table 4 - Accent 1"/>
    <w:next w:val="967"/>
    <w:link w:val="795"/>
    <w:uiPriority w:val="59"/>
    <w:qFormat/>
    <w:rPr>
      <w:lang w:val="en-US" w:eastAsia="zh-CN" w:bidi="ar-SA"/>
    </w:rPr>
    <w:tblPr/>
  </w:style>
  <w:style w:type="table" w:styleId="968">
    <w:name w:val="Grid Table 4 - Accent 2"/>
    <w:next w:val="968"/>
    <w:link w:val="795"/>
    <w:uiPriority w:val="59"/>
    <w:qFormat/>
    <w:rPr>
      <w:lang w:val="en-US" w:eastAsia="zh-CN" w:bidi="ar-SA"/>
    </w:rPr>
    <w:tblPr/>
  </w:style>
  <w:style w:type="table" w:styleId="969">
    <w:name w:val="Grid Table 4 - Accent 3"/>
    <w:next w:val="969"/>
    <w:link w:val="795"/>
    <w:uiPriority w:val="59"/>
    <w:qFormat/>
    <w:rPr>
      <w:lang w:val="en-US" w:eastAsia="zh-CN" w:bidi="ar-SA"/>
    </w:rPr>
    <w:tblPr/>
  </w:style>
  <w:style w:type="table" w:styleId="970">
    <w:name w:val="Grid Table 4 - Accent 4"/>
    <w:next w:val="970"/>
    <w:link w:val="795"/>
    <w:uiPriority w:val="59"/>
    <w:qFormat/>
    <w:rPr>
      <w:lang w:val="en-US" w:eastAsia="zh-CN" w:bidi="ar-SA"/>
    </w:rPr>
    <w:tblPr/>
  </w:style>
  <w:style w:type="table" w:styleId="971">
    <w:name w:val="Grid Table 4 - Accent 5"/>
    <w:next w:val="971"/>
    <w:link w:val="795"/>
    <w:uiPriority w:val="59"/>
    <w:qFormat/>
    <w:rPr>
      <w:lang w:val="en-US" w:eastAsia="zh-CN" w:bidi="ar-SA"/>
    </w:rPr>
    <w:tblPr/>
  </w:style>
  <w:style w:type="table" w:styleId="972">
    <w:name w:val="Grid Table 4 - Accent 6"/>
    <w:next w:val="972"/>
    <w:link w:val="795"/>
    <w:uiPriority w:val="59"/>
    <w:qFormat/>
    <w:rPr>
      <w:lang w:val="en-US" w:eastAsia="zh-CN" w:bidi="ar-SA"/>
    </w:rPr>
    <w:tblPr/>
  </w:style>
  <w:style w:type="table" w:styleId="973">
    <w:name w:val="Grid Table 5 Dark"/>
    <w:next w:val="973"/>
    <w:link w:val="795"/>
    <w:uiPriority w:val="99"/>
    <w:qFormat/>
    <w:rPr>
      <w:lang w:val="en-US" w:eastAsia="zh-CN" w:bidi="ar-SA"/>
    </w:rPr>
    <w:tblPr/>
  </w:style>
  <w:style w:type="table" w:styleId="974">
    <w:name w:val="Grid Table 5 Dark- Accent 1"/>
    <w:next w:val="974"/>
    <w:link w:val="795"/>
    <w:uiPriority w:val="99"/>
    <w:qFormat/>
    <w:rPr>
      <w:lang w:val="en-US" w:eastAsia="zh-CN" w:bidi="ar-SA"/>
    </w:rPr>
    <w:tblPr/>
  </w:style>
  <w:style w:type="table" w:styleId="975">
    <w:name w:val="Grid Table 5 Dark - Accent 2"/>
    <w:next w:val="975"/>
    <w:link w:val="795"/>
    <w:uiPriority w:val="99"/>
    <w:qFormat/>
    <w:rPr>
      <w:lang w:val="en-US" w:eastAsia="zh-CN" w:bidi="ar-SA"/>
    </w:rPr>
    <w:tblPr/>
  </w:style>
  <w:style w:type="table" w:styleId="976">
    <w:name w:val="Grid Table 5 Dark - Accent 3"/>
    <w:next w:val="976"/>
    <w:link w:val="795"/>
    <w:uiPriority w:val="99"/>
    <w:qFormat/>
    <w:rPr>
      <w:lang w:val="en-US" w:eastAsia="zh-CN" w:bidi="ar-SA"/>
    </w:rPr>
    <w:tblPr/>
  </w:style>
  <w:style w:type="table" w:styleId="977">
    <w:name w:val="Grid Table 5 Dark- Accent 4"/>
    <w:next w:val="977"/>
    <w:link w:val="795"/>
    <w:uiPriority w:val="99"/>
    <w:qFormat/>
    <w:rPr>
      <w:lang w:val="en-US" w:eastAsia="zh-CN" w:bidi="ar-SA"/>
    </w:rPr>
    <w:tblPr/>
  </w:style>
  <w:style w:type="table" w:styleId="978">
    <w:name w:val="Grid Table 5 Dark - Accent 5"/>
    <w:next w:val="978"/>
    <w:link w:val="795"/>
    <w:uiPriority w:val="99"/>
    <w:qFormat/>
    <w:rPr>
      <w:lang w:val="en-US" w:eastAsia="zh-CN" w:bidi="ar-SA"/>
    </w:rPr>
    <w:tblPr/>
  </w:style>
  <w:style w:type="table" w:styleId="979">
    <w:name w:val="Grid Table 5 Dark - Accent 6"/>
    <w:next w:val="979"/>
    <w:link w:val="795"/>
    <w:uiPriority w:val="99"/>
    <w:qFormat/>
    <w:rPr>
      <w:lang w:val="en-US" w:eastAsia="zh-CN" w:bidi="ar-SA"/>
    </w:rPr>
    <w:tblPr/>
  </w:style>
  <w:style w:type="table" w:styleId="980">
    <w:name w:val="Grid Table 6 Colorful"/>
    <w:next w:val="980"/>
    <w:link w:val="795"/>
    <w:uiPriority w:val="99"/>
    <w:qFormat/>
    <w:rPr>
      <w:lang w:val="en-US" w:eastAsia="zh-CN" w:bidi="ar-SA"/>
    </w:rPr>
    <w:tblPr/>
  </w:style>
  <w:style w:type="table" w:styleId="981">
    <w:name w:val="Grid Table 6 Colorful - Accent 1"/>
    <w:next w:val="981"/>
    <w:link w:val="795"/>
    <w:uiPriority w:val="99"/>
    <w:qFormat/>
    <w:rPr>
      <w:lang w:val="en-US" w:eastAsia="zh-CN" w:bidi="ar-SA"/>
    </w:rPr>
    <w:tblPr/>
  </w:style>
  <w:style w:type="table" w:styleId="982">
    <w:name w:val="Grid Table 6 Colorful - Accent 2"/>
    <w:next w:val="982"/>
    <w:link w:val="795"/>
    <w:uiPriority w:val="99"/>
    <w:qFormat/>
    <w:rPr>
      <w:lang w:val="en-US" w:eastAsia="zh-CN" w:bidi="ar-SA"/>
    </w:rPr>
    <w:tblPr/>
  </w:style>
  <w:style w:type="table" w:styleId="983">
    <w:name w:val="Grid Table 6 Colorful - Accent 3"/>
    <w:next w:val="983"/>
    <w:link w:val="795"/>
    <w:uiPriority w:val="99"/>
    <w:qFormat/>
    <w:rPr>
      <w:lang w:val="en-US" w:eastAsia="zh-CN" w:bidi="ar-SA"/>
    </w:rPr>
    <w:tblPr/>
  </w:style>
  <w:style w:type="table" w:styleId="984">
    <w:name w:val="Grid Table 6 Colorful - Accent 4"/>
    <w:next w:val="984"/>
    <w:link w:val="795"/>
    <w:uiPriority w:val="99"/>
    <w:qFormat/>
    <w:rPr>
      <w:lang w:val="en-US" w:eastAsia="zh-CN" w:bidi="ar-SA"/>
    </w:rPr>
    <w:tblPr/>
  </w:style>
  <w:style w:type="table" w:styleId="985">
    <w:name w:val="Grid Table 6 Colorful - Accent 5"/>
    <w:next w:val="985"/>
    <w:link w:val="795"/>
    <w:uiPriority w:val="99"/>
    <w:qFormat/>
    <w:rPr>
      <w:lang w:val="en-US" w:eastAsia="zh-CN" w:bidi="ar-SA"/>
    </w:rPr>
    <w:tblPr/>
  </w:style>
  <w:style w:type="table" w:styleId="986">
    <w:name w:val="Grid Table 6 Colorful - Accent 6"/>
    <w:next w:val="986"/>
    <w:link w:val="795"/>
    <w:uiPriority w:val="99"/>
    <w:qFormat/>
    <w:rPr>
      <w:lang w:val="en-US" w:eastAsia="zh-CN" w:bidi="ar-SA"/>
    </w:rPr>
    <w:tblPr/>
  </w:style>
  <w:style w:type="table" w:styleId="987">
    <w:name w:val="Grid Table 7 Colorful"/>
    <w:next w:val="987"/>
    <w:link w:val="795"/>
    <w:uiPriority w:val="99"/>
    <w:qFormat/>
    <w:rPr>
      <w:lang w:val="en-US" w:eastAsia="zh-CN" w:bidi="ar-SA"/>
    </w:rPr>
    <w:tblPr/>
  </w:style>
  <w:style w:type="table" w:styleId="988">
    <w:name w:val="Grid Table 7 Colorful - Accent 1"/>
    <w:next w:val="988"/>
    <w:link w:val="795"/>
    <w:uiPriority w:val="99"/>
    <w:qFormat/>
    <w:rPr>
      <w:lang w:val="en-US" w:eastAsia="zh-CN" w:bidi="ar-SA"/>
    </w:rPr>
    <w:tblPr/>
  </w:style>
  <w:style w:type="table" w:styleId="989">
    <w:name w:val="Grid Table 7 Colorful - Accent 2"/>
    <w:next w:val="989"/>
    <w:link w:val="795"/>
    <w:uiPriority w:val="99"/>
    <w:qFormat/>
    <w:rPr>
      <w:lang w:val="en-US" w:eastAsia="zh-CN" w:bidi="ar-SA"/>
    </w:rPr>
    <w:tblPr/>
  </w:style>
  <w:style w:type="table" w:styleId="990">
    <w:name w:val="Grid Table 7 Colorful - Accent 3"/>
    <w:next w:val="990"/>
    <w:link w:val="795"/>
    <w:uiPriority w:val="99"/>
    <w:qFormat/>
    <w:rPr>
      <w:lang w:val="en-US" w:eastAsia="zh-CN" w:bidi="ar-SA"/>
    </w:rPr>
    <w:tblPr/>
  </w:style>
  <w:style w:type="table" w:styleId="991">
    <w:name w:val="Grid Table 7 Colorful - Accent 4"/>
    <w:next w:val="991"/>
    <w:link w:val="795"/>
    <w:uiPriority w:val="99"/>
    <w:qFormat/>
    <w:rPr>
      <w:lang w:val="en-US" w:eastAsia="zh-CN" w:bidi="ar-SA"/>
    </w:rPr>
    <w:tblPr/>
  </w:style>
  <w:style w:type="table" w:styleId="992">
    <w:name w:val="Grid Table 7 Colorful - Accent 5"/>
    <w:next w:val="992"/>
    <w:link w:val="795"/>
    <w:uiPriority w:val="99"/>
    <w:qFormat/>
    <w:rPr>
      <w:lang w:val="en-US" w:eastAsia="zh-CN" w:bidi="ar-SA"/>
    </w:rPr>
    <w:tblPr/>
  </w:style>
  <w:style w:type="table" w:styleId="993">
    <w:name w:val="Grid Table 7 Colorful - Accent 6"/>
    <w:next w:val="993"/>
    <w:link w:val="795"/>
    <w:uiPriority w:val="99"/>
    <w:qFormat/>
    <w:rPr>
      <w:lang w:val="en-US" w:eastAsia="zh-CN" w:bidi="ar-SA"/>
    </w:rPr>
    <w:tblPr/>
  </w:style>
  <w:style w:type="table" w:styleId="994">
    <w:name w:val="List Table 1 Light"/>
    <w:next w:val="994"/>
    <w:link w:val="795"/>
    <w:uiPriority w:val="99"/>
    <w:qFormat/>
    <w:rPr>
      <w:lang w:val="en-US" w:eastAsia="zh-CN" w:bidi="ar-SA"/>
    </w:rPr>
    <w:tblPr/>
  </w:style>
  <w:style w:type="table" w:styleId="995">
    <w:name w:val="List Table 1 Light - Accent 1"/>
    <w:next w:val="995"/>
    <w:link w:val="795"/>
    <w:uiPriority w:val="99"/>
    <w:qFormat/>
    <w:rPr>
      <w:lang w:val="en-US" w:eastAsia="zh-CN" w:bidi="ar-SA"/>
    </w:rPr>
    <w:tblPr/>
  </w:style>
  <w:style w:type="table" w:styleId="996">
    <w:name w:val="List Table 1 Light - Accent 2"/>
    <w:next w:val="996"/>
    <w:link w:val="795"/>
    <w:uiPriority w:val="99"/>
    <w:qFormat/>
    <w:rPr>
      <w:lang w:val="en-US" w:eastAsia="zh-CN" w:bidi="ar-SA"/>
    </w:rPr>
    <w:tblPr/>
  </w:style>
  <w:style w:type="table" w:styleId="997">
    <w:name w:val="List Table 1 Light - Accent 3"/>
    <w:next w:val="997"/>
    <w:link w:val="795"/>
    <w:uiPriority w:val="99"/>
    <w:qFormat/>
    <w:rPr>
      <w:lang w:val="en-US" w:eastAsia="zh-CN" w:bidi="ar-SA"/>
    </w:rPr>
    <w:tblPr/>
  </w:style>
  <w:style w:type="table" w:styleId="998">
    <w:name w:val="List Table 1 Light - Accent 4"/>
    <w:next w:val="998"/>
    <w:link w:val="795"/>
    <w:uiPriority w:val="99"/>
    <w:qFormat/>
    <w:rPr>
      <w:lang w:val="en-US" w:eastAsia="zh-CN" w:bidi="ar-SA"/>
    </w:rPr>
    <w:tblPr/>
  </w:style>
  <w:style w:type="table" w:styleId="999">
    <w:name w:val="List Table 1 Light - Accent 5"/>
    <w:next w:val="999"/>
    <w:link w:val="795"/>
    <w:uiPriority w:val="99"/>
    <w:qFormat/>
    <w:rPr>
      <w:lang w:val="en-US" w:eastAsia="zh-CN" w:bidi="ar-SA"/>
    </w:rPr>
    <w:tblPr/>
  </w:style>
  <w:style w:type="table" w:styleId="1000">
    <w:name w:val="List Table 1 Light - Accent 6"/>
    <w:next w:val="1000"/>
    <w:link w:val="795"/>
    <w:uiPriority w:val="99"/>
    <w:qFormat/>
    <w:rPr>
      <w:lang w:val="en-US" w:eastAsia="zh-CN" w:bidi="ar-SA"/>
    </w:rPr>
    <w:tblPr/>
  </w:style>
  <w:style w:type="table" w:styleId="1001">
    <w:name w:val="List Table 2"/>
    <w:next w:val="1001"/>
    <w:link w:val="795"/>
    <w:uiPriority w:val="99"/>
    <w:qFormat/>
    <w:rPr>
      <w:lang w:val="en-US" w:eastAsia="zh-CN" w:bidi="ar-SA"/>
    </w:rPr>
    <w:tblPr/>
  </w:style>
  <w:style w:type="table" w:styleId="1002">
    <w:name w:val="List Table 2 - Accent 1"/>
    <w:next w:val="1002"/>
    <w:link w:val="795"/>
    <w:uiPriority w:val="99"/>
    <w:qFormat/>
    <w:rPr>
      <w:lang w:val="en-US" w:eastAsia="zh-CN" w:bidi="ar-SA"/>
    </w:rPr>
    <w:tblPr/>
  </w:style>
  <w:style w:type="table" w:styleId="1003">
    <w:name w:val="List Table 2 - Accent 2"/>
    <w:next w:val="1003"/>
    <w:link w:val="795"/>
    <w:uiPriority w:val="99"/>
    <w:qFormat/>
    <w:rPr>
      <w:lang w:val="en-US" w:eastAsia="zh-CN" w:bidi="ar-SA"/>
    </w:rPr>
    <w:tblPr/>
  </w:style>
  <w:style w:type="table" w:styleId="1004">
    <w:name w:val="List Table 2 - Accent 3"/>
    <w:next w:val="1004"/>
    <w:link w:val="795"/>
    <w:uiPriority w:val="99"/>
    <w:qFormat/>
    <w:rPr>
      <w:lang w:val="en-US" w:eastAsia="zh-CN" w:bidi="ar-SA"/>
    </w:rPr>
    <w:tblPr/>
  </w:style>
  <w:style w:type="table" w:styleId="1005">
    <w:name w:val="List Table 2 - Accent 4"/>
    <w:next w:val="1005"/>
    <w:link w:val="795"/>
    <w:uiPriority w:val="99"/>
    <w:qFormat/>
    <w:rPr>
      <w:lang w:val="en-US" w:eastAsia="zh-CN" w:bidi="ar-SA"/>
    </w:rPr>
    <w:tblPr/>
  </w:style>
  <w:style w:type="table" w:styleId="1006">
    <w:name w:val="List Table 2 - Accent 5"/>
    <w:next w:val="1006"/>
    <w:link w:val="795"/>
    <w:uiPriority w:val="99"/>
    <w:qFormat/>
    <w:rPr>
      <w:lang w:val="en-US" w:eastAsia="zh-CN" w:bidi="ar-SA"/>
    </w:rPr>
    <w:tblPr/>
  </w:style>
  <w:style w:type="table" w:styleId="1007">
    <w:name w:val="List Table 2 - Accent 6"/>
    <w:next w:val="1007"/>
    <w:link w:val="795"/>
    <w:uiPriority w:val="99"/>
    <w:qFormat/>
    <w:rPr>
      <w:lang w:val="en-US" w:eastAsia="zh-CN" w:bidi="ar-SA"/>
    </w:rPr>
    <w:tblPr/>
  </w:style>
  <w:style w:type="table" w:styleId="1008">
    <w:name w:val="List Table 3"/>
    <w:next w:val="1008"/>
    <w:link w:val="795"/>
    <w:uiPriority w:val="99"/>
    <w:qFormat/>
    <w:rPr>
      <w:lang w:val="en-US" w:eastAsia="zh-CN" w:bidi="ar-SA"/>
    </w:rPr>
    <w:tblPr/>
  </w:style>
  <w:style w:type="table" w:styleId="1009">
    <w:name w:val="List Table 3 - Accent 1"/>
    <w:next w:val="1009"/>
    <w:link w:val="795"/>
    <w:uiPriority w:val="99"/>
    <w:qFormat/>
    <w:rPr>
      <w:lang w:val="en-US" w:eastAsia="zh-CN" w:bidi="ar-SA"/>
    </w:rPr>
    <w:tblPr/>
  </w:style>
  <w:style w:type="table" w:styleId="1010">
    <w:name w:val="List Table 3 - Accent 2"/>
    <w:next w:val="1010"/>
    <w:link w:val="795"/>
    <w:uiPriority w:val="99"/>
    <w:qFormat/>
    <w:rPr>
      <w:lang w:val="en-US" w:eastAsia="zh-CN" w:bidi="ar-SA"/>
    </w:rPr>
    <w:tblPr/>
  </w:style>
  <w:style w:type="table" w:styleId="1011">
    <w:name w:val="List Table 3 - Accent 3"/>
    <w:next w:val="1011"/>
    <w:link w:val="795"/>
    <w:uiPriority w:val="99"/>
    <w:qFormat/>
    <w:rPr>
      <w:lang w:val="en-US" w:eastAsia="zh-CN" w:bidi="ar-SA"/>
    </w:rPr>
    <w:tblPr/>
  </w:style>
  <w:style w:type="table" w:styleId="1012">
    <w:name w:val="List Table 3 - Accent 4"/>
    <w:next w:val="1012"/>
    <w:link w:val="795"/>
    <w:uiPriority w:val="99"/>
    <w:qFormat/>
    <w:rPr>
      <w:lang w:val="en-US" w:eastAsia="zh-CN" w:bidi="ar-SA"/>
    </w:rPr>
    <w:tblPr/>
  </w:style>
  <w:style w:type="table" w:styleId="1013">
    <w:name w:val="List Table 3 - Accent 5"/>
    <w:next w:val="1013"/>
    <w:link w:val="795"/>
    <w:uiPriority w:val="99"/>
    <w:qFormat/>
    <w:rPr>
      <w:lang w:val="en-US" w:eastAsia="zh-CN" w:bidi="ar-SA"/>
    </w:rPr>
    <w:tblPr/>
  </w:style>
  <w:style w:type="table" w:styleId="1014">
    <w:name w:val="List Table 3 - Accent 6"/>
    <w:next w:val="1014"/>
    <w:link w:val="795"/>
    <w:uiPriority w:val="99"/>
    <w:qFormat/>
    <w:rPr>
      <w:lang w:val="en-US" w:eastAsia="zh-CN" w:bidi="ar-SA"/>
    </w:rPr>
    <w:tblPr/>
  </w:style>
  <w:style w:type="table" w:styleId="1015">
    <w:name w:val="List Table 4"/>
    <w:next w:val="1015"/>
    <w:link w:val="795"/>
    <w:uiPriority w:val="99"/>
    <w:qFormat/>
    <w:rPr>
      <w:lang w:val="en-US" w:eastAsia="zh-CN" w:bidi="ar-SA"/>
    </w:rPr>
    <w:tblPr/>
  </w:style>
  <w:style w:type="table" w:styleId="1016">
    <w:name w:val="List Table 4 - Accent 1"/>
    <w:next w:val="1016"/>
    <w:link w:val="795"/>
    <w:uiPriority w:val="99"/>
    <w:qFormat/>
    <w:rPr>
      <w:lang w:val="en-US" w:eastAsia="zh-CN" w:bidi="ar-SA"/>
    </w:rPr>
    <w:tblPr/>
  </w:style>
  <w:style w:type="table" w:styleId="1017">
    <w:name w:val="List Table 4 - Accent 2"/>
    <w:next w:val="1017"/>
    <w:link w:val="795"/>
    <w:uiPriority w:val="99"/>
    <w:qFormat/>
    <w:rPr>
      <w:lang w:val="en-US" w:eastAsia="zh-CN" w:bidi="ar-SA"/>
    </w:rPr>
    <w:tblPr/>
  </w:style>
  <w:style w:type="table" w:styleId="1018">
    <w:name w:val="List Table 4 - Accent 3"/>
    <w:next w:val="1018"/>
    <w:link w:val="795"/>
    <w:uiPriority w:val="99"/>
    <w:qFormat/>
    <w:rPr>
      <w:lang w:val="en-US" w:eastAsia="zh-CN" w:bidi="ar-SA"/>
    </w:rPr>
    <w:tblPr/>
  </w:style>
  <w:style w:type="table" w:styleId="1019">
    <w:name w:val="List Table 4 - Accent 4"/>
    <w:next w:val="1019"/>
    <w:link w:val="795"/>
    <w:uiPriority w:val="99"/>
    <w:qFormat/>
    <w:rPr>
      <w:lang w:val="en-US" w:eastAsia="zh-CN" w:bidi="ar-SA"/>
    </w:rPr>
    <w:tblPr/>
  </w:style>
  <w:style w:type="table" w:styleId="1020">
    <w:name w:val="List Table 4 - Accent 5"/>
    <w:next w:val="1020"/>
    <w:link w:val="795"/>
    <w:uiPriority w:val="99"/>
    <w:qFormat/>
    <w:rPr>
      <w:lang w:val="en-US" w:eastAsia="zh-CN" w:bidi="ar-SA"/>
    </w:rPr>
    <w:tblPr/>
  </w:style>
  <w:style w:type="table" w:styleId="1021">
    <w:name w:val="List Table 4 - Accent 6"/>
    <w:next w:val="1021"/>
    <w:link w:val="795"/>
    <w:uiPriority w:val="99"/>
    <w:qFormat/>
    <w:rPr>
      <w:lang w:val="en-US" w:eastAsia="zh-CN" w:bidi="ar-SA"/>
    </w:rPr>
    <w:tblPr/>
  </w:style>
  <w:style w:type="table" w:styleId="1022">
    <w:name w:val="List Table 5 Dark"/>
    <w:next w:val="1022"/>
    <w:link w:val="795"/>
    <w:uiPriority w:val="99"/>
    <w:qFormat/>
    <w:rPr>
      <w:lang w:val="en-US" w:eastAsia="zh-CN" w:bidi="ar-SA"/>
    </w:rPr>
    <w:tblPr/>
  </w:style>
  <w:style w:type="table" w:styleId="1023">
    <w:name w:val="List Table 5 Dark - Accent 1"/>
    <w:next w:val="1023"/>
    <w:link w:val="795"/>
    <w:uiPriority w:val="99"/>
    <w:qFormat/>
    <w:rPr>
      <w:lang w:val="en-US" w:eastAsia="zh-CN" w:bidi="ar-SA"/>
    </w:rPr>
    <w:tblPr/>
  </w:style>
  <w:style w:type="table" w:styleId="1024">
    <w:name w:val="List Table 5 Dark - Accent 2"/>
    <w:next w:val="1024"/>
    <w:link w:val="795"/>
    <w:uiPriority w:val="99"/>
    <w:qFormat/>
    <w:rPr>
      <w:lang w:val="en-US" w:eastAsia="zh-CN" w:bidi="ar-SA"/>
    </w:rPr>
    <w:tblPr/>
  </w:style>
  <w:style w:type="table" w:styleId="1025">
    <w:name w:val="List Table 5 Dark - Accent 3"/>
    <w:next w:val="1025"/>
    <w:link w:val="795"/>
    <w:uiPriority w:val="99"/>
    <w:qFormat/>
    <w:rPr>
      <w:lang w:val="en-US" w:eastAsia="zh-CN" w:bidi="ar-SA"/>
    </w:rPr>
    <w:tblPr/>
  </w:style>
  <w:style w:type="table" w:styleId="1026">
    <w:name w:val="List Table 5 Dark - Accent 4"/>
    <w:next w:val="1026"/>
    <w:link w:val="795"/>
    <w:uiPriority w:val="99"/>
    <w:qFormat/>
    <w:rPr>
      <w:lang w:val="en-US" w:eastAsia="zh-CN" w:bidi="ar-SA"/>
    </w:rPr>
    <w:tblPr/>
  </w:style>
  <w:style w:type="table" w:styleId="1027">
    <w:name w:val="List Table 5 Dark - Accent 5"/>
    <w:next w:val="1027"/>
    <w:link w:val="795"/>
    <w:uiPriority w:val="99"/>
    <w:qFormat/>
    <w:rPr>
      <w:lang w:val="en-US" w:eastAsia="zh-CN" w:bidi="ar-SA"/>
    </w:rPr>
    <w:tblPr/>
  </w:style>
  <w:style w:type="table" w:styleId="1028">
    <w:name w:val="List Table 5 Dark - Accent 6"/>
    <w:next w:val="1028"/>
    <w:link w:val="795"/>
    <w:uiPriority w:val="99"/>
    <w:qFormat/>
    <w:rPr>
      <w:lang w:val="en-US" w:eastAsia="zh-CN" w:bidi="ar-SA"/>
    </w:rPr>
    <w:tblPr/>
  </w:style>
  <w:style w:type="table" w:styleId="1029">
    <w:name w:val="List Table 6 Colorful"/>
    <w:next w:val="1029"/>
    <w:link w:val="795"/>
    <w:uiPriority w:val="99"/>
    <w:qFormat/>
    <w:rPr>
      <w:lang w:val="en-US" w:eastAsia="zh-CN" w:bidi="ar-SA"/>
    </w:rPr>
    <w:tblPr/>
  </w:style>
  <w:style w:type="table" w:styleId="1030">
    <w:name w:val="List Table 6 Colorful - Accent 1"/>
    <w:next w:val="1030"/>
    <w:link w:val="795"/>
    <w:uiPriority w:val="99"/>
    <w:qFormat/>
    <w:rPr>
      <w:lang w:val="en-US" w:eastAsia="zh-CN" w:bidi="ar-SA"/>
    </w:rPr>
    <w:tblPr/>
  </w:style>
  <w:style w:type="table" w:styleId="1031">
    <w:name w:val="List Table 6 Colorful - Accent 2"/>
    <w:next w:val="1031"/>
    <w:link w:val="795"/>
    <w:uiPriority w:val="99"/>
    <w:qFormat/>
    <w:rPr>
      <w:lang w:val="en-US" w:eastAsia="zh-CN" w:bidi="ar-SA"/>
    </w:rPr>
    <w:tblPr/>
  </w:style>
  <w:style w:type="table" w:styleId="1032">
    <w:name w:val="List Table 6 Colorful - Accent 3"/>
    <w:next w:val="1032"/>
    <w:link w:val="795"/>
    <w:uiPriority w:val="99"/>
    <w:qFormat/>
    <w:rPr>
      <w:lang w:val="en-US" w:eastAsia="zh-CN" w:bidi="ar-SA"/>
    </w:rPr>
    <w:tblPr/>
  </w:style>
  <w:style w:type="table" w:styleId="1033">
    <w:name w:val="List Table 6 Colorful - Accent 4"/>
    <w:next w:val="1033"/>
    <w:link w:val="795"/>
    <w:uiPriority w:val="99"/>
    <w:qFormat/>
    <w:rPr>
      <w:lang w:val="en-US" w:eastAsia="zh-CN" w:bidi="ar-SA"/>
    </w:rPr>
    <w:tblPr/>
  </w:style>
  <w:style w:type="table" w:styleId="1034">
    <w:name w:val="List Table 6 Colorful - Accent 5"/>
    <w:next w:val="1034"/>
    <w:link w:val="795"/>
    <w:uiPriority w:val="99"/>
    <w:qFormat/>
    <w:rPr>
      <w:lang w:val="en-US" w:eastAsia="zh-CN" w:bidi="ar-SA"/>
    </w:rPr>
    <w:tblPr/>
  </w:style>
  <w:style w:type="table" w:styleId="1035">
    <w:name w:val="List Table 6 Colorful - Accent 6"/>
    <w:next w:val="1035"/>
    <w:link w:val="795"/>
    <w:uiPriority w:val="99"/>
    <w:qFormat/>
    <w:rPr>
      <w:lang w:val="en-US" w:eastAsia="zh-CN" w:bidi="ar-SA"/>
    </w:rPr>
    <w:tblPr/>
  </w:style>
  <w:style w:type="table" w:styleId="1036">
    <w:name w:val="List Table 7 Colorful"/>
    <w:next w:val="1036"/>
    <w:link w:val="795"/>
    <w:uiPriority w:val="99"/>
    <w:qFormat/>
    <w:rPr>
      <w:lang w:val="en-US" w:eastAsia="zh-CN" w:bidi="ar-SA"/>
    </w:rPr>
    <w:tblPr/>
  </w:style>
  <w:style w:type="table" w:styleId="1037">
    <w:name w:val="List Table 7 Colorful - Accent 1"/>
    <w:next w:val="1037"/>
    <w:link w:val="795"/>
    <w:uiPriority w:val="99"/>
    <w:qFormat/>
    <w:rPr>
      <w:lang w:val="en-US" w:eastAsia="zh-CN" w:bidi="ar-SA"/>
    </w:rPr>
    <w:tblPr/>
  </w:style>
  <w:style w:type="table" w:styleId="1038">
    <w:name w:val="List Table 7 Colorful - Accent 2"/>
    <w:next w:val="1038"/>
    <w:link w:val="795"/>
    <w:uiPriority w:val="99"/>
    <w:qFormat/>
    <w:rPr>
      <w:lang w:val="en-US" w:eastAsia="zh-CN" w:bidi="ar-SA"/>
    </w:rPr>
    <w:tblPr/>
  </w:style>
  <w:style w:type="table" w:styleId="1039">
    <w:name w:val="List Table 7 Colorful - Accent 3"/>
    <w:next w:val="1039"/>
    <w:link w:val="795"/>
    <w:uiPriority w:val="99"/>
    <w:qFormat/>
    <w:rPr>
      <w:lang w:val="en-US" w:eastAsia="zh-CN" w:bidi="ar-SA"/>
    </w:rPr>
    <w:tblPr/>
  </w:style>
  <w:style w:type="table" w:styleId="1040">
    <w:name w:val="List Table 7 Colorful - Accent 4"/>
    <w:next w:val="1040"/>
    <w:link w:val="795"/>
    <w:uiPriority w:val="99"/>
    <w:qFormat/>
    <w:rPr>
      <w:lang w:val="en-US" w:eastAsia="zh-CN" w:bidi="ar-SA"/>
    </w:rPr>
    <w:tblPr/>
  </w:style>
  <w:style w:type="table" w:styleId="1041">
    <w:name w:val="List Table 7 Colorful - Accent 5"/>
    <w:next w:val="1041"/>
    <w:link w:val="795"/>
    <w:uiPriority w:val="99"/>
    <w:qFormat/>
    <w:rPr>
      <w:lang w:val="en-US" w:eastAsia="zh-CN" w:bidi="ar-SA"/>
    </w:rPr>
    <w:tblPr/>
  </w:style>
  <w:style w:type="table" w:styleId="1042">
    <w:name w:val="List Table 7 Colorful - Accent 6"/>
    <w:next w:val="1042"/>
    <w:link w:val="795"/>
    <w:uiPriority w:val="99"/>
    <w:qFormat/>
    <w:rPr>
      <w:lang w:val="en-US" w:eastAsia="zh-CN" w:bidi="ar-SA"/>
    </w:rPr>
    <w:tblPr/>
  </w:style>
  <w:style w:type="table" w:styleId="1043">
    <w:name w:val="Lined - Accent"/>
    <w:next w:val="1043"/>
    <w:link w:val="795"/>
    <w:uiPriority w:val="99"/>
    <w:qFormat/>
    <w:rPr>
      <w:color w:val="404040"/>
      <w:lang w:val="en-US" w:eastAsia="zh-CN" w:bidi="ar-SA"/>
    </w:rPr>
    <w:tblPr/>
  </w:style>
  <w:style w:type="table" w:styleId="1044">
    <w:name w:val="Lined - Accent 1"/>
    <w:next w:val="1044"/>
    <w:link w:val="795"/>
    <w:uiPriority w:val="99"/>
    <w:qFormat/>
    <w:rPr>
      <w:color w:val="404040"/>
      <w:lang w:val="en-US" w:eastAsia="zh-CN" w:bidi="ar-SA"/>
    </w:rPr>
    <w:tblPr/>
  </w:style>
  <w:style w:type="table" w:styleId="1045">
    <w:name w:val="Lined - Accent 2"/>
    <w:next w:val="1045"/>
    <w:link w:val="795"/>
    <w:uiPriority w:val="99"/>
    <w:qFormat/>
    <w:rPr>
      <w:color w:val="404040"/>
      <w:lang w:val="en-US" w:eastAsia="zh-CN" w:bidi="ar-SA"/>
    </w:rPr>
    <w:tblPr/>
  </w:style>
  <w:style w:type="table" w:styleId="1046">
    <w:name w:val="Lined - Accent 3"/>
    <w:next w:val="1046"/>
    <w:link w:val="795"/>
    <w:uiPriority w:val="99"/>
    <w:qFormat/>
    <w:rPr>
      <w:color w:val="404040"/>
      <w:lang w:val="en-US" w:eastAsia="zh-CN" w:bidi="ar-SA"/>
    </w:rPr>
    <w:tblPr/>
  </w:style>
  <w:style w:type="table" w:styleId="1047">
    <w:name w:val="Lined - Accent 4"/>
    <w:next w:val="1047"/>
    <w:link w:val="795"/>
    <w:uiPriority w:val="99"/>
    <w:qFormat/>
    <w:rPr>
      <w:color w:val="404040"/>
      <w:lang w:val="en-US" w:eastAsia="zh-CN" w:bidi="ar-SA"/>
    </w:rPr>
    <w:tblPr/>
  </w:style>
  <w:style w:type="table" w:styleId="1048">
    <w:name w:val="Lined - Accent 5"/>
    <w:next w:val="1048"/>
    <w:link w:val="795"/>
    <w:uiPriority w:val="99"/>
    <w:qFormat/>
    <w:rPr>
      <w:color w:val="404040"/>
      <w:lang w:val="en-US" w:eastAsia="zh-CN" w:bidi="ar-SA"/>
    </w:rPr>
    <w:tblPr/>
  </w:style>
  <w:style w:type="table" w:styleId="1049">
    <w:name w:val="Lined - Accent 6"/>
    <w:next w:val="1049"/>
    <w:link w:val="795"/>
    <w:uiPriority w:val="99"/>
    <w:qFormat/>
    <w:rPr>
      <w:color w:val="404040"/>
      <w:lang w:val="en-US" w:eastAsia="zh-CN" w:bidi="ar-SA"/>
    </w:rPr>
    <w:tblPr/>
  </w:style>
  <w:style w:type="table" w:styleId="1050">
    <w:name w:val="Bordered &amp; Lined - Accent"/>
    <w:next w:val="1050"/>
    <w:link w:val="795"/>
    <w:uiPriority w:val="99"/>
    <w:qFormat/>
    <w:rPr>
      <w:color w:val="404040"/>
      <w:lang w:val="en-US" w:eastAsia="zh-CN" w:bidi="ar-SA"/>
    </w:rPr>
    <w:tblPr/>
  </w:style>
  <w:style w:type="table" w:styleId="1051">
    <w:name w:val="Bordered &amp; Lined - Accent 1"/>
    <w:next w:val="1051"/>
    <w:link w:val="795"/>
    <w:uiPriority w:val="99"/>
    <w:qFormat/>
    <w:rPr>
      <w:color w:val="404040"/>
      <w:lang w:val="en-US" w:eastAsia="zh-CN" w:bidi="ar-SA"/>
    </w:rPr>
    <w:tblPr/>
  </w:style>
  <w:style w:type="table" w:styleId="1052">
    <w:name w:val="Bordered &amp; Lined - Accent 2"/>
    <w:next w:val="1052"/>
    <w:link w:val="795"/>
    <w:uiPriority w:val="99"/>
    <w:qFormat/>
    <w:rPr>
      <w:color w:val="404040"/>
      <w:lang w:val="en-US" w:eastAsia="zh-CN" w:bidi="ar-SA"/>
    </w:rPr>
    <w:tblPr/>
  </w:style>
  <w:style w:type="table" w:styleId="1053">
    <w:name w:val="Bordered &amp; Lined - Accent 3"/>
    <w:next w:val="1053"/>
    <w:link w:val="795"/>
    <w:uiPriority w:val="99"/>
    <w:qFormat/>
    <w:rPr>
      <w:color w:val="404040"/>
      <w:lang w:val="en-US" w:eastAsia="zh-CN" w:bidi="ar-SA"/>
    </w:rPr>
    <w:tblPr/>
  </w:style>
  <w:style w:type="table" w:styleId="1054">
    <w:name w:val="Bordered &amp; Lined - Accent 4"/>
    <w:next w:val="1054"/>
    <w:link w:val="795"/>
    <w:uiPriority w:val="99"/>
    <w:qFormat/>
    <w:rPr>
      <w:color w:val="404040"/>
      <w:lang w:val="en-US" w:eastAsia="zh-CN" w:bidi="ar-SA"/>
    </w:rPr>
    <w:tblPr/>
  </w:style>
  <w:style w:type="table" w:styleId="1055">
    <w:name w:val="Bordered &amp; Lined - Accent 5"/>
    <w:next w:val="1055"/>
    <w:link w:val="795"/>
    <w:uiPriority w:val="99"/>
    <w:qFormat/>
    <w:rPr>
      <w:color w:val="404040"/>
      <w:lang w:val="en-US" w:eastAsia="zh-CN" w:bidi="ar-SA"/>
    </w:rPr>
    <w:tblPr/>
  </w:style>
  <w:style w:type="table" w:styleId="1056">
    <w:name w:val="Bordered &amp; Lined - Accent 6"/>
    <w:next w:val="1056"/>
    <w:link w:val="795"/>
    <w:uiPriority w:val="99"/>
    <w:qFormat/>
    <w:rPr>
      <w:color w:val="404040"/>
      <w:lang w:val="en-US" w:eastAsia="zh-CN" w:bidi="ar-SA"/>
    </w:rPr>
    <w:tblPr/>
  </w:style>
  <w:style w:type="table" w:styleId="1057">
    <w:name w:val="Bordered"/>
    <w:next w:val="1057"/>
    <w:link w:val="795"/>
    <w:uiPriority w:val="99"/>
    <w:qFormat/>
    <w:rPr>
      <w:lang w:val="en-US" w:eastAsia="zh-CN" w:bidi="ar-SA"/>
    </w:rPr>
    <w:tblPr/>
  </w:style>
  <w:style w:type="table" w:styleId="1058">
    <w:name w:val="Bordered - Accent 1"/>
    <w:next w:val="1058"/>
    <w:link w:val="795"/>
    <w:uiPriority w:val="99"/>
    <w:qFormat/>
    <w:rPr>
      <w:lang w:val="en-US" w:eastAsia="zh-CN" w:bidi="ar-SA"/>
    </w:rPr>
    <w:tblPr/>
  </w:style>
  <w:style w:type="table" w:styleId="1059">
    <w:name w:val="Bordered - Accent 2"/>
    <w:next w:val="1059"/>
    <w:link w:val="795"/>
    <w:uiPriority w:val="99"/>
    <w:qFormat/>
    <w:rPr>
      <w:lang w:val="en-US" w:eastAsia="zh-CN" w:bidi="ar-SA"/>
    </w:rPr>
    <w:tblPr/>
  </w:style>
  <w:style w:type="table" w:styleId="1060">
    <w:name w:val="Bordered - Accent 3"/>
    <w:next w:val="1060"/>
    <w:link w:val="795"/>
    <w:uiPriority w:val="99"/>
    <w:qFormat/>
    <w:rPr>
      <w:lang w:val="en-US" w:eastAsia="zh-CN" w:bidi="ar-SA"/>
    </w:rPr>
    <w:tblPr/>
  </w:style>
  <w:style w:type="table" w:styleId="1061">
    <w:name w:val="Bordered - Accent 4"/>
    <w:next w:val="1061"/>
    <w:link w:val="795"/>
    <w:uiPriority w:val="99"/>
    <w:qFormat/>
    <w:rPr>
      <w:lang w:val="en-US" w:eastAsia="zh-CN" w:bidi="ar-SA"/>
    </w:rPr>
    <w:tblPr/>
  </w:style>
  <w:style w:type="table" w:styleId="1062">
    <w:name w:val="Bordered - Accent 5"/>
    <w:next w:val="1062"/>
    <w:link w:val="795"/>
    <w:uiPriority w:val="99"/>
    <w:qFormat/>
    <w:rPr>
      <w:lang w:val="en-US" w:eastAsia="zh-CN" w:bidi="ar-SA"/>
    </w:rPr>
    <w:tblPr/>
  </w:style>
  <w:style w:type="table" w:styleId="1063">
    <w:name w:val="Bordered - Accent 6"/>
    <w:next w:val="1063"/>
    <w:link w:val="795"/>
    <w:uiPriority w:val="99"/>
    <w:qFormat/>
    <w:rPr>
      <w:lang w:val="en-US" w:eastAsia="zh-CN" w:bidi="ar-SA"/>
    </w:rPr>
    <w:tblPr/>
  </w:style>
  <w:style w:type="paragraph" w:styleId="1064">
    <w:name w:val="TOC 标题1"/>
    <w:next w:val="1064"/>
    <w:link w:val="795"/>
    <w:uiPriority w:val="39"/>
    <w:unhideWhenUsed/>
    <w:qFormat/>
    <w:rPr>
      <w:rFonts w:ascii="Calibri" w:hAnsi="Calibri" w:eastAsia="宋体" w:cs="Times New Roman"/>
      <w:lang w:val="en-US" w:eastAsia="zh-CN" w:bidi="ar-SA"/>
    </w:rPr>
  </w:style>
  <w:style w:type="paragraph" w:styleId="1065">
    <w:name w:val="标题 11"/>
    <w:basedOn w:val="795"/>
    <w:next w:val="795"/>
    <w:link w:val="1066"/>
    <w:qFormat/>
    <w:pPr>
      <w:jc w:val="center"/>
      <w:keepLines/>
      <w:keepNext/>
      <w:spacing w:line="578" w:lineRule="auto"/>
      <w:outlineLvl w:val="0"/>
    </w:pPr>
    <w:rPr>
      <w:rFonts w:eastAsia="新宋体"/>
      <w:b/>
      <w:bCs/>
      <w:sz w:val="30"/>
      <w:szCs w:val="44"/>
    </w:rPr>
  </w:style>
  <w:style w:type="character" w:styleId="1066">
    <w:name w:val="标题 1 Char"/>
    <w:next w:val="1066"/>
    <w:link w:val="1065"/>
    <w:qFormat/>
    <w:rPr>
      <w:rFonts w:eastAsia="新宋体"/>
      <w:b/>
      <w:bCs/>
      <w:sz w:val="30"/>
      <w:szCs w:val="44"/>
    </w:rPr>
  </w:style>
  <w:style w:type="paragraph" w:styleId="1067">
    <w:name w:val="正文文本缩进11"/>
    <w:basedOn w:val="903"/>
    <w:next w:val="1068"/>
    <w:link w:val="795"/>
    <w:qFormat/>
    <w:pPr>
      <w:ind w:left="420"/>
      <w:spacing w:after="120"/>
    </w:pPr>
    <w:rPr>
      <w:rFonts w:ascii="Calibri" w:hAnsi="Calibri"/>
    </w:rPr>
  </w:style>
  <w:style w:type="paragraph" w:styleId="1068">
    <w:name w:val="寄信人地址1"/>
    <w:basedOn w:val="795"/>
    <w:next w:val="1068"/>
    <w:link w:val="795"/>
    <w:qFormat/>
    <w:rPr>
      <w:rFonts w:ascii="Arial" w:hAnsi="Arial"/>
    </w:rPr>
  </w:style>
  <w:style w:type="paragraph" w:styleId="1069">
    <w:name w:val="正文文本1"/>
    <w:basedOn w:val="906"/>
    <w:next w:val="1070"/>
    <w:link w:val="795"/>
    <w:qFormat/>
    <w:pPr>
      <w:spacing w:after="120"/>
    </w:pPr>
    <w:rPr>
      <w:rFonts w:ascii="Calibri" w:hAnsi="Calibri"/>
    </w:rPr>
  </w:style>
  <w:style w:type="paragraph" w:styleId="1070">
    <w:name w:val="正文文本 21"/>
    <w:basedOn w:val="795"/>
    <w:next w:val="1070"/>
    <w:link w:val="795"/>
    <w:qFormat/>
    <w:pPr>
      <w:spacing w:after="120" w:line="480" w:lineRule="auto"/>
    </w:pPr>
    <w:rPr>
      <w:rFonts w:ascii="Calibri" w:hAnsi="Calibri" w:eastAsia="宋体"/>
      <w:szCs w:val="22"/>
    </w:rPr>
  </w:style>
  <w:style w:type="paragraph" w:styleId="1071">
    <w:name w:val="一级条标题"/>
    <w:basedOn w:val="1072"/>
    <w:next w:val="1073"/>
    <w:link w:val="79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2">
    <w:name w:val="章标题"/>
    <w:basedOn w:val="795"/>
    <w:next w:val="905"/>
    <w:link w:val="795"/>
    <w:qFormat/>
    <w:pPr>
      <w:jc w:val="center"/>
      <w:spacing w:before="158" w:after="153" w:line="1292" w:lineRule="atLeast"/>
      <w:widowControl/>
    </w:pPr>
    <w:rPr>
      <w:rFonts w:ascii="Arial" w:hAnsi="Calibri" w:eastAsia="黑体" w:cs="黑体"/>
      <w:sz w:val="31"/>
      <w:szCs w:val="22"/>
      <w:lang w:eastAsia="en-US" w:bidi="en-US"/>
    </w:rPr>
  </w:style>
  <w:style w:type="paragraph" w:styleId="1073">
    <w:name w:val="段"/>
    <w:basedOn w:val="795"/>
    <w:next w:val="905"/>
    <w:link w:val="795"/>
    <w:qFormat/>
    <w:pPr>
      <w:ind w:firstLine="200"/>
      <w:widowControl/>
    </w:pPr>
    <w:rPr>
      <w:rFonts w:hint="eastAsia" w:ascii="宋体"/>
    </w:rPr>
  </w:style>
  <w:style w:type="paragraph" w:styleId="1074">
    <w:name w:val="标题 31"/>
    <w:basedOn w:val="795"/>
    <w:next w:val="795"/>
    <w:link w:val="1075"/>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character" w:styleId="1075">
    <w:name w:val="标题 3 Char"/>
    <w:next w:val="1075"/>
    <w:link w:val="1074"/>
    <w:uiPriority w:val="9"/>
    <w:qFormat/>
    <w:rPr>
      <w:rFonts w:ascii="Tahoma" w:hAnsi="Tahoma" w:eastAsia="微软雅黑" w:cs="Times New Roman"/>
      <w:b/>
      <w:bCs/>
      <w:sz w:val="32"/>
      <w:szCs w:val="32"/>
    </w:rPr>
  </w:style>
  <w:style w:type="character" w:styleId="1076">
    <w:name w:val="默认段落字体1"/>
    <w:next w:val="1076"/>
    <w:link w:val="795"/>
    <w:uiPriority w:val="1"/>
    <w:unhideWhenUsed/>
    <w:qFormat/>
  </w:style>
  <w:style w:type="paragraph" w:styleId="1077">
    <w:name w:val="标题 41"/>
    <w:basedOn w:val="795"/>
    <w:next w:val="795"/>
    <w:link w:val="1078"/>
    <w:unhideWhenUsed/>
    <w:qFormat/>
    <w:pPr>
      <w:keepLines/>
      <w:keepNext/>
      <w:spacing w:before="280" w:after="290" w:line="376" w:lineRule="auto"/>
      <w:outlineLvl w:val="3"/>
    </w:pPr>
    <w:rPr>
      <w:rFonts w:ascii="Calibri Light" w:hAnsi="Calibri Light"/>
      <w:b/>
      <w:bCs/>
      <w:sz w:val="28"/>
      <w:szCs w:val="28"/>
    </w:rPr>
  </w:style>
  <w:style w:type="character" w:styleId="1078">
    <w:name w:val="标题 4 Char"/>
    <w:next w:val="1078"/>
    <w:link w:val="1077"/>
    <w:semiHidden/>
    <w:qFormat/>
    <w:rPr>
      <w:rFonts w:ascii="Calibri Light" w:hAnsi="Calibri Light" w:eastAsia="宋体" w:cs="Times New Roman"/>
      <w:b/>
      <w:bCs/>
      <w:sz w:val="28"/>
      <w:szCs w:val="28"/>
    </w:rPr>
  </w:style>
  <w:style w:type="table" w:styleId="1079">
    <w:name w:val="普通表格1"/>
    <w:next w:val="1079"/>
    <w:link w:val="795"/>
    <w:uiPriority w:val="99"/>
    <w:unhideWhenUsed/>
    <w:qFormat/>
    <w:rPr>
      <w:lang w:val="en-US" w:eastAsia="zh-CN" w:bidi="ar-SA"/>
    </w:rPr>
    <w:tblPr/>
  </w:style>
  <w:style w:type="character" w:styleId="1080">
    <w:name w:val="NormalCharacter1"/>
    <w:next w:val="1080"/>
    <w:link w:val="795"/>
    <w:semiHidden/>
    <w:qFormat/>
    <w:rPr>
      <w:sz w:val="28"/>
      <w:lang w:val="en-US" w:eastAsia="zh-CN" w:bidi="ar-SA"/>
    </w:rPr>
  </w:style>
  <w:style w:type="character" w:styleId="1081">
    <w:name w:val="脚注文本 Char"/>
    <w:next w:val="1081"/>
    <w:link w:val="1082"/>
    <w:uiPriority w:val="99"/>
    <w:qFormat/>
    <w:rPr>
      <w:rFonts w:ascii="宋体" w:hAnsi="Times New Roman" w:eastAsia="Times New Roman" w:cs="Times New Roman"/>
      <w:sz w:val="18"/>
      <w:szCs w:val="18"/>
    </w:rPr>
  </w:style>
  <w:style w:type="paragraph" w:styleId="1082">
    <w:name w:val="脚注文本11"/>
    <w:basedOn w:val="795"/>
    <w:next w:val="1083"/>
    <w:link w:val="1081"/>
    <w:uiPriority w:val="99"/>
    <w:qFormat/>
    <w:pPr>
      <w:jc w:val="left"/>
    </w:pPr>
    <w:rPr>
      <w:rFonts w:ascii="宋体" w:eastAsia="Times New Roman"/>
      <w:sz w:val="18"/>
      <w:szCs w:val="18"/>
    </w:rPr>
  </w:style>
  <w:style w:type="paragraph" w:styleId="1083">
    <w:name w:val="索引 511"/>
    <w:basedOn w:val="795"/>
    <w:next w:val="795"/>
    <w:link w:val="795"/>
    <w:qFormat/>
    <w:pPr>
      <w:ind w:left="798"/>
      <w:jc w:val="left"/>
    </w:pPr>
    <w:rPr>
      <w:rFonts w:ascii="Calibri" w:hAnsi="Calibri"/>
    </w:rPr>
  </w:style>
  <w:style w:type="paragraph" w:styleId="1084">
    <w:name w:val="目录 11"/>
    <w:basedOn w:val="906"/>
    <w:next w:val="906"/>
    <w:link w:val="795"/>
    <w:qFormat/>
    <w:pPr>
      <w:jc w:val="left"/>
      <w:spacing w:after="100" w:line="259" w:lineRule="auto"/>
      <w:widowControl/>
    </w:pPr>
    <w:rPr>
      <w:rFonts w:ascii="Calibri" w:hAnsi="Calibri"/>
      <w:sz w:val="22"/>
      <w:szCs w:val="22"/>
    </w:rPr>
  </w:style>
  <w:style w:type="paragraph" w:styleId="1085">
    <w:name w:val="文本块1"/>
    <w:basedOn w:val="909"/>
    <w:next w:val="795"/>
    <w:link w:val="795"/>
    <w:qFormat/>
    <w:pPr>
      <w:ind w:left="1440" w:right="1440"/>
      <w:spacing w:after="120"/>
    </w:pPr>
  </w:style>
  <w:style w:type="paragraph" w:styleId="1086">
    <w:name w:val="正文文本缩进1"/>
    <w:basedOn w:val="795"/>
    <w:next w:val="1068"/>
    <w:link w:val="795"/>
    <w:qFormat/>
    <w:pPr>
      <w:ind w:left="420"/>
      <w:spacing w:after="120"/>
    </w:pPr>
    <w:rPr>
      <w:rFonts w:ascii="Calibri" w:hAnsi="Calibri"/>
    </w:rPr>
  </w:style>
  <w:style w:type="character" w:styleId="1087">
    <w:name w:val="超链接2"/>
    <w:next w:val="1087"/>
    <w:link w:val="795"/>
    <w:uiPriority w:val="99"/>
    <w:unhideWhenUsed/>
    <w:qFormat/>
    <w:rPr>
      <w:color w:val="0000ff"/>
      <w:u w:val="single"/>
    </w:rPr>
  </w:style>
  <w:style w:type="character" w:styleId="1088">
    <w:name w:val="页码1"/>
    <w:next w:val="1088"/>
    <w:link w:val="795"/>
    <w:qFormat/>
  </w:style>
  <w:style w:type="character" w:styleId="1089">
    <w:name w:val="批注框文本 Char"/>
    <w:next w:val="1089"/>
    <w:link w:val="1090"/>
    <w:qFormat/>
    <w:rPr>
      <w:rFonts w:ascii="Times New Roman" w:hAnsi="Times New Roman" w:eastAsia="宋体" w:cs="Times New Roman"/>
      <w:sz w:val="18"/>
      <w:szCs w:val="18"/>
    </w:rPr>
  </w:style>
  <w:style w:type="paragraph" w:styleId="1090">
    <w:name w:val="批注框文本1"/>
    <w:basedOn w:val="795"/>
    <w:next w:val="1090"/>
    <w:link w:val="1089"/>
    <w:qFormat/>
    <w:rPr>
      <w:sz w:val="18"/>
      <w:szCs w:val="18"/>
    </w:rPr>
  </w:style>
  <w:style w:type="character" w:styleId="1091">
    <w:name w:val="页脚 Char"/>
    <w:next w:val="1091"/>
    <w:link w:val="1092"/>
    <w:uiPriority w:val="99"/>
    <w:qFormat/>
    <w:rPr>
      <w:rFonts w:ascii="Times New Roman" w:hAnsi="Times New Roman" w:eastAsia="宋体" w:cs="Times New Roman"/>
      <w:sz w:val="18"/>
      <w:szCs w:val="18"/>
    </w:rPr>
  </w:style>
  <w:style w:type="paragraph" w:styleId="1092">
    <w:name w:val="页脚1"/>
    <w:basedOn w:val="795"/>
    <w:next w:val="1092"/>
    <w:link w:val="1091"/>
    <w:uiPriority w:val="99"/>
    <w:qFormat/>
    <w:pPr>
      <w:jc w:val="left"/>
      <w:tabs>
        <w:tab w:val="center" w:pos="4153" w:leader="none"/>
        <w:tab w:val="right" w:pos="8306" w:leader="none"/>
      </w:tabs>
    </w:pPr>
    <w:rPr>
      <w:sz w:val="18"/>
      <w:szCs w:val="18"/>
    </w:rPr>
  </w:style>
  <w:style w:type="paragraph" w:styleId="1093">
    <w:name w:val="Table Paragraph"/>
    <w:basedOn w:val="795"/>
    <w:next w:val="1093"/>
    <w:link w:val="795"/>
    <w:uiPriority w:val="1"/>
    <w:qFormat/>
    <w:pPr>
      <w:jc w:val="left"/>
    </w:pPr>
    <w:rPr>
      <w:rFonts w:ascii="Arial Unicode MS" w:hAnsi="Arial Unicode MS" w:eastAsia="Arial Unicode MS" w:cs="Arial Unicode MS"/>
      <w:sz w:val="22"/>
      <w:szCs w:val="22"/>
      <w:lang w:val="zh-CN" w:bidi="zh-CN"/>
    </w:rPr>
  </w:style>
  <w:style w:type="paragraph" w:styleId="1094">
    <w:name w:val="正文_1"/>
    <w:next w:val="1094"/>
    <w:link w:val="795"/>
    <w:qFormat/>
    <w:pPr>
      <w:jc w:val="both"/>
      <w:widowControl w:val="off"/>
    </w:pPr>
    <w:rPr>
      <w:rFonts w:ascii="Times New Roman" w:hAnsi="Times New Roman" w:eastAsia="宋体" w:cs="Times New Roman"/>
      <w:sz w:val="21"/>
      <w:szCs w:val="24"/>
      <w:lang w:val="en-US" w:eastAsia="zh-CN" w:bidi="ar-SA"/>
    </w:rPr>
  </w:style>
  <w:style w:type="paragraph" w:styleId="1095">
    <w:name w:val="普通(网站)1"/>
    <w:basedOn w:val="795"/>
    <w:next w:val="1096"/>
    <w:link w:val="795"/>
    <w:uiPriority w:val="99"/>
    <w:qFormat/>
    <w:pPr>
      <w:jc w:val="left"/>
      <w:spacing w:before="100" w:beforeAutospacing="1" w:after="100" w:afterAutospacing="1"/>
      <w:widowControl/>
    </w:pPr>
    <w:rPr>
      <w:rFonts w:ascii="宋体" w:hAnsi="宋体" w:cs="宋体"/>
      <w:sz w:val="24"/>
    </w:rPr>
  </w:style>
  <w:style w:type="paragraph" w:styleId="1096">
    <w:name w:val="正文112"/>
    <w:next w:val="1097"/>
    <w:link w:val="795"/>
    <w:qFormat/>
    <w:pPr>
      <w:jc w:val="both"/>
      <w:widowControl w:val="off"/>
    </w:pPr>
    <w:rPr>
      <w:rFonts w:ascii="Times New Roman" w:hAnsi="Times New Roman" w:eastAsia="宋体" w:cs="Times New Roman"/>
      <w:sz w:val="21"/>
      <w:szCs w:val="24"/>
      <w:lang w:val="en-US" w:eastAsia="zh-CN" w:bidi="ar-SA"/>
    </w:rPr>
  </w:style>
  <w:style w:type="paragraph" w:styleId="1097">
    <w:name w:val="正文文本111"/>
    <w:basedOn w:val="1096"/>
    <w:next w:val="910"/>
    <w:link w:val="795"/>
    <w:qFormat/>
    <w:pPr>
      <w:spacing w:after="120"/>
    </w:pPr>
    <w:rPr>
      <w:rFonts w:ascii="Calibri" w:hAnsi="Calibri"/>
    </w:rPr>
  </w:style>
  <w:style w:type="paragraph" w:styleId="1098">
    <w:name w:val="正文文本2"/>
    <w:basedOn w:val="903"/>
    <w:next w:val="910"/>
    <w:link w:val="795"/>
    <w:qFormat/>
    <w:pPr>
      <w:spacing w:after="120"/>
    </w:pPr>
    <w:rPr>
      <w:rFonts w:ascii="Calibri" w:hAnsi="Calibri"/>
    </w:rPr>
  </w:style>
  <w:style w:type="paragraph" w:styleId="1099">
    <w:name w:val="正文首行缩进 211"/>
    <w:basedOn w:val="1067"/>
    <w:next w:val="1099"/>
    <w:link w:val="795"/>
    <w:qFormat/>
    <w:pPr>
      <w:ind w:firstLine="420"/>
    </w:pPr>
    <w:rPr>
      <w:rFonts w:ascii="Times New Roman" w:hAnsi="Times New Roman"/>
    </w:rPr>
  </w:style>
  <w:style w:type="paragraph" w:styleId="1100">
    <w:name w:val="纯文本1"/>
    <w:basedOn w:val="795"/>
    <w:next w:val="1100"/>
    <w:link w:val="795"/>
    <w:qFormat/>
    <w:rPr>
      <w:rFonts w:ascii="宋体" w:hAnsi="Courier New"/>
      <w:szCs w:val="20"/>
    </w:rPr>
  </w:style>
  <w:style w:type="paragraph" w:styleId="1101">
    <w:name w:val="正文首行缩进 21"/>
    <w:basedOn w:val="1086"/>
    <w:next w:val="1101"/>
    <w:link w:val="795"/>
    <w:qFormat/>
    <w:pPr>
      <w:ind w:left="0" w:firstLine="420"/>
      <w:spacing w:after="0" w:line="480" w:lineRule="exact"/>
      <w:tabs>
        <w:tab w:val="left" w:pos="180" w:leader="none"/>
      </w:tabs>
    </w:pPr>
    <w:rPr>
      <w:sz w:val="28"/>
    </w:rPr>
  </w:style>
  <w:style w:type="paragraph" w:styleId="1102">
    <w:name w:val="正文缩进1"/>
    <w:basedOn w:val="795"/>
    <w:next w:val="1102"/>
    <w:link w:val="795"/>
    <w:qFormat/>
    <w:pPr>
      <w:ind w:firstLine="420"/>
    </w:pPr>
  </w:style>
  <w:style w:type="paragraph" w:styleId="1103">
    <w:name w:val="纯文本2"/>
    <w:basedOn w:val="909"/>
    <w:next w:val="1103"/>
    <w:link w:val="795"/>
    <w:qFormat/>
    <w:rPr>
      <w:rFonts w:ascii="宋体" w:hAnsi="Courier New"/>
      <w:sz w:val="20"/>
      <w:szCs w:val="20"/>
    </w:rPr>
  </w:style>
  <w:style w:type="paragraph" w:styleId="1104">
    <w:name w:val="正文_0_0_0"/>
    <w:next w:val="1104"/>
    <w:link w:val="795"/>
    <w:uiPriority w:val="99"/>
    <w:unhideWhenUsed/>
    <w:qFormat/>
    <w:rPr>
      <w:rFonts w:hint="eastAsia" w:ascii="Times New Roman" w:hAnsi="Times New Roman" w:eastAsia="宋体" w:cs="Times New Roman"/>
      <w:sz w:val="21"/>
      <w:lang w:val="en-US" w:eastAsia="zh-CN" w:bidi="ar-SA"/>
    </w:rPr>
  </w:style>
  <w:style w:type="paragraph" w:styleId="1105">
    <w:name w:val="标准"/>
    <w:basedOn w:val="795"/>
    <w:next w:val="1105"/>
    <w:link w:val="795"/>
    <w:qFormat/>
    <w:pPr>
      <w:ind w:firstLine="200"/>
      <w:spacing w:line="360" w:lineRule="auto"/>
    </w:pPr>
    <w:rPr>
      <w:rFonts w:cs="宋体"/>
      <w:szCs w:val="21"/>
    </w:rPr>
  </w:style>
  <w:style w:type="paragraph" w:styleId="1106">
    <w:name w:val="目录 21"/>
    <w:basedOn w:val="795"/>
    <w:next w:val="795"/>
    <w:link w:val="795"/>
    <w:unhideWhenUsed/>
    <w:qFormat/>
    <w:pPr>
      <w:ind w:left="420"/>
    </w:pPr>
  </w:style>
  <w:style w:type="paragraph" w:styleId="1107">
    <w:name w:val="页眉1"/>
    <w:basedOn w:val="795"/>
    <w:next w:val="1107"/>
    <w:link w:val="795"/>
    <w:uiPriority w:val="99"/>
    <w:qFormat/>
    <w:pPr>
      <w:jc w:val="center"/>
      <w:tabs>
        <w:tab w:val="center" w:pos="4153" w:leader="none"/>
        <w:tab w:val="right" w:pos="8306" w:leader="none"/>
      </w:tabs>
      <w:pBdr>
        <w:bottom w:val="single" w:color="000000" w:sz="6" w:space="1"/>
      </w:pBdr>
    </w:pPr>
    <w:rPr>
      <w:sz w:val="18"/>
      <w:szCs w:val="18"/>
    </w:rPr>
  </w:style>
  <w:style w:type="paragraph" w:styleId="1108">
    <w:name w:val="日期1"/>
    <w:basedOn w:val="795"/>
    <w:next w:val="795"/>
    <w:link w:val="795"/>
    <w:qFormat/>
    <w:rPr>
      <w:rFonts w:eastAsia="仿宋_GB2312"/>
      <w:sz w:val="28"/>
      <w:szCs w:val="20"/>
    </w:rPr>
  </w:style>
  <w:style w:type="paragraph" w:styleId="1109">
    <w:name w:val="样式 样式 样式 样式 小四 左 首行缩进:  2 字符 + 首行缩进:  2 字符 Char + 右  0 字符1 + 首行缩...3"/>
    <w:basedOn w:val="795"/>
    <w:next w:val="1109"/>
    <w:link w:val="795"/>
    <w:uiPriority w:val="99"/>
    <w:qFormat/>
    <w:pPr>
      <w:ind w:firstLine="480"/>
      <w:jc w:val="left"/>
      <w:spacing w:line="360" w:lineRule="auto"/>
    </w:pPr>
    <w:rPr>
      <w:sz w:val="24"/>
    </w:rPr>
  </w:style>
  <w:style w:type="paragraph" w:styleId="1110">
    <w:name w:val="目录 12"/>
    <w:basedOn w:val="795"/>
    <w:next w:val="795"/>
    <w:link w:val="795"/>
    <w:uiPriority w:val="39"/>
    <w:qFormat/>
  </w:style>
  <w:style w:type="paragraph" w:styleId="1111">
    <w:name w:val="批注文字1"/>
    <w:basedOn w:val="795"/>
    <w:next w:val="1111"/>
    <w:link w:val="795"/>
    <w:uiPriority w:val="99"/>
    <w:qFormat/>
    <w:pPr>
      <w:jc w:val="left"/>
    </w:pPr>
  </w:style>
  <w:style w:type="paragraph" w:styleId="1112">
    <w:name w:val="Default"/>
    <w:next w:val="1112"/>
    <w:link w:val="795"/>
    <w:qFormat/>
    <w:pPr>
      <w:widowControl w:val="off"/>
    </w:pPr>
    <w:rPr>
      <w:rFonts w:ascii="宋体" w:hAnsi="Times New Roman" w:eastAsia="宋体" w:cs="宋体"/>
      <w:color w:val="000000"/>
      <w:sz w:val="24"/>
      <w:szCs w:val="24"/>
      <w:lang w:val="en-US" w:eastAsia="zh-CN" w:bidi="ar-SA"/>
    </w:rPr>
  </w:style>
  <w:style w:type="paragraph" w:styleId="1113">
    <w:name w:val="列出段落"/>
    <w:basedOn w:val="795"/>
    <w:next w:val="1113"/>
    <w:link w:val="795"/>
    <w:uiPriority w:val="34"/>
    <w:qFormat/>
    <w:pPr>
      <w:ind w:firstLine="420"/>
    </w:pPr>
  </w:style>
  <w:style w:type="paragraph" w:styleId="1114">
    <w:name w:val="正文_0"/>
    <w:next w:val="1114"/>
    <w:link w:val="795"/>
    <w:uiPriority w:val="99"/>
    <w:unhideWhenUsed/>
    <w:qFormat/>
    <w:rPr>
      <w:rFonts w:hint="eastAsia" w:ascii="Times New Roman" w:hAnsi="Times New Roman" w:eastAsia="宋体" w:cs="Times New Roman"/>
      <w:sz w:val="21"/>
      <w:lang w:val="en-US" w:eastAsia="zh-CN" w:bidi="ar-SA"/>
    </w:rPr>
  </w:style>
  <w:style w:type="paragraph" w:styleId="1115">
    <w:name w:val="目录 111"/>
    <w:basedOn w:val="909"/>
    <w:next w:val="795"/>
    <w:link w:val="795"/>
    <w:qFormat/>
  </w:style>
  <w:style w:type="paragraph" w:styleId="1116">
    <w:name w:val="正文（缩进）"/>
    <w:basedOn w:val="795"/>
    <w:next w:val="1116"/>
    <w:link w:val="795"/>
    <w:unhideWhenUsed/>
    <w:qFormat/>
    <w:rPr>
      <w:rFonts w:hint="eastAsia" w:ascii="宋体"/>
      <w:szCs w:val="21"/>
    </w:rPr>
  </w:style>
  <w:style w:type="paragraph" w:styleId="1117">
    <w:name w:val="Heading21"/>
    <w:basedOn w:val="795"/>
    <w:next w:val="795"/>
    <w:link w:val="795"/>
    <w:qFormat/>
    <w:pPr>
      <w:jc w:val="left"/>
      <w:keepLines/>
      <w:keepNext/>
      <w:spacing w:before="260" w:after="260" w:line="416" w:lineRule="auto"/>
    </w:pPr>
    <w:rPr>
      <w:rFonts w:ascii="Calibri Light" w:hAnsi="Calibri Light"/>
      <w:b/>
      <w:bCs/>
      <w:sz w:val="24"/>
      <w:szCs w:val="32"/>
    </w:rPr>
  </w:style>
  <w:style w:type="paragraph" w:styleId="1118">
    <w:name w:val="p0"/>
    <w:basedOn w:val="795"/>
    <w:next w:val="1118"/>
    <w:link w:val="795"/>
    <w:qFormat/>
    <w:pPr>
      <w:widowControl/>
    </w:pPr>
    <w:rPr>
      <w:szCs w:val="21"/>
    </w:rPr>
  </w:style>
  <w:style w:type="paragraph" w:styleId="1119">
    <w:name w:val="UserStyle_0"/>
    <w:next w:val="1119"/>
    <w:link w:val="795"/>
    <w:qFormat/>
    <w:rPr>
      <w:rFonts w:ascii="Times New Roman" w:hAnsi="Times New Roman" w:eastAsia="宋体" w:cs="Times New Roman"/>
      <w:color w:val="000000"/>
      <w:sz w:val="24"/>
      <w:szCs w:val="24"/>
      <w:lang w:val="en-US" w:eastAsia="zh-CN" w:bidi="ar-SA"/>
    </w:rPr>
  </w:style>
  <w:style w:type="paragraph" w:styleId="1120">
    <w:name w:val="正文_0_0"/>
    <w:next w:val="1120"/>
    <w:link w:val="795"/>
    <w:uiPriority w:val="99"/>
    <w:unhideWhenUsed/>
    <w:qFormat/>
    <w:rPr>
      <w:rFonts w:ascii="Calibri" w:hAnsi="Calibri" w:eastAsia="宋体" w:cs="Times New Roman"/>
      <w:sz w:val="21"/>
      <w:lang w:val="en-US" w:eastAsia="zh-CN" w:bidi="ar-SA"/>
    </w:rPr>
  </w:style>
  <w:style w:type="paragraph" w:styleId="1121">
    <w:name w:val="179"/>
    <w:basedOn w:val="795"/>
    <w:next w:val="1121"/>
    <w:link w:val="795"/>
    <w:qFormat/>
    <w:pPr>
      <w:ind w:firstLine="420"/>
      <w:jc w:val="left"/>
      <w:widowControl/>
    </w:pPr>
    <w:rPr>
      <w:rFonts w:ascii="宋体" w:hAnsi="宋体"/>
      <w:sz w:val="24"/>
    </w:rPr>
  </w:style>
  <w:style w:type="table" w:styleId="1122">
    <w:name w:val="网格型1"/>
    <w:basedOn w:val="1079"/>
    <w:next w:val="1122"/>
    <w:link w:val="795"/>
    <w:qFormat/>
    <w:tblPr/>
  </w:style>
  <w:style w:type="paragraph" w:styleId="1123">
    <w:name w:val="标题 42"/>
    <w:basedOn w:val="795"/>
    <w:next w:val="795"/>
    <w:link w:val="795"/>
    <w:qFormat/>
    <w:pPr>
      <w:keepLines/>
      <w:keepNext/>
      <w:spacing w:before="280" w:after="290" w:line="376" w:lineRule="auto"/>
      <w:outlineLvl w:val="3"/>
    </w:pPr>
    <w:rPr>
      <w:rFonts w:ascii="Arial" w:hAnsi="Arial" w:eastAsia="黑体"/>
      <w:b/>
      <w:bCs/>
      <w:sz w:val="28"/>
      <w:szCs w:val="28"/>
    </w:rPr>
  </w:style>
  <w:style w:type="character" w:styleId="1124">
    <w:name w:val="bsharetext"/>
    <w:next w:val="1124"/>
    <w:link w:val="795"/>
    <w:qFormat/>
  </w:style>
  <w:style w:type="paragraph" w:styleId="1125">
    <w:name w:val="列出段落2"/>
    <w:basedOn w:val="912"/>
    <w:next w:val="1125"/>
    <w:link w:val="795"/>
    <w:uiPriority w:val="34"/>
    <w:qFormat/>
    <w:pPr>
      <w:ind w:firstLine="420"/>
    </w:pPr>
  </w:style>
  <w:style w:type="paragraph" w:styleId="1126">
    <w:name w:val="寄信人地址11"/>
    <w:basedOn w:val="906"/>
    <w:next w:val="1126"/>
    <w:link w:val="795"/>
    <w:qFormat/>
    <w:rPr>
      <w:rFonts w:ascii="Arial" w:hAnsi="Arial"/>
    </w:rPr>
  </w:style>
  <w:style w:type="paragraph" w:styleId="1127">
    <w:name w:val="BlockQuote1"/>
    <w:basedOn w:val="795"/>
    <w:next w:val="1127"/>
    <w:link w:val="795"/>
    <w:qFormat/>
    <w:pPr>
      <w:ind w:left="256" w:right="6" w:firstLine="624"/>
    </w:pPr>
    <w:rPr>
      <w:rFonts w:eastAsia="仿宋_GB2312"/>
      <w:sz w:val="28"/>
    </w:rPr>
  </w:style>
  <w:style w:type="paragraph" w:styleId="1128">
    <w:name w:val="_Style 1"/>
    <w:basedOn w:val="795"/>
    <w:next w:val="1128"/>
    <w:link w:val="795"/>
    <w:qFormat/>
    <w:pPr>
      <w:ind w:firstLine="420"/>
    </w:pPr>
    <w:rPr>
      <w:rFonts w:ascii="Calibri" w:hAnsi="Calibri"/>
      <w:sz w:val="20"/>
      <w:szCs w:val="20"/>
    </w:rPr>
  </w:style>
  <w:style w:type="paragraph" w:styleId="1129">
    <w:name w:val="正文113"/>
    <w:next w:val="1130"/>
    <w:link w:val="795"/>
    <w:qFormat/>
    <w:pPr>
      <w:jc w:val="both"/>
      <w:widowControl w:val="off"/>
    </w:pPr>
    <w:rPr>
      <w:rFonts w:ascii="Times New Roman" w:hAnsi="Times New Roman" w:eastAsia="宋体" w:cs="Times New Roman"/>
      <w:sz w:val="21"/>
      <w:szCs w:val="24"/>
      <w:lang w:val="en-US" w:eastAsia="zh-CN" w:bidi="ar-SA"/>
    </w:rPr>
  </w:style>
  <w:style w:type="paragraph" w:styleId="1130">
    <w:name w:val="BodyText1I21"/>
    <w:basedOn w:val="1131"/>
    <w:next w:val="1130"/>
    <w:link w:val="795"/>
    <w:qFormat/>
    <w:pPr>
      <w:ind w:left="420" w:firstLine="420"/>
      <w:jc w:val="both"/>
      <w:spacing w:after="120" w:line="240" w:lineRule="auto"/>
    </w:pPr>
    <w:rPr>
      <w:rFonts w:ascii="Verdana" w:hAnsi="Verdana"/>
      <w:sz w:val="21"/>
      <w:szCs w:val="28"/>
      <w:lang w:val="en-US" w:eastAsia="zh-CN" w:bidi="ar-SA"/>
    </w:rPr>
  </w:style>
  <w:style w:type="paragraph" w:styleId="1131">
    <w:name w:val="BodyTextIndent1"/>
    <w:basedOn w:val="1129"/>
    <w:next w:val="1132"/>
    <w:link w:val="795"/>
    <w:qFormat/>
    <w:pPr>
      <w:ind w:left="420" w:firstLine="200"/>
      <w:jc w:val="both"/>
      <w:spacing w:after="120" w:line="360" w:lineRule="auto"/>
    </w:pPr>
    <w:rPr>
      <w:rFonts w:ascii="Verdana" w:hAnsi="Verdana"/>
      <w:sz w:val="24"/>
      <w:szCs w:val="28"/>
      <w:lang w:val="en-US" w:eastAsia="zh-CN" w:bidi="ar-SA"/>
    </w:rPr>
  </w:style>
  <w:style w:type="paragraph" w:styleId="1132">
    <w:name w:val="EnvelopeReturn1"/>
    <w:basedOn w:val="795"/>
    <w:next w:val="1132"/>
    <w:link w:val="795"/>
    <w:qFormat/>
    <w:rPr>
      <w:rFonts w:ascii="Arial" w:hAnsi="Arial"/>
    </w:rPr>
  </w:style>
  <w:style w:type="paragraph" w:styleId="1133">
    <w:name w:val="ds-markdown-paragraph"/>
    <w:basedOn w:val="795"/>
    <w:next w:val="1133"/>
    <w:link w:val="795"/>
    <w:qFormat/>
    <w:pPr>
      <w:jc w:val="left"/>
      <w:spacing w:before="100" w:beforeAutospacing="1" w:after="100" w:afterAutospacing="1"/>
      <w:widowControl/>
    </w:pPr>
    <w:rPr>
      <w:rFonts w:ascii="宋体" w:hAnsi="宋体" w:cs="宋体"/>
      <w:sz w:val="24"/>
    </w:rPr>
  </w:style>
  <w:style w:type="character" w:styleId="1134" w:default="1">
    <w:name w:val="Default Paragraph Font"/>
    <w:uiPriority w:val="1"/>
    <w:semiHidden/>
    <w:unhideWhenUsed/>
  </w:style>
  <w:style w:type="numbering" w:styleId="1135" w:default="1">
    <w:name w:val="No List"/>
    <w:uiPriority w:val="99"/>
    <w:semiHidden/>
    <w:unhideWhenUsed/>
  </w:style>
  <w:style w:type="table" w:styleId="11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赵晋川</cp:lastModifiedBy>
  <cp:revision>9</cp:revision>
  <dcterms:created xsi:type="dcterms:W3CDTF">2026-06-03T08:11:00Z</dcterms:created>
  <dcterms:modified xsi:type="dcterms:W3CDTF">2026-07-21T07:20:00Z</dcterms:modified>
</cp:coreProperties>
</file>