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1399B4">
      <w:pPr>
        <w:spacing w:before="5"/>
        <w:rPr>
          <w:rFonts w:eastAsia="Times New Roman"/>
          <w:color w:val="000000" w:themeColor="text1"/>
          <w:sz w:val="29"/>
          <w:szCs w:val="29"/>
          <w:highlight w:val="none"/>
          <w14:textFill>
            <w14:solidFill>
              <w14:schemeClr w14:val="tx1"/>
            </w14:solidFill>
          </w14:textFill>
        </w:rPr>
      </w:pPr>
    </w:p>
    <w:p w14:paraId="1FF9D58A">
      <w:pPr>
        <w:spacing w:line="820" w:lineRule="exact"/>
        <w:jc w:val="center"/>
        <w:rPr>
          <w:rFonts w:cs="黑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pacing w:val="5"/>
          <w:sz w:val="72"/>
          <w:szCs w:val="72"/>
          <w:highlight w:val="none"/>
          <w:lang w:eastAsia="zh-CN"/>
          <w14:textFill>
            <w14:solidFill>
              <w14:schemeClr w14:val="tx1"/>
            </w14:solidFill>
          </w14:textFill>
        </w:rPr>
        <w:t>竞争性磋商文件</w:t>
      </w:r>
    </w:p>
    <w:p w14:paraId="6ABEB479">
      <w:pPr>
        <w:spacing w:before="9"/>
        <w:jc w:val="center"/>
        <w:rPr>
          <w:rFonts w:ascii="黑体" w:hAnsi="黑体" w:eastAsia="黑体"/>
          <w:color w:val="000000" w:themeColor="text1"/>
          <w:sz w:val="52"/>
          <w:szCs w:val="52"/>
          <w:highlight w:val="none"/>
          <w:lang w:eastAsia="zh-CN"/>
          <w14:textFill>
            <w14:solidFill>
              <w14:schemeClr w14:val="tx1"/>
            </w14:solidFill>
          </w14:textFill>
        </w:rPr>
      </w:pPr>
    </w:p>
    <w:p w14:paraId="3E6A77E3">
      <w:pPr>
        <w:spacing w:before="9"/>
        <w:jc w:val="center"/>
        <w:rPr>
          <w:rFonts w:ascii="黑体" w:hAnsi="黑体" w:eastAsia="黑体"/>
          <w:color w:val="000000" w:themeColor="text1"/>
          <w:sz w:val="52"/>
          <w:szCs w:val="52"/>
          <w:highlight w:val="none"/>
          <w:lang w:eastAsia="zh-CN"/>
          <w14:textFill>
            <w14:solidFill>
              <w14:schemeClr w14:val="tx1"/>
            </w14:solidFill>
          </w14:textFill>
        </w:rPr>
      </w:pPr>
    </w:p>
    <w:p w14:paraId="5859E065">
      <w:pPr>
        <w:jc w:val="center"/>
        <w:rPr>
          <w:rFonts w:ascii="黑体" w:hAnsi="黑体" w:eastAsia="黑体"/>
          <w:color w:val="000000" w:themeColor="text1"/>
          <w:sz w:val="52"/>
          <w:szCs w:val="52"/>
          <w:highlight w:val="none"/>
          <w:lang w:eastAsia="zh-CN"/>
          <w14:textFill>
            <w14:solidFill>
              <w14:schemeClr w14:val="tx1"/>
            </w14:solidFill>
          </w14:textFill>
        </w:rPr>
      </w:pPr>
      <w:r>
        <w:rPr>
          <w:rFonts w:hint="eastAsia" w:ascii="黑体" w:hAnsi="黑体" w:eastAsia="黑体"/>
          <w:color w:val="000000" w:themeColor="text1"/>
          <w:sz w:val="52"/>
          <w:szCs w:val="52"/>
          <w:highlight w:val="none"/>
          <w:lang w:eastAsia="zh-CN"/>
          <w14:textFill>
            <w14:solidFill>
              <w14:schemeClr w14:val="tx1"/>
            </w14:solidFill>
          </w14:textFill>
        </w:rPr>
        <w:t>（服务类）</w:t>
      </w:r>
    </w:p>
    <w:p w14:paraId="4CB661A0">
      <w:pPr>
        <w:ind w:left="698"/>
        <w:rPr>
          <w:rFonts w:ascii="宋体" w:hAnsi="宋体" w:eastAsia="宋体" w:cs="宋体"/>
          <w:b/>
          <w:bCs/>
          <w:color w:val="000000" w:themeColor="text1"/>
          <w:highlight w:val="none"/>
          <w:lang w:eastAsia="zh-CN"/>
          <w14:textFill>
            <w14:solidFill>
              <w14:schemeClr w14:val="tx1"/>
            </w14:solidFill>
          </w14:textFill>
        </w:rPr>
      </w:pPr>
    </w:p>
    <w:p w14:paraId="539D3606">
      <w:pPr>
        <w:ind w:left="698"/>
        <w:rPr>
          <w:rFonts w:ascii="宋体" w:hAnsi="宋体" w:eastAsia="宋体" w:cs="宋体"/>
          <w:b/>
          <w:bCs/>
          <w:color w:val="000000" w:themeColor="text1"/>
          <w:highlight w:val="none"/>
          <w:lang w:eastAsia="zh-CN"/>
          <w14:textFill>
            <w14:solidFill>
              <w14:schemeClr w14:val="tx1"/>
            </w14:solidFill>
          </w14:textFill>
        </w:rPr>
      </w:pPr>
    </w:p>
    <w:p w14:paraId="440C2829">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2B401CEA">
      <w:pPr>
        <w:ind w:left="698"/>
        <w:rPr>
          <w:rFonts w:ascii="宋体" w:hAnsi="宋体" w:eastAsia="宋体" w:cs="宋体"/>
          <w:b/>
          <w:bCs/>
          <w:color w:val="000000" w:themeColor="text1"/>
          <w:sz w:val="28"/>
          <w:szCs w:val="28"/>
          <w:highlight w:val="none"/>
          <w:lang w:eastAsia="zh-CN"/>
          <w14:textFill>
            <w14:solidFill>
              <w14:schemeClr w14:val="tx1"/>
            </w14:solidFill>
          </w14:textFill>
        </w:rPr>
      </w:pPr>
    </w:p>
    <w:p w14:paraId="0CBB8482">
      <w:pPr>
        <w:keepNext w:val="0"/>
        <w:keepLines w:val="0"/>
        <w:pageBreakBefore w:val="0"/>
        <w:widowControl w:val="0"/>
        <w:kinsoku/>
        <w:wordWrap/>
        <w:overflowPunct/>
        <w:topLinePunct w:val="0"/>
        <w:autoSpaceDE/>
        <w:autoSpaceDN/>
        <w:bidi w:val="0"/>
        <w:adjustRightInd/>
        <w:snapToGrid/>
        <w:spacing w:line="480" w:lineRule="auto"/>
        <w:ind w:firstLine="1687" w:firstLineChars="600"/>
        <w:textAlignment w:val="auto"/>
        <w:rPr>
          <w:rFonts w:ascii="宋体" w:hAnsi="宋体" w:eastAsia="宋体" w:cs="宋体"/>
          <w:b/>
          <w:bCs/>
          <w:color w:val="000000" w:themeColor="text1"/>
          <w:sz w:val="28"/>
          <w:szCs w:val="28"/>
          <w:highlight w:val="none"/>
          <w:lang w:eastAsia="zh-CN"/>
          <w14:textFill>
            <w14:solidFill>
              <w14:schemeClr w14:val="tx1"/>
            </w14:solidFill>
          </w14:textFill>
        </w:rPr>
      </w:pPr>
      <w:r>
        <w:rPr>
          <w:rFonts w:ascii="宋体" w:hAnsi="宋体" w:eastAsia="宋体" w:cs="宋体"/>
          <w:b/>
          <w:bCs/>
          <w:color w:val="000000" w:themeColor="text1"/>
          <w:sz w:val="28"/>
          <w:szCs w:val="28"/>
          <w:highlight w:val="none"/>
          <w:lang w:eastAsia="zh-CN"/>
          <w14:textFill>
            <w14:solidFill>
              <w14:schemeClr w14:val="tx1"/>
            </w14:solidFill>
          </w14:textFill>
        </w:rPr>
        <w:t>项目编号：</w:t>
      </w:r>
      <w:r>
        <w:rPr>
          <w:rFonts w:hint="eastAsia" w:ascii="宋体" w:hAnsi="宋体" w:eastAsia="宋体" w:cs="宋体"/>
          <w:b/>
          <w:bCs/>
          <w:color w:val="000000" w:themeColor="text1"/>
          <w:sz w:val="28"/>
          <w:szCs w:val="28"/>
          <w:highlight w:val="none"/>
          <w:lang w:eastAsia="zh-CN"/>
          <w14:textFill>
            <w14:solidFill>
              <w14:schemeClr w14:val="tx1"/>
            </w14:solidFill>
          </w14:textFill>
        </w:rPr>
        <w:t>JSZC-320115-NJMT-C2026-0012</w:t>
      </w:r>
    </w:p>
    <w:p w14:paraId="6F82BFF5">
      <w:pPr>
        <w:keepNext w:val="0"/>
        <w:keepLines w:val="0"/>
        <w:pageBreakBefore w:val="0"/>
        <w:widowControl w:val="0"/>
        <w:kinsoku/>
        <w:wordWrap/>
        <w:overflowPunct/>
        <w:topLinePunct w:val="0"/>
        <w:autoSpaceDE/>
        <w:autoSpaceDN/>
        <w:bidi w:val="0"/>
        <w:adjustRightInd/>
        <w:snapToGrid/>
        <w:spacing w:line="480" w:lineRule="auto"/>
        <w:ind w:firstLine="1687" w:firstLineChars="600"/>
        <w:textAlignment w:val="auto"/>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项目名称：新济洲2025年度公益林生态效益补偿项目</w:t>
      </w:r>
    </w:p>
    <w:p w14:paraId="04383C45">
      <w:pPr>
        <w:keepNext w:val="0"/>
        <w:keepLines w:val="0"/>
        <w:pageBreakBefore w:val="0"/>
        <w:widowControl w:val="0"/>
        <w:kinsoku/>
        <w:wordWrap/>
        <w:overflowPunct/>
        <w:topLinePunct w:val="0"/>
        <w:autoSpaceDE/>
        <w:autoSpaceDN/>
        <w:bidi w:val="0"/>
        <w:adjustRightInd/>
        <w:snapToGrid/>
        <w:spacing w:line="480" w:lineRule="auto"/>
        <w:ind w:firstLine="1687" w:firstLineChars="600"/>
        <w:textAlignment w:val="auto"/>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采 购 人：南京长江新济洲国家湿地公园管理中心</w:t>
      </w:r>
    </w:p>
    <w:p w14:paraId="0C3C3ABF">
      <w:pPr>
        <w:keepNext w:val="0"/>
        <w:keepLines w:val="0"/>
        <w:pageBreakBefore w:val="0"/>
        <w:widowControl w:val="0"/>
        <w:kinsoku/>
        <w:wordWrap/>
        <w:overflowPunct/>
        <w:topLinePunct w:val="0"/>
        <w:autoSpaceDE/>
        <w:autoSpaceDN/>
        <w:bidi w:val="0"/>
        <w:adjustRightInd/>
        <w:snapToGrid/>
        <w:spacing w:line="480" w:lineRule="auto"/>
        <w:ind w:firstLine="1687" w:firstLineChars="600"/>
        <w:textAlignment w:val="auto"/>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采购代理机构：南京麻田工程咨询有限公司</w:t>
      </w:r>
    </w:p>
    <w:p w14:paraId="46A787F1">
      <w:pPr>
        <w:spacing w:line="360" w:lineRule="auto"/>
        <w:rPr>
          <w:rFonts w:ascii="宋体" w:hAnsi="宋体" w:eastAsia="宋体" w:cs="宋体"/>
          <w:color w:val="000000" w:themeColor="text1"/>
          <w:sz w:val="32"/>
          <w:szCs w:val="32"/>
          <w:highlight w:val="none"/>
          <w:lang w:eastAsia="zh-CN"/>
          <w14:textFill>
            <w14:solidFill>
              <w14:schemeClr w14:val="tx1"/>
            </w14:solidFill>
          </w14:textFill>
        </w:rPr>
      </w:pPr>
    </w:p>
    <w:p w14:paraId="25BF3360">
      <w:pPr>
        <w:pStyle w:val="67"/>
        <w:rPr>
          <w:rFonts w:eastAsiaTheme="minorEastAsia"/>
          <w:color w:val="000000" w:themeColor="text1"/>
          <w:highlight w:val="none"/>
          <w:lang w:eastAsia="zh-CN"/>
          <w14:textFill>
            <w14:solidFill>
              <w14:schemeClr w14:val="tx1"/>
            </w14:solidFill>
          </w14:textFill>
        </w:rPr>
      </w:pPr>
    </w:p>
    <w:p w14:paraId="0C08E551">
      <w:pPr>
        <w:pStyle w:val="67"/>
        <w:rPr>
          <w:rFonts w:eastAsiaTheme="minorEastAsia"/>
          <w:color w:val="000000" w:themeColor="text1"/>
          <w:highlight w:val="none"/>
          <w:lang w:eastAsia="zh-CN"/>
          <w14:textFill>
            <w14:solidFill>
              <w14:schemeClr w14:val="tx1"/>
            </w14:solidFill>
          </w14:textFill>
        </w:rPr>
      </w:pPr>
    </w:p>
    <w:p w14:paraId="4CCE9BC8">
      <w:pPr>
        <w:pStyle w:val="67"/>
        <w:rPr>
          <w:rFonts w:eastAsiaTheme="minorEastAsia"/>
          <w:color w:val="000000" w:themeColor="text1"/>
          <w:highlight w:val="none"/>
          <w:lang w:eastAsia="zh-CN"/>
          <w14:textFill>
            <w14:solidFill>
              <w14:schemeClr w14:val="tx1"/>
            </w14:solidFill>
          </w14:textFill>
        </w:rPr>
      </w:pPr>
    </w:p>
    <w:p w14:paraId="73B7F386">
      <w:pPr>
        <w:pStyle w:val="67"/>
        <w:rPr>
          <w:rFonts w:eastAsiaTheme="minorEastAsia"/>
          <w:color w:val="000000" w:themeColor="text1"/>
          <w:highlight w:val="none"/>
          <w:lang w:eastAsia="zh-CN"/>
          <w14:textFill>
            <w14:solidFill>
              <w14:schemeClr w14:val="tx1"/>
            </w14:solidFill>
          </w14:textFill>
        </w:rPr>
      </w:pPr>
    </w:p>
    <w:p w14:paraId="74A5E3B3">
      <w:pPr>
        <w:pStyle w:val="67"/>
        <w:rPr>
          <w:rFonts w:eastAsiaTheme="minorEastAsia"/>
          <w:color w:val="000000" w:themeColor="text1"/>
          <w:highlight w:val="none"/>
          <w:lang w:eastAsia="zh-CN"/>
          <w14:textFill>
            <w14:solidFill>
              <w14:schemeClr w14:val="tx1"/>
            </w14:solidFill>
          </w14:textFill>
        </w:rPr>
      </w:pPr>
    </w:p>
    <w:p w14:paraId="38B2E6B7">
      <w:pPr>
        <w:pStyle w:val="67"/>
        <w:rPr>
          <w:rFonts w:eastAsiaTheme="minorEastAsia"/>
          <w:color w:val="000000" w:themeColor="text1"/>
          <w:highlight w:val="none"/>
          <w:lang w:eastAsia="zh-CN"/>
          <w14:textFill>
            <w14:solidFill>
              <w14:schemeClr w14:val="tx1"/>
            </w14:solidFill>
          </w14:textFill>
        </w:rPr>
      </w:pPr>
    </w:p>
    <w:p w14:paraId="67D5C380">
      <w:pPr>
        <w:pStyle w:val="67"/>
        <w:rPr>
          <w:rFonts w:eastAsiaTheme="minorEastAsia"/>
          <w:color w:val="000000" w:themeColor="text1"/>
          <w:highlight w:val="none"/>
          <w:lang w:eastAsia="zh-CN"/>
          <w14:textFill>
            <w14:solidFill>
              <w14:schemeClr w14:val="tx1"/>
            </w14:solidFill>
          </w14:textFill>
        </w:rPr>
      </w:pPr>
    </w:p>
    <w:p w14:paraId="4DA5D847">
      <w:pPr>
        <w:pStyle w:val="67"/>
        <w:rPr>
          <w:rFonts w:eastAsiaTheme="minorEastAsia"/>
          <w:color w:val="000000" w:themeColor="text1"/>
          <w:highlight w:val="none"/>
          <w:lang w:eastAsia="zh-CN"/>
          <w14:textFill>
            <w14:solidFill>
              <w14:schemeClr w14:val="tx1"/>
            </w14:solidFill>
          </w14:textFill>
        </w:rPr>
      </w:pPr>
    </w:p>
    <w:p w14:paraId="0280AF22">
      <w:pPr>
        <w:pStyle w:val="67"/>
        <w:rPr>
          <w:rFonts w:eastAsiaTheme="minorEastAsia"/>
          <w:color w:val="000000" w:themeColor="text1"/>
          <w:highlight w:val="none"/>
          <w:lang w:eastAsia="zh-CN"/>
          <w14:textFill>
            <w14:solidFill>
              <w14:schemeClr w14:val="tx1"/>
            </w14:solidFill>
          </w14:textFill>
        </w:rPr>
      </w:pPr>
    </w:p>
    <w:p w14:paraId="31C1E6A9">
      <w:pPr>
        <w:pStyle w:val="67"/>
        <w:rPr>
          <w:rFonts w:eastAsiaTheme="minorEastAsia"/>
          <w:color w:val="000000" w:themeColor="text1"/>
          <w:highlight w:val="none"/>
          <w:lang w:eastAsia="zh-CN"/>
          <w14:textFill>
            <w14:solidFill>
              <w14:schemeClr w14:val="tx1"/>
            </w14:solidFill>
          </w14:textFill>
        </w:rPr>
      </w:pPr>
    </w:p>
    <w:p w14:paraId="0766BA25">
      <w:pPr>
        <w:spacing w:line="360" w:lineRule="auto"/>
        <w:jc w:val="center"/>
        <w:rPr>
          <w:rFonts w:ascii="黑体" w:hAnsi="黑体" w:eastAsia="黑体" w:cs="黑体"/>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二○二</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六</w:t>
      </w:r>
      <w:r>
        <w:rPr>
          <w:rFonts w:hint="eastAsia" w:ascii="宋体" w:hAnsi="宋体" w:eastAsia="宋体" w:cs="宋体"/>
          <w:b/>
          <w:bCs/>
          <w:color w:val="000000" w:themeColor="text1"/>
          <w:sz w:val="28"/>
          <w:szCs w:val="28"/>
          <w:highlight w:val="none"/>
          <w:lang w:eastAsia="zh-CN"/>
          <w14:textFill>
            <w14:solidFill>
              <w14:schemeClr w14:val="tx1"/>
            </w14:solidFill>
          </w14:textFill>
        </w:rPr>
        <w:t>年</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八</w:t>
      </w:r>
      <w:r>
        <w:rPr>
          <w:rFonts w:hint="eastAsia" w:ascii="宋体" w:hAnsi="宋体" w:eastAsia="宋体" w:cs="宋体"/>
          <w:b/>
          <w:bCs/>
          <w:color w:val="000000" w:themeColor="text1"/>
          <w:sz w:val="28"/>
          <w:szCs w:val="28"/>
          <w:highlight w:val="none"/>
          <w:lang w:eastAsia="zh-CN"/>
          <w14:textFill>
            <w14:solidFill>
              <w14:schemeClr w14:val="tx1"/>
            </w14:solidFill>
          </w14:textFill>
        </w:rPr>
        <w:t>月</w:t>
      </w:r>
    </w:p>
    <w:p w14:paraId="0F0BC11C">
      <w:pPr>
        <w:spacing w:line="357" w:lineRule="auto"/>
        <w:jc w:val="center"/>
        <w:rPr>
          <w:rFonts w:ascii="黑体" w:hAnsi="黑体" w:eastAsia="黑体" w:cs="黑体"/>
          <w:color w:val="000000" w:themeColor="text1"/>
          <w:sz w:val="36"/>
          <w:szCs w:val="36"/>
          <w:highlight w:val="none"/>
          <w:lang w:eastAsia="zh-CN"/>
          <w14:textFill>
            <w14:solidFill>
              <w14:schemeClr w14:val="tx1"/>
            </w14:solidFill>
          </w14:textFill>
        </w:rPr>
      </w:pPr>
      <w:r>
        <w:rPr>
          <w:rFonts w:ascii="黑体" w:hAnsi="黑体" w:eastAsia="黑体" w:cs="黑体"/>
          <w:color w:val="000000" w:themeColor="text1"/>
          <w:sz w:val="36"/>
          <w:szCs w:val="36"/>
          <w:highlight w:val="none"/>
          <w:lang w:eastAsia="zh-CN"/>
          <w14:textFill>
            <w14:solidFill>
              <w14:schemeClr w14:val="tx1"/>
            </w14:solidFill>
          </w14:textFill>
        </w:rPr>
        <w:br w:type="page" w:clear="all"/>
      </w:r>
      <w:bookmarkStart w:id="0" w:name="_bookmark0"/>
      <w:bookmarkEnd w:id="0"/>
      <w:bookmarkStart w:id="1" w:name="第一章__竞争性磋商邀请"/>
      <w:bookmarkEnd w:id="1"/>
      <w:r>
        <w:rPr>
          <w:rFonts w:hint="eastAsia" w:ascii="宋体" w:hAnsi="宋体" w:eastAsia="宋体" w:cs="宋体"/>
          <w:b/>
          <w:bCs/>
          <w:color w:val="000000" w:themeColor="text1"/>
          <w:sz w:val="24"/>
          <w:szCs w:val="24"/>
          <w:highlight w:val="none"/>
          <w:lang w:eastAsia="zh-CN"/>
          <w14:textFill>
            <w14:solidFill>
              <w14:schemeClr w14:val="tx1"/>
            </w14:solidFill>
          </w14:textFill>
        </w:rPr>
        <w:t>目  录</w:t>
      </w:r>
    </w:p>
    <w:p w14:paraId="1CD02642">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rFonts w:hint="eastAsia" w:cs="宋体"/>
          <w:b w:val="0"/>
          <w:bCs w:val="0"/>
          <w:color w:val="000000" w:themeColor="text1"/>
          <w:highlight w:val="none"/>
          <w14:textFill>
            <w14:solidFill>
              <w14:schemeClr w14:val="tx1"/>
            </w14:solidFill>
          </w14:textFill>
        </w:rPr>
        <w:fldChar w:fldCharType="begin"/>
      </w:r>
      <w:r>
        <w:rPr>
          <w:rFonts w:hint="eastAsia" w:cs="宋体"/>
          <w:b w:val="0"/>
          <w:bCs w:val="0"/>
          <w:color w:val="000000" w:themeColor="text1"/>
          <w:highlight w:val="none"/>
          <w14:textFill>
            <w14:solidFill>
              <w14:schemeClr w14:val="tx1"/>
            </w14:solidFill>
          </w14:textFill>
        </w:rPr>
        <w:instrText xml:space="preserve">TOC \o "1-1" \h \u </w:instrText>
      </w:r>
      <w:r>
        <w:rPr>
          <w:rFonts w:hint="eastAsia" w:cs="宋体"/>
          <w:b w:val="0"/>
          <w:bCs w:val="0"/>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"_Toc183610245"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第一章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竞争性磋商公告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22D298C6">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"_Toc183610246"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第二章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048CFFEB">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"_Toc183610247"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第三章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成交标准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0B20B954">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"_Toc183610248"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val="zh-CN" w:eastAsia="zh-CN"/>
          <w14:textFill>
            <w14:solidFill>
              <w14:schemeClr w14:val="tx1"/>
            </w14:solidFill>
          </w14:textFill>
        </w:rPr>
        <w:t>第四章</w:t>
      </w:r>
      <w:r>
        <w:rPr>
          <w:rStyle w:val="60"/>
          <w:rFonts w:cs="宋体"/>
          <w:color w:val="000000" w:themeColor="text1"/>
          <w:highlight w:val="none"/>
          <w:lang w:val="zh-CN" w:eastAsia="zh-CN"/>
          <w14:textFill>
            <w14:solidFill>
              <w14:schemeClr w14:val="tx1"/>
            </w14:solidFill>
          </w14:textFill>
        </w:rPr>
        <w:t xml:space="preserve"> </w:t>
      </w:r>
      <w:r>
        <w:rPr>
          <w:rStyle w:val="60"/>
          <w:rFonts w:hint="eastAsia" w:cs="宋体"/>
          <w:color w:val="000000" w:themeColor="text1"/>
          <w:highlight w:val="none"/>
          <w:lang w:val="zh-CN" w:eastAsia="zh-CN"/>
          <w14:textFill>
            <w14:solidFill>
              <w14:schemeClr w14:val="tx1"/>
            </w14:solidFill>
          </w14:textFill>
        </w:rPr>
        <w:t>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22</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65463D70">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"_Toc183610249"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val="zh-CN" w:eastAsia="zh-CN"/>
          <w14:textFill>
            <w14:solidFill>
              <w14:schemeClr w14:val="tx1"/>
            </w14:solidFill>
          </w14:textFill>
        </w:rPr>
        <w:t>第五章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val="zh-CN" w:eastAsia="zh-CN"/>
          <w14:textFill>
            <w14:solidFill>
              <w14:schemeClr w14:val="tx1"/>
            </w14:solidFill>
          </w14:textFill>
        </w:rPr>
        <w:t>合同草案条款及格式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25</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144A402D">
      <w:pPr>
        <w:pStyle w:val="32"/>
        <w:tabs>
          <w:tab w:val="right" w:leader="dot" w:pos="9479"/>
        </w:tabs>
        <w:rPr>
          <w:rFonts w:asciiTheme="minorHAnsi" w:hAnsiTheme="minorHAnsi" w:eastAsiaTheme="minorEastAsia" w:cstheme="minorBidi"/>
          <w:b w:val="0"/>
          <w:bCs w:val="0"/>
          <w:color w:val="000000" w:themeColor="text1"/>
          <w:kern w:val="2"/>
          <w:sz w:val="21"/>
          <w:szCs w:val="22"/>
          <w:highlight w:val="none"/>
          <w:lang w:eastAsia="zh-CN"/>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"_Toc183610250" </w:instrText>
      </w:r>
      <w:r>
        <w:rPr>
          <w:color w:val="000000" w:themeColor="text1"/>
          <w:highlight w:val="none"/>
          <w14:textFill>
            <w14:solidFill>
              <w14:schemeClr w14:val="tx1"/>
            </w14:solidFill>
          </w14:textFill>
        </w:rPr>
        <w:fldChar w:fldCharType="separate"/>
      </w:r>
      <w:r>
        <w:rPr>
          <w:rStyle w:val="60"/>
          <w:rFonts w:hint="eastAsia" w:cs="宋体"/>
          <w:color w:val="000000" w:themeColor="text1"/>
          <w:highlight w:val="none"/>
          <w:lang w:eastAsia="zh-CN"/>
          <w14:textFill>
            <w14:solidFill>
              <w14:schemeClr w14:val="tx1"/>
            </w14:solidFill>
          </w14:textFill>
        </w:rPr>
        <w:t>第六章</w:t>
      </w:r>
      <w:r>
        <w:rPr>
          <w:rStyle w:val="60"/>
          <w:rFonts w:cs="宋体"/>
          <w:color w:val="000000" w:themeColor="text1"/>
          <w:highlight w:val="none"/>
          <w:lang w:eastAsia="zh-CN"/>
          <w14:textFill>
            <w14:solidFill>
              <w14:schemeClr w14:val="tx1"/>
            </w14:solidFill>
          </w14:textFill>
        </w:rPr>
        <w:t xml:space="preserve"> </w:t>
      </w:r>
      <w:r>
        <w:rPr>
          <w:rStyle w:val="60"/>
          <w:rFonts w:hint="eastAsia" w:cs="宋体"/>
          <w:color w:val="000000" w:themeColor="text1"/>
          <w:highlight w:val="none"/>
          <w:lang w:eastAsia="zh-CN"/>
          <w14:textFill>
            <w14:solidFill>
              <w14:schemeClr w14:val="tx1"/>
            </w14:solidFill>
          </w14:textFill>
        </w:rPr>
        <w:t>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_Toc183610250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37</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p>
    <w:p w14:paraId="2E3B4403">
      <w:pPr>
        <w:rPr>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fldChar w:fldCharType="end"/>
      </w:r>
    </w:p>
    <w:p w14:paraId="527E9591">
      <w:pPr>
        <w:rPr>
          <w:rFonts w:hint="eastAsia" w:ascii="宋体" w:hAnsi="宋体" w:eastAsia="宋体" w:cs="宋体"/>
          <w:b/>
          <w:bCs/>
          <w:color w:val="000000" w:themeColor="text1"/>
          <w:sz w:val="28"/>
          <w:szCs w:val="28"/>
          <w:highlight w:val="none"/>
          <w:lang w:eastAsia="zh-CN"/>
          <w14:textFill>
            <w14:solidFill>
              <w14:schemeClr w14:val="tx1"/>
            </w14:solidFill>
          </w14:textFill>
        </w:rPr>
      </w:pPr>
      <w:bookmarkStart w:id="2" w:name="_Toc183610245"/>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r>
    </w:p>
    <w:p w14:paraId="127B10D3">
      <w:pPr>
        <w:tabs>
          <w:tab w:val="left" w:pos="4171"/>
        </w:tabs>
        <w:spacing w:line="360" w:lineRule="auto"/>
        <w:jc w:val="center"/>
        <w:outlineLvl w:val="0"/>
        <w:rPr>
          <w:rFonts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t>第一章 竞争性磋商公告</w:t>
      </w:r>
      <w:bookmarkEnd w:id="2"/>
    </w:p>
    <w:p w14:paraId="57443F8B">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bookmarkStart w:id="3" w:name="_Toc28359012"/>
      <w:bookmarkStart w:id="4" w:name="_Toc35393629"/>
      <w:bookmarkStart w:id="5" w:name="_Toc35393798"/>
      <w:bookmarkStart w:id="6" w:name="_Toc28359089"/>
      <w:r>
        <w:rPr>
          <w:rFonts w:hint="eastAsia" w:ascii="宋体" w:hAnsi="宋体" w:eastAsia="宋体" w:cs="宋体"/>
          <w:b/>
          <w:color w:val="000000" w:themeColor="text1"/>
          <w:sz w:val="21"/>
          <w:szCs w:val="21"/>
          <w:highlight w:val="none"/>
          <w:lang w:eastAsia="zh-CN"/>
          <w14:textFill>
            <w14:solidFill>
              <w14:schemeClr w14:val="tx1"/>
            </w14:solidFill>
          </w14:textFill>
        </w:rPr>
        <w:t>项目概况</w:t>
      </w:r>
    </w:p>
    <w:p w14:paraId="37D24E14">
      <w:pPr>
        <w:spacing w:line="360" w:lineRule="auto"/>
        <w:ind w:firstLine="422"/>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eastAsia="宋体" w:cs="宋体"/>
          <w:color w:val="000000" w:themeColor="text1"/>
          <w:sz w:val="21"/>
          <w:szCs w:val="21"/>
          <w:highlight w:val="none"/>
          <w:u w:val="single"/>
          <w:lang w:eastAsia="zh-CN"/>
          <w14:textFill>
            <w14:solidFill>
              <w14:schemeClr w14:val="tx1"/>
            </w14:solidFill>
          </w14:textFill>
        </w:rPr>
        <w:t>新济洲2025年度公益林生态效益补偿项目  JSZC-320115-NJMT-C2026-0012</w:t>
      </w:r>
      <w:r>
        <w:rPr>
          <w:rFonts w:hint="eastAsia" w:eastAsia="宋体" w:cs="宋体"/>
          <w:color w:val="000000" w:themeColor="text1"/>
          <w:sz w:val="21"/>
          <w:szCs w:val="21"/>
          <w:highlight w:val="none"/>
          <w:lang w:eastAsia="zh-CN"/>
          <w14:textFill>
            <w14:solidFill>
              <w14:schemeClr w14:val="tx1"/>
            </w14:solidFill>
          </w14:textFill>
        </w:rPr>
        <w:t>采购项目的潜在供应商应在</w:t>
      </w:r>
      <w:r>
        <w:rPr>
          <w:rFonts w:hint="eastAsia" w:eastAsia="宋体" w:cs="宋体"/>
          <w:color w:val="000000" w:themeColor="text1"/>
          <w:sz w:val="21"/>
          <w:szCs w:val="21"/>
          <w:highlight w:val="none"/>
          <w:u w:val="single"/>
          <w:lang w:val="en-US" w:eastAsia="zh-CN"/>
          <w14:textFill>
            <w14:solidFill>
              <w14:schemeClr w14:val="tx1"/>
            </w14:solidFill>
          </w14:textFill>
        </w:rPr>
        <w:t>“苏采云”政府采购交易系统</w:t>
      </w:r>
      <w:r>
        <w:rPr>
          <w:rFonts w:hint="eastAsia" w:eastAsia="宋体" w:cs="宋体"/>
          <w:color w:val="000000" w:themeColor="text1"/>
          <w:sz w:val="21"/>
          <w:szCs w:val="21"/>
          <w:highlight w:val="none"/>
          <w:lang w:eastAsia="zh-CN"/>
          <w14:textFill>
            <w14:solidFill>
              <w14:schemeClr w14:val="tx1"/>
            </w14:solidFill>
          </w14:textFill>
        </w:rPr>
        <w:t>获取采购文件，并于</w:t>
      </w:r>
      <w:r>
        <w:rPr>
          <w:rFonts w:hint="eastAsia" w:eastAsia="宋体" w:cs="宋体"/>
          <w:color w:val="FF0000"/>
          <w:sz w:val="21"/>
          <w:szCs w:val="21"/>
          <w:highlight w:val="none"/>
          <w:u w:val="single"/>
          <w:lang w:eastAsia="zh-CN"/>
        </w:rPr>
        <w:t>202</w:t>
      </w:r>
      <w:r>
        <w:rPr>
          <w:rFonts w:hint="eastAsia" w:eastAsia="宋体" w:cs="宋体"/>
          <w:color w:val="FF0000"/>
          <w:sz w:val="21"/>
          <w:szCs w:val="21"/>
          <w:highlight w:val="none"/>
          <w:u w:val="single"/>
          <w:lang w:val="en-US" w:eastAsia="zh-CN"/>
        </w:rPr>
        <w:t>6</w:t>
      </w:r>
      <w:r>
        <w:rPr>
          <w:rFonts w:hint="eastAsia" w:eastAsia="宋体" w:cs="宋体"/>
          <w:color w:val="FF0000"/>
          <w:sz w:val="21"/>
          <w:szCs w:val="21"/>
          <w:highlight w:val="none"/>
          <w:u w:val="single"/>
          <w:lang w:eastAsia="zh-CN"/>
        </w:rPr>
        <w:t>-</w:t>
      </w:r>
      <w:r>
        <w:rPr>
          <w:rFonts w:hint="eastAsia" w:eastAsia="宋体" w:cs="宋体"/>
          <w:color w:val="FF0000"/>
          <w:sz w:val="21"/>
          <w:szCs w:val="21"/>
          <w:highlight w:val="none"/>
          <w:u w:val="single"/>
          <w:lang w:val="en-US" w:eastAsia="zh-CN"/>
        </w:rPr>
        <w:t>8</w:t>
      </w:r>
      <w:r>
        <w:rPr>
          <w:rFonts w:hint="eastAsia" w:eastAsia="宋体" w:cs="宋体"/>
          <w:color w:val="FF0000"/>
          <w:sz w:val="21"/>
          <w:szCs w:val="21"/>
          <w:highlight w:val="none"/>
          <w:u w:val="single"/>
          <w:lang w:eastAsia="zh-CN"/>
        </w:rPr>
        <w:t>-</w:t>
      </w:r>
      <w:r>
        <w:rPr>
          <w:rFonts w:hint="eastAsia" w:eastAsia="宋体" w:cs="宋体"/>
          <w:color w:val="FF0000"/>
          <w:sz w:val="21"/>
          <w:szCs w:val="21"/>
          <w:highlight w:val="none"/>
          <w:u w:val="single"/>
          <w:lang w:val="en-US" w:eastAsia="zh-CN"/>
        </w:rPr>
        <w:t xml:space="preserve">18 </w:t>
      </w:r>
      <w:r>
        <w:rPr>
          <w:rFonts w:hint="eastAsia" w:eastAsia="宋体" w:cs="宋体"/>
          <w:color w:val="FF0000"/>
          <w:sz w:val="21"/>
          <w:szCs w:val="21"/>
          <w:highlight w:val="none"/>
          <w:u w:val="single"/>
          <w:lang w:eastAsia="zh-CN"/>
        </w:rPr>
        <w:t xml:space="preserve"> </w:t>
      </w:r>
      <w:r>
        <w:rPr>
          <w:rFonts w:hint="eastAsia" w:eastAsia="宋体" w:cs="宋体"/>
          <w:color w:val="FF0000"/>
          <w:sz w:val="21"/>
          <w:szCs w:val="21"/>
          <w:highlight w:val="none"/>
          <w:u w:val="single"/>
          <w:lang w:val="en-US" w:eastAsia="zh-CN"/>
        </w:rPr>
        <w:t>9</w:t>
      </w:r>
      <w:r>
        <w:rPr>
          <w:rFonts w:hint="eastAsia" w:eastAsia="宋体" w:cs="宋体"/>
          <w:color w:val="FF0000"/>
          <w:sz w:val="21"/>
          <w:szCs w:val="21"/>
          <w:highlight w:val="none"/>
          <w:u w:val="single"/>
          <w:lang w:eastAsia="zh-CN"/>
        </w:rPr>
        <w:t>：30</w:t>
      </w:r>
      <w:r>
        <w:rPr>
          <w:rFonts w:hint="eastAsia" w:eastAsia="宋体" w:cs="宋体"/>
          <w:color w:val="000000" w:themeColor="text1"/>
          <w:sz w:val="21"/>
          <w:szCs w:val="21"/>
          <w:highlight w:val="none"/>
          <w:lang w:eastAsia="zh-CN"/>
          <w14:textFill>
            <w14:solidFill>
              <w14:schemeClr w14:val="tx1"/>
            </w14:solidFill>
          </w14:textFill>
        </w:rPr>
        <w:t>（北京时间）前提交响应文件。</w:t>
      </w:r>
    </w:p>
    <w:p w14:paraId="054C65B3">
      <w:pPr>
        <w:spacing w:line="360" w:lineRule="auto"/>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一、项目基本情况</w:t>
      </w:r>
      <w:bookmarkEnd w:id="3"/>
      <w:bookmarkEnd w:id="4"/>
      <w:bookmarkEnd w:id="5"/>
      <w:bookmarkEnd w:id="6"/>
    </w:p>
    <w:p w14:paraId="6A2B6184">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项目编号：JSZC-320115-NJMT-C2026-0012</w:t>
      </w:r>
    </w:p>
    <w:p w14:paraId="3A1913A1">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项目名称：新济洲2025年度公益林生态效益补偿项目</w:t>
      </w:r>
    </w:p>
    <w:p w14:paraId="78CF5EF2">
      <w:pPr>
        <w:tabs>
          <w:tab w:val="center" w:pos="4865"/>
        </w:tabs>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采购方式：竞争性磋商</w:t>
      </w:r>
    </w:p>
    <w:p w14:paraId="45DC2D0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预算金额：</w:t>
      </w:r>
      <w:r>
        <w:rPr>
          <w:rFonts w:hint="eastAsia" w:ascii="宋体" w:hAnsi="宋体" w:eastAsia="宋体" w:cs="宋体"/>
          <w:szCs w:val="21"/>
          <w:highlight w:val="none"/>
          <w:lang w:val="en-US" w:eastAsia="zh-CN"/>
        </w:rPr>
        <w:t>150</w:t>
      </w:r>
      <w:r>
        <w:rPr>
          <w:rFonts w:hint="eastAsia" w:ascii="宋体" w:hAnsi="宋体" w:eastAsia="宋体" w:cs="宋体"/>
          <w:szCs w:val="21"/>
          <w:highlight w:val="none"/>
          <w:lang w:val="zh-CN"/>
        </w:rPr>
        <w:t>万元</w:t>
      </w:r>
    </w:p>
    <w:p w14:paraId="0629697A">
      <w:pPr>
        <w:spacing w:line="360" w:lineRule="auto"/>
        <w:ind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最高限价：149.025132万元，报价高于最高限价的响应文件为无效投标文件。</w:t>
      </w:r>
    </w:p>
    <w:p w14:paraId="764AAAD9">
      <w:pPr>
        <w:spacing w:line="360" w:lineRule="auto"/>
        <w:ind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采购需求</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：公益林生态效益补偿，详见项目需求。</w:t>
      </w:r>
    </w:p>
    <w:p w14:paraId="3409EE23">
      <w:pPr>
        <w:spacing w:line="360" w:lineRule="auto"/>
        <w:ind w:firstLine="4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合同履行期限：</w:t>
      </w:r>
      <w:r>
        <w:rPr>
          <w:rFonts w:hint="eastAsia" w:ascii="宋体" w:hAnsi="宋体" w:eastAsia="宋体" w:cs="宋体"/>
          <w:szCs w:val="21"/>
          <w:highlight w:val="none"/>
          <w:lang w:val="en-US" w:eastAsia="zh-CN"/>
        </w:rPr>
        <w:t>一年</w:t>
      </w:r>
    </w:p>
    <w:p w14:paraId="405DD79A">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本项目（是/否）接受联合体：否。</w:t>
      </w:r>
    </w:p>
    <w:p w14:paraId="48276116">
      <w:pPr>
        <w:spacing w:line="360" w:lineRule="auto"/>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二、申请人的资格要求：</w:t>
      </w:r>
    </w:p>
    <w:p w14:paraId="2874CF92">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（一）满足《中华人民共和国政府采购法》第二十二条规定：</w:t>
      </w:r>
    </w:p>
    <w:p w14:paraId="1A66E750">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1.具有独立承担民事责任的能力（请提供法人或者其他组织的营业执照等证明文件，自然人的身份证明）。</w:t>
      </w:r>
    </w:p>
    <w:p w14:paraId="72D3A709">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符合《中华人民共和国政府采购法》第二十二条的相关规定，提供《南京市政府采购供应商信用记录表暨信用承诺书》，其中不适用信用承诺的情形：①供应商被列入严重失信主体名单；②被相关监管部门作出行政处罚且尚在处罚有效期内；③其他法律、行政法规规定的不适用信用承诺的情形。</w:t>
      </w:r>
    </w:p>
    <w:p w14:paraId="255E9E93">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（二）落实政府采购政策需满足的资格条件：</w:t>
      </w:r>
    </w:p>
    <w:p w14:paraId="773D7683">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b/>
          <w:bCs/>
          <w:color w:val="000000"/>
          <w:sz w:val="24"/>
          <w:szCs w:val="24"/>
          <w:highlight w:val="none"/>
          <w:lang w:val="zh-CN"/>
        </w:rPr>
        <w:t>本项目专门面向中小微企业采购，供应商应为中小微企业或监狱企业或残疾人福利性单位</w:t>
      </w:r>
      <w:r>
        <w:rPr>
          <w:rFonts w:hint="eastAsia" w:ascii="宋体" w:hAnsi="宋体" w:eastAsia="宋体" w:cs="宋体"/>
          <w:b/>
          <w:bCs/>
          <w:szCs w:val="21"/>
          <w:highlight w:val="none"/>
          <w:lang w:eastAsia="zh-CN"/>
        </w:rPr>
        <w:t>。</w:t>
      </w:r>
    </w:p>
    <w:p w14:paraId="5F33FA94">
      <w:pPr>
        <w:spacing w:line="360" w:lineRule="auto"/>
        <w:ind w:firstLine="420"/>
        <w:rPr>
          <w:rFonts w:hint="eastAsia" w:ascii="宋体" w:hAnsi="宋体"/>
          <w:color w:val="auto"/>
          <w:szCs w:val="21"/>
          <w:highlight w:val="none"/>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本项目的特定资格要求：无。</w:t>
      </w:r>
    </w:p>
    <w:p w14:paraId="2B834E5C">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三、获取采购文件</w:t>
      </w:r>
    </w:p>
    <w:p w14:paraId="3C84549F">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时间：自磋商文件公告发布之日起5个工作日；</w:t>
      </w:r>
    </w:p>
    <w:p w14:paraId="35638E7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地点：“苏采云”政府采购交易系统</w:t>
      </w:r>
    </w:p>
    <w:p w14:paraId="481E86D0">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方式：在苏采云电子交易平台首页点击供应商→使用CA锁登录系统(新用户需进行“平台用户注册”)→“项目参与”进行登记，在“可参与项目”中选择“我要参与”，参与成功后到“已参与项目”界面中找到该项目下载电子标书并进行操作。</w:t>
      </w:r>
    </w:p>
    <w:p w14:paraId="566FA58C">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售价：0.00元。</w:t>
      </w:r>
    </w:p>
    <w:p w14:paraId="71BDD2AE">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四、响应文件提交</w:t>
      </w:r>
    </w:p>
    <w:p w14:paraId="4171E75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截止时间：</w:t>
      </w:r>
      <w:r>
        <w:rPr>
          <w:rFonts w:hint="eastAsia" w:ascii="宋体" w:hAnsi="宋体" w:eastAsia="宋体" w:cs="宋体"/>
          <w:color w:val="FF0000"/>
          <w:sz w:val="21"/>
          <w:szCs w:val="21"/>
          <w:highlight w:val="none"/>
          <w:lang w:eastAsia="zh-CN"/>
        </w:rPr>
        <w:t>202</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8</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18  9</w:t>
      </w:r>
      <w:r>
        <w:rPr>
          <w:rFonts w:hint="eastAsia" w:ascii="宋体" w:hAnsi="宋体" w:eastAsia="宋体" w:cs="宋体"/>
          <w:color w:val="FF0000"/>
          <w:sz w:val="21"/>
          <w:szCs w:val="21"/>
          <w:highlight w:val="none"/>
          <w:lang w:eastAsia="zh-CN"/>
        </w:rPr>
        <w:t>:30（北京时间）</w:t>
      </w:r>
    </w:p>
    <w:p w14:paraId="0D354F42">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政府采购交易系统</w:t>
      </w:r>
    </w:p>
    <w:p w14:paraId="2CD9FE63">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五、开启</w:t>
      </w:r>
    </w:p>
    <w:p w14:paraId="5279A3FF">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时间：</w:t>
      </w:r>
      <w:r>
        <w:rPr>
          <w:rFonts w:hint="eastAsia" w:ascii="宋体" w:hAnsi="宋体" w:eastAsia="宋体" w:cs="宋体"/>
          <w:color w:val="FF0000"/>
          <w:sz w:val="21"/>
          <w:szCs w:val="21"/>
          <w:highlight w:val="none"/>
          <w:lang w:eastAsia="zh-CN"/>
        </w:rPr>
        <w:t>202</w:t>
      </w:r>
      <w:r>
        <w:rPr>
          <w:rFonts w:hint="eastAsia" w:ascii="宋体" w:hAnsi="宋体" w:eastAsia="宋体" w:cs="宋体"/>
          <w:color w:val="FF0000"/>
          <w:sz w:val="21"/>
          <w:szCs w:val="21"/>
          <w:highlight w:val="none"/>
          <w:lang w:val="en-US" w:eastAsia="zh-CN"/>
        </w:rPr>
        <w:t>6</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8</w:t>
      </w:r>
      <w:r>
        <w:rPr>
          <w:rFonts w:hint="eastAsia" w:ascii="宋体" w:hAnsi="宋体" w:eastAsia="宋体" w:cs="宋体"/>
          <w:color w:val="FF0000"/>
          <w:sz w:val="21"/>
          <w:szCs w:val="21"/>
          <w:highlight w:val="none"/>
          <w:lang w:eastAsia="zh-CN"/>
        </w:rPr>
        <w:t>-</w:t>
      </w:r>
      <w:r>
        <w:rPr>
          <w:rFonts w:hint="eastAsia" w:ascii="宋体" w:hAnsi="宋体" w:eastAsia="宋体" w:cs="宋体"/>
          <w:color w:val="FF0000"/>
          <w:sz w:val="21"/>
          <w:szCs w:val="21"/>
          <w:highlight w:val="none"/>
          <w:lang w:val="en-US" w:eastAsia="zh-CN"/>
        </w:rPr>
        <w:t>18  9</w:t>
      </w:r>
      <w:r>
        <w:rPr>
          <w:rFonts w:hint="eastAsia" w:ascii="宋体" w:hAnsi="宋体" w:eastAsia="宋体" w:cs="宋体"/>
          <w:color w:val="FF0000"/>
          <w:sz w:val="21"/>
          <w:szCs w:val="21"/>
          <w:highlight w:val="none"/>
          <w:lang w:eastAsia="zh-CN"/>
        </w:rPr>
        <w:t>:30（北京时间）</w:t>
      </w:r>
    </w:p>
    <w:p w14:paraId="4979874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地点：“苏采云</w:t>
      </w:r>
      <w:r>
        <w:rPr>
          <w:rFonts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政府采购交易系统</w:t>
      </w:r>
    </w:p>
    <w:p w14:paraId="34EED688">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六、公告期限</w:t>
      </w:r>
    </w:p>
    <w:p w14:paraId="384F7DD1">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自本公告发布之日起</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eastAsia="zh-CN"/>
          <w14:textFill>
            <w14:solidFill>
              <w14:schemeClr w14:val="tx1"/>
            </w14:solidFill>
          </w14:textFill>
        </w:rPr>
        <w:t>个工作日。</w:t>
      </w:r>
    </w:p>
    <w:p w14:paraId="4EA0A377">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七、其他补充事宜</w:t>
      </w:r>
    </w:p>
    <w:p w14:paraId="29740989">
      <w:pPr>
        <w:widowControl/>
        <w:spacing w:line="360" w:lineRule="auto"/>
        <w:ind w:firstLine="440"/>
        <w:jc w:val="left"/>
        <w:rPr>
          <w:rFonts w:hint="eastAsia" w:ascii="宋体" w:hAnsi="Times New Roman" w:eastAsia="宋体" w:cs="宋体"/>
          <w:bCs/>
          <w:color w:val="auto"/>
          <w:sz w:val="22"/>
          <w:highlight w:val="none"/>
          <w:lang w:eastAsia="zh-CN"/>
        </w:rPr>
      </w:pPr>
      <w:bookmarkStart w:id="7" w:name="OLE_LINK102"/>
      <w:bookmarkStart w:id="8" w:name="OLE_LINK106"/>
      <w:r>
        <w:rPr>
          <w:rFonts w:hint="eastAsia" w:ascii="宋体" w:hAnsi="Times New Roman" w:eastAsia="宋体" w:cs="宋体"/>
          <w:bCs/>
          <w:color w:val="auto"/>
          <w:sz w:val="22"/>
          <w:highlight w:val="none"/>
          <w:lang w:eastAsia="zh-CN"/>
        </w:rPr>
        <w:t>1</w:t>
      </w:r>
      <w:r>
        <w:rPr>
          <w:rFonts w:hint="eastAsia" w:ascii="宋体" w:hAnsi="Times New Roman" w:eastAsia="宋体" w:cs="宋体"/>
          <w:bCs/>
          <w:color w:val="auto"/>
          <w:sz w:val="22"/>
          <w:highlight w:val="none"/>
          <w:lang w:val="en-US" w:eastAsia="zh-CN"/>
        </w:rPr>
        <w:t>.</w:t>
      </w:r>
      <w:r>
        <w:rPr>
          <w:rFonts w:hint="eastAsia" w:ascii="宋体" w:hAnsi="Times New Roman" w:eastAsia="宋体" w:cs="宋体"/>
          <w:bCs/>
          <w:color w:val="auto"/>
          <w:sz w:val="22"/>
          <w:highlight w:val="none"/>
          <w:lang w:eastAsia="zh-CN"/>
        </w:rPr>
        <w:t>拒绝下述供应商参加本次采购活动：</w:t>
      </w:r>
    </w:p>
    <w:p w14:paraId="794E8CAF">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（1）供应商单位负责人为同一人或者存在直接控股、管理关系的不同供应商，不得参加同一合同项下的采购活动。</w:t>
      </w:r>
    </w:p>
    <w:p w14:paraId="169FE982">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（2）凡为采购项目提供整体设计、规范编制或者项目管理、监理、检测等服务的供应商，不得再参加本项目的采购活动。</w:t>
      </w:r>
    </w:p>
    <w:p w14:paraId="1E409965">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（3）供应商被“信用中国”网站、“中国政府采购网"列入失信被执行人、重大税收违法案件当事人名单、政府采购严重违法失信行为记录名单。</w:t>
      </w:r>
    </w:p>
    <w:p w14:paraId="1F3BDCC7">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2</w:t>
      </w:r>
      <w:r>
        <w:rPr>
          <w:rFonts w:hint="eastAsia" w:ascii="宋体" w:hAnsi="Times New Roman" w:eastAsia="宋体" w:cs="宋体"/>
          <w:bCs/>
          <w:color w:val="auto"/>
          <w:sz w:val="22"/>
          <w:highlight w:val="none"/>
          <w:lang w:val="en-US" w:eastAsia="zh-CN"/>
        </w:rPr>
        <w:t>.</w:t>
      </w:r>
      <w:r>
        <w:rPr>
          <w:rFonts w:hint="eastAsia" w:ascii="宋体" w:hAnsi="Times New Roman" w:eastAsia="宋体" w:cs="宋体"/>
          <w:bCs/>
          <w:color w:val="auto"/>
          <w:sz w:val="22"/>
          <w:highlight w:val="none"/>
          <w:lang w:eastAsia="zh-CN"/>
        </w:rPr>
        <w:t>本项目在“江苏政府采购网</w:t>
      </w:r>
      <w:bookmarkStart w:id="9" w:name="OLE_LINK11"/>
      <w:r>
        <w:rPr>
          <w:rFonts w:hint="eastAsia" w:ascii="宋体" w:hAnsi="Times New Roman" w:eastAsia="宋体" w:cs="宋体"/>
          <w:bCs/>
          <w:color w:val="auto"/>
          <w:sz w:val="22"/>
          <w:highlight w:val="none"/>
          <w:lang w:eastAsia="zh-CN"/>
        </w:rPr>
        <w:t>、南京公共采购信息网</w:t>
      </w:r>
      <w:bookmarkEnd w:id="9"/>
      <w:r>
        <w:rPr>
          <w:rFonts w:hint="eastAsia" w:ascii="宋体" w:hAnsi="Times New Roman" w:eastAsia="宋体" w:cs="宋体"/>
          <w:bCs/>
          <w:color w:val="auto"/>
          <w:sz w:val="22"/>
          <w:highlight w:val="none"/>
          <w:lang w:eastAsia="zh-CN"/>
        </w:rPr>
        <w:t>”网站发布公告。有关本次采购的事项若存在变动或修改，请及时关注“江苏政府采购网、南京公共采购信息网”更正公告。</w:t>
      </w:r>
    </w:p>
    <w:p w14:paraId="777730CD">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3</w:t>
      </w:r>
      <w:r>
        <w:rPr>
          <w:rFonts w:hint="eastAsia" w:ascii="宋体" w:hAnsi="Times New Roman" w:eastAsia="宋体" w:cs="宋体"/>
          <w:bCs/>
          <w:color w:val="auto"/>
          <w:sz w:val="22"/>
          <w:highlight w:val="none"/>
          <w:lang w:val="en-US" w:eastAsia="zh-CN"/>
        </w:rPr>
        <w:t>.</w:t>
      </w:r>
      <w:r>
        <w:rPr>
          <w:rFonts w:hint="eastAsia" w:ascii="宋体" w:hAnsi="Times New Roman" w:eastAsia="宋体" w:cs="宋体"/>
          <w:bCs/>
          <w:color w:val="auto"/>
          <w:sz w:val="22"/>
          <w:highlight w:val="none"/>
          <w:lang w:eastAsia="zh-CN"/>
        </w:rPr>
        <w:t>勘察现场：</w:t>
      </w:r>
      <w:bookmarkStart w:id="10" w:name="OLE_LINK127"/>
      <w:bookmarkStart w:id="11" w:name="OLE_LINK128"/>
      <w:r>
        <w:rPr>
          <w:rFonts w:hint="eastAsia" w:ascii="宋体" w:hAnsi="Times New Roman" w:eastAsia="宋体" w:cs="宋体"/>
          <w:bCs/>
          <w:color w:val="auto"/>
          <w:sz w:val="22"/>
          <w:highlight w:val="none"/>
          <w:lang w:eastAsia="zh-CN"/>
        </w:rPr>
        <w:t>采购人不组织，供应商自行踏勘。</w:t>
      </w:r>
      <w:bookmarkEnd w:id="10"/>
      <w:bookmarkEnd w:id="11"/>
    </w:p>
    <w:p w14:paraId="708AECA5">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4</w:t>
      </w:r>
      <w:bookmarkStart w:id="12" w:name="OLE_LINK35"/>
      <w:bookmarkStart w:id="13" w:name="OLE_LINK36"/>
      <w:r>
        <w:rPr>
          <w:rFonts w:hint="eastAsia" w:ascii="宋体" w:hAnsi="Times New Roman" w:eastAsia="宋体" w:cs="宋体"/>
          <w:bCs/>
          <w:color w:val="auto"/>
          <w:sz w:val="22"/>
          <w:highlight w:val="none"/>
          <w:lang w:val="en-US" w:eastAsia="zh-CN"/>
        </w:rPr>
        <w:t>.</w:t>
      </w:r>
      <w:r>
        <w:rPr>
          <w:rFonts w:hint="eastAsia" w:ascii="宋体" w:hAnsi="Times New Roman" w:eastAsia="宋体" w:cs="宋体"/>
          <w:bCs/>
          <w:color w:val="auto"/>
          <w:sz w:val="22"/>
          <w:highlight w:val="none"/>
          <w:lang w:eastAsia="zh-CN"/>
        </w:rPr>
        <w:t>本次采购采用“政府采购管理交易系统（苏采云）”，招标、投标、评标和</w:t>
      </w:r>
      <w:r>
        <w:rPr>
          <w:rFonts w:hint="eastAsia" w:ascii="宋体" w:cs="宋体"/>
          <w:bCs/>
          <w:color w:val="auto"/>
          <w:sz w:val="22"/>
          <w:highlight w:val="none"/>
          <w:lang w:val="en-US" w:eastAsia="zh-CN"/>
        </w:rPr>
        <w:t>成交</w:t>
      </w:r>
      <w:r>
        <w:rPr>
          <w:rFonts w:hint="eastAsia" w:ascii="宋体" w:hAnsi="Times New Roman" w:eastAsia="宋体" w:cs="宋体"/>
          <w:bCs/>
          <w:color w:val="auto"/>
          <w:sz w:val="22"/>
          <w:highlight w:val="none"/>
          <w:lang w:eastAsia="zh-CN"/>
        </w:rPr>
        <w:t>结果发布全程电子化，开标方式为不见面开标。供应商应当按照《政府采购管理交易系统（苏采云）供应商操作手册》进行注册，领取CA和办理电子签章，并按《操作手册》要求制作、上传电子响应文件。如供应商未按要求操作，由此所产生的风险由供应商自行承担。（“苏采云”南京地区客服热线025-83633744、025-83633743）</w:t>
      </w:r>
      <w:bookmarkEnd w:id="12"/>
      <w:bookmarkEnd w:id="13"/>
    </w:p>
    <w:p w14:paraId="40582A50">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5</w:t>
      </w:r>
      <w:r>
        <w:rPr>
          <w:rFonts w:hint="eastAsia" w:ascii="宋体" w:hAnsi="Times New Roman" w:eastAsia="宋体" w:cs="宋体"/>
          <w:bCs/>
          <w:color w:val="auto"/>
          <w:sz w:val="22"/>
          <w:highlight w:val="none"/>
          <w:lang w:val="en-US" w:eastAsia="zh-CN"/>
        </w:rPr>
        <w:t>.</w:t>
      </w:r>
      <w:r>
        <w:rPr>
          <w:rFonts w:hint="eastAsia" w:ascii="宋体" w:hAnsi="Times New Roman" w:eastAsia="宋体" w:cs="宋体"/>
          <w:bCs/>
          <w:color w:val="auto"/>
          <w:sz w:val="22"/>
          <w:highlight w:val="none"/>
          <w:lang w:eastAsia="zh-CN"/>
        </w:rPr>
        <w:t>政府采购信用承诺</w:t>
      </w:r>
    </w:p>
    <w:p w14:paraId="67F0EA7B">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根据《关于在政府采购活动中推行信用承诺制的通知》宁财购通〔2021〕5号规定，参加南京地区采购活动的供应商，应以原件扫描盖章件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w:t>
      </w:r>
    </w:p>
    <w:p w14:paraId="161F988B">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在政府采购资格审查环节，供应商只需提供书面《南京市政府采购供应商信用记录表暨信用承诺书》，即可替代以下证明材料：</w:t>
      </w:r>
    </w:p>
    <w:p w14:paraId="3A46DF69">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（1）符合国家相关规定的财务状况报告；</w:t>
      </w:r>
    </w:p>
    <w:p w14:paraId="69D11BBF">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（2）依法缴纳税收的证明材料；</w:t>
      </w:r>
    </w:p>
    <w:p w14:paraId="11296E7A">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（3）依法缴纳社会保障资金的证明材料；</w:t>
      </w:r>
    </w:p>
    <w:p w14:paraId="13C3B722">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（4）具备履行政府采购合同所必需的设备和专业技术能力的证明材料；</w:t>
      </w:r>
    </w:p>
    <w:p w14:paraId="134989DF">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（5）参加政府采购活动前三年内在经营活动中没有重大违法记录的证明材料；</w:t>
      </w:r>
    </w:p>
    <w:p w14:paraId="066E2D0F">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（6）未被列入失信被执行人、重大税收违法失信主体、政府采购严重违法失信行为记录名单的证明材料。</w:t>
      </w:r>
    </w:p>
    <w:p w14:paraId="3250D484">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供应商成交后，应按采购文件要求，将上述由信用承诺书替代的证明材料提交采购人或采购代理机构核验。经核验无误后，由采购人或采购代理机构发出成交通知书。</w:t>
      </w:r>
    </w:p>
    <w:p w14:paraId="3E1D0D90">
      <w:pPr>
        <w:widowControl/>
        <w:spacing w:line="360" w:lineRule="auto"/>
        <w:ind w:firstLine="440"/>
        <w:jc w:val="left"/>
        <w:rPr>
          <w:rFonts w:hint="eastAsia" w:ascii="宋体" w:hAnsi="Times New Roman" w:eastAsia="宋体" w:cs="宋体"/>
          <w:bCs/>
          <w:color w:val="auto"/>
          <w:sz w:val="22"/>
          <w:highlight w:val="none"/>
          <w:lang w:eastAsia="zh-CN"/>
        </w:rPr>
      </w:pPr>
      <w:bookmarkStart w:id="14" w:name="OLE_LINK12"/>
      <w:bookmarkStart w:id="15" w:name="OLE_LINK15"/>
      <w:r>
        <w:rPr>
          <w:rFonts w:hint="eastAsia" w:ascii="宋体" w:hAnsi="Times New Roman" w:eastAsia="宋体" w:cs="宋体"/>
          <w:bCs/>
          <w:color w:val="auto"/>
          <w:sz w:val="22"/>
          <w:highlight w:val="none"/>
          <w:lang w:eastAsia="zh-CN"/>
        </w:rPr>
        <w:t>供应商涉及以下情形的，不适用信用承诺</w:t>
      </w:r>
      <w:bookmarkEnd w:id="14"/>
      <w:bookmarkEnd w:id="15"/>
      <w:r>
        <w:rPr>
          <w:rFonts w:hint="eastAsia" w:ascii="宋体" w:hAnsi="Times New Roman" w:eastAsia="宋体" w:cs="宋体"/>
          <w:bCs/>
          <w:color w:val="auto"/>
          <w:sz w:val="22"/>
          <w:highlight w:val="none"/>
          <w:lang w:eastAsia="zh-CN"/>
        </w:rPr>
        <w:t>：</w:t>
      </w:r>
    </w:p>
    <w:p w14:paraId="5BA2EDEE">
      <w:pPr>
        <w:widowControl/>
        <w:spacing w:line="360" w:lineRule="auto"/>
        <w:ind w:firstLine="440"/>
        <w:jc w:val="left"/>
        <w:rPr>
          <w:rFonts w:hint="eastAsia" w:ascii="宋体" w:hAnsi="Times New Roman" w:eastAsia="宋体" w:cs="宋体"/>
          <w:bCs/>
          <w:color w:val="auto"/>
          <w:sz w:val="22"/>
          <w:highlight w:val="none"/>
          <w:lang w:eastAsia="zh-CN"/>
        </w:rPr>
      </w:pPr>
      <w:bookmarkStart w:id="16" w:name="OLE_LINK16"/>
      <w:r>
        <w:rPr>
          <w:rFonts w:hint="eastAsia" w:ascii="宋体" w:hAnsi="Times New Roman" w:eastAsia="宋体" w:cs="宋体"/>
          <w:bCs/>
          <w:color w:val="auto"/>
          <w:sz w:val="22"/>
          <w:highlight w:val="none"/>
          <w:lang w:eastAsia="zh-CN"/>
        </w:rPr>
        <w:t>（1）供应商被列入严重失信主体名单；</w:t>
      </w:r>
    </w:p>
    <w:p w14:paraId="57339F36">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（2）被相关监管部门作出行政处罚且尚在处罚有效期内；</w:t>
      </w:r>
    </w:p>
    <w:p w14:paraId="22515F15">
      <w:pPr>
        <w:widowControl/>
        <w:spacing w:line="360" w:lineRule="auto"/>
        <w:ind w:firstLine="440"/>
        <w:jc w:val="left"/>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（3）其他法律、行政法规规定的不适用信用承诺的情形。</w:t>
      </w:r>
      <w:bookmarkEnd w:id="16"/>
    </w:p>
    <w:p w14:paraId="6EE974BD">
      <w:pPr>
        <w:widowControl/>
        <w:shd w:val="clear" w:color="auto" w:fill="FFFFFF"/>
        <w:spacing w:line="360" w:lineRule="auto"/>
        <w:rPr>
          <w:rFonts w:hint="eastAsia" w:ascii="宋体" w:hAnsi="Times New Roman" w:eastAsia="宋体" w:cs="宋体"/>
          <w:bCs/>
          <w:color w:val="auto"/>
          <w:sz w:val="22"/>
          <w:highlight w:val="none"/>
          <w:lang w:eastAsia="zh-CN"/>
        </w:rPr>
      </w:pPr>
      <w:r>
        <w:rPr>
          <w:rFonts w:hint="eastAsia" w:ascii="宋体" w:hAnsi="Times New Roman" w:eastAsia="宋体" w:cs="宋体"/>
          <w:bCs/>
          <w:color w:val="auto"/>
          <w:sz w:val="22"/>
          <w:highlight w:val="none"/>
          <w:lang w:eastAsia="zh-CN"/>
        </w:rPr>
        <w:t>供应商对信用承诺内容的真实性、合法性、有效性负责。如作出虚假信用承诺，视同为“提供虚假材料谋取中标、成交”的违法行为。</w:t>
      </w:r>
      <w:bookmarkEnd w:id="7"/>
      <w:bookmarkEnd w:id="8"/>
    </w:p>
    <w:p w14:paraId="249292BB">
      <w:pPr>
        <w:widowControl/>
        <w:spacing w:line="440" w:lineRule="exact"/>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八、凡对本次采购提出询问，请按以下方式联系</w:t>
      </w:r>
    </w:p>
    <w:p w14:paraId="692E456E">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1.采购人信息</w:t>
      </w:r>
    </w:p>
    <w:p w14:paraId="68F95A9E">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名    称：南京长江新济洲国家湿地公园管理中心</w:t>
      </w:r>
    </w:p>
    <w:p w14:paraId="4BBF8A68">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    址：江宁区江宁街道南京市公安局水上分局三山派出所</w:t>
      </w:r>
    </w:p>
    <w:p w14:paraId="0CAAB9EC">
      <w:pPr>
        <w:widowControl/>
        <w:spacing w:line="440" w:lineRule="exact"/>
        <w:ind w:firstLine="420" w:firstLineChars="20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 系 人：</w:t>
      </w:r>
      <w:r>
        <w:rPr>
          <w:rFonts w:hint="eastAsia" w:ascii="宋体" w:hAnsi="宋体" w:eastAsia="宋体" w:cs="宋体"/>
          <w:color w:val="000000" w:themeColor="text1"/>
          <w:sz w:val="21"/>
          <w:szCs w:val="21"/>
          <w:highlight w:val="none"/>
          <w:lang w:val="en-US" w:eastAsia="zh-CN"/>
          <w14:textFill>
            <w14:solidFill>
              <w14:schemeClr w14:val="tx1"/>
            </w14:solidFill>
          </w14:textFill>
        </w:rPr>
        <w:t>崔主任</w:t>
      </w:r>
    </w:p>
    <w:p w14:paraId="2B2D6B6E">
      <w:pPr>
        <w:widowControl/>
        <w:spacing w:line="440" w:lineRule="exact"/>
        <w:ind w:firstLine="420" w:firstLineChars="20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联系电话：</w:t>
      </w:r>
      <w:r>
        <w:rPr>
          <w:rFonts w:hint="eastAsia" w:ascii="宋体" w:hAnsi="宋体" w:cs="宋体"/>
          <w:color w:val="000000"/>
          <w:sz w:val="22"/>
          <w:szCs w:val="22"/>
          <w:highlight w:val="none"/>
          <w:lang w:val="en-US" w:eastAsia="zh-CN"/>
        </w:rPr>
        <w:t>/</w:t>
      </w:r>
    </w:p>
    <w:p w14:paraId="4B705307">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2.采购代理机构信息</w:t>
      </w:r>
    </w:p>
    <w:p w14:paraId="61CE02ED">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名    称：南京麻田工程咨询有限公司</w:t>
      </w:r>
    </w:p>
    <w:p w14:paraId="479A134C">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地　　址：南京市江宁区淳化街道雁冲路68号院内9号楼1楼</w:t>
      </w:r>
    </w:p>
    <w:p w14:paraId="4B3CC743">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 系 人：张工</w:t>
      </w:r>
    </w:p>
    <w:p w14:paraId="537C11AB">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联系电话：025-52730710</w:t>
      </w:r>
    </w:p>
    <w:p w14:paraId="16D78BE0">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3.项目联系方式</w:t>
      </w:r>
    </w:p>
    <w:p w14:paraId="25E7D856">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项目联系人：张工</w:t>
      </w:r>
    </w:p>
    <w:p w14:paraId="4C770C1A">
      <w:pPr>
        <w:widowControl/>
        <w:spacing w:line="440" w:lineRule="exact"/>
        <w:ind w:firstLine="420" w:firstLineChars="20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电      话：025-52730710</w:t>
      </w:r>
    </w:p>
    <w:p w14:paraId="31B45A3F">
      <w:pPr>
        <w:widowControl/>
        <w:numPr>
          <w:ilvl w:val="0"/>
          <w:numId w:val="1"/>
        </w:numPr>
        <w:shd w:val="clear" w:color="auto" w:fill="FFFFFF"/>
        <w:spacing w:line="360" w:lineRule="auto"/>
        <w:jc w:val="center"/>
        <w:outlineLvl w:val="0"/>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clear="all"/>
      </w:r>
      <w:bookmarkStart w:id="17" w:name="一、总____则"/>
      <w:bookmarkEnd w:id="17"/>
      <w:bookmarkStart w:id="18" w:name="_bookmark2"/>
      <w:bookmarkEnd w:id="18"/>
      <w:bookmarkStart w:id="19" w:name="_Toc183610246"/>
      <w:r>
        <w:rPr>
          <w:rFonts w:hint="eastAsia" w:ascii="宋体" w:hAnsi="宋体" w:eastAsia="宋体" w:cs="宋体"/>
          <w:b/>
          <w:bCs/>
          <w:color w:val="000000" w:themeColor="text1"/>
          <w:sz w:val="28"/>
          <w:szCs w:val="28"/>
          <w:highlight w:val="none"/>
          <w:lang w:eastAsia="zh-CN"/>
          <w14:textFill>
            <w14:solidFill>
              <w14:schemeClr w14:val="tx1"/>
            </w14:solidFill>
          </w14:textFill>
        </w:rPr>
        <w:t>供应商须知</w:t>
      </w:r>
      <w:bookmarkEnd w:id="19"/>
    </w:p>
    <w:p w14:paraId="61CCDCF9">
      <w:pPr>
        <w:keepNext w:val="0"/>
        <w:keepLines w:val="0"/>
        <w:pageBreakBefore w:val="0"/>
        <w:widowControl w:val="0"/>
        <w:kinsoku/>
        <w:wordWrap/>
        <w:overflowPunct/>
        <w:topLinePunct w:val="0"/>
        <w:autoSpaceDE/>
        <w:autoSpaceDN/>
        <w:bidi w:val="0"/>
        <w:adjustRightInd/>
        <w:snapToGrid/>
        <w:spacing w:before="156" w:beforeLines="50" w:after="156" w:afterLines="50" w:line="360" w:lineRule="auto"/>
        <w:ind w:firstLine="422" w:firstLineChars="200"/>
        <w:jc w:val="left"/>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南京麻田工程咨询有限公司</w:t>
      </w:r>
      <w:r>
        <w:rPr>
          <w:rFonts w:hint="eastAsia" w:ascii="宋体" w:hAnsi="宋体" w:eastAsia="宋体" w:cs="宋体"/>
          <w:sz w:val="21"/>
          <w:szCs w:val="21"/>
          <w:highlight w:val="none"/>
        </w:rPr>
        <w:t>受</w:t>
      </w:r>
      <w:r>
        <w:rPr>
          <w:rFonts w:hint="eastAsia" w:ascii="宋体" w:hAnsi="宋体" w:eastAsia="宋体" w:cs="宋体"/>
          <w:b/>
          <w:bCs/>
          <w:sz w:val="21"/>
          <w:szCs w:val="21"/>
          <w:highlight w:val="none"/>
          <w:lang w:eastAsia="zh-CN"/>
        </w:rPr>
        <w:t>南京长江新济洲国家湿地公园管理中心</w:t>
      </w:r>
      <w:r>
        <w:rPr>
          <w:rFonts w:hint="eastAsia" w:ascii="宋体" w:hAnsi="宋体" w:eastAsia="宋体" w:cs="宋体"/>
          <w:bCs/>
          <w:sz w:val="21"/>
          <w:szCs w:val="21"/>
          <w:highlight w:val="none"/>
        </w:rPr>
        <w:t>（</w:t>
      </w:r>
      <w:r>
        <w:rPr>
          <w:rFonts w:hint="eastAsia" w:ascii="宋体" w:hAnsi="宋体" w:eastAsia="宋体" w:cs="宋体"/>
          <w:sz w:val="21"/>
          <w:szCs w:val="21"/>
          <w:highlight w:val="none"/>
        </w:rPr>
        <w:t>采购人）委托，对其</w:t>
      </w:r>
      <w:r>
        <w:rPr>
          <w:rFonts w:hint="eastAsia" w:ascii="宋体" w:hAnsi="宋体" w:eastAsia="宋体" w:cs="宋体"/>
          <w:b/>
          <w:bCs/>
          <w:sz w:val="21"/>
          <w:szCs w:val="21"/>
          <w:highlight w:val="none"/>
          <w:lang w:eastAsia="zh-CN"/>
        </w:rPr>
        <w:t>新济洲2025年度公益林生态效益补偿项目</w:t>
      </w:r>
      <w:r>
        <w:rPr>
          <w:rFonts w:hint="eastAsia" w:ascii="宋体" w:hAnsi="宋体" w:eastAsia="宋体" w:cs="宋体"/>
          <w:sz w:val="21"/>
          <w:szCs w:val="21"/>
          <w:highlight w:val="none"/>
        </w:rPr>
        <w:t>（项目名称）进行竞争性磋商采购，兹邀请符合条件的供应商参与投标，相关信息如下：</w:t>
      </w:r>
    </w:p>
    <w:tbl>
      <w:tblPr>
        <w:tblStyle w:val="51"/>
        <w:tblW w:w="9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973"/>
        <w:gridCol w:w="850"/>
        <w:gridCol w:w="1323"/>
        <w:gridCol w:w="5537"/>
      </w:tblGrid>
      <w:tr w14:paraId="1EC44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3A7BDC0E">
            <w:pPr>
              <w:spacing w:line="440" w:lineRule="exac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序号</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2065BA89">
            <w:pPr>
              <w:spacing w:line="440" w:lineRule="exac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项  目</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4C1C42DE">
            <w:pPr>
              <w:spacing w:line="440" w:lineRule="exact"/>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内         容</w:t>
            </w:r>
          </w:p>
        </w:tc>
      </w:tr>
      <w:tr w14:paraId="7E5BE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7EF0A2AD">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7CCBE57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项目编号</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3A223F3">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JSZC-320115-NJMT-C2026-0012</w:t>
            </w:r>
          </w:p>
        </w:tc>
      </w:tr>
      <w:tr w14:paraId="6B83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675EEB6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3352F7B0">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项目名称</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6847EDA">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新济洲2025年度公益林生态效益补偿项目</w:t>
            </w:r>
          </w:p>
        </w:tc>
      </w:tr>
      <w:tr w14:paraId="28C30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0A510775">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74B6686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代理机构</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34B8F337">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南京麻田工程咨询有限公司</w:t>
            </w:r>
          </w:p>
        </w:tc>
      </w:tr>
      <w:tr w14:paraId="1918A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49E53DFF">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476A6C4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代理机构地址</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0F286CAE">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南京市江宁区淳化街道雁冲路68号院内9号楼1楼</w:t>
            </w:r>
          </w:p>
        </w:tc>
      </w:tr>
      <w:tr w14:paraId="696A3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04279780">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1716F30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最高限价</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0EDD9343">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人民币：￥</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149.025132</w:t>
            </w:r>
            <w:r>
              <w:rPr>
                <w:rFonts w:hint="eastAsia" w:ascii="宋体" w:hAnsi="宋体" w:eastAsia="宋体" w:cs="宋体"/>
                <w:i w:val="0"/>
                <w:iCs w:val="0"/>
                <w:color w:val="000000"/>
                <w:kern w:val="0"/>
                <w:sz w:val="20"/>
                <w:szCs w:val="20"/>
                <w:highlight w:val="none"/>
                <w:u w:val="none"/>
                <w:lang w:val="en-US" w:eastAsia="zh-CN" w:bidi="ar"/>
              </w:rPr>
              <w:t>万</w:t>
            </w:r>
            <w:r>
              <w:rPr>
                <w:rFonts w:hint="eastAsia" w:ascii="宋体" w:hAnsi="宋体" w:eastAsia="宋体" w:cs="宋体"/>
                <w:sz w:val="21"/>
                <w:szCs w:val="21"/>
                <w:highlight w:val="none"/>
                <w:lang w:eastAsia="zh-CN"/>
              </w:rPr>
              <w:t>元，超过最高限价作废标处理。</w:t>
            </w:r>
          </w:p>
        </w:tc>
      </w:tr>
      <w:tr w14:paraId="4AE61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5B0FC632">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56221752">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合同履行期限</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62A0EA5B">
            <w:pP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一年</w:t>
            </w:r>
          </w:p>
        </w:tc>
      </w:tr>
      <w:tr w14:paraId="7172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12808CEE">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7</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4B2D6538">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磋商有效期</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6FD78C77">
            <w:pPr>
              <w:rPr>
                <w:rFonts w:hint="eastAsia" w:ascii="宋体" w:hAnsi="宋体" w:eastAsia="宋体" w:cs="宋体"/>
                <w:sz w:val="21"/>
                <w:szCs w:val="21"/>
                <w:highlight w:val="none"/>
              </w:rPr>
            </w:pPr>
            <w:r>
              <w:rPr>
                <w:rFonts w:hint="eastAsia" w:ascii="宋体" w:hAnsi="宋体" w:eastAsia="宋体" w:cs="宋体"/>
                <w:sz w:val="21"/>
                <w:szCs w:val="21"/>
                <w:highlight w:val="none"/>
              </w:rPr>
              <w:t>磋商之日起90天</w:t>
            </w:r>
          </w:p>
        </w:tc>
      </w:tr>
      <w:tr w14:paraId="3696A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747" w:type="dxa"/>
            <w:vMerge w:val="restart"/>
            <w:tcBorders>
              <w:top w:val="single" w:color="auto" w:sz="4" w:space="0"/>
              <w:left w:val="single" w:color="auto" w:sz="4" w:space="0"/>
              <w:right w:val="single" w:color="auto" w:sz="4" w:space="0"/>
            </w:tcBorders>
            <w:noWrap w:val="0"/>
            <w:vAlign w:val="center"/>
          </w:tcPr>
          <w:p w14:paraId="08FD69F0">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8</w:t>
            </w:r>
          </w:p>
        </w:tc>
        <w:tc>
          <w:tcPr>
            <w:tcW w:w="973" w:type="dxa"/>
            <w:vMerge w:val="restart"/>
            <w:tcBorders>
              <w:top w:val="single" w:color="auto" w:sz="4" w:space="0"/>
              <w:left w:val="single" w:color="auto" w:sz="4" w:space="0"/>
              <w:right w:val="single" w:color="auto" w:sz="4" w:space="0"/>
            </w:tcBorders>
            <w:noWrap w:val="0"/>
            <w:vAlign w:val="center"/>
          </w:tcPr>
          <w:p w14:paraId="528038AB">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响应性文件提交信息</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59C550C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时间</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0B43009">
            <w:pPr>
              <w:rPr>
                <w:rFonts w:hint="default" w:ascii="宋体" w:hAnsi="宋体" w:eastAsia="宋体" w:cs="宋体"/>
                <w:sz w:val="21"/>
                <w:szCs w:val="21"/>
                <w:highlight w:val="none"/>
                <w:lang w:val="en-US"/>
              </w:rPr>
            </w:pPr>
            <w:r>
              <w:rPr>
                <w:rFonts w:hint="eastAsia" w:ascii="宋体" w:hAnsi="宋体" w:eastAsia="宋体" w:cs="宋体"/>
                <w:color w:val="FF0000"/>
                <w:sz w:val="21"/>
                <w:szCs w:val="21"/>
                <w:highlight w:val="none"/>
                <w:lang w:eastAsia="zh-CN"/>
              </w:rPr>
              <w:t>202</w:t>
            </w:r>
            <w:r>
              <w:rPr>
                <w:rFonts w:hint="eastAsia" w:ascii="宋体" w:hAnsi="宋体" w:eastAsia="宋体" w:cs="宋体"/>
                <w:color w:val="FF0000"/>
                <w:sz w:val="21"/>
                <w:szCs w:val="21"/>
                <w:highlight w:val="none"/>
                <w:lang w:val="en-US" w:eastAsia="zh-CN"/>
              </w:rPr>
              <w:t>6年8月18日</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eastAsia="zh-CN"/>
              </w:rPr>
              <w:t>0</w:t>
            </w:r>
            <w:r>
              <w:rPr>
                <w:rFonts w:hint="eastAsia" w:ascii="宋体" w:hAnsi="宋体" w:eastAsia="宋体" w:cs="宋体"/>
                <w:sz w:val="21"/>
                <w:szCs w:val="21"/>
                <w:highlight w:val="none"/>
                <w:lang w:val="en-US" w:eastAsia="zh-CN"/>
              </w:rPr>
              <w:t>前</w:t>
            </w:r>
          </w:p>
        </w:tc>
      </w:tr>
      <w:tr w14:paraId="0A937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747" w:type="dxa"/>
            <w:vMerge w:val="continue"/>
            <w:tcBorders>
              <w:left w:val="single" w:color="auto" w:sz="4" w:space="0"/>
              <w:right w:val="single" w:color="auto" w:sz="4" w:space="0"/>
            </w:tcBorders>
            <w:noWrap w:val="0"/>
            <w:vAlign w:val="center"/>
          </w:tcPr>
          <w:p w14:paraId="5D4710E5">
            <w:pPr>
              <w:rPr>
                <w:rFonts w:hint="eastAsia" w:ascii="宋体" w:hAnsi="宋体" w:eastAsia="宋体" w:cs="宋体"/>
                <w:sz w:val="21"/>
                <w:szCs w:val="21"/>
                <w:highlight w:val="none"/>
              </w:rPr>
            </w:pPr>
          </w:p>
        </w:tc>
        <w:tc>
          <w:tcPr>
            <w:tcW w:w="973" w:type="dxa"/>
            <w:vMerge w:val="continue"/>
            <w:tcBorders>
              <w:left w:val="single" w:color="auto" w:sz="4" w:space="0"/>
              <w:right w:val="single" w:color="auto" w:sz="4" w:space="0"/>
            </w:tcBorders>
            <w:noWrap w:val="0"/>
            <w:vAlign w:val="center"/>
          </w:tcPr>
          <w:p w14:paraId="693CEFF0">
            <w:pPr>
              <w:rPr>
                <w:rFonts w:hint="eastAsia" w:ascii="宋体" w:hAnsi="宋体" w:eastAsia="宋体" w:cs="宋体"/>
                <w:sz w:val="21"/>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11ACD6EE">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地点</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2919DBDD">
            <w:pPr>
              <w:rPr>
                <w:rFonts w:hint="eastAsia" w:ascii="宋体" w:hAnsi="宋体" w:eastAsia="宋体" w:cs="宋体"/>
                <w:sz w:val="21"/>
                <w:szCs w:val="21"/>
                <w:highlight w:val="none"/>
                <w:lang w:eastAsia="zh-CN"/>
              </w:rPr>
            </w:pPr>
            <w:r>
              <w:rPr>
                <w:rFonts w:hint="eastAsia"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lang w:val="en-US" w:eastAsia="zh-CN"/>
              </w:rPr>
              <w:t>苏采云</w:t>
            </w:r>
            <w:r>
              <w:rPr>
                <w:rFonts w:hint="eastAsia"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lang w:val="en-US" w:eastAsia="zh-CN"/>
              </w:rPr>
              <w:t>政府采购交易系统</w:t>
            </w:r>
          </w:p>
        </w:tc>
      </w:tr>
      <w:tr w14:paraId="26216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747" w:type="dxa"/>
            <w:vMerge w:val="continue"/>
            <w:tcBorders>
              <w:left w:val="single" w:color="auto" w:sz="4" w:space="0"/>
              <w:bottom w:val="single" w:color="auto" w:sz="4" w:space="0"/>
              <w:right w:val="single" w:color="auto" w:sz="4" w:space="0"/>
            </w:tcBorders>
            <w:noWrap w:val="0"/>
            <w:vAlign w:val="center"/>
          </w:tcPr>
          <w:p w14:paraId="59AD0E64">
            <w:pPr>
              <w:jc w:val="center"/>
              <w:rPr>
                <w:rFonts w:hint="eastAsia" w:ascii="宋体" w:hAnsi="宋体" w:eastAsia="宋体" w:cs="宋体"/>
                <w:sz w:val="21"/>
                <w:szCs w:val="21"/>
                <w:highlight w:val="none"/>
                <w:lang w:eastAsia="zh-CN"/>
              </w:rPr>
            </w:pPr>
          </w:p>
        </w:tc>
        <w:tc>
          <w:tcPr>
            <w:tcW w:w="973" w:type="dxa"/>
            <w:vMerge w:val="continue"/>
            <w:tcBorders>
              <w:left w:val="single" w:color="auto" w:sz="4" w:space="0"/>
              <w:bottom w:val="single" w:color="auto" w:sz="4" w:space="0"/>
              <w:right w:val="single" w:color="auto" w:sz="4" w:space="0"/>
            </w:tcBorders>
            <w:noWrap w:val="0"/>
            <w:vAlign w:val="center"/>
          </w:tcPr>
          <w:p w14:paraId="2374AF01">
            <w:pPr>
              <w:rPr>
                <w:rFonts w:hint="eastAsia" w:ascii="宋体" w:hAnsi="宋体" w:eastAsia="宋体" w:cs="宋体"/>
                <w:sz w:val="21"/>
                <w:szCs w:val="21"/>
                <w:highlight w:val="none"/>
                <w:lang w:eastAsia="zh-CN"/>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7AF5FFA">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要求</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436A030D">
            <w:pP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无</w:t>
            </w:r>
          </w:p>
        </w:tc>
      </w:tr>
      <w:tr w14:paraId="7DC34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6" w:hRule="atLeast"/>
          <w:jc w:val="center"/>
        </w:trPr>
        <w:tc>
          <w:tcPr>
            <w:tcW w:w="747" w:type="dxa"/>
            <w:tcBorders>
              <w:top w:val="single" w:color="auto" w:sz="4" w:space="0"/>
              <w:left w:val="single" w:color="auto" w:sz="4" w:space="0"/>
              <w:bottom w:val="single" w:color="auto" w:sz="4" w:space="0"/>
              <w:right w:val="single" w:color="auto" w:sz="4" w:space="0"/>
            </w:tcBorders>
            <w:noWrap w:val="0"/>
            <w:vAlign w:val="center"/>
          </w:tcPr>
          <w:p w14:paraId="463AC1F6">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9</w:t>
            </w:r>
          </w:p>
        </w:tc>
        <w:tc>
          <w:tcPr>
            <w:tcW w:w="1823" w:type="dxa"/>
            <w:gridSpan w:val="2"/>
            <w:tcBorders>
              <w:top w:val="single" w:color="auto" w:sz="4" w:space="0"/>
              <w:left w:val="single" w:color="auto" w:sz="4" w:space="0"/>
              <w:bottom w:val="single" w:color="auto" w:sz="4" w:space="0"/>
              <w:right w:val="single" w:color="auto" w:sz="4" w:space="0"/>
            </w:tcBorders>
            <w:noWrap w:val="0"/>
            <w:vAlign w:val="center"/>
          </w:tcPr>
          <w:p w14:paraId="0666974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响应性文件份数</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49262702">
            <w:pPr>
              <w:spacing w:line="360" w:lineRule="auto"/>
              <w:rPr>
                <w:rFonts w:hint="eastAsia" w:ascii="宋体" w:hAnsi="宋体" w:eastAsia="宋体" w:cs="宋体"/>
                <w:sz w:val="21"/>
                <w:szCs w:val="21"/>
                <w:highlight w:val="none"/>
                <w:lang w:eastAsia="zh-CN"/>
              </w:rPr>
            </w:pPr>
            <w:r>
              <w:rPr>
                <w:rFonts w:hint="eastAsia" w:ascii="宋体" w:hAnsi="宋体" w:eastAsia="宋体" w:cs="宋体"/>
                <w:color w:val="000000"/>
                <w:kern w:val="0"/>
                <w:position w:val="0"/>
                <w:sz w:val="21"/>
                <w:szCs w:val="21"/>
                <w:highlight w:val="none"/>
                <w:shd w:val="clear" w:color="auto" w:fill="FFFFFF"/>
                <w:lang w:val="en-US" w:eastAsia="zh-CN" w:bidi="ar"/>
              </w:rPr>
              <w:t>成交供应商在领取成交通知书时，无偿递交纸质盖章版响应文件一式叁份（壹份正本、贰份副本）用于归档。提供的响应文件须与苏采云提交的电子响应文件保持一致。</w:t>
            </w:r>
          </w:p>
        </w:tc>
      </w:tr>
      <w:tr w14:paraId="4E1D1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747" w:type="dxa"/>
            <w:vMerge w:val="restart"/>
            <w:tcBorders>
              <w:top w:val="single" w:color="auto" w:sz="4" w:space="0"/>
              <w:left w:val="single" w:color="auto" w:sz="4" w:space="0"/>
              <w:bottom w:val="single" w:color="auto" w:sz="4" w:space="0"/>
              <w:right w:val="single" w:color="auto" w:sz="4" w:space="0"/>
            </w:tcBorders>
            <w:noWrap w:val="0"/>
            <w:vAlign w:val="center"/>
          </w:tcPr>
          <w:p w14:paraId="5F38684A">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973" w:type="dxa"/>
            <w:vMerge w:val="restart"/>
            <w:tcBorders>
              <w:top w:val="single" w:color="auto" w:sz="4" w:space="0"/>
              <w:left w:val="single" w:color="auto" w:sz="4" w:space="0"/>
              <w:bottom w:val="single" w:color="auto" w:sz="4" w:space="0"/>
              <w:right w:val="single" w:color="auto" w:sz="4" w:space="0"/>
            </w:tcBorders>
            <w:noWrap w:val="0"/>
            <w:vAlign w:val="center"/>
          </w:tcPr>
          <w:p w14:paraId="43A63093">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磋商信息</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753CE9E5">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时间</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554F37DD">
            <w:pPr>
              <w:rPr>
                <w:rFonts w:hint="eastAsia" w:ascii="宋体" w:hAnsi="宋体" w:eastAsia="宋体" w:cs="宋体"/>
                <w:sz w:val="21"/>
                <w:szCs w:val="21"/>
                <w:highlight w:val="none"/>
              </w:rPr>
            </w:pPr>
            <w:r>
              <w:rPr>
                <w:rFonts w:hint="eastAsia" w:ascii="宋体" w:hAnsi="宋体" w:eastAsia="宋体" w:cs="宋体"/>
                <w:color w:val="FF0000"/>
                <w:sz w:val="21"/>
                <w:szCs w:val="21"/>
                <w:highlight w:val="none"/>
                <w:lang w:eastAsia="zh-CN"/>
              </w:rPr>
              <w:t>202</w:t>
            </w:r>
            <w:r>
              <w:rPr>
                <w:rFonts w:hint="eastAsia" w:ascii="宋体" w:hAnsi="宋体" w:eastAsia="宋体" w:cs="宋体"/>
                <w:color w:val="FF0000"/>
                <w:sz w:val="21"/>
                <w:szCs w:val="21"/>
                <w:highlight w:val="none"/>
                <w:lang w:val="en-US" w:eastAsia="zh-CN"/>
              </w:rPr>
              <w:t>6年8月18</w:t>
            </w:r>
            <w:bookmarkStart w:id="204" w:name="_GoBack"/>
            <w:bookmarkEnd w:id="204"/>
            <w:r>
              <w:rPr>
                <w:rFonts w:hint="eastAsia" w:ascii="宋体" w:hAnsi="宋体" w:eastAsia="宋体" w:cs="宋体"/>
                <w:color w:val="FF0000"/>
                <w:sz w:val="21"/>
                <w:szCs w:val="21"/>
                <w:highlight w:val="none"/>
                <w:lang w:val="en-US" w:eastAsia="zh-CN"/>
              </w:rPr>
              <w:t>日</w:t>
            </w: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lang w:eastAsia="zh-CN"/>
              </w:rPr>
              <w:t>0</w:t>
            </w:r>
          </w:p>
        </w:tc>
      </w:tr>
      <w:tr w14:paraId="2E504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747" w:type="dxa"/>
            <w:vMerge w:val="continue"/>
            <w:tcBorders>
              <w:top w:val="single" w:color="auto" w:sz="4" w:space="0"/>
              <w:left w:val="single" w:color="auto" w:sz="4" w:space="0"/>
              <w:bottom w:val="single" w:color="auto" w:sz="4" w:space="0"/>
              <w:right w:val="single" w:color="auto" w:sz="4" w:space="0"/>
            </w:tcBorders>
            <w:noWrap w:val="0"/>
            <w:vAlign w:val="center"/>
          </w:tcPr>
          <w:p w14:paraId="37E9340B">
            <w:pPr>
              <w:jc w:val="center"/>
              <w:rPr>
                <w:rFonts w:hint="eastAsia" w:ascii="宋体" w:hAnsi="宋体" w:eastAsia="宋体" w:cs="宋体"/>
                <w:sz w:val="21"/>
                <w:szCs w:val="21"/>
                <w:highlight w:val="none"/>
              </w:rPr>
            </w:pPr>
          </w:p>
        </w:tc>
        <w:tc>
          <w:tcPr>
            <w:tcW w:w="973" w:type="dxa"/>
            <w:vMerge w:val="continue"/>
            <w:tcBorders>
              <w:top w:val="single" w:color="auto" w:sz="4" w:space="0"/>
              <w:left w:val="single" w:color="auto" w:sz="4" w:space="0"/>
              <w:bottom w:val="single" w:color="auto" w:sz="4" w:space="0"/>
              <w:right w:val="single" w:color="auto" w:sz="4" w:space="0"/>
            </w:tcBorders>
            <w:noWrap w:val="0"/>
            <w:vAlign w:val="center"/>
          </w:tcPr>
          <w:p w14:paraId="59EA3252">
            <w:pPr>
              <w:jc w:val="center"/>
              <w:rPr>
                <w:rFonts w:hint="eastAsia" w:ascii="宋体" w:hAnsi="宋体" w:eastAsia="宋体" w:cs="宋体"/>
                <w:sz w:val="21"/>
                <w:szCs w:val="21"/>
                <w:highlight w:val="none"/>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4FAD049">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地点</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26F0514">
            <w:pPr>
              <w:rPr>
                <w:rFonts w:hint="eastAsia" w:ascii="宋体" w:hAnsi="宋体" w:eastAsia="宋体" w:cs="宋体"/>
                <w:sz w:val="21"/>
                <w:szCs w:val="21"/>
                <w:highlight w:val="none"/>
                <w:lang w:eastAsia="zh-CN"/>
              </w:rPr>
            </w:pPr>
            <w:r>
              <w:rPr>
                <w:rFonts w:hint="eastAsia"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lang w:val="en-US" w:eastAsia="zh-CN"/>
              </w:rPr>
              <w:t>苏采云</w:t>
            </w:r>
            <w:r>
              <w:rPr>
                <w:rFonts w:hint="eastAsia" w:ascii="宋体" w:hAnsi="宋体" w:eastAsia="宋体" w:cs="宋体"/>
                <w:color w:val="auto"/>
                <w:spacing w:val="8"/>
                <w:sz w:val="21"/>
                <w:szCs w:val="21"/>
                <w:highlight w:val="none"/>
              </w:rPr>
              <w:t>”</w:t>
            </w:r>
            <w:r>
              <w:rPr>
                <w:rFonts w:hint="eastAsia" w:ascii="宋体" w:hAnsi="宋体" w:eastAsia="宋体" w:cs="宋体"/>
                <w:color w:val="auto"/>
                <w:spacing w:val="8"/>
                <w:sz w:val="21"/>
                <w:szCs w:val="21"/>
                <w:highlight w:val="none"/>
                <w:lang w:val="en-US" w:eastAsia="zh-CN"/>
              </w:rPr>
              <w:t>政府采购交易系统</w:t>
            </w:r>
          </w:p>
        </w:tc>
      </w:tr>
      <w:tr w14:paraId="6C540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747" w:type="dxa"/>
            <w:vMerge w:val="restart"/>
            <w:tcBorders>
              <w:top w:val="single" w:color="auto" w:sz="4" w:space="0"/>
              <w:left w:val="single" w:color="auto" w:sz="4" w:space="0"/>
              <w:right w:val="single" w:color="auto" w:sz="4" w:space="0"/>
            </w:tcBorders>
            <w:noWrap w:val="0"/>
            <w:vAlign w:val="center"/>
          </w:tcPr>
          <w:p w14:paraId="4C903621">
            <w:pPr>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1</w:t>
            </w:r>
          </w:p>
        </w:tc>
        <w:tc>
          <w:tcPr>
            <w:tcW w:w="973" w:type="dxa"/>
            <w:vMerge w:val="restart"/>
            <w:tcBorders>
              <w:top w:val="single" w:color="auto" w:sz="4" w:space="0"/>
              <w:left w:val="single" w:color="auto" w:sz="4" w:space="0"/>
              <w:right w:val="single" w:color="auto" w:sz="4" w:space="0"/>
            </w:tcBorders>
            <w:noWrap w:val="0"/>
            <w:vAlign w:val="center"/>
          </w:tcPr>
          <w:p w14:paraId="609AB2F6">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联系事项</w:t>
            </w:r>
          </w:p>
        </w:tc>
        <w:tc>
          <w:tcPr>
            <w:tcW w:w="850" w:type="dxa"/>
            <w:vMerge w:val="restart"/>
            <w:tcBorders>
              <w:top w:val="single" w:color="auto" w:sz="4" w:space="0"/>
              <w:left w:val="single" w:color="auto" w:sz="4" w:space="0"/>
              <w:right w:val="single" w:color="auto" w:sz="4" w:space="0"/>
            </w:tcBorders>
            <w:noWrap w:val="0"/>
            <w:vAlign w:val="center"/>
          </w:tcPr>
          <w:p w14:paraId="515D53E4">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采购单位</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50A5315C">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1EBD3CF5">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崔主任</w:t>
            </w:r>
          </w:p>
        </w:tc>
      </w:tr>
      <w:tr w14:paraId="5B18F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47" w:type="dxa"/>
            <w:vMerge w:val="continue"/>
            <w:tcBorders>
              <w:left w:val="single" w:color="auto" w:sz="4" w:space="0"/>
              <w:right w:val="single" w:color="auto" w:sz="4" w:space="0"/>
            </w:tcBorders>
            <w:noWrap w:val="0"/>
            <w:vAlign w:val="center"/>
          </w:tcPr>
          <w:p w14:paraId="687F6B3B">
            <w:pPr>
              <w:jc w:val="center"/>
              <w:rPr>
                <w:rFonts w:hint="eastAsia" w:ascii="宋体" w:hAnsi="宋体" w:eastAsia="宋体" w:cs="宋体"/>
                <w:sz w:val="21"/>
                <w:szCs w:val="21"/>
                <w:highlight w:val="none"/>
              </w:rPr>
            </w:pPr>
          </w:p>
        </w:tc>
        <w:tc>
          <w:tcPr>
            <w:tcW w:w="973" w:type="dxa"/>
            <w:vMerge w:val="continue"/>
            <w:tcBorders>
              <w:left w:val="single" w:color="auto" w:sz="4" w:space="0"/>
              <w:right w:val="single" w:color="auto" w:sz="4" w:space="0"/>
            </w:tcBorders>
            <w:noWrap w:val="0"/>
            <w:vAlign w:val="center"/>
          </w:tcPr>
          <w:p w14:paraId="0023CE7A">
            <w:pPr>
              <w:rPr>
                <w:rFonts w:hint="eastAsia" w:ascii="宋体" w:hAnsi="宋体" w:eastAsia="宋体" w:cs="宋体"/>
                <w:sz w:val="21"/>
                <w:szCs w:val="21"/>
                <w:highlight w:val="none"/>
              </w:rPr>
            </w:pPr>
          </w:p>
        </w:tc>
        <w:tc>
          <w:tcPr>
            <w:tcW w:w="850" w:type="dxa"/>
            <w:vMerge w:val="continue"/>
            <w:tcBorders>
              <w:left w:val="single" w:color="auto" w:sz="4" w:space="0"/>
              <w:bottom w:val="single" w:color="auto" w:sz="4" w:space="0"/>
              <w:right w:val="single" w:color="auto" w:sz="4" w:space="0"/>
            </w:tcBorders>
            <w:noWrap w:val="0"/>
            <w:vAlign w:val="center"/>
          </w:tcPr>
          <w:p w14:paraId="2B8A40DB">
            <w:pPr>
              <w:rPr>
                <w:rFonts w:hint="eastAsia" w:ascii="宋体" w:hAnsi="宋体" w:eastAsia="宋体" w:cs="宋体"/>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noWrap w:val="0"/>
            <w:vAlign w:val="center"/>
          </w:tcPr>
          <w:p w14:paraId="27E3613F">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09B4D370">
            <w:pPr>
              <w:rPr>
                <w:rFonts w:hint="eastAsia" w:ascii="宋体" w:hAnsi="宋体" w:eastAsia="宋体" w:cs="宋体"/>
                <w:szCs w:val="21"/>
                <w:highlight w:val="none"/>
                <w:lang w:val="en-US" w:eastAsia="zh-CN"/>
              </w:rPr>
            </w:pPr>
            <w:r>
              <w:rPr>
                <w:rFonts w:hint="eastAsia" w:ascii="宋体" w:hAnsi="宋体" w:cs="宋体"/>
                <w:color w:val="000000"/>
                <w:sz w:val="22"/>
                <w:szCs w:val="22"/>
                <w:highlight w:val="none"/>
                <w:lang w:val="en-US" w:eastAsia="zh-CN"/>
              </w:rPr>
              <w:t>/</w:t>
            </w:r>
          </w:p>
        </w:tc>
      </w:tr>
      <w:tr w14:paraId="116D1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47" w:type="dxa"/>
            <w:vMerge w:val="continue"/>
            <w:tcBorders>
              <w:left w:val="single" w:color="auto" w:sz="4" w:space="0"/>
              <w:right w:val="single" w:color="auto" w:sz="4" w:space="0"/>
            </w:tcBorders>
            <w:noWrap w:val="0"/>
            <w:vAlign w:val="center"/>
          </w:tcPr>
          <w:p w14:paraId="56266F20">
            <w:pPr>
              <w:jc w:val="center"/>
              <w:rPr>
                <w:rFonts w:hint="eastAsia" w:ascii="宋体" w:hAnsi="宋体" w:eastAsia="宋体" w:cs="宋体"/>
                <w:sz w:val="21"/>
                <w:szCs w:val="21"/>
                <w:highlight w:val="none"/>
              </w:rPr>
            </w:pPr>
          </w:p>
        </w:tc>
        <w:tc>
          <w:tcPr>
            <w:tcW w:w="973" w:type="dxa"/>
            <w:vMerge w:val="continue"/>
            <w:tcBorders>
              <w:left w:val="single" w:color="auto" w:sz="4" w:space="0"/>
              <w:right w:val="single" w:color="auto" w:sz="4" w:space="0"/>
            </w:tcBorders>
            <w:noWrap w:val="0"/>
            <w:vAlign w:val="center"/>
          </w:tcPr>
          <w:p w14:paraId="7ED42FD1">
            <w:pPr>
              <w:rPr>
                <w:rFonts w:hint="eastAsia" w:ascii="宋体" w:hAnsi="宋体" w:eastAsia="宋体" w:cs="宋体"/>
                <w:sz w:val="21"/>
                <w:szCs w:val="21"/>
                <w:highlight w:val="none"/>
              </w:rPr>
            </w:pPr>
          </w:p>
        </w:tc>
        <w:tc>
          <w:tcPr>
            <w:tcW w:w="850" w:type="dxa"/>
            <w:vMerge w:val="restart"/>
            <w:tcBorders>
              <w:top w:val="single" w:color="auto" w:sz="4" w:space="0"/>
              <w:left w:val="single" w:color="auto" w:sz="4" w:space="0"/>
              <w:right w:val="single" w:color="auto" w:sz="4" w:space="0"/>
            </w:tcBorders>
            <w:noWrap w:val="0"/>
            <w:vAlign w:val="center"/>
          </w:tcPr>
          <w:p w14:paraId="0069437A">
            <w:pPr>
              <w:pStyle w:val="34"/>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采购代理机构</w:t>
            </w:r>
          </w:p>
        </w:tc>
        <w:tc>
          <w:tcPr>
            <w:tcW w:w="1323" w:type="dxa"/>
            <w:tcBorders>
              <w:top w:val="single" w:color="auto" w:sz="4" w:space="0"/>
              <w:left w:val="single" w:color="auto" w:sz="4" w:space="0"/>
              <w:bottom w:val="single" w:color="auto" w:sz="4" w:space="0"/>
              <w:right w:val="single" w:color="auto" w:sz="4" w:space="0"/>
            </w:tcBorders>
            <w:noWrap w:val="0"/>
            <w:vAlign w:val="center"/>
          </w:tcPr>
          <w:p w14:paraId="06C9D6D0">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联系人</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0ED8E799">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张工</w:t>
            </w:r>
          </w:p>
        </w:tc>
      </w:tr>
      <w:tr w14:paraId="350D7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47" w:type="dxa"/>
            <w:vMerge w:val="continue"/>
            <w:tcBorders>
              <w:left w:val="single" w:color="auto" w:sz="4" w:space="0"/>
              <w:right w:val="single" w:color="auto" w:sz="4" w:space="0"/>
            </w:tcBorders>
            <w:noWrap w:val="0"/>
            <w:vAlign w:val="center"/>
          </w:tcPr>
          <w:p w14:paraId="699170CA">
            <w:pPr>
              <w:jc w:val="center"/>
              <w:rPr>
                <w:rFonts w:hint="eastAsia" w:ascii="宋体" w:hAnsi="宋体" w:eastAsia="宋体" w:cs="宋体"/>
                <w:sz w:val="21"/>
                <w:szCs w:val="21"/>
                <w:highlight w:val="none"/>
              </w:rPr>
            </w:pPr>
          </w:p>
        </w:tc>
        <w:tc>
          <w:tcPr>
            <w:tcW w:w="973" w:type="dxa"/>
            <w:vMerge w:val="continue"/>
            <w:tcBorders>
              <w:left w:val="single" w:color="auto" w:sz="4" w:space="0"/>
              <w:right w:val="single" w:color="auto" w:sz="4" w:space="0"/>
            </w:tcBorders>
            <w:noWrap w:val="0"/>
            <w:vAlign w:val="center"/>
          </w:tcPr>
          <w:p w14:paraId="263756A7">
            <w:pPr>
              <w:rPr>
                <w:rFonts w:hint="eastAsia" w:ascii="宋体" w:hAnsi="宋体" w:eastAsia="宋体" w:cs="宋体"/>
                <w:sz w:val="21"/>
                <w:szCs w:val="21"/>
                <w:highlight w:val="none"/>
              </w:rPr>
            </w:pPr>
          </w:p>
        </w:tc>
        <w:tc>
          <w:tcPr>
            <w:tcW w:w="850" w:type="dxa"/>
            <w:vMerge w:val="continue"/>
            <w:tcBorders>
              <w:left w:val="single" w:color="auto" w:sz="4" w:space="0"/>
              <w:right w:val="single" w:color="auto" w:sz="4" w:space="0"/>
            </w:tcBorders>
            <w:noWrap w:val="0"/>
            <w:vAlign w:val="center"/>
          </w:tcPr>
          <w:p w14:paraId="39E13551">
            <w:pPr>
              <w:rPr>
                <w:rFonts w:hint="eastAsia" w:ascii="宋体" w:hAnsi="宋体" w:eastAsia="宋体" w:cs="宋体"/>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noWrap w:val="0"/>
            <w:vAlign w:val="center"/>
          </w:tcPr>
          <w:p w14:paraId="2570C492">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联系电话</w:t>
            </w:r>
          </w:p>
        </w:tc>
        <w:tc>
          <w:tcPr>
            <w:tcW w:w="5537" w:type="dxa"/>
            <w:tcBorders>
              <w:top w:val="single" w:color="auto" w:sz="4" w:space="0"/>
              <w:left w:val="single" w:color="auto" w:sz="4" w:space="0"/>
              <w:bottom w:val="single" w:color="auto" w:sz="4" w:space="0"/>
              <w:right w:val="single" w:color="auto" w:sz="4" w:space="0"/>
            </w:tcBorders>
            <w:noWrap w:val="0"/>
            <w:vAlign w:val="center"/>
          </w:tcPr>
          <w:p w14:paraId="7BC3BEE6">
            <w:pP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025-52730710</w:t>
            </w:r>
          </w:p>
        </w:tc>
      </w:tr>
      <w:tr w14:paraId="180D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47" w:type="dxa"/>
            <w:tcBorders>
              <w:left w:val="single" w:color="auto" w:sz="4" w:space="0"/>
              <w:right w:val="single" w:color="auto" w:sz="4" w:space="0"/>
            </w:tcBorders>
            <w:noWrap w:val="0"/>
            <w:vAlign w:val="center"/>
          </w:tcPr>
          <w:p w14:paraId="1642B919">
            <w:pPr>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823" w:type="dxa"/>
            <w:gridSpan w:val="2"/>
            <w:tcBorders>
              <w:left w:val="single" w:color="auto" w:sz="4" w:space="0"/>
              <w:right w:val="single" w:color="auto" w:sz="4" w:space="0"/>
            </w:tcBorders>
            <w:noWrap w:val="0"/>
            <w:vAlign w:val="center"/>
          </w:tcPr>
          <w:p w14:paraId="1AE96F49">
            <w:pPr>
              <w:spacing w:line="360" w:lineRule="auto"/>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磋商保证金</w:t>
            </w:r>
          </w:p>
        </w:tc>
        <w:tc>
          <w:tcPr>
            <w:tcW w:w="6860" w:type="dxa"/>
            <w:gridSpan w:val="2"/>
            <w:tcBorders>
              <w:top w:val="single" w:color="auto" w:sz="4" w:space="0"/>
              <w:left w:val="single" w:color="auto" w:sz="4" w:space="0"/>
              <w:bottom w:val="single" w:color="auto" w:sz="4" w:space="0"/>
              <w:right w:val="single" w:color="auto" w:sz="4" w:space="0"/>
            </w:tcBorders>
            <w:noWrap w:val="0"/>
            <w:vAlign w:val="center"/>
          </w:tcPr>
          <w:p w14:paraId="72EA26A2">
            <w:pPr>
              <w:spacing w:line="360" w:lineRule="auto"/>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eastAsia="zh-CN"/>
              </w:rPr>
              <w:t>本项目不收取</w:t>
            </w:r>
            <w:r>
              <w:rPr>
                <w:rFonts w:hint="eastAsia" w:ascii="宋体" w:hAnsi="宋体" w:eastAsia="宋体" w:cs="宋体"/>
                <w:sz w:val="21"/>
                <w:szCs w:val="21"/>
                <w:highlight w:val="none"/>
                <w:lang w:val="en-US" w:eastAsia="zh-CN"/>
              </w:rPr>
              <w:t>磋商</w:t>
            </w:r>
            <w:r>
              <w:rPr>
                <w:rFonts w:hint="eastAsia" w:ascii="宋体" w:hAnsi="宋体" w:eastAsia="宋体" w:cs="宋体"/>
                <w:sz w:val="21"/>
                <w:szCs w:val="21"/>
                <w:highlight w:val="none"/>
                <w:lang w:val="zh-CN" w:eastAsia="zh-CN"/>
              </w:rPr>
              <w:t>保证金。</w:t>
            </w:r>
          </w:p>
        </w:tc>
      </w:tr>
    </w:tbl>
    <w:p w14:paraId="1AD6194B">
      <w:pPr>
        <w:rPr>
          <w:rFonts w:hint="eastAsia" w:ascii="宋体" w:hAnsi="宋体" w:eastAsia="宋体" w:cs="宋体"/>
          <w:b/>
          <w:bCs/>
          <w:color w:val="000000" w:themeColor="text1"/>
          <w:sz w:val="28"/>
          <w:szCs w:val="28"/>
          <w:highlight w:val="none"/>
          <w:lang w:eastAsia="zh-CN"/>
          <w14:textFill>
            <w14:solidFill>
              <w14:schemeClr w14:val="tx1"/>
            </w14:solidFill>
          </w14:textFill>
        </w:rPr>
      </w:pPr>
      <w:r>
        <w:rPr>
          <w:rFonts w:hint="eastAsia" w:ascii="宋体" w:hAnsi="宋体" w:eastAsia="宋体" w:cs="宋体"/>
          <w:b/>
          <w:bCs/>
          <w:color w:val="000000" w:themeColor="text1"/>
          <w:sz w:val="28"/>
          <w:szCs w:val="28"/>
          <w:highlight w:val="none"/>
          <w:lang w:eastAsia="zh-CN"/>
          <w14:textFill>
            <w14:solidFill>
              <w14:schemeClr w14:val="tx1"/>
            </w14:solidFill>
          </w14:textFill>
        </w:rPr>
        <w:br w:type="page"/>
      </w:r>
    </w:p>
    <w:p w14:paraId="6450C26F">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20" w:name="_Toc20823275"/>
      <w:bookmarkStart w:id="21" w:name="_Toc120614214"/>
      <w:bookmarkStart w:id="22" w:name="_Toc16938519"/>
      <w:bookmarkStart w:id="23" w:name="_Toc513029203"/>
      <w:r>
        <w:rPr>
          <w:rFonts w:hint="eastAsia"/>
          <w:b/>
          <w:bCs/>
          <w:color w:val="000000" w:themeColor="text1"/>
          <w:sz w:val="21"/>
          <w:szCs w:val="21"/>
          <w:highlight w:val="none"/>
          <w14:textFill>
            <w14:solidFill>
              <w14:schemeClr w14:val="tx1"/>
            </w14:solidFill>
          </w14:textFill>
        </w:rPr>
        <w:t>一、总则</w:t>
      </w:r>
      <w:bookmarkEnd w:id="20"/>
      <w:bookmarkEnd w:id="21"/>
      <w:bookmarkEnd w:id="22"/>
      <w:bookmarkEnd w:id="23"/>
    </w:p>
    <w:p w14:paraId="354CC439">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bookmarkStart w:id="24" w:name="_Toc16938523"/>
      <w:bookmarkStart w:id="25" w:name="_Toc20823279"/>
      <w:bookmarkStart w:id="26" w:name="_Toc513029207"/>
      <w:bookmarkStart w:id="27" w:name="_Toc462564067"/>
      <w:bookmarkStart w:id="28" w:name="_Hlt16619475"/>
      <w:r>
        <w:rPr>
          <w:rFonts w:hint="eastAsia" w:ascii="宋体" w:hAnsi="宋体" w:eastAsia="宋体" w:cs="宋体"/>
          <w:b/>
          <w:color w:val="000000" w:themeColor="text1"/>
          <w:sz w:val="21"/>
          <w:szCs w:val="21"/>
          <w:highlight w:val="none"/>
          <w:lang w:val="zh-CN" w:eastAsia="zh-CN"/>
          <w14:textFill>
            <w14:solidFill>
              <w14:schemeClr w14:val="tx1"/>
            </w14:solidFill>
          </w14:textFill>
        </w:rPr>
        <w:t>1、适用法律</w:t>
      </w:r>
    </w:p>
    <w:p w14:paraId="5468399B">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《中华人民共和国政府采购法》、《中华人民共和国政府采购法实施条例》、《</w:t>
      </w:r>
      <w:r>
        <w:rPr>
          <w:rFonts w:hint="eastAsia" w:ascii="宋体" w:hAnsi="宋体" w:eastAsia="宋体" w:cs="宋体"/>
          <w:color w:val="000000" w:themeColor="text1"/>
          <w:sz w:val="21"/>
          <w:szCs w:val="21"/>
          <w:highlight w:val="none"/>
          <w:lang w:eastAsia="zh-CN"/>
          <w14:textFill>
            <w14:solidFill>
              <w14:schemeClr w14:val="tx1"/>
            </w14:solidFill>
          </w14:textFill>
        </w:rPr>
        <w:t>政府采购竞争性磋商采购方式管理暂行办法</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等</w:t>
      </w:r>
      <w:r>
        <w:rPr>
          <w:rFonts w:hint="eastAsia" w:ascii="宋体" w:hAnsi="宋体" w:eastAsia="宋体" w:cs="宋体"/>
          <w:color w:val="000000" w:themeColor="text1"/>
          <w:sz w:val="21"/>
          <w:szCs w:val="21"/>
          <w:highlight w:val="none"/>
          <w:lang w:val="zh-CN" w:eastAsia="zh-CN"/>
          <w14:textFill>
            <w14:solidFill>
              <w14:schemeClr w14:val="tx1"/>
            </w14:solidFill>
          </w14:textFill>
        </w:rPr>
        <w:t>有关法律、规章和规定等。</w:t>
      </w:r>
    </w:p>
    <w:p w14:paraId="5DCB522A">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2、定义</w:t>
      </w:r>
    </w:p>
    <w:p w14:paraId="38D8ABC3">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2.1 “采购人”是指依法进行政府采购的国家机关、事业单位、团体组织。</w:t>
      </w:r>
    </w:p>
    <w:p w14:paraId="1970A16D">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2.2 “供应商”是指参加竞争性磋商，并符合采购文件规定资格条件的法人、其他组织或者自然人。</w:t>
      </w:r>
    </w:p>
    <w:p w14:paraId="45C50563">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2.3 “货物、服务和工程”指本采购文件中所述产品、相关服务以及工程。</w:t>
      </w:r>
    </w:p>
    <w:p w14:paraId="5A8C8C8A">
      <w:pPr>
        <w:widowControl/>
        <w:shd w:val="clear" w:color="auto" w:fill="FFFFFF"/>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2.4 “用户或使用单位”是指使用服务的单位。</w:t>
      </w:r>
    </w:p>
    <w:p w14:paraId="19E3D919">
      <w:pPr>
        <w:spacing w:line="360" w:lineRule="auto"/>
        <w:ind w:firstLine="422"/>
        <w:rPr>
          <w:rFonts w:hint="eastAsia"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color w:val="000000" w:themeColor="text1"/>
          <w:sz w:val="21"/>
          <w:szCs w:val="21"/>
          <w:highlight w:val="none"/>
          <w:lang w:val="zh-CN" w:eastAsia="zh-CN"/>
          <w14:textFill>
            <w14:solidFill>
              <w14:schemeClr w14:val="tx1"/>
            </w14:solidFill>
          </w14:textFill>
        </w:rPr>
        <w:t>3、政策功能</w:t>
      </w:r>
    </w:p>
    <w:p w14:paraId="4CF36F1D">
      <w:pPr>
        <w:spacing w:line="360" w:lineRule="auto"/>
        <w:ind w:firstLine="422"/>
        <w:rPr>
          <w:rFonts w:hint="eastAsia"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b/>
          <w:bCs/>
          <w:color w:val="000000"/>
          <w:sz w:val="24"/>
          <w:szCs w:val="24"/>
          <w:highlight w:val="none"/>
          <w:lang w:val="zh-CN"/>
        </w:rPr>
        <w:t>本项目专门面向中小微企业采购，供应商应为中小微企业或监狱企业或残疾人福利性单位。</w:t>
      </w:r>
    </w:p>
    <w:p w14:paraId="5EE2995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3.1中小企业政策</w:t>
      </w:r>
    </w:p>
    <w:p w14:paraId="31B0E6C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w:t>
      </w:r>
      <w:r>
        <w:rPr>
          <w:rFonts w:hint="eastAsia"/>
          <w:color w:val="000000" w:themeColor="text1"/>
          <w:sz w:val="21"/>
          <w:szCs w:val="21"/>
          <w:highlight w:val="none"/>
          <w:lang w:eastAsia="zh-CN"/>
          <w14:textFill>
            <w14:solidFill>
              <w14:schemeClr w14:val="tx1"/>
            </w14:solidFill>
          </w14:textFill>
        </w:rPr>
        <w:t>、</w:t>
      </w:r>
      <w:r>
        <w:rPr>
          <w:rFonts w:hint="eastAsia"/>
          <w:color w:val="000000" w:themeColor="text1"/>
          <w:sz w:val="21"/>
          <w:szCs w:val="21"/>
          <w:highlight w:val="none"/>
          <w14:textFill>
            <w14:solidFill>
              <w14:schemeClr w14:val="tx1"/>
            </w14:solidFill>
          </w14:textFill>
        </w:rPr>
        <w:t>《国家统计局关于印发统计上大中小微型企业划分办法的通知》国统字〔2011〕75号）</w:t>
      </w:r>
      <w:r>
        <w:rPr>
          <w:rFonts w:hint="eastAsia"/>
          <w:color w:val="000000" w:themeColor="text1"/>
          <w:sz w:val="21"/>
          <w:szCs w:val="21"/>
          <w:highlight w:val="none"/>
          <w:lang w:val="en-US" w:eastAsia="zh-CN"/>
          <w14:textFill>
            <w14:solidFill>
              <w14:schemeClr w14:val="tx1"/>
            </w14:solidFill>
          </w14:textFill>
        </w:rPr>
        <w:t>及国家统计局关于印发《统计上大中小微型企业划分办法（2017）》的通知</w:t>
      </w:r>
      <w:r>
        <w:rPr>
          <w:rFonts w:hint="eastAsia"/>
          <w:color w:val="000000" w:themeColor="text1"/>
          <w:sz w:val="21"/>
          <w:szCs w:val="21"/>
          <w:highlight w:val="none"/>
          <w14:textFill>
            <w14:solidFill>
              <w14:schemeClr w14:val="tx1"/>
            </w14:solidFill>
          </w14:textFill>
        </w:rPr>
        <w:t>。</w:t>
      </w:r>
    </w:p>
    <w:p w14:paraId="52D41C1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对于专门面向中小企业或小型、微型企业的项目，只面向中小企业或小型、微型企业采购。对于非专门面向中小企业的项目，对符合规定的小微企业报价给予10%（工程为5%）的扣除，用扣除后的价格参加评审。</w:t>
      </w:r>
    </w:p>
    <w:p w14:paraId="6900871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对于接受供应商以联合体形式参加采购活动的项目，小型、微型企业联合体应当符合《政府采购促进中小企业发展管理办法》的通知[财库〔2020〕46号]及《关于进一步加大政府采购支持中小企业力度的通知》（财库〔2022〕19号）规定。联合协议中约定，小型、微型企业的协议合同金额占到联合体协议合同总金额30%以上的，给予联合体2%的价格扣除。联合体各方均为小型、微型企业的，联合体视同为小型、微型企业给予10%价格（工程为5%）扣除。组成联合体的大中型企业和其他自然人、法人或者其他组织，与小型、微型企业之间不得存在投资关系。本项目专门面向中小企业采购，评审时，采购人对小微企业的报价不给予价格扣除；</w:t>
      </w:r>
    </w:p>
    <w:p w14:paraId="14E95B0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p>
    <w:p w14:paraId="7BA41A6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p>
    <w:p w14:paraId="403C911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（6）参加政府采购活动的中小企业应当按“关于印发《关于进一步加大政府采购支持中小企业力度的通知》（财库〔2022〕19号）” 规定提供《中小企业声明函》，未提供上述资料的报价，其价格不予扣除。</w:t>
      </w:r>
    </w:p>
    <w:p w14:paraId="7670CE4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（7）中小企业依据《政府采购促进中小企业发展管理办法》的通知[财库〔2020〕46号]规定的政策获取政府采购合同后，小微企业不得将合同分包给大中型企业，中型企业不得将合同分包给大型企业。</w:t>
      </w:r>
    </w:p>
    <w:p w14:paraId="7EA72D38">
      <w:pPr>
        <w:pStyle w:val="46"/>
        <w:widowControl w:val="0"/>
        <w:spacing w:before="0" w:beforeAutospacing="0" w:after="0" w:afterAutospacing="0" w:line="360" w:lineRule="auto"/>
        <w:ind w:firstLine="420"/>
        <w:jc w:val="both"/>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3.2节能产品、环境标志产品政策</w:t>
      </w:r>
    </w:p>
    <w:p w14:paraId="7374154A">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（1）政府采购节能产品、环境标志产品实施品目清单管理。</w:t>
      </w:r>
    </w:p>
    <w:p w14:paraId="382509CA">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（2）拟采购产品属于节能产品、环境标志产品品目清单规定必须强制采购的，实行强制采购。</w:t>
      </w:r>
    </w:p>
    <w:p w14:paraId="4F5D89DD">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（3）拟采购产品属于节能产品、环境标志产品品目清单规定优先采购的，在性能、技术、服务等指标同等条件下，实行优先采购，优先采购的评审标准详见本招标文件第三章。</w:t>
      </w:r>
    </w:p>
    <w:p w14:paraId="41EEB2A7">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（4）参加政府采购活动的节能产品、环境标志产品供应商应当提供国家确定的认证机构出具的、处于有效期之内的节能产品、环境标志产品认证证书。</w:t>
      </w:r>
    </w:p>
    <w:p w14:paraId="3EF89EBE">
      <w:pPr>
        <w:pStyle w:val="46"/>
        <w:widowControl w:val="0"/>
        <w:spacing w:before="0" w:beforeAutospacing="0" w:after="0" w:afterAutospacing="0" w:line="360" w:lineRule="auto"/>
        <w:ind w:firstLine="420"/>
        <w:jc w:val="both"/>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3.3进口产品政策</w:t>
      </w:r>
    </w:p>
    <w:p w14:paraId="081A00E6">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（1）除在磋商文件另有规定外，不允许进口产品参加。进口产品认定依照《财政部关于政府采购进口产品管理有关问题的通知》（财办库〔2008〕248号）的规定。</w:t>
      </w:r>
    </w:p>
    <w:p w14:paraId="28EF33AB">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（2）允许进口产品参加的，满足需求的国内产品可以参加。</w:t>
      </w:r>
    </w:p>
    <w:p w14:paraId="27C441F4">
      <w:pPr>
        <w:pStyle w:val="46"/>
        <w:widowControl w:val="0"/>
        <w:spacing w:before="0" w:beforeAutospacing="0" w:after="0" w:afterAutospacing="0" w:line="360" w:lineRule="auto"/>
        <w:ind w:firstLine="420"/>
        <w:jc w:val="both"/>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（3）允许进口产品参加的，优先采购向我国企业转让技术、与我国企业签订消化吸收再创新方案的供应商的进口产品。</w:t>
      </w:r>
    </w:p>
    <w:p w14:paraId="3731E13A">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4、磋商费用</w:t>
      </w:r>
      <w:bookmarkEnd w:id="24"/>
      <w:bookmarkEnd w:id="25"/>
      <w:bookmarkEnd w:id="26"/>
      <w:bookmarkEnd w:id="27"/>
    </w:p>
    <w:p w14:paraId="176D47A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4.1 供应商应自行承担所有与参加本次磋商有关的费用，无论磋商过程中的做法和结果如何，采购人和采购代理机构在任何情况下均无义务和责任承担这些费用。</w:t>
      </w:r>
    </w:p>
    <w:p w14:paraId="5224BF1D">
      <w:pPr>
        <w:widowControl/>
        <w:shd w:val="clear" w:color="auto" w:fill="FFFFFF"/>
        <w:spacing w:line="360" w:lineRule="auto"/>
        <w:ind w:firstLine="420"/>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4.2</w:t>
      </w:r>
      <w:r>
        <w:rPr>
          <w:rFonts w:hint="eastAsia" w:ascii="宋体" w:hAnsi="宋体" w:eastAsia="宋体" w:cs="宋体"/>
          <w:b/>
          <w:bCs/>
          <w:sz w:val="21"/>
          <w:szCs w:val="21"/>
          <w:highlight w:val="none"/>
          <w:lang w:val="zh-CN" w:eastAsia="zh-CN"/>
        </w:rPr>
        <w:t>本项目招标代理费招标代理费以中标金额为基数服务费用按招标代理服务收费管理办法计价格[2002]1980号收费标准的80%</w:t>
      </w:r>
      <w:r>
        <w:rPr>
          <w:rFonts w:hint="eastAsia" w:ascii="宋体" w:hAnsi="宋体" w:eastAsia="宋体" w:cs="宋体"/>
          <w:b/>
          <w:bCs/>
          <w:sz w:val="21"/>
          <w:szCs w:val="21"/>
          <w:highlight w:val="none"/>
          <w:lang w:val="en-US" w:eastAsia="zh-CN"/>
        </w:rPr>
        <w:t>计取，代理服务费不足3000元的以3000元计</w:t>
      </w:r>
      <w:r>
        <w:rPr>
          <w:rFonts w:hint="eastAsia" w:ascii="宋体" w:hAnsi="宋体" w:eastAsia="宋体" w:cs="宋体"/>
          <w:b/>
          <w:bCs/>
          <w:sz w:val="21"/>
          <w:szCs w:val="21"/>
          <w:highlight w:val="none"/>
          <w:lang w:val="zh-CN" w:eastAsia="zh-CN"/>
        </w:rPr>
        <w:t>，由</w:t>
      </w:r>
      <w:r>
        <w:rPr>
          <w:rFonts w:hint="eastAsia" w:ascii="宋体" w:hAnsi="宋体" w:eastAsia="宋体" w:cs="宋体"/>
          <w:b/>
          <w:bCs/>
          <w:sz w:val="21"/>
          <w:szCs w:val="21"/>
          <w:highlight w:val="none"/>
          <w:lang w:val="en-US" w:eastAsia="zh-CN"/>
        </w:rPr>
        <w:t>招</w:t>
      </w:r>
      <w:r>
        <w:rPr>
          <w:rFonts w:hint="eastAsia" w:ascii="宋体" w:hAnsi="宋体" w:eastAsia="宋体" w:cs="宋体"/>
          <w:b/>
          <w:bCs/>
          <w:sz w:val="21"/>
          <w:szCs w:val="21"/>
          <w:highlight w:val="none"/>
          <w:lang w:val="zh-CN" w:eastAsia="zh-CN"/>
        </w:rPr>
        <w:t>标人承担。</w:t>
      </w:r>
    </w:p>
    <w:p w14:paraId="61B93EAC">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4.3 相关费用</w:t>
      </w:r>
      <w:r>
        <w:rPr>
          <w:rFonts w:hint="eastAsia"/>
          <w:bCs/>
          <w:color w:val="000000" w:themeColor="text1"/>
          <w:sz w:val="21"/>
          <w:szCs w:val="21"/>
          <w:highlight w:val="none"/>
          <w14:textFill>
            <w14:solidFill>
              <w14:schemeClr w14:val="tx1"/>
            </w14:solidFill>
          </w14:textFill>
        </w:rPr>
        <w:t>由投标单位自行考虑，后期不纳入与采购人结算中。</w:t>
      </w:r>
    </w:p>
    <w:p w14:paraId="74651FC5">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5、磋商文件的约束力</w:t>
      </w:r>
    </w:p>
    <w:p w14:paraId="601270E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5.1 供应商一旦参加本项目采购活动，即被认为接受了本磋商文件的规定和约束。</w:t>
      </w:r>
    </w:p>
    <w:p w14:paraId="165B471E">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29" w:name="_Toc16938525"/>
      <w:bookmarkStart w:id="30" w:name="_Toc20823281"/>
      <w:bookmarkStart w:id="31" w:name="_Toc513029209"/>
      <w:bookmarkStart w:id="32" w:name="_Toc120614215"/>
      <w:r>
        <w:rPr>
          <w:rFonts w:hint="eastAsia"/>
          <w:b/>
          <w:bCs/>
          <w:color w:val="000000" w:themeColor="text1"/>
          <w:sz w:val="21"/>
          <w:szCs w:val="21"/>
          <w:highlight w:val="none"/>
          <w14:textFill>
            <w14:solidFill>
              <w14:schemeClr w14:val="tx1"/>
            </w14:solidFill>
          </w14:textFill>
        </w:rPr>
        <w:t>二、</w:t>
      </w:r>
      <w:bookmarkEnd w:id="29"/>
      <w:bookmarkEnd w:id="30"/>
      <w:bookmarkEnd w:id="31"/>
      <w:bookmarkEnd w:id="32"/>
      <w:r>
        <w:rPr>
          <w:rFonts w:hint="eastAsia"/>
          <w:b/>
          <w:bCs/>
          <w:color w:val="000000" w:themeColor="text1"/>
          <w:sz w:val="21"/>
          <w:szCs w:val="21"/>
          <w:highlight w:val="none"/>
          <w14:textFill>
            <w14:solidFill>
              <w14:schemeClr w14:val="tx1"/>
            </w14:solidFill>
          </w14:textFill>
        </w:rPr>
        <w:t>磋商文件</w:t>
      </w:r>
    </w:p>
    <w:p w14:paraId="564CE45D">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33" w:name="_Toc16938526"/>
      <w:bookmarkStart w:id="34" w:name="_Toc20823282"/>
      <w:bookmarkStart w:id="35" w:name="_Toc513029210"/>
      <w:r>
        <w:rPr>
          <w:rFonts w:hint="eastAsia"/>
          <w:b/>
          <w:bCs/>
          <w:color w:val="000000" w:themeColor="text1"/>
          <w:sz w:val="21"/>
          <w:szCs w:val="21"/>
          <w:highlight w:val="none"/>
          <w14:textFill>
            <w14:solidFill>
              <w14:schemeClr w14:val="tx1"/>
            </w14:solidFill>
          </w14:textFill>
        </w:rPr>
        <w:t>6、磋商文件构成</w:t>
      </w:r>
      <w:bookmarkEnd w:id="33"/>
      <w:bookmarkEnd w:id="34"/>
      <w:bookmarkEnd w:id="35"/>
    </w:p>
    <w:p w14:paraId="56B340D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6.1 磋商文件由以下部分组成：</w:t>
      </w:r>
    </w:p>
    <w:p w14:paraId="503850A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（1）竞争性磋商公告</w:t>
      </w:r>
    </w:p>
    <w:p w14:paraId="27B0AD5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（2）供应商须知</w:t>
      </w:r>
    </w:p>
    <w:p w14:paraId="471FD25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（3）成交标准</w:t>
      </w:r>
    </w:p>
    <w:p w14:paraId="1A4C7CA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（4）采购需求</w:t>
      </w:r>
    </w:p>
    <w:p w14:paraId="606308A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（5）合同草案条款及格式</w:t>
      </w:r>
    </w:p>
    <w:p w14:paraId="77B3885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（6）响应文件格式</w:t>
      </w:r>
    </w:p>
    <w:p w14:paraId="0BB5A4E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（7）附件</w:t>
      </w:r>
    </w:p>
    <w:p w14:paraId="65A0C79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请仔细检查磋商文件是否齐全，如有缺漏请立即与采购代理机构联系解决。</w:t>
      </w:r>
    </w:p>
    <w:p w14:paraId="27B6672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4062A68">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36" w:name="_Toc462564070"/>
      <w:bookmarkStart w:id="37" w:name="_Toc16938527"/>
      <w:bookmarkStart w:id="38" w:name="_Toc513029211"/>
      <w:bookmarkStart w:id="39" w:name="_Toc20823283"/>
      <w:r>
        <w:rPr>
          <w:rFonts w:hint="eastAsia"/>
          <w:b/>
          <w:bCs/>
          <w:color w:val="000000" w:themeColor="text1"/>
          <w:sz w:val="21"/>
          <w:szCs w:val="21"/>
          <w:highlight w:val="none"/>
          <w14:textFill>
            <w14:solidFill>
              <w14:schemeClr w14:val="tx1"/>
            </w14:solidFill>
          </w14:textFill>
        </w:rPr>
        <w:t>7、磋商文件的澄清</w:t>
      </w:r>
      <w:bookmarkEnd w:id="36"/>
      <w:bookmarkEnd w:id="37"/>
      <w:bookmarkEnd w:id="38"/>
      <w:bookmarkEnd w:id="39"/>
    </w:p>
    <w:p w14:paraId="65D03D3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7.1 任何要求对磋商文件进行澄清的供应商，应在磋商截止期5日前按磋商公告中的通讯地址，以书面形式通知采购代理机构。</w:t>
      </w:r>
    </w:p>
    <w:p w14:paraId="6C3DFAC1">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40" w:name="_Toc20823284"/>
      <w:bookmarkStart w:id="41" w:name="_Toc16938528"/>
      <w:bookmarkStart w:id="42" w:name="_Toc462564071"/>
      <w:bookmarkStart w:id="43" w:name="_Toc513029212"/>
      <w:r>
        <w:rPr>
          <w:rFonts w:hint="eastAsia"/>
          <w:b/>
          <w:bCs/>
          <w:color w:val="000000" w:themeColor="text1"/>
          <w:sz w:val="21"/>
          <w:szCs w:val="21"/>
          <w:highlight w:val="none"/>
          <w14:textFill>
            <w14:solidFill>
              <w14:schemeClr w14:val="tx1"/>
            </w14:solidFill>
          </w14:textFill>
        </w:rPr>
        <w:t>8、磋商文件的澄清和修改</w:t>
      </w:r>
      <w:bookmarkEnd w:id="40"/>
      <w:bookmarkEnd w:id="41"/>
      <w:bookmarkEnd w:id="42"/>
      <w:bookmarkEnd w:id="43"/>
    </w:p>
    <w:p w14:paraId="360C8EB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8.1 在响应文件提交截止时间前，采购代理机构可以对磋商文件进行澄清和修改,澄清或者修改的内容作为磋商文件的组成部分。澄清或者修改的内容可能影响响应文件编制的，采购代理机构将在提交首次响应文件截止时间</w:t>
      </w:r>
      <w:r>
        <w:rPr>
          <w:rFonts w:hint="eastAsia"/>
          <w:color w:val="000000" w:themeColor="text1"/>
          <w:sz w:val="21"/>
          <w:szCs w:val="21"/>
          <w:highlight w:val="none"/>
          <w:lang w:val="en-US" w:eastAsia="zh-CN"/>
          <w14:textFill>
            <w14:solidFill>
              <w14:schemeClr w14:val="tx1"/>
            </w14:solidFill>
          </w14:textFill>
        </w:rPr>
        <w:t>满足相关文件规定</w:t>
      </w:r>
      <w:r>
        <w:rPr>
          <w:rFonts w:hint="eastAsia"/>
          <w:color w:val="000000" w:themeColor="text1"/>
          <w:sz w:val="21"/>
          <w:szCs w:val="21"/>
          <w:highlight w:val="none"/>
          <w14:textFill>
            <w14:solidFill>
              <w14:schemeClr w14:val="tx1"/>
            </w14:solidFill>
          </w14:textFill>
        </w:rPr>
        <w:t>，在“江苏政府采购网、南京公共采购信息网”上发布书面更正公告形式通知所有获取磋商文件的供应商，更正公告内容将作为磋商文件的组成部分，并对供应商具有约束力。</w:t>
      </w:r>
    </w:p>
    <w:p w14:paraId="495B3F9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8.2 采购代理机构可以视采购项目的具体情况，组织供应商进行现场考察或召开磋商前答疑会，但不单独或分别组织只有一个供应商参加的现场考察和答疑会。</w:t>
      </w:r>
    </w:p>
    <w:p w14:paraId="4FA16594">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44" w:name="_Toc16938529"/>
      <w:bookmarkStart w:id="45" w:name="_Toc513029213"/>
      <w:bookmarkStart w:id="46" w:name="_Toc462564072"/>
      <w:bookmarkStart w:id="47" w:name="_Toc120614216"/>
      <w:bookmarkStart w:id="48" w:name="_Toc20823285"/>
      <w:r>
        <w:rPr>
          <w:rFonts w:hint="eastAsia"/>
          <w:b/>
          <w:bCs/>
          <w:color w:val="000000" w:themeColor="text1"/>
          <w:sz w:val="21"/>
          <w:szCs w:val="21"/>
          <w:highlight w:val="none"/>
          <w14:textFill>
            <w14:solidFill>
              <w14:schemeClr w14:val="tx1"/>
            </w14:solidFill>
          </w14:textFill>
        </w:rPr>
        <w:t>三、响应文件的编制</w:t>
      </w:r>
      <w:bookmarkEnd w:id="44"/>
      <w:bookmarkEnd w:id="45"/>
      <w:bookmarkEnd w:id="46"/>
      <w:bookmarkEnd w:id="47"/>
      <w:bookmarkEnd w:id="48"/>
    </w:p>
    <w:p w14:paraId="006B94E6">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49" w:name="_Toc16938530"/>
      <w:bookmarkStart w:id="50" w:name="_Toc20823286"/>
      <w:bookmarkStart w:id="51" w:name="_Toc513029214"/>
      <w:bookmarkStart w:id="52" w:name="_Toc462564073"/>
      <w:r>
        <w:rPr>
          <w:rFonts w:hint="eastAsia"/>
          <w:b/>
          <w:bCs/>
          <w:color w:val="000000" w:themeColor="text1"/>
          <w:sz w:val="21"/>
          <w:szCs w:val="21"/>
          <w:highlight w:val="none"/>
          <w14:textFill>
            <w14:solidFill>
              <w14:schemeClr w14:val="tx1"/>
            </w14:solidFill>
          </w14:textFill>
        </w:rPr>
        <w:t>9、</w:t>
      </w:r>
      <w:bookmarkEnd w:id="49"/>
      <w:bookmarkEnd w:id="50"/>
      <w:bookmarkEnd w:id="51"/>
      <w:bookmarkEnd w:id="52"/>
      <w:r>
        <w:rPr>
          <w:rFonts w:hint="eastAsia"/>
          <w:b/>
          <w:bCs/>
          <w:color w:val="000000" w:themeColor="text1"/>
          <w:sz w:val="21"/>
          <w:szCs w:val="21"/>
          <w:highlight w:val="none"/>
          <w14:textFill>
            <w14:solidFill>
              <w14:schemeClr w14:val="tx1"/>
            </w14:solidFill>
          </w14:textFill>
        </w:rPr>
        <w:t>响应文件的语言、计量单位、货币和编制</w:t>
      </w:r>
    </w:p>
    <w:p w14:paraId="746B981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28B1B17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9.2 供应商所使用的计量单位应为国家法定计量单位。</w:t>
      </w:r>
    </w:p>
    <w:p w14:paraId="7079609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9.3 供应商应用人民币报价。报价产品如果是进口产品的，应提供人民币与外币之间的汇率；报价单位为“元”。</w:t>
      </w:r>
    </w:p>
    <w:p w14:paraId="5FEED3E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9.4 磋商响应文件应字迹清楚、内容齐全、不得涂改。如有修改，修改处须有供应商公章或投标专用章和法定代表人或其授权磋商代表签字。</w:t>
      </w:r>
    </w:p>
    <w:p w14:paraId="2DF84BB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9.5 供应商应在磋商响应文件中写清相应的项目编号、项目名称、供应商全称、地址、电话、传真等。</w:t>
      </w:r>
    </w:p>
    <w:p w14:paraId="7119DE9E">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53" w:name="_Toc513029215"/>
      <w:bookmarkStart w:id="54" w:name="_Toc20823287"/>
      <w:bookmarkStart w:id="55" w:name="_Toc16938531"/>
      <w:bookmarkStart w:id="56" w:name="_Toc462564074"/>
      <w:r>
        <w:rPr>
          <w:rFonts w:hint="eastAsia"/>
          <w:b/>
          <w:bCs/>
          <w:color w:val="000000" w:themeColor="text1"/>
          <w:sz w:val="21"/>
          <w:szCs w:val="21"/>
          <w:highlight w:val="none"/>
          <w14:textFill>
            <w14:solidFill>
              <w14:schemeClr w14:val="tx1"/>
            </w14:solidFill>
          </w14:textFill>
        </w:rPr>
        <w:t>10、响应文件构成</w:t>
      </w:r>
      <w:bookmarkEnd w:id="53"/>
      <w:bookmarkEnd w:id="54"/>
      <w:bookmarkEnd w:id="55"/>
      <w:bookmarkEnd w:id="56"/>
    </w:p>
    <w:p w14:paraId="08A369CE">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eastAsia="zh-CN"/>
          <w14:textFill>
            <w14:solidFill>
              <w14:schemeClr w14:val="tx1"/>
            </w14:solidFill>
          </w14:textFill>
        </w:rPr>
        <w:t>供应商应当根据竞争性磋商文件要求编制磋商</w:t>
      </w:r>
      <w:r>
        <w:rPr>
          <w:rFonts w:hint="eastAsia" w:ascii="宋体" w:hAnsi="宋体" w:eastAsia="宋体" w:cs="宋体"/>
          <w:color w:val="000000" w:themeColor="text1"/>
          <w:sz w:val="21"/>
          <w:szCs w:val="21"/>
          <w:highlight w:val="none"/>
          <w:lang w:eastAsia="zh-CN"/>
          <w14:textFill>
            <w14:solidFill>
              <w14:schemeClr w14:val="tx1"/>
            </w14:solidFill>
          </w14:textFill>
        </w:rPr>
        <w:t>电子</w:t>
      </w:r>
      <w:r>
        <w:rPr>
          <w:rFonts w:hint="eastAsia" w:ascii="宋体" w:hAnsi="宋体" w:eastAsia="宋体" w:cs="宋体"/>
          <w:color w:val="000000" w:themeColor="text1"/>
          <w:sz w:val="21"/>
          <w:szCs w:val="21"/>
          <w:highlight w:val="none"/>
          <w:lang w:val="zh-CN" w:eastAsia="zh-CN"/>
          <w14:textFill>
            <w14:solidFill>
              <w14:schemeClr w14:val="tx1"/>
            </w14:solidFill>
          </w14:textFill>
        </w:rPr>
        <w:t>响应文件，并根据自己的商务能力、技术水平对竞争性磋商文件提出的要求和条件逐条标明是否响应。</w:t>
      </w:r>
    </w:p>
    <w:p w14:paraId="4AE140AE">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w:t>
      </w:r>
      <w:r>
        <w:rPr>
          <w:rFonts w:hint="eastAsia" w:ascii="宋体" w:hAnsi="宋体" w:eastAsia="宋体" w:cs="宋体"/>
          <w:color w:val="000000" w:themeColor="text1"/>
          <w:sz w:val="21"/>
          <w:szCs w:val="21"/>
          <w:highlight w:val="none"/>
          <w:lang w:val="zh-CN" w:eastAsia="zh-CN"/>
          <w14:textFill>
            <w14:solidFill>
              <w14:schemeClr w14:val="tx1"/>
            </w14:solidFill>
          </w14:textFill>
        </w:rPr>
        <w:t>.2 磋商响应文件由商务部分、技术部分、价格部分，以及其他部分组成。</w:t>
      </w:r>
    </w:p>
    <w:p w14:paraId="21D8010D">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10.3 本次采购的最小单位是包。采购项目的技术要求中未分包的，供应商对要求提供的服务不得部分投标；采购项目的技术要求中已经分包的，可以以包为单位投标。</w:t>
      </w:r>
    </w:p>
    <w:p w14:paraId="7880CD7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10.4 如标书制作工具中格式和内容与“江苏政府采购网、南京公共采购信息网”发布的磋商文件不一致，请以“江苏政府采购网、南京公共采购信息网”发布的磋商文件为准。</w:t>
      </w:r>
    </w:p>
    <w:p w14:paraId="33CB23C6">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10</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5</w:t>
      </w:r>
      <w:r>
        <w:rPr>
          <w:rFonts w:hint="eastAsia" w:ascii="宋体" w:hAnsi="宋体" w:eastAsia="宋体" w:cs="宋体"/>
          <w:bCs/>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磋商响应文件的商务部分。</w:t>
      </w:r>
      <w:r>
        <w:rPr>
          <w:rFonts w:hint="eastAsia" w:ascii="宋体" w:hAnsi="宋体" w:eastAsia="宋体" w:cs="宋体"/>
          <w:color w:val="000000" w:themeColor="text1"/>
          <w:sz w:val="21"/>
          <w:szCs w:val="21"/>
          <w:highlight w:val="none"/>
          <w:lang w:val="zh-CN" w:eastAsia="zh-CN"/>
          <w14:textFill>
            <w14:solidFill>
              <w14:schemeClr w14:val="tx1"/>
            </w14:solidFill>
          </w14:textFill>
        </w:rPr>
        <w:t>商务部分是证明供应商有资格参加磋商和成交后有能力履行合同的文件，</w:t>
      </w:r>
      <w:r>
        <w:rPr>
          <w:rFonts w:hint="eastAsia" w:ascii="宋体" w:hAnsi="宋体" w:eastAsia="宋体" w:cs="宋体"/>
          <w:color w:val="000000" w:themeColor="text1"/>
          <w:sz w:val="21"/>
          <w:szCs w:val="21"/>
          <w:highlight w:val="none"/>
          <w:lang w:eastAsia="zh-CN"/>
          <w14:textFill>
            <w14:solidFill>
              <w14:schemeClr w14:val="tx1"/>
            </w14:solidFill>
          </w14:textFill>
        </w:rPr>
        <w:t>这些文件应能满足竞争性磋商采购的要求</w:t>
      </w:r>
      <w:r>
        <w:rPr>
          <w:rFonts w:hint="eastAsia" w:ascii="宋体" w:hAnsi="宋体" w:eastAsia="宋体" w:cs="宋体"/>
          <w:color w:val="000000" w:themeColor="text1"/>
          <w:sz w:val="21"/>
          <w:szCs w:val="21"/>
          <w:highlight w:val="none"/>
          <w:lang w:val="zh-CN" w:eastAsia="zh-CN"/>
          <w14:textFill>
            <w14:solidFill>
              <w14:schemeClr w14:val="tx1"/>
            </w14:solidFill>
          </w14:textFill>
        </w:rPr>
        <w:t>，包括但不限于下列文件，</w:t>
      </w:r>
      <w:r>
        <w:rPr>
          <w:rFonts w:hint="eastAsia" w:ascii="宋体" w:hAnsi="宋体" w:eastAsia="宋体" w:cs="宋体"/>
          <w:b/>
          <w:bCs/>
          <w:color w:val="000000" w:themeColor="text1"/>
          <w:sz w:val="21"/>
          <w:szCs w:val="21"/>
          <w:highlight w:val="none"/>
          <w:lang w:val="zh-CN" w:eastAsia="zh-CN"/>
          <w14:textFill>
            <w14:solidFill>
              <w14:schemeClr w14:val="tx1"/>
            </w14:solidFill>
          </w14:textFill>
        </w:rPr>
        <w:t>其中加★项目不得有缺失或无效</w:t>
      </w:r>
      <w:r>
        <w:rPr>
          <w:rFonts w:hint="eastAsia" w:ascii="宋体" w:hAnsi="宋体" w:eastAsia="宋体" w:cs="宋体"/>
          <w:b/>
          <w:bCs/>
          <w:color w:val="000000" w:themeColor="text1"/>
          <w:sz w:val="21"/>
          <w:szCs w:val="21"/>
          <w:highlight w:val="none"/>
          <w:lang w:eastAsia="zh-CN"/>
          <w14:textFill>
            <w14:solidFill>
              <w14:schemeClr w14:val="tx1"/>
            </w14:solidFill>
          </w14:textFill>
        </w:rPr>
        <w:t>，否则竞争性磋商小组有权否决供应商的投标</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p>
    <w:p w14:paraId="52F21F62">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（1）★磋商申请及声明；</w:t>
      </w:r>
    </w:p>
    <w:p w14:paraId="0889312D">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（2）★法定代表人授权委托书；</w:t>
      </w:r>
    </w:p>
    <w:p w14:paraId="27285484">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（3）★磋商报价表；</w:t>
      </w:r>
    </w:p>
    <w:p w14:paraId="6128F604">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lang w:val="zh-CN" w:eastAsia="zh-CN"/>
          <w14:textFill>
            <w14:solidFill>
              <w14:schemeClr w14:val="tx1"/>
            </w14:solidFill>
          </w14:textFill>
        </w:rPr>
        <w:t>）★《南京市政府采购供应商信用记录表暨信用承诺书》注：本表打印时间必须在采购文件发布之日起至提交响应文件截止日前。</w:t>
      </w:r>
    </w:p>
    <w:p w14:paraId="039069F3">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5</w:t>
      </w:r>
      <w:r>
        <w:rPr>
          <w:rFonts w:hint="eastAsia" w:ascii="宋体" w:hAnsi="宋体" w:eastAsia="宋体" w:cs="宋体"/>
          <w:color w:val="000000" w:themeColor="text1"/>
          <w:sz w:val="21"/>
          <w:szCs w:val="21"/>
          <w:highlight w:val="none"/>
          <w:lang w:val="zh-CN" w:eastAsia="zh-CN"/>
          <w14:textFill>
            <w14:solidFill>
              <w14:schemeClr w14:val="tx1"/>
            </w14:solidFill>
          </w14:textFill>
        </w:rPr>
        <w:t>）第一章磋商邀请中采购人根据采购项目的特殊要求规定的特定条件证明文件</w:t>
      </w:r>
    </w:p>
    <w:p w14:paraId="2CCF272A">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（6）★《商务条款偏离表》；</w:t>
      </w:r>
    </w:p>
    <w:p w14:paraId="6DBE38B4">
      <w:pPr>
        <w:spacing w:line="360" w:lineRule="auto"/>
        <w:ind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color w:val="000000" w:themeColor="text1"/>
          <w:sz w:val="21"/>
          <w:szCs w:val="21"/>
          <w:highlight w:val="none"/>
          <w:lang w:val="zh-CN" w:eastAsia="zh-CN"/>
          <w14:textFill>
            <w14:solidFill>
              <w14:schemeClr w14:val="tx1"/>
            </w14:solidFill>
          </w14:textFill>
        </w:rPr>
        <w:t>★《技术条款偏离表》；</w:t>
      </w:r>
    </w:p>
    <w:p w14:paraId="784CBB39">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（8）★中小企业声明函；</w:t>
      </w:r>
    </w:p>
    <w:p w14:paraId="137B143C">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（9）★无重大违法记录声明；</w:t>
      </w:r>
    </w:p>
    <w:p w14:paraId="18506525">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（10）★残疾人福利性单位声明函</w:t>
      </w:r>
    </w:p>
    <w:p w14:paraId="5E4D0025">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lang w:val="zh-CN" w:eastAsia="zh-CN"/>
          <w14:textFill>
            <w14:solidFill>
              <w14:schemeClr w14:val="tx1"/>
            </w14:solidFill>
          </w14:textFill>
        </w:rPr>
        <w:t>）属于监狱企业的证明文件（如有）</w:t>
      </w:r>
    </w:p>
    <w:p w14:paraId="5EE498A8">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lang w:val="zh-CN" w:eastAsia="zh-CN"/>
          <w14:textFill>
            <w14:solidFill>
              <w14:schemeClr w14:val="tx1"/>
            </w14:solidFill>
          </w14:textFill>
        </w:rPr>
        <w:t>）节能产品认证文件（如有）</w:t>
      </w:r>
    </w:p>
    <w:p w14:paraId="2EA204A5">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（13）环境标志产品认证文件（如有）</w:t>
      </w:r>
    </w:p>
    <w:p w14:paraId="37FACB87">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（14）进口产品转让技术、消化吸收再创新方案（如有）</w:t>
      </w:r>
    </w:p>
    <w:p w14:paraId="7A161E97">
      <w:pPr>
        <w:spacing w:line="360" w:lineRule="auto"/>
        <w:ind w:firstLine="420"/>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（15）磋商供应商认为需提供的其他资料。</w:t>
      </w:r>
    </w:p>
    <w:p w14:paraId="75AE556E">
      <w:pPr>
        <w:spacing w:line="360" w:lineRule="auto"/>
        <w:ind w:firstLine="420"/>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10.7</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磋商响应文件的价格部分</w:t>
      </w:r>
    </w:p>
    <w:p w14:paraId="49A5E366">
      <w:pPr>
        <w:numPr>
          <w:ilvl w:val="0"/>
          <w:numId w:val="2"/>
        </w:num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价格部分是对</w:t>
      </w:r>
      <w:r>
        <w:rPr>
          <w:rFonts w:hint="eastAsia" w:ascii="宋体" w:hAnsi="宋体" w:eastAsia="宋体" w:cs="宋体"/>
          <w:color w:val="000000" w:themeColor="text1"/>
          <w:sz w:val="21"/>
          <w:szCs w:val="21"/>
          <w:highlight w:val="none"/>
          <w:lang w:eastAsia="zh-CN"/>
          <w14:textFill>
            <w14:solidFill>
              <w14:schemeClr w14:val="tx1"/>
            </w14:solidFill>
          </w14:textFill>
        </w:rPr>
        <w:t>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价格构成的说明，竞争性磋商文件如没有特别说明的话，对每一项</w:t>
      </w:r>
      <w:r>
        <w:rPr>
          <w:rFonts w:hint="eastAsia" w:ascii="宋体" w:hAnsi="宋体" w:eastAsia="宋体" w:cs="宋体"/>
          <w:color w:val="000000" w:themeColor="text1"/>
          <w:sz w:val="21"/>
          <w:szCs w:val="21"/>
          <w:highlight w:val="none"/>
          <w:lang w:eastAsia="zh-CN"/>
          <w14:textFill>
            <w14:solidFill>
              <w14:schemeClr w14:val="tx1"/>
            </w14:solidFill>
          </w14:textFill>
        </w:rPr>
        <w:t>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仅接受一个价格。</w:t>
      </w:r>
    </w:p>
    <w:p w14:paraId="544D7CF3">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（2）报价应包含与磋商项目有关的所</w:t>
      </w:r>
      <w:r>
        <w:rPr>
          <w:rFonts w:hint="eastAsia" w:ascii="宋体" w:hAnsi="宋体" w:eastAsia="宋体" w:cs="宋体"/>
          <w:color w:val="000000" w:themeColor="text1"/>
          <w:sz w:val="21"/>
          <w:szCs w:val="21"/>
          <w:highlight w:val="none"/>
          <w:lang w:eastAsia="zh-CN"/>
          <w14:textFill>
            <w14:solidFill>
              <w14:schemeClr w14:val="tx1"/>
            </w14:solidFill>
          </w14:textFill>
        </w:rPr>
        <w:t>有</w:t>
      </w:r>
      <w:r>
        <w:rPr>
          <w:rFonts w:hint="eastAsia" w:ascii="宋体" w:hAnsi="宋体" w:eastAsia="宋体" w:cs="宋体"/>
          <w:color w:val="000000" w:themeColor="text1"/>
          <w:sz w:val="21"/>
          <w:szCs w:val="21"/>
          <w:highlight w:val="none"/>
          <w:lang w:val="zh-CN" w:eastAsia="zh-CN"/>
          <w14:textFill>
            <w14:solidFill>
              <w14:schemeClr w14:val="tx1"/>
            </w14:solidFill>
          </w14:textFill>
        </w:rPr>
        <w:t>费用，以及技术资料、支付给员工的工资和国家强制缴纳的各种社会保障资金，以及供应商认为需要的其他费用等。</w:t>
      </w:r>
    </w:p>
    <w:p w14:paraId="1FF9F4F5">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（3）供应商应以表格形式详细说明</w:t>
      </w:r>
      <w:r>
        <w:rPr>
          <w:rFonts w:hint="eastAsia" w:ascii="宋体" w:hAnsi="宋体" w:eastAsia="宋体" w:cs="宋体"/>
          <w:color w:val="000000" w:themeColor="text1"/>
          <w:sz w:val="21"/>
          <w:szCs w:val="21"/>
          <w:highlight w:val="none"/>
          <w:lang w:eastAsia="zh-CN"/>
          <w14:textFill>
            <w14:solidFill>
              <w14:schemeClr w14:val="tx1"/>
            </w14:solidFill>
          </w14:textFill>
        </w:rPr>
        <w:t>工程</w:t>
      </w:r>
      <w:r>
        <w:rPr>
          <w:rFonts w:hint="eastAsia" w:ascii="宋体" w:hAnsi="宋体" w:eastAsia="宋体" w:cs="宋体"/>
          <w:color w:val="000000" w:themeColor="text1"/>
          <w:sz w:val="21"/>
          <w:szCs w:val="21"/>
          <w:highlight w:val="none"/>
          <w:lang w:val="zh-CN" w:eastAsia="zh-CN"/>
          <w14:textFill>
            <w14:solidFill>
              <w14:schemeClr w14:val="tx1"/>
            </w14:solidFill>
          </w14:textFill>
        </w:rPr>
        <w:t>的价格构成，以及价格构成各项因素的单价和总价。</w:t>
      </w:r>
    </w:p>
    <w:p w14:paraId="74B9976A">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（4）供应商应充分考虑到市场价格变动，以及项目实施过程中的不可预见因素，一旦成交，总价格不变。如果有漏项，视同让利。</w:t>
      </w:r>
    </w:p>
    <w:p w14:paraId="30DC2125">
      <w:pPr>
        <w:widowControl/>
        <w:shd w:val="clear" w:color="auto" w:fill="FFFFFF"/>
        <w:spacing w:line="360" w:lineRule="auto"/>
        <w:ind w:firstLine="422"/>
        <w:rPr>
          <w:rFonts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（5）响应文件所报的投标价格不得超过磋商文件规定的最高限价，超过磋商文件规定的最高限价的响应文件，按无效投标处理。</w:t>
      </w:r>
    </w:p>
    <w:p w14:paraId="69EF9CAB">
      <w:pPr>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6</w:t>
      </w:r>
      <w:r>
        <w:rPr>
          <w:rFonts w:hint="eastAsia" w:ascii="宋体" w:hAnsi="宋体" w:eastAsia="宋体" w:cs="宋体"/>
          <w:color w:val="000000" w:themeColor="text1"/>
          <w:sz w:val="21"/>
          <w:szCs w:val="21"/>
          <w:highlight w:val="none"/>
          <w:lang w:val="zh-CN" w:eastAsia="zh-CN"/>
          <w14:textFill>
            <w14:solidFill>
              <w14:schemeClr w14:val="tx1"/>
            </w14:solidFill>
          </w14:textFill>
        </w:rPr>
        <w:t>）经磋商后，如果成交价</w:t>
      </w:r>
      <w:r>
        <w:rPr>
          <w:rFonts w:hint="eastAsia" w:ascii="宋体" w:hAnsi="宋体" w:eastAsia="宋体" w:cs="宋体"/>
          <w:color w:val="000000" w:themeColor="text1"/>
          <w:sz w:val="21"/>
          <w:szCs w:val="21"/>
          <w:highlight w:val="none"/>
          <w:lang w:eastAsia="zh-CN"/>
          <w14:textFill>
            <w14:solidFill>
              <w14:schemeClr w14:val="tx1"/>
            </w14:solidFill>
          </w14:textFill>
        </w:rPr>
        <w:t>高于或</w:t>
      </w:r>
      <w:r>
        <w:rPr>
          <w:rFonts w:hint="eastAsia" w:ascii="宋体" w:hAnsi="宋体" w:eastAsia="宋体" w:cs="宋体"/>
          <w:color w:val="000000" w:themeColor="text1"/>
          <w:sz w:val="21"/>
          <w:szCs w:val="21"/>
          <w:highlight w:val="none"/>
          <w:lang w:val="zh-CN" w:eastAsia="zh-CN"/>
          <w14:textFill>
            <w14:solidFill>
              <w14:schemeClr w14:val="tx1"/>
            </w14:solidFill>
          </w14:textFill>
        </w:rPr>
        <w:t>低于供应商在磋商响应文件报价的话，除特别注明外，分项报价同比例调整。</w:t>
      </w:r>
    </w:p>
    <w:p w14:paraId="4A18D16B">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color w:val="000000" w:themeColor="text1"/>
          <w:sz w:val="21"/>
          <w:szCs w:val="21"/>
          <w:highlight w:val="none"/>
          <w:lang w:eastAsia="zh-CN"/>
          <w14:textFill>
            <w14:solidFill>
              <w14:schemeClr w14:val="tx1"/>
            </w14:solidFill>
          </w14:textFill>
        </w:rPr>
        <w:t>（7）</w:t>
      </w:r>
      <w:r>
        <w:rPr>
          <w:rFonts w:hint="eastAsia" w:ascii="宋体" w:hAnsi="宋体" w:eastAsia="宋体" w:cs="宋体"/>
          <w:b/>
          <w:bCs/>
          <w:szCs w:val="21"/>
          <w:highlight w:val="none"/>
          <w:lang w:val="zh-CN" w:eastAsia="zh-CN"/>
        </w:rPr>
        <w:t>异常低价投标审查</w:t>
      </w:r>
    </w:p>
    <w:p w14:paraId="5D95DBC2">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评标过程中出现下列情形之一的，评委会应当启动异常低价投标审查程序：</w:t>
      </w:r>
    </w:p>
    <w:p w14:paraId="23C2F558">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1）投标报价低于全部通过符合性审查供应商投标报价平均值65%的，即投标报价&lt;全部通过符合性审查供应商投标报价平均值×65%；</w:t>
      </w:r>
    </w:p>
    <w:p w14:paraId="2E94FC7F">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2）投标报价低于通过符合性审查的次低报价供应商投标报价65%的，即投标报价&lt;通过符合性审查的次低报价供应商投标报价×65%；</w:t>
      </w:r>
    </w:p>
    <w:p w14:paraId="37EB9B4E">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3）投标报价低于采购项目最高限价65%的，即投标报价&lt;采购项目最高限价×65%；</w:t>
      </w:r>
    </w:p>
    <w:p w14:paraId="3FAA266B">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4）评委会基于专业判断，认为供应商报价过低，有可能影响产品质量或者不能诚信履约的其他情形。</w:t>
      </w:r>
    </w:p>
    <w:p w14:paraId="1A41CEB7">
      <w:pPr>
        <w:spacing w:line="360" w:lineRule="auto"/>
        <w:ind w:firstLine="420"/>
        <w:rPr>
          <w:rFonts w:hint="eastAsia" w:ascii="宋体" w:hAnsi="宋体" w:eastAsia="宋体" w:cs="宋体"/>
          <w:b/>
          <w:bCs/>
          <w:szCs w:val="21"/>
          <w:highlight w:val="none"/>
          <w:lang w:val="zh-CN" w:eastAsia="zh-CN"/>
        </w:rPr>
      </w:pPr>
      <w:r>
        <w:rPr>
          <w:rFonts w:hint="eastAsia" w:ascii="宋体" w:hAnsi="宋体" w:eastAsia="宋体" w:cs="宋体"/>
          <w:b/>
          <w:bCs/>
          <w:szCs w:val="21"/>
          <w:highlight w:val="none"/>
          <w:lang w:val="zh-CN" w:eastAsia="zh-CN"/>
        </w:rPr>
        <w:t>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4A655328">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szCs w:val="21"/>
          <w:highlight w:val="none"/>
          <w:lang w:val="zh-CN" w:eastAsia="zh-CN"/>
        </w:rPr>
        <w:t>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p>
    <w:p w14:paraId="503B0256">
      <w:pPr>
        <w:spacing w:line="360" w:lineRule="auto"/>
        <w:ind w:firstLine="420"/>
        <w:rPr>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10.8 磋商响应文件的其他部分。其他部分由供应</w:t>
      </w:r>
      <w:r>
        <w:rPr>
          <w:rFonts w:hint="eastAsia"/>
          <w:color w:val="000000" w:themeColor="text1"/>
          <w:sz w:val="21"/>
          <w:szCs w:val="21"/>
          <w:highlight w:val="none"/>
          <w:lang w:val="zh-CN" w:eastAsia="zh-CN"/>
          <w14:textFill>
            <w14:solidFill>
              <w14:schemeClr w14:val="tx1"/>
            </w14:solidFill>
          </w14:textFill>
        </w:rPr>
        <w:t>商根据编制磋商响应文件需要提供的其他相关文件组成。</w:t>
      </w:r>
    </w:p>
    <w:p w14:paraId="22889D9C">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57" w:name="_Toc14577357"/>
      <w:bookmarkStart w:id="58" w:name="_Toc14577354"/>
      <w:bookmarkStart w:id="59" w:name="_Toc49090509"/>
      <w:bookmarkStart w:id="60" w:name="_Toc14577355"/>
      <w:bookmarkStart w:id="61" w:name="_Toc513029216"/>
      <w:bookmarkStart w:id="62" w:name="_Toc513029219"/>
      <w:bookmarkStart w:id="63" w:name="_Toc49090507"/>
      <w:bookmarkStart w:id="64" w:name="_Toc49090508"/>
      <w:bookmarkStart w:id="65" w:name="_Hlt26954838"/>
      <w:bookmarkStart w:id="66" w:name="_Hlt26668975"/>
      <w:bookmarkStart w:id="67" w:name="_Hlt26670360"/>
      <w:r>
        <w:rPr>
          <w:rFonts w:hint="eastAsia"/>
          <w:b/>
          <w:bCs/>
          <w:color w:val="000000" w:themeColor="text1"/>
          <w:sz w:val="21"/>
          <w:szCs w:val="21"/>
          <w:highlight w:val="none"/>
          <w14:textFill>
            <w14:solidFill>
              <w14:schemeClr w14:val="tx1"/>
            </w14:solidFill>
          </w14:textFill>
        </w:rPr>
        <w:t>11、证明磋商响应标的符合磋商文件规定的文件</w:t>
      </w:r>
      <w:bookmarkEnd w:id="57"/>
      <w:bookmarkEnd w:id="58"/>
      <w:bookmarkEnd w:id="59"/>
      <w:bookmarkEnd w:id="60"/>
      <w:bookmarkEnd w:id="61"/>
      <w:bookmarkEnd w:id="62"/>
      <w:bookmarkEnd w:id="63"/>
      <w:bookmarkEnd w:id="64"/>
    </w:p>
    <w:p w14:paraId="619ED37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11.1 供应商应按照磋商文件要求提交证明文件，证明其及磋商响应标的符合磋商文件规定。</w:t>
      </w:r>
    </w:p>
    <w:p w14:paraId="3BF43BF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11.2 磋商文件对证明文件无明确形式要求的，证明文件可以以文字资料、图纸和数据等形式提交。</w:t>
      </w:r>
    </w:p>
    <w:p w14:paraId="45FE0975">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12、分项报价表</w:t>
      </w:r>
    </w:p>
    <w:p w14:paraId="535D43A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12.1 供应商应填报分项报价表。</w:t>
      </w:r>
    </w:p>
    <w:p w14:paraId="34FD5C0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12.2 磋商货币。响应文件中的单价和总价无特殊规定的采用人民币报价，以元为单位标注。磋商文件中另有规定的按规定执行。</w:t>
      </w:r>
    </w:p>
    <w:p w14:paraId="61B5F215">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68" w:name="_Hlt26670482"/>
      <w:bookmarkStart w:id="69" w:name="_Hlt26954846"/>
      <w:bookmarkStart w:id="70" w:name="_Hlt26954731"/>
      <w:bookmarkStart w:id="71" w:name="_Hlt26670486"/>
      <w:bookmarkStart w:id="72" w:name="_Hlt26954848"/>
      <w:r>
        <w:rPr>
          <w:rFonts w:hint="eastAsia"/>
          <w:b/>
          <w:bCs/>
          <w:color w:val="000000" w:themeColor="text1"/>
          <w:sz w:val="21"/>
          <w:szCs w:val="21"/>
          <w:highlight w:val="none"/>
          <w14:textFill>
            <w14:solidFill>
              <w14:schemeClr w14:val="tx1"/>
            </w14:solidFill>
          </w14:textFill>
        </w:rPr>
        <w:t>13、技术要求响应及偏离表、商务要求响应及偏离表</w:t>
      </w:r>
    </w:p>
    <w:p w14:paraId="5D17434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13.1 供应商需对磋商文件中的技术要求与商务要求逐项作出响应或偏离。</w:t>
      </w:r>
    </w:p>
    <w:p w14:paraId="1DA74B1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13.2 供应商可在响应文件中提供认为需要的其他技术文件或说明。</w:t>
      </w:r>
    </w:p>
    <w:p w14:paraId="7A515505">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73" w:name="_Toc49090510"/>
      <w:bookmarkStart w:id="74" w:name="_Toc14577359"/>
      <w:r>
        <w:rPr>
          <w:rFonts w:hint="eastAsia"/>
          <w:b/>
          <w:bCs/>
          <w:color w:val="000000" w:themeColor="text1"/>
          <w:sz w:val="21"/>
          <w:szCs w:val="21"/>
          <w:highlight w:val="none"/>
          <w14:textFill>
            <w14:solidFill>
              <w14:schemeClr w14:val="tx1"/>
            </w14:solidFill>
          </w14:textFill>
        </w:rPr>
        <w:t>14、</w:t>
      </w:r>
      <w:bookmarkEnd w:id="73"/>
      <w:bookmarkEnd w:id="74"/>
      <w:r>
        <w:rPr>
          <w:rFonts w:hint="eastAsia"/>
          <w:b/>
          <w:bCs/>
          <w:color w:val="000000" w:themeColor="text1"/>
          <w:sz w:val="21"/>
          <w:szCs w:val="21"/>
          <w:highlight w:val="none"/>
          <w14:textFill>
            <w14:solidFill>
              <w14:schemeClr w14:val="tx1"/>
            </w14:solidFill>
          </w14:textFill>
        </w:rPr>
        <w:t>竞争性磋商申请及声明</w:t>
      </w:r>
    </w:p>
    <w:p w14:paraId="316F5C6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14.1 供应商应按照磋商文件中提供的格式完整、正确填写竞争性磋商申请及声明。</w:t>
      </w:r>
    </w:p>
    <w:p w14:paraId="45E50160">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75" w:name="_Toc49090511"/>
      <w:bookmarkStart w:id="76" w:name="_Toc14577360"/>
      <w:r>
        <w:rPr>
          <w:rFonts w:hint="eastAsia"/>
          <w:b/>
          <w:bCs/>
          <w:color w:val="000000" w:themeColor="text1"/>
          <w:sz w:val="21"/>
          <w:szCs w:val="21"/>
          <w:highlight w:val="none"/>
          <w14:textFill>
            <w14:solidFill>
              <w14:schemeClr w14:val="tx1"/>
            </w14:solidFill>
          </w14:textFill>
        </w:rPr>
        <w:t>15、磋商有效期</w:t>
      </w:r>
      <w:bookmarkEnd w:id="75"/>
      <w:bookmarkEnd w:id="76"/>
    </w:p>
    <w:p w14:paraId="6AD4DD6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15.1 磋商有效期为采购代理机构规定的提交响应文件截止之日后</w:t>
      </w:r>
      <w:r>
        <w:rPr>
          <w:rFonts w:hint="eastAsia" w:ascii="宋体" w:hAnsi="宋体" w:eastAsia="宋体" w:cs="宋体"/>
          <w:b/>
          <w:bCs/>
          <w:color w:val="000000" w:themeColor="text1"/>
          <w:sz w:val="21"/>
          <w:szCs w:val="21"/>
          <w:highlight w:val="none"/>
          <w:u w:val="single"/>
          <w:lang w:val="en-US" w:eastAsia="zh-CN"/>
          <w14:textFill>
            <w14:solidFill>
              <w14:schemeClr w14:val="tx1"/>
            </w14:solidFill>
          </w14:textFill>
        </w:rPr>
        <w:t>九</w:t>
      </w:r>
      <w:r>
        <w:rPr>
          <w:rFonts w:hint="eastAsia"/>
          <w:b/>
          <w:bCs/>
          <w:color w:val="000000" w:themeColor="text1"/>
          <w:sz w:val="21"/>
          <w:szCs w:val="21"/>
          <w:highlight w:val="none"/>
          <w:u w:val="single"/>
          <w14:textFill>
            <w14:solidFill>
              <w14:schemeClr w14:val="tx1"/>
            </w14:solidFill>
          </w14:textFill>
        </w:rPr>
        <w:t>十（</w:t>
      </w:r>
      <w:r>
        <w:rPr>
          <w:rFonts w:hint="eastAsia"/>
          <w:b/>
          <w:bCs/>
          <w:color w:val="000000" w:themeColor="text1"/>
          <w:sz w:val="21"/>
          <w:szCs w:val="21"/>
          <w:highlight w:val="none"/>
          <w:u w:val="single"/>
          <w:lang w:val="en-US" w:eastAsia="zh-CN"/>
          <w14:textFill>
            <w14:solidFill>
              <w14:schemeClr w14:val="tx1"/>
            </w14:solidFill>
          </w14:textFill>
        </w:rPr>
        <w:t>9</w:t>
      </w:r>
      <w:r>
        <w:rPr>
          <w:rFonts w:hint="eastAsia"/>
          <w:b/>
          <w:bCs/>
          <w:color w:val="000000" w:themeColor="text1"/>
          <w:sz w:val="21"/>
          <w:szCs w:val="21"/>
          <w:highlight w:val="none"/>
          <w:u w:val="single"/>
          <w14:textFill>
            <w14:solidFill>
              <w14:schemeClr w14:val="tx1"/>
            </w14:solidFill>
          </w14:textFill>
        </w:rPr>
        <w:t>0）天</w:t>
      </w:r>
      <w:r>
        <w:rPr>
          <w:rFonts w:hint="eastAsia"/>
          <w:color w:val="000000" w:themeColor="text1"/>
          <w:sz w:val="21"/>
          <w:szCs w:val="21"/>
          <w:highlight w:val="none"/>
          <w14:textFill>
            <w14:solidFill>
              <w14:schemeClr w14:val="tx1"/>
            </w14:solidFill>
          </w14:textFill>
        </w:rPr>
        <w:t>。磋商有效期比规定短的将被视为非实质性响应磋商文件而予以拒绝。</w:t>
      </w:r>
    </w:p>
    <w:p w14:paraId="35C02D0F">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16、磋商有效期的延长</w:t>
      </w:r>
    </w:p>
    <w:p w14:paraId="6C99A23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p>
    <w:p w14:paraId="78E46EE6">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77" w:name="_Toc16938540"/>
      <w:bookmarkStart w:id="78" w:name="_Toc120614217"/>
      <w:bookmarkStart w:id="79" w:name="_Toc20823296"/>
      <w:bookmarkStart w:id="80" w:name="_Toc513029224"/>
      <w:bookmarkStart w:id="81" w:name="_Hlt26954852"/>
      <w:bookmarkStart w:id="82" w:name="_Hlt26954739"/>
      <w:r>
        <w:rPr>
          <w:rFonts w:hint="eastAsia"/>
          <w:b/>
          <w:bCs/>
          <w:color w:val="000000" w:themeColor="text1"/>
          <w:sz w:val="21"/>
          <w:szCs w:val="21"/>
          <w:highlight w:val="none"/>
          <w14:textFill>
            <w14:solidFill>
              <w14:schemeClr w14:val="tx1"/>
            </w14:solidFill>
          </w14:textFill>
        </w:rPr>
        <w:t>四、响应文件的递交</w:t>
      </w:r>
      <w:bookmarkEnd w:id="77"/>
      <w:bookmarkEnd w:id="78"/>
      <w:bookmarkEnd w:id="79"/>
      <w:bookmarkEnd w:id="80"/>
    </w:p>
    <w:p w14:paraId="12E89AB7">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83" w:name="_Toc462564084"/>
      <w:bookmarkStart w:id="84" w:name="_Toc16938541"/>
      <w:bookmarkStart w:id="85" w:name="_Toc20823297"/>
      <w:bookmarkStart w:id="86" w:name="_Toc513029225"/>
      <w:r>
        <w:rPr>
          <w:rFonts w:hint="eastAsia"/>
          <w:b/>
          <w:bCs/>
          <w:color w:val="000000" w:themeColor="text1"/>
          <w:sz w:val="21"/>
          <w:szCs w:val="21"/>
          <w:highlight w:val="none"/>
          <w14:textFill>
            <w14:solidFill>
              <w14:schemeClr w14:val="tx1"/>
            </w14:solidFill>
          </w14:textFill>
        </w:rPr>
        <w:t>17、电子磋商</w:t>
      </w:r>
      <w:bookmarkEnd w:id="83"/>
      <w:bookmarkEnd w:id="84"/>
      <w:bookmarkEnd w:id="85"/>
      <w:bookmarkEnd w:id="86"/>
      <w:r>
        <w:rPr>
          <w:rFonts w:hint="eastAsia"/>
          <w:b/>
          <w:bCs/>
          <w:color w:val="000000" w:themeColor="text1"/>
          <w:sz w:val="21"/>
          <w:szCs w:val="21"/>
          <w:highlight w:val="none"/>
          <w14:textFill>
            <w14:solidFill>
              <w14:schemeClr w14:val="tx1"/>
            </w14:solidFill>
          </w14:textFill>
        </w:rPr>
        <w:t>响应文件的递交</w:t>
      </w:r>
    </w:p>
    <w:p w14:paraId="46C8549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17.1 </w:t>
      </w:r>
      <w:r>
        <w:rPr>
          <w:rFonts w:hint="eastAsia"/>
          <w:color w:val="000000" w:themeColor="text1"/>
          <w:sz w:val="21"/>
          <w:szCs w:val="21"/>
          <w:highlight w:val="none"/>
          <w:lang w:val="zh-CN"/>
          <w14:textFill>
            <w14:solidFill>
              <w14:schemeClr w14:val="tx1"/>
            </w14:solidFill>
          </w14:textFill>
        </w:rPr>
        <w:t>响应文件应加盖</w:t>
      </w:r>
      <w:r>
        <w:rPr>
          <w:rFonts w:hint="eastAsia"/>
          <w:color w:val="000000" w:themeColor="text1"/>
          <w:sz w:val="21"/>
          <w:szCs w:val="21"/>
          <w:highlight w:val="none"/>
          <w14:textFill>
            <w14:solidFill>
              <w14:schemeClr w14:val="tx1"/>
            </w14:solidFill>
          </w14:textFill>
        </w:rPr>
        <w:t>投标供应商</w:t>
      </w:r>
      <w:r>
        <w:rPr>
          <w:rFonts w:hint="eastAsia"/>
          <w:color w:val="000000" w:themeColor="text1"/>
          <w:sz w:val="21"/>
          <w:szCs w:val="21"/>
          <w:highlight w:val="none"/>
          <w:lang w:val="zh-CN"/>
          <w14:textFill>
            <w14:solidFill>
              <w14:schemeClr w14:val="tx1"/>
            </w14:solidFill>
          </w14:textFill>
        </w:rPr>
        <w:t>公章。</w:t>
      </w:r>
      <w:r>
        <w:rPr>
          <w:rFonts w:hint="eastAsia"/>
          <w:color w:val="000000" w:themeColor="text1"/>
          <w:sz w:val="21"/>
          <w:szCs w:val="21"/>
          <w:highlight w:val="none"/>
          <w14:textFill>
            <w14:solidFill>
              <w14:schemeClr w14:val="tx1"/>
            </w14:solidFill>
          </w14:textFill>
        </w:rPr>
        <w:t>磋商文件中注明须签字的地方应由供应商的法定代表人或委托代理人签字，如为委托代理人签字的应附“法定代表人授权委托书”。</w:t>
      </w:r>
    </w:p>
    <w:p w14:paraId="7B61A92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17.2 供应商应当按照《操作手册》规定，在提交响应文件截止时间前制作并上传电子响应文件。</w:t>
      </w:r>
      <w:bookmarkStart w:id="87" w:name="_Toc16938542"/>
      <w:bookmarkEnd w:id="87"/>
      <w:bookmarkStart w:id="88" w:name="_Toc20823298"/>
      <w:bookmarkEnd w:id="88"/>
      <w:bookmarkStart w:id="89" w:name="_Toc513029226"/>
    </w:p>
    <w:p w14:paraId="1DA112AB">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18、提交响应文件截止时间</w:t>
      </w:r>
    </w:p>
    <w:p w14:paraId="302C8CDC">
      <w:pPr>
        <w:pStyle w:val="46"/>
        <w:widowControl w:val="0"/>
        <w:spacing w:before="0" w:beforeAutospacing="0" w:after="0" w:afterAutospacing="0" w:line="360" w:lineRule="auto"/>
        <w:ind w:firstLine="420"/>
        <w:jc w:val="both"/>
        <w:rPr>
          <w:i/>
          <w:iCs/>
          <w:color w:val="000000" w:themeColor="text1"/>
          <w:sz w:val="21"/>
          <w:szCs w:val="21"/>
          <w:highlight w:val="non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18.1 供应商上传电子响应文件的时间不得迟于磋商公告中规定的提交响应文件截止时间。</w:t>
      </w:r>
    </w:p>
    <w:p w14:paraId="106CA66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18.2 供应商应充分考虑到网络环境、网络带宽等风险因素，如因供应商自身原因造成的电子响应文件上传不成功的按照本磋商文件第二章第</w:t>
      </w:r>
      <w:r>
        <w:rPr>
          <w:rFonts w:hint="eastAsia"/>
          <w:b/>
          <w:bCs/>
          <w:color w:val="000000" w:themeColor="text1"/>
          <w:sz w:val="21"/>
          <w:szCs w:val="21"/>
          <w:highlight w:val="none"/>
          <w14:textFill>
            <w14:solidFill>
              <w14:schemeClr w14:val="tx1"/>
            </w14:solidFill>
          </w14:textFill>
        </w:rPr>
        <w:t>25.3.2</w:t>
      </w:r>
      <w:r>
        <w:rPr>
          <w:rFonts w:hint="eastAsia"/>
          <w:color w:val="000000" w:themeColor="text1"/>
          <w:sz w:val="21"/>
          <w:szCs w:val="21"/>
          <w:highlight w:val="none"/>
          <w14:textFill>
            <w14:solidFill>
              <w14:schemeClr w14:val="tx1"/>
            </w14:solidFill>
          </w14:textFill>
        </w:rPr>
        <w:t>条规定做无效响应处理。</w:t>
      </w:r>
    </w:p>
    <w:p w14:paraId="517F24D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18.3 采购代理机构可以按照规定，通过修改磋商文件酌情延长提交响应文件截止日期，在此情况下，供应商的所有权利和义务以及供应商受制的截止日期均应以延长后新的截止日期为准。</w:t>
      </w:r>
    </w:p>
    <w:p w14:paraId="43FCF429">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90" w:name="_Toc16938543"/>
      <w:bookmarkStart w:id="91" w:name="_Toc20823299"/>
      <w:bookmarkStart w:id="92" w:name="_Toc513029227"/>
      <w:r>
        <w:rPr>
          <w:rFonts w:hint="eastAsia"/>
          <w:b/>
          <w:bCs/>
          <w:color w:val="000000" w:themeColor="text1"/>
          <w:sz w:val="21"/>
          <w:szCs w:val="21"/>
          <w:highlight w:val="none"/>
          <w14:textFill>
            <w14:solidFill>
              <w14:schemeClr w14:val="tx1"/>
            </w14:solidFill>
          </w14:textFill>
        </w:rPr>
        <w:t>19、响应文件</w:t>
      </w:r>
      <w:bookmarkEnd w:id="90"/>
      <w:bookmarkEnd w:id="91"/>
      <w:bookmarkEnd w:id="92"/>
      <w:r>
        <w:rPr>
          <w:rFonts w:hint="eastAsia"/>
          <w:b/>
          <w:bCs/>
          <w:color w:val="000000" w:themeColor="text1"/>
          <w:sz w:val="21"/>
          <w:szCs w:val="21"/>
          <w:highlight w:val="none"/>
          <w14:textFill>
            <w14:solidFill>
              <w14:schemeClr w14:val="tx1"/>
            </w14:solidFill>
          </w14:textFill>
        </w:rPr>
        <w:t>的拒收</w:t>
      </w:r>
    </w:p>
    <w:p w14:paraId="5CD52F6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19.1 采购代理机构拒绝接收在其规定的提交响应文件截止时间后上传的任何电子响应文件。</w:t>
      </w:r>
    </w:p>
    <w:p w14:paraId="6AB8829A">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93" w:name="_Toc16938544"/>
      <w:bookmarkStart w:id="94" w:name="_Toc513029228"/>
      <w:bookmarkStart w:id="95" w:name="_Toc20823300"/>
      <w:r>
        <w:rPr>
          <w:rFonts w:hint="eastAsia"/>
          <w:b/>
          <w:bCs/>
          <w:color w:val="000000" w:themeColor="text1"/>
          <w:sz w:val="21"/>
          <w:szCs w:val="21"/>
          <w:highlight w:val="none"/>
          <w14:textFill>
            <w14:solidFill>
              <w14:schemeClr w14:val="tx1"/>
            </w14:solidFill>
          </w14:textFill>
        </w:rPr>
        <w:t>20、响应文件的撤回和修改</w:t>
      </w:r>
      <w:bookmarkEnd w:id="93"/>
      <w:bookmarkEnd w:id="94"/>
      <w:bookmarkEnd w:id="95"/>
    </w:p>
    <w:p w14:paraId="799EA9D2">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20.1响应文件的撤回</w:t>
      </w:r>
    </w:p>
    <w:p w14:paraId="4B5CB57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20.1.1 电子响应文件的撤回</w:t>
      </w:r>
    </w:p>
    <w:p w14:paraId="6BB9355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供应商可在提交响应文件截止时间前，撤回其电子响应文件，具体操作方法见《操作手册》。</w:t>
      </w:r>
    </w:p>
    <w:p w14:paraId="5CF9672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20.1.2 供应商撤回电子响应文件，则认为其不再参与本项目磋商活动。</w:t>
      </w:r>
    </w:p>
    <w:p w14:paraId="6A3BBE71">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20.2响应文件的修改</w:t>
      </w:r>
    </w:p>
    <w:p w14:paraId="70198B7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20.2.1 供应商可在提交响应文件截止时间前，对其电子响应文件进行修改，具体操作方法见《操作手册》。</w:t>
      </w:r>
    </w:p>
    <w:p w14:paraId="13C16E1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20.2.2 在提交响应文件截止时间之后，供应商不得对其电子响应文件作任何修改。</w:t>
      </w:r>
    </w:p>
    <w:p w14:paraId="2344053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20.2.3 在提交响应文件截止时间至磋商文件中规定的磋商有效期满之间的这段时间内，供应商不得撤回其响应文件。</w:t>
      </w:r>
    </w:p>
    <w:p w14:paraId="10B09CAF">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96" w:name="_Toc16938545"/>
      <w:bookmarkStart w:id="97" w:name="_Toc513029229"/>
      <w:bookmarkStart w:id="98" w:name="_Toc120614218"/>
      <w:bookmarkStart w:id="99" w:name="_Toc20823301"/>
      <w:r>
        <w:rPr>
          <w:rFonts w:hint="eastAsia"/>
          <w:b/>
          <w:bCs/>
          <w:color w:val="000000" w:themeColor="text1"/>
          <w:sz w:val="21"/>
          <w:szCs w:val="21"/>
          <w:highlight w:val="none"/>
          <w14:textFill>
            <w14:solidFill>
              <w14:schemeClr w14:val="tx1"/>
            </w14:solidFill>
          </w14:textFill>
        </w:rPr>
        <w:t>五、响应文件的解密与评审</w:t>
      </w:r>
      <w:bookmarkEnd w:id="96"/>
      <w:bookmarkEnd w:id="97"/>
      <w:bookmarkEnd w:id="98"/>
      <w:bookmarkEnd w:id="99"/>
    </w:p>
    <w:p w14:paraId="15AE11E9">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00" w:name="_Toc513029230"/>
      <w:bookmarkStart w:id="101" w:name="_Toc20823302"/>
      <w:bookmarkStart w:id="102" w:name="_Toc16938546"/>
      <w:r>
        <w:rPr>
          <w:rFonts w:hint="eastAsia"/>
          <w:b/>
          <w:bCs/>
          <w:color w:val="000000" w:themeColor="text1"/>
          <w:sz w:val="21"/>
          <w:szCs w:val="21"/>
          <w:highlight w:val="none"/>
          <w14:textFill>
            <w14:solidFill>
              <w14:schemeClr w14:val="tx1"/>
            </w14:solidFill>
          </w14:textFill>
        </w:rPr>
        <w:t>21、</w:t>
      </w:r>
      <w:bookmarkEnd w:id="100"/>
      <w:bookmarkEnd w:id="101"/>
      <w:bookmarkEnd w:id="102"/>
      <w:r>
        <w:rPr>
          <w:rFonts w:hint="eastAsia"/>
          <w:b/>
          <w:bCs/>
          <w:color w:val="000000" w:themeColor="text1"/>
          <w:sz w:val="21"/>
          <w:szCs w:val="21"/>
          <w:highlight w:val="none"/>
          <w14:textFill>
            <w14:solidFill>
              <w14:schemeClr w14:val="tx1"/>
            </w14:solidFill>
          </w14:textFill>
        </w:rPr>
        <w:t>响应文件解密</w:t>
      </w:r>
    </w:p>
    <w:p w14:paraId="57A1CD2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21.1 供应商应当按照《操作手册》规定，在苏采云系统规定的时间内对磋商响应文件进行解密。</w:t>
      </w:r>
    </w:p>
    <w:p w14:paraId="4DFEEC17">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03" w:name="_Toc20823303"/>
      <w:bookmarkStart w:id="104" w:name="_Toc16938547"/>
      <w:bookmarkStart w:id="105" w:name="_Toc513029231"/>
      <w:r>
        <w:rPr>
          <w:rFonts w:hint="eastAsia"/>
          <w:b/>
          <w:bCs/>
          <w:color w:val="000000" w:themeColor="text1"/>
          <w:sz w:val="21"/>
          <w:szCs w:val="21"/>
          <w:highlight w:val="none"/>
          <w14:textFill>
            <w14:solidFill>
              <w14:schemeClr w14:val="tx1"/>
            </w14:solidFill>
          </w14:textFill>
        </w:rPr>
        <w:t>22、磋商小组</w:t>
      </w:r>
      <w:bookmarkEnd w:id="103"/>
      <w:bookmarkEnd w:id="104"/>
      <w:bookmarkEnd w:id="105"/>
    </w:p>
    <w:p w14:paraId="602EAC7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22.1 采购代理机构将组织磋商小组对响应文件进行评审。磋商小组由采购人代表和有关技术、经济等方面的专家组成，且人员构成符合政府采购有关规定。</w:t>
      </w:r>
    </w:p>
    <w:p w14:paraId="31CAD73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22.2 磋商小组独立工作，负责评审所有响应文件并确定成交侯选人。</w:t>
      </w:r>
    </w:p>
    <w:p w14:paraId="34351980">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23、评审过程的保密与公正</w:t>
      </w:r>
    </w:p>
    <w:p w14:paraId="298B6CB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23.1 磋商小组、采购人和采购代理机构工作人员、相关监督人员等与评审工作有关的人员，对评审情况以及在评审过程中获悉的国家秘密、商业秘密负有保密责任。</w:t>
      </w:r>
    </w:p>
    <w:p w14:paraId="7418394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23.2 在评审过程中，供应商不得以任何行为影响磋商评审过程，否则其响应文件将被作为无效响应文件。</w:t>
      </w:r>
    </w:p>
    <w:p w14:paraId="154EF9E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23.3 在项目评审期间，采购代理机构将设专门人员与供应商联系。</w:t>
      </w:r>
    </w:p>
    <w:p w14:paraId="11FE05F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23.4 采购代理机构和磋商小组不向未成交的供应商解释未成交原因，也不公布评审过程中的相关细节。</w:t>
      </w:r>
    </w:p>
    <w:p w14:paraId="227C60D3">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06" w:name="_Toc20823304"/>
      <w:bookmarkStart w:id="107" w:name="_Toc513029232"/>
      <w:bookmarkStart w:id="108" w:name="_Toc16938548"/>
      <w:r>
        <w:rPr>
          <w:rFonts w:hint="eastAsia"/>
          <w:b/>
          <w:bCs/>
          <w:color w:val="000000" w:themeColor="text1"/>
          <w:sz w:val="21"/>
          <w:szCs w:val="21"/>
          <w:highlight w:val="none"/>
          <w14:textFill>
            <w14:solidFill>
              <w14:schemeClr w14:val="tx1"/>
            </w14:solidFill>
          </w14:textFill>
        </w:rPr>
        <w:t>24、评审过程中的的澄清</w:t>
      </w:r>
      <w:bookmarkEnd w:id="106"/>
      <w:bookmarkEnd w:id="107"/>
      <w:bookmarkEnd w:id="108"/>
    </w:p>
    <w:p w14:paraId="02603E1E">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3B1A0EC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磋商小组并非对每个供应商都作澄清要求。</w:t>
      </w:r>
    </w:p>
    <w:p w14:paraId="4E79957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0788CD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24.3 接到磋商小组澄清、说明和更正要求的供应商如未按规定做出澄清、说明和更正，其风险由供应商自行承担。</w:t>
      </w:r>
    </w:p>
    <w:p w14:paraId="63314D72">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09" w:name="_Toc20823305"/>
      <w:bookmarkStart w:id="110" w:name="_Toc16938549"/>
      <w:bookmarkStart w:id="111" w:name="_Toc513029233"/>
      <w:r>
        <w:rPr>
          <w:rFonts w:hint="eastAsia"/>
          <w:b/>
          <w:bCs/>
          <w:color w:val="000000" w:themeColor="text1"/>
          <w:sz w:val="21"/>
          <w:szCs w:val="21"/>
          <w:highlight w:val="none"/>
          <w14:textFill>
            <w14:solidFill>
              <w14:schemeClr w14:val="tx1"/>
            </w14:solidFill>
          </w14:textFill>
        </w:rPr>
        <w:t>25、对响应文件的审</w:t>
      </w:r>
      <w:bookmarkEnd w:id="109"/>
      <w:bookmarkEnd w:id="110"/>
      <w:bookmarkEnd w:id="111"/>
      <w:r>
        <w:rPr>
          <w:rFonts w:hint="eastAsia"/>
          <w:b/>
          <w:bCs/>
          <w:color w:val="000000" w:themeColor="text1"/>
          <w:sz w:val="21"/>
          <w:szCs w:val="21"/>
          <w:highlight w:val="none"/>
          <w14:textFill>
            <w14:solidFill>
              <w14:schemeClr w14:val="tx1"/>
            </w14:solidFill>
          </w14:textFill>
        </w:rPr>
        <w:t>查</w:t>
      </w:r>
    </w:p>
    <w:p w14:paraId="6F1293CB">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25.1 响应文件审查分为资格审查和符合性审查。</w:t>
      </w:r>
    </w:p>
    <w:p w14:paraId="22DAECA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25.1.1 资格审查：由磋商小组依据法律法规和磋商文件的规定，对响应文件中的资格证明文件进行审查，以确定供应商是否具备参加磋商的资格。</w:t>
      </w:r>
    </w:p>
    <w:p w14:paraId="2A64F19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磋商小组在进行资格审查的同时，将在“信用中国”网站（www.creditchina.gov.cn）、“中国政府采购网"(www.ccgp.gov.cn)查询供应商的信用记录，以确定供应商是否具备磋商资格，查询结果留存并归档。</w:t>
      </w:r>
    </w:p>
    <w:p w14:paraId="61E413B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136E66B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25.1.2 符合性审查：依据磋商文件的规定，由磋商小组从响应文件的有效性、完整性和对磋商文件的响应程度进行审查，以确定是否对磋商文件的实质性要求作出响应。</w:t>
      </w:r>
    </w:p>
    <w:p w14:paraId="4DA0156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25.1.3 未通过资格审查或符合性审查的供应商，磋商小组将在苏采云系统中告知未通过资格审查或符合性审查的原因，评审结束后，磋商小组将不再告知未通过资格审查或符合性审查的原因。</w:t>
      </w:r>
    </w:p>
    <w:p w14:paraId="03D8487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25.2 在详细评审之前，磋商小组将首先审查每份响应文件是否实质性响应了磋商文件的要求。实质性响应的响应文件应该是与磋商文件要求的条款、条件和规格相符，没有重大偏离或保留。</w:t>
      </w:r>
    </w:p>
    <w:p w14:paraId="1F415DA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1733B33A">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25.3 未实质性响应磋商文件的情形</w:t>
      </w:r>
    </w:p>
    <w:p w14:paraId="77652D1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25.3.1 供应商在苏采云系统规定的时间内未成功解密电子响应文件的。</w:t>
      </w:r>
    </w:p>
    <w:p w14:paraId="307D7C2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25.3.2 供应商未按照磋商文件要求上传电子响应文件的。</w:t>
      </w:r>
    </w:p>
    <w:p w14:paraId="134EB3A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25.3.3 同一供应商提交两个（含两个）以上不同的响应文件或者最后报价的。</w:t>
      </w:r>
    </w:p>
    <w:p w14:paraId="597A4D1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25.3.4 供应商不具备磋商文件中规定资格要求的。</w:t>
      </w:r>
    </w:p>
    <w:p w14:paraId="5FDB997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25.3.5 供应商的投标报价超过了最高投标限价。</w:t>
      </w:r>
    </w:p>
    <w:p w14:paraId="33FF690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25.3.6 不符合磋商文件中规定的实质性要求和条件的</w:t>
      </w:r>
      <w:r>
        <w:rPr>
          <w:rFonts w:hint="eastAsia"/>
          <w:b/>
          <w:bCs/>
          <w:color w:val="000000" w:themeColor="text1"/>
          <w:sz w:val="21"/>
          <w:szCs w:val="21"/>
          <w:highlight w:val="none"/>
          <w:u w:val="single"/>
          <w14:textFill>
            <w14:solidFill>
              <w14:schemeClr w14:val="tx1"/>
            </w14:solidFill>
          </w14:textFill>
        </w:rPr>
        <w:t>（本竞争性磋商文件中带星号“★”等内容为实质性要求和条件）。</w:t>
      </w:r>
    </w:p>
    <w:p w14:paraId="42AF776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25.3.7 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p>
    <w:p w14:paraId="03DC048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25.3.8 响应文件含有采购人不能接受的附加条件的。</w:t>
      </w:r>
    </w:p>
    <w:p w14:paraId="4BCAB0C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25.3.9 响应文件未按照磋商文件要求加盖CA电子公章或签字的。</w:t>
      </w:r>
    </w:p>
    <w:p w14:paraId="2172BA9D">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  无效响应的情形</w:t>
      </w:r>
    </w:p>
    <w:p w14:paraId="5974B68E">
      <w:pPr>
        <w:pStyle w:val="46"/>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25.4.1 磋商小组认为供应商最后报价明显低于其他实质响应供应商报价、有可能影响服务质量、难以诚信履约时，要求供应商在合理的时间内提供书面说明，内容包括但不限于其最后报价与首次报价差额的原因、具体可落实环节和理由等。供应商不能按磋商小组要求说明报价合理性的，磋商小组将其按无效响应处理。</w:t>
      </w:r>
    </w:p>
    <w:p w14:paraId="118E27BC">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25.4.2 未实质性响应磋商文件的响应文件按无效响应处理。</w:t>
      </w:r>
    </w:p>
    <w:p w14:paraId="2D7BACA3">
      <w:pPr>
        <w:spacing w:line="360" w:lineRule="auto"/>
        <w:ind w:firstLine="422"/>
        <w:rPr>
          <w:rFonts w:ascii="宋体" w:hAnsi="宋体" w:eastAsia="宋体" w:cs="宋体"/>
          <w:b/>
          <w:color w:val="000000" w:themeColor="text1"/>
          <w:sz w:val="21"/>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25.4.3 </w:t>
      </w:r>
      <w:r>
        <w:rPr>
          <w:rFonts w:hint="eastAsia" w:ascii="宋体" w:hAnsi="宋体" w:eastAsia="宋体" w:cs="宋体"/>
          <w:b/>
          <w:color w:val="000000" w:themeColor="text1"/>
          <w:sz w:val="21"/>
          <w:szCs w:val="21"/>
          <w:highlight w:val="none"/>
          <w:lang w:val="zh-CN" w:eastAsia="zh-CN"/>
          <w14:textFill>
            <w14:solidFill>
              <w14:schemeClr w14:val="tx1"/>
            </w14:solidFill>
          </w14:textFill>
        </w:rPr>
        <w:t>有下列情形之一的，视为供应商串通投标，其投标</w:t>
      </w:r>
      <w:r>
        <w:rPr>
          <w:rFonts w:hint="eastAsia" w:ascii="宋体" w:hAnsi="宋体" w:eastAsia="宋体" w:cs="宋体"/>
          <w:b/>
          <w:bCs/>
          <w:color w:val="000000" w:themeColor="text1"/>
          <w:sz w:val="21"/>
          <w:szCs w:val="21"/>
          <w:highlight w:val="none"/>
          <w:lang w:eastAsia="zh-CN"/>
          <w14:textFill>
            <w14:solidFill>
              <w14:schemeClr w14:val="tx1"/>
            </w14:solidFill>
          </w14:textFill>
        </w:rPr>
        <w:t>按无效响应处理</w:t>
      </w:r>
      <w:r>
        <w:rPr>
          <w:rFonts w:hint="eastAsia" w:ascii="宋体" w:hAnsi="宋体" w:eastAsia="宋体" w:cs="宋体"/>
          <w:b/>
          <w:color w:val="000000" w:themeColor="text1"/>
          <w:sz w:val="21"/>
          <w:szCs w:val="21"/>
          <w:highlight w:val="none"/>
          <w:lang w:val="zh-CN" w:eastAsia="zh-CN"/>
          <w14:textFill>
            <w14:solidFill>
              <w14:schemeClr w14:val="tx1"/>
            </w14:solidFill>
          </w14:textFill>
        </w:rPr>
        <w:t>：</w:t>
      </w:r>
    </w:p>
    <w:p w14:paraId="4F9B041E">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（1）不同供应商的响应文件由同一单位或者个人编制；</w:t>
      </w:r>
    </w:p>
    <w:p w14:paraId="43349B35">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（2）不同供应商委托同一单位或者个人办理投标事宜；</w:t>
      </w:r>
    </w:p>
    <w:p w14:paraId="57EFFF71">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（3）不同供应商的响应文件载明的项目管理成员或者联系人员为同一人；</w:t>
      </w:r>
    </w:p>
    <w:p w14:paraId="11FDC773">
      <w:pPr>
        <w:widowControl/>
        <w:spacing w:line="360" w:lineRule="auto"/>
        <w:ind w:firstLine="420"/>
        <w:rPr>
          <w:rFonts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（4）不同供应商的响应文件异常一致或者投标报价呈规律性差异；</w:t>
      </w:r>
    </w:p>
    <w:p w14:paraId="7C2D044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（5）不同供应商的MAC地址一致的。</w:t>
      </w:r>
    </w:p>
    <w:p w14:paraId="699EBFFE">
      <w:pPr>
        <w:pStyle w:val="46"/>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25.5 如果响应文件实质上没有响应磋商文件的要求，磋商小组将予以拒绝，供应商不得通过修改或撤销不合要求的偏离或保留而使其成为实质性响应的文件。</w:t>
      </w:r>
    </w:p>
    <w:p w14:paraId="01DC5B76">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bookmarkStart w:id="112" w:name="_Toc20823306"/>
      <w:bookmarkStart w:id="113" w:name="_Toc513029234"/>
      <w:bookmarkStart w:id="114" w:name="_Toc16938550"/>
      <w:r>
        <w:rPr>
          <w:rFonts w:hint="eastAsia"/>
          <w:color w:val="000000" w:themeColor="text1"/>
          <w:sz w:val="21"/>
          <w:szCs w:val="21"/>
          <w:highlight w:val="none"/>
          <w14:textFill>
            <w14:solidFill>
              <w14:schemeClr w14:val="tx1"/>
            </w14:solidFill>
          </w14:textFill>
        </w:rPr>
        <w:t>25.6 供应商在项目评审全过程中应保持通讯畅通，并安排专人与采购代理机构及磋商小组联系。</w:t>
      </w:r>
      <w:bookmarkEnd w:id="112"/>
      <w:bookmarkEnd w:id="113"/>
      <w:bookmarkEnd w:id="114"/>
    </w:p>
    <w:p w14:paraId="22BDD7A0">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26、磋商程序及评审方法和评审标准</w:t>
      </w:r>
    </w:p>
    <w:p w14:paraId="29FF7C97">
      <w:pPr>
        <w:pStyle w:val="46"/>
        <w:widowControl w:val="0"/>
        <w:tabs>
          <w:tab w:val="left" w:pos="901"/>
        </w:tabs>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26.1 磋商程序</w:t>
      </w:r>
    </w:p>
    <w:p w14:paraId="18B45218">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BF75AE4">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D90A656">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00F8350">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4709741F">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最后报价是供应商响应文件的有效组成部分。符合《政府采购竞争性磋商采购方式理暂行办法》第三条第一款第四项：市场竞争不充分的科研项目，以及需要扶持的科技成果转化项目，提交最后报价的供应商可以为2家，磋商小组将根据供应商最后得分由高到低的顺序推荐成交候选供应商。以及《财政部关于竞争性磋商采购方式管理暂行办法有关问题的补充通知》（财库[2015]124号）规定情形的：采用竞争性磋商采购方式采购的政府购买服务项目（含政府和社会资本合作项目），在采购过程中符合要求的供应商（社会资本）只有2家的，竞争性磋商采购活动可以继续进行。</w:t>
      </w:r>
    </w:p>
    <w:p w14:paraId="58BC3FD9">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5D12B1C">
      <w:pPr>
        <w:pStyle w:val="46"/>
        <w:widowControl w:val="0"/>
        <w:tabs>
          <w:tab w:val="left" w:pos="901"/>
        </w:tabs>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26.2  评审方法和评审标准</w:t>
      </w:r>
    </w:p>
    <w:p w14:paraId="4F217821">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26.2.1评审方法。经磋商确定最终采购需求和提交最后报价的供应商后，由磋商小组采用综合评分法对提交最后报价的供应商的响应文件和最后报价进行综合评分。</w:t>
      </w:r>
    </w:p>
    <w:p w14:paraId="4A0C67CF">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8BBF88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26.2.2 评审标准</w:t>
      </w:r>
    </w:p>
    <w:p w14:paraId="54B3807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见本磋商文件第三章规定。</w:t>
      </w:r>
    </w:p>
    <w:p w14:paraId="6691392D">
      <w:pPr>
        <w:pStyle w:val="46"/>
        <w:widowControl w:val="0"/>
        <w:tabs>
          <w:tab w:val="left" w:pos="901"/>
        </w:tabs>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26.3 采购活动终止的情况</w:t>
      </w:r>
    </w:p>
    <w:p w14:paraId="3991879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出现下列情形之一的，本次竞争性磋商采购活动将被终止：</w:t>
      </w:r>
    </w:p>
    <w:p w14:paraId="527AE685">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26.3.1 因情况变化，不再符合规定的竞争性磋商采购方式适用情形的。</w:t>
      </w:r>
    </w:p>
    <w:p w14:paraId="22E0288A">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26.3.2 出现影响采购公正的违法、违规行为的。</w:t>
      </w:r>
    </w:p>
    <w:p w14:paraId="589FE7BB">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26.3.3 除本磋商文件第二章第26.1.2条第三款规定的情形外，在采购过程中符合要求的供应商或者最后报价未超过采购预算的供应商不足3家的。</w:t>
      </w:r>
    </w:p>
    <w:p w14:paraId="6FAEE1D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26.3.4 在苏采云系统规定时间内成功解密电子响应文件的供应商不足3家的。</w:t>
      </w:r>
    </w:p>
    <w:p w14:paraId="03D42281">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15" w:name="_Toc513029235"/>
      <w:bookmarkStart w:id="116" w:name="_Toc16938551"/>
      <w:bookmarkStart w:id="117" w:name="_Toc120614219"/>
      <w:bookmarkStart w:id="118" w:name="_Toc20823307"/>
      <w:r>
        <w:rPr>
          <w:rFonts w:hint="eastAsia"/>
          <w:b/>
          <w:bCs/>
          <w:color w:val="000000" w:themeColor="text1"/>
          <w:sz w:val="21"/>
          <w:szCs w:val="21"/>
          <w:highlight w:val="none"/>
          <w14:textFill>
            <w14:solidFill>
              <w14:schemeClr w14:val="tx1"/>
            </w14:solidFill>
          </w14:textFill>
        </w:rPr>
        <w:t>六、</w:t>
      </w:r>
      <w:bookmarkEnd w:id="115"/>
      <w:bookmarkEnd w:id="116"/>
      <w:bookmarkEnd w:id="117"/>
      <w:bookmarkEnd w:id="118"/>
      <w:r>
        <w:rPr>
          <w:rFonts w:hint="eastAsia"/>
          <w:b/>
          <w:bCs/>
          <w:color w:val="000000" w:themeColor="text1"/>
          <w:sz w:val="21"/>
          <w:szCs w:val="21"/>
          <w:highlight w:val="none"/>
          <w14:textFill>
            <w14:solidFill>
              <w14:schemeClr w14:val="tx1"/>
            </w14:solidFill>
          </w14:textFill>
        </w:rPr>
        <w:t>成交</w:t>
      </w:r>
    </w:p>
    <w:p w14:paraId="6B82DF3C">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19" w:name="_Toc20823310"/>
      <w:bookmarkStart w:id="120" w:name="_Toc513029238"/>
      <w:bookmarkStart w:id="121" w:name="_Toc16938554"/>
      <w:r>
        <w:rPr>
          <w:rFonts w:hint="eastAsia"/>
          <w:b/>
          <w:bCs/>
          <w:color w:val="000000" w:themeColor="text1"/>
          <w:sz w:val="21"/>
          <w:szCs w:val="21"/>
          <w:highlight w:val="none"/>
          <w14:textFill>
            <w14:solidFill>
              <w14:schemeClr w14:val="tx1"/>
            </w14:solidFill>
          </w14:textFill>
        </w:rPr>
        <w:t>27、</w:t>
      </w:r>
      <w:bookmarkEnd w:id="119"/>
      <w:r>
        <w:rPr>
          <w:rFonts w:hint="eastAsia"/>
          <w:b/>
          <w:bCs/>
          <w:color w:val="000000" w:themeColor="text1"/>
          <w:sz w:val="21"/>
          <w:szCs w:val="21"/>
          <w:highlight w:val="none"/>
          <w14:textFill>
            <w14:solidFill>
              <w14:schemeClr w14:val="tx1"/>
            </w14:solidFill>
          </w14:textFill>
        </w:rPr>
        <w:t>确定</w:t>
      </w:r>
      <w:bookmarkEnd w:id="120"/>
      <w:bookmarkEnd w:id="121"/>
      <w:r>
        <w:rPr>
          <w:rFonts w:hint="eastAsia"/>
          <w:b/>
          <w:bCs/>
          <w:color w:val="000000" w:themeColor="text1"/>
          <w:sz w:val="21"/>
          <w:szCs w:val="21"/>
          <w:highlight w:val="none"/>
          <w14:textFill>
            <w14:solidFill>
              <w14:schemeClr w14:val="tx1"/>
            </w14:solidFill>
          </w14:textFill>
        </w:rPr>
        <w:t>成交单位</w:t>
      </w:r>
    </w:p>
    <w:p w14:paraId="003FFE37">
      <w:pPr>
        <w:pStyle w:val="46"/>
        <w:widowControl w:val="0"/>
        <w:tabs>
          <w:tab w:val="left" w:pos="901"/>
        </w:tabs>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27.1 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由竞争性磋商小组抽签决定。</w:t>
      </w:r>
    </w:p>
    <w:p w14:paraId="530E921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CE9883B">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27.2 按以下第（2）种方式确定成交供应商；</w:t>
      </w:r>
    </w:p>
    <w:p w14:paraId="0C8411EA">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（1）磋商小组直接确定排名第一的成交候选人为成交供应商；</w:t>
      </w:r>
    </w:p>
    <w:p w14:paraId="03DC13E7">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（2）采购人在磋商小组推荐的3名成交候选人中按顺序确定成交供应商。</w:t>
      </w:r>
    </w:p>
    <w:p w14:paraId="3EEBC104">
      <w:pPr>
        <w:widowControl/>
        <w:shd w:val="clear" w:color="auto" w:fill="FFFFFF"/>
        <w:spacing w:line="360" w:lineRule="auto"/>
        <w:ind w:firstLine="420"/>
        <w:jc w:val="both"/>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按第二种方式确定成交供应商的，代理机构自评审结束之日起两个工作日内将评审报告送交采购人，采购人应当自收到评审报告之日起五个工作日内，在评审报告推荐的成交候选人中按顺序确定成交供应商。</w:t>
      </w:r>
    </w:p>
    <w:p w14:paraId="02F95A8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27.3 确定成交供应商后，采购代理机构将在“江苏政府采购网、南京公共采购信息网”发布成交结果公告，公告期限为1个工作日。</w:t>
      </w:r>
    </w:p>
    <w:p w14:paraId="6AC6E0D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 若有充分证据证明，成交供应商出现下列情况之一的，一经查实，将被取消成交资格：</w:t>
      </w:r>
    </w:p>
    <w:p w14:paraId="6A80F78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27.4.1 提供虚假材料谋取成交的。</w:t>
      </w:r>
    </w:p>
    <w:p w14:paraId="759A0481">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27.4.2 与评审专家、采购人、其他供应商或者采购代理机构工作人员恶意串通的。</w:t>
      </w:r>
    </w:p>
    <w:p w14:paraId="3B1E0AA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27.4.3 向评审专家、采购人或采购代理机构工作人员行贿或者提供其他不正当利益的。</w:t>
      </w:r>
    </w:p>
    <w:p w14:paraId="7994E81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27.4.4 恶意竞争，最后报价明显低于其自身合理成本且又无法提供证明的。</w:t>
      </w:r>
    </w:p>
    <w:p w14:paraId="21F3BE5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27.4.5 不满足本磋商文件规定的实质性要求，但在评审过程中又未被磋商小组发现的。</w:t>
      </w:r>
    </w:p>
    <w:p w14:paraId="6BF1B59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27.4.6 成交后无正当理由拒不与采购人签订政府采购合同或者未按照磋商文件确定的事项签订政府采购合同的。</w:t>
      </w:r>
    </w:p>
    <w:p w14:paraId="2E12738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27.4.7 将政府采购合同转包的。</w:t>
      </w:r>
      <w:bookmarkStart w:id="122" w:name="_Toc200451960"/>
    </w:p>
    <w:p w14:paraId="23EF12D9">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w:t>
      </w:r>
      <w:bookmarkEnd w:id="122"/>
      <w:r>
        <w:rPr>
          <w:b/>
          <w:bCs/>
          <w:color w:val="000000" w:themeColor="text1"/>
          <w:sz w:val="21"/>
          <w:szCs w:val="21"/>
          <w:highlight w:val="none"/>
          <w14:textFill>
            <w14:solidFill>
              <w14:schemeClr w14:val="tx1"/>
            </w14:solidFill>
          </w14:textFill>
        </w:rPr>
        <w:t>询问、质疑、投诉和诚实信用</w:t>
      </w:r>
    </w:p>
    <w:p w14:paraId="679D63E5">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28.1 询问</w:t>
      </w:r>
    </w:p>
    <w:p w14:paraId="7E67695B">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供应商对采购活动事项有疑问的，可以依法向采购代理机构或采购人提出询问，采购人或者采购代理机构在三个工作日内对供应商依法提出的询问作出答复，但答复的内容不涉及商业秘密。</w:t>
      </w:r>
    </w:p>
    <w:p w14:paraId="67AAACDD">
      <w:pPr>
        <w:pStyle w:val="46"/>
        <w:widowControl w:val="0"/>
        <w:spacing w:before="0" w:beforeAutospacing="0" w:after="0" w:afterAutospacing="0" w:line="360" w:lineRule="auto"/>
        <w:ind w:firstLine="420"/>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28.2 质疑</w:t>
      </w:r>
    </w:p>
    <w:p w14:paraId="6A5321B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28.2.1 提出质疑的供应商应当是参与所质疑项目采购活动的供应商。潜在供应商依法获取其可质疑的采购文件的，可以对采购文件提出质疑。</w:t>
      </w:r>
    </w:p>
    <w:p w14:paraId="23B0F9C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28.2.2 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p>
    <w:p w14:paraId="304B0DA2">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（1）对可以质疑的采购文件提出质疑的，为收到采购文件之日或者采购文件公告期限届满之日。</w:t>
      </w:r>
    </w:p>
    <w:p w14:paraId="4099B0B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（2）对采购过程提出质疑的，为各采购程序环节结束之日。</w:t>
      </w:r>
    </w:p>
    <w:p w14:paraId="15F8A0A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（3）对成交结果提出质疑的，为成交结果公告期限届满之日。</w:t>
      </w:r>
    </w:p>
    <w:p w14:paraId="50B82B38">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28.2.3 供应商应当在法定质疑期内一次性提出针对同一采购程序环节的质疑。供应商如在法定期限内对同一采购程序环节提出多次质疑的，采购代理机构、采购人将只对供应商第一次质疑作出答复。</w:t>
      </w:r>
    </w:p>
    <w:p w14:paraId="1EEB1181">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28.2.4 </w:t>
      </w:r>
      <w:r>
        <w:rPr>
          <w:rFonts w:hint="eastAsia" w:ascii="宋体" w:hAnsi="宋体"/>
          <w:color w:val="000000" w:themeColor="text1"/>
          <w:sz w:val="21"/>
          <w:szCs w:val="21"/>
          <w:highlight w:val="none"/>
          <w:lang w:eastAsia="zh-CN"/>
          <w14:textFill>
            <w14:solidFill>
              <w14:schemeClr w14:val="tx1"/>
            </w14:solidFill>
          </w14:textFill>
        </w:rPr>
        <w:t>供应商应按照“谁主张、谁举证”的原则对质疑内容提供相关证明材料，并对质疑内容的真实性承担责任。</w:t>
      </w:r>
      <w:r>
        <w:rPr>
          <w:rFonts w:hint="eastAsia" w:ascii="宋体" w:hAnsi="宋体" w:eastAsia="宋体" w:cs="宋体"/>
          <w:color w:val="000000" w:themeColor="text1"/>
          <w:sz w:val="21"/>
          <w:szCs w:val="21"/>
          <w:highlight w:val="none"/>
          <w:lang w:eastAsia="zh-CN"/>
          <w14:textFill>
            <w14:solidFill>
              <w14:schemeClr w14:val="tx1"/>
            </w14:solidFill>
          </w14:textFill>
        </w:rPr>
        <w:t>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2039B21">
      <w:pPr>
        <w:spacing w:line="360" w:lineRule="auto"/>
        <w:ind w:firstLine="480"/>
        <w:jc w:val="both"/>
        <w:rPr>
          <w:rFonts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质疑文件应包括以下主要内容：</w:t>
      </w:r>
    </w:p>
    <w:p w14:paraId="0B58A162">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（1）质疑供应商的姓名或者名称、地址、邮编、联系人及联系电话；</w:t>
      </w:r>
    </w:p>
    <w:p w14:paraId="25CD5A2F">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（2）质疑项目的名称、编号、公告发布时间、磋商时间；</w:t>
      </w:r>
    </w:p>
    <w:p w14:paraId="7485669D">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（3）具体、明确的质疑事项和与质疑事项相关的请求；</w:t>
      </w:r>
    </w:p>
    <w:p w14:paraId="11EB5210">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（4）事实依据；</w:t>
      </w:r>
    </w:p>
    <w:p w14:paraId="4998B202">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（5）必要的法律依据；</w:t>
      </w:r>
    </w:p>
    <w:p w14:paraId="745F83D6">
      <w:pPr>
        <w:spacing w:line="360" w:lineRule="auto"/>
        <w:ind w:firstLine="480"/>
        <w:jc w:val="both"/>
        <w:rPr>
          <w:rFonts w:ascii="宋体" w:hAnsi="宋体"/>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eastAsia="zh-CN"/>
          <w14:textFill>
            <w14:solidFill>
              <w14:schemeClr w14:val="tx1"/>
            </w14:solidFill>
          </w14:textFill>
        </w:rPr>
        <w:t>（6）提出质疑的日期；</w:t>
      </w:r>
    </w:p>
    <w:p w14:paraId="6C07AB80">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28.2.5 供应商（含潜在供应商）对与本项目有关的所有询问、质疑均请向采购代理机构提出，由采购代理机构负责答复。</w:t>
      </w:r>
    </w:p>
    <w:p w14:paraId="18CA2C6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28.2.6 采购代理机构只接收以纸质原件形式送达的质疑。</w:t>
      </w:r>
    </w:p>
    <w:p w14:paraId="7C8F5F3A">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采购代理机构质疑接收部门为</w:t>
      </w:r>
      <w:r>
        <w:rPr>
          <w:rFonts w:hint="eastAsia"/>
          <w:color w:val="000000" w:themeColor="text1"/>
          <w:sz w:val="21"/>
          <w:szCs w:val="21"/>
          <w:highlight w:val="none"/>
          <w:lang w:eastAsia="zh-CN"/>
          <w14:textFill>
            <w14:solidFill>
              <w14:schemeClr w14:val="tx1"/>
            </w14:solidFill>
          </w14:textFill>
        </w:rPr>
        <w:t>南京麻田工程咨询有限公司</w:t>
      </w:r>
      <w:r>
        <w:rPr>
          <w:rFonts w:hint="eastAsia"/>
          <w:color w:val="000000" w:themeColor="text1"/>
          <w:sz w:val="21"/>
          <w:szCs w:val="21"/>
          <w:highlight w:val="none"/>
          <w14:textFill>
            <w14:solidFill>
              <w14:schemeClr w14:val="tx1"/>
            </w14:solidFill>
          </w14:textFill>
        </w:rPr>
        <w:t>，联系地址：</w:t>
      </w:r>
      <w:r>
        <w:rPr>
          <w:rFonts w:hint="eastAsia"/>
          <w:color w:val="000000" w:themeColor="text1"/>
          <w:sz w:val="21"/>
          <w:szCs w:val="21"/>
          <w:highlight w:val="none"/>
          <w:lang w:eastAsia="zh-CN"/>
          <w14:textFill>
            <w14:solidFill>
              <w14:schemeClr w14:val="tx1"/>
            </w14:solidFill>
          </w14:textFill>
        </w:rPr>
        <w:t>南京市江宁区淳化街道雁冲路68号院内9号楼1楼</w:t>
      </w:r>
      <w:r>
        <w:rPr>
          <w:rFonts w:hint="eastAsia"/>
          <w:color w:val="000000" w:themeColor="text1"/>
          <w:sz w:val="21"/>
          <w:szCs w:val="21"/>
          <w:highlight w:val="none"/>
          <w14:textFill>
            <w14:solidFill>
              <w14:schemeClr w14:val="tx1"/>
            </w14:solidFill>
          </w14:textFill>
        </w:rPr>
        <w:t>，联系电话：</w:t>
      </w:r>
      <w:r>
        <w:rPr>
          <w:rFonts w:hint="eastAsia"/>
          <w:color w:val="000000" w:themeColor="text1"/>
          <w:sz w:val="21"/>
          <w:szCs w:val="21"/>
          <w:highlight w:val="none"/>
          <w:lang w:eastAsia="zh-CN"/>
          <w14:textFill>
            <w14:solidFill>
              <w14:schemeClr w14:val="tx1"/>
            </w14:solidFill>
          </w14:textFill>
        </w:rPr>
        <w:t>025-52730710</w:t>
      </w:r>
      <w:r>
        <w:rPr>
          <w:rFonts w:hint="eastAsia"/>
          <w:color w:val="000000" w:themeColor="text1"/>
          <w:sz w:val="21"/>
          <w:szCs w:val="21"/>
          <w:highlight w:val="none"/>
          <w14:textFill>
            <w14:solidFill>
              <w14:schemeClr w14:val="tx1"/>
            </w14:solidFill>
          </w14:textFill>
        </w:rPr>
        <w:t>。</w:t>
      </w:r>
    </w:p>
    <w:p w14:paraId="78C121F7">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28.2.7 以下情形的质疑不予受理：</w:t>
      </w:r>
    </w:p>
    <w:p w14:paraId="5817AFC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（1）内容不符合《政府采购质疑和投诉办法》第十二条规定的质疑。</w:t>
      </w:r>
    </w:p>
    <w:p w14:paraId="61F94E3F">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（2）超出政府采购法定期限的质疑。</w:t>
      </w:r>
    </w:p>
    <w:p w14:paraId="62B63AB3">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（3）以传真、电子邮件等方式递交的非原件形式的质疑。</w:t>
      </w:r>
    </w:p>
    <w:p w14:paraId="608C442C">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（4）未参加磋商活动的供应商或在磋商活动中自身权益未受到损害的供应商所提出的质疑。</w:t>
      </w:r>
    </w:p>
    <w:p w14:paraId="28AB489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（5）供应商组成联合体参加磋商，联合体中任何一方或多方未按要求签字、盖章、加盖公章的质疑。</w:t>
      </w:r>
    </w:p>
    <w:p w14:paraId="619DA915">
      <w:pPr>
        <w:spacing w:line="360" w:lineRule="auto"/>
        <w:ind w:firstLine="422"/>
        <w:rPr>
          <w:rFonts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28.3、投诉</w:t>
      </w:r>
    </w:p>
    <w:p w14:paraId="3C20656C">
      <w:pPr>
        <w:pStyle w:val="18"/>
        <w:spacing w:before="0" w:line="360" w:lineRule="auto"/>
        <w:ind w:left="0" w:firstLine="412"/>
        <w:rPr>
          <w:rFonts w:cs="宋体"/>
          <w:color w:val="000000" w:themeColor="text1"/>
          <w:spacing w:val="-2"/>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28.3.1 质疑供应商对采购人采购代理机构的答复不满意或者采购人、采购代理机构未在规定的时间内作出答复的，可以在答复期满后十五个工作日内向同级政府采购监督管理部门投诉。</w:t>
      </w:r>
    </w:p>
    <w:p w14:paraId="68BE0E43">
      <w:pPr>
        <w:spacing w:line="360" w:lineRule="auto"/>
        <w:ind w:firstLine="422"/>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28.4、诚实信用</w:t>
      </w:r>
    </w:p>
    <w:p w14:paraId="1BB86B32">
      <w:pPr>
        <w:pStyle w:val="18"/>
        <w:spacing w:before="0" w:line="360" w:lineRule="auto"/>
        <w:ind w:left="0" w:firstLine="412"/>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28.4.1 供应商之间不得相互串通报价，不得妨碍其他供应商的公平竞争，不得损害采购</w:t>
      </w:r>
      <w:r>
        <w:rPr>
          <w:rFonts w:hint="eastAsia" w:cs="宋体"/>
          <w:color w:val="000000" w:themeColor="text1"/>
          <w:sz w:val="21"/>
          <w:szCs w:val="21"/>
          <w:highlight w:val="none"/>
          <w:lang w:eastAsia="zh-CN"/>
          <w14:textFill>
            <w14:solidFill>
              <w14:schemeClr w14:val="tx1"/>
            </w14:solidFill>
          </w14:textFill>
        </w:rPr>
        <w:t>人和其他供应商的合法权益。</w:t>
      </w:r>
    </w:p>
    <w:p w14:paraId="3D4C006E">
      <w:pPr>
        <w:pStyle w:val="18"/>
        <w:spacing w:before="0" w:line="360" w:lineRule="auto"/>
        <w:ind w:left="0" w:firstLine="412"/>
        <w:jc w:val="both"/>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pacing w:val="-2"/>
          <w:sz w:val="21"/>
          <w:szCs w:val="21"/>
          <w:highlight w:val="none"/>
          <w:lang w:eastAsia="zh-CN"/>
          <w14:textFill>
            <w14:solidFill>
              <w14:schemeClr w14:val="tx1"/>
            </w14:solidFill>
          </w14:textFill>
        </w:rPr>
        <w:t>28.4.2 供应商不得以向采购代理机构工作人员、磋商小组行贿或者采取其他不正当手段谋取成交。经查实供应商有此行为的，政府采购监督管理部门将供应商列入不良行为记</w:t>
      </w:r>
      <w:r>
        <w:rPr>
          <w:rFonts w:hint="eastAsia" w:cs="宋体"/>
          <w:color w:val="000000" w:themeColor="text1"/>
          <w:spacing w:val="-95"/>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录名单，按照政府采购法有关规定处理。</w:t>
      </w:r>
    </w:p>
    <w:p w14:paraId="13C38AEC">
      <w:pPr>
        <w:pStyle w:val="18"/>
        <w:spacing w:before="0" w:line="360" w:lineRule="auto"/>
        <w:ind w:left="0" w:firstLine="420"/>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28.4.3</w:t>
      </w:r>
      <w:r>
        <w:rPr>
          <w:rFonts w:hint="eastAsia" w:cs="宋体"/>
          <w:color w:val="000000" w:themeColor="text1"/>
          <w:spacing w:val="-60"/>
          <w:sz w:val="21"/>
          <w:szCs w:val="21"/>
          <w:highlight w:val="none"/>
          <w:lang w:eastAsia="zh-CN"/>
          <w14:textFill>
            <w14:solidFill>
              <w14:schemeClr w14:val="tx1"/>
            </w14:solidFill>
          </w14:textFill>
        </w:rPr>
        <w:t xml:space="preserve">   </w:t>
      </w:r>
      <w:r>
        <w:rPr>
          <w:rFonts w:hint="eastAsia" w:cs="宋体"/>
          <w:color w:val="000000" w:themeColor="text1"/>
          <w:sz w:val="21"/>
          <w:szCs w:val="21"/>
          <w:highlight w:val="none"/>
          <w:lang w:eastAsia="zh-CN"/>
          <w14:textFill>
            <w14:solidFill>
              <w14:schemeClr w14:val="tx1"/>
            </w14:solidFill>
          </w14:textFill>
        </w:rPr>
        <w:t>供应商不得虚假承诺，否则，按照提供虚假材料谋取成交处理。</w:t>
      </w:r>
    </w:p>
    <w:p w14:paraId="7DDD7852">
      <w:pPr>
        <w:pStyle w:val="18"/>
        <w:spacing w:before="0" w:line="360" w:lineRule="auto"/>
        <w:ind w:left="0" w:firstLine="420"/>
        <w:rPr>
          <w:rFonts w:cs="宋体"/>
          <w:color w:val="000000" w:themeColor="text1"/>
          <w:sz w:val="21"/>
          <w:szCs w:val="21"/>
          <w:highlight w:val="none"/>
          <w:lang w:eastAsia="zh-CN"/>
          <w14:textFill>
            <w14:solidFill>
              <w14:schemeClr w14:val="tx1"/>
            </w14:solidFill>
          </w14:textFill>
        </w:rPr>
      </w:pPr>
      <w:r>
        <w:rPr>
          <w:rFonts w:hint="eastAsia" w:cs="宋体"/>
          <w:color w:val="000000" w:themeColor="text1"/>
          <w:sz w:val="21"/>
          <w:szCs w:val="21"/>
          <w:highlight w:val="none"/>
          <w:lang w:eastAsia="zh-CN"/>
          <w14:textFill>
            <w14:solidFill>
              <w14:schemeClr w14:val="tx1"/>
            </w14:solidFill>
          </w14:textFill>
        </w:rPr>
        <w:t>28.4.4</w:t>
      </w:r>
      <w:r>
        <w:rPr>
          <w:rFonts w:hint="eastAsia" w:cs="宋体"/>
          <w:color w:val="000000" w:themeColor="text1"/>
          <w:spacing w:val="-41"/>
          <w:sz w:val="21"/>
          <w:szCs w:val="21"/>
          <w:highlight w:val="none"/>
          <w:lang w:eastAsia="zh-CN"/>
          <w14:textFill>
            <w14:solidFill>
              <w14:schemeClr w14:val="tx1"/>
            </w14:solidFill>
          </w14:textFill>
        </w:rPr>
        <w:t xml:space="preserve">   </w:t>
      </w:r>
      <w:r>
        <w:rPr>
          <w:rFonts w:hint="eastAsia" w:cs="宋体"/>
          <w:color w:val="000000" w:themeColor="text1"/>
          <w:spacing w:val="-7"/>
          <w:sz w:val="21"/>
          <w:szCs w:val="21"/>
          <w:highlight w:val="none"/>
          <w:lang w:eastAsia="zh-CN"/>
          <w14:textFill>
            <w14:solidFill>
              <w14:schemeClr w14:val="tx1"/>
            </w14:solidFill>
          </w14:textFill>
        </w:rPr>
        <w:t>供应商应自觉遵守磋商、评审纪律，扰乱磋商、评审现场秩序的，属于失信行为</w:t>
      </w:r>
      <w:r>
        <w:rPr>
          <w:rFonts w:hint="eastAsia" w:cs="宋体"/>
          <w:color w:val="000000" w:themeColor="text1"/>
          <w:sz w:val="21"/>
          <w:szCs w:val="21"/>
          <w:highlight w:val="none"/>
          <w:lang w:eastAsia="zh-CN"/>
          <w14:textFill>
            <w14:solidFill>
              <w14:schemeClr w14:val="tx1"/>
            </w14:solidFill>
          </w14:textFill>
        </w:rPr>
        <w:t>。</w:t>
      </w:r>
    </w:p>
    <w:p w14:paraId="6763D5A7">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29、成交通知书</w:t>
      </w:r>
    </w:p>
    <w:p w14:paraId="16503065">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E44128D">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29.2 成交通知书将是合同的一个组成部分。对采购人和成交供应商均具有法律效力。成交通知书发出后，采购人改变成交结果的，或者成交供应商放弃成交项目的，应当依法承担法律责任。</w:t>
      </w:r>
    </w:p>
    <w:p w14:paraId="005450EE">
      <w:pPr>
        <w:spacing w:line="360" w:lineRule="auto"/>
        <w:ind w:firstLine="420"/>
        <w:rPr>
          <w:rFonts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29</w:t>
      </w:r>
      <w:r>
        <w:rPr>
          <w:rFonts w:hint="eastAsia" w:ascii="宋体" w:hAnsi="宋体" w:eastAsia="宋体" w:cs="宋体"/>
          <w:color w:val="000000" w:themeColor="text1"/>
          <w:sz w:val="21"/>
          <w:szCs w:val="21"/>
          <w:highlight w:val="none"/>
          <w:lang w:val="zh-CN"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color w:val="000000" w:themeColor="text1"/>
          <w:sz w:val="21"/>
          <w:szCs w:val="21"/>
          <w:highlight w:val="none"/>
          <w:lang w:val="zh-CN"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成交通知书发出后，采购人或成交供应商拒绝签订合同的，拒绝签订合同的一方应至少向另一方支付与磋商保证金相等的补偿金，以及为磋商所发生的有关费用和双方商定的其他补偿，并承担相应的法律责任。</w:t>
      </w:r>
    </w:p>
    <w:p w14:paraId="626CE161">
      <w:pPr>
        <w:spacing w:line="360" w:lineRule="auto"/>
        <w:ind w:firstLine="420"/>
        <w:rPr>
          <w:rFonts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14:paraId="0437F40E">
      <w:pPr>
        <w:pStyle w:val="46"/>
        <w:keepNext/>
        <w:keepLines/>
        <w:widowControl w:val="0"/>
        <w:spacing w:before="0" w:beforeAutospacing="0" w:after="0" w:afterAutospacing="0" w:line="360" w:lineRule="auto"/>
        <w:ind w:firstLine="422"/>
        <w:jc w:val="both"/>
        <w:rPr>
          <w:color w:val="000000" w:themeColor="text1"/>
          <w:sz w:val="21"/>
          <w:szCs w:val="21"/>
          <w:highlight w:val="none"/>
          <w14:textFill>
            <w14:solidFill>
              <w14:schemeClr w14:val="tx1"/>
            </w14:solidFill>
          </w14:textFill>
        </w:rPr>
      </w:pPr>
      <w:bookmarkStart w:id="123" w:name="_Toc513029236"/>
      <w:bookmarkStart w:id="124" w:name="_Toc16938552"/>
      <w:bookmarkStart w:id="125" w:name="_Toc120614220"/>
      <w:bookmarkStart w:id="126" w:name="_Toc20823308"/>
      <w:r>
        <w:rPr>
          <w:rFonts w:hint="eastAsia"/>
          <w:b/>
          <w:bCs/>
          <w:color w:val="000000" w:themeColor="text1"/>
          <w:sz w:val="21"/>
          <w:szCs w:val="21"/>
          <w:highlight w:val="none"/>
          <w14:textFill>
            <w14:solidFill>
              <w14:schemeClr w14:val="tx1"/>
            </w14:solidFill>
          </w14:textFill>
        </w:rPr>
        <w:t>七、授予合同</w:t>
      </w:r>
      <w:bookmarkEnd w:id="123"/>
      <w:bookmarkEnd w:id="124"/>
      <w:bookmarkEnd w:id="125"/>
      <w:bookmarkEnd w:id="126"/>
    </w:p>
    <w:p w14:paraId="61FE8ACB">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bookmarkStart w:id="127" w:name="_Toc16938553"/>
      <w:bookmarkStart w:id="128" w:name="_Toc20823309"/>
      <w:bookmarkStart w:id="129" w:name="_Toc513029237"/>
      <w:r>
        <w:rPr>
          <w:rFonts w:hint="eastAsia"/>
          <w:b/>
          <w:bCs/>
          <w:color w:val="000000" w:themeColor="text1"/>
          <w:sz w:val="21"/>
          <w:szCs w:val="21"/>
          <w:highlight w:val="none"/>
          <w14:textFill>
            <w14:solidFill>
              <w14:schemeClr w14:val="tx1"/>
            </w14:solidFill>
          </w14:textFill>
        </w:rPr>
        <w:t>30. 签订合同</w:t>
      </w:r>
      <w:bookmarkEnd w:id="127"/>
      <w:bookmarkEnd w:id="128"/>
      <w:bookmarkEnd w:id="129"/>
    </w:p>
    <w:p w14:paraId="011E5B84">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30.l成交供应商应当在成交通知书发出之日起三十日内，按照磋商文件确定的事项与采购人签订政府采购合同。</w:t>
      </w:r>
    </w:p>
    <w:p w14:paraId="574BB5C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30.2 磋商文件、成交供应商的响应文件及磋商过程中有关澄清、承诺文件均应作为合同附件。</w:t>
      </w:r>
    </w:p>
    <w:p w14:paraId="50D47CB9">
      <w:pPr>
        <w:pStyle w:val="46"/>
        <w:widowControl w:val="0"/>
        <w:spacing w:before="0" w:beforeAutospacing="0" w:after="0" w:afterAutospacing="0" w:line="360" w:lineRule="auto"/>
        <w:ind w:firstLine="420"/>
        <w:jc w:val="both"/>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30.3 签订合同后，</w:t>
      </w:r>
      <w:r>
        <w:rPr>
          <w:rFonts w:hint="eastAsia"/>
          <w:i/>
          <w:iCs/>
          <w:color w:val="000000" w:themeColor="text1"/>
          <w:sz w:val="21"/>
          <w:szCs w:val="21"/>
          <w:highlight w:val="none"/>
          <w:u w:val="single"/>
          <w14:textFill>
            <w14:solidFill>
              <w14:schemeClr w14:val="tx1"/>
            </w14:solidFill>
          </w14:textFill>
        </w:rPr>
        <w:t>成交供应商不得将合同标的进行转包</w:t>
      </w:r>
      <w:r>
        <w:rPr>
          <w:rFonts w:hint="eastAsia"/>
          <w:color w:val="000000" w:themeColor="text1"/>
          <w:sz w:val="21"/>
          <w:szCs w:val="21"/>
          <w:highlight w:val="none"/>
          <w14:textFill>
            <w14:solidFill>
              <w14:schemeClr w14:val="tx1"/>
            </w14:solidFill>
          </w14:textFill>
        </w:rPr>
        <w:t>。未经采购人同意，成交供应商也不得采用分包形式履行合同,否则采购人有权终止合同。转包或分包造成采购人损失的，成交供应商应承担相应赔偿责任。</w:t>
      </w:r>
    </w:p>
    <w:p w14:paraId="1CE235E8">
      <w:pPr>
        <w:pStyle w:val="46"/>
        <w:keepNext/>
        <w:keepLines/>
        <w:widowControl w:val="0"/>
        <w:spacing w:before="0" w:beforeAutospacing="0" w:after="0" w:afterAutospacing="0" w:line="360" w:lineRule="auto"/>
        <w:ind w:firstLine="422"/>
        <w:jc w:val="both"/>
        <w:rPr>
          <w:b/>
          <w:bCs/>
          <w:color w:val="000000" w:themeColor="text1"/>
          <w:sz w:val="21"/>
          <w:szCs w:val="21"/>
          <w:highlight w:val="none"/>
          <w14:textFill>
            <w14:solidFill>
              <w14:schemeClr w14:val="tx1"/>
            </w14:solidFill>
          </w14:textFill>
        </w:rPr>
      </w:pPr>
      <w:r>
        <w:rPr>
          <w:rFonts w:hint="eastAsia"/>
          <w:b/>
          <w:bCs/>
          <w:color w:val="000000" w:themeColor="text1"/>
          <w:sz w:val="21"/>
          <w:szCs w:val="21"/>
          <w:highlight w:val="none"/>
          <w14:textFill>
            <w14:solidFill>
              <w14:schemeClr w14:val="tx1"/>
            </w14:solidFill>
          </w14:textFill>
        </w:rPr>
        <w:t>31、标的物的追加</w:t>
      </w:r>
    </w:p>
    <w:p w14:paraId="1195EEC4">
      <w:pPr>
        <w:pStyle w:val="46"/>
        <w:widowControl w:val="0"/>
        <w:spacing w:before="0" w:beforeAutospacing="0" w:after="0" w:afterAutospacing="0" w:line="360" w:lineRule="auto"/>
        <w:ind w:firstLine="420"/>
        <w:jc w:val="both"/>
        <w:rPr>
          <w:rFonts w:cs="宋体"/>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31.1 政府采购合同履行中，采购人需追加与合同标的相同的货物、服务、工程的，在不改变合同其他条款的前提下，可以与成交供应商协商签订补充合同，但所有补充合同的采购金额不超过原合同金额10%。</w:t>
      </w:r>
      <w:bookmarkEnd w:id="28"/>
      <w:bookmarkEnd w:id="65"/>
      <w:bookmarkEnd w:id="66"/>
      <w:bookmarkEnd w:id="67"/>
      <w:bookmarkEnd w:id="68"/>
      <w:bookmarkEnd w:id="69"/>
      <w:bookmarkEnd w:id="70"/>
      <w:bookmarkEnd w:id="71"/>
      <w:bookmarkEnd w:id="72"/>
      <w:bookmarkEnd w:id="81"/>
      <w:bookmarkEnd w:id="82"/>
      <w:bookmarkEnd w:id="89"/>
    </w:p>
    <w:p w14:paraId="4C2156F6">
      <w:pPr>
        <w:pStyle w:val="18"/>
        <w:spacing w:before="154" w:line="355" w:lineRule="auto"/>
        <w:ind w:left="0" w:right="117"/>
        <w:jc w:val="center"/>
        <w:outlineLvl w:val="0"/>
        <w:rPr>
          <w:color w:val="000000" w:themeColor="text1"/>
          <w:highlight w:val="none"/>
          <w:lang w:eastAsia="zh-CN"/>
          <w14:textFill>
            <w14:solidFill>
              <w14:schemeClr w14:val="tx1"/>
            </w14:solidFill>
          </w14:textFill>
        </w:rPr>
      </w:pPr>
      <w:r>
        <w:rPr>
          <w:color w:val="000000" w:themeColor="text1"/>
          <w:sz w:val="21"/>
          <w:szCs w:val="21"/>
          <w:highlight w:val="none"/>
          <w:lang w:eastAsia="zh-CN"/>
          <w14:textFill>
            <w14:solidFill>
              <w14:schemeClr w14:val="tx1"/>
            </w14:solidFill>
          </w14:textFill>
        </w:rPr>
        <w:br w:type="page" w:clear="all"/>
      </w:r>
      <w:bookmarkStart w:id="130" w:name="_bookmark7"/>
      <w:bookmarkEnd w:id="130"/>
      <w:bookmarkStart w:id="131" w:name="_Toc183610247"/>
      <w:r>
        <w:rPr>
          <w:rFonts w:hint="eastAsia" w:cs="宋体"/>
          <w:b/>
          <w:bCs/>
          <w:color w:val="000000" w:themeColor="text1"/>
          <w:sz w:val="28"/>
          <w:szCs w:val="28"/>
          <w:highlight w:val="none"/>
          <w:lang w:eastAsia="zh-CN"/>
          <w14:textFill>
            <w14:solidFill>
              <w14:schemeClr w14:val="tx1"/>
            </w14:solidFill>
          </w14:textFill>
        </w:rPr>
        <w:t>第三章 成交标准</w:t>
      </w:r>
      <w:bookmarkEnd w:id="131"/>
    </w:p>
    <w:p w14:paraId="1A925946">
      <w:pPr>
        <w:tabs>
          <w:tab w:val="left" w:pos="2160"/>
        </w:tabs>
        <w:spacing w:line="360" w:lineRule="auto"/>
        <w:ind w:firstLine="422" w:firstLineChars="200"/>
        <w:rPr>
          <w:rFonts w:hint="eastAsia" w:ascii="宋体" w:hAnsi="宋体" w:eastAsia="宋体" w:cs="宋体"/>
          <w:sz w:val="21"/>
          <w:szCs w:val="21"/>
          <w:highlight w:val="none"/>
        </w:rPr>
      </w:pPr>
      <w:bookmarkStart w:id="132" w:name="第四章__采购项目需求"/>
      <w:bookmarkEnd w:id="132"/>
      <w:bookmarkStart w:id="133" w:name="_bookmark8"/>
      <w:bookmarkEnd w:id="133"/>
      <w:bookmarkStart w:id="134" w:name="_Toc183610248"/>
      <w:r>
        <w:rPr>
          <w:rFonts w:hint="eastAsia" w:ascii="宋体" w:hAnsi="宋体" w:eastAsia="宋体" w:cs="宋体"/>
          <w:b/>
          <w:bCs/>
          <w:sz w:val="21"/>
          <w:szCs w:val="21"/>
          <w:highlight w:val="none"/>
        </w:rPr>
        <w:t>本标段采用综合评分法。综合评分法是指在满足磋商文件实质性要求前提下，按照磋商文件中规定的各项因素进行综合评审后，以评标总得分最高的投标人作为中标供应商的评标方法。本次采购得分最高者为中标供应商，第二名为备选供应商，当中标供应商不能履行其义务时，由备选供应商顶替，成为新的中标供应商，也可重新组织采购。具体的评分细则见下表</w:t>
      </w:r>
      <w:r>
        <w:rPr>
          <w:rFonts w:hint="eastAsia" w:ascii="宋体" w:hAnsi="宋体" w:eastAsia="宋体" w:cs="宋体"/>
          <w:sz w:val="21"/>
          <w:szCs w:val="21"/>
          <w:highlight w:val="none"/>
        </w:rPr>
        <w:t>。</w:t>
      </w:r>
    </w:p>
    <w:tbl>
      <w:tblPr>
        <w:tblStyle w:val="51"/>
        <w:tblW w:w="95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7"/>
        <w:gridCol w:w="1701"/>
        <w:gridCol w:w="6659"/>
      </w:tblGrid>
      <w:tr w14:paraId="586F4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7" w:hRule="atLeast"/>
          <w:tblHeader/>
          <w:jc w:val="center"/>
        </w:trPr>
        <w:tc>
          <w:tcPr>
            <w:tcW w:w="1217" w:type="dxa"/>
            <w:tcBorders>
              <w:top w:val="single" w:color="000000" w:sz="4" w:space="0"/>
              <w:left w:val="single" w:color="000000" w:sz="4" w:space="0"/>
              <w:bottom w:val="single" w:color="000000" w:sz="4" w:space="0"/>
              <w:right w:val="single" w:color="000000" w:sz="4" w:space="0"/>
            </w:tcBorders>
            <w:noWrap w:val="0"/>
            <w:vAlign w:val="center"/>
          </w:tcPr>
          <w:p w14:paraId="2AD626B4">
            <w:pPr>
              <w:spacing w:line="276" w:lineRule="auto"/>
              <w:jc w:val="center"/>
              <w:rPr>
                <w:rFonts w:ascii="宋体" w:hAnsi="宋体" w:cs="宋体"/>
                <w:b/>
                <w:color w:val="000000"/>
                <w:highlight w:val="none"/>
              </w:rPr>
            </w:pPr>
            <w:r>
              <w:rPr>
                <w:rFonts w:hint="eastAsia" w:ascii="宋体" w:hAnsi="宋体" w:cs="宋体"/>
                <w:b/>
                <w:color w:val="000000"/>
                <w:highlight w:val="none"/>
              </w:rPr>
              <w:t>评分项目</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538EABDC">
            <w:pPr>
              <w:spacing w:line="276" w:lineRule="auto"/>
              <w:ind w:firstLine="440" w:firstLineChars="200"/>
              <w:jc w:val="left"/>
              <w:rPr>
                <w:rFonts w:ascii="宋体" w:hAnsi="宋体" w:cs="宋体"/>
                <w:b/>
                <w:color w:val="000000"/>
                <w:highlight w:val="none"/>
              </w:rPr>
            </w:pPr>
            <w:r>
              <w:rPr>
                <w:rFonts w:hint="eastAsia" w:ascii="宋体" w:hAnsi="宋体" w:cs="宋体"/>
                <w:b/>
                <w:color w:val="000000"/>
                <w:highlight w:val="none"/>
              </w:rPr>
              <w:t>分项</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75FA879B">
            <w:pPr>
              <w:spacing w:line="276" w:lineRule="auto"/>
              <w:ind w:firstLine="440" w:firstLineChars="200"/>
              <w:jc w:val="center"/>
              <w:rPr>
                <w:rFonts w:ascii="宋体" w:hAnsi="宋体" w:cs="宋体"/>
                <w:b/>
                <w:color w:val="000000"/>
                <w:highlight w:val="none"/>
              </w:rPr>
            </w:pPr>
            <w:r>
              <w:rPr>
                <w:rFonts w:hint="eastAsia" w:ascii="宋体" w:hAnsi="宋体" w:cs="宋体"/>
                <w:b/>
                <w:color w:val="000000"/>
                <w:highlight w:val="none"/>
              </w:rPr>
              <w:t>评标要点及说明</w:t>
            </w:r>
          </w:p>
        </w:tc>
      </w:tr>
      <w:tr w14:paraId="6AEDB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1217" w:type="dxa"/>
            <w:tcBorders>
              <w:top w:val="single" w:color="000000" w:sz="4" w:space="0"/>
              <w:left w:val="single" w:color="000000" w:sz="4" w:space="0"/>
              <w:bottom w:val="single" w:color="000000" w:sz="4" w:space="0"/>
              <w:right w:val="single" w:color="000000" w:sz="4" w:space="0"/>
            </w:tcBorders>
            <w:noWrap w:val="0"/>
            <w:vAlign w:val="center"/>
          </w:tcPr>
          <w:p w14:paraId="438FE8BB">
            <w:pPr>
              <w:spacing w:line="276" w:lineRule="auto"/>
              <w:jc w:val="center"/>
              <w:rPr>
                <w:rFonts w:ascii="宋体" w:hAnsi="宋体" w:cs="宋体"/>
                <w:color w:val="000000"/>
                <w:highlight w:val="none"/>
              </w:rPr>
            </w:pPr>
            <w:r>
              <w:rPr>
                <w:rFonts w:hint="eastAsia" w:ascii="宋体" w:hAnsi="宋体" w:cs="宋体"/>
                <w:color w:val="000000"/>
                <w:highlight w:val="none"/>
              </w:rPr>
              <w:t>响应报价</w:t>
            </w:r>
          </w:p>
          <w:p w14:paraId="26B97D8E">
            <w:pPr>
              <w:spacing w:line="276" w:lineRule="auto"/>
              <w:jc w:val="center"/>
              <w:rPr>
                <w:rFonts w:ascii="宋体" w:hAnsi="宋体" w:cs="宋体"/>
                <w:color w:val="000000"/>
                <w:highlight w:val="none"/>
              </w:rPr>
            </w:pPr>
            <w:r>
              <w:rPr>
                <w:rFonts w:hint="eastAsia" w:ascii="宋体" w:hAnsi="宋体" w:cs="宋体"/>
                <w:color w:val="000000"/>
                <w:highlight w:val="none"/>
              </w:rPr>
              <w:t>（10分）</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476F423">
            <w:pPr>
              <w:spacing w:line="276" w:lineRule="auto"/>
              <w:ind w:firstLine="440" w:firstLineChars="200"/>
              <w:jc w:val="left"/>
              <w:rPr>
                <w:rFonts w:ascii="宋体" w:hAnsi="宋体" w:cs="宋体"/>
                <w:color w:val="000000"/>
                <w:highlight w:val="none"/>
              </w:rPr>
            </w:pPr>
            <w:r>
              <w:rPr>
                <w:rFonts w:hint="eastAsia" w:ascii="宋体" w:hAnsi="宋体" w:cs="宋体"/>
                <w:color w:val="000000"/>
                <w:highlight w:val="none"/>
              </w:rPr>
              <w:t>报价</w:t>
            </w:r>
          </w:p>
          <w:p w14:paraId="0A7B78AB">
            <w:pPr>
              <w:spacing w:line="276" w:lineRule="auto"/>
              <w:jc w:val="center"/>
              <w:rPr>
                <w:rFonts w:ascii="宋体" w:hAnsi="宋体" w:cs="宋体"/>
                <w:color w:val="000000"/>
                <w:highlight w:val="none"/>
              </w:rPr>
            </w:pPr>
            <w:r>
              <w:rPr>
                <w:rFonts w:hint="eastAsia" w:ascii="宋体" w:hAnsi="宋体" w:cs="宋体"/>
                <w:color w:val="000000"/>
                <w:highlight w:val="none"/>
              </w:rPr>
              <w:t>（10分）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6358C347">
            <w:pPr>
              <w:spacing w:line="276" w:lineRule="auto"/>
              <w:rPr>
                <w:rFonts w:ascii="宋体" w:hAnsi="宋体" w:cs="宋体"/>
                <w:color w:val="000000"/>
                <w:highlight w:val="none"/>
              </w:rPr>
            </w:pPr>
            <w:r>
              <w:rPr>
                <w:rFonts w:hint="eastAsia" w:ascii="宋体" w:hAnsi="宋体" w:cs="宋体"/>
                <w:color w:val="000000"/>
                <w:highlight w:val="none"/>
              </w:rPr>
              <w:t>采用低价优先法计算，即满足磋商文件要求且最后响应价格最低的磋商报价为评标基准价，其价格分为满分。其他供应商的价格分统一按照下列公式计算：</w:t>
            </w:r>
          </w:p>
          <w:p w14:paraId="75907217">
            <w:pPr>
              <w:spacing w:line="276" w:lineRule="auto"/>
              <w:rPr>
                <w:rFonts w:ascii="宋体" w:hAnsi="宋体" w:cs="宋体"/>
                <w:color w:val="000000"/>
                <w:highlight w:val="none"/>
              </w:rPr>
            </w:pPr>
            <w:r>
              <w:rPr>
                <w:rFonts w:hint="eastAsia" w:ascii="宋体" w:hAnsi="宋体" w:cs="宋体"/>
                <w:color w:val="000000"/>
                <w:highlight w:val="none"/>
              </w:rPr>
              <w:t>响应报价得分= (评标基准价/最终磋商报价)×10。</w:t>
            </w:r>
          </w:p>
        </w:tc>
      </w:tr>
      <w:tr w14:paraId="644D0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5" w:hRule="atLeast"/>
          <w:tblHeader/>
          <w:jc w:val="center"/>
        </w:trPr>
        <w:tc>
          <w:tcPr>
            <w:tcW w:w="1217" w:type="dxa"/>
            <w:vMerge w:val="restart"/>
            <w:tcBorders>
              <w:top w:val="single" w:color="000000" w:sz="4" w:space="0"/>
              <w:left w:val="single" w:color="000000" w:sz="4" w:space="0"/>
              <w:right w:val="single" w:color="000000" w:sz="4" w:space="0"/>
            </w:tcBorders>
            <w:noWrap w:val="0"/>
            <w:vAlign w:val="center"/>
          </w:tcPr>
          <w:p w14:paraId="346AD5AB">
            <w:pPr>
              <w:spacing w:line="276" w:lineRule="auto"/>
              <w:jc w:val="center"/>
              <w:rPr>
                <w:rFonts w:ascii="宋体" w:hAnsi="宋体" w:cs="宋体"/>
                <w:color w:val="000000"/>
                <w:highlight w:val="none"/>
              </w:rPr>
            </w:pPr>
            <w:r>
              <w:rPr>
                <w:rFonts w:hint="eastAsia" w:ascii="宋体" w:hAnsi="宋体" w:cs="宋体"/>
                <w:color w:val="000000"/>
                <w:highlight w:val="none"/>
              </w:rPr>
              <w:t>技术部分</w:t>
            </w:r>
          </w:p>
          <w:p w14:paraId="5FFEDA55">
            <w:pPr>
              <w:spacing w:line="276" w:lineRule="auto"/>
              <w:rPr>
                <w:rFonts w:ascii="宋体" w:hAnsi="宋体" w:cs="宋体"/>
                <w:color w:val="000000"/>
                <w:highlight w:val="none"/>
              </w:rPr>
            </w:pPr>
            <w:r>
              <w:rPr>
                <w:rFonts w:hint="eastAsia" w:ascii="宋体" w:hAnsi="宋体" w:cs="宋体"/>
                <w:color w:val="000000"/>
                <w:highlight w:val="none"/>
              </w:rPr>
              <w:t>（</w:t>
            </w:r>
            <w:r>
              <w:rPr>
                <w:rFonts w:hint="eastAsia" w:ascii="宋体" w:hAnsi="宋体" w:cs="宋体"/>
                <w:color w:val="000000"/>
                <w:highlight w:val="none"/>
                <w:lang w:val="en-US" w:eastAsia="zh-CN"/>
              </w:rPr>
              <w:t>65</w:t>
            </w:r>
            <w:r>
              <w:rPr>
                <w:rFonts w:hint="eastAsia" w:ascii="宋体" w:hAnsi="宋体" w:cs="宋体"/>
                <w:color w:val="000000"/>
                <w:highlight w:val="none"/>
              </w:rPr>
              <w:t>分）</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9854BF6">
            <w:pPr>
              <w:spacing w:line="276" w:lineRule="auto"/>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护林防火服务方案</w:t>
            </w:r>
          </w:p>
          <w:p w14:paraId="10DE9749">
            <w:pPr>
              <w:pStyle w:val="66"/>
              <w:jc w:val="center"/>
              <w:rPr>
                <w:highlight w:val="none"/>
              </w:rPr>
            </w:pPr>
            <w:r>
              <w:rPr>
                <w:rFonts w:hint="eastAsia" w:ascii="宋体" w:hAnsi="宋体" w:eastAsia="宋体" w:cs="宋体"/>
                <w:color w:val="000000"/>
                <w:sz w:val="22"/>
                <w:szCs w:val="22"/>
                <w:highlight w:val="none"/>
                <w:lang w:val="en-US" w:eastAsia="zh-CN"/>
              </w:rPr>
              <w:t>（9分）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239F4F3F">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对供应商提供的护林防火服务方案进行评审，内容包括但不限于护林防火整体设想、管理</w:t>
            </w:r>
            <w:r>
              <w:rPr>
                <w:rFonts w:hint="eastAsia" w:ascii="宋体" w:hAnsi="宋体" w:cs="宋体"/>
                <w:color w:val="000000"/>
                <w:sz w:val="22"/>
                <w:szCs w:val="22"/>
                <w:highlight w:val="none"/>
                <w:lang w:val="en-US" w:eastAsia="zh-CN"/>
              </w:rPr>
              <w:t>及相关</w:t>
            </w:r>
            <w:r>
              <w:rPr>
                <w:rFonts w:hint="eastAsia" w:ascii="宋体" w:hAnsi="宋体" w:eastAsia="宋体" w:cs="宋体"/>
                <w:color w:val="000000"/>
                <w:sz w:val="22"/>
                <w:szCs w:val="22"/>
                <w:highlight w:val="none"/>
                <w:lang w:val="en-US" w:eastAsia="zh-CN"/>
              </w:rPr>
              <w:t>保障措施等内容：</w:t>
            </w:r>
          </w:p>
          <w:p w14:paraId="0EBE4DBA">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①护林防火整体设想、管理</w:t>
            </w:r>
            <w:r>
              <w:rPr>
                <w:rFonts w:hint="eastAsia" w:ascii="宋体" w:hAnsi="宋体" w:cs="宋体"/>
                <w:color w:val="000000"/>
                <w:sz w:val="22"/>
                <w:szCs w:val="22"/>
                <w:highlight w:val="none"/>
                <w:lang w:val="en-US" w:eastAsia="zh-CN"/>
              </w:rPr>
              <w:t>及相关</w:t>
            </w:r>
            <w:r>
              <w:rPr>
                <w:rFonts w:hint="eastAsia" w:ascii="宋体" w:hAnsi="宋体" w:eastAsia="宋体" w:cs="宋体"/>
                <w:color w:val="000000"/>
                <w:sz w:val="22"/>
                <w:szCs w:val="22"/>
                <w:highlight w:val="none"/>
                <w:lang w:val="en-US" w:eastAsia="zh-CN"/>
              </w:rPr>
              <w:t>保障措施</w:t>
            </w:r>
            <w:r>
              <w:rPr>
                <w:rFonts w:hint="eastAsia" w:ascii="宋体" w:hAnsi="宋体" w:cs="宋体"/>
                <w:color w:val="000000"/>
                <w:sz w:val="22"/>
                <w:szCs w:val="22"/>
                <w:highlight w:val="none"/>
                <w:lang w:val="en-US" w:eastAsia="zh-CN"/>
              </w:rPr>
              <w:t>内容</w:t>
            </w:r>
            <w:r>
              <w:rPr>
                <w:rFonts w:hint="eastAsia" w:ascii="宋体" w:hAnsi="宋体" w:eastAsia="宋体" w:cs="宋体"/>
                <w:color w:val="000000"/>
                <w:sz w:val="22"/>
                <w:szCs w:val="22"/>
                <w:highlight w:val="none"/>
                <w:lang w:val="en-US" w:eastAsia="zh-CN"/>
              </w:rPr>
              <w:t>全面合理</w:t>
            </w:r>
            <w:r>
              <w:rPr>
                <w:rFonts w:hint="eastAsia" w:ascii="宋体" w:hAnsi="宋体" w:cs="宋体"/>
                <w:color w:val="000000"/>
                <w:sz w:val="22"/>
                <w:szCs w:val="22"/>
                <w:highlight w:val="none"/>
                <w:lang w:val="en-US" w:eastAsia="zh-CN"/>
              </w:rPr>
              <w:t>、</w:t>
            </w:r>
            <w:r>
              <w:rPr>
                <w:rFonts w:hint="eastAsia" w:ascii="宋体" w:hAnsi="宋体" w:eastAsia="宋体" w:cs="宋体"/>
                <w:color w:val="000000"/>
                <w:sz w:val="22"/>
                <w:szCs w:val="22"/>
                <w:highlight w:val="none"/>
                <w:lang w:val="en-US" w:eastAsia="zh-CN"/>
              </w:rPr>
              <w:t>可行的得</w:t>
            </w:r>
            <w:r>
              <w:rPr>
                <w:rFonts w:hint="eastAsia" w:ascii="宋体" w:hAnsi="宋体" w:cs="宋体"/>
                <w:color w:val="000000"/>
                <w:sz w:val="22"/>
                <w:szCs w:val="22"/>
                <w:highlight w:val="none"/>
                <w:lang w:val="en-US" w:eastAsia="zh-CN"/>
              </w:rPr>
              <w:t>9</w:t>
            </w:r>
            <w:r>
              <w:rPr>
                <w:rFonts w:hint="eastAsia" w:ascii="宋体" w:hAnsi="宋体" w:eastAsia="宋体" w:cs="宋体"/>
                <w:color w:val="000000"/>
                <w:sz w:val="22"/>
                <w:szCs w:val="22"/>
                <w:highlight w:val="none"/>
                <w:lang w:val="en-US" w:eastAsia="zh-CN"/>
              </w:rPr>
              <w:t>分；</w:t>
            </w:r>
          </w:p>
          <w:p w14:paraId="7C4B68AE">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②护林防火整体设想、管理</w:t>
            </w:r>
            <w:r>
              <w:rPr>
                <w:rFonts w:hint="eastAsia" w:ascii="宋体" w:hAnsi="宋体" w:cs="宋体"/>
                <w:color w:val="000000"/>
                <w:sz w:val="22"/>
                <w:szCs w:val="22"/>
                <w:highlight w:val="none"/>
                <w:lang w:val="en-US" w:eastAsia="zh-CN"/>
              </w:rPr>
              <w:t>及相关</w:t>
            </w:r>
            <w:r>
              <w:rPr>
                <w:rFonts w:hint="eastAsia" w:ascii="宋体" w:hAnsi="宋体" w:eastAsia="宋体" w:cs="宋体"/>
                <w:color w:val="000000"/>
                <w:sz w:val="22"/>
                <w:szCs w:val="22"/>
                <w:highlight w:val="none"/>
                <w:lang w:val="en-US" w:eastAsia="zh-CN"/>
              </w:rPr>
              <w:t>保障措施</w:t>
            </w:r>
            <w:r>
              <w:rPr>
                <w:rFonts w:hint="eastAsia" w:ascii="宋体" w:hAnsi="宋体" w:cs="宋体"/>
                <w:color w:val="000000"/>
                <w:sz w:val="22"/>
                <w:szCs w:val="22"/>
                <w:highlight w:val="none"/>
                <w:lang w:val="en-US" w:eastAsia="zh-CN"/>
              </w:rPr>
              <w:t>内容</w:t>
            </w:r>
            <w:r>
              <w:rPr>
                <w:rFonts w:hint="eastAsia" w:ascii="宋体" w:hAnsi="宋体" w:eastAsia="宋体" w:cs="宋体"/>
                <w:color w:val="000000"/>
                <w:sz w:val="22"/>
                <w:szCs w:val="22"/>
                <w:highlight w:val="none"/>
                <w:lang w:val="en-US" w:eastAsia="zh-CN"/>
              </w:rPr>
              <w:t>基本全面</w:t>
            </w:r>
            <w:r>
              <w:rPr>
                <w:rFonts w:hint="eastAsia" w:ascii="宋体" w:hAnsi="宋体" w:cs="宋体"/>
                <w:color w:val="000000"/>
                <w:sz w:val="22"/>
                <w:szCs w:val="22"/>
                <w:highlight w:val="none"/>
                <w:lang w:val="en-US" w:eastAsia="zh-CN"/>
              </w:rPr>
              <w:t>合理、基本</w:t>
            </w:r>
            <w:r>
              <w:rPr>
                <w:rFonts w:hint="eastAsia" w:ascii="宋体" w:hAnsi="宋体" w:eastAsia="宋体" w:cs="宋体"/>
                <w:color w:val="000000"/>
                <w:sz w:val="22"/>
                <w:szCs w:val="22"/>
                <w:highlight w:val="none"/>
                <w:lang w:val="en-US" w:eastAsia="zh-CN"/>
              </w:rPr>
              <w:t>可行的得</w:t>
            </w:r>
            <w:r>
              <w:rPr>
                <w:rFonts w:hint="eastAsia" w:ascii="宋体" w:hAnsi="宋体" w:cs="宋体"/>
                <w:color w:val="000000"/>
                <w:sz w:val="22"/>
                <w:szCs w:val="22"/>
                <w:highlight w:val="none"/>
                <w:lang w:val="en-US" w:eastAsia="zh-CN"/>
              </w:rPr>
              <w:t>7</w:t>
            </w:r>
            <w:r>
              <w:rPr>
                <w:rFonts w:hint="eastAsia" w:ascii="宋体" w:hAnsi="宋体" w:eastAsia="宋体" w:cs="宋体"/>
                <w:color w:val="000000"/>
                <w:sz w:val="22"/>
                <w:szCs w:val="22"/>
                <w:highlight w:val="none"/>
                <w:lang w:val="en-US" w:eastAsia="zh-CN"/>
              </w:rPr>
              <w:t>分；</w:t>
            </w:r>
          </w:p>
          <w:p w14:paraId="54738D6F">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③护林防火整体设想、管理</w:t>
            </w:r>
            <w:r>
              <w:rPr>
                <w:rFonts w:hint="eastAsia" w:ascii="宋体" w:hAnsi="宋体" w:cs="宋体"/>
                <w:color w:val="000000"/>
                <w:sz w:val="22"/>
                <w:szCs w:val="22"/>
                <w:highlight w:val="none"/>
                <w:lang w:val="en-US" w:eastAsia="zh-CN"/>
              </w:rPr>
              <w:t>及相关</w:t>
            </w:r>
            <w:r>
              <w:rPr>
                <w:rFonts w:hint="eastAsia" w:ascii="宋体" w:hAnsi="宋体" w:eastAsia="宋体" w:cs="宋体"/>
                <w:color w:val="000000"/>
                <w:sz w:val="22"/>
                <w:szCs w:val="22"/>
                <w:highlight w:val="none"/>
                <w:lang w:val="en-US" w:eastAsia="zh-CN"/>
              </w:rPr>
              <w:t>保障措施</w:t>
            </w:r>
            <w:r>
              <w:rPr>
                <w:rFonts w:hint="eastAsia" w:ascii="宋体" w:hAnsi="宋体" w:cs="宋体"/>
                <w:color w:val="000000"/>
                <w:sz w:val="22"/>
                <w:szCs w:val="22"/>
                <w:highlight w:val="none"/>
                <w:lang w:val="en-US" w:eastAsia="zh-CN"/>
              </w:rPr>
              <w:t>内容</w:t>
            </w:r>
            <w:r>
              <w:rPr>
                <w:rFonts w:hint="eastAsia" w:ascii="宋体" w:hAnsi="宋体" w:eastAsia="宋体" w:cs="宋体"/>
                <w:color w:val="000000"/>
                <w:sz w:val="22"/>
                <w:szCs w:val="22"/>
                <w:highlight w:val="none"/>
                <w:lang w:val="en-US" w:eastAsia="zh-CN"/>
              </w:rPr>
              <w:t>不够全面</w:t>
            </w:r>
            <w:r>
              <w:rPr>
                <w:rFonts w:hint="eastAsia" w:ascii="宋体" w:hAnsi="宋体" w:cs="宋体"/>
                <w:color w:val="000000"/>
                <w:sz w:val="22"/>
                <w:szCs w:val="22"/>
                <w:highlight w:val="none"/>
                <w:lang w:val="en-US" w:eastAsia="zh-CN"/>
              </w:rPr>
              <w:t>合理、</w:t>
            </w:r>
            <w:r>
              <w:rPr>
                <w:rFonts w:hint="eastAsia" w:ascii="宋体" w:hAnsi="宋体" w:eastAsia="宋体" w:cs="宋体"/>
                <w:color w:val="000000"/>
                <w:sz w:val="22"/>
                <w:szCs w:val="22"/>
                <w:highlight w:val="none"/>
                <w:lang w:val="en-US" w:eastAsia="zh-CN"/>
              </w:rPr>
              <w:t>可行性</w:t>
            </w:r>
            <w:r>
              <w:rPr>
                <w:rFonts w:hint="eastAsia" w:ascii="宋体" w:hAnsi="宋体" w:cs="宋体"/>
                <w:color w:val="000000"/>
                <w:sz w:val="22"/>
                <w:szCs w:val="22"/>
                <w:highlight w:val="none"/>
                <w:lang w:val="en-US" w:eastAsia="zh-CN"/>
              </w:rPr>
              <w:t>一般</w:t>
            </w:r>
            <w:r>
              <w:rPr>
                <w:rFonts w:hint="eastAsia" w:ascii="宋体" w:hAnsi="宋体" w:eastAsia="宋体" w:cs="宋体"/>
                <w:color w:val="000000"/>
                <w:sz w:val="22"/>
                <w:szCs w:val="22"/>
                <w:highlight w:val="none"/>
                <w:lang w:val="en-US" w:eastAsia="zh-CN"/>
              </w:rPr>
              <w:t>的得</w:t>
            </w:r>
            <w:r>
              <w:rPr>
                <w:rFonts w:hint="eastAsia" w:ascii="宋体" w:hAnsi="宋体" w:cs="宋体"/>
                <w:color w:val="000000"/>
                <w:sz w:val="22"/>
                <w:szCs w:val="22"/>
                <w:highlight w:val="none"/>
                <w:lang w:val="en-US" w:eastAsia="zh-CN"/>
              </w:rPr>
              <w:t>5</w:t>
            </w:r>
            <w:r>
              <w:rPr>
                <w:rFonts w:hint="eastAsia" w:ascii="宋体" w:hAnsi="宋体" w:eastAsia="宋体" w:cs="宋体"/>
                <w:color w:val="000000"/>
                <w:sz w:val="22"/>
                <w:szCs w:val="22"/>
                <w:highlight w:val="none"/>
                <w:lang w:val="en-US" w:eastAsia="zh-CN"/>
              </w:rPr>
              <w:t>分；</w:t>
            </w:r>
          </w:p>
          <w:p w14:paraId="74E4E04D">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④护林防火整体设想、管理</w:t>
            </w:r>
            <w:r>
              <w:rPr>
                <w:rFonts w:hint="eastAsia" w:ascii="宋体" w:hAnsi="宋体" w:cs="宋体"/>
                <w:color w:val="000000"/>
                <w:sz w:val="22"/>
                <w:szCs w:val="22"/>
                <w:highlight w:val="none"/>
                <w:lang w:val="en-US" w:eastAsia="zh-CN"/>
              </w:rPr>
              <w:t>及相关</w:t>
            </w:r>
            <w:r>
              <w:rPr>
                <w:rFonts w:hint="eastAsia" w:ascii="宋体" w:hAnsi="宋体" w:eastAsia="宋体" w:cs="宋体"/>
                <w:color w:val="000000"/>
                <w:sz w:val="22"/>
                <w:szCs w:val="22"/>
                <w:highlight w:val="none"/>
                <w:lang w:val="en-US" w:eastAsia="zh-CN"/>
              </w:rPr>
              <w:t>保障措施</w:t>
            </w:r>
            <w:r>
              <w:rPr>
                <w:rFonts w:hint="eastAsia" w:ascii="宋体" w:hAnsi="宋体" w:cs="宋体"/>
                <w:color w:val="000000"/>
                <w:sz w:val="22"/>
                <w:szCs w:val="22"/>
                <w:highlight w:val="none"/>
                <w:lang w:val="en-US" w:eastAsia="zh-CN"/>
              </w:rPr>
              <w:t>内容</w:t>
            </w:r>
            <w:r>
              <w:rPr>
                <w:rFonts w:hint="eastAsia" w:ascii="宋体" w:hAnsi="宋体" w:eastAsia="宋体" w:cs="宋体"/>
                <w:color w:val="000000"/>
                <w:sz w:val="22"/>
                <w:szCs w:val="22"/>
                <w:highlight w:val="none"/>
                <w:lang w:val="en-US" w:eastAsia="zh-CN"/>
              </w:rPr>
              <w:t>不全面</w:t>
            </w:r>
            <w:r>
              <w:rPr>
                <w:rFonts w:hint="eastAsia" w:ascii="宋体" w:hAnsi="宋体" w:cs="宋体"/>
                <w:color w:val="000000"/>
                <w:sz w:val="22"/>
                <w:szCs w:val="22"/>
                <w:highlight w:val="none"/>
                <w:lang w:val="en-US" w:eastAsia="zh-CN"/>
              </w:rPr>
              <w:t>合理、</w:t>
            </w:r>
            <w:r>
              <w:rPr>
                <w:rFonts w:hint="eastAsia" w:ascii="宋体" w:hAnsi="宋体" w:eastAsia="宋体" w:cs="宋体"/>
                <w:color w:val="000000"/>
                <w:sz w:val="22"/>
                <w:szCs w:val="22"/>
                <w:highlight w:val="none"/>
                <w:lang w:val="en-US" w:eastAsia="zh-CN"/>
              </w:rPr>
              <w:t>不可行，</w:t>
            </w:r>
            <w:r>
              <w:rPr>
                <w:rFonts w:hint="eastAsia" w:ascii="宋体" w:hAnsi="宋体" w:cs="宋体"/>
                <w:color w:val="000000"/>
                <w:sz w:val="22"/>
                <w:szCs w:val="22"/>
                <w:highlight w:val="none"/>
                <w:lang w:val="en-US" w:eastAsia="zh-CN"/>
              </w:rPr>
              <w:t>且</w:t>
            </w:r>
            <w:r>
              <w:rPr>
                <w:rFonts w:hint="eastAsia" w:ascii="宋体" w:hAnsi="宋体" w:eastAsia="宋体" w:cs="宋体"/>
                <w:color w:val="000000"/>
                <w:sz w:val="22"/>
                <w:szCs w:val="22"/>
                <w:highlight w:val="none"/>
                <w:lang w:val="en-US" w:eastAsia="zh-CN"/>
              </w:rPr>
              <w:t>有明显缺失的得</w:t>
            </w:r>
            <w:r>
              <w:rPr>
                <w:rFonts w:hint="eastAsia" w:ascii="宋体" w:hAnsi="宋体" w:cs="宋体"/>
                <w:color w:val="000000"/>
                <w:sz w:val="22"/>
                <w:szCs w:val="22"/>
                <w:highlight w:val="none"/>
                <w:lang w:val="en-US" w:eastAsia="zh-CN"/>
              </w:rPr>
              <w:t>3</w:t>
            </w:r>
            <w:r>
              <w:rPr>
                <w:rFonts w:hint="eastAsia" w:ascii="宋体" w:hAnsi="宋体" w:eastAsia="宋体" w:cs="宋体"/>
                <w:color w:val="000000"/>
                <w:sz w:val="22"/>
                <w:szCs w:val="22"/>
                <w:highlight w:val="none"/>
                <w:lang w:val="en-US" w:eastAsia="zh-CN"/>
              </w:rPr>
              <w:t>分；</w:t>
            </w:r>
          </w:p>
          <w:p w14:paraId="2C65DAA4">
            <w:pPr>
              <w:keepNext w:val="0"/>
              <w:keepLines w:val="0"/>
              <w:pageBreakBefore w:val="0"/>
              <w:widowControl/>
              <w:spacing w:line="240" w:lineRule="auto"/>
              <w:rPr>
                <w:rFonts w:ascii="宋体" w:hAnsi="宋体"/>
                <w:highlight w:val="none"/>
              </w:rPr>
            </w:pPr>
            <w:r>
              <w:rPr>
                <w:rFonts w:hint="eastAsia" w:ascii="宋体" w:hAnsi="宋体" w:eastAsia="宋体" w:cs="宋体"/>
                <w:color w:val="000000"/>
                <w:sz w:val="22"/>
                <w:szCs w:val="22"/>
                <w:highlight w:val="none"/>
                <w:lang w:val="en-US" w:eastAsia="zh-CN"/>
              </w:rPr>
              <w:t>⑤</w:t>
            </w:r>
            <w:r>
              <w:rPr>
                <w:rFonts w:hint="eastAsia" w:ascii="宋体" w:hAnsi="宋体" w:cs="宋体"/>
                <w:color w:val="000000"/>
                <w:sz w:val="22"/>
                <w:szCs w:val="22"/>
                <w:highlight w:val="none"/>
                <w:lang w:val="en-US" w:eastAsia="zh-CN"/>
              </w:rPr>
              <w:t>未</w:t>
            </w:r>
            <w:r>
              <w:rPr>
                <w:rFonts w:hint="eastAsia" w:ascii="宋体" w:hAnsi="宋体" w:eastAsia="宋体" w:cs="宋体"/>
                <w:color w:val="000000"/>
                <w:sz w:val="22"/>
                <w:szCs w:val="22"/>
                <w:highlight w:val="none"/>
                <w:lang w:val="en-US" w:eastAsia="zh-CN"/>
              </w:rPr>
              <w:t>提供不得分。</w:t>
            </w:r>
          </w:p>
        </w:tc>
      </w:tr>
      <w:tr w14:paraId="708A0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75" w:hRule="atLeast"/>
          <w:tblHeader/>
          <w:jc w:val="center"/>
        </w:trPr>
        <w:tc>
          <w:tcPr>
            <w:tcW w:w="1217" w:type="dxa"/>
            <w:vMerge w:val="continue"/>
            <w:tcBorders>
              <w:left w:val="single" w:color="000000" w:sz="4" w:space="0"/>
              <w:right w:val="single" w:color="000000" w:sz="4" w:space="0"/>
            </w:tcBorders>
            <w:noWrap w:val="0"/>
            <w:vAlign w:val="center"/>
          </w:tcPr>
          <w:p w14:paraId="21947A91">
            <w:pPr>
              <w:spacing w:line="276" w:lineRule="auto"/>
              <w:rPr>
                <w:rFonts w:hint="eastAsia"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44939F63">
            <w:pPr>
              <w:spacing w:line="276" w:lineRule="auto"/>
              <w:jc w:val="center"/>
              <w:rPr>
                <w:rFonts w:hint="eastAsia"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t>森林抚育</w:t>
            </w:r>
            <w:r>
              <w:rPr>
                <w:rFonts w:hint="eastAsia" w:ascii="宋体" w:hAnsi="宋体" w:eastAsia="宋体" w:cs="宋体"/>
                <w:color w:val="000000"/>
                <w:sz w:val="22"/>
                <w:szCs w:val="22"/>
                <w:highlight w:val="none"/>
                <w:lang w:val="en-US" w:eastAsia="zh-CN"/>
              </w:rPr>
              <w:t>服务方案</w:t>
            </w:r>
          </w:p>
          <w:p w14:paraId="3FA6DE3F">
            <w:pPr>
              <w:pStyle w:val="66"/>
              <w:jc w:val="center"/>
              <w:rPr>
                <w:highlight w:val="none"/>
              </w:rPr>
            </w:pPr>
            <w:r>
              <w:rPr>
                <w:rFonts w:hint="eastAsia" w:ascii="宋体" w:hAnsi="宋体" w:eastAsia="宋体" w:cs="宋体"/>
                <w:color w:val="000000"/>
                <w:sz w:val="22"/>
                <w:szCs w:val="22"/>
                <w:highlight w:val="none"/>
                <w:lang w:val="en-US" w:eastAsia="zh-CN"/>
              </w:rPr>
              <w:t>（9分）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4A729C4A">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对供应商提供的</w:t>
            </w:r>
            <w:r>
              <w:rPr>
                <w:rFonts w:hint="default" w:ascii="宋体" w:hAnsi="宋体" w:eastAsia="宋体" w:cs="宋体"/>
                <w:color w:val="000000"/>
                <w:sz w:val="22"/>
                <w:szCs w:val="22"/>
                <w:highlight w:val="none"/>
                <w:lang w:val="en-US" w:eastAsia="zh-CN"/>
              </w:rPr>
              <w:t>森林抚育</w:t>
            </w:r>
            <w:r>
              <w:rPr>
                <w:rFonts w:hint="eastAsia" w:ascii="宋体" w:hAnsi="宋体" w:eastAsia="宋体" w:cs="宋体"/>
                <w:color w:val="000000"/>
                <w:sz w:val="22"/>
                <w:szCs w:val="22"/>
                <w:highlight w:val="none"/>
                <w:lang w:val="en-US" w:eastAsia="zh-CN"/>
              </w:rPr>
              <w:t>服务方案进行评审，内容包括但不限于</w:t>
            </w:r>
            <w:r>
              <w:rPr>
                <w:rFonts w:hint="default" w:ascii="宋体" w:hAnsi="宋体" w:eastAsia="宋体" w:cs="宋体"/>
                <w:color w:val="000000"/>
                <w:sz w:val="22"/>
                <w:szCs w:val="22"/>
                <w:highlight w:val="none"/>
                <w:lang w:val="en-US" w:eastAsia="zh-CN"/>
              </w:rPr>
              <w:t>森林抚育</w:t>
            </w:r>
            <w:r>
              <w:rPr>
                <w:rFonts w:hint="eastAsia" w:ascii="宋体" w:hAnsi="宋体" w:eastAsia="宋体" w:cs="宋体"/>
                <w:color w:val="000000"/>
                <w:sz w:val="22"/>
                <w:szCs w:val="22"/>
                <w:highlight w:val="none"/>
                <w:lang w:val="en-US" w:eastAsia="zh-CN"/>
              </w:rPr>
              <w:t>整体设想、管理</w:t>
            </w:r>
            <w:r>
              <w:rPr>
                <w:rFonts w:hint="eastAsia" w:ascii="宋体" w:hAnsi="宋体" w:cs="宋体"/>
                <w:color w:val="000000"/>
                <w:sz w:val="22"/>
                <w:szCs w:val="22"/>
                <w:highlight w:val="none"/>
                <w:lang w:val="en-US" w:eastAsia="zh-CN"/>
              </w:rPr>
              <w:t>及相关</w:t>
            </w:r>
            <w:r>
              <w:rPr>
                <w:rFonts w:hint="eastAsia" w:ascii="宋体" w:hAnsi="宋体" w:eastAsia="宋体" w:cs="宋体"/>
                <w:color w:val="000000"/>
                <w:sz w:val="22"/>
                <w:szCs w:val="22"/>
                <w:highlight w:val="none"/>
                <w:lang w:val="en-US" w:eastAsia="zh-CN"/>
              </w:rPr>
              <w:t>保障措施等内容：</w:t>
            </w:r>
          </w:p>
          <w:p w14:paraId="200080C2">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①</w:t>
            </w:r>
            <w:r>
              <w:rPr>
                <w:rFonts w:hint="default" w:ascii="宋体" w:hAnsi="宋体" w:eastAsia="宋体" w:cs="宋体"/>
                <w:color w:val="000000"/>
                <w:sz w:val="22"/>
                <w:szCs w:val="22"/>
                <w:highlight w:val="none"/>
                <w:lang w:val="en-US" w:eastAsia="zh-CN"/>
              </w:rPr>
              <w:t>森林抚育</w:t>
            </w:r>
            <w:r>
              <w:rPr>
                <w:rFonts w:hint="eastAsia" w:ascii="宋体" w:hAnsi="宋体" w:eastAsia="宋体" w:cs="宋体"/>
                <w:color w:val="000000"/>
                <w:sz w:val="22"/>
                <w:szCs w:val="22"/>
                <w:highlight w:val="none"/>
                <w:lang w:val="en-US" w:eastAsia="zh-CN"/>
              </w:rPr>
              <w:t>整体设想、管理</w:t>
            </w:r>
            <w:r>
              <w:rPr>
                <w:rFonts w:hint="eastAsia" w:ascii="宋体" w:hAnsi="宋体" w:cs="宋体"/>
                <w:color w:val="000000"/>
                <w:sz w:val="22"/>
                <w:szCs w:val="22"/>
                <w:highlight w:val="none"/>
                <w:lang w:val="en-US" w:eastAsia="zh-CN"/>
              </w:rPr>
              <w:t>及相关</w:t>
            </w:r>
            <w:r>
              <w:rPr>
                <w:rFonts w:hint="eastAsia" w:ascii="宋体" w:hAnsi="宋体" w:eastAsia="宋体" w:cs="宋体"/>
                <w:color w:val="000000"/>
                <w:sz w:val="22"/>
                <w:szCs w:val="22"/>
                <w:highlight w:val="none"/>
                <w:lang w:val="en-US" w:eastAsia="zh-CN"/>
              </w:rPr>
              <w:t>保障措施</w:t>
            </w:r>
            <w:r>
              <w:rPr>
                <w:rFonts w:hint="eastAsia" w:ascii="宋体" w:hAnsi="宋体" w:cs="宋体"/>
                <w:color w:val="000000"/>
                <w:sz w:val="22"/>
                <w:szCs w:val="22"/>
                <w:highlight w:val="none"/>
                <w:lang w:val="en-US" w:eastAsia="zh-CN"/>
              </w:rPr>
              <w:t>内容</w:t>
            </w:r>
            <w:r>
              <w:rPr>
                <w:rFonts w:hint="eastAsia" w:ascii="宋体" w:hAnsi="宋体" w:eastAsia="宋体" w:cs="宋体"/>
                <w:color w:val="000000"/>
                <w:sz w:val="22"/>
                <w:szCs w:val="22"/>
                <w:highlight w:val="none"/>
                <w:lang w:val="en-US" w:eastAsia="zh-CN"/>
              </w:rPr>
              <w:t>全面合理</w:t>
            </w:r>
            <w:r>
              <w:rPr>
                <w:rFonts w:hint="eastAsia" w:ascii="宋体" w:hAnsi="宋体" w:cs="宋体"/>
                <w:color w:val="000000"/>
                <w:sz w:val="22"/>
                <w:szCs w:val="22"/>
                <w:highlight w:val="none"/>
                <w:lang w:val="en-US" w:eastAsia="zh-CN"/>
              </w:rPr>
              <w:t>、</w:t>
            </w:r>
            <w:r>
              <w:rPr>
                <w:rFonts w:hint="eastAsia" w:ascii="宋体" w:hAnsi="宋体" w:eastAsia="宋体" w:cs="宋体"/>
                <w:color w:val="000000"/>
                <w:sz w:val="22"/>
                <w:szCs w:val="22"/>
                <w:highlight w:val="none"/>
                <w:lang w:val="en-US" w:eastAsia="zh-CN"/>
              </w:rPr>
              <w:t>可行的得</w:t>
            </w:r>
            <w:r>
              <w:rPr>
                <w:rFonts w:hint="eastAsia" w:ascii="宋体" w:hAnsi="宋体" w:cs="宋体"/>
                <w:color w:val="000000"/>
                <w:sz w:val="22"/>
                <w:szCs w:val="22"/>
                <w:highlight w:val="none"/>
                <w:lang w:val="en-US" w:eastAsia="zh-CN"/>
              </w:rPr>
              <w:t>9</w:t>
            </w:r>
            <w:r>
              <w:rPr>
                <w:rFonts w:hint="eastAsia" w:ascii="宋体" w:hAnsi="宋体" w:eastAsia="宋体" w:cs="宋体"/>
                <w:color w:val="000000"/>
                <w:sz w:val="22"/>
                <w:szCs w:val="22"/>
                <w:highlight w:val="none"/>
                <w:lang w:val="en-US" w:eastAsia="zh-CN"/>
              </w:rPr>
              <w:t>分；</w:t>
            </w:r>
          </w:p>
          <w:p w14:paraId="1FB92181">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②</w:t>
            </w:r>
            <w:r>
              <w:rPr>
                <w:rFonts w:hint="default" w:ascii="宋体" w:hAnsi="宋体" w:eastAsia="宋体" w:cs="宋体"/>
                <w:color w:val="000000"/>
                <w:sz w:val="22"/>
                <w:szCs w:val="22"/>
                <w:highlight w:val="none"/>
                <w:lang w:val="en-US" w:eastAsia="zh-CN"/>
              </w:rPr>
              <w:t>森林抚育</w:t>
            </w:r>
            <w:r>
              <w:rPr>
                <w:rFonts w:hint="eastAsia" w:ascii="宋体" w:hAnsi="宋体" w:eastAsia="宋体" w:cs="宋体"/>
                <w:color w:val="000000"/>
                <w:sz w:val="22"/>
                <w:szCs w:val="22"/>
                <w:highlight w:val="none"/>
                <w:lang w:val="en-US" w:eastAsia="zh-CN"/>
              </w:rPr>
              <w:t>整体设想、管理</w:t>
            </w:r>
            <w:r>
              <w:rPr>
                <w:rFonts w:hint="eastAsia" w:ascii="宋体" w:hAnsi="宋体" w:cs="宋体"/>
                <w:color w:val="000000"/>
                <w:sz w:val="22"/>
                <w:szCs w:val="22"/>
                <w:highlight w:val="none"/>
                <w:lang w:val="en-US" w:eastAsia="zh-CN"/>
              </w:rPr>
              <w:t>及相关</w:t>
            </w:r>
            <w:r>
              <w:rPr>
                <w:rFonts w:hint="eastAsia" w:ascii="宋体" w:hAnsi="宋体" w:eastAsia="宋体" w:cs="宋体"/>
                <w:color w:val="000000"/>
                <w:sz w:val="22"/>
                <w:szCs w:val="22"/>
                <w:highlight w:val="none"/>
                <w:lang w:val="en-US" w:eastAsia="zh-CN"/>
              </w:rPr>
              <w:t>保障措施</w:t>
            </w:r>
            <w:r>
              <w:rPr>
                <w:rFonts w:hint="eastAsia" w:ascii="宋体" w:hAnsi="宋体" w:cs="宋体"/>
                <w:color w:val="000000"/>
                <w:sz w:val="22"/>
                <w:szCs w:val="22"/>
                <w:highlight w:val="none"/>
                <w:lang w:val="en-US" w:eastAsia="zh-CN"/>
              </w:rPr>
              <w:t>内容</w:t>
            </w:r>
            <w:r>
              <w:rPr>
                <w:rFonts w:hint="eastAsia" w:ascii="宋体" w:hAnsi="宋体" w:eastAsia="宋体" w:cs="宋体"/>
                <w:color w:val="000000"/>
                <w:sz w:val="22"/>
                <w:szCs w:val="22"/>
                <w:highlight w:val="none"/>
                <w:lang w:val="en-US" w:eastAsia="zh-CN"/>
              </w:rPr>
              <w:t>基本全面</w:t>
            </w:r>
            <w:r>
              <w:rPr>
                <w:rFonts w:hint="eastAsia" w:ascii="宋体" w:hAnsi="宋体" w:cs="宋体"/>
                <w:color w:val="000000"/>
                <w:sz w:val="22"/>
                <w:szCs w:val="22"/>
                <w:highlight w:val="none"/>
                <w:lang w:val="en-US" w:eastAsia="zh-CN"/>
              </w:rPr>
              <w:t>合理、基本</w:t>
            </w:r>
            <w:r>
              <w:rPr>
                <w:rFonts w:hint="eastAsia" w:ascii="宋体" w:hAnsi="宋体" w:eastAsia="宋体" w:cs="宋体"/>
                <w:color w:val="000000"/>
                <w:sz w:val="22"/>
                <w:szCs w:val="22"/>
                <w:highlight w:val="none"/>
                <w:lang w:val="en-US" w:eastAsia="zh-CN"/>
              </w:rPr>
              <w:t>可行的得</w:t>
            </w:r>
            <w:r>
              <w:rPr>
                <w:rFonts w:hint="eastAsia" w:ascii="宋体" w:hAnsi="宋体" w:cs="宋体"/>
                <w:color w:val="000000"/>
                <w:sz w:val="22"/>
                <w:szCs w:val="22"/>
                <w:highlight w:val="none"/>
                <w:lang w:val="en-US" w:eastAsia="zh-CN"/>
              </w:rPr>
              <w:t>7</w:t>
            </w:r>
            <w:r>
              <w:rPr>
                <w:rFonts w:hint="eastAsia" w:ascii="宋体" w:hAnsi="宋体" w:eastAsia="宋体" w:cs="宋体"/>
                <w:color w:val="000000"/>
                <w:sz w:val="22"/>
                <w:szCs w:val="22"/>
                <w:highlight w:val="none"/>
                <w:lang w:val="en-US" w:eastAsia="zh-CN"/>
              </w:rPr>
              <w:t>分；</w:t>
            </w:r>
          </w:p>
          <w:p w14:paraId="7B40C921">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③</w:t>
            </w:r>
            <w:r>
              <w:rPr>
                <w:rFonts w:hint="default" w:ascii="宋体" w:hAnsi="宋体" w:eastAsia="宋体" w:cs="宋体"/>
                <w:color w:val="000000"/>
                <w:sz w:val="22"/>
                <w:szCs w:val="22"/>
                <w:highlight w:val="none"/>
                <w:lang w:val="en-US" w:eastAsia="zh-CN"/>
              </w:rPr>
              <w:t>森林抚育</w:t>
            </w:r>
            <w:r>
              <w:rPr>
                <w:rFonts w:hint="eastAsia" w:ascii="宋体" w:hAnsi="宋体" w:eastAsia="宋体" w:cs="宋体"/>
                <w:color w:val="000000"/>
                <w:sz w:val="22"/>
                <w:szCs w:val="22"/>
                <w:highlight w:val="none"/>
                <w:lang w:val="en-US" w:eastAsia="zh-CN"/>
              </w:rPr>
              <w:t>整体设想、管理</w:t>
            </w:r>
            <w:r>
              <w:rPr>
                <w:rFonts w:hint="eastAsia" w:ascii="宋体" w:hAnsi="宋体" w:cs="宋体"/>
                <w:color w:val="000000"/>
                <w:sz w:val="22"/>
                <w:szCs w:val="22"/>
                <w:highlight w:val="none"/>
                <w:lang w:val="en-US" w:eastAsia="zh-CN"/>
              </w:rPr>
              <w:t>及相关</w:t>
            </w:r>
            <w:r>
              <w:rPr>
                <w:rFonts w:hint="eastAsia" w:ascii="宋体" w:hAnsi="宋体" w:eastAsia="宋体" w:cs="宋体"/>
                <w:color w:val="000000"/>
                <w:sz w:val="22"/>
                <w:szCs w:val="22"/>
                <w:highlight w:val="none"/>
                <w:lang w:val="en-US" w:eastAsia="zh-CN"/>
              </w:rPr>
              <w:t>保障措施</w:t>
            </w:r>
            <w:r>
              <w:rPr>
                <w:rFonts w:hint="eastAsia" w:ascii="宋体" w:hAnsi="宋体" w:cs="宋体"/>
                <w:color w:val="000000"/>
                <w:sz w:val="22"/>
                <w:szCs w:val="22"/>
                <w:highlight w:val="none"/>
                <w:lang w:val="en-US" w:eastAsia="zh-CN"/>
              </w:rPr>
              <w:t>内容</w:t>
            </w:r>
            <w:r>
              <w:rPr>
                <w:rFonts w:hint="eastAsia" w:ascii="宋体" w:hAnsi="宋体" w:eastAsia="宋体" w:cs="宋体"/>
                <w:color w:val="000000"/>
                <w:sz w:val="22"/>
                <w:szCs w:val="22"/>
                <w:highlight w:val="none"/>
                <w:lang w:val="en-US" w:eastAsia="zh-CN"/>
              </w:rPr>
              <w:t>不够全面</w:t>
            </w:r>
            <w:r>
              <w:rPr>
                <w:rFonts w:hint="eastAsia" w:ascii="宋体" w:hAnsi="宋体" w:cs="宋体"/>
                <w:color w:val="000000"/>
                <w:sz w:val="22"/>
                <w:szCs w:val="22"/>
                <w:highlight w:val="none"/>
                <w:lang w:val="en-US" w:eastAsia="zh-CN"/>
              </w:rPr>
              <w:t>合理、</w:t>
            </w:r>
            <w:r>
              <w:rPr>
                <w:rFonts w:hint="eastAsia" w:ascii="宋体" w:hAnsi="宋体" w:eastAsia="宋体" w:cs="宋体"/>
                <w:color w:val="000000"/>
                <w:sz w:val="22"/>
                <w:szCs w:val="22"/>
                <w:highlight w:val="none"/>
                <w:lang w:val="en-US" w:eastAsia="zh-CN"/>
              </w:rPr>
              <w:t>可行性</w:t>
            </w:r>
            <w:r>
              <w:rPr>
                <w:rFonts w:hint="eastAsia" w:ascii="宋体" w:hAnsi="宋体" w:cs="宋体"/>
                <w:color w:val="000000"/>
                <w:sz w:val="22"/>
                <w:szCs w:val="22"/>
                <w:highlight w:val="none"/>
                <w:lang w:val="en-US" w:eastAsia="zh-CN"/>
              </w:rPr>
              <w:t>一般</w:t>
            </w:r>
            <w:r>
              <w:rPr>
                <w:rFonts w:hint="eastAsia" w:ascii="宋体" w:hAnsi="宋体" w:eastAsia="宋体" w:cs="宋体"/>
                <w:color w:val="000000"/>
                <w:sz w:val="22"/>
                <w:szCs w:val="22"/>
                <w:highlight w:val="none"/>
                <w:lang w:val="en-US" w:eastAsia="zh-CN"/>
              </w:rPr>
              <w:t>的得</w:t>
            </w:r>
            <w:r>
              <w:rPr>
                <w:rFonts w:hint="eastAsia" w:ascii="宋体" w:hAnsi="宋体" w:cs="宋体"/>
                <w:color w:val="000000"/>
                <w:sz w:val="22"/>
                <w:szCs w:val="22"/>
                <w:highlight w:val="none"/>
                <w:lang w:val="en-US" w:eastAsia="zh-CN"/>
              </w:rPr>
              <w:t>5</w:t>
            </w:r>
            <w:r>
              <w:rPr>
                <w:rFonts w:hint="eastAsia" w:ascii="宋体" w:hAnsi="宋体" w:eastAsia="宋体" w:cs="宋体"/>
                <w:color w:val="000000"/>
                <w:sz w:val="22"/>
                <w:szCs w:val="22"/>
                <w:highlight w:val="none"/>
                <w:lang w:val="en-US" w:eastAsia="zh-CN"/>
              </w:rPr>
              <w:t>分；</w:t>
            </w:r>
          </w:p>
          <w:p w14:paraId="09B5067D">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④</w:t>
            </w:r>
            <w:r>
              <w:rPr>
                <w:rFonts w:hint="default" w:ascii="宋体" w:hAnsi="宋体" w:eastAsia="宋体" w:cs="宋体"/>
                <w:color w:val="000000"/>
                <w:sz w:val="22"/>
                <w:szCs w:val="22"/>
                <w:highlight w:val="none"/>
                <w:lang w:val="en-US" w:eastAsia="zh-CN"/>
              </w:rPr>
              <w:t>森林抚育</w:t>
            </w:r>
            <w:r>
              <w:rPr>
                <w:rFonts w:hint="eastAsia" w:ascii="宋体" w:hAnsi="宋体" w:eastAsia="宋体" w:cs="宋体"/>
                <w:color w:val="000000"/>
                <w:sz w:val="22"/>
                <w:szCs w:val="22"/>
                <w:highlight w:val="none"/>
                <w:lang w:val="en-US" w:eastAsia="zh-CN"/>
              </w:rPr>
              <w:t>整体设想、管理</w:t>
            </w:r>
            <w:r>
              <w:rPr>
                <w:rFonts w:hint="eastAsia" w:ascii="宋体" w:hAnsi="宋体" w:cs="宋体"/>
                <w:color w:val="000000"/>
                <w:sz w:val="22"/>
                <w:szCs w:val="22"/>
                <w:highlight w:val="none"/>
                <w:lang w:val="en-US" w:eastAsia="zh-CN"/>
              </w:rPr>
              <w:t>及相关</w:t>
            </w:r>
            <w:r>
              <w:rPr>
                <w:rFonts w:hint="eastAsia" w:ascii="宋体" w:hAnsi="宋体" w:eastAsia="宋体" w:cs="宋体"/>
                <w:color w:val="000000"/>
                <w:sz w:val="22"/>
                <w:szCs w:val="22"/>
                <w:highlight w:val="none"/>
                <w:lang w:val="en-US" w:eastAsia="zh-CN"/>
              </w:rPr>
              <w:t>保障措施</w:t>
            </w:r>
            <w:r>
              <w:rPr>
                <w:rFonts w:hint="eastAsia" w:ascii="宋体" w:hAnsi="宋体" w:cs="宋体"/>
                <w:color w:val="000000"/>
                <w:sz w:val="22"/>
                <w:szCs w:val="22"/>
                <w:highlight w:val="none"/>
                <w:lang w:val="en-US" w:eastAsia="zh-CN"/>
              </w:rPr>
              <w:t>内容</w:t>
            </w:r>
            <w:r>
              <w:rPr>
                <w:rFonts w:hint="eastAsia" w:ascii="宋体" w:hAnsi="宋体" w:eastAsia="宋体" w:cs="宋体"/>
                <w:color w:val="000000"/>
                <w:sz w:val="22"/>
                <w:szCs w:val="22"/>
                <w:highlight w:val="none"/>
                <w:lang w:val="en-US" w:eastAsia="zh-CN"/>
              </w:rPr>
              <w:t>不全面</w:t>
            </w:r>
            <w:r>
              <w:rPr>
                <w:rFonts w:hint="eastAsia" w:ascii="宋体" w:hAnsi="宋体" w:cs="宋体"/>
                <w:color w:val="000000"/>
                <w:sz w:val="22"/>
                <w:szCs w:val="22"/>
                <w:highlight w:val="none"/>
                <w:lang w:val="en-US" w:eastAsia="zh-CN"/>
              </w:rPr>
              <w:t>合理、</w:t>
            </w:r>
            <w:r>
              <w:rPr>
                <w:rFonts w:hint="eastAsia" w:ascii="宋体" w:hAnsi="宋体" w:eastAsia="宋体" w:cs="宋体"/>
                <w:color w:val="000000"/>
                <w:sz w:val="22"/>
                <w:szCs w:val="22"/>
                <w:highlight w:val="none"/>
                <w:lang w:val="en-US" w:eastAsia="zh-CN"/>
              </w:rPr>
              <w:t>不可行，</w:t>
            </w:r>
            <w:r>
              <w:rPr>
                <w:rFonts w:hint="eastAsia" w:ascii="宋体" w:hAnsi="宋体" w:cs="宋体"/>
                <w:color w:val="000000"/>
                <w:sz w:val="22"/>
                <w:szCs w:val="22"/>
                <w:highlight w:val="none"/>
                <w:lang w:val="en-US" w:eastAsia="zh-CN"/>
              </w:rPr>
              <w:t>且</w:t>
            </w:r>
            <w:r>
              <w:rPr>
                <w:rFonts w:hint="eastAsia" w:ascii="宋体" w:hAnsi="宋体" w:eastAsia="宋体" w:cs="宋体"/>
                <w:color w:val="000000"/>
                <w:sz w:val="22"/>
                <w:szCs w:val="22"/>
                <w:highlight w:val="none"/>
                <w:lang w:val="en-US" w:eastAsia="zh-CN"/>
              </w:rPr>
              <w:t>有明显缺失的得</w:t>
            </w:r>
            <w:r>
              <w:rPr>
                <w:rFonts w:hint="eastAsia" w:ascii="宋体" w:hAnsi="宋体" w:cs="宋体"/>
                <w:color w:val="000000"/>
                <w:sz w:val="22"/>
                <w:szCs w:val="22"/>
                <w:highlight w:val="none"/>
                <w:lang w:val="en-US" w:eastAsia="zh-CN"/>
              </w:rPr>
              <w:t>3</w:t>
            </w:r>
            <w:r>
              <w:rPr>
                <w:rFonts w:hint="eastAsia" w:ascii="宋体" w:hAnsi="宋体" w:eastAsia="宋体" w:cs="宋体"/>
                <w:color w:val="000000"/>
                <w:sz w:val="22"/>
                <w:szCs w:val="22"/>
                <w:highlight w:val="none"/>
                <w:lang w:val="en-US" w:eastAsia="zh-CN"/>
              </w:rPr>
              <w:t>分；</w:t>
            </w:r>
          </w:p>
          <w:p w14:paraId="71B79CEB">
            <w:pPr>
              <w:keepNext w:val="0"/>
              <w:keepLines w:val="0"/>
              <w:pageBreakBefore w:val="0"/>
              <w:widowControl/>
              <w:spacing w:line="240" w:lineRule="auto"/>
              <w:rPr>
                <w:rFonts w:ascii="宋体" w:hAnsi="宋体"/>
                <w:highlight w:val="none"/>
              </w:rPr>
            </w:pPr>
            <w:r>
              <w:rPr>
                <w:rFonts w:hint="eastAsia" w:ascii="宋体" w:hAnsi="宋体" w:eastAsia="宋体" w:cs="宋体"/>
                <w:color w:val="000000"/>
                <w:sz w:val="22"/>
                <w:szCs w:val="22"/>
                <w:highlight w:val="none"/>
                <w:lang w:val="en-US" w:eastAsia="zh-CN"/>
              </w:rPr>
              <w:t>⑤</w:t>
            </w:r>
            <w:r>
              <w:rPr>
                <w:rFonts w:hint="eastAsia" w:ascii="宋体" w:hAnsi="宋体" w:cs="宋体"/>
                <w:color w:val="000000"/>
                <w:sz w:val="22"/>
                <w:szCs w:val="22"/>
                <w:highlight w:val="none"/>
                <w:lang w:val="en-US" w:eastAsia="zh-CN"/>
              </w:rPr>
              <w:t>未</w:t>
            </w:r>
            <w:r>
              <w:rPr>
                <w:rFonts w:hint="eastAsia" w:ascii="宋体" w:hAnsi="宋体" w:eastAsia="宋体" w:cs="宋体"/>
                <w:color w:val="000000"/>
                <w:sz w:val="22"/>
                <w:szCs w:val="22"/>
                <w:highlight w:val="none"/>
                <w:lang w:val="en-US" w:eastAsia="zh-CN"/>
              </w:rPr>
              <w:t>提供不得分。</w:t>
            </w:r>
          </w:p>
        </w:tc>
      </w:tr>
      <w:tr w14:paraId="53D4A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5" w:hRule="atLeast"/>
          <w:tblHeader/>
          <w:jc w:val="center"/>
        </w:trPr>
        <w:tc>
          <w:tcPr>
            <w:tcW w:w="1217" w:type="dxa"/>
            <w:vMerge w:val="continue"/>
            <w:tcBorders>
              <w:left w:val="single" w:color="000000" w:sz="4" w:space="0"/>
              <w:right w:val="single" w:color="000000" w:sz="4" w:space="0"/>
            </w:tcBorders>
            <w:noWrap w:val="0"/>
            <w:vAlign w:val="center"/>
          </w:tcPr>
          <w:p w14:paraId="6568A5D5">
            <w:pPr>
              <w:spacing w:line="276" w:lineRule="auto"/>
              <w:jc w:val="center"/>
              <w:rPr>
                <w:rFonts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5B3AEB1B">
            <w:pPr>
              <w:spacing w:line="276" w:lineRule="auto"/>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看护巡查岗位设置</w:t>
            </w:r>
          </w:p>
          <w:p w14:paraId="15DF344F">
            <w:pPr>
              <w:pStyle w:val="66"/>
              <w:jc w:val="center"/>
              <w:rPr>
                <w:highlight w:val="none"/>
              </w:rPr>
            </w:pPr>
            <w:r>
              <w:rPr>
                <w:rFonts w:hint="eastAsia" w:ascii="宋体" w:hAnsi="宋体" w:eastAsia="宋体" w:cs="宋体"/>
                <w:color w:val="000000"/>
                <w:sz w:val="22"/>
                <w:szCs w:val="22"/>
                <w:highlight w:val="none"/>
                <w:lang w:val="en-US" w:eastAsia="zh-CN"/>
              </w:rPr>
              <w:t>（9分）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7BDEC13A">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对供应商提供的看护巡查岗位设置方案进行评审：</w:t>
            </w:r>
          </w:p>
          <w:p w14:paraId="7192790E">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①看护巡查岗位设置合理，有明确的岗位职责，工作流程完整、针对性强，各类规章制度健全规范的得9分；</w:t>
            </w:r>
          </w:p>
          <w:p w14:paraId="1F477FD4">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②看护巡查岗位设置合理，有明确的岗位职责，工作流程较完整、针对性较强，各类规章制度较健全规范的得7分；</w:t>
            </w:r>
          </w:p>
          <w:p w14:paraId="702F3FEA">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③看护巡查岗位设置较合理，有明确的岗位职责，工作流程不完整、针对性不强，各类规章制度不健全规范的得5分；</w:t>
            </w:r>
          </w:p>
          <w:p w14:paraId="3988237D">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④看护巡查岗位设置不健全，岗位职责模糊、工作流程混乱、各类规章制度杂乱无章的得3分；</w:t>
            </w:r>
          </w:p>
          <w:p w14:paraId="62398032">
            <w:pPr>
              <w:keepNext w:val="0"/>
              <w:keepLines w:val="0"/>
              <w:pageBreakBefore w:val="0"/>
              <w:widowControl/>
              <w:spacing w:line="240" w:lineRule="auto"/>
              <w:rPr>
                <w:rFonts w:ascii="宋体" w:hAnsi="宋体"/>
                <w:highlight w:val="none"/>
              </w:rPr>
            </w:pPr>
            <w:r>
              <w:rPr>
                <w:rFonts w:hint="eastAsia" w:ascii="宋体" w:hAnsi="宋体" w:eastAsia="宋体" w:cs="宋体"/>
                <w:color w:val="000000"/>
                <w:sz w:val="22"/>
                <w:szCs w:val="22"/>
                <w:highlight w:val="none"/>
                <w:lang w:val="en-US" w:eastAsia="zh-CN"/>
              </w:rPr>
              <w:t>⑤未提供不得分。</w:t>
            </w:r>
          </w:p>
        </w:tc>
      </w:tr>
      <w:tr w14:paraId="23775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5" w:hRule="atLeast"/>
          <w:tblHeader/>
          <w:jc w:val="center"/>
        </w:trPr>
        <w:tc>
          <w:tcPr>
            <w:tcW w:w="1217" w:type="dxa"/>
            <w:vMerge w:val="continue"/>
            <w:tcBorders>
              <w:left w:val="single" w:color="000000" w:sz="4" w:space="0"/>
              <w:right w:val="single" w:color="000000" w:sz="4" w:space="0"/>
            </w:tcBorders>
            <w:noWrap w:val="0"/>
            <w:vAlign w:val="center"/>
          </w:tcPr>
          <w:p w14:paraId="1997973B">
            <w:pPr>
              <w:spacing w:line="276" w:lineRule="auto"/>
              <w:jc w:val="center"/>
              <w:rPr>
                <w:rFonts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163DD501">
            <w:pPr>
              <w:spacing w:line="276" w:lineRule="auto"/>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内部管理规章制度方案</w:t>
            </w:r>
          </w:p>
          <w:p w14:paraId="18E9D9E3">
            <w:pPr>
              <w:pStyle w:val="66"/>
              <w:jc w:val="center"/>
              <w:rPr>
                <w:highlight w:val="none"/>
              </w:rPr>
            </w:pPr>
            <w:r>
              <w:rPr>
                <w:rFonts w:hint="eastAsia" w:ascii="宋体" w:hAnsi="宋体" w:eastAsia="宋体" w:cs="宋体"/>
                <w:color w:val="000000"/>
                <w:sz w:val="22"/>
                <w:szCs w:val="22"/>
                <w:highlight w:val="none"/>
                <w:lang w:val="en-US" w:eastAsia="zh-CN"/>
              </w:rPr>
              <w:t>（9分）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057F55D0">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对供应商提供的内部管理规章制度方案进行评审，内容包括但不限于人员的内部管理制度、员工日常管理方法、组织管理制度、人员激励机制、考核考评制度等内容：</w:t>
            </w:r>
          </w:p>
          <w:p w14:paraId="4DD58075">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①管理制度全面，管理架构清晰、管理目标明确、内部规章制度完善、满足甚至超越本项目需求的得9分；</w:t>
            </w:r>
          </w:p>
          <w:p w14:paraId="51BA113A">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②管理制度基本全面，管理架构基本清晰、管理目标基本明确、内部规章制度基本完善、基本能满足项目需求的得7分；</w:t>
            </w:r>
          </w:p>
          <w:p w14:paraId="407D2C79">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③管理制度内容不够全面，管理架构、管理目标、内部规章制度简单，能满足少部分需求的得5分；</w:t>
            </w:r>
          </w:p>
          <w:p w14:paraId="0550B809">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④管理制度内容不全面，有明显缺项，管理架构、管理目标、内部规章制度混乱的得3分；</w:t>
            </w:r>
          </w:p>
          <w:p w14:paraId="24A23F8B">
            <w:pPr>
              <w:keepNext w:val="0"/>
              <w:keepLines w:val="0"/>
              <w:pageBreakBefore w:val="0"/>
              <w:widowControl/>
              <w:spacing w:line="240" w:lineRule="auto"/>
              <w:rPr>
                <w:rFonts w:hint="eastAsia" w:ascii="宋体" w:hAnsi="宋体" w:eastAsia="宋体" w:cs="Times New Roman"/>
                <w:highlight w:val="none"/>
              </w:rPr>
            </w:pPr>
            <w:r>
              <w:rPr>
                <w:rFonts w:hint="eastAsia" w:ascii="宋体" w:hAnsi="宋体" w:eastAsia="宋体" w:cs="宋体"/>
                <w:color w:val="000000"/>
                <w:sz w:val="22"/>
                <w:szCs w:val="22"/>
                <w:highlight w:val="none"/>
                <w:lang w:val="en-US" w:eastAsia="zh-CN"/>
              </w:rPr>
              <w:t>⑤未提供不得分。</w:t>
            </w:r>
          </w:p>
        </w:tc>
      </w:tr>
      <w:tr w14:paraId="7746C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5" w:hRule="atLeast"/>
          <w:tblHeader/>
          <w:jc w:val="center"/>
        </w:trPr>
        <w:tc>
          <w:tcPr>
            <w:tcW w:w="1217" w:type="dxa"/>
            <w:vMerge w:val="continue"/>
            <w:tcBorders>
              <w:left w:val="single" w:color="000000" w:sz="4" w:space="0"/>
              <w:right w:val="single" w:color="000000" w:sz="4" w:space="0"/>
            </w:tcBorders>
            <w:noWrap w:val="0"/>
            <w:vAlign w:val="center"/>
          </w:tcPr>
          <w:p w14:paraId="0F3ED69D">
            <w:pPr>
              <w:spacing w:line="276" w:lineRule="auto"/>
              <w:jc w:val="center"/>
              <w:rPr>
                <w:rFonts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242E81B">
            <w:pPr>
              <w:pStyle w:val="66"/>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质量目标及保证质量的措施</w:t>
            </w:r>
          </w:p>
          <w:p w14:paraId="11ACEFB1">
            <w:pPr>
              <w:pStyle w:val="66"/>
              <w:jc w:val="center"/>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（11分）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2D0C0224">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对供应商提供的质量目标及保证质量的措施方案进行评审：</w:t>
            </w:r>
          </w:p>
          <w:p w14:paraId="142D1207">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①方案内容全面，各项措施科学可行，贴合实际需求具有较强的实践和可操作性的得</w:t>
            </w:r>
            <w:r>
              <w:rPr>
                <w:rFonts w:hint="eastAsia" w:ascii="宋体" w:hAnsi="宋体" w:cs="宋体"/>
                <w:color w:val="000000"/>
                <w:sz w:val="22"/>
                <w:szCs w:val="22"/>
                <w:highlight w:val="none"/>
                <w:lang w:val="en-US" w:eastAsia="zh-CN"/>
              </w:rPr>
              <w:t>11</w:t>
            </w:r>
            <w:r>
              <w:rPr>
                <w:rFonts w:hint="eastAsia" w:ascii="宋体" w:hAnsi="宋体" w:eastAsia="宋体" w:cs="宋体"/>
                <w:color w:val="000000"/>
                <w:sz w:val="22"/>
                <w:szCs w:val="22"/>
                <w:highlight w:val="none"/>
                <w:lang w:val="en-US" w:eastAsia="zh-CN"/>
              </w:rPr>
              <w:t>分；</w:t>
            </w:r>
          </w:p>
          <w:p w14:paraId="23309238">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②方案内容基本全面，各项措施基本可行，基本符合实际需求的得</w:t>
            </w:r>
            <w:r>
              <w:rPr>
                <w:rFonts w:hint="eastAsia" w:ascii="宋体" w:hAnsi="宋体" w:cs="宋体"/>
                <w:color w:val="000000"/>
                <w:sz w:val="22"/>
                <w:szCs w:val="22"/>
                <w:highlight w:val="none"/>
                <w:lang w:val="en-US" w:eastAsia="zh-CN"/>
              </w:rPr>
              <w:t>9</w:t>
            </w:r>
            <w:r>
              <w:rPr>
                <w:rFonts w:hint="eastAsia" w:ascii="宋体" w:hAnsi="宋体" w:eastAsia="宋体" w:cs="宋体"/>
                <w:color w:val="000000"/>
                <w:sz w:val="22"/>
                <w:szCs w:val="22"/>
                <w:highlight w:val="none"/>
                <w:lang w:val="en-US" w:eastAsia="zh-CN"/>
              </w:rPr>
              <w:t>分；</w:t>
            </w:r>
          </w:p>
          <w:p w14:paraId="678D9E4C">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③方案内容不够全面，措施不完全符合实际需求，可行性一般的得</w:t>
            </w:r>
            <w:r>
              <w:rPr>
                <w:rFonts w:hint="eastAsia" w:ascii="宋体" w:hAnsi="宋体" w:cs="宋体"/>
                <w:color w:val="000000"/>
                <w:sz w:val="22"/>
                <w:szCs w:val="22"/>
                <w:highlight w:val="none"/>
                <w:lang w:val="en-US" w:eastAsia="zh-CN"/>
              </w:rPr>
              <w:t>6</w:t>
            </w:r>
            <w:r>
              <w:rPr>
                <w:rFonts w:hint="eastAsia" w:ascii="宋体" w:hAnsi="宋体" w:eastAsia="宋体" w:cs="宋体"/>
                <w:color w:val="000000"/>
                <w:sz w:val="22"/>
                <w:szCs w:val="22"/>
                <w:highlight w:val="none"/>
                <w:lang w:val="en-US" w:eastAsia="zh-CN"/>
              </w:rPr>
              <w:t>分；</w:t>
            </w:r>
          </w:p>
          <w:p w14:paraId="2300E92B">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④方案内容明显缺失，措施不符合实际需求较混乱，可行性较差的得</w:t>
            </w:r>
            <w:r>
              <w:rPr>
                <w:rFonts w:hint="eastAsia" w:ascii="宋体" w:hAnsi="宋体" w:cs="宋体"/>
                <w:color w:val="000000"/>
                <w:sz w:val="22"/>
                <w:szCs w:val="22"/>
                <w:highlight w:val="none"/>
                <w:lang w:val="en-US" w:eastAsia="zh-CN"/>
              </w:rPr>
              <w:t>3</w:t>
            </w:r>
            <w:r>
              <w:rPr>
                <w:rFonts w:hint="eastAsia" w:ascii="宋体" w:hAnsi="宋体" w:eastAsia="宋体" w:cs="宋体"/>
                <w:color w:val="000000"/>
                <w:sz w:val="22"/>
                <w:szCs w:val="22"/>
                <w:highlight w:val="none"/>
                <w:lang w:val="en-US" w:eastAsia="zh-CN"/>
              </w:rPr>
              <w:t>分；</w:t>
            </w:r>
          </w:p>
          <w:p w14:paraId="3B643CC7">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⑤未提供不得分。</w:t>
            </w:r>
          </w:p>
        </w:tc>
      </w:tr>
      <w:tr w14:paraId="37D4D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75" w:hRule="atLeast"/>
          <w:tblHeader/>
          <w:jc w:val="center"/>
        </w:trPr>
        <w:tc>
          <w:tcPr>
            <w:tcW w:w="1217" w:type="dxa"/>
            <w:vMerge w:val="continue"/>
            <w:tcBorders>
              <w:left w:val="single" w:color="000000" w:sz="4" w:space="0"/>
              <w:right w:val="single" w:color="000000" w:sz="4" w:space="0"/>
            </w:tcBorders>
            <w:noWrap w:val="0"/>
            <w:vAlign w:val="center"/>
          </w:tcPr>
          <w:p w14:paraId="72F5482B">
            <w:pPr>
              <w:spacing w:line="276" w:lineRule="auto"/>
              <w:jc w:val="center"/>
              <w:rPr>
                <w:rFonts w:ascii="宋体" w:hAnsi="宋体" w:cs="宋体"/>
                <w:color w:val="000000"/>
                <w:highlight w:val="none"/>
              </w:rPr>
            </w:pP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4A4449D1">
            <w:pPr>
              <w:pStyle w:val="66"/>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实施过程中的安全保障措施</w:t>
            </w:r>
          </w:p>
          <w:p w14:paraId="65B57206">
            <w:pPr>
              <w:pStyle w:val="66"/>
              <w:jc w:val="center"/>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（9）</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447F3AF6">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评委根据供应商提供的安全保障保障方案进行评审，内容包括但不限于实施工程中的工作人员安全、作业过程中第三方安全的保证措施。</w:t>
            </w:r>
          </w:p>
          <w:p w14:paraId="1E321049">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①方案内容全面，各项措施科学可行，贴合实际需求具有较强的实践和可操作性的得</w:t>
            </w:r>
            <w:r>
              <w:rPr>
                <w:rFonts w:hint="eastAsia" w:ascii="宋体" w:hAnsi="宋体" w:cs="宋体"/>
                <w:color w:val="000000"/>
                <w:sz w:val="22"/>
                <w:szCs w:val="22"/>
                <w:highlight w:val="none"/>
                <w:lang w:val="en-US" w:eastAsia="zh-CN"/>
              </w:rPr>
              <w:t>9</w:t>
            </w:r>
            <w:r>
              <w:rPr>
                <w:rFonts w:hint="eastAsia" w:ascii="宋体" w:hAnsi="宋体" w:eastAsia="宋体" w:cs="宋体"/>
                <w:color w:val="000000"/>
                <w:sz w:val="22"/>
                <w:szCs w:val="22"/>
                <w:highlight w:val="none"/>
                <w:lang w:val="en-US" w:eastAsia="zh-CN"/>
              </w:rPr>
              <w:t>分；</w:t>
            </w:r>
          </w:p>
          <w:p w14:paraId="68D0D23B">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②方案内容基本全面，各项措施基本可行，基本符合实际需求的得</w:t>
            </w:r>
            <w:r>
              <w:rPr>
                <w:rFonts w:hint="eastAsia" w:ascii="宋体" w:hAnsi="宋体" w:cs="宋体"/>
                <w:color w:val="000000"/>
                <w:sz w:val="22"/>
                <w:szCs w:val="22"/>
                <w:highlight w:val="none"/>
                <w:lang w:val="en-US" w:eastAsia="zh-CN"/>
              </w:rPr>
              <w:t>7</w:t>
            </w:r>
            <w:r>
              <w:rPr>
                <w:rFonts w:hint="eastAsia" w:ascii="宋体" w:hAnsi="宋体" w:eastAsia="宋体" w:cs="宋体"/>
                <w:color w:val="000000"/>
                <w:sz w:val="22"/>
                <w:szCs w:val="22"/>
                <w:highlight w:val="none"/>
                <w:lang w:val="en-US" w:eastAsia="zh-CN"/>
              </w:rPr>
              <w:t>分；</w:t>
            </w:r>
          </w:p>
          <w:p w14:paraId="2BEBC16A">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③方案内容不够全面，措施不完全符合实际需求，可行性一般的得</w:t>
            </w:r>
            <w:r>
              <w:rPr>
                <w:rFonts w:hint="eastAsia" w:ascii="宋体" w:hAnsi="宋体" w:cs="宋体"/>
                <w:color w:val="000000"/>
                <w:sz w:val="22"/>
                <w:szCs w:val="22"/>
                <w:highlight w:val="none"/>
                <w:lang w:val="en-US" w:eastAsia="zh-CN"/>
              </w:rPr>
              <w:t>5</w:t>
            </w:r>
            <w:r>
              <w:rPr>
                <w:rFonts w:hint="eastAsia" w:ascii="宋体" w:hAnsi="宋体" w:eastAsia="宋体" w:cs="宋体"/>
                <w:color w:val="000000"/>
                <w:sz w:val="22"/>
                <w:szCs w:val="22"/>
                <w:highlight w:val="none"/>
                <w:lang w:val="en-US" w:eastAsia="zh-CN"/>
              </w:rPr>
              <w:t>分；</w:t>
            </w:r>
          </w:p>
          <w:p w14:paraId="12B909EB">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④方案内容明显缺失，措施不符合实际需求较混乱，可行性较差的得</w:t>
            </w:r>
            <w:r>
              <w:rPr>
                <w:rFonts w:hint="eastAsia" w:ascii="宋体" w:hAnsi="宋体" w:cs="宋体"/>
                <w:color w:val="000000"/>
                <w:sz w:val="22"/>
                <w:szCs w:val="22"/>
                <w:highlight w:val="none"/>
                <w:lang w:val="en-US" w:eastAsia="zh-CN"/>
              </w:rPr>
              <w:t>3</w:t>
            </w:r>
            <w:r>
              <w:rPr>
                <w:rFonts w:hint="eastAsia" w:ascii="宋体" w:hAnsi="宋体" w:eastAsia="宋体" w:cs="宋体"/>
                <w:color w:val="000000"/>
                <w:sz w:val="22"/>
                <w:szCs w:val="22"/>
                <w:highlight w:val="none"/>
                <w:lang w:val="en-US" w:eastAsia="zh-CN"/>
              </w:rPr>
              <w:t>分；</w:t>
            </w:r>
          </w:p>
          <w:p w14:paraId="3F4F6E20">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⑤未提供不得分。</w:t>
            </w:r>
          </w:p>
        </w:tc>
      </w:tr>
      <w:tr w14:paraId="08782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1217" w:type="dxa"/>
            <w:vMerge w:val="continue"/>
            <w:tcBorders>
              <w:left w:val="single" w:color="000000" w:sz="4" w:space="0"/>
              <w:right w:val="single" w:color="000000" w:sz="4" w:space="0"/>
            </w:tcBorders>
            <w:noWrap w:val="0"/>
            <w:vAlign w:val="center"/>
          </w:tcPr>
          <w:p w14:paraId="35A1CEF7">
            <w:pPr>
              <w:spacing w:line="276" w:lineRule="auto"/>
              <w:jc w:val="center"/>
              <w:rPr>
                <w:rFonts w:ascii="宋体" w:hAnsi="宋体" w:cs="宋体"/>
                <w:color w:val="000000"/>
                <w:highlight w:val="none"/>
              </w:rPr>
            </w:pPr>
          </w:p>
        </w:tc>
        <w:tc>
          <w:tcPr>
            <w:tcW w:w="1701" w:type="dxa"/>
            <w:tcBorders>
              <w:top w:val="single" w:color="000000" w:sz="4" w:space="0"/>
              <w:left w:val="single" w:color="000000" w:sz="4" w:space="0"/>
              <w:right w:val="single" w:color="000000" w:sz="4" w:space="0"/>
            </w:tcBorders>
            <w:noWrap w:val="0"/>
            <w:vAlign w:val="center"/>
          </w:tcPr>
          <w:p w14:paraId="20B05F0C">
            <w:pPr>
              <w:spacing w:line="276" w:lineRule="auto"/>
              <w:jc w:val="center"/>
              <w:rPr>
                <w:rFonts w:hint="default" w:ascii="宋体" w:hAnsi="宋体" w:eastAsia="宋体" w:cs="宋体"/>
                <w:color w:val="000000"/>
                <w:sz w:val="22"/>
                <w:szCs w:val="22"/>
                <w:highlight w:val="none"/>
                <w:lang w:val="en-US" w:eastAsia="zh-CN"/>
              </w:rPr>
            </w:pPr>
            <w:r>
              <w:rPr>
                <w:rFonts w:hint="default" w:ascii="宋体" w:hAnsi="宋体" w:eastAsia="宋体" w:cs="宋体"/>
                <w:color w:val="000000"/>
                <w:sz w:val="22"/>
                <w:szCs w:val="22"/>
                <w:highlight w:val="none"/>
                <w:lang w:val="en-US" w:eastAsia="zh-CN"/>
              </w:rPr>
              <w:t>应急保障方案</w:t>
            </w:r>
          </w:p>
          <w:p w14:paraId="7202D26C">
            <w:pPr>
              <w:pStyle w:val="66"/>
              <w:jc w:val="center"/>
              <w:rPr>
                <w:rFonts w:hint="eastAsia"/>
                <w:highlight w:val="none"/>
                <w:lang w:val="zh-CN" w:eastAsia="zh-CN"/>
              </w:rPr>
            </w:pPr>
            <w:r>
              <w:rPr>
                <w:rFonts w:hint="eastAsia" w:ascii="宋体" w:hAnsi="宋体" w:eastAsia="宋体" w:cs="宋体"/>
                <w:color w:val="000000"/>
                <w:sz w:val="22"/>
                <w:szCs w:val="22"/>
                <w:highlight w:val="none"/>
                <w:lang w:val="en-US" w:eastAsia="zh-CN"/>
              </w:rPr>
              <w:t>（9分）</w:t>
            </w:r>
          </w:p>
        </w:tc>
        <w:tc>
          <w:tcPr>
            <w:tcW w:w="6659" w:type="dxa"/>
            <w:tcBorders>
              <w:top w:val="single" w:color="000000" w:sz="4" w:space="0"/>
              <w:left w:val="single" w:color="000000" w:sz="4" w:space="0"/>
              <w:bottom w:val="single" w:color="000000" w:sz="4" w:space="0"/>
              <w:right w:val="single" w:color="000000" w:sz="4" w:space="0"/>
            </w:tcBorders>
            <w:noWrap w:val="0"/>
            <w:vAlign w:val="center"/>
          </w:tcPr>
          <w:p w14:paraId="0A2EFEFA">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评委根据供应商提供的应急保障方案进行评审，内容包括但不限于根据项目管理规律和可能发生的紧急事件，如工伤事故、群体性事件、紧急情况（重大活动、恶劣天气</w:t>
            </w:r>
            <w:r>
              <w:rPr>
                <w:rFonts w:hint="eastAsia" w:ascii="宋体" w:hAnsi="宋体" w:cs="宋体"/>
                <w:color w:val="000000"/>
                <w:sz w:val="22"/>
                <w:szCs w:val="22"/>
                <w:highlight w:val="none"/>
                <w:lang w:val="en-US" w:eastAsia="zh-CN"/>
              </w:rPr>
              <w:t>、自然灾害</w:t>
            </w:r>
            <w:r>
              <w:rPr>
                <w:rFonts w:hint="eastAsia" w:ascii="宋体" w:hAnsi="宋体" w:eastAsia="宋体" w:cs="宋体"/>
                <w:color w:val="000000"/>
                <w:sz w:val="22"/>
                <w:szCs w:val="22"/>
                <w:highlight w:val="none"/>
                <w:lang w:val="en-US" w:eastAsia="zh-CN"/>
              </w:rPr>
              <w:t>）处理应急，应急保障措施及应急预案响应时间等内容。</w:t>
            </w:r>
          </w:p>
          <w:p w14:paraId="64745787">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①应急保障方案内容全面，各项措施科学可行，贴合实际需求具有较强的实践和可操作性的得</w:t>
            </w:r>
            <w:r>
              <w:rPr>
                <w:rFonts w:hint="eastAsia" w:ascii="宋体" w:hAnsi="宋体" w:cs="宋体"/>
                <w:color w:val="000000"/>
                <w:sz w:val="22"/>
                <w:szCs w:val="22"/>
                <w:highlight w:val="none"/>
                <w:lang w:val="en-US" w:eastAsia="zh-CN"/>
              </w:rPr>
              <w:t>9</w:t>
            </w:r>
            <w:r>
              <w:rPr>
                <w:rFonts w:hint="eastAsia" w:ascii="宋体" w:hAnsi="宋体" w:eastAsia="宋体" w:cs="宋体"/>
                <w:color w:val="000000"/>
                <w:sz w:val="22"/>
                <w:szCs w:val="22"/>
                <w:highlight w:val="none"/>
                <w:lang w:val="en-US" w:eastAsia="zh-CN"/>
              </w:rPr>
              <w:t>分；</w:t>
            </w:r>
          </w:p>
          <w:p w14:paraId="29A8FB98">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②应急保障方案内容基本全面，各项措施基本可行，基本符合实际需求的得</w:t>
            </w:r>
            <w:r>
              <w:rPr>
                <w:rFonts w:hint="eastAsia" w:ascii="宋体" w:hAnsi="宋体" w:cs="宋体"/>
                <w:color w:val="000000"/>
                <w:sz w:val="22"/>
                <w:szCs w:val="22"/>
                <w:highlight w:val="none"/>
                <w:lang w:val="en-US" w:eastAsia="zh-CN"/>
              </w:rPr>
              <w:t>7</w:t>
            </w:r>
            <w:r>
              <w:rPr>
                <w:rFonts w:hint="eastAsia" w:ascii="宋体" w:hAnsi="宋体" w:eastAsia="宋体" w:cs="宋体"/>
                <w:color w:val="000000"/>
                <w:sz w:val="22"/>
                <w:szCs w:val="22"/>
                <w:highlight w:val="none"/>
                <w:lang w:val="en-US" w:eastAsia="zh-CN"/>
              </w:rPr>
              <w:t>分；</w:t>
            </w:r>
          </w:p>
          <w:p w14:paraId="5BA8406C">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③应急保障方案内容不够全面，措施不完全符合实际需求，可行性一般的得</w:t>
            </w:r>
            <w:r>
              <w:rPr>
                <w:rFonts w:hint="eastAsia" w:ascii="宋体" w:hAnsi="宋体" w:cs="宋体"/>
                <w:color w:val="000000"/>
                <w:sz w:val="22"/>
                <w:szCs w:val="22"/>
                <w:highlight w:val="none"/>
                <w:lang w:val="en-US" w:eastAsia="zh-CN"/>
              </w:rPr>
              <w:t>5</w:t>
            </w:r>
            <w:r>
              <w:rPr>
                <w:rFonts w:hint="eastAsia" w:ascii="宋体" w:hAnsi="宋体" w:eastAsia="宋体" w:cs="宋体"/>
                <w:color w:val="000000"/>
                <w:sz w:val="22"/>
                <w:szCs w:val="22"/>
                <w:highlight w:val="none"/>
                <w:lang w:val="en-US" w:eastAsia="zh-CN"/>
              </w:rPr>
              <w:t>分；</w:t>
            </w:r>
          </w:p>
          <w:p w14:paraId="6B48AB6F">
            <w:pPr>
              <w:keepNext w:val="0"/>
              <w:keepLines w:val="0"/>
              <w:pageBreakBefore w:val="0"/>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④应急保障方案内容明显缺失，措施不符合实际需求较混乱，可行性较差的得</w:t>
            </w:r>
            <w:r>
              <w:rPr>
                <w:rFonts w:hint="eastAsia" w:ascii="宋体" w:hAnsi="宋体" w:cs="宋体"/>
                <w:color w:val="000000"/>
                <w:sz w:val="22"/>
                <w:szCs w:val="22"/>
                <w:highlight w:val="none"/>
                <w:lang w:val="en-US" w:eastAsia="zh-CN"/>
              </w:rPr>
              <w:t>3</w:t>
            </w:r>
            <w:r>
              <w:rPr>
                <w:rFonts w:hint="eastAsia" w:ascii="宋体" w:hAnsi="宋体" w:eastAsia="宋体" w:cs="宋体"/>
                <w:color w:val="000000"/>
                <w:sz w:val="22"/>
                <w:szCs w:val="22"/>
                <w:highlight w:val="none"/>
                <w:lang w:val="en-US" w:eastAsia="zh-CN"/>
              </w:rPr>
              <w:t>分；</w:t>
            </w:r>
          </w:p>
          <w:p w14:paraId="273D488E">
            <w:pPr>
              <w:keepNext w:val="0"/>
              <w:keepLines w:val="0"/>
              <w:pageBreakBefore w:val="0"/>
              <w:widowControl/>
              <w:spacing w:line="240" w:lineRule="auto"/>
              <w:rPr>
                <w:rFonts w:hint="eastAsia" w:ascii="宋体" w:hAnsi="宋体" w:eastAsia="宋体" w:cs="Times New Roman"/>
                <w:kern w:val="2"/>
                <w:sz w:val="24"/>
                <w:szCs w:val="24"/>
                <w:highlight w:val="none"/>
                <w:lang w:val="en-US" w:eastAsia="zh-CN" w:bidi="ar-SA"/>
              </w:rPr>
            </w:pPr>
            <w:r>
              <w:rPr>
                <w:rFonts w:hint="eastAsia" w:ascii="宋体" w:hAnsi="宋体" w:eastAsia="宋体" w:cs="宋体"/>
                <w:color w:val="000000"/>
                <w:sz w:val="22"/>
                <w:szCs w:val="22"/>
                <w:highlight w:val="none"/>
                <w:lang w:val="en-US" w:eastAsia="zh-CN"/>
              </w:rPr>
              <w:t>⑤未提供不得分。</w:t>
            </w:r>
          </w:p>
        </w:tc>
      </w:tr>
      <w:tr w14:paraId="45E2D5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blHeader/>
          <w:jc w:val="center"/>
        </w:trPr>
        <w:tc>
          <w:tcPr>
            <w:tcW w:w="1217" w:type="dxa"/>
            <w:vMerge w:val="restart"/>
            <w:tcBorders>
              <w:top w:val="single" w:color="000000" w:sz="4" w:space="0"/>
              <w:left w:val="single" w:color="000000" w:sz="4" w:space="0"/>
              <w:right w:val="single" w:color="000000" w:sz="4" w:space="0"/>
            </w:tcBorders>
            <w:noWrap w:val="0"/>
            <w:vAlign w:val="center"/>
          </w:tcPr>
          <w:p w14:paraId="1EC51F2B">
            <w:pPr>
              <w:spacing w:line="276" w:lineRule="auto"/>
              <w:jc w:val="center"/>
              <w:rPr>
                <w:rFonts w:ascii="宋体" w:hAnsi="宋体" w:cs="宋体"/>
                <w:highlight w:val="none"/>
              </w:rPr>
            </w:pPr>
            <w:r>
              <w:rPr>
                <w:rFonts w:hint="eastAsia" w:ascii="宋体" w:hAnsi="宋体" w:cs="宋体"/>
                <w:highlight w:val="none"/>
              </w:rPr>
              <w:t>商务部分</w:t>
            </w:r>
          </w:p>
          <w:p w14:paraId="6ACC0149">
            <w:pPr>
              <w:spacing w:line="276" w:lineRule="auto"/>
              <w:jc w:val="center"/>
              <w:rPr>
                <w:rFonts w:ascii="宋体" w:hAnsi="宋体" w:cs="宋体"/>
                <w:highlight w:val="none"/>
              </w:rPr>
            </w:pPr>
            <w:r>
              <w:rPr>
                <w:rFonts w:hint="eastAsia" w:ascii="宋体" w:hAnsi="宋体" w:cs="宋体"/>
                <w:highlight w:val="none"/>
              </w:rPr>
              <w:t>（</w:t>
            </w:r>
            <w:r>
              <w:rPr>
                <w:rFonts w:hint="eastAsia" w:ascii="宋体" w:hAnsi="宋体" w:cs="宋体"/>
                <w:highlight w:val="none"/>
                <w:lang w:val="en-US" w:eastAsia="zh-CN"/>
              </w:rPr>
              <w:t>25</w:t>
            </w:r>
            <w:r>
              <w:rPr>
                <w:rFonts w:hint="eastAsia" w:ascii="宋体" w:hAnsi="宋体" w:cs="宋体"/>
                <w:highlight w:val="none"/>
              </w:rPr>
              <w:t>分）</w:t>
            </w:r>
          </w:p>
        </w:tc>
        <w:tc>
          <w:tcPr>
            <w:tcW w:w="1701" w:type="dxa"/>
            <w:tcBorders>
              <w:top w:val="single" w:color="000000" w:sz="4" w:space="0"/>
              <w:left w:val="single" w:color="000000" w:sz="4" w:space="0"/>
              <w:right w:val="single" w:color="000000" w:sz="4" w:space="0"/>
            </w:tcBorders>
            <w:noWrap w:val="0"/>
            <w:vAlign w:val="center"/>
          </w:tcPr>
          <w:p w14:paraId="6AE27758">
            <w:pPr>
              <w:spacing w:line="276" w:lineRule="auto"/>
              <w:jc w:val="center"/>
              <w:rPr>
                <w:rFonts w:hint="eastAsia" w:ascii="宋体" w:hAnsi="宋体" w:cs="宋体"/>
                <w:highlight w:val="none"/>
                <w:lang w:bidi="ar"/>
              </w:rPr>
            </w:pPr>
            <w:r>
              <w:rPr>
                <w:rFonts w:hint="eastAsia" w:ascii="宋体" w:hAnsi="宋体" w:cs="宋体"/>
                <w:color w:val="000000"/>
                <w:sz w:val="22"/>
                <w:szCs w:val="22"/>
                <w:highlight w:val="none"/>
                <w:lang w:val="en-US" w:eastAsia="zh-CN"/>
              </w:rPr>
              <w:t>类似业绩</w:t>
            </w:r>
          </w:p>
          <w:p w14:paraId="0A423FF6">
            <w:pPr>
              <w:spacing w:line="276" w:lineRule="auto"/>
              <w:jc w:val="center"/>
              <w:rPr>
                <w:rFonts w:hint="eastAsia" w:ascii="宋体" w:hAnsi="宋体" w:cs="仿宋"/>
                <w:highlight w:val="none"/>
              </w:rPr>
            </w:pPr>
            <w:r>
              <w:rPr>
                <w:rFonts w:hint="eastAsia" w:ascii="宋体" w:hAnsi="宋体" w:cs="宋体"/>
                <w:highlight w:val="none"/>
                <w:lang w:bidi="ar"/>
              </w:rPr>
              <w:t>（</w:t>
            </w:r>
            <w:r>
              <w:rPr>
                <w:rFonts w:hint="eastAsia" w:ascii="宋体" w:hAnsi="宋体" w:eastAsia="宋体" w:cs="宋体"/>
                <w:highlight w:val="none"/>
                <w:lang w:val="en-US" w:eastAsia="zh-CN" w:bidi="ar"/>
              </w:rPr>
              <w:t>10</w:t>
            </w:r>
            <w:r>
              <w:rPr>
                <w:rFonts w:hint="eastAsia" w:ascii="宋体" w:hAnsi="宋体" w:cs="宋体"/>
                <w:highlight w:val="none"/>
                <w:lang w:bidi="ar"/>
              </w:rPr>
              <w:t>分）</w:t>
            </w:r>
          </w:p>
        </w:tc>
        <w:tc>
          <w:tcPr>
            <w:tcW w:w="6659" w:type="dxa"/>
            <w:tcBorders>
              <w:top w:val="single" w:color="000000" w:sz="4" w:space="0"/>
              <w:left w:val="single" w:color="000000" w:sz="4" w:space="0"/>
              <w:right w:val="single" w:color="000000" w:sz="4" w:space="0"/>
            </w:tcBorders>
            <w:noWrap w:val="0"/>
            <w:vAlign w:val="center"/>
          </w:tcPr>
          <w:p w14:paraId="467B99D1">
            <w:pPr>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供应商提供自202</w:t>
            </w:r>
            <w:r>
              <w:rPr>
                <w:rFonts w:hint="eastAsia" w:ascii="宋体" w:hAnsi="宋体" w:cs="宋体"/>
                <w:color w:val="000000"/>
                <w:sz w:val="22"/>
                <w:szCs w:val="22"/>
                <w:highlight w:val="none"/>
                <w:lang w:val="en-US" w:eastAsia="zh-CN"/>
              </w:rPr>
              <w:t>1</w:t>
            </w:r>
            <w:r>
              <w:rPr>
                <w:rFonts w:hint="eastAsia" w:ascii="宋体" w:hAnsi="宋体" w:eastAsia="宋体" w:cs="宋体"/>
                <w:color w:val="000000"/>
                <w:sz w:val="22"/>
                <w:szCs w:val="22"/>
                <w:highlight w:val="none"/>
                <w:lang w:val="en-US" w:eastAsia="zh-CN"/>
              </w:rPr>
              <w:t>年</w:t>
            </w:r>
            <w:r>
              <w:rPr>
                <w:rFonts w:hint="eastAsia" w:ascii="宋体" w:hAnsi="宋体" w:cs="宋体"/>
                <w:color w:val="000000"/>
                <w:sz w:val="22"/>
                <w:szCs w:val="22"/>
                <w:highlight w:val="none"/>
                <w:lang w:val="en-US" w:eastAsia="zh-CN"/>
              </w:rPr>
              <w:t>7</w:t>
            </w:r>
            <w:r>
              <w:rPr>
                <w:rFonts w:hint="eastAsia" w:ascii="宋体" w:hAnsi="宋体" w:eastAsia="宋体" w:cs="宋体"/>
                <w:color w:val="000000"/>
                <w:sz w:val="22"/>
                <w:szCs w:val="22"/>
                <w:highlight w:val="none"/>
                <w:lang w:val="en-US" w:eastAsia="zh-CN"/>
              </w:rPr>
              <w:t>月1日以来</w:t>
            </w:r>
            <w:r>
              <w:rPr>
                <w:rFonts w:hint="eastAsia" w:ascii="宋体" w:hAnsi="宋体" w:cs="宋体"/>
                <w:color w:val="000000"/>
                <w:sz w:val="22"/>
                <w:szCs w:val="22"/>
                <w:highlight w:val="none"/>
                <w:lang w:val="en-US" w:eastAsia="zh-CN"/>
              </w:rPr>
              <w:t>承担过</w:t>
            </w:r>
            <w:r>
              <w:rPr>
                <w:rFonts w:hint="eastAsia" w:ascii="宋体" w:hAnsi="宋体" w:eastAsia="宋体" w:cs="宋体"/>
                <w:color w:val="000000"/>
                <w:sz w:val="22"/>
                <w:szCs w:val="22"/>
                <w:highlight w:val="none"/>
                <w:lang w:val="en-US" w:eastAsia="zh-CN"/>
              </w:rPr>
              <w:t>类似项目业绩得</w:t>
            </w:r>
            <w:r>
              <w:rPr>
                <w:rFonts w:hint="eastAsia" w:ascii="宋体" w:hAnsi="宋体" w:cs="宋体"/>
                <w:color w:val="000000"/>
                <w:sz w:val="22"/>
                <w:szCs w:val="22"/>
                <w:highlight w:val="none"/>
                <w:lang w:val="en-US" w:eastAsia="zh-CN"/>
              </w:rPr>
              <w:t>5</w:t>
            </w:r>
            <w:r>
              <w:rPr>
                <w:rFonts w:hint="eastAsia" w:ascii="宋体" w:hAnsi="宋体" w:eastAsia="宋体" w:cs="宋体"/>
                <w:color w:val="000000"/>
                <w:sz w:val="22"/>
                <w:szCs w:val="22"/>
                <w:highlight w:val="none"/>
                <w:lang w:val="en-US" w:eastAsia="zh-CN"/>
              </w:rPr>
              <w:t>分/个，满分10分。</w:t>
            </w:r>
          </w:p>
          <w:p w14:paraId="5EB2C223">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firstLine="440" w:firstLineChars="200"/>
              <w:jc w:val="left"/>
              <w:rPr>
                <w:rFonts w:ascii="宋体" w:hAnsi="宋体" w:cs="仿宋"/>
                <w:highlight w:val="none"/>
              </w:rPr>
            </w:pPr>
            <w:r>
              <w:rPr>
                <w:rFonts w:hint="eastAsia" w:ascii="宋体" w:hAnsi="宋体" w:eastAsia="宋体" w:cs="宋体"/>
                <w:color w:val="000000"/>
                <w:sz w:val="22"/>
                <w:szCs w:val="22"/>
                <w:highlight w:val="none"/>
                <w:lang w:val="en-US" w:eastAsia="zh-CN"/>
              </w:rPr>
              <w:t>（时间以合同签订时间为准，提供有效</w:t>
            </w:r>
            <w:r>
              <w:rPr>
                <w:rFonts w:hint="eastAsia" w:ascii="宋体" w:hAnsi="宋体" w:cs="宋体"/>
                <w:color w:val="000000"/>
                <w:sz w:val="22"/>
                <w:szCs w:val="22"/>
                <w:highlight w:val="none"/>
                <w:lang w:val="en-US" w:eastAsia="zh-CN"/>
              </w:rPr>
              <w:t>的</w:t>
            </w:r>
            <w:r>
              <w:rPr>
                <w:rFonts w:hint="eastAsia" w:ascii="宋体" w:hAnsi="宋体" w:eastAsia="宋体" w:cs="宋体"/>
                <w:color w:val="000000"/>
                <w:sz w:val="22"/>
                <w:szCs w:val="22"/>
                <w:highlight w:val="none"/>
                <w:lang w:val="en-US" w:eastAsia="zh-CN"/>
              </w:rPr>
              <w:t>合同</w:t>
            </w:r>
            <w:r>
              <w:rPr>
                <w:rFonts w:hint="eastAsia" w:ascii="宋体" w:hAnsi="宋体" w:cs="宋体"/>
                <w:color w:val="000000"/>
                <w:sz w:val="22"/>
                <w:szCs w:val="22"/>
                <w:highlight w:val="none"/>
                <w:lang w:val="en-US" w:eastAsia="zh-CN"/>
              </w:rPr>
              <w:t>扫描件</w:t>
            </w:r>
            <w:r>
              <w:rPr>
                <w:rFonts w:hint="eastAsia" w:ascii="宋体" w:hAnsi="宋体" w:eastAsia="宋体" w:cs="宋体"/>
                <w:color w:val="000000"/>
                <w:sz w:val="22"/>
                <w:szCs w:val="22"/>
                <w:highlight w:val="none"/>
                <w:lang w:val="en-US" w:eastAsia="zh-CN"/>
              </w:rPr>
              <w:t>，合同页须清晰可见相应内容</w:t>
            </w:r>
            <w:r>
              <w:rPr>
                <w:rFonts w:hint="eastAsia" w:ascii="宋体" w:hAnsi="宋体" w:cs="宋体"/>
                <w:color w:val="000000"/>
                <w:sz w:val="22"/>
                <w:szCs w:val="22"/>
                <w:highlight w:val="none"/>
                <w:lang w:val="en-US" w:eastAsia="zh-CN"/>
              </w:rPr>
              <w:t>，</w:t>
            </w:r>
            <w:r>
              <w:rPr>
                <w:rFonts w:hint="eastAsia" w:ascii="宋体" w:hAnsi="宋体" w:eastAsia="宋体" w:cs="宋体"/>
                <w:color w:val="000000"/>
                <w:sz w:val="22"/>
                <w:szCs w:val="22"/>
                <w:highlight w:val="none"/>
                <w:lang w:val="en-US" w:eastAsia="zh-CN"/>
              </w:rPr>
              <w:t>加盖单位电子公章）</w:t>
            </w:r>
          </w:p>
        </w:tc>
      </w:tr>
      <w:tr w14:paraId="675A3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55" w:hRule="atLeast"/>
          <w:tblHeader/>
          <w:jc w:val="center"/>
        </w:trPr>
        <w:tc>
          <w:tcPr>
            <w:tcW w:w="1217" w:type="dxa"/>
            <w:vMerge w:val="continue"/>
            <w:tcBorders>
              <w:top w:val="single" w:color="000000" w:sz="4" w:space="0"/>
              <w:left w:val="single" w:color="000000" w:sz="4" w:space="0"/>
              <w:right w:val="single" w:color="000000" w:sz="4" w:space="0"/>
            </w:tcBorders>
            <w:noWrap w:val="0"/>
            <w:vAlign w:val="center"/>
          </w:tcPr>
          <w:p w14:paraId="2ED7FF4F">
            <w:pPr>
              <w:spacing w:line="276" w:lineRule="auto"/>
              <w:jc w:val="center"/>
              <w:rPr>
                <w:rFonts w:hint="eastAsia" w:ascii="宋体" w:hAnsi="宋体" w:cs="宋体"/>
                <w:highlight w:val="none"/>
              </w:rPr>
            </w:pPr>
          </w:p>
        </w:tc>
        <w:tc>
          <w:tcPr>
            <w:tcW w:w="1701" w:type="dxa"/>
            <w:tcBorders>
              <w:top w:val="single" w:color="000000" w:sz="4" w:space="0"/>
              <w:left w:val="single" w:color="000000" w:sz="4" w:space="0"/>
              <w:right w:val="single" w:color="000000" w:sz="4" w:space="0"/>
            </w:tcBorders>
            <w:noWrap w:val="0"/>
            <w:vAlign w:val="center"/>
          </w:tcPr>
          <w:p w14:paraId="45420A62">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jc w:val="left"/>
              <w:rPr>
                <w:rFonts w:hint="eastAsia" w:ascii="宋体" w:hAnsi="宋体" w:cs="仿宋"/>
                <w:highlight w:val="none"/>
              </w:rPr>
            </w:pPr>
            <w:r>
              <w:rPr>
                <w:rFonts w:hint="eastAsia" w:ascii="宋体" w:hAnsi="宋体" w:eastAsia="宋体" w:cs="宋体"/>
                <w:color w:val="000000"/>
                <w:sz w:val="22"/>
                <w:szCs w:val="22"/>
                <w:highlight w:val="none"/>
                <w:lang w:val="en-US" w:eastAsia="zh-CN"/>
              </w:rPr>
              <w:t>第三方责任险</w:t>
            </w:r>
          </w:p>
          <w:p w14:paraId="07B9AAAA">
            <w:pPr>
              <w:widowControl/>
              <w:tabs>
                <w:tab w:val="left" w:pos="916"/>
                <w:tab w:val="left" w:pos="1832"/>
                <w:tab w:val="left" w:pos="2748"/>
                <w:tab w:val="left" w:pos="3664"/>
                <w:tab w:val="left" w:pos="4580"/>
                <w:tab w:val="left" w:pos="5496"/>
                <w:tab w:val="left" w:pos="6412"/>
                <w:tab w:val="left" w:pos="7328"/>
                <w:tab w:val="left" w:pos="7380"/>
                <w:tab w:val="left" w:pos="8640"/>
                <w:tab w:val="left" w:pos="9160"/>
                <w:tab w:val="left" w:pos="9418"/>
                <w:tab w:val="left" w:pos="10992"/>
                <w:tab w:val="left" w:pos="11908"/>
                <w:tab w:val="left" w:pos="12824"/>
                <w:tab w:val="left" w:pos="13740"/>
                <w:tab w:val="left" w:pos="14656"/>
              </w:tabs>
              <w:spacing w:line="276" w:lineRule="auto"/>
              <w:ind w:right="-4" w:rightChars="-2" w:firstLine="330" w:firstLineChars="150"/>
              <w:jc w:val="left"/>
              <w:rPr>
                <w:rFonts w:ascii="宋体" w:hAnsi="宋体" w:cs="仿宋"/>
                <w:highlight w:val="none"/>
              </w:rPr>
            </w:pPr>
            <w:r>
              <w:rPr>
                <w:rFonts w:hint="eastAsia" w:ascii="宋体" w:hAnsi="宋体" w:cs="仿宋"/>
                <w:highlight w:val="none"/>
              </w:rPr>
              <w:t>（</w:t>
            </w:r>
            <w:r>
              <w:rPr>
                <w:rFonts w:hint="eastAsia" w:ascii="宋体" w:hAnsi="宋体" w:cs="仿宋"/>
                <w:highlight w:val="none"/>
                <w:lang w:val="en-US" w:eastAsia="zh-CN"/>
              </w:rPr>
              <w:t>15</w:t>
            </w:r>
            <w:r>
              <w:rPr>
                <w:rFonts w:hint="eastAsia" w:ascii="宋体" w:hAnsi="宋体" w:cs="仿宋"/>
                <w:highlight w:val="none"/>
              </w:rPr>
              <w:t>分）</w:t>
            </w:r>
          </w:p>
        </w:tc>
        <w:tc>
          <w:tcPr>
            <w:tcW w:w="6659" w:type="dxa"/>
            <w:tcBorders>
              <w:top w:val="single" w:color="000000" w:sz="4" w:space="0"/>
              <w:left w:val="single" w:color="000000" w:sz="4" w:space="0"/>
              <w:right w:val="single" w:color="000000" w:sz="4" w:space="0"/>
            </w:tcBorders>
            <w:noWrap w:val="0"/>
            <w:vAlign w:val="center"/>
          </w:tcPr>
          <w:p w14:paraId="6D0A01E7">
            <w:pPr>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1、供应商承诺成交后在服务期间必须自觉遵守国家相关法律法规和采购人的各项规章制度，确保服务期内的各项服务内容全面到位；</w:t>
            </w:r>
          </w:p>
          <w:p w14:paraId="4FBC17C4">
            <w:pPr>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2</w:t>
            </w:r>
            <w:r>
              <w:rPr>
                <w:rFonts w:hint="eastAsia" w:ascii="宋体" w:hAnsi="宋体" w:eastAsia="宋体" w:cs="宋体"/>
                <w:color w:val="000000"/>
                <w:sz w:val="22"/>
                <w:szCs w:val="22"/>
                <w:highlight w:val="none"/>
                <w:lang w:val="en-US" w:eastAsia="zh-CN"/>
              </w:rPr>
              <w:t>、供应商承诺拟投入本项目所有服务人员无任何犯罪前科及不良</w:t>
            </w:r>
            <w:r>
              <w:rPr>
                <w:rFonts w:hint="eastAsia" w:ascii="宋体" w:hAnsi="宋体" w:cs="宋体"/>
                <w:color w:val="000000"/>
                <w:sz w:val="22"/>
                <w:szCs w:val="22"/>
                <w:highlight w:val="none"/>
                <w:lang w:val="en-US" w:eastAsia="zh-CN"/>
              </w:rPr>
              <w:t>行为</w:t>
            </w:r>
            <w:r>
              <w:rPr>
                <w:rFonts w:hint="eastAsia" w:ascii="宋体" w:hAnsi="宋体" w:eastAsia="宋体" w:cs="宋体"/>
                <w:color w:val="000000"/>
                <w:sz w:val="22"/>
                <w:szCs w:val="22"/>
                <w:highlight w:val="none"/>
                <w:lang w:val="en-US" w:eastAsia="zh-CN"/>
              </w:rPr>
              <w:t>记录。</w:t>
            </w:r>
          </w:p>
          <w:p w14:paraId="04A74377">
            <w:pPr>
              <w:widowControl/>
              <w:spacing w:line="240" w:lineRule="auto"/>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3</w:t>
            </w:r>
            <w:r>
              <w:rPr>
                <w:rFonts w:hint="eastAsia" w:ascii="宋体" w:hAnsi="宋体" w:eastAsia="宋体" w:cs="宋体"/>
                <w:color w:val="000000"/>
                <w:sz w:val="22"/>
                <w:szCs w:val="22"/>
                <w:highlight w:val="none"/>
                <w:lang w:val="en-US" w:eastAsia="zh-CN"/>
              </w:rPr>
              <w:t>、供应商承诺为投入本项目的所有服务人员购买第三方责任险（意外伤害险等）。</w:t>
            </w:r>
          </w:p>
          <w:p w14:paraId="30AAC79D">
            <w:pPr>
              <w:spacing w:line="276" w:lineRule="auto"/>
              <w:ind w:firstLine="440" w:firstLineChars="200"/>
              <w:rPr>
                <w:rFonts w:ascii="宋体" w:hAnsi="宋体"/>
                <w:highlight w:val="none"/>
              </w:rPr>
            </w:pPr>
            <w:r>
              <w:rPr>
                <w:rFonts w:hint="eastAsia" w:ascii="宋体" w:hAnsi="宋体" w:eastAsia="宋体" w:cs="宋体"/>
                <w:color w:val="000000"/>
                <w:sz w:val="22"/>
                <w:szCs w:val="22"/>
                <w:highlight w:val="none"/>
                <w:lang w:val="en-US" w:eastAsia="zh-CN"/>
              </w:rPr>
              <w:t>（承诺书格式自拟，加盖单位电子公章，以上承诺书每缺一项或每一项内容不完整扣</w:t>
            </w:r>
            <w:r>
              <w:rPr>
                <w:rFonts w:hint="eastAsia" w:ascii="宋体" w:hAnsi="宋体" w:cs="宋体"/>
                <w:color w:val="000000"/>
                <w:sz w:val="22"/>
                <w:szCs w:val="22"/>
                <w:highlight w:val="none"/>
                <w:lang w:val="en-US" w:eastAsia="zh-CN"/>
              </w:rPr>
              <w:t>5</w:t>
            </w:r>
            <w:r>
              <w:rPr>
                <w:rFonts w:hint="eastAsia" w:ascii="宋体" w:hAnsi="宋体" w:eastAsia="宋体" w:cs="宋体"/>
                <w:color w:val="000000"/>
                <w:sz w:val="22"/>
                <w:szCs w:val="22"/>
                <w:highlight w:val="none"/>
                <w:lang w:val="en-US" w:eastAsia="zh-CN"/>
              </w:rPr>
              <w:t>分）</w:t>
            </w:r>
          </w:p>
        </w:tc>
      </w:tr>
      <w:tr w14:paraId="479EC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blHeader/>
          <w:jc w:val="center"/>
        </w:trPr>
        <w:tc>
          <w:tcPr>
            <w:tcW w:w="2918" w:type="dxa"/>
            <w:gridSpan w:val="2"/>
            <w:noWrap w:val="0"/>
            <w:vAlign w:val="center"/>
          </w:tcPr>
          <w:p w14:paraId="7E477DF8">
            <w:pPr>
              <w:spacing w:line="276" w:lineRule="auto"/>
              <w:ind w:firstLine="440" w:firstLineChars="200"/>
              <w:jc w:val="center"/>
              <w:rPr>
                <w:rFonts w:ascii="宋体" w:hAnsi="宋体" w:cs="宋体"/>
                <w:color w:val="000000"/>
                <w:highlight w:val="none"/>
              </w:rPr>
            </w:pPr>
            <w:r>
              <w:rPr>
                <w:rFonts w:hint="eastAsia" w:ascii="宋体" w:hAnsi="宋体" w:cs="宋体"/>
                <w:color w:val="000000"/>
                <w:highlight w:val="none"/>
              </w:rPr>
              <w:t>总分</w:t>
            </w:r>
          </w:p>
        </w:tc>
        <w:tc>
          <w:tcPr>
            <w:tcW w:w="6659" w:type="dxa"/>
            <w:noWrap w:val="0"/>
            <w:vAlign w:val="center"/>
          </w:tcPr>
          <w:p w14:paraId="60FCD479">
            <w:pPr>
              <w:spacing w:line="276" w:lineRule="auto"/>
              <w:ind w:firstLine="440" w:firstLineChars="200"/>
              <w:jc w:val="center"/>
              <w:rPr>
                <w:rFonts w:ascii="宋体" w:hAnsi="宋体" w:cs="宋体"/>
                <w:color w:val="000000"/>
                <w:highlight w:val="none"/>
              </w:rPr>
            </w:pPr>
            <w:r>
              <w:rPr>
                <w:rFonts w:hint="eastAsia" w:ascii="宋体" w:hAnsi="宋体" w:cs="宋体"/>
                <w:color w:val="000000"/>
                <w:highlight w:val="none"/>
              </w:rPr>
              <w:t>100</w:t>
            </w:r>
          </w:p>
        </w:tc>
      </w:tr>
    </w:tbl>
    <w:p w14:paraId="66E87CF1">
      <w:pPr>
        <w:rPr>
          <w:rFonts w:hint="eastAsia" w:ascii="宋体" w:hAnsi="宋体" w:eastAsia="宋体" w:cs="宋体"/>
          <w:b/>
          <w:color w:val="000000" w:themeColor="text1"/>
          <w:sz w:val="28"/>
          <w:szCs w:val="28"/>
          <w:highlight w:val="none"/>
          <w:lang w:val="zh-CN"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br w:type="page"/>
      </w:r>
    </w:p>
    <w:p w14:paraId="54111891">
      <w:pPr>
        <w:spacing w:line="360" w:lineRule="auto"/>
        <w:jc w:val="center"/>
        <w:outlineLvl w:val="0"/>
        <w:rPr>
          <w:rFonts w:ascii="黑体" w:hAnsi="黑体" w:eastAsia="黑体" w:cs="黑体"/>
          <w:b/>
          <w:color w:val="000000" w:themeColor="text1"/>
          <w:sz w:val="32"/>
          <w:szCs w:val="32"/>
          <w:highlight w:val="none"/>
          <w:lang w:val="zh-CN"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t>第四章 采购</w:t>
      </w:r>
      <w:r>
        <w:rPr>
          <w:rFonts w:hint="eastAsia" w:ascii="宋体" w:hAnsi="宋体" w:eastAsia="宋体" w:cs="宋体"/>
          <w:b/>
          <w:color w:val="000000" w:themeColor="text1"/>
          <w:sz w:val="28"/>
          <w:szCs w:val="28"/>
          <w:highlight w:val="none"/>
          <w:lang w:val="en-US" w:eastAsia="zh-CN"/>
          <w14:textFill>
            <w14:solidFill>
              <w14:schemeClr w14:val="tx1"/>
            </w14:solidFill>
          </w14:textFill>
        </w:rPr>
        <w:t>项目</w:t>
      </w:r>
      <w:r>
        <w:rPr>
          <w:rFonts w:hint="eastAsia" w:ascii="宋体" w:hAnsi="宋体" w:eastAsia="宋体" w:cs="宋体"/>
          <w:b/>
          <w:color w:val="000000" w:themeColor="text1"/>
          <w:sz w:val="28"/>
          <w:szCs w:val="28"/>
          <w:highlight w:val="none"/>
          <w:lang w:val="zh-CN" w:eastAsia="zh-CN"/>
          <w14:textFill>
            <w14:solidFill>
              <w14:schemeClr w14:val="tx1"/>
            </w14:solidFill>
          </w14:textFill>
        </w:rPr>
        <w:t>需求</w:t>
      </w:r>
      <w:bookmarkEnd w:id="134"/>
    </w:p>
    <w:p w14:paraId="25BD47DB">
      <w:pPr>
        <w:pStyle w:val="488"/>
        <w:keepNext w:val="0"/>
        <w:keepLines w:val="0"/>
        <w:pageBreakBefore w:val="0"/>
        <w:spacing w:after="0" w:line="360" w:lineRule="auto"/>
        <w:ind w:firstLine="482"/>
        <w:jc w:val="left"/>
        <w:rPr>
          <w:rFonts w:hint="eastAsia" w:ascii="宋体" w:hAnsi="宋体" w:eastAsia="宋体" w:cs="宋体"/>
          <w:b/>
          <w:sz w:val="24"/>
          <w:szCs w:val="24"/>
          <w:highlight w:val="none"/>
          <w:lang w:eastAsia="zh-CN"/>
        </w:rPr>
      </w:pPr>
      <w:bookmarkStart w:id="135" w:name="第五章__合同草案条款及格式"/>
      <w:bookmarkEnd w:id="135"/>
      <w:bookmarkStart w:id="136" w:name="_Toc183610249"/>
      <w:r>
        <w:rPr>
          <w:rFonts w:hint="eastAsia" w:ascii="宋体" w:hAnsi="宋体" w:eastAsia="宋体" w:cs="宋体"/>
          <w:b/>
          <w:sz w:val="24"/>
          <w:szCs w:val="24"/>
          <w:highlight w:val="none"/>
          <w:lang w:val="en-US" w:eastAsia="zh-CN"/>
        </w:rPr>
        <w:t>一、</w:t>
      </w:r>
      <w:r>
        <w:rPr>
          <w:rFonts w:hint="eastAsia" w:ascii="宋体" w:hAnsi="宋体" w:eastAsia="宋体" w:cs="宋体"/>
          <w:b/>
          <w:sz w:val="24"/>
          <w:szCs w:val="24"/>
          <w:highlight w:val="none"/>
        </w:rPr>
        <w:t>项目概况</w:t>
      </w:r>
      <w:r>
        <w:rPr>
          <w:rFonts w:hint="eastAsia" w:ascii="宋体" w:hAnsi="宋体" w:eastAsia="宋体" w:cs="宋体"/>
          <w:b/>
          <w:sz w:val="24"/>
          <w:szCs w:val="24"/>
          <w:highlight w:val="none"/>
          <w:lang w:eastAsia="zh-CN"/>
        </w:rPr>
        <w:t>：</w:t>
      </w:r>
    </w:p>
    <w:p w14:paraId="493B7E40">
      <w:pPr>
        <w:keepNext w:val="0"/>
        <w:keepLines w:val="0"/>
        <w:pageBreakBefore w:val="0"/>
        <w:spacing w:line="360" w:lineRule="auto"/>
        <w:ind w:firstLine="482"/>
        <w:jc w:val="left"/>
        <w:rPr>
          <w:rFonts w:hint="eastAsia" w:ascii="宋体" w:hAnsi="宋体" w:eastAsia="宋体" w:cs="宋体"/>
          <w:color w:val="000000"/>
          <w:sz w:val="24"/>
          <w:szCs w:val="24"/>
          <w:highlight w:val="none"/>
          <w:lang w:val="en-US" w:eastAsia="zh-CN" w:bidi="ar"/>
        </w:rPr>
      </w:pPr>
      <w:r>
        <w:rPr>
          <w:rFonts w:hint="eastAsia" w:ascii="宋体" w:hAnsi="宋体" w:eastAsia="宋体" w:cs="宋体"/>
          <w:b/>
          <w:color w:val="000000"/>
          <w:sz w:val="24"/>
          <w:szCs w:val="24"/>
          <w:highlight w:val="none"/>
          <w:lang w:val="zh-CN"/>
        </w:rPr>
        <w:t>项目名称：</w:t>
      </w:r>
      <w:r>
        <w:rPr>
          <w:rFonts w:hint="eastAsia" w:ascii="宋体" w:hAnsi="宋体" w:cs="宋体"/>
          <w:color w:val="000000"/>
          <w:sz w:val="24"/>
          <w:szCs w:val="24"/>
          <w:highlight w:val="none"/>
          <w:shd w:val="clear" w:color="auto" w:fill="FFFFFF"/>
          <w:lang w:val="zh-CN" w:eastAsia="zh-CN"/>
        </w:rPr>
        <w:t>新济洲2025年度公益林生态效益补偿项目</w:t>
      </w:r>
    </w:p>
    <w:p w14:paraId="56457C76">
      <w:pPr>
        <w:keepNext w:val="0"/>
        <w:keepLines w:val="0"/>
        <w:pageBreakBefore w:val="0"/>
        <w:spacing w:line="360" w:lineRule="auto"/>
        <w:ind w:firstLine="482"/>
        <w:jc w:val="left"/>
        <w:rPr>
          <w:rFonts w:hint="eastAsia" w:ascii="宋体" w:hAnsi="宋体" w:cs="宋体"/>
          <w:color w:val="000000"/>
          <w:sz w:val="24"/>
          <w:szCs w:val="24"/>
          <w:highlight w:val="none"/>
          <w:shd w:val="clear" w:color="auto" w:fill="FFFFFF"/>
          <w:lang w:val="zh-CN" w:eastAsia="zh-CN"/>
        </w:rPr>
      </w:pPr>
      <w:r>
        <w:rPr>
          <w:rFonts w:hint="eastAsia" w:ascii="宋体" w:hAnsi="宋体" w:eastAsia="宋体" w:cs="宋体"/>
          <w:b/>
          <w:color w:val="000000"/>
          <w:sz w:val="24"/>
          <w:szCs w:val="24"/>
          <w:highlight w:val="none"/>
          <w:lang w:val="zh-CN"/>
        </w:rPr>
        <w:t>项目</w:t>
      </w:r>
      <w:r>
        <w:rPr>
          <w:rFonts w:hint="eastAsia" w:ascii="宋体" w:hAnsi="宋体" w:eastAsia="宋体" w:cs="宋体"/>
          <w:b/>
          <w:color w:val="000000"/>
          <w:sz w:val="24"/>
          <w:szCs w:val="24"/>
          <w:highlight w:val="none"/>
          <w:lang w:val="en-US" w:eastAsia="zh-CN"/>
        </w:rPr>
        <w:t>地点</w:t>
      </w:r>
      <w:r>
        <w:rPr>
          <w:rFonts w:hint="eastAsia" w:ascii="宋体" w:hAnsi="宋体" w:eastAsia="宋体" w:cs="宋体"/>
          <w:b/>
          <w:color w:val="000000"/>
          <w:sz w:val="24"/>
          <w:szCs w:val="24"/>
          <w:highlight w:val="none"/>
          <w:lang w:val="zh-CN"/>
        </w:rPr>
        <w:t>：</w:t>
      </w:r>
      <w:r>
        <w:rPr>
          <w:rFonts w:hint="eastAsia" w:ascii="宋体" w:hAnsi="宋体" w:cs="宋体"/>
          <w:color w:val="000000"/>
          <w:sz w:val="24"/>
          <w:szCs w:val="24"/>
          <w:highlight w:val="none"/>
          <w:shd w:val="clear" w:color="auto" w:fill="FFFFFF"/>
          <w:lang w:val="zh-CN" w:eastAsia="zh-CN"/>
        </w:rPr>
        <w:t>南京长江新济洲国家湿地公园位于南京市江宁区，江苏省长江段最上游，包括长江低水位时的新济洲、新生洲、再生洲、子母洲和子汇洲五个洲滩，以及公园东侧江边陆域码头区。湿地公园五个洲滩位于长江江心；东侧江边陆域码头区东至江堤路西侧，西至登岛码头西侧，南至新民河北岸，北至通往水政的道路南侧。</w:t>
      </w:r>
    </w:p>
    <w:p w14:paraId="18CA4C86">
      <w:pPr>
        <w:keepNext w:val="0"/>
        <w:keepLines w:val="0"/>
        <w:pageBreakBefore w:val="0"/>
        <w:spacing w:line="360" w:lineRule="auto"/>
        <w:ind w:firstLine="482"/>
        <w:jc w:val="left"/>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预算金额：</w:t>
      </w:r>
      <w:r>
        <w:rPr>
          <w:rFonts w:hint="eastAsia" w:ascii="宋体" w:hAnsi="宋体" w:eastAsia="宋体" w:cs="宋体"/>
          <w:bCs/>
          <w:color w:val="000000"/>
          <w:sz w:val="24"/>
          <w:szCs w:val="24"/>
          <w:highlight w:val="none"/>
          <w:lang w:val="en-US" w:eastAsia="zh-CN"/>
        </w:rPr>
        <w:t>150.000000万元</w:t>
      </w:r>
    </w:p>
    <w:p w14:paraId="502E3D28">
      <w:pPr>
        <w:keepNext w:val="0"/>
        <w:keepLines w:val="0"/>
        <w:pageBreakBefore w:val="0"/>
        <w:spacing w:line="360" w:lineRule="auto"/>
        <w:ind w:firstLine="482"/>
        <w:jc w:val="left"/>
        <w:rPr>
          <w:rFonts w:hint="default" w:ascii="宋体" w:hAnsi="宋体" w:eastAsia="宋体" w:cs="宋体"/>
          <w:bCs/>
          <w:color w:val="000000"/>
          <w:sz w:val="24"/>
          <w:szCs w:val="24"/>
          <w:highlight w:val="none"/>
          <w:lang w:val="en-US" w:eastAsia="zh-CN"/>
        </w:rPr>
      </w:pPr>
      <w:r>
        <w:rPr>
          <w:rFonts w:hint="eastAsia" w:ascii="宋体" w:hAnsi="宋体" w:cs="宋体"/>
          <w:b/>
          <w:color w:val="000000"/>
          <w:sz w:val="24"/>
          <w:szCs w:val="24"/>
          <w:highlight w:val="none"/>
          <w:lang w:val="en-US" w:eastAsia="zh-CN"/>
        </w:rPr>
        <w:t>服务期限</w:t>
      </w:r>
      <w:r>
        <w:rPr>
          <w:rFonts w:hint="eastAsia" w:ascii="宋体" w:hAnsi="宋体" w:eastAsia="宋体" w:cs="宋体"/>
          <w:b/>
          <w:color w:val="000000"/>
          <w:sz w:val="24"/>
          <w:szCs w:val="24"/>
          <w:highlight w:val="none"/>
          <w:lang w:val="zh-CN"/>
        </w:rPr>
        <w:t>：</w:t>
      </w:r>
      <w:r>
        <w:rPr>
          <w:rFonts w:hint="eastAsia" w:ascii="宋体" w:hAnsi="宋体" w:eastAsia="宋体" w:cs="宋体"/>
          <w:bCs/>
          <w:color w:val="000000"/>
          <w:sz w:val="24"/>
          <w:szCs w:val="24"/>
          <w:highlight w:val="none"/>
          <w:lang w:val="en-US" w:eastAsia="zh-CN"/>
        </w:rPr>
        <w:t>1年</w:t>
      </w:r>
    </w:p>
    <w:p w14:paraId="6DB32406">
      <w:pPr>
        <w:pStyle w:val="488"/>
        <w:keepNext w:val="0"/>
        <w:keepLines w:val="0"/>
        <w:pageBreakBefore w:val="0"/>
        <w:spacing w:after="0" w:line="360" w:lineRule="auto"/>
        <w:ind w:firstLine="482"/>
        <w:jc w:val="left"/>
        <w:rPr>
          <w:rFonts w:hint="eastAsia" w:ascii="宋体" w:hAnsi="宋体" w:eastAsia="宋体" w:cs="宋体"/>
          <w:b/>
          <w:color w:val="auto"/>
          <w:sz w:val="24"/>
          <w:szCs w:val="24"/>
          <w:highlight w:val="none"/>
          <w:lang w:val="zh-CN" w:eastAsia="zh-CN"/>
        </w:rPr>
      </w:pPr>
      <w:r>
        <w:rPr>
          <w:rFonts w:hint="eastAsia" w:ascii="宋体" w:hAnsi="宋体" w:eastAsia="宋体" w:cs="宋体"/>
          <w:b/>
          <w:sz w:val="24"/>
          <w:szCs w:val="24"/>
          <w:highlight w:val="none"/>
          <w:lang w:val="zh-CN" w:eastAsia="zh-CN"/>
        </w:rPr>
        <w:t>二、</w:t>
      </w:r>
      <w:r>
        <w:rPr>
          <w:rFonts w:hint="eastAsia" w:ascii="宋体" w:hAnsi="宋体" w:eastAsia="宋体" w:cs="宋体"/>
          <w:b/>
          <w:sz w:val="24"/>
          <w:szCs w:val="24"/>
          <w:highlight w:val="none"/>
          <w:lang w:val="en-US" w:eastAsia="zh-CN"/>
        </w:rPr>
        <w:t>项目实施内容及要求</w:t>
      </w:r>
      <w:r>
        <w:rPr>
          <w:rFonts w:hint="eastAsia" w:ascii="宋体" w:hAnsi="宋体" w:eastAsia="宋体" w:cs="宋体"/>
          <w:b/>
          <w:color w:val="auto"/>
          <w:sz w:val="24"/>
          <w:szCs w:val="24"/>
          <w:highlight w:val="none"/>
          <w:lang w:val="zh-CN" w:eastAsia="zh-CN"/>
        </w:rPr>
        <w:t>：</w:t>
      </w:r>
    </w:p>
    <w:p w14:paraId="3E70C9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w:t>
      </w:r>
      <w:r>
        <w:rPr>
          <w:rFonts w:hint="eastAsia" w:ascii="宋体" w:hAnsi="宋体" w:cs="宋体"/>
          <w:color w:val="auto"/>
          <w:sz w:val="24"/>
          <w:szCs w:val="24"/>
          <w:highlight w:val="none"/>
          <w:shd w:val="clear" w:color="auto" w:fill="FFFFFF"/>
          <w:lang w:val="en-US" w:eastAsia="zh-CN"/>
        </w:rPr>
        <w:t>一</w:t>
      </w:r>
      <w:r>
        <w:rPr>
          <w:rFonts w:hint="eastAsia" w:ascii="宋体" w:hAnsi="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eastAsia="zh-CN"/>
        </w:rPr>
        <w:t>购买劳务（护林员）：</w:t>
      </w:r>
      <w:r>
        <w:rPr>
          <w:rFonts w:hint="eastAsia" w:ascii="宋体" w:hAnsi="宋体" w:cs="宋体"/>
          <w:color w:val="auto"/>
          <w:sz w:val="24"/>
          <w:szCs w:val="24"/>
          <w:highlight w:val="none"/>
          <w:shd w:val="clear" w:color="auto" w:fill="FFFFFF"/>
          <w:lang w:val="en-US" w:eastAsia="zh-CN"/>
        </w:rPr>
        <w:t>18</w:t>
      </w:r>
      <w:r>
        <w:rPr>
          <w:rFonts w:hint="eastAsia" w:ascii="宋体" w:hAnsi="宋体" w:eastAsia="宋体" w:cs="宋体"/>
          <w:color w:val="auto"/>
          <w:sz w:val="24"/>
          <w:szCs w:val="24"/>
          <w:highlight w:val="none"/>
          <w:shd w:val="clear" w:color="auto" w:fill="FFFFFF"/>
          <w:lang w:eastAsia="zh-CN"/>
        </w:rPr>
        <w:t>人</w:t>
      </w:r>
    </w:p>
    <w:p w14:paraId="1ED287A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1.公益林巡护，时间为1年。</w:t>
      </w:r>
    </w:p>
    <w:p w14:paraId="3722405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2.护林员</w:t>
      </w:r>
      <w:r>
        <w:rPr>
          <w:rFonts w:hint="eastAsia" w:ascii="宋体" w:hAnsi="宋体" w:eastAsia="宋体" w:cs="宋体"/>
          <w:color w:val="auto"/>
          <w:sz w:val="24"/>
          <w:szCs w:val="24"/>
          <w:highlight w:val="none"/>
          <w:shd w:val="clear" w:color="auto" w:fill="FFFFFF"/>
          <w:lang w:val="en-US" w:eastAsia="zh-CN"/>
        </w:rPr>
        <w:t>18</w:t>
      </w:r>
      <w:r>
        <w:rPr>
          <w:rFonts w:hint="eastAsia" w:ascii="宋体" w:hAnsi="宋体" w:eastAsia="宋体" w:cs="宋体"/>
          <w:color w:val="auto"/>
          <w:sz w:val="24"/>
          <w:szCs w:val="24"/>
          <w:highlight w:val="none"/>
          <w:shd w:val="clear" w:color="auto" w:fill="FFFFFF"/>
          <w:lang w:eastAsia="zh-CN"/>
        </w:rPr>
        <w:t>人，年龄不高于60周岁，身体健康。</w:t>
      </w:r>
    </w:p>
    <w:p w14:paraId="5DEF73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3.按时上下班，做好考勤表。</w:t>
      </w:r>
    </w:p>
    <w:p w14:paraId="2259D9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4.学习、宣传保护公益林有关法律法规。</w:t>
      </w:r>
    </w:p>
    <w:p w14:paraId="1EAFF5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5.熟悉和掌握公益林现场情况，每月对巡护区域进行自查登记，做到心中有数。</w:t>
      </w:r>
    </w:p>
    <w:p w14:paraId="5CA59A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6.认真做好防火工作，加强巡视和防范，及时消除火灾隐情。</w:t>
      </w:r>
    </w:p>
    <w:p w14:paraId="4CE29D7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7.对公益林区域内水域发现偷捕等、林木偷盗等、道路破坏等情况，要及时反映上报至业主单位，保护现场，摸清情况，并配合有关部门查明原因。</w:t>
      </w:r>
    </w:p>
    <w:p w14:paraId="76FBFF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8.每月进行巡护考核。</w:t>
      </w:r>
    </w:p>
    <w:p w14:paraId="0DF71E7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w:t>
      </w:r>
      <w:r>
        <w:rPr>
          <w:rFonts w:hint="eastAsia" w:ascii="宋体" w:hAnsi="宋体" w:cs="宋体"/>
          <w:color w:val="auto"/>
          <w:sz w:val="24"/>
          <w:szCs w:val="24"/>
          <w:highlight w:val="none"/>
          <w:shd w:val="clear" w:color="auto" w:fill="FFFFFF"/>
          <w:lang w:val="en-US" w:eastAsia="zh-CN"/>
        </w:rPr>
        <w:t>二</w:t>
      </w:r>
      <w:r>
        <w:rPr>
          <w:rFonts w:hint="eastAsia" w:ascii="宋体" w:hAnsi="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eastAsia="zh-CN"/>
        </w:rPr>
        <w:t>森林抚育：（</w:t>
      </w:r>
      <w:r>
        <w:rPr>
          <w:rFonts w:hint="eastAsia" w:ascii="宋体" w:hAnsi="宋体" w:cs="宋体"/>
          <w:color w:val="auto"/>
          <w:sz w:val="24"/>
          <w:szCs w:val="24"/>
          <w:highlight w:val="none"/>
          <w:shd w:val="clear" w:color="auto" w:fill="FFFFFF"/>
          <w:lang w:val="en-US" w:eastAsia="zh-CN"/>
        </w:rPr>
        <w:t>森林抚育面积226500m2</w:t>
      </w:r>
      <w:r>
        <w:rPr>
          <w:rFonts w:hint="eastAsia" w:ascii="宋体" w:hAnsi="宋体" w:eastAsia="宋体" w:cs="宋体"/>
          <w:color w:val="auto"/>
          <w:sz w:val="24"/>
          <w:szCs w:val="24"/>
          <w:highlight w:val="none"/>
          <w:shd w:val="clear" w:color="auto" w:fill="FFFFFF"/>
          <w:lang w:eastAsia="zh-CN"/>
        </w:rPr>
        <w:t>）</w:t>
      </w:r>
    </w:p>
    <w:p w14:paraId="64299E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1、每月清理杂草一次、每年清理杂草12次（每次总面积约226500m2，每月具体清理次数由业主单位确定）。</w:t>
      </w:r>
    </w:p>
    <w:p w14:paraId="77A625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w:t>
      </w:r>
      <w:r>
        <w:rPr>
          <w:rFonts w:hint="eastAsia" w:ascii="宋体" w:hAnsi="宋体" w:cs="宋体"/>
          <w:color w:val="auto"/>
          <w:sz w:val="24"/>
          <w:szCs w:val="24"/>
          <w:highlight w:val="none"/>
          <w:shd w:val="clear" w:color="auto" w:fill="FFFFFF"/>
          <w:lang w:val="en-US" w:eastAsia="zh-CN"/>
        </w:rPr>
        <w:t>1</w:t>
      </w:r>
      <w:r>
        <w:rPr>
          <w:rFonts w:hint="eastAsia" w:ascii="宋体" w:hAnsi="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eastAsia="zh-CN"/>
        </w:rPr>
        <w:t>草坪区域应采用辅助工具将草连同草根一起拔掉，不可将杂草地上部分去除，拔出杂草应及时放于垃圾桶内，不可随意乱放。</w:t>
      </w:r>
    </w:p>
    <w:p w14:paraId="43C942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（2）除草剂除草，已经蔓延的恶性杂草用选择性除草剂防除，并证得采购人同意，靠近时花、灌木、小苗禁用除草剂。任何区域范围内均禁用灭生性除草剂，并做好记录。</w:t>
      </w:r>
    </w:p>
    <w:p w14:paraId="57A7BD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w:t>
      </w:r>
      <w:r>
        <w:rPr>
          <w:rFonts w:hint="eastAsia" w:ascii="宋体" w:hAnsi="宋体" w:cs="宋体"/>
          <w:color w:val="auto"/>
          <w:sz w:val="24"/>
          <w:szCs w:val="24"/>
          <w:highlight w:val="none"/>
          <w:shd w:val="clear" w:color="auto" w:fill="FFFFFF"/>
          <w:lang w:val="en-US" w:eastAsia="zh-CN"/>
        </w:rPr>
        <w:t>3</w:t>
      </w:r>
      <w:r>
        <w:rPr>
          <w:rFonts w:hint="eastAsia" w:ascii="宋体" w:hAnsi="宋体" w:cs="宋体"/>
          <w:color w:val="auto"/>
          <w:sz w:val="24"/>
          <w:szCs w:val="24"/>
          <w:highlight w:val="none"/>
          <w:shd w:val="clear" w:color="auto" w:fill="FFFFFF"/>
          <w:lang w:eastAsia="zh-CN"/>
        </w:rPr>
        <w:t>）</w:t>
      </w:r>
      <w:r>
        <w:rPr>
          <w:rFonts w:hint="eastAsia" w:ascii="宋体" w:hAnsi="宋体" w:eastAsia="宋体" w:cs="宋体"/>
          <w:color w:val="auto"/>
          <w:sz w:val="24"/>
          <w:szCs w:val="24"/>
          <w:highlight w:val="none"/>
          <w:shd w:val="clear" w:color="auto" w:fill="FFFFFF"/>
          <w:lang w:eastAsia="zh-CN"/>
        </w:rPr>
        <w:t>非草坪区域或者道路两侧应选用机械除草，割灌机为主，旋刀机辅助，若遇到人工培育的花丛、苗木等，不允许用机械除草，这些地方要用人工除草，剪完后将人工分片堆放晾晒，以便外运，如有蔓延恶性杂草用选择性除草剂防除，并证得采购人同意，靠近时花、灌木、小苗等地方禁用除草剂。任何区域范围内均禁用灭生性除草剂，并做好记录。除掉的杂草要及时清理，运走、掩埋或异地制作肥料。</w:t>
      </w:r>
    </w:p>
    <w:p w14:paraId="47E75C4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2、修剪区域或者道路两旁树枝，植物整形修剪、去除枯死植株、树木扶正，乔木类：主要修剪内膛肢、徒长枝、病虫枝、交叉枝、下垂枝、扭伤枝及枯枝烂头。道路行道树枝下高度根据道路的功能严格控制，遇有架空线按杯状形修剪、分枝均匀、树冠圆整。灌木类：灌木修剪应促枝叶繁茂、分布均匀。花灌木修剪要有利于短枝和花芽的形成，遵循 “先上后下、先内后外、去弱留强、去老留新”的原则进行修剪，防台防汛期间要做好加固，保持水道通畅，防止植物受损，及时扫雪打雪，确保苗木安全及道路畅通。</w:t>
      </w:r>
    </w:p>
    <w:p w14:paraId="1F34584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3、绿地无杂物堆料、枯树枯枝堆积等现象，绿化管理产生的垃圾及时清运，确保绿地清爽整洁。产生的垃圾中能降解的集中堆放，降解成有机肥循环使用。不能降解的垃圾也要集中堆放，等待运出岛外。</w:t>
      </w:r>
    </w:p>
    <w:p w14:paraId="6FCCAB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4、所有养护工具及除草药水</w:t>
      </w:r>
      <w:r>
        <w:rPr>
          <w:rFonts w:hint="eastAsia" w:ascii="宋体" w:hAnsi="宋体" w:cs="宋体"/>
          <w:color w:val="auto"/>
          <w:sz w:val="24"/>
          <w:szCs w:val="24"/>
          <w:highlight w:val="none"/>
          <w:shd w:val="clear" w:color="auto" w:fill="FFFFFF"/>
          <w:lang w:val="en-US" w:eastAsia="zh-CN"/>
        </w:rPr>
        <w:t>由</w:t>
      </w:r>
      <w:r>
        <w:rPr>
          <w:rFonts w:hint="eastAsia" w:ascii="宋体" w:hAnsi="宋体" w:eastAsia="宋体" w:cs="宋体"/>
          <w:color w:val="auto"/>
          <w:sz w:val="24"/>
          <w:szCs w:val="24"/>
          <w:highlight w:val="none"/>
          <w:shd w:val="clear" w:color="auto" w:fill="FFFFFF"/>
          <w:lang w:eastAsia="zh-CN"/>
        </w:rPr>
        <w:t xml:space="preserve">供应商提供。养护工作供应商应自行解决登洲交通出行方式，承担交通费用。所有垃圾当月须运出岛外，垃圾处理费用由供应商承担。 </w:t>
      </w:r>
    </w:p>
    <w:p w14:paraId="07EE8C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highlight w:val="none"/>
          <w:shd w:val="clear" w:color="auto" w:fill="FFFFFF"/>
          <w:lang w:eastAsia="zh-CN"/>
        </w:rPr>
      </w:pPr>
      <w:r>
        <w:rPr>
          <w:rFonts w:hint="eastAsia" w:ascii="宋体" w:hAnsi="宋体" w:eastAsia="宋体" w:cs="宋体"/>
          <w:color w:val="auto"/>
          <w:sz w:val="24"/>
          <w:szCs w:val="24"/>
          <w:highlight w:val="none"/>
          <w:shd w:val="clear" w:color="auto" w:fill="FFFFFF"/>
          <w:lang w:eastAsia="zh-CN"/>
        </w:rPr>
        <w:t>5、每次养护，供应商须拍照留存，填写养护记录、台账等，供采购人验收，每次完成以采购人签字确认为准。 在不超过全年养护次数的情况下每月可减少或增加养护次数，确保养护区域环境的美观。养护过程中，出现问题再现场协商。</w:t>
      </w:r>
    </w:p>
    <w:p w14:paraId="0016D860">
      <w:pPr>
        <w:pStyle w:val="488"/>
        <w:keepNext w:val="0"/>
        <w:keepLines w:val="0"/>
        <w:pageBreakBefore w:val="0"/>
        <w:spacing w:after="0"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报价要求：</w:t>
      </w:r>
    </w:p>
    <w:p w14:paraId="7EE44A80">
      <w:pPr>
        <w:keepNext w:val="0"/>
        <w:keepLines w:val="0"/>
        <w:pageBreakBefore w:val="0"/>
        <w:widowControl/>
        <w:spacing w:line="360" w:lineRule="auto"/>
        <w:ind w:firstLine="480"/>
        <w:jc w:val="left"/>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供应商的投标报价应</w:t>
      </w:r>
      <w:r>
        <w:rPr>
          <w:rFonts w:hint="eastAsia" w:ascii="宋体" w:hAnsi="宋体" w:cs="宋体"/>
          <w:color w:val="auto"/>
          <w:sz w:val="24"/>
          <w:szCs w:val="24"/>
          <w:highlight w:val="none"/>
          <w:lang w:val="en-US" w:eastAsia="zh-CN"/>
        </w:rPr>
        <w:t>包含完成本项目相关的配套工作及服务期间所需的人工工资、人员五险一金、商业保险、加班费、福利、相关补贴、装备费、管理费、国家强制社保资金、外调经费、车辆、保险、利润、税金、通讯、办公设备、政策性文件规定及合同包含的风险、责任等各项应有费用</w:t>
      </w:r>
      <w:r>
        <w:rPr>
          <w:rFonts w:hint="eastAsia" w:ascii="宋体" w:hAnsi="宋体" w:eastAsia="宋体" w:cs="宋体"/>
          <w:color w:val="auto"/>
          <w:sz w:val="24"/>
          <w:szCs w:val="24"/>
          <w:highlight w:val="none"/>
          <w:lang w:val="zh-CN"/>
        </w:rPr>
        <w:t>。</w:t>
      </w:r>
    </w:p>
    <w:p w14:paraId="20406E43">
      <w:pPr>
        <w:keepNext w:val="0"/>
        <w:keepLines w:val="0"/>
        <w:pageBreakBefore w:val="0"/>
        <w:widowControl/>
        <w:spacing w:line="360" w:lineRule="auto"/>
        <w:ind w:firstLine="482"/>
        <w:jc w:val="lef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、付款方式：</w:t>
      </w:r>
    </w:p>
    <w:p w14:paraId="3F4C1514">
      <w:pPr>
        <w:keepNext w:val="0"/>
        <w:keepLines w:val="0"/>
        <w:pageBreakBefore w:val="0"/>
        <w:spacing w:line="360" w:lineRule="auto"/>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eastAsia="宋体"/>
          <w:highlight w:val="none"/>
          <w:lang w:val="en-US" w:eastAsia="zh-CN"/>
        </w:rPr>
        <w:t>合同签订后30日内支付合同价款的30％，服务进行到半年后30日内支付合同价款的20％，服务完成，乙方提供巡查、养护记录、成果和甲方考核结果等结算资料，按照中标单价和甲方确认的完成数量上报结算，经甲方审计后30日内支付至结算价的100％。</w:t>
      </w:r>
      <w:r>
        <w:rPr>
          <w:rFonts w:hint="eastAsia" w:ascii="宋体" w:hAnsi="宋体" w:eastAsia="宋体" w:cs="宋体"/>
          <w:color w:val="auto"/>
          <w:sz w:val="24"/>
          <w:szCs w:val="24"/>
          <w:highlight w:val="none"/>
          <w:lang w:val="zh-CN"/>
        </w:rPr>
        <w:t xml:space="preserve"> </w:t>
      </w:r>
    </w:p>
    <w:p w14:paraId="4364ABE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2、每次付款的同时提供增值税专用发票。</w:t>
      </w:r>
    </w:p>
    <w:p w14:paraId="2A697AD6">
      <w:pPr>
        <w:pStyle w:val="6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Calibri" w:cs="宋体"/>
          <w:b/>
          <w:bCs/>
          <w:color w:val="auto"/>
          <w:sz w:val="24"/>
          <w:szCs w:val="24"/>
          <w:highlight w:val="none"/>
          <w:lang w:val="en-US" w:eastAsia="zh-CN" w:bidi="ar-SA"/>
        </w:rPr>
      </w:pPr>
      <w:r>
        <w:rPr>
          <w:rFonts w:hint="eastAsia" w:ascii="宋体" w:hAnsi="宋体" w:eastAsia="Calibri" w:cs="宋体"/>
          <w:b/>
          <w:bCs/>
          <w:color w:val="auto"/>
          <w:sz w:val="24"/>
          <w:szCs w:val="24"/>
          <w:highlight w:val="none"/>
          <w:lang w:val="en-US" w:eastAsia="zh-CN" w:bidi="ar-SA"/>
        </w:rPr>
        <w:t>五、采购清单</w:t>
      </w:r>
    </w:p>
    <w:tbl>
      <w:tblPr>
        <w:tblStyle w:val="51"/>
        <w:tblW w:w="945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
        <w:gridCol w:w="883"/>
        <w:gridCol w:w="539"/>
        <w:gridCol w:w="683"/>
        <w:gridCol w:w="979"/>
        <w:gridCol w:w="1191"/>
        <w:gridCol w:w="4694"/>
      </w:tblGrid>
      <w:tr w14:paraId="17CBC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F9C6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354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名称</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CAD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计量</w:t>
            </w:r>
          </w:p>
          <w:p w14:paraId="15FE91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10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2CF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综合单价</w:t>
            </w:r>
          </w:p>
          <w:p w14:paraId="67FAC35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（元）</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ED4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总价</w:t>
            </w:r>
          </w:p>
          <w:p w14:paraId="30B437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（元）</w:t>
            </w: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C1E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w:t>
            </w:r>
          </w:p>
        </w:tc>
      </w:tr>
      <w:tr w14:paraId="7515E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4"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78D8C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1、森林防护</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A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5D96B">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01E27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D13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907D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护林员</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C70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857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00F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8B5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83A2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18"/>
                <w:szCs w:val="18"/>
                <w:highlight w:val="none"/>
                <w:u w:val="none"/>
              </w:rPr>
            </w:pPr>
            <w:r>
              <w:rPr>
                <w:rStyle w:val="490"/>
                <w:sz w:val="18"/>
                <w:szCs w:val="18"/>
                <w:highlight w:val="none"/>
                <w:lang w:val="en-US" w:eastAsia="zh-CN" w:bidi="ar"/>
              </w:rPr>
              <w:t>要求：1.公益林巡护，时间为1年。2.护林员</w:t>
            </w:r>
            <w:r>
              <w:rPr>
                <w:rStyle w:val="490"/>
                <w:rFonts w:hint="eastAsia"/>
                <w:sz w:val="18"/>
                <w:szCs w:val="18"/>
                <w:highlight w:val="none"/>
                <w:lang w:val="en-US" w:eastAsia="zh-CN" w:bidi="ar"/>
              </w:rPr>
              <w:t>18</w:t>
            </w:r>
            <w:r>
              <w:rPr>
                <w:rStyle w:val="490"/>
                <w:sz w:val="18"/>
                <w:szCs w:val="18"/>
                <w:highlight w:val="none"/>
                <w:lang w:val="en-US" w:eastAsia="zh-CN" w:bidi="ar"/>
              </w:rPr>
              <w:t>人，年龄不高于60周岁，身体健康。3.按时上下班，做好考勤表。4.学习、宣传保护公益林有关法律法规。5.熟悉和掌握公益林现场情况，每月对巡护区域进行自查登记，做到心中有数。6.认真做好防火工作，加强巡视和防范，及时消除火灾隐情。7.对公益林区域内水域发现偷捕等、林木偷盗等、道路破坏等情况，要及时反映上报至业主单位，保护现场，摸清情况，并配合有关部门查明原因。8.每月进行巡护考核。</w:t>
            </w:r>
          </w:p>
        </w:tc>
      </w:tr>
      <w:tr w14:paraId="6C1DE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7"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36632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2、森林抚育</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1384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694" w:type="dxa"/>
            <w:tcBorders>
              <w:top w:val="single" w:color="000000" w:sz="4" w:space="0"/>
              <w:left w:val="single" w:color="000000" w:sz="4" w:space="0"/>
              <w:bottom w:val="single" w:color="auto" w:sz="4" w:space="0"/>
              <w:right w:val="single" w:color="000000" w:sz="4" w:space="0"/>
            </w:tcBorders>
            <w:shd w:val="clear" w:color="auto" w:fill="auto"/>
            <w:vAlign w:val="center"/>
          </w:tcPr>
          <w:p w14:paraId="2BB46654">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6AA1D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D3C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586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购买服务（森林抚育）</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48D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5FA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226500 </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0E6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91" w:type="dxa"/>
            <w:tcBorders>
              <w:top w:val="single" w:color="000000" w:sz="4" w:space="0"/>
              <w:left w:val="single" w:color="000000" w:sz="4" w:space="0"/>
              <w:bottom w:val="single" w:color="000000" w:sz="4" w:space="0"/>
              <w:right w:val="single" w:color="auto" w:sz="4" w:space="0"/>
            </w:tcBorders>
            <w:shd w:val="clear" w:color="auto" w:fill="auto"/>
            <w:vAlign w:val="center"/>
          </w:tcPr>
          <w:p w14:paraId="218BC6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94" w:type="dxa"/>
            <w:tcBorders>
              <w:top w:val="single" w:color="auto" w:sz="4" w:space="0"/>
              <w:left w:val="single" w:color="auto" w:sz="4" w:space="0"/>
              <w:bottom w:val="single" w:color="auto" w:sz="4" w:space="0"/>
              <w:right w:val="single" w:color="auto" w:sz="4" w:space="0"/>
            </w:tcBorders>
            <w:shd w:val="clear" w:color="auto" w:fill="auto"/>
            <w:vAlign w:val="center"/>
          </w:tcPr>
          <w:p w14:paraId="6907C72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工作内容：</w:t>
            </w:r>
          </w:p>
          <w:p w14:paraId="0345D20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1、每月清理杂草一次、每年清理杂草12次（每次总面积约</w:t>
            </w:r>
            <w:r>
              <w:rPr>
                <w:rFonts w:hint="eastAsia" w:ascii="宋体" w:hAnsi="宋体" w:cs="宋体"/>
                <w:color w:val="auto"/>
                <w:sz w:val="24"/>
                <w:szCs w:val="24"/>
                <w:highlight w:val="none"/>
                <w:shd w:val="clear" w:color="auto" w:fill="FFFFFF"/>
                <w:lang w:val="en-US" w:eastAsia="zh-CN"/>
              </w:rPr>
              <w:t>226500</w:t>
            </w:r>
            <w:r>
              <w:rPr>
                <w:rFonts w:hint="eastAsia" w:ascii="宋体" w:hAnsi="宋体" w:eastAsia="宋体" w:cs="宋体"/>
                <w:i w:val="0"/>
                <w:iCs w:val="0"/>
                <w:color w:val="000000"/>
                <w:kern w:val="0"/>
                <w:sz w:val="18"/>
                <w:szCs w:val="18"/>
                <w:highlight w:val="none"/>
                <w:u w:val="none"/>
                <w:lang w:val="en-US" w:eastAsia="zh-CN" w:bidi="ar"/>
              </w:rPr>
              <w:t>m2，每月具体清理次数由业主单位确定）。(1)草坪区域应采用辅助工具将草连同草根一起拔掉，不可将杂草地上部分去除，拔出杂草应及时放于垃圾桶内，不可随意乱放。（2）除草剂除草，已经蔓延的恶性杂草用选择性除草剂防除，并证得采购人同意，靠近时花、灌木、小苗禁用除草剂。任何区域范围内均禁用灭生性除草剂，并做好记录。（3）非草坪区域或者道路两侧应选用机械除草，割灌机为主，旋刀机辅助，若遇到人工培育的花丛、苗木等，不允许用机械除草，这些地方要用人工除草，剪完后将人工分片堆放晾晒，以便外运，如有蔓延恶性杂草用选择性除草剂防除，并证得采购人同意，靠近时花、灌木、小苗等地方禁用除草剂。任何区域范围内均禁用灭生性除草剂，并做好记录。除掉的杂草要及时清理，运走、掩埋或异地制作肥料。</w:t>
            </w:r>
          </w:p>
          <w:p w14:paraId="384D1A3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修剪区域或者道路两旁树枝，植物整形修剪、去除枯死植株、树木扶正，乔木类：主要修剪内膛肢、徒长枝、病虫枝、交叉枝、下垂枝、扭伤枝及枯枝烂头。道路行道树枝下高度根据道路的功能严格控制，遇有架空线按杯状形修剪、分枝均匀、树冠圆整。灌木类：灌木修剪应促枝叶繁茂、分布均匀。花灌木修剪要有利于短枝和花芽的形成，遵循 “先上后下、先内后外、去弱留强、去老留新”的原则进行修剪，防台防汛期间要做好加固，保持水道通畅，防止植物受损，及时扫雪打雪，确保苗木安全及道路畅通。</w:t>
            </w:r>
          </w:p>
          <w:p w14:paraId="06C5FF4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3、绿地无杂物堆料、枯树枯枝堆积等现象，绿化管理产生的垃圾及时清运，确保绿地清爽整洁。产生的垃圾中能降解的集中堆放，降解成有机肥循环使用。不能降解的垃圾也要集中堆放，等待运出岛外。</w:t>
            </w:r>
          </w:p>
          <w:p w14:paraId="4F3CD85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4、所有养护工具及除草药水由供应商提供。养护工作供应商应自行解决登洲交通出行方式，承担交通费用。所有垃圾当月须运出岛外，垃圾处理费用由供应商承担。</w:t>
            </w:r>
          </w:p>
          <w:p w14:paraId="3D696B7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每次养护，供应商须拍照留存，填写养护记录、台账等，供采购人验收，每次完成以采购人签字确认为准。在不超过全年养护次数的情况下每月可减少或增加养护次数，确保养护区域环境的美观。养护过程中，出现问题再现场协商。</w:t>
            </w:r>
          </w:p>
        </w:tc>
      </w:tr>
      <w:tr w14:paraId="5A3EC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1A51B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3、林区道路维护</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20E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694" w:type="dxa"/>
            <w:tcBorders>
              <w:top w:val="single" w:color="auto" w:sz="4" w:space="0"/>
              <w:left w:val="single" w:color="000000" w:sz="4" w:space="0"/>
              <w:bottom w:val="single" w:color="000000" w:sz="4" w:space="0"/>
              <w:right w:val="single" w:color="000000" w:sz="4" w:space="0"/>
            </w:tcBorders>
            <w:shd w:val="clear" w:color="auto" w:fill="auto"/>
            <w:vAlign w:val="center"/>
          </w:tcPr>
          <w:p w14:paraId="7FC87D4E">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18"/>
                <w:szCs w:val="18"/>
                <w:highlight w:val="none"/>
                <w:u w:val="none"/>
              </w:rPr>
            </w:pPr>
          </w:p>
        </w:tc>
      </w:tr>
      <w:tr w14:paraId="3628C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45E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815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路床（槽）整形</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F859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2AE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4800</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B8E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6F6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8987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1、道路路床整平整形</w:t>
            </w:r>
          </w:p>
          <w:p w14:paraId="2367058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2、路线内杂草清理</w:t>
            </w:r>
          </w:p>
        </w:tc>
      </w:tr>
      <w:tr w14:paraId="58CC3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086A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29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林间碎石道路基层</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2E73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C89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4800</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A13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BA73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4C33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1、碎石道路基层铺设</w:t>
            </w:r>
          </w:p>
          <w:p w14:paraId="67B93B1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2、粒径规格：5-40mm；厚度：5cm；碎石应符合质量要求，碎石级配良好</w:t>
            </w:r>
          </w:p>
          <w:p w14:paraId="49DF1DD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3、整平、压实</w:t>
            </w:r>
          </w:p>
          <w:p w14:paraId="5A54BACB">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4、满足车辆通行要求</w:t>
            </w:r>
          </w:p>
        </w:tc>
      </w:tr>
      <w:tr w14:paraId="2B08D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91E8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3.3</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EAB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林间碎石道路面层</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0D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74F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4800</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8EF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068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DBCE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1、碎石道路面层铺设</w:t>
            </w:r>
          </w:p>
          <w:p w14:paraId="6976D19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2、粒径规格：5-16mm；厚度：3cm；碎石应符合质量要求，碎石级配良好</w:t>
            </w:r>
          </w:p>
          <w:p w14:paraId="7691551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3、路面层摊铺密实找平、压实</w:t>
            </w:r>
          </w:p>
          <w:p w14:paraId="6BC6D1D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4、满足车辆通行要求</w:t>
            </w:r>
          </w:p>
        </w:tc>
      </w:tr>
      <w:tr w14:paraId="73433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B9FB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4、小计（1+2+3）</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B99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9C1B0">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0B29C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56DFD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5、管理费（4）*3%</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A3E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DB8AF">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49873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0748F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6、利润（4）*3%</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670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64F7F">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4B29E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B3CF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7、税金（4+5+6）*3%</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3E6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01D87">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4CC15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FBDD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8、合计（4+5+6+7）</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5D9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6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809C4">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bl>
    <w:p w14:paraId="58AEA557">
      <w:pPr>
        <w:pStyle w:val="66"/>
        <w:rPr>
          <w:rFonts w:hint="default" w:ascii="宋体" w:hAnsi="宋体" w:eastAsia="宋体" w:cs="宋体"/>
          <w:color w:val="auto"/>
          <w:sz w:val="24"/>
          <w:szCs w:val="24"/>
          <w:highlight w:val="none"/>
          <w:lang w:val="en-US" w:eastAsia="zh-CN"/>
        </w:rPr>
      </w:pPr>
    </w:p>
    <w:p w14:paraId="31363D18">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br w:type="page"/>
      </w:r>
    </w:p>
    <w:p w14:paraId="28058B47">
      <w:pPr>
        <w:spacing w:line="360" w:lineRule="auto"/>
        <w:jc w:val="center"/>
        <w:outlineLvl w:val="0"/>
        <w:rPr>
          <w:color w:val="000000" w:themeColor="text1"/>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lang w:val="zh-CN" w:eastAsia="zh-CN"/>
          <w14:textFill>
            <w14:solidFill>
              <w14:schemeClr w14:val="tx1"/>
            </w14:solidFill>
          </w14:textFill>
        </w:rPr>
        <w:t>第五章</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zh-CN" w:eastAsia="zh-CN"/>
          <w14:textFill>
            <w14:solidFill>
              <w14:schemeClr w14:val="tx1"/>
            </w14:solidFill>
          </w14:textFill>
        </w:rPr>
        <w:t>合同草案条款及格式</w:t>
      </w:r>
      <w:bookmarkEnd w:id="136"/>
    </w:p>
    <w:p w14:paraId="021A2EC1">
      <w:pPr>
        <w:ind w:left="118"/>
        <w:jc w:val="center"/>
        <w:rPr>
          <w:rFonts w:ascii="黑体" w:eastAsia="黑体"/>
          <w:color w:val="000000" w:themeColor="text1"/>
          <w:spacing w:val="-3"/>
          <w:sz w:val="52"/>
          <w:highlight w:val="none"/>
          <w:lang w:eastAsia="zh-CN"/>
          <w14:textFill>
            <w14:solidFill>
              <w14:schemeClr w14:val="tx1"/>
            </w14:solidFill>
          </w14:textFill>
        </w:rPr>
      </w:pPr>
      <w:bookmarkStart w:id="137" w:name="_bookmark10"/>
      <w:bookmarkEnd w:id="137"/>
    </w:p>
    <w:p w14:paraId="16C0FBDA">
      <w:pPr>
        <w:pStyle w:val="27"/>
        <w:ind w:left="440"/>
        <w:rPr>
          <w:rFonts w:ascii="黑体" w:hAnsi="宋体" w:eastAsia="黑体"/>
          <w:b/>
          <w:bCs/>
          <w:color w:val="000000" w:themeColor="text1"/>
          <w:sz w:val="44"/>
          <w:szCs w:val="44"/>
          <w:highlight w:val="none"/>
          <w:lang w:eastAsia="zh-CN"/>
          <w14:textFill>
            <w14:solidFill>
              <w14:schemeClr w14:val="tx1"/>
            </w14:solidFill>
          </w14:textFill>
        </w:rPr>
      </w:pPr>
    </w:p>
    <w:p w14:paraId="5762BD56">
      <w:pPr>
        <w:pStyle w:val="27"/>
        <w:ind w:left="440"/>
        <w:jc w:val="center"/>
        <w:rPr>
          <w:rFonts w:ascii="黑体" w:hAnsi="宋体" w:eastAsia="黑体"/>
          <w:b/>
          <w:bCs/>
          <w:color w:val="000000" w:themeColor="text1"/>
          <w:sz w:val="44"/>
          <w:szCs w:val="44"/>
          <w:highlight w:val="none"/>
          <w:lang w:eastAsia="zh-CN"/>
          <w14:textFill>
            <w14:solidFill>
              <w14:schemeClr w14:val="tx1"/>
            </w14:solidFill>
          </w14:textFill>
        </w:rPr>
      </w:pPr>
      <w:r>
        <w:rPr>
          <w:rFonts w:hint="eastAsia" w:ascii="黑体" w:hAnsi="宋体" w:eastAsia="黑体"/>
          <w:b/>
          <w:bCs/>
          <w:color w:val="000000" w:themeColor="text1"/>
          <w:sz w:val="44"/>
          <w:szCs w:val="44"/>
          <w:highlight w:val="none"/>
          <w:lang w:eastAsia="zh-CN"/>
          <w14:textFill>
            <w14:solidFill>
              <w14:schemeClr w14:val="tx1"/>
            </w14:solidFill>
          </w14:textFill>
        </w:rPr>
        <w:t>南京市政府采购合同</w:t>
      </w:r>
    </w:p>
    <w:p w14:paraId="13274854">
      <w:pPr>
        <w:rPr>
          <w:rFonts w:ascii="宋体" w:hAnsi="宋体"/>
          <w:color w:val="000000" w:themeColor="text1"/>
          <w:highlight w:val="none"/>
          <w:lang w:eastAsia="zh-CN"/>
          <w14:textFill>
            <w14:solidFill>
              <w14:schemeClr w14:val="tx1"/>
            </w14:solidFill>
          </w14:textFill>
        </w:rPr>
      </w:pPr>
    </w:p>
    <w:p w14:paraId="549FFD01">
      <w:pPr>
        <w:rPr>
          <w:rFonts w:ascii="宋体" w:hAnsi="宋体"/>
          <w:color w:val="000000" w:themeColor="text1"/>
          <w:highlight w:val="none"/>
          <w:lang w:eastAsia="zh-CN"/>
          <w14:textFill>
            <w14:solidFill>
              <w14:schemeClr w14:val="tx1"/>
            </w14:solidFill>
          </w14:textFill>
        </w:rPr>
      </w:pPr>
    </w:p>
    <w:p w14:paraId="11101DFA">
      <w:pPr>
        <w:rPr>
          <w:rFonts w:ascii="宋体" w:hAnsi="宋体"/>
          <w:color w:val="000000" w:themeColor="text1"/>
          <w:highlight w:val="none"/>
          <w:lang w:eastAsia="zh-CN"/>
          <w14:textFill>
            <w14:solidFill>
              <w14:schemeClr w14:val="tx1"/>
            </w14:solidFill>
          </w14:textFill>
        </w:rPr>
      </w:pPr>
    </w:p>
    <w:p w14:paraId="3F60297C">
      <w:pPr>
        <w:rPr>
          <w:rFonts w:ascii="宋体" w:hAnsi="宋体"/>
          <w:b/>
          <w:color w:val="000000" w:themeColor="text1"/>
          <w:highlight w:val="none"/>
          <w:lang w:eastAsia="zh-CN"/>
          <w14:textFill>
            <w14:solidFill>
              <w14:schemeClr w14:val="tx1"/>
            </w14:solidFill>
          </w14:textFill>
        </w:rPr>
      </w:pPr>
    </w:p>
    <w:p w14:paraId="0E48065F">
      <w:pPr>
        <w:rPr>
          <w:rFonts w:ascii="宋体" w:hAnsi="宋体"/>
          <w:b/>
          <w:color w:val="000000" w:themeColor="text1"/>
          <w:highlight w:val="none"/>
          <w:lang w:eastAsia="zh-CN"/>
          <w14:textFill>
            <w14:solidFill>
              <w14:schemeClr w14:val="tx1"/>
            </w14:solidFill>
          </w14:textFill>
        </w:rPr>
      </w:pPr>
    </w:p>
    <w:p w14:paraId="0AFE2362">
      <w:pPr>
        <w:rPr>
          <w:rFonts w:ascii="宋体" w:hAnsi="宋体"/>
          <w:b/>
          <w:color w:val="000000" w:themeColor="text1"/>
          <w:highlight w:val="none"/>
          <w:lang w:eastAsia="zh-CN"/>
          <w14:textFill>
            <w14:solidFill>
              <w14:schemeClr w14:val="tx1"/>
            </w14:solidFill>
          </w14:textFill>
        </w:rPr>
      </w:pPr>
    </w:p>
    <w:p w14:paraId="065C7A67">
      <w:pPr>
        <w:rPr>
          <w:rFonts w:ascii="宋体" w:hAnsi="宋体"/>
          <w:b/>
          <w:color w:val="000000" w:themeColor="text1"/>
          <w:highlight w:val="none"/>
          <w:lang w:eastAsia="zh-CN"/>
          <w14:textFill>
            <w14:solidFill>
              <w14:schemeClr w14:val="tx1"/>
            </w14:solidFill>
          </w14:textFill>
        </w:rPr>
      </w:pPr>
    </w:p>
    <w:p w14:paraId="5A6A89CA">
      <w:pPr>
        <w:rPr>
          <w:rFonts w:ascii="宋体" w:hAnsi="宋体"/>
          <w:b/>
          <w:color w:val="000000" w:themeColor="text1"/>
          <w:highlight w:val="none"/>
          <w:lang w:eastAsia="zh-CN"/>
          <w14:textFill>
            <w14:solidFill>
              <w14:schemeClr w14:val="tx1"/>
            </w14:solidFill>
          </w14:textFill>
        </w:rPr>
      </w:pPr>
    </w:p>
    <w:p w14:paraId="4E10E81B">
      <w:pPr>
        <w:rPr>
          <w:rFonts w:ascii="宋体" w:hAnsi="宋体"/>
          <w:b/>
          <w:color w:val="000000" w:themeColor="text1"/>
          <w:highlight w:val="none"/>
          <w:lang w:eastAsia="zh-CN"/>
          <w14:textFill>
            <w14:solidFill>
              <w14:schemeClr w14:val="tx1"/>
            </w14:solidFill>
          </w14:textFill>
        </w:rPr>
      </w:pPr>
    </w:p>
    <w:p w14:paraId="1D5E0191">
      <w:pPr>
        <w:rPr>
          <w:rFonts w:ascii="宋体" w:hAnsi="宋体"/>
          <w:b/>
          <w:color w:val="000000" w:themeColor="text1"/>
          <w:highlight w:val="none"/>
          <w:lang w:eastAsia="zh-CN"/>
          <w14:textFill>
            <w14:solidFill>
              <w14:schemeClr w14:val="tx1"/>
            </w14:solidFill>
          </w14:textFill>
        </w:rPr>
      </w:pPr>
    </w:p>
    <w:p w14:paraId="7553BF2F">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项目编号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18E0197D">
      <w:pPr>
        <w:spacing w:line="900" w:lineRule="exact"/>
        <w:ind w:left="2502" w:hanging="2493" w:hangingChars="890"/>
        <w:rPr>
          <w:rFonts w:ascii="宋体" w:hAnsi="宋体"/>
          <w:b/>
          <w:color w:val="000000" w:themeColor="text1"/>
          <w:sz w:val="24"/>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       项目名称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ascii="宋体" w:hAnsi="宋体"/>
          <w:b/>
          <w:color w:val="000000" w:themeColor="text1"/>
          <w:sz w:val="28"/>
          <w:szCs w:val="28"/>
          <w:highlight w:val="none"/>
          <w:u w:val="single"/>
          <w:lang w:eastAsia="zh-CN"/>
          <w14:textFill>
            <w14:solidFill>
              <w14:schemeClr w14:val="tx1"/>
            </w14:solidFill>
          </w14:textFill>
        </w:rPr>
        <w:t xml:space="preserve"> </w:t>
      </w:r>
    </w:p>
    <w:p w14:paraId="45939311">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采购</w:t>
      </w:r>
      <w:r>
        <w:rPr>
          <w:rFonts w:hint="eastAsia" w:ascii="宋体" w:hAnsi="宋体"/>
          <w:b/>
          <w:color w:val="000000" w:themeColor="text1"/>
          <w:sz w:val="28"/>
          <w:szCs w:val="28"/>
          <w:highlight w:val="none"/>
          <w:lang w:val="en-US" w:eastAsia="zh-CN"/>
          <w14:textFill>
            <w14:solidFill>
              <w14:schemeClr w14:val="tx1"/>
            </w14:solidFill>
          </w14:textFill>
        </w:rPr>
        <w:t>人</w:t>
      </w:r>
      <w:r>
        <w:rPr>
          <w:rFonts w:hint="eastAsia" w:ascii="宋体" w:hAnsi="宋体"/>
          <w:b/>
          <w:color w:val="000000" w:themeColor="text1"/>
          <w:sz w:val="28"/>
          <w:szCs w:val="28"/>
          <w:highlight w:val="non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Theme="minorEastAsia"/>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516740AF">
      <w:pPr>
        <w:spacing w:line="900" w:lineRule="exact"/>
        <w:ind w:firstLine="964" w:firstLineChars="344"/>
        <w:rPr>
          <w:rFonts w:ascii="宋体" w:hAnsi="宋体"/>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val="en-US" w:eastAsia="zh-CN"/>
          <w14:textFill>
            <w14:solidFill>
              <w14:schemeClr w14:val="tx1"/>
            </w14:solidFill>
          </w14:textFill>
        </w:rPr>
        <w:t>供应商</w:t>
      </w:r>
      <w:r>
        <w:rPr>
          <w:rFonts w:hint="eastAsia" w:ascii="宋体" w:hAnsi="宋体"/>
          <w:b/>
          <w:color w:val="000000" w:themeColor="text1"/>
          <w:sz w:val="28"/>
          <w:szCs w:val="28"/>
          <w:highlight w:val="non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p>
    <w:p w14:paraId="14B7E497">
      <w:pPr>
        <w:spacing w:line="900" w:lineRule="exact"/>
        <w:ind w:firstLine="964" w:firstLineChars="344"/>
        <w:rPr>
          <w:rFonts w:ascii="宋体" w:hAnsi="宋体" w:eastAsiaTheme="minorEastAsia"/>
          <w:b/>
          <w:color w:val="000000" w:themeColor="text1"/>
          <w:sz w:val="28"/>
          <w:szCs w:val="28"/>
          <w:highlight w:val="none"/>
          <w:u w:val="singl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签订日期 ：</w:t>
      </w:r>
      <w:r>
        <w:rPr>
          <w:rFonts w:hint="eastAsia" w:ascii="宋体" w:hAnsi="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b/>
          <w:color w:val="000000" w:themeColor="text1"/>
          <w:sz w:val="28"/>
          <w:szCs w:val="28"/>
          <w:highlight w:val="none"/>
          <w:u w:val="single"/>
          <w:lang w:eastAsia="zh-CN"/>
          <w14:textFill>
            <w14:solidFill>
              <w14:schemeClr w14:val="tx1"/>
            </w14:solidFill>
          </w14:textFill>
        </w:rPr>
        <w:t xml:space="preserve">年   月    日          </w:t>
      </w:r>
    </w:p>
    <w:p w14:paraId="5FB01695">
      <w:pPr>
        <w:pStyle w:val="67"/>
        <w:rPr>
          <w:rFonts w:eastAsiaTheme="minorEastAsia"/>
          <w:color w:val="000000" w:themeColor="text1"/>
          <w:highlight w:val="none"/>
          <w:lang w:eastAsia="zh-CN"/>
          <w14:textFill>
            <w14:solidFill>
              <w14:schemeClr w14:val="tx1"/>
            </w14:solidFill>
          </w14:textFill>
        </w:rPr>
      </w:pPr>
    </w:p>
    <w:p w14:paraId="7F2771F4">
      <w:pPr>
        <w:pStyle w:val="67"/>
        <w:rPr>
          <w:rFonts w:eastAsiaTheme="minorEastAsia"/>
          <w:color w:val="000000" w:themeColor="text1"/>
          <w:highlight w:val="none"/>
          <w:lang w:eastAsia="zh-CN"/>
          <w14:textFill>
            <w14:solidFill>
              <w14:schemeClr w14:val="tx1"/>
            </w14:solidFill>
          </w14:textFill>
        </w:rPr>
      </w:pPr>
    </w:p>
    <w:p w14:paraId="07CABA94">
      <w:pPr>
        <w:pStyle w:val="67"/>
        <w:rPr>
          <w:rFonts w:eastAsiaTheme="minorEastAsia"/>
          <w:color w:val="000000" w:themeColor="text1"/>
          <w:highlight w:val="none"/>
          <w:lang w:eastAsia="zh-CN"/>
          <w14:textFill>
            <w14:solidFill>
              <w14:schemeClr w14:val="tx1"/>
            </w14:solidFill>
          </w14:textFill>
        </w:rPr>
      </w:pPr>
    </w:p>
    <w:p w14:paraId="61E19851">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r>
    </w:p>
    <w:p w14:paraId="2788D193">
      <w:pPr>
        <w:keepNext w:val="0"/>
        <w:keepLines w:val="0"/>
        <w:pageBreakBefore w:val="0"/>
        <w:widowControl/>
        <w:shd w:val="clear" w:color="auto" w:fill="FFFFFF"/>
        <w:spacing w:before="75" w:line="300" w:lineRule="exact"/>
        <w:jc w:val="both"/>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项目编号： </w:t>
      </w:r>
    </w:p>
    <w:p w14:paraId="6B2491DC">
      <w:pPr>
        <w:keepNext w:val="0"/>
        <w:keepLines w:val="0"/>
        <w:pageBreakBefore w:val="0"/>
        <w:widowControl/>
        <w:shd w:val="clear" w:color="auto" w:fill="FFFFFF"/>
        <w:spacing w:before="75" w:line="300" w:lineRule="exact"/>
        <w:jc w:val="both"/>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项目名称：</w:t>
      </w:r>
    </w:p>
    <w:p w14:paraId="1429D7CF">
      <w:pPr>
        <w:keepNext w:val="0"/>
        <w:keepLines w:val="0"/>
        <w:pageBreakBefore w:val="0"/>
        <w:widowControl/>
        <w:shd w:val="clear" w:color="auto" w:fill="FFFFFF"/>
        <w:spacing w:before="75" w:line="300" w:lineRule="exact"/>
        <w:jc w:val="both"/>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政府采购计划号：</w:t>
      </w:r>
    </w:p>
    <w:p w14:paraId="4B0E3F6E">
      <w:pPr>
        <w:keepNext w:val="0"/>
        <w:keepLines w:val="0"/>
        <w:pageBreakBefore w:val="0"/>
        <w:widowControl/>
        <w:shd w:val="clear" w:color="auto" w:fill="FFFFFF"/>
        <w:spacing w:before="75" w:line="300" w:lineRule="exact"/>
        <w:jc w:val="both"/>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采购人：（以下简称甲方）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供应商：（以下简称乙方）</w:t>
      </w:r>
    </w:p>
    <w:p w14:paraId="64A1E7EE">
      <w:pPr>
        <w:keepNext w:val="0"/>
        <w:keepLines w:val="0"/>
        <w:pageBreakBefore w:val="0"/>
        <w:widowControl/>
        <w:shd w:val="clear" w:color="auto" w:fill="FFFFFF"/>
        <w:spacing w:before="75" w:line="300" w:lineRule="exact"/>
        <w:jc w:val="both"/>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p>
    <w:p w14:paraId="7BF2081B">
      <w:pPr>
        <w:keepNext w:val="0"/>
        <w:keepLines w:val="0"/>
        <w:pageBreakBefore w:val="0"/>
        <w:widowControl/>
        <w:shd w:val="clear" w:color="auto" w:fill="FFFFFF"/>
        <w:spacing w:before="75" w:line="300" w:lineRule="exact"/>
        <w:jc w:val="both"/>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eastAsia="zh-CN"/>
        </w:rPr>
        <w:t>住所地：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zh-CN" w:eastAsia="zh-CN"/>
        </w:rPr>
        <w:t>住所地：</w:t>
      </w:r>
    </w:p>
    <w:p w14:paraId="5217B762">
      <w:pPr>
        <w:spacing w:line="360" w:lineRule="auto"/>
        <w:jc w:val="both"/>
        <w:outlineLvl w:val="9"/>
        <w:rPr>
          <w:rFonts w:hint="eastAsia" w:ascii="宋体" w:hAnsi="宋体" w:eastAsia="宋体" w:cs="宋体"/>
          <w:color w:val="000000"/>
          <w:sz w:val="24"/>
          <w:szCs w:val="24"/>
          <w:highlight w:val="none"/>
          <w:lang w:val="zh-CN" w:bidi="ar"/>
        </w:rPr>
      </w:pPr>
    </w:p>
    <w:p w14:paraId="082839B0">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根据《中华人民共和国政府采购法》、《中华人民共和国民法典》等法律法规的规定， 甲乙双方经协商签订本合同。</w:t>
      </w:r>
    </w:p>
    <w:p w14:paraId="224CF69F">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第一条 合同标的</w:t>
      </w:r>
    </w:p>
    <w:p w14:paraId="44DBEC22">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乙方提供下列服务：</w:t>
      </w:r>
    </w:p>
    <w:p w14:paraId="7DB8B881">
      <w:pPr>
        <w:spacing w:line="360" w:lineRule="auto"/>
        <w:jc w:val="both"/>
        <w:outlineLvl w:val="9"/>
        <w:rPr>
          <w:rFonts w:hint="eastAsia" w:ascii="仿宋" w:hAnsi="仿宋" w:eastAsia="仿宋" w:cs="仿宋"/>
          <w:color w:val="000000"/>
          <w:sz w:val="10"/>
          <w:szCs w:val="10"/>
          <w:highlight w:val="none"/>
          <w:lang w:val="zh-CN" w:bidi="ar"/>
        </w:rPr>
      </w:pPr>
    </w:p>
    <w:tbl>
      <w:tblPr>
        <w:tblStyle w:val="284"/>
        <w:tblW w:w="9506" w:type="dxa"/>
        <w:tblInd w:w="7" w:type="dxa"/>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Layout w:type="fixed"/>
        <w:tblCellMar>
          <w:top w:w="0" w:type="dxa"/>
          <w:left w:w="0" w:type="dxa"/>
          <w:bottom w:w="0" w:type="dxa"/>
          <w:right w:w="0" w:type="dxa"/>
        </w:tblCellMar>
      </w:tblPr>
      <w:tblGrid>
        <w:gridCol w:w="1985"/>
        <w:gridCol w:w="3809"/>
        <w:gridCol w:w="1727"/>
        <w:gridCol w:w="1985"/>
      </w:tblGrid>
      <w:tr w14:paraId="73A4AA9D">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390" w:hRule="atLeast"/>
        </w:trPr>
        <w:tc>
          <w:tcPr>
            <w:tcW w:w="1985" w:type="dxa"/>
            <w:noWrap w:val="0"/>
          </w:tcPr>
          <w:p w14:paraId="5BCF9C5E">
            <w:pPr>
              <w:pStyle w:val="489"/>
              <w:spacing w:before="94" w:line="220" w:lineRule="auto"/>
              <w:ind w:left="68"/>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序号</w:t>
            </w:r>
          </w:p>
        </w:tc>
        <w:tc>
          <w:tcPr>
            <w:tcW w:w="3809" w:type="dxa"/>
            <w:noWrap w:val="0"/>
          </w:tcPr>
          <w:p w14:paraId="0C8E0ECE">
            <w:pPr>
              <w:pStyle w:val="489"/>
              <w:spacing w:before="94" w:line="220" w:lineRule="auto"/>
              <w:ind w:left="39"/>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名称</w:t>
            </w:r>
          </w:p>
        </w:tc>
        <w:tc>
          <w:tcPr>
            <w:tcW w:w="1727" w:type="dxa"/>
            <w:noWrap w:val="0"/>
          </w:tcPr>
          <w:p w14:paraId="3E1900AE">
            <w:pPr>
              <w:pStyle w:val="489"/>
              <w:spacing w:before="93" w:line="220" w:lineRule="auto"/>
              <w:ind w:left="38"/>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数量</w:t>
            </w:r>
          </w:p>
        </w:tc>
        <w:tc>
          <w:tcPr>
            <w:tcW w:w="1985" w:type="dxa"/>
            <w:noWrap w:val="0"/>
          </w:tcPr>
          <w:p w14:paraId="5FF3CBF6">
            <w:pPr>
              <w:pStyle w:val="489"/>
              <w:spacing w:before="94" w:line="220" w:lineRule="auto"/>
              <w:ind w:left="59"/>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单位</w:t>
            </w:r>
          </w:p>
        </w:tc>
      </w:tr>
      <w:tr w14:paraId="67781E0B">
        <w:tblPrEx>
          <w:tblBorders>
            <w:top w:val="single" w:color="808080" w:sz="2" w:space="0"/>
            <w:left w:val="single" w:color="808080" w:sz="2" w:space="0"/>
            <w:bottom w:val="single" w:color="808080" w:sz="2" w:space="0"/>
            <w:right w:val="single" w:color="808080" w:sz="2" w:space="0"/>
            <w:insideH w:val="single" w:color="808080" w:sz="2" w:space="0"/>
            <w:insideV w:val="single" w:color="808080" w:sz="2" w:space="0"/>
          </w:tblBorders>
          <w:tblCellMar>
            <w:top w:w="0" w:type="dxa"/>
            <w:left w:w="0" w:type="dxa"/>
            <w:bottom w:w="0" w:type="dxa"/>
            <w:right w:w="0" w:type="dxa"/>
          </w:tblCellMar>
        </w:tblPrEx>
        <w:trPr>
          <w:trHeight w:val="420" w:hRule="atLeast"/>
        </w:trPr>
        <w:tc>
          <w:tcPr>
            <w:tcW w:w="1985" w:type="dxa"/>
            <w:tcBorders>
              <w:bottom w:val="single" w:color="404040" w:sz="2" w:space="0"/>
              <w:right w:val="single" w:color="404040" w:sz="2" w:space="0"/>
            </w:tcBorders>
            <w:noWrap w:val="0"/>
          </w:tcPr>
          <w:p w14:paraId="272D6FA9">
            <w:pPr>
              <w:pStyle w:val="489"/>
              <w:spacing w:before="133" w:line="182" w:lineRule="auto"/>
              <w:ind w:left="87"/>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3809" w:type="dxa"/>
            <w:tcBorders>
              <w:bottom w:val="single" w:color="404040" w:sz="2" w:space="0"/>
              <w:right w:val="single" w:color="404040" w:sz="2" w:space="0"/>
            </w:tcBorders>
            <w:noWrap w:val="0"/>
          </w:tcPr>
          <w:p w14:paraId="74391E22">
            <w:pPr>
              <w:rPr>
                <w:rFonts w:hint="eastAsia" w:ascii="宋体" w:hAnsi="宋体" w:eastAsia="宋体" w:cs="宋体"/>
                <w:sz w:val="24"/>
                <w:szCs w:val="24"/>
                <w:highlight w:val="none"/>
                <w:lang w:eastAsia="zh-CN"/>
              </w:rPr>
            </w:pPr>
          </w:p>
        </w:tc>
        <w:tc>
          <w:tcPr>
            <w:tcW w:w="1727" w:type="dxa"/>
            <w:tcBorders>
              <w:bottom w:val="single" w:color="404040" w:sz="2" w:space="0"/>
              <w:right w:val="single" w:color="404040" w:sz="2" w:space="0"/>
            </w:tcBorders>
            <w:noWrap w:val="0"/>
          </w:tcPr>
          <w:p w14:paraId="049796B6">
            <w:pPr>
              <w:pStyle w:val="489"/>
              <w:spacing w:before="133" w:line="182" w:lineRule="auto"/>
              <w:ind w:left="54"/>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985" w:type="dxa"/>
            <w:tcBorders>
              <w:bottom w:val="single" w:color="404040" w:sz="2" w:space="0"/>
              <w:right w:val="single" w:color="404040" w:sz="2" w:space="0"/>
            </w:tcBorders>
            <w:noWrap w:val="0"/>
          </w:tcPr>
          <w:p w14:paraId="4A6BC665">
            <w:pPr>
              <w:pStyle w:val="489"/>
              <w:spacing w:before="94" w:line="220" w:lineRule="auto"/>
              <w:ind w:left="61"/>
              <w:rPr>
                <w:rFonts w:hint="eastAsia" w:ascii="宋体" w:hAnsi="宋体" w:eastAsia="宋体" w:cs="宋体"/>
                <w:sz w:val="24"/>
                <w:szCs w:val="24"/>
                <w:highlight w:val="none"/>
              </w:rPr>
            </w:pPr>
            <w:r>
              <w:rPr>
                <w:rFonts w:hint="eastAsia" w:ascii="宋体" w:hAnsi="宋体" w:eastAsia="宋体" w:cs="宋体"/>
                <w:sz w:val="24"/>
                <w:szCs w:val="24"/>
                <w:highlight w:val="none"/>
              </w:rPr>
              <w:t>项</w:t>
            </w:r>
          </w:p>
        </w:tc>
      </w:tr>
    </w:tbl>
    <w:p w14:paraId="0E30211A">
      <w:pPr>
        <w:spacing w:line="360" w:lineRule="auto"/>
        <w:jc w:val="both"/>
        <w:outlineLvl w:val="9"/>
        <w:rPr>
          <w:rFonts w:hint="eastAsia" w:ascii="宋体" w:hAnsi="宋体" w:eastAsia="宋体" w:cs="宋体"/>
          <w:color w:val="000000"/>
          <w:sz w:val="18"/>
          <w:szCs w:val="18"/>
          <w:highlight w:val="none"/>
          <w:lang w:val="zh-CN" w:bidi="ar"/>
        </w:rPr>
      </w:pPr>
    </w:p>
    <w:p w14:paraId="1DF18FE2">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服务内容详见乙方投标（响应）文件。</w:t>
      </w:r>
    </w:p>
    <w:p w14:paraId="200B577C">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第二条 合同总价款</w:t>
      </w:r>
    </w:p>
    <w:p w14:paraId="300D9472">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本合同项下总价款为（大写：</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zh-CN" w:bidi="ar"/>
        </w:rPr>
        <w:t>）</w:t>
      </w:r>
      <w:r>
        <w:rPr>
          <w:rFonts w:hint="eastAsia" w:ascii="宋体" w:hAnsi="宋体" w:eastAsia="宋体" w:cs="宋体"/>
          <w:color w:val="000000"/>
          <w:sz w:val="24"/>
          <w:szCs w:val="24"/>
          <w:highlight w:val="none"/>
          <w:lang w:val="en-US" w:eastAsia="zh-CN" w:bidi="ar"/>
        </w:rPr>
        <w:t>¥</w:t>
      </w:r>
      <w:r>
        <w:rPr>
          <w:rFonts w:hint="eastAsia" w:ascii="宋体" w:hAnsi="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zh-CN" w:bidi="ar"/>
        </w:rPr>
        <w:t>人民币， 分项价款详见 《</w:t>
      </w:r>
      <w:r>
        <w:rPr>
          <w:rFonts w:hint="eastAsia" w:ascii="宋体" w:hAnsi="宋体" w:eastAsia="宋体" w:cs="宋体"/>
          <w:color w:val="000000"/>
          <w:sz w:val="24"/>
          <w:szCs w:val="24"/>
          <w:highlight w:val="none"/>
          <w:lang w:val="en-US" w:eastAsia="zh-CN" w:bidi="ar"/>
        </w:rPr>
        <w:t>分项</w:t>
      </w:r>
      <w:r>
        <w:rPr>
          <w:rFonts w:hint="eastAsia" w:ascii="宋体" w:hAnsi="宋体" w:eastAsia="宋体" w:cs="宋体"/>
          <w:color w:val="000000"/>
          <w:sz w:val="24"/>
          <w:szCs w:val="24"/>
          <w:highlight w:val="none"/>
          <w:lang w:val="zh-CN" w:bidi="ar"/>
        </w:rPr>
        <w:t>报价表》 。</w:t>
      </w:r>
    </w:p>
    <w:p w14:paraId="2077FB78">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本合同最终结算总价款按照</w:t>
      </w:r>
      <w:r>
        <w:rPr>
          <w:rFonts w:hint="eastAsia" w:ascii="宋体" w:hAnsi="宋体" w:cs="宋体"/>
          <w:color w:val="000000"/>
          <w:sz w:val="24"/>
          <w:szCs w:val="24"/>
          <w:highlight w:val="none"/>
          <w:lang w:val="en-US" w:eastAsia="zh-CN" w:bidi="ar"/>
        </w:rPr>
        <w:t>采购</w:t>
      </w:r>
      <w:r>
        <w:rPr>
          <w:rFonts w:hint="eastAsia" w:ascii="宋体" w:hAnsi="宋体" w:eastAsia="宋体" w:cs="宋体"/>
          <w:color w:val="000000"/>
          <w:sz w:val="24"/>
          <w:szCs w:val="24"/>
          <w:highlight w:val="none"/>
          <w:lang w:val="zh-CN" w:bidi="ar"/>
        </w:rPr>
        <w:t>文件约定执行。</w:t>
      </w:r>
    </w:p>
    <w:p w14:paraId="631491B9">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本合同总价款包含以下内容：</w:t>
      </w:r>
    </w:p>
    <w:p w14:paraId="66F1807D">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（1）完成本服务项目发生的所有含税费用；</w:t>
      </w:r>
    </w:p>
    <w:p w14:paraId="119874C8">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（2）支付给员工的工资和国家强制缴纳的各种社会保障资金；</w:t>
      </w:r>
    </w:p>
    <w:p w14:paraId="12C4E93D">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（3）乙方应当提供的伴随服务/售后服务费用；</w:t>
      </w:r>
    </w:p>
    <w:p w14:paraId="7DA9DDBF">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（4）供应商认为需要的其他费用。</w:t>
      </w:r>
    </w:p>
    <w:p w14:paraId="3D334656">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本合同为固定</w:t>
      </w:r>
      <w:r>
        <w:rPr>
          <w:rFonts w:hint="eastAsia" w:ascii="宋体" w:hAnsi="宋体" w:eastAsia="宋体" w:cs="宋体"/>
          <w:color w:val="000000"/>
          <w:sz w:val="24"/>
          <w:szCs w:val="24"/>
          <w:highlight w:val="none"/>
          <w:lang w:val="en-US" w:eastAsia="zh-CN" w:bidi="ar"/>
        </w:rPr>
        <w:t>单价</w:t>
      </w:r>
      <w:r>
        <w:rPr>
          <w:rFonts w:hint="eastAsia" w:ascii="宋体" w:hAnsi="宋体" w:eastAsia="宋体" w:cs="宋体"/>
          <w:color w:val="000000"/>
          <w:sz w:val="24"/>
          <w:szCs w:val="24"/>
          <w:highlight w:val="none"/>
          <w:lang w:val="zh-CN" w:bidi="ar"/>
        </w:rPr>
        <w:t>合同。</w:t>
      </w:r>
    </w:p>
    <w:p w14:paraId="7600A0AA">
      <w:pPr>
        <w:spacing w:line="360" w:lineRule="auto"/>
        <w:jc w:val="both"/>
        <w:outlineLvl w:val="9"/>
        <w:rPr>
          <w:rFonts w:hint="eastAsia" w:ascii="宋体" w:hAnsi="宋体" w:eastAsia="宋体" w:cs="宋体"/>
          <w:b/>
          <w:bCs/>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第三条 合同期限</w:t>
      </w:r>
    </w:p>
    <w:p w14:paraId="78661493">
      <w:pPr>
        <w:spacing w:line="360" w:lineRule="auto"/>
        <w:jc w:val="both"/>
        <w:outlineLvl w:val="9"/>
        <w:rPr>
          <w:rFonts w:hint="eastAsia" w:ascii="宋体" w:hAnsi="宋体" w:eastAsia="宋体" w:cs="宋体"/>
          <w:b/>
          <w:bCs/>
          <w:color w:val="000000"/>
          <w:sz w:val="24"/>
          <w:szCs w:val="24"/>
          <w:highlight w:val="none"/>
          <w:lang w:val="zh-CN" w:bidi="ar"/>
        </w:rPr>
      </w:pPr>
      <w:r>
        <w:rPr>
          <w:rFonts w:hint="eastAsia" w:ascii="宋体" w:hAnsi="宋体" w:eastAsia="宋体" w:cs="宋体"/>
          <w:color w:val="000000"/>
          <w:sz w:val="24"/>
          <w:szCs w:val="24"/>
          <w:highlight w:val="none"/>
          <w:lang w:val="zh-CN" w:bidi="ar"/>
        </w:rPr>
        <w:t>合同服务时间：自</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年</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月</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日至</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年</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月</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zh-CN" w:bidi="ar"/>
        </w:rPr>
        <w:t>日。服务</w:t>
      </w:r>
      <w:r>
        <w:rPr>
          <w:rFonts w:hint="eastAsia" w:ascii="宋体" w:hAnsi="宋体" w:cs="宋体"/>
          <w:color w:val="000000"/>
          <w:sz w:val="24"/>
          <w:szCs w:val="24"/>
          <w:highlight w:val="none"/>
          <w:lang w:val="en-US" w:eastAsia="zh-CN" w:bidi="ar"/>
        </w:rPr>
        <w:t>期限</w:t>
      </w:r>
      <w:r>
        <w:rPr>
          <w:rFonts w:hint="eastAsia" w:ascii="宋体" w:hAnsi="宋体" w:eastAsia="宋体" w:cs="宋体"/>
          <w:color w:val="000000"/>
          <w:sz w:val="24"/>
          <w:szCs w:val="24"/>
          <w:highlight w:val="none"/>
          <w:lang w:val="zh-CN" w:bidi="ar"/>
        </w:rPr>
        <w:t>为一年。</w:t>
      </w:r>
    </w:p>
    <w:p w14:paraId="3573FE4C">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第四条 组成本合同的有关文件</w:t>
      </w:r>
    </w:p>
    <w:p w14:paraId="3F2D6D61">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下列关于</w:t>
      </w:r>
      <w:r>
        <w:rPr>
          <w:rFonts w:hint="eastAsia" w:ascii="宋体" w:hAnsi="宋体" w:eastAsia="宋体" w:cs="宋体"/>
          <w:color w:val="000000"/>
          <w:sz w:val="24"/>
          <w:szCs w:val="24"/>
          <w:highlight w:val="none"/>
          <w:u w:val="single"/>
          <w:lang w:val="zh-CN" w:bidi="ar"/>
        </w:rPr>
        <w:t xml:space="preserve">      </w:t>
      </w:r>
      <w:r>
        <w:rPr>
          <w:rFonts w:hint="eastAsia" w:ascii="宋体" w:hAnsi="宋体" w:eastAsia="宋体" w:cs="宋体"/>
          <w:color w:val="000000"/>
          <w:sz w:val="24"/>
          <w:szCs w:val="24"/>
          <w:highlight w:val="none"/>
          <w:lang w:val="zh-CN" w:bidi="ar"/>
        </w:rPr>
        <w:t>号的招标（采购）文件、投标（响应）文件， 以及与本次采购活动相关的文件及有关附件是本合同不可分割的组成部分，与本合同具有同等法律效力，这些文件包括但不限于：</w:t>
      </w:r>
    </w:p>
    <w:p w14:paraId="5547CAC4">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（1）投标（响应）文件和报价表；</w:t>
      </w:r>
    </w:p>
    <w:p w14:paraId="1D4030FF">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（2）中标（成交）通知书；</w:t>
      </w:r>
    </w:p>
    <w:p w14:paraId="3A24492C">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w:t>
      </w:r>
      <w:r>
        <w:rPr>
          <w:rFonts w:hint="eastAsia" w:ascii="宋体" w:hAnsi="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zh-CN" w:bidi="ar"/>
        </w:rPr>
        <w:t>）甲乙双方商定的其它文件。</w:t>
      </w:r>
    </w:p>
    <w:p w14:paraId="698B0A45">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第五条 权利保证</w:t>
      </w:r>
    </w:p>
    <w:p w14:paraId="7C25817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一、甲方权利、义务：</w:t>
      </w:r>
    </w:p>
    <w:p w14:paraId="674B3C75">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1、检查监督乙方工作的实施及制度的执行情况；</w:t>
      </w:r>
    </w:p>
    <w:p w14:paraId="059E5DB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2、协助乙方做好服务工作并提供必要的工作条件和材料堆放、用品储藏区域；</w:t>
      </w:r>
    </w:p>
    <w:p w14:paraId="304F053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3、法律、法规规定由甲方承担的其他责任。</w:t>
      </w:r>
    </w:p>
    <w:p w14:paraId="084FCFC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二、乙方权利、义务：</w:t>
      </w:r>
    </w:p>
    <w:p w14:paraId="64BAEC0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1、乙方根据甲方的委托，对项目实施综合管理，确保实现管理目标，并承担相应责任，接受甲方检查、管理。及时与甲方沟通，接受甲方合理化建议；</w:t>
      </w:r>
    </w:p>
    <w:p w14:paraId="21780F8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2、根据有关法律、法规，结合甲方需求及项目特点，制定乙方工作岗位的工作规范和考核办法。</w:t>
      </w:r>
    </w:p>
    <w:p w14:paraId="7C0F4F2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3、未经过甲方</w:t>
      </w:r>
      <w:r>
        <w:rPr>
          <w:rFonts w:hint="eastAsia" w:ascii="宋体" w:hAnsi="宋体" w:eastAsia="宋体" w:cs="宋体"/>
          <w:color w:val="000000"/>
          <w:sz w:val="24"/>
          <w:szCs w:val="24"/>
          <w:highlight w:val="none"/>
          <w:lang w:val="en-US" w:eastAsia="zh-CN" w:bidi="ar"/>
        </w:rPr>
        <w:t>书面</w:t>
      </w:r>
      <w:r>
        <w:rPr>
          <w:rFonts w:hint="eastAsia" w:ascii="宋体" w:hAnsi="宋体" w:eastAsia="宋体" w:cs="宋体"/>
          <w:color w:val="000000"/>
          <w:sz w:val="24"/>
          <w:szCs w:val="24"/>
          <w:highlight w:val="none"/>
          <w:lang w:val="zh-CN" w:bidi="ar"/>
        </w:rPr>
        <w:t>同意，乙方不得对所管理的甲方公用设施擅自占用和改变其他使用功能。</w:t>
      </w:r>
    </w:p>
    <w:p w14:paraId="51CFD89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4、在经过甲方</w:t>
      </w:r>
      <w:r>
        <w:rPr>
          <w:rFonts w:hint="eastAsia" w:ascii="宋体" w:hAnsi="宋体" w:eastAsia="宋体" w:cs="宋体"/>
          <w:color w:val="000000"/>
          <w:sz w:val="24"/>
          <w:szCs w:val="24"/>
          <w:highlight w:val="none"/>
          <w:lang w:val="en-US" w:eastAsia="zh-CN" w:bidi="ar"/>
        </w:rPr>
        <w:t>书面</w:t>
      </w:r>
      <w:r>
        <w:rPr>
          <w:rFonts w:hint="eastAsia" w:ascii="宋体" w:hAnsi="宋体" w:eastAsia="宋体" w:cs="宋体"/>
          <w:color w:val="000000"/>
          <w:sz w:val="24"/>
          <w:szCs w:val="24"/>
          <w:highlight w:val="none"/>
          <w:lang w:val="zh-CN" w:bidi="ar"/>
        </w:rPr>
        <w:t>同意后，乙方才可委托专业公司承担乙方不能或没有资质的服务项目，并由乙方支付费用。</w:t>
      </w:r>
    </w:p>
    <w:p w14:paraId="18841A2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5、乙方须本着高效、精干的原则设置项目管理机构和人员，统一着装，挂牌上岗，文明规范操作。</w:t>
      </w:r>
    </w:p>
    <w:p w14:paraId="48B6331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6、乙方负责对保洁管理人员进行岗位前培训和经常性的职业道德、业务技能培训教育，尤其要加强安全、保密教育，严格遵守甲方有关规章制度。</w:t>
      </w:r>
    </w:p>
    <w:p w14:paraId="2307987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7、乙方应执行国家有关规定依法用工，负责乙方员工的生病、事故、伤残、死亡和劳务纠纷的处理，甲方不承担任何相关责任；</w:t>
      </w:r>
    </w:p>
    <w:p w14:paraId="32CA5B8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8、提供合格的耗材和管理用具，确保供应；</w:t>
      </w:r>
    </w:p>
    <w:p w14:paraId="2EAEACA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9、乙方负责各类设施设备的日常管理和巡查，如有设备损坏及时与甲方联系进行维修，保证良好运行状态；</w:t>
      </w:r>
    </w:p>
    <w:p w14:paraId="023BBA6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10、建立健全的服务管理台帐；</w:t>
      </w:r>
    </w:p>
    <w:p w14:paraId="078E53B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11、合同终止时，向甲方移交全部管理用房、档案资料和属甲方所有的其他资产，并办理交接手续；</w:t>
      </w:r>
    </w:p>
    <w:p w14:paraId="52C5C39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12、法规、政策规定由乙方承担的其他责任。</w:t>
      </w:r>
    </w:p>
    <w:p w14:paraId="6B0F5F2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三、在管理过程中，因下列因素所致的损害，不论其为直接或间接，均构成对乙方的免责事由，乙方均不负赔偿之责：</w:t>
      </w:r>
    </w:p>
    <w:p w14:paraId="429F9A9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1、天灾、地震等不可抗力的事由所致的损害；</w:t>
      </w:r>
    </w:p>
    <w:p w14:paraId="6A264EA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2、暴动、持械抢劫、破坏、爆炸、火灾、刑事犯罪等违法行为等事由所致的损害，但因乙方故意或过失所致，不在此限；</w:t>
      </w:r>
    </w:p>
    <w:p w14:paraId="59EBAF8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3、因本合同标的物本身固有瑕疵所致的损害；</w:t>
      </w:r>
    </w:p>
    <w:p w14:paraId="74CA7AA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4、因甲方或第三者之故意、过失所致的损害；</w:t>
      </w:r>
    </w:p>
    <w:p w14:paraId="7D7EF50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5、因甲方或使用人专有部分的火灾、盗窃等所致的损害。</w:t>
      </w:r>
    </w:p>
    <w:p w14:paraId="6F42AF6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p>
    <w:p w14:paraId="0EF61ECF">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四、为维护公众、甲方及物业使用人的合法利益，在不可预见情况下，如发生煤气泄露、漏电、火灾、水管破裂、救助人命、协助公安机关执行任务等情况，乙方因采取紧急避险措施造成财产损失的，按有关法律规定处理。</w:t>
      </w:r>
    </w:p>
    <w:p w14:paraId="769F8088">
      <w:pPr>
        <w:spacing w:line="360" w:lineRule="auto"/>
        <w:jc w:val="both"/>
        <w:outlineLvl w:val="9"/>
        <w:rPr>
          <w:rFonts w:hint="eastAsia" w:ascii="宋体" w:hAnsi="宋体" w:eastAsia="宋体" w:cs="宋体"/>
          <w:b/>
          <w:bCs/>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第六条 质量保证</w:t>
      </w:r>
    </w:p>
    <w:p w14:paraId="01C0EAA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一、服务质量标准</w:t>
      </w:r>
    </w:p>
    <w:p w14:paraId="134E05D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1、乙方提供的服务必须全部达到采购文件各项要求、国家或行业有规定的、还要符合相应规定。</w:t>
      </w:r>
    </w:p>
    <w:p w14:paraId="317E4FC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建立质量管理体系并有效运行，管理服务能够接受质量审核。</w:t>
      </w:r>
    </w:p>
    <w:p w14:paraId="2B6B446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管理服务逐步达到接受创优评审条件。</w:t>
      </w:r>
    </w:p>
    <w:p w14:paraId="759B7CA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各项承诺指标及所采取的措施详见招标文件及投标文件等相关内容。</w:t>
      </w:r>
    </w:p>
    <w:p w14:paraId="2914B39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其他管理服务质量要求按南京市有关标准执行。</w:t>
      </w:r>
    </w:p>
    <w:p w14:paraId="68EE010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二、其他</w:t>
      </w:r>
    </w:p>
    <w:p w14:paraId="06FBFD3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left"/>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应设置巡查应急预案，如遇特殊天气情况或应急检查，乙方应确保有足够力量完成工作，并承担由此产生的相关费用。如乙方不能按照甲方要求完成合同工作，甲方有权将乙方承包范围内的相关工程量进行调整，交由其他单位实施，费用由乙方承担，乙方应无条件服从并给予配合。</w:t>
      </w:r>
    </w:p>
    <w:p w14:paraId="2945F65F">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第七条 交付和验收</w:t>
      </w:r>
    </w:p>
    <w:p w14:paraId="58A79C26">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1.乙方应当在合同签订后365日历天内完成服务事项。</w:t>
      </w:r>
    </w:p>
    <w:p w14:paraId="06927D82">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2.验收标准：按行业通行标准和乙方投标（响应）文件的承诺（详见合同附件载明的标准，并不低于国家相关标准）。</w:t>
      </w:r>
    </w:p>
    <w:p w14:paraId="78A6D4A5">
      <w:pPr>
        <w:spacing w:line="360" w:lineRule="auto"/>
        <w:jc w:val="both"/>
        <w:outlineLvl w:val="9"/>
        <w:rPr>
          <w:rFonts w:hint="eastAsia" w:ascii="宋体" w:hAnsi="宋体" w:eastAsia="宋体" w:cs="宋体"/>
          <w:b/>
          <w:bCs/>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第八条 履约保证金</w:t>
      </w:r>
    </w:p>
    <w:p w14:paraId="6C972761">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1.中标（成交）供应商应按以下第（1）方式向采购人缴纳履约保证金：</w:t>
      </w:r>
    </w:p>
    <w:p w14:paraId="58960414">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（1）无需缴纳履约保证金；</w:t>
      </w:r>
    </w:p>
    <w:p w14:paraId="615F166F">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（2）投标保证金转为履约保证金；</w:t>
      </w:r>
    </w:p>
    <w:p w14:paraId="7D438635">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（3）以支票、汇票、本票或者金融机构、担保机构出具的保函等非现金形式缴纳履约保证金，金额为</w:t>
      </w:r>
      <w:r>
        <w:rPr>
          <w:rFonts w:hint="eastAsia" w:ascii="宋体" w:hAnsi="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zh-CN" w:bidi="ar"/>
        </w:rPr>
        <w:t>。</w:t>
      </w:r>
    </w:p>
    <w:p w14:paraId="0B22523A">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2.履约保证金的有效期至</w:t>
      </w:r>
      <w:r>
        <w:rPr>
          <w:rFonts w:hint="eastAsia" w:ascii="宋体" w:hAnsi="宋体" w:cs="宋体"/>
          <w:color w:val="000000"/>
          <w:sz w:val="24"/>
          <w:szCs w:val="24"/>
          <w:highlight w:val="none"/>
          <w:u w:val="single"/>
          <w:lang w:val="en-US" w:eastAsia="zh-CN" w:bidi="ar"/>
        </w:rPr>
        <w:t xml:space="preserve"> / </w:t>
      </w:r>
      <w:r>
        <w:rPr>
          <w:rFonts w:hint="eastAsia" w:ascii="宋体" w:hAnsi="宋体" w:eastAsia="宋体" w:cs="宋体"/>
          <w:color w:val="000000"/>
          <w:sz w:val="24"/>
          <w:szCs w:val="24"/>
          <w:highlight w:val="none"/>
          <w:lang w:val="zh-CN" w:bidi="ar"/>
        </w:rPr>
        <w:t>时止。</w:t>
      </w:r>
    </w:p>
    <w:p w14:paraId="65E1A530">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3.如乙方未能履行合同规定的义务，甲方有权从履约保证金中取得补偿。</w:t>
      </w:r>
    </w:p>
    <w:p w14:paraId="7E27ED59">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4.履约保证金扣除甲方应得的补偿后的余额，在有效期满后个工作日内无息退还给乙方。</w:t>
      </w:r>
    </w:p>
    <w:p w14:paraId="4E02FCE9">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第九条 合同款支付</w:t>
      </w:r>
    </w:p>
    <w:p w14:paraId="78971F78">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1.本合同项下所有款项均以人民币支付。</w:t>
      </w:r>
    </w:p>
    <w:p w14:paraId="5213E5F0">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2.本合同项下的采购资金由乙方开具</w:t>
      </w:r>
      <w:r>
        <w:rPr>
          <w:rFonts w:hint="eastAsia" w:ascii="宋体" w:hAnsi="宋体" w:eastAsia="宋体" w:cs="宋体"/>
          <w:color w:val="000000"/>
          <w:sz w:val="24"/>
          <w:szCs w:val="24"/>
          <w:highlight w:val="none"/>
          <w:lang w:val="en-US" w:eastAsia="zh-CN" w:bidi="ar"/>
        </w:rPr>
        <w:t>增值税专用</w:t>
      </w:r>
      <w:r>
        <w:rPr>
          <w:rFonts w:hint="eastAsia" w:ascii="宋体" w:hAnsi="宋体" w:eastAsia="宋体" w:cs="宋体"/>
          <w:color w:val="000000"/>
          <w:sz w:val="24"/>
          <w:szCs w:val="24"/>
          <w:highlight w:val="none"/>
          <w:lang w:val="zh-CN" w:bidi="ar"/>
        </w:rPr>
        <w:t>发票，甲方按照本条第 3 款的约定支付。</w:t>
      </w:r>
    </w:p>
    <w:p w14:paraId="181F1362">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3.付款条件： </w:t>
      </w:r>
    </w:p>
    <w:p w14:paraId="3BF9C7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3.1</w:t>
      </w:r>
      <w:r>
        <w:rPr>
          <w:rFonts w:hint="eastAsia" w:eastAsia="宋体"/>
          <w:highlight w:val="none"/>
          <w:lang w:val="en-US" w:eastAsia="zh-CN"/>
        </w:rPr>
        <w:t>合同签订后30日内支付合同价款的30％，服务进行到半年后30日内支付合同价款的20％，服务完成，乙方提供巡查、养护记录、成果和甲方考核结果等结算资料，按照中标单价和甲方确认的完成数量上报结算，经甲方审计后30日内支付至结算价的100％。</w:t>
      </w:r>
      <w:r>
        <w:rPr>
          <w:rFonts w:hint="eastAsia" w:ascii="宋体" w:hAnsi="宋体" w:eastAsia="宋体" w:cs="宋体"/>
          <w:color w:val="000000"/>
          <w:sz w:val="24"/>
          <w:szCs w:val="24"/>
          <w:highlight w:val="none"/>
          <w:lang w:val="zh-CN" w:bidi="ar"/>
        </w:rPr>
        <w:t xml:space="preserve"> </w:t>
      </w:r>
    </w:p>
    <w:p w14:paraId="370E883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3.2</w:t>
      </w:r>
      <w:r>
        <w:rPr>
          <w:rFonts w:hint="eastAsia" w:ascii="宋体" w:hAnsi="宋体" w:eastAsia="宋体" w:cs="宋体"/>
          <w:color w:val="000000"/>
          <w:sz w:val="24"/>
          <w:szCs w:val="24"/>
          <w:highlight w:val="none"/>
          <w:lang w:val="zh-CN" w:bidi="ar"/>
        </w:rPr>
        <w:t>每次付款</w:t>
      </w:r>
      <w:r>
        <w:rPr>
          <w:rFonts w:hint="eastAsia" w:ascii="宋体" w:hAnsi="宋体" w:eastAsia="宋体" w:cs="宋体"/>
          <w:color w:val="000000"/>
          <w:sz w:val="24"/>
          <w:szCs w:val="24"/>
          <w:highlight w:val="none"/>
          <w:lang w:val="en-US" w:eastAsia="zh-CN" w:bidi="ar"/>
        </w:rPr>
        <w:t>前乙方应当</w:t>
      </w:r>
      <w:r>
        <w:rPr>
          <w:rFonts w:hint="eastAsia" w:ascii="宋体" w:hAnsi="宋体" w:eastAsia="宋体" w:cs="宋体"/>
          <w:color w:val="000000"/>
          <w:sz w:val="24"/>
          <w:szCs w:val="24"/>
          <w:highlight w:val="none"/>
          <w:lang w:val="zh-CN" w:bidi="ar"/>
        </w:rPr>
        <w:t>提供增值税专用发票。</w:t>
      </w:r>
    </w:p>
    <w:p w14:paraId="500BCFEA">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第十条 违约责任</w:t>
      </w:r>
    </w:p>
    <w:p w14:paraId="0DA86E55">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1.甲方无正当理由拒收服务、拒付服务款的，甲方向乙方偿付合同总价的 5%违约金。 </w:t>
      </w:r>
    </w:p>
    <w:p w14:paraId="5CB399F0">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2.甲方未按合同规定的期限向乙方支付服务款的，每逾期 1 天甲方向乙方偿付欠款总额的5‰滞纳金，但累计滞纳金总额不超过欠款总额的 5%。 </w:t>
      </w:r>
    </w:p>
    <w:p w14:paraId="311DEC9F">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3.甲方逾期退还履约保证金的，除应当退还履约保证金本金外，还应当按中国人民银行同期贷款基准利率支付超期资金占用费，但因乙方自身原因导致无法及时退还的除外。 </w:t>
      </w:r>
    </w:p>
    <w:p w14:paraId="3F9D9CAE">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4.如乙方不能交付服务的，甲方有权扣留全部履约保证金；同时乙方应向甲方支付合同总价5%的违约金。 </w:t>
      </w:r>
    </w:p>
    <w:p w14:paraId="4CEED6B1">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5.乙方逾期交付的，每逾期1天，乙方向甲方偿付合同总额的‰的滞纳金。如乙方逾期交付达10天，甲方有权解除合同，解除合同的通知自到达乙方时生效。</w:t>
      </w:r>
    </w:p>
    <w:p w14:paraId="74C75A70">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6.乙方所交付的服务不符合合同规定的，甲方有权拒收。甲方拒收的，乙方应向甲方支付合同总款 5%的违约金。 </w:t>
      </w:r>
    </w:p>
    <w:p w14:paraId="62661992">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7.在乙方承诺的或国家规定的质量保证期内（取两者中最长的期限），如经乙方 2 次整改仍不能达到合同约定的质量标准，乙方应退回全部合同价款，并按本条第 </w:t>
      </w:r>
      <w:r>
        <w:rPr>
          <w:rFonts w:hint="eastAsia" w:ascii="宋体" w:hAnsi="宋体" w:eastAsia="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val="zh-CN" w:bidi="ar"/>
        </w:rPr>
        <w:t xml:space="preserve"> 款处理，同时，乙方还须赔偿甲方因此遭受的损失。</w:t>
      </w:r>
    </w:p>
    <w:p w14:paraId="0B2B2AD4">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8.乙方未按本合同的规定和服务承诺提供伴随服务/售后服务的，应按合同总价款的 5%向甲方承担违约责任。 </w:t>
      </w:r>
    </w:p>
    <w:p w14:paraId="3B56E582">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9.乙方在承担上述 4-7 款一项或多项违约责任后，仍应继续履行合同规定的义务（甲方解除合同的除外）。甲方未能及时追究乙方的任何一项违约责任并不表明甲方放弃追究乙方该项或其他违约责任。 </w:t>
      </w:r>
    </w:p>
    <w:p w14:paraId="36AE955B">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10.乙方响应属虚假承诺，或经权威部门检测提供的服务不能满足投标（响应）文件要 </w:t>
      </w:r>
    </w:p>
    <w:p w14:paraId="00B88CAC">
      <w:pPr>
        <w:spacing w:line="360" w:lineRule="auto"/>
        <w:jc w:val="left"/>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求，或是由于乙方的过错造成合同无法继续履行的，乙方履约保证金不予退还外，还应向甲方支付合同总价 30%赔偿金。若该赔偿金不足以弥补甲方实际损失的，甲方有权要求乙方赔偿全部损失，</w:t>
      </w:r>
      <w:r>
        <w:rPr>
          <w:rFonts w:hint="eastAsia" w:ascii="宋体" w:hAnsi="宋体" w:eastAsia="宋体" w:cs="宋体"/>
          <w:color w:val="000000"/>
          <w:sz w:val="24"/>
          <w:szCs w:val="24"/>
          <w:highlight w:val="none"/>
          <w:lang w:val="en-US" w:eastAsia="zh-CN" w:bidi="ar"/>
        </w:rPr>
        <w:t>包括但不限于直接损失、间接损失、维权支出的费用（律师费、保全担保服务费、鉴定费等）等</w:t>
      </w:r>
      <w:r>
        <w:rPr>
          <w:rFonts w:hint="eastAsia" w:ascii="宋体" w:hAnsi="宋体" w:eastAsia="宋体" w:cs="宋体"/>
          <w:color w:val="000000"/>
          <w:sz w:val="24"/>
          <w:szCs w:val="24"/>
          <w:highlight w:val="none"/>
          <w:lang w:val="zh-CN" w:bidi="ar"/>
        </w:rPr>
        <w:t>。同时，甲方有权解除合同，并不免除乙方的前述赔偿责任。</w:t>
      </w:r>
    </w:p>
    <w:p w14:paraId="2FC78BEE">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第十一条 合同的变更和终止</w:t>
      </w:r>
    </w:p>
    <w:p w14:paraId="60D8C28F">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1.除《政府采购法》第 50 条规定的情形外，本合同一经签订，甲乙双方不得擅自变更</w:t>
      </w:r>
      <w:r>
        <w:rPr>
          <w:rFonts w:hint="eastAsia" w:ascii="宋体" w:hAnsi="宋体" w:cs="宋体"/>
          <w:color w:val="000000"/>
          <w:sz w:val="24"/>
          <w:szCs w:val="24"/>
          <w:highlight w:val="none"/>
          <w:lang w:val="zh-CN" w:bidi="ar"/>
        </w:rPr>
        <w:t>、</w:t>
      </w:r>
      <w:r>
        <w:rPr>
          <w:rFonts w:hint="eastAsia" w:ascii="宋体" w:hAnsi="宋体" w:eastAsia="宋体" w:cs="宋体"/>
          <w:color w:val="000000"/>
          <w:sz w:val="24"/>
          <w:szCs w:val="24"/>
          <w:highlight w:val="none"/>
          <w:lang w:val="zh-CN" w:bidi="ar"/>
        </w:rPr>
        <w:t>中止或终止。</w:t>
      </w:r>
    </w:p>
    <w:p w14:paraId="5281852A">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2.除发生法律规定的不能预见、不能避免并不能克服的客观情况外，甲乙双方不得放弃或拒绝履行合同。乙方放弃或拒绝履行合同，履约保证金不予退还，并按规定接受相关部门的处罚。</w:t>
      </w:r>
    </w:p>
    <w:p w14:paraId="4FB03636">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3</w:t>
      </w:r>
      <w:r>
        <w:rPr>
          <w:rFonts w:hint="eastAsia" w:ascii="宋体" w:hAnsi="宋体" w:eastAsia="宋体" w:cs="宋体"/>
          <w:color w:val="000000"/>
          <w:sz w:val="24"/>
          <w:szCs w:val="24"/>
          <w:highlight w:val="none"/>
          <w:lang w:val="zh-CN" w:bidi="ar"/>
        </w:rPr>
        <w:t>、本合同终止时，乙方应移交管理权，撤出本项目，协助甲方做好服务的交接和善后工作，移交或配合甲方移交管理用房和管理的全部档案资料等。</w:t>
      </w:r>
    </w:p>
    <w:p w14:paraId="677A2216">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4</w:t>
      </w:r>
      <w:r>
        <w:rPr>
          <w:rFonts w:hint="eastAsia" w:ascii="宋体" w:hAnsi="宋体" w:eastAsia="宋体" w:cs="宋体"/>
          <w:color w:val="000000"/>
          <w:sz w:val="24"/>
          <w:szCs w:val="24"/>
          <w:highlight w:val="none"/>
          <w:lang w:val="zh-CN" w:bidi="ar"/>
        </w:rPr>
        <w:t>、本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p>
    <w:p w14:paraId="1FBCA14F">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第十二条 合同的转让</w:t>
      </w:r>
    </w:p>
    <w:p w14:paraId="2250C59B">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乙方不得擅自部分或全部转让其应履行的合同义务。</w:t>
      </w:r>
    </w:p>
    <w:p w14:paraId="69706CF3">
      <w:pPr>
        <w:spacing w:line="360" w:lineRule="auto"/>
        <w:jc w:val="both"/>
        <w:outlineLvl w:val="9"/>
        <w:rPr>
          <w:rFonts w:hint="eastAsia" w:ascii="宋体" w:hAnsi="宋体" w:eastAsia="宋体" w:cs="宋体"/>
          <w:b/>
          <w:bCs/>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第十三条 争议的解决</w:t>
      </w:r>
    </w:p>
    <w:p w14:paraId="41FF1DC6">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1.因服务的质量问题发生争议的，应当邀请国家认可的质量检测机构对服务质量进行鉴定。符合标准的，鉴定费由甲方承担；不符合标准的，鉴定费由乙方承担。</w:t>
      </w:r>
    </w:p>
    <w:p w14:paraId="71D117E2">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2.因履行本合同引起的或与本合同有关的争议，甲、乙双方应首先通过友好协商解决，如果协商不能解决争议，则采取以下第（1）种方式解决争议：</w:t>
      </w:r>
    </w:p>
    <w:p w14:paraId="5C76E0BC">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（1）向甲方所在地有管辖权的人民法院提起诉讼；</w:t>
      </w:r>
    </w:p>
    <w:p w14:paraId="3CD39115">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（2）向南京仲裁委员会按其仲裁规则申请仲裁。</w:t>
      </w:r>
    </w:p>
    <w:p w14:paraId="16CF6FA1">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w:t>
      </w:r>
      <w:r>
        <w:rPr>
          <w:rFonts w:hint="eastAsia" w:ascii="宋体" w:hAnsi="宋体" w:cs="宋体"/>
          <w:color w:val="000000"/>
          <w:sz w:val="24"/>
          <w:szCs w:val="24"/>
          <w:highlight w:val="none"/>
          <w:lang w:val="en-US" w:eastAsia="zh-CN" w:bidi="ar"/>
        </w:rPr>
        <w:t>在</w:t>
      </w:r>
      <w:r>
        <w:rPr>
          <w:rFonts w:hint="eastAsia" w:ascii="宋体" w:hAnsi="宋体" w:eastAsia="宋体" w:cs="宋体"/>
          <w:color w:val="000000"/>
          <w:sz w:val="24"/>
          <w:szCs w:val="24"/>
          <w:highlight w:val="none"/>
          <w:lang w:val="zh-CN" w:bidi="ar"/>
        </w:rPr>
        <w:t>诉讼</w:t>
      </w:r>
      <w:r>
        <w:rPr>
          <w:rFonts w:hint="eastAsia" w:ascii="宋体" w:hAnsi="宋体" w:cs="宋体"/>
          <w:color w:val="000000"/>
          <w:sz w:val="24"/>
          <w:szCs w:val="24"/>
          <w:highlight w:val="none"/>
          <w:lang w:val="zh-CN" w:bidi="ar"/>
        </w:rPr>
        <w:t>、</w:t>
      </w:r>
      <w:r>
        <w:rPr>
          <w:rFonts w:hint="eastAsia" w:ascii="宋体" w:hAnsi="宋体" w:eastAsia="宋体" w:cs="宋体"/>
          <w:color w:val="000000"/>
          <w:sz w:val="24"/>
          <w:szCs w:val="24"/>
          <w:highlight w:val="none"/>
          <w:lang w:val="zh-CN" w:bidi="ar"/>
        </w:rPr>
        <w:t>仲裁期间</w:t>
      </w:r>
      <w:r>
        <w:rPr>
          <w:rFonts w:hint="eastAsia" w:ascii="宋体" w:hAnsi="宋体" w:cs="宋体"/>
          <w:color w:val="000000"/>
          <w:sz w:val="24"/>
          <w:szCs w:val="24"/>
          <w:highlight w:val="none"/>
          <w:lang w:val="zh-CN" w:bidi="ar"/>
        </w:rPr>
        <w:t>，</w:t>
      </w:r>
      <w:r>
        <w:rPr>
          <w:rFonts w:hint="eastAsia" w:ascii="宋体" w:hAnsi="宋体" w:eastAsia="宋体" w:cs="宋体"/>
          <w:color w:val="000000"/>
          <w:sz w:val="24"/>
          <w:szCs w:val="24"/>
          <w:highlight w:val="none"/>
          <w:lang w:val="zh-CN" w:bidi="ar"/>
        </w:rPr>
        <w:t>本合同应继续履行。</w:t>
      </w:r>
    </w:p>
    <w:p w14:paraId="0011F46A">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第十四条 诚实信用</w:t>
      </w:r>
    </w:p>
    <w:p w14:paraId="67327E43">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乙方应诚实信用，严格按照招标（采购）文件要求和投标（响应）承诺履行合同，不向甲方进行商业贿赂或者提供不正当利益。</w:t>
      </w:r>
    </w:p>
    <w:p w14:paraId="19B9B6FA">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b/>
          <w:bCs/>
          <w:color w:val="000000"/>
          <w:sz w:val="24"/>
          <w:szCs w:val="24"/>
          <w:highlight w:val="none"/>
          <w:lang w:val="zh-CN" w:bidi="ar"/>
        </w:rPr>
        <w:t>第十五条 合同生效及其他</w:t>
      </w:r>
    </w:p>
    <w:p w14:paraId="6AA30659">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1.本合同自签订之日起生效，两个工作日内在财政部门指定的媒体上公告。</w:t>
      </w:r>
    </w:p>
    <w:p w14:paraId="6345FB2E">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2.本合同一式</w:t>
      </w:r>
      <w:r>
        <w:rPr>
          <w:rFonts w:hint="eastAsia" w:ascii="宋体" w:hAnsi="宋体" w:cs="宋体"/>
          <w:color w:val="000000"/>
          <w:sz w:val="24"/>
          <w:szCs w:val="24"/>
          <w:highlight w:val="none"/>
          <w:lang w:val="en-US" w:eastAsia="zh-CN" w:bidi="ar"/>
        </w:rPr>
        <w:t>四</w:t>
      </w:r>
      <w:r>
        <w:rPr>
          <w:rFonts w:hint="eastAsia" w:ascii="宋体" w:hAnsi="宋体" w:eastAsia="宋体" w:cs="宋体"/>
          <w:color w:val="000000"/>
          <w:sz w:val="24"/>
          <w:szCs w:val="24"/>
          <w:highlight w:val="none"/>
          <w:lang w:val="zh-CN" w:bidi="ar"/>
        </w:rPr>
        <w:t>份，甲乙双方各执</w:t>
      </w:r>
      <w:r>
        <w:rPr>
          <w:rFonts w:hint="eastAsia" w:ascii="宋体" w:hAnsi="宋体" w:cs="宋体"/>
          <w:color w:val="000000"/>
          <w:sz w:val="24"/>
          <w:szCs w:val="24"/>
          <w:highlight w:val="none"/>
          <w:lang w:val="en-US" w:eastAsia="zh-CN" w:bidi="ar"/>
        </w:rPr>
        <w:t>二</w:t>
      </w:r>
      <w:r>
        <w:rPr>
          <w:rFonts w:hint="eastAsia" w:ascii="宋体" w:hAnsi="宋体" w:eastAsia="宋体" w:cs="宋体"/>
          <w:color w:val="000000"/>
          <w:sz w:val="24"/>
          <w:szCs w:val="24"/>
          <w:highlight w:val="none"/>
          <w:lang w:val="zh-CN" w:bidi="ar"/>
        </w:rPr>
        <w:t>份。</w:t>
      </w:r>
    </w:p>
    <w:p w14:paraId="6B817479">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3.本合同按照中华人民共和国的现行法律进行解释。</w:t>
      </w:r>
    </w:p>
    <w:p w14:paraId="210A0DB2">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4.其他：考核管理要求</w:t>
      </w:r>
    </w:p>
    <w:p w14:paraId="3DF059F9">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4.1.考核对象：</w:t>
      </w:r>
      <w:r>
        <w:rPr>
          <w:rFonts w:hint="eastAsia" w:ascii="宋体" w:hAnsi="宋体" w:cs="宋体"/>
          <w:color w:val="000000"/>
          <w:sz w:val="24"/>
          <w:szCs w:val="24"/>
          <w:highlight w:val="none"/>
          <w:lang w:val="en-US" w:eastAsia="zh-CN" w:bidi="ar"/>
        </w:rPr>
        <w:t>成交</w:t>
      </w:r>
      <w:r>
        <w:rPr>
          <w:rFonts w:hint="eastAsia" w:ascii="宋体" w:hAnsi="宋体" w:eastAsia="宋体" w:cs="宋体"/>
          <w:color w:val="000000"/>
          <w:sz w:val="24"/>
          <w:szCs w:val="24"/>
          <w:highlight w:val="none"/>
          <w:lang w:val="zh-CN" w:bidi="ar"/>
        </w:rPr>
        <w:t>供应商；</w:t>
      </w:r>
    </w:p>
    <w:p w14:paraId="09D95ABF">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4.2.考核内容：</w:t>
      </w:r>
    </w:p>
    <w:p w14:paraId="232D6B3D">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1、乙方若有以下情形之一的，应向甲方支付贰万元的违约金，若违约金不足以弥补因此造成甲方的损失、第三方的损失</w:t>
      </w:r>
      <w:r>
        <w:rPr>
          <w:rFonts w:hint="eastAsia" w:ascii="宋体" w:hAnsi="宋体" w:eastAsia="宋体" w:cs="宋体"/>
          <w:color w:val="000000"/>
          <w:sz w:val="24"/>
          <w:szCs w:val="24"/>
          <w:highlight w:val="none"/>
          <w:lang w:val="en-US" w:eastAsia="zh-CN" w:bidi="ar"/>
        </w:rPr>
        <w:t>及维权损失（律师费、保全担保服务费等）</w:t>
      </w:r>
      <w:r>
        <w:rPr>
          <w:rFonts w:hint="eastAsia" w:ascii="宋体" w:hAnsi="宋体" w:eastAsia="宋体" w:cs="宋体"/>
          <w:color w:val="000000"/>
          <w:sz w:val="24"/>
          <w:szCs w:val="24"/>
          <w:highlight w:val="none"/>
          <w:lang w:val="zh-CN" w:bidi="ar"/>
        </w:rPr>
        <w:t>，乙方还应赔偿。</w:t>
      </w:r>
    </w:p>
    <w:p w14:paraId="437FCFB1">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（1）乙方发生超出工作职责范围外的任何行为，造成甲方损失和影响的；</w:t>
      </w:r>
    </w:p>
    <w:p w14:paraId="48CEC352">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（2）乙方提供服务时有过错，被媒体进行负面报道造成恶劣影响，并经查实的；</w:t>
      </w:r>
    </w:p>
    <w:p w14:paraId="3CBC5ECD">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（3）其他造成严重后果的情形。</w:t>
      </w:r>
    </w:p>
    <w:p w14:paraId="1BC0414B">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2、乙方若有以下情形之一的，甲方按次扣减5000元服务费。</w:t>
      </w:r>
    </w:p>
    <w:p w14:paraId="17868704">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（1）乙方因巡防工作执行不力被上级主管部门检查通报的；</w:t>
      </w:r>
    </w:p>
    <w:p w14:paraId="3BA30B76">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（2）乙方不按规定处置巡护范围内安全隐患，发现不利于森林安全管理事件不上报的；</w:t>
      </w:r>
    </w:p>
    <w:p w14:paraId="11A22D8A">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（3）乙方发生本条第1款约定的任一行为，经甲方三次书面指正仍拒不改正的，甲方有权解除本合同；因解除合同造成损失的，由乙方承担赔偿责任。</w:t>
      </w:r>
    </w:p>
    <w:p w14:paraId="5C9F5DF0">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（4）乙方违约时，应支付的违约金或赔偿金，甲方可从应付的服务费中扣除，不足部分，有权追偿。</w:t>
      </w:r>
    </w:p>
    <w:p w14:paraId="42D6B6D3">
      <w:pPr>
        <w:spacing w:line="360" w:lineRule="auto"/>
        <w:jc w:val="both"/>
        <w:outlineLvl w:val="9"/>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3、乙方发现巡查范围有祭扫或者野炊人员应及时劝导，无法劝导报</w:t>
      </w:r>
      <w:r>
        <w:rPr>
          <w:rFonts w:hint="eastAsia" w:ascii="宋体" w:hAnsi="宋体" w:cs="宋体"/>
          <w:color w:val="000000"/>
          <w:sz w:val="24"/>
          <w:szCs w:val="24"/>
          <w:highlight w:val="none"/>
          <w:lang w:val="en-US" w:eastAsia="zh-CN" w:bidi="ar"/>
        </w:rPr>
        <w:t>甲方</w:t>
      </w:r>
      <w:r>
        <w:rPr>
          <w:rFonts w:hint="eastAsia" w:ascii="宋体" w:hAnsi="宋体" w:eastAsia="宋体" w:cs="宋体"/>
          <w:color w:val="000000"/>
          <w:sz w:val="24"/>
          <w:szCs w:val="24"/>
          <w:highlight w:val="none"/>
          <w:lang w:val="zh-CN" w:bidi="ar"/>
        </w:rPr>
        <w:t>和</w:t>
      </w:r>
      <w:r>
        <w:rPr>
          <w:rFonts w:hint="eastAsia" w:ascii="宋体" w:hAnsi="宋体" w:cs="宋体"/>
          <w:color w:val="000000"/>
          <w:sz w:val="24"/>
          <w:szCs w:val="24"/>
          <w:highlight w:val="none"/>
          <w:lang w:val="en-US" w:eastAsia="zh-CN" w:bidi="ar"/>
        </w:rPr>
        <w:t>公安部门</w:t>
      </w:r>
      <w:r>
        <w:rPr>
          <w:rFonts w:hint="eastAsia" w:ascii="宋体" w:hAnsi="宋体" w:eastAsia="宋体" w:cs="宋体"/>
          <w:color w:val="000000"/>
          <w:sz w:val="24"/>
          <w:szCs w:val="24"/>
          <w:highlight w:val="none"/>
          <w:lang w:val="zh-CN" w:bidi="ar"/>
        </w:rPr>
        <w:t>报备；辖区内发生火情</w:t>
      </w:r>
      <w:r>
        <w:rPr>
          <w:rFonts w:hint="eastAsia" w:ascii="宋体" w:hAnsi="宋体" w:eastAsia="宋体" w:cs="宋体"/>
          <w:color w:val="000000"/>
          <w:sz w:val="24"/>
          <w:szCs w:val="24"/>
          <w:highlight w:val="none"/>
          <w:lang w:val="en-US" w:eastAsia="zh-CN" w:bidi="ar"/>
        </w:rPr>
        <w:t>的，乙方应</w:t>
      </w:r>
      <w:r>
        <w:rPr>
          <w:rFonts w:hint="eastAsia" w:ascii="宋体" w:hAnsi="宋体" w:eastAsia="宋体" w:cs="宋体"/>
          <w:color w:val="000000"/>
          <w:sz w:val="24"/>
          <w:szCs w:val="24"/>
          <w:highlight w:val="none"/>
          <w:lang w:val="zh-CN" w:bidi="ar"/>
        </w:rPr>
        <w:t>第一时间赶往现场并组织扑救；如发生火情，半小时内未及时到达现场并组织扑救的，未造成损失影响的2000元/次；如因扑救不及时造成损失严重并且有不良影响的处罚1万元/次；发生重大火情，未按照合同履行职责扑救的，造成重大损失或者人员伤亡的，扣罚10万元。</w:t>
      </w:r>
      <w:r>
        <w:rPr>
          <w:rFonts w:hint="eastAsia" w:ascii="宋体" w:hAnsi="宋体" w:eastAsia="宋体" w:cs="宋体"/>
          <w:color w:val="000000"/>
          <w:sz w:val="24"/>
          <w:szCs w:val="24"/>
          <w:highlight w:val="none"/>
          <w:lang w:val="en-US" w:eastAsia="zh-CN" w:bidi="ar"/>
        </w:rPr>
        <w:t>另外，乙方应赔偿</w:t>
      </w:r>
      <w:r>
        <w:rPr>
          <w:rFonts w:hint="eastAsia" w:ascii="宋体" w:hAnsi="宋体" w:eastAsia="宋体" w:cs="宋体"/>
          <w:color w:val="000000"/>
          <w:sz w:val="24"/>
          <w:szCs w:val="24"/>
          <w:highlight w:val="none"/>
          <w:lang w:val="zh-CN" w:bidi="ar"/>
        </w:rPr>
        <w:t>因此造成甲方的损失、第三方的损失</w:t>
      </w:r>
      <w:r>
        <w:rPr>
          <w:rFonts w:hint="eastAsia" w:ascii="宋体" w:hAnsi="宋体" w:eastAsia="宋体" w:cs="宋体"/>
          <w:color w:val="000000"/>
          <w:sz w:val="24"/>
          <w:szCs w:val="24"/>
          <w:highlight w:val="none"/>
          <w:lang w:val="en-US" w:eastAsia="zh-CN" w:bidi="ar"/>
        </w:rPr>
        <w:t>及维权损失（律师费、保全担保服务费等），</w:t>
      </w:r>
      <w:r>
        <w:rPr>
          <w:rFonts w:hint="eastAsia" w:ascii="宋体" w:hAnsi="宋体" w:eastAsia="宋体" w:cs="宋体"/>
          <w:color w:val="000000"/>
          <w:sz w:val="24"/>
          <w:szCs w:val="24"/>
          <w:highlight w:val="none"/>
          <w:lang w:val="zh-CN" w:bidi="ar"/>
        </w:rPr>
        <w:t>甲方有权根据情况考虑是否直接解除合同。</w:t>
      </w:r>
    </w:p>
    <w:p w14:paraId="7FC98DA1">
      <w:pPr>
        <w:spacing w:line="360" w:lineRule="auto"/>
        <w:jc w:val="both"/>
        <w:outlineLvl w:val="9"/>
        <w:rPr>
          <w:rFonts w:hint="eastAsia" w:ascii="仿宋" w:hAnsi="仿宋" w:eastAsia="仿宋" w:cs="仿宋"/>
          <w:color w:val="000000"/>
          <w:sz w:val="24"/>
          <w:szCs w:val="24"/>
          <w:highlight w:val="none"/>
          <w:lang w:val="zh-CN" w:bidi="ar"/>
        </w:rPr>
      </w:pPr>
      <w:r>
        <w:rPr>
          <w:rFonts w:hint="eastAsia" w:ascii="宋体" w:hAnsi="宋体" w:eastAsia="宋体" w:cs="宋体"/>
          <w:color w:val="000000"/>
          <w:sz w:val="24"/>
          <w:szCs w:val="24"/>
          <w:highlight w:val="none"/>
          <w:lang w:val="en-US" w:eastAsia="zh-CN" w:bidi="ar"/>
        </w:rPr>
        <w:t>4、因乙方原因发生第三方人身伤亡或财产损失的，乙方应承担全部赔偿责任，并赔偿甲方因此遭受的一切损失，包括但不限于直接损失、间接损失、维权支出的费用（律师费、保全担保服务费、鉴定费等）等</w:t>
      </w:r>
      <w:r>
        <w:rPr>
          <w:rFonts w:hint="eastAsia" w:ascii="宋体" w:hAnsi="宋体" w:eastAsia="宋体" w:cs="宋体"/>
          <w:color w:val="000000"/>
          <w:sz w:val="24"/>
          <w:szCs w:val="24"/>
          <w:highlight w:val="none"/>
          <w:lang w:val="zh-CN" w:bidi="ar"/>
        </w:rPr>
        <w:t>。同时，甲方有权解除合同，并不免除乙方的前述赔偿责</w:t>
      </w:r>
      <w:r>
        <w:rPr>
          <w:rFonts w:hint="eastAsia" w:ascii="宋体" w:hAnsi="宋体" w:eastAsia="宋体" w:cs="宋体"/>
          <w:color w:val="000000"/>
          <w:sz w:val="24"/>
          <w:szCs w:val="24"/>
          <w:highlight w:val="none"/>
          <w:lang w:val="zh-CN" w:eastAsia="zh-CN" w:bidi="ar"/>
        </w:rPr>
        <w:t>任</w:t>
      </w:r>
      <w:r>
        <w:rPr>
          <w:rFonts w:hint="eastAsia" w:ascii="宋体" w:hAnsi="宋体" w:eastAsia="宋体" w:cs="宋体"/>
          <w:color w:val="000000"/>
          <w:sz w:val="24"/>
          <w:szCs w:val="24"/>
          <w:highlight w:val="none"/>
          <w:lang w:val="en-US" w:eastAsia="zh-CN" w:bidi="ar"/>
        </w:rPr>
        <w:t>。</w:t>
      </w:r>
    </w:p>
    <w:tbl>
      <w:tblPr>
        <w:tblStyle w:val="284"/>
        <w:tblW w:w="9354"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4676"/>
        <w:gridCol w:w="4678"/>
      </w:tblGrid>
      <w:tr w14:paraId="22D4F1F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0" w:hRule="atLeast"/>
          <w:jc w:val="center"/>
        </w:trPr>
        <w:tc>
          <w:tcPr>
            <w:tcW w:w="3220" w:type="dxa"/>
            <w:noWrap w:val="0"/>
            <w:vAlign w:val="center"/>
          </w:tcPr>
          <w:p w14:paraId="2FD5840B">
            <w:pPr>
              <w:pStyle w:val="489"/>
              <w:spacing w:before="1" w:line="218" w:lineRule="auto"/>
              <w:ind w:left="31"/>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甲方（采购人）：</w:t>
            </w:r>
          </w:p>
        </w:tc>
        <w:tc>
          <w:tcPr>
            <w:tcW w:w="3221" w:type="dxa"/>
            <w:noWrap w:val="0"/>
            <w:vAlign w:val="center"/>
          </w:tcPr>
          <w:p w14:paraId="0602F850">
            <w:pPr>
              <w:pStyle w:val="489"/>
              <w:spacing w:before="1" w:line="218" w:lineRule="auto"/>
              <w:jc w:val="both"/>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乙方（供应商）：</w:t>
            </w:r>
          </w:p>
        </w:tc>
      </w:tr>
      <w:tr w14:paraId="13DFAB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0" w:hRule="atLeast"/>
          <w:jc w:val="center"/>
        </w:trPr>
        <w:tc>
          <w:tcPr>
            <w:tcW w:w="3220" w:type="dxa"/>
            <w:noWrap w:val="0"/>
            <w:vAlign w:val="center"/>
          </w:tcPr>
          <w:p w14:paraId="332A8FA3">
            <w:pPr>
              <w:pStyle w:val="489"/>
              <w:spacing w:before="78" w:line="219" w:lineRule="auto"/>
              <w:ind w:left="7"/>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（盖章）</w:t>
            </w:r>
          </w:p>
        </w:tc>
        <w:tc>
          <w:tcPr>
            <w:tcW w:w="3221" w:type="dxa"/>
            <w:noWrap w:val="0"/>
            <w:vAlign w:val="center"/>
          </w:tcPr>
          <w:p w14:paraId="0181799E">
            <w:pPr>
              <w:pStyle w:val="489"/>
              <w:spacing w:before="78" w:line="219" w:lineRule="auto"/>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（盖章）</w:t>
            </w:r>
          </w:p>
        </w:tc>
      </w:tr>
      <w:tr w14:paraId="6A87C5A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0" w:hRule="atLeast"/>
          <w:jc w:val="center"/>
        </w:trPr>
        <w:tc>
          <w:tcPr>
            <w:tcW w:w="3220" w:type="dxa"/>
            <w:noWrap w:val="0"/>
            <w:vAlign w:val="center"/>
          </w:tcPr>
          <w:p w14:paraId="7500DFAB">
            <w:pPr>
              <w:pStyle w:val="489"/>
              <w:spacing w:before="127" w:line="220" w:lineRule="auto"/>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代表人：</w:t>
            </w:r>
          </w:p>
        </w:tc>
        <w:tc>
          <w:tcPr>
            <w:tcW w:w="3221" w:type="dxa"/>
            <w:noWrap w:val="0"/>
            <w:vAlign w:val="center"/>
          </w:tcPr>
          <w:p w14:paraId="00B4292D">
            <w:pPr>
              <w:pStyle w:val="489"/>
              <w:spacing w:before="127" w:line="220" w:lineRule="auto"/>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代表人：</w:t>
            </w:r>
          </w:p>
        </w:tc>
      </w:tr>
      <w:tr w14:paraId="2CA5F8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0" w:hRule="atLeast"/>
          <w:jc w:val="center"/>
        </w:trPr>
        <w:tc>
          <w:tcPr>
            <w:tcW w:w="3220" w:type="dxa"/>
            <w:noWrap w:val="0"/>
            <w:vAlign w:val="center"/>
          </w:tcPr>
          <w:p w14:paraId="4BB373EC">
            <w:pPr>
              <w:pStyle w:val="489"/>
              <w:spacing w:before="128" w:line="222" w:lineRule="auto"/>
              <w:ind w:left="29"/>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电话：</w:t>
            </w:r>
          </w:p>
        </w:tc>
        <w:tc>
          <w:tcPr>
            <w:tcW w:w="3221" w:type="dxa"/>
            <w:noWrap w:val="0"/>
            <w:vAlign w:val="center"/>
          </w:tcPr>
          <w:p w14:paraId="3BD50151">
            <w:pPr>
              <w:pStyle w:val="489"/>
              <w:spacing w:before="128" w:line="222" w:lineRule="auto"/>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电话：</w:t>
            </w:r>
          </w:p>
        </w:tc>
      </w:tr>
      <w:tr w14:paraId="3CF1E7D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0" w:hRule="atLeast"/>
          <w:jc w:val="center"/>
        </w:trPr>
        <w:tc>
          <w:tcPr>
            <w:tcW w:w="3220" w:type="dxa"/>
            <w:noWrap w:val="0"/>
            <w:vAlign w:val="center"/>
          </w:tcPr>
          <w:p w14:paraId="1F4182FE">
            <w:pPr>
              <w:pStyle w:val="489"/>
              <w:spacing w:before="136" w:line="220" w:lineRule="auto"/>
              <w:ind w:left="1"/>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开户银行：</w:t>
            </w:r>
          </w:p>
        </w:tc>
        <w:tc>
          <w:tcPr>
            <w:tcW w:w="3221" w:type="dxa"/>
            <w:noWrap w:val="0"/>
            <w:vAlign w:val="center"/>
          </w:tcPr>
          <w:p w14:paraId="71683766">
            <w:pPr>
              <w:pStyle w:val="489"/>
              <w:spacing w:before="136" w:line="220" w:lineRule="auto"/>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开户银行：</w:t>
            </w:r>
          </w:p>
        </w:tc>
      </w:tr>
      <w:tr w14:paraId="6E328ED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80" w:hRule="atLeast"/>
          <w:jc w:val="center"/>
        </w:trPr>
        <w:tc>
          <w:tcPr>
            <w:tcW w:w="3220" w:type="dxa"/>
            <w:noWrap w:val="0"/>
            <w:vAlign w:val="center"/>
          </w:tcPr>
          <w:p w14:paraId="17566857">
            <w:pPr>
              <w:pStyle w:val="489"/>
              <w:spacing w:before="129" w:line="176" w:lineRule="auto"/>
              <w:ind w:left="4"/>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账号：</w:t>
            </w:r>
          </w:p>
        </w:tc>
        <w:tc>
          <w:tcPr>
            <w:tcW w:w="3221" w:type="dxa"/>
            <w:noWrap w:val="0"/>
            <w:vAlign w:val="center"/>
          </w:tcPr>
          <w:p w14:paraId="1F58700A">
            <w:pPr>
              <w:pStyle w:val="489"/>
              <w:spacing w:before="129" w:line="176" w:lineRule="auto"/>
              <w:rPr>
                <w:rFonts w:hint="eastAsia" w:ascii="宋体" w:hAnsi="宋体" w:eastAsia="宋体" w:cs="宋体"/>
                <w:snapToGrid w:val="0"/>
                <w:spacing w:val="0"/>
                <w:sz w:val="24"/>
                <w:szCs w:val="24"/>
                <w:highlight w:val="none"/>
              </w:rPr>
            </w:pPr>
            <w:r>
              <w:rPr>
                <w:rFonts w:hint="eastAsia" w:ascii="宋体" w:hAnsi="宋体" w:eastAsia="宋体" w:cs="宋体"/>
                <w:snapToGrid w:val="0"/>
                <w:spacing w:val="0"/>
                <w:sz w:val="24"/>
                <w:szCs w:val="24"/>
                <w:highlight w:val="none"/>
              </w:rPr>
              <w:t>账号：</w:t>
            </w:r>
          </w:p>
        </w:tc>
      </w:tr>
    </w:tbl>
    <w:p w14:paraId="2FF2EC93">
      <w:pPr>
        <w:pStyle w:val="347"/>
        <w:keepNext w:val="0"/>
        <w:keepLines w:val="0"/>
        <w:pageBreakBefore w:val="0"/>
        <w:widowControl w:val="0"/>
        <w:spacing w:before="120" w:after="120" w:line="276" w:lineRule="auto"/>
        <w:ind w:firstLine="4800"/>
        <w:rPr>
          <w:rFonts w:hint="eastAsia" w:ascii="仿宋" w:hAnsi="仿宋" w:eastAsia="仿宋" w:cs="仿宋"/>
          <w:sz w:val="24"/>
          <w:szCs w:val="24"/>
          <w:highlight w:val="none"/>
        </w:rPr>
      </w:pPr>
    </w:p>
    <w:p w14:paraId="006BC04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仿宋" w:hAnsi="仿宋" w:eastAsia="仿宋" w:cs="仿宋"/>
          <w:b/>
          <w:bCs w:val="0"/>
          <w:sz w:val="30"/>
          <w:szCs w:val="21"/>
          <w:highlight w:val="none"/>
        </w:rPr>
      </w:pPr>
      <w:r>
        <w:rPr>
          <w:rFonts w:hint="eastAsia" w:ascii="仿宋" w:hAnsi="仿宋" w:eastAsia="仿宋" w:cs="仿宋"/>
          <w:b/>
          <w:bCs w:val="0"/>
          <w:sz w:val="30"/>
          <w:szCs w:val="21"/>
          <w:highlight w:val="none"/>
        </w:rPr>
        <w:t>《*******合同》补充协议（合同附件）</w:t>
      </w:r>
    </w:p>
    <w:p w14:paraId="206E988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9"/>
        <w:rPr>
          <w:rFonts w:hint="eastAsia" w:ascii="仿宋" w:hAnsi="仿宋" w:eastAsia="仿宋" w:cs="仿宋"/>
          <w:color w:val="000000"/>
          <w:sz w:val="24"/>
          <w:szCs w:val="24"/>
          <w:highlight w:val="none"/>
          <w:lang w:val="zh-CN" w:bidi="ar"/>
        </w:rPr>
      </w:pPr>
      <w:r>
        <w:rPr>
          <w:rFonts w:hint="eastAsia" w:ascii="仿宋" w:hAnsi="仿宋" w:eastAsia="仿宋" w:cs="仿宋"/>
          <w:color w:val="000000"/>
          <w:sz w:val="24"/>
          <w:szCs w:val="24"/>
          <w:highlight w:val="none"/>
        </w:rPr>
        <w:t>如遇</w:t>
      </w:r>
      <w:r>
        <w:rPr>
          <w:rFonts w:hint="eastAsia" w:ascii="仿宋" w:hAnsi="仿宋" w:eastAsia="仿宋" w:cs="仿宋"/>
          <w:color w:val="000000"/>
          <w:sz w:val="24"/>
          <w:szCs w:val="24"/>
          <w:highlight w:val="none"/>
          <w:lang w:eastAsia="zh-CN"/>
        </w:rPr>
        <w:t>采购</w:t>
      </w:r>
      <w:r>
        <w:rPr>
          <w:rFonts w:hint="eastAsia" w:ascii="仿宋" w:hAnsi="仿宋" w:eastAsia="仿宋" w:cs="仿宋"/>
          <w:color w:val="000000"/>
          <w:sz w:val="24"/>
          <w:szCs w:val="24"/>
          <w:highlight w:val="none"/>
        </w:rPr>
        <w:t>文件及合同未约定事项，双方可友好协商签订补充协议。</w:t>
      </w:r>
    </w:p>
    <w:p w14:paraId="586D27C6">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r>
    </w:p>
    <w:p w14:paraId="30B27569">
      <w:pPr>
        <w:rPr>
          <w:rFonts w:eastAsiaTheme="minorEastAsia"/>
          <w:color w:val="000000" w:themeColor="text1"/>
          <w:highlight w:val="none"/>
          <w:lang w:eastAsia="zh-CN"/>
          <w14:textFill>
            <w14:solidFill>
              <w14:schemeClr w14:val="tx1"/>
            </w14:solidFill>
          </w14:textFill>
        </w:rPr>
      </w:pPr>
    </w:p>
    <w:p w14:paraId="7E1F8175">
      <w:pPr>
        <w:tabs>
          <w:tab w:val="left" w:pos="1279"/>
        </w:tabs>
        <w:ind w:right="177"/>
        <w:jc w:val="center"/>
        <w:outlineLvl w:val="0"/>
        <w:rPr>
          <w:color w:val="000000" w:themeColor="text1"/>
          <w:highlight w:val="none"/>
          <w:lang w:eastAsia="zh-CN"/>
          <w14:textFill>
            <w14:solidFill>
              <w14:schemeClr w14:val="tx1"/>
            </w14:solidFill>
          </w14:textFill>
        </w:rPr>
      </w:pPr>
      <w:bookmarkStart w:id="138" w:name="_Toc183610250"/>
      <w:r>
        <w:rPr>
          <w:rFonts w:hint="eastAsia" w:ascii="宋体" w:hAnsi="宋体" w:eastAsia="宋体" w:cs="宋体"/>
          <w:b/>
          <w:bCs/>
          <w:color w:val="000000" w:themeColor="text1"/>
          <w:sz w:val="28"/>
          <w:szCs w:val="28"/>
          <w:highlight w:val="none"/>
          <w:lang w:eastAsia="zh-CN"/>
          <w14:textFill>
            <w14:solidFill>
              <w14:schemeClr w14:val="tx1"/>
            </w14:solidFill>
          </w14:textFill>
        </w:rPr>
        <w:t>第六章 响应文件格式</w:t>
      </w:r>
      <w:bookmarkEnd w:id="138"/>
    </w:p>
    <w:p w14:paraId="2597D68B">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3EEA75D8">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7F756E79">
      <w:pPr>
        <w:spacing w:before="12"/>
        <w:rPr>
          <w:rFonts w:ascii="宋体" w:hAnsi="宋体" w:eastAsia="宋体" w:cs="宋体"/>
          <w:color w:val="000000" w:themeColor="text1"/>
          <w:sz w:val="21"/>
          <w:szCs w:val="21"/>
          <w:highlight w:val="none"/>
          <w:lang w:eastAsia="zh-CN"/>
          <w14:textFill>
            <w14:solidFill>
              <w14:schemeClr w14:val="tx1"/>
            </w14:solidFill>
          </w14:textFill>
        </w:rPr>
      </w:pPr>
    </w:p>
    <w:p w14:paraId="4DFFD63C">
      <w:pPr>
        <w:spacing w:line="712" w:lineRule="auto"/>
        <w:jc w:val="right"/>
        <w:rPr>
          <w:color w:val="000000" w:themeColor="text1"/>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lang w:eastAsia="zh-CN"/>
          <w14:textFill>
            <w14:solidFill>
              <w14:schemeClr w14:val="tx1"/>
            </w14:solidFill>
          </w14:textFill>
        </w:rPr>
        <w:t>正本（副本）</w:t>
      </w:r>
      <w:r>
        <w:rPr>
          <w:color w:val="000000" w:themeColor="text1"/>
          <w:highlight w:val="none"/>
          <w:lang w:eastAsia="zh-CN"/>
          <w14:textFill>
            <w14:solidFill>
              <w14:schemeClr w14:val="tx1"/>
            </w14:solidFill>
          </w14:textFill>
        </w:rPr>
        <w:t xml:space="preserve"> </w:t>
      </w:r>
    </w:p>
    <w:p w14:paraId="0EB5D458">
      <w:pPr>
        <w:spacing w:line="360" w:lineRule="auto"/>
        <w:jc w:val="center"/>
        <w:rPr>
          <w:rFonts w:ascii="宋体" w:hAnsi="宋体" w:eastAsia="宋体" w:cs="宋体"/>
          <w:color w:val="000000" w:themeColor="text1"/>
          <w:sz w:val="44"/>
          <w:szCs w:val="44"/>
          <w:highlight w:val="none"/>
          <w:lang w:eastAsia="zh-CN"/>
          <w14:textFill>
            <w14:solidFill>
              <w14:schemeClr w14:val="tx1"/>
            </w14:solidFill>
          </w14:textFill>
        </w:rPr>
      </w:pPr>
    </w:p>
    <w:p w14:paraId="26DCF5C4">
      <w:pPr>
        <w:spacing w:line="360" w:lineRule="auto"/>
        <w:jc w:val="center"/>
        <w:rPr>
          <w:rFonts w:cs="黑体"/>
          <w:color w:val="000000" w:themeColor="text1"/>
          <w:sz w:val="48"/>
          <w:szCs w:val="48"/>
          <w:highlight w:val="none"/>
          <w:lang w:eastAsia="zh-CN"/>
          <w14:textFill>
            <w14:solidFill>
              <w14:schemeClr w14:val="tx1"/>
            </w14:solidFill>
          </w14:textFill>
        </w:rPr>
      </w:pPr>
      <w:r>
        <w:rPr>
          <w:rFonts w:hint="eastAsia" w:ascii="宋体" w:hAnsi="宋体" w:eastAsia="宋体" w:cs="宋体"/>
          <w:color w:val="000000" w:themeColor="text1"/>
          <w:sz w:val="48"/>
          <w:szCs w:val="48"/>
          <w:highlight w:val="none"/>
          <w:lang w:eastAsia="zh-CN"/>
          <w14:textFill>
            <w14:solidFill>
              <w14:schemeClr w14:val="tx1"/>
            </w14:solidFill>
          </w14:textFill>
        </w:rPr>
        <w:t>新济洲2025年度公益林生态效益补偿项目</w:t>
      </w:r>
    </w:p>
    <w:p w14:paraId="0706D6B5">
      <w:pPr>
        <w:rPr>
          <w:rFonts w:ascii="黑体" w:hAnsi="黑体" w:eastAsia="黑体" w:cs="黑体"/>
          <w:color w:val="000000" w:themeColor="text1"/>
          <w:sz w:val="32"/>
          <w:szCs w:val="32"/>
          <w:highlight w:val="none"/>
          <w:lang w:eastAsia="zh-CN"/>
          <w14:textFill>
            <w14:solidFill>
              <w14:schemeClr w14:val="tx1"/>
            </w14:solidFill>
          </w14:textFill>
        </w:rPr>
      </w:pPr>
    </w:p>
    <w:p w14:paraId="0B0E4744">
      <w:pPr>
        <w:rPr>
          <w:rFonts w:ascii="黑体" w:hAnsi="黑体" w:eastAsia="黑体" w:cs="黑体"/>
          <w:color w:val="000000" w:themeColor="text1"/>
          <w:sz w:val="32"/>
          <w:szCs w:val="32"/>
          <w:highlight w:val="none"/>
          <w:lang w:eastAsia="zh-CN"/>
          <w14:textFill>
            <w14:solidFill>
              <w14:schemeClr w14:val="tx1"/>
            </w14:solidFill>
          </w14:textFill>
        </w:rPr>
      </w:pPr>
    </w:p>
    <w:p w14:paraId="781C9399">
      <w:pPr>
        <w:spacing w:before="8"/>
        <w:rPr>
          <w:rFonts w:ascii="黑体" w:hAnsi="黑体" w:eastAsia="黑体" w:cs="黑体"/>
          <w:color w:val="000000" w:themeColor="text1"/>
          <w:sz w:val="24"/>
          <w:szCs w:val="24"/>
          <w:highlight w:val="none"/>
          <w:lang w:eastAsia="zh-CN"/>
          <w14:textFill>
            <w14:solidFill>
              <w14:schemeClr w14:val="tx1"/>
            </w14:solidFill>
          </w14:textFill>
        </w:rPr>
      </w:pPr>
    </w:p>
    <w:p w14:paraId="77ACF904">
      <w:pPr>
        <w:ind w:right="1"/>
        <w:jc w:val="center"/>
        <w:rPr>
          <w:rFonts w:ascii="黑体" w:hAnsi="黑体" w:eastAsia="黑体" w:cs="黑体"/>
          <w:color w:val="000000" w:themeColor="text1"/>
          <w:sz w:val="72"/>
          <w:szCs w:val="72"/>
          <w:highlight w:val="none"/>
          <w:lang w:eastAsia="zh-CN"/>
          <w14:textFill>
            <w14:solidFill>
              <w14:schemeClr w14:val="tx1"/>
            </w14:solidFill>
          </w14:textFill>
        </w:rPr>
      </w:pPr>
      <w:r>
        <w:rPr>
          <w:rFonts w:ascii="黑体" w:hAnsi="黑体" w:eastAsia="黑体" w:cs="黑体"/>
          <w:color w:val="000000" w:themeColor="text1"/>
          <w:sz w:val="72"/>
          <w:szCs w:val="72"/>
          <w:highlight w:val="none"/>
          <w:lang w:eastAsia="zh-CN"/>
          <w14:textFill>
            <w14:solidFill>
              <w14:schemeClr w14:val="tx1"/>
            </w14:solidFill>
          </w14:textFill>
        </w:rPr>
        <w:t>响应文件</w:t>
      </w:r>
    </w:p>
    <w:p w14:paraId="5401970E">
      <w:pPr>
        <w:rPr>
          <w:rFonts w:ascii="黑体" w:hAnsi="黑体" w:eastAsia="黑体" w:cs="黑体"/>
          <w:color w:val="000000" w:themeColor="text1"/>
          <w:sz w:val="72"/>
          <w:szCs w:val="72"/>
          <w:highlight w:val="none"/>
          <w:lang w:eastAsia="zh-CN"/>
          <w14:textFill>
            <w14:solidFill>
              <w14:schemeClr w14:val="tx1"/>
            </w14:solidFill>
          </w14:textFill>
        </w:rPr>
      </w:pPr>
    </w:p>
    <w:p w14:paraId="375D2316">
      <w:pPr>
        <w:rPr>
          <w:rFonts w:ascii="黑体" w:hAnsi="黑体" w:eastAsia="黑体" w:cs="黑体"/>
          <w:color w:val="000000" w:themeColor="text1"/>
          <w:sz w:val="72"/>
          <w:szCs w:val="72"/>
          <w:highlight w:val="none"/>
          <w:lang w:eastAsia="zh-CN"/>
          <w14:textFill>
            <w14:solidFill>
              <w14:schemeClr w14:val="tx1"/>
            </w14:solidFill>
          </w14:textFill>
        </w:rPr>
      </w:pPr>
    </w:p>
    <w:p w14:paraId="56E8F582">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hint="eastAsia" w:ascii="黑体" w:hAnsi="黑体" w:eastAsia="黑体" w:cs="黑体"/>
          <w:color w:val="000000" w:themeColor="text1"/>
          <w:sz w:val="32"/>
          <w:szCs w:val="32"/>
          <w:highlight w:val="none"/>
          <w:lang w:eastAsia="zh-CN"/>
          <w14:textFill>
            <w14:solidFill>
              <w14:schemeClr w14:val="tx1"/>
            </w14:solidFill>
          </w14:textFill>
        </w:rPr>
        <w:t>项目编号</w:t>
      </w:r>
      <w:r>
        <w:rPr>
          <w:rFonts w:ascii="黑体" w:hAnsi="黑体" w:eastAsia="黑体" w:cs="黑体"/>
          <w:color w:val="000000" w:themeColor="text1"/>
          <w:sz w:val="32"/>
          <w:szCs w:val="32"/>
          <w:highlight w:val="none"/>
          <w:lang w:eastAsia="zh-CN"/>
          <w14:textFill>
            <w14:solidFill>
              <w14:schemeClr w14:val="tx1"/>
            </w14:solidFill>
          </w14:textFill>
        </w:rPr>
        <w:t>：</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p>
    <w:p w14:paraId="36CBB7B7">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供 应 商：</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（单位公章） 联 系</w:t>
      </w:r>
      <w:r>
        <w:rPr>
          <w:rFonts w:ascii="黑体" w:hAnsi="黑体" w:eastAsia="黑体" w:cs="黑体"/>
          <w:color w:val="000000" w:themeColor="text1"/>
          <w:spacing w:val="-1"/>
          <w:sz w:val="32"/>
          <w:szCs w:val="32"/>
          <w:highlight w:val="none"/>
          <w:lang w:eastAsia="zh-CN"/>
          <w14:textFill>
            <w14:solidFill>
              <w14:schemeClr w14:val="tx1"/>
            </w14:solidFill>
          </w14:textFill>
        </w:rPr>
        <w:t xml:space="preserve"> </w:t>
      </w:r>
      <w:r>
        <w:rPr>
          <w:rFonts w:ascii="黑体" w:hAnsi="黑体" w:eastAsia="黑体" w:cs="黑体"/>
          <w:color w:val="000000" w:themeColor="text1"/>
          <w:sz w:val="32"/>
          <w:szCs w:val="32"/>
          <w:highlight w:val="none"/>
          <w:lang w:eastAsia="zh-CN"/>
          <w14:textFill>
            <w14:solidFill>
              <w14:schemeClr w14:val="tx1"/>
            </w14:solidFill>
          </w14:textFill>
        </w:rPr>
        <w:t>人：</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p>
    <w:p w14:paraId="1D32A47E">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联系方式：</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lang w:eastAsia="zh-CN"/>
          <w14:textFill>
            <w14:solidFill>
              <w14:schemeClr w14:val="tx1"/>
            </w14:solidFill>
          </w14:textFill>
        </w:rPr>
        <w:t xml:space="preserve">    </w:t>
      </w:r>
    </w:p>
    <w:p w14:paraId="48239715">
      <w:pPr>
        <w:tabs>
          <w:tab w:val="left" w:pos="6358"/>
          <w:tab w:val="left" w:pos="6437"/>
        </w:tabs>
        <w:spacing w:line="357" w:lineRule="auto"/>
        <w:ind w:left="1397" w:right="1025"/>
        <w:rPr>
          <w:rFonts w:eastAsia="Times New Roman"/>
          <w:color w:val="000000" w:themeColor="text1"/>
          <w:sz w:val="32"/>
          <w:szCs w:val="32"/>
          <w:highlight w:val="none"/>
          <w:lang w:eastAsia="zh-CN"/>
          <w14:textFill>
            <w14:solidFill>
              <w14:schemeClr w14:val="tx1"/>
            </w14:solidFill>
          </w14:textFill>
        </w:rPr>
      </w:pPr>
      <w:r>
        <w:rPr>
          <w:rFonts w:ascii="黑体" w:hAnsi="黑体" w:eastAsia="黑体" w:cs="黑体"/>
          <w:color w:val="000000" w:themeColor="text1"/>
          <w:sz w:val="32"/>
          <w:szCs w:val="32"/>
          <w:highlight w:val="none"/>
          <w:lang w:eastAsia="zh-CN"/>
          <w14:textFill>
            <w14:solidFill>
              <w14:schemeClr w14:val="tx1"/>
            </w14:solidFill>
          </w14:textFill>
        </w:rPr>
        <w:t>单位地址：</w:t>
      </w: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eastAsia="Times New Roman"/>
          <w:color w:val="000000" w:themeColor="text1"/>
          <w:sz w:val="32"/>
          <w:szCs w:val="32"/>
          <w:highlight w:val="none"/>
          <w:u w:val="single"/>
          <w:lang w:eastAsia="zh-CN"/>
          <w14:textFill>
            <w14:solidFill>
              <w14:schemeClr w14:val="tx1"/>
            </w14:solidFill>
          </w14:textFill>
        </w:rPr>
        <w:tab/>
      </w:r>
    </w:p>
    <w:p w14:paraId="1F8054F5">
      <w:pPr>
        <w:tabs>
          <w:tab w:val="left" w:pos="847"/>
          <w:tab w:val="left" w:pos="1648"/>
          <w:tab w:val="left" w:pos="2448"/>
        </w:tabs>
        <w:spacing w:before="46"/>
        <w:ind w:left="47"/>
        <w:jc w:val="center"/>
        <w:rPr>
          <w:rFonts w:ascii="黑体" w:hAnsi="黑体" w:eastAsia="黑体" w:cs="黑体"/>
          <w:color w:val="000000" w:themeColor="text1"/>
          <w:sz w:val="32"/>
          <w:szCs w:val="32"/>
          <w:highlight w:val="none"/>
          <w:lang w:eastAsia="zh-CN"/>
          <w14:textFill>
            <w14:solidFill>
              <w14:schemeClr w14:val="tx1"/>
            </w14:solidFill>
          </w14:textFill>
        </w:rPr>
      </w:pPr>
      <w:r>
        <w:rPr>
          <w:rFonts w:eastAsia="Times New Roman"/>
          <w:color w:val="000000" w:themeColor="text1"/>
          <w:sz w:val="32"/>
          <w:szCs w:val="32"/>
          <w:highlight w:val="none"/>
          <w:u w:val="single"/>
          <w:lang w:eastAsia="zh-CN"/>
          <w14:textFill>
            <w14:solidFill>
              <w14:schemeClr w14:val="tx1"/>
            </w14:solidFill>
          </w14:textFill>
        </w:rPr>
        <w:t xml:space="preserve"> </w:t>
      </w:r>
      <w:r>
        <w:rPr>
          <w:rFonts w:eastAsia="Times New Roman"/>
          <w:color w:val="000000" w:themeColor="text1"/>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2"/>
          <w:sz w:val="32"/>
          <w:szCs w:val="32"/>
          <w:highlight w:val="none"/>
          <w:lang w:eastAsia="zh-CN"/>
          <w14:textFill>
            <w14:solidFill>
              <w14:schemeClr w14:val="tx1"/>
            </w14:solidFill>
          </w14:textFill>
        </w:rPr>
        <w:t>年</w:t>
      </w:r>
      <w:r>
        <w:rPr>
          <w:rFonts w:eastAsia="Times New Roman"/>
          <w:color w:val="000000" w:themeColor="text1"/>
          <w:spacing w:val="2"/>
          <w:sz w:val="32"/>
          <w:szCs w:val="32"/>
          <w:highlight w:val="none"/>
          <w:u w:val="single"/>
          <w:lang w:eastAsia="zh-CN"/>
          <w14:textFill>
            <w14:solidFill>
              <w14:schemeClr w14:val="tx1"/>
            </w14:solidFill>
          </w14:textFill>
        </w:rPr>
        <w:tab/>
      </w:r>
      <w:r>
        <w:rPr>
          <w:rFonts w:ascii="黑体" w:hAnsi="黑体" w:eastAsia="黑体" w:cs="黑体"/>
          <w:color w:val="000000" w:themeColor="text1"/>
          <w:spacing w:val="-1"/>
          <w:sz w:val="32"/>
          <w:szCs w:val="32"/>
          <w:highlight w:val="none"/>
          <w:lang w:eastAsia="zh-CN"/>
          <w14:textFill>
            <w14:solidFill>
              <w14:schemeClr w14:val="tx1"/>
            </w14:solidFill>
          </w14:textFill>
        </w:rPr>
        <w:t>月</w:t>
      </w:r>
      <w:r>
        <w:rPr>
          <w:rFonts w:eastAsia="Times New Roman"/>
          <w:color w:val="000000" w:themeColor="text1"/>
          <w:spacing w:val="-1"/>
          <w:sz w:val="32"/>
          <w:szCs w:val="32"/>
          <w:highlight w:val="none"/>
          <w:u w:val="single"/>
          <w:lang w:eastAsia="zh-CN"/>
          <w14:textFill>
            <w14:solidFill>
              <w14:schemeClr w14:val="tx1"/>
            </w14:solidFill>
          </w14:textFill>
        </w:rPr>
        <w:tab/>
      </w:r>
      <w:r>
        <w:rPr>
          <w:rFonts w:ascii="黑体" w:hAnsi="黑体" w:eastAsia="黑体" w:cs="黑体"/>
          <w:color w:val="000000" w:themeColor="text1"/>
          <w:sz w:val="32"/>
          <w:szCs w:val="32"/>
          <w:highlight w:val="none"/>
          <w:lang w:eastAsia="zh-CN"/>
          <w14:textFill>
            <w14:solidFill>
              <w14:schemeClr w14:val="tx1"/>
            </w14:solidFill>
          </w14:textFill>
        </w:rPr>
        <w:t>日</w:t>
      </w:r>
    </w:p>
    <w:p w14:paraId="6E87525E">
      <w:pPr>
        <w:rPr>
          <w:rFonts w:hint="eastAsia" w:ascii="宋体" w:hAnsi="宋体"/>
          <w:b/>
          <w:color w:val="000000" w:themeColor="text1"/>
          <w:sz w:val="24"/>
          <w:szCs w:val="21"/>
          <w:highlight w:val="none"/>
          <w:lang w:eastAsia="zh-CN"/>
          <w14:textFill>
            <w14:solidFill>
              <w14:schemeClr w14:val="tx1"/>
            </w14:solidFill>
          </w14:textFill>
        </w:rPr>
      </w:pPr>
      <w:bookmarkStart w:id="139" w:name="_Toc175663950"/>
      <w:bookmarkStart w:id="140" w:name="_Toc11056"/>
      <w:bookmarkStart w:id="141" w:name="_Toc22659"/>
      <w:r>
        <w:rPr>
          <w:rFonts w:hint="eastAsia" w:ascii="宋体" w:hAnsi="宋体"/>
          <w:b/>
          <w:color w:val="000000" w:themeColor="text1"/>
          <w:sz w:val="24"/>
          <w:szCs w:val="21"/>
          <w:highlight w:val="none"/>
          <w:lang w:eastAsia="zh-CN"/>
          <w14:textFill>
            <w14:solidFill>
              <w14:schemeClr w14:val="tx1"/>
            </w14:solidFill>
          </w14:textFill>
        </w:rPr>
        <w:br w:type="page"/>
      </w:r>
    </w:p>
    <w:p w14:paraId="6FFB98D7">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t>一、磋商申请及声明</w:t>
      </w:r>
      <w:bookmarkEnd w:id="139"/>
      <w:bookmarkEnd w:id="140"/>
      <w:bookmarkEnd w:id="141"/>
    </w:p>
    <w:p w14:paraId="4CDDD98D">
      <w:pPr>
        <w:jc w:val="center"/>
        <w:rPr>
          <w:rFonts w:ascii="宋体" w:hAnsi="宋体" w:cs="宋体"/>
          <w:b/>
          <w:color w:val="000000" w:themeColor="text1"/>
          <w:sz w:val="52"/>
          <w:szCs w:val="44"/>
          <w:highlight w:val="none"/>
          <w:lang w:val="zh-CN" w:eastAsia="zh-CN"/>
          <w14:textFill>
            <w14:solidFill>
              <w14:schemeClr w14:val="tx1"/>
            </w14:solidFill>
          </w14:textFill>
        </w:rPr>
      </w:pPr>
      <w:r>
        <w:rPr>
          <w:rFonts w:hint="eastAsia" w:ascii="宋体" w:hAnsi="宋体" w:cs="宋体"/>
          <w:b/>
          <w:color w:val="000000" w:themeColor="text1"/>
          <w:sz w:val="52"/>
          <w:szCs w:val="44"/>
          <w:highlight w:val="none"/>
          <w:lang w:val="zh-CN" w:eastAsia="zh-CN"/>
          <w14:textFill>
            <w14:solidFill>
              <w14:schemeClr w14:val="tx1"/>
            </w14:solidFill>
          </w14:textFill>
        </w:rPr>
        <w:t>磋商申请及声明</w:t>
      </w:r>
    </w:p>
    <w:p w14:paraId="5BF47799">
      <w:pPr>
        <w:spacing w:line="4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致：</w:t>
      </w:r>
      <w:r>
        <w:rPr>
          <w:rFonts w:hint="eastAsia" w:ascii="宋体" w:hAnsi="宋体" w:eastAsia="宋体" w:cs="宋体"/>
          <w:color w:val="000000" w:themeColor="text1"/>
          <w:sz w:val="24"/>
          <w:szCs w:val="21"/>
          <w:highlight w:val="none"/>
          <w:lang w:eastAsia="zh-CN"/>
          <w14:textFill>
            <w14:solidFill>
              <w14:schemeClr w14:val="tx1"/>
            </w14:solidFill>
          </w14:textFill>
        </w:rPr>
        <w:t>南京长江新济洲国家湿地公园管理中心</w:t>
      </w:r>
    </w:p>
    <w:p w14:paraId="3EECF3B3">
      <w:pPr>
        <w:spacing w:line="360" w:lineRule="exact"/>
        <w:ind w:firstLine="420"/>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根据贵方</w:t>
      </w:r>
      <w:r>
        <w:rPr>
          <w:rFonts w:hint="eastAsia" w:ascii="宋体" w:eastAsiaTheme="minorEastAsia"/>
          <w:color w:val="000000" w:themeColor="text1"/>
          <w:sz w:val="24"/>
          <w:szCs w:val="21"/>
          <w:highlight w:val="none"/>
          <w:u w:val="single"/>
          <w:lang w:val="zh-CN" w:eastAsia="zh-CN"/>
          <w14:textFill>
            <w14:solidFill>
              <w14:schemeClr w14:val="tx1"/>
            </w14:solidFill>
          </w14:textFill>
        </w:rPr>
        <w:t xml:space="preserve">   </w:t>
      </w:r>
      <w:r>
        <w:rPr>
          <w:rFonts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号采购文件，正式授权下述签字人</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(姓名和职务)代表</w:t>
      </w:r>
      <w:r>
        <w:rPr>
          <w:rFonts w:hint="eastAsia" w:ascii="宋体"/>
          <w:color w:val="000000" w:themeColor="text1"/>
          <w:sz w:val="24"/>
          <w:szCs w:val="21"/>
          <w:highlight w:val="none"/>
          <w:u w:val="single"/>
          <w:lang w:val="zh-CN" w:eastAsia="zh-CN"/>
          <w14:textFill>
            <w14:solidFill>
              <w14:schemeClr w14:val="tx1"/>
            </w14:solidFill>
          </w14:textFill>
        </w:rPr>
        <w:t xml:space="preserve">       </w:t>
      </w:r>
      <w:r>
        <w:rPr>
          <w:rFonts w:hint="eastAsia" w:ascii="宋体"/>
          <w:color w:val="000000" w:themeColor="text1"/>
          <w:sz w:val="24"/>
          <w:szCs w:val="21"/>
          <w:highlight w:val="none"/>
          <w:lang w:val="zh-CN" w:eastAsia="zh-CN"/>
          <w14:textFill>
            <w14:solidFill>
              <w14:schemeClr w14:val="tx1"/>
            </w14:solidFill>
          </w14:textFill>
        </w:rPr>
        <w:t>（供应商名称），提交响应文件并参加磋商。</w:t>
      </w:r>
    </w:p>
    <w:p w14:paraId="0A489B0D">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据此函，签字人兹宣布同意如下：</w:t>
      </w:r>
    </w:p>
    <w:p w14:paraId="0023CE22">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1.</w:t>
      </w:r>
      <w:r>
        <w:rPr>
          <w:rFonts w:hint="eastAsia" w:ascii="宋体" w:hAnsi="宋体"/>
          <w:color w:val="000000" w:themeColor="text1"/>
          <w:sz w:val="24"/>
          <w:szCs w:val="21"/>
          <w:highlight w:val="none"/>
          <w:lang w:eastAsia="zh-CN"/>
          <w14:textFill>
            <w14:solidFill>
              <w14:schemeClr w14:val="tx1"/>
            </w14:solidFill>
          </w14:textFill>
        </w:rPr>
        <w:t>按磋商需求的磋商报价为</w:t>
      </w:r>
      <w:r>
        <w:rPr>
          <w:rFonts w:hint="eastAsia" w:ascii="宋体" w:hAnsi="宋体"/>
          <w:color w:val="000000" w:themeColor="text1"/>
          <w:sz w:val="24"/>
          <w:szCs w:val="21"/>
          <w:highlight w:val="none"/>
          <w:u w:val="single"/>
          <w:lang w:eastAsia="zh-CN"/>
          <w14:textFill>
            <w14:solidFill>
              <w14:schemeClr w14:val="tx1"/>
            </w14:solidFill>
          </w14:textFill>
        </w:rPr>
        <w:t>¥       （大写：      ）</w:t>
      </w:r>
      <w:r>
        <w:rPr>
          <w:rFonts w:hint="eastAsia" w:ascii="宋体" w:hAnsi="宋体"/>
          <w:color w:val="000000" w:themeColor="text1"/>
          <w:sz w:val="24"/>
          <w:szCs w:val="21"/>
          <w:highlight w:val="none"/>
          <w:lang w:eastAsia="zh-CN"/>
          <w14:textFill>
            <w14:solidFill>
              <w14:schemeClr w14:val="tx1"/>
            </w14:solidFill>
          </w14:textFill>
        </w:rPr>
        <w:t>。</w:t>
      </w:r>
    </w:p>
    <w:p w14:paraId="1CD0D9AB">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2.</w:t>
      </w:r>
      <w:r>
        <w:rPr>
          <w:rFonts w:hint="eastAsia" w:ascii="宋体" w:hAnsi="宋体"/>
          <w:color w:val="000000" w:themeColor="text1"/>
          <w:sz w:val="24"/>
          <w:szCs w:val="21"/>
          <w:highlight w:val="none"/>
          <w:lang w:eastAsia="zh-CN"/>
          <w14:textFill>
            <w14:solidFill>
              <w14:schemeClr w14:val="tx1"/>
            </w14:solidFill>
          </w14:textFill>
        </w:rPr>
        <w:t>我们完全理解贵方不一定要接受最低报价的磋商或收到的任何磋商。</w:t>
      </w:r>
    </w:p>
    <w:p w14:paraId="1A9FEAAC">
      <w:pPr>
        <w:spacing w:line="40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3.</w:t>
      </w:r>
      <w:r>
        <w:rPr>
          <w:rFonts w:hint="eastAsia" w:ascii="宋体" w:hAnsi="宋体"/>
          <w:color w:val="000000" w:themeColor="text1"/>
          <w:sz w:val="24"/>
          <w:szCs w:val="21"/>
          <w:highlight w:val="none"/>
          <w:lang w:eastAsia="zh-CN"/>
          <w14:textFill>
            <w14:solidFill>
              <w14:schemeClr w14:val="tx1"/>
            </w14:solidFill>
          </w14:textFill>
        </w:rPr>
        <w:t>我们已详细审核全部磋商文件及其有效补充文件，我们知道必须放弃提出含糊不清或误解的问题的权利。</w:t>
      </w:r>
    </w:p>
    <w:p w14:paraId="299E145D">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ascii="宋体" w:hAnsi="宋体"/>
          <w:color w:val="000000" w:themeColor="text1"/>
          <w:sz w:val="24"/>
          <w:szCs w:val="21"/>
          <w:highlight w:val="none"/>
          <w:lang w:eastAsia="zh-CN"/>
          <w14:textFill>
            <w14:solidFill>
              <w14:schemeClr w14:val="tx1"/>
            </w14:solidFill>
          </w14:textFill>
        </w:rPr>
        <w:t>4.</w:t>
      </w:r>
      <w:r>
        <w:rPr>
          <w:rFonts w:hint="eastAsia" w:ascii="宋体" w:hAnsi="宋体"/>
          <w:color w:val="000000" w:themeColor="text1"/>
          <w:sz w:val="24"/>
          <w:szCs w:val="21"/>
          <w:highlight w:val="none"/>
          <w:lang w:eastAsia="zh-CN"/>
          <w14:textFill>
            <w14:solidFill>
              <w14:schemeClr w14:val="tx1"/>
            </w14:solidFill>
          </w14:textFill>
        </w:rPr>
        <w:t>我们同意从规定的磋商日期起遵循本磋商文件，并在规定的磋商有效期期满之前均具有约束力。</w:t>
      </w:r>
    </w:p>
    <w:p w14:paraId="321CD0C7">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5</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同意向贵方提供贵方可能要求的与磋商有关的任何证据或资料。</w:t>
      </w:r>
    </w:p>
    <w:p w14:paraId="6C0910F3">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6</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一旦我方成交，我方将根据磋商文件的规定，严格履行合同，并保证于承诺的时间完成货物的启动、调试等服务，交付采购人验收、使用。</w:t>
      </w:r>
    </w:p>
    <w:p w14:paraId="695D55DF">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7</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我方将严格遵守《中华人民共和国政府采购法》第七十七条规定，若有下列情形之一的，将被处以采购金额</w:t>
      </w:r>
      <w:r>
        <w:rPr>
          <w:rFonts w:ascii="宋体" w:hAnsi="宋体"/>
          <w:color w:val="000000" w:themeColor="text1"/>
          <w:sz w:val="24"/>
          <w:szCs w:val="21"/>
          <w:highlight w:val="none"/>
          <w:lang w:eastAsia="zh-CN"/>
          <w14:textFill>
            <w14:solidFill>
              <w14:schemeClr w14:val="tx1"/>
            </w14:solidFill>
          </w14:textFill>
        </w:rPr>
        <w:t>5</w:t>
      </w:r>
      <w:r>
        <w:rPr>
          <w:rFonts w:hint="eastAsia" w:ascii="宋体" w:hAnsi="宋体"/>
          <w:color w:val="000000" w:themeColor="text1"/>
          <w:sz w:val="24"/>
          <w:szCs w:val="21"/>
          <w:highlight w:val="none"/>
          <w:lang w:eastAsia="zh-CN"/>
          <w14:textFill>
            <w14:solidFill>
              <w14:schemeClr w14:val="tx1"/>
            </w14:solidFill>
          </w14:textFill>
        </w:rPr>
        <w:t>‰以上</w:t>
      </w:r>
      <w:r>
        <w:rPr>
          <w:rFonts w:ascii="宋体" w:hAnsi="宋体"/>
          <w:color w:val="000000" w:themeColor="text1"/>
          <w:sz w:val="24"/>
          <w:szCs w:val="21"/>
          <w:highlight w:val="none"/>
          <w:lang w:eastAsia="zh-CN"/>
          <w14:textFill>
            <w14:solidFill>
              <w14:schemeClr w14:val="tx1"/>
            </w14:solidFill>
          </w14:textFill>
        </w:rPr>
        <w:t>10</w:t>
      </w:r>
      <w:r>
        <w:rPr>
          <w:rFonts w:hint="eastAsia" w:ascii="宋体" w:hAnsi="宋体"/>
          <w:color w:val="000000" w:themeColor="text1"/>
          <w:sz w:val="24"/>
          <w:szCs w:val="21"/>
          <w:highlight w:val="none"/>
          <w:lang w:eastAsia="zh-CN"/>
          <w14:textFill>
            <w14:solidFill>
              <w14:schemeClr w14:val="tx1"/>
            </w14:solidFill>
          </w14:textFill>
        </w:rPr>
        <w:t>‰以下的罚款，列入不良行为记录名单，在一至三年内禁止参加政府采购活动；有违法所得的，并处没收违法所得；情节严重的，由工商行政管理机关吊销营业执照；构成犯罪的，依法追究刑事责任：</w:t>
      </w:r>
    </w:p>
    <w:p w14:paraId="5C2228DE">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1</w:t>
      </w:r>
      <w:r>
        <w:rPr>
          <w:rFonts w:hint="eastAsia" w:ascii="宋体" w:hAnsi="宋体"/>
          <w:color w:val="000000" w:themeColor="text1"/>
          <w:sz w:val="24"/>
          <w:szCs w:val="21"/>
          <w:highlight w:val="none"/>
          <w:lang w:eastAsia="zh-CN"/>
          <w14:textFill>
            <w14:solidFill>
              <w14:schemeClr w14:val="tx1"/>
            </w14:solidFill>
          </w14:textFill>
        </w:rPr>
        <w:t>）提供虚假材料谋取中标、成交的；</w:t>
      </w:r>
    </w:p>
    <w:p w14:paraId="7DFE7013">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2</w:t>
      </w:r>
      <w:r>
        <w:rPr>
          <w:rFonts w:hint="eastAsia" w:ascii="宋体" w:hAnsi="宋体"/>
          <w:color w:val="000000" w:themeColor="text1"/>
          <w:sz w:val="24"/>
          <w:szCs w:val="21"/>
          <w:highlight w:val="none"/>
          <w:lang w:eastAsia="zh-CN"/>
          <w14:textFill>
            <w14:solidFill>
              <w14:schemeClr w14:val="tx1"/>
            </w14:solidFill>
          </w14:textFill>
        </w:rPr>
        <w:t>）采取不正当手段诋毁、排挤其他供应商的；</w:t>
      </w:r>
    </w:p>
    <w:p w14:paraId="00CE3326">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3</w:t>
      </w:r>
      <w:r>
        <w:rPr>
          <w:rFonts w:hint="eastAsia" w:ascii="宋体" w:hAnsi="宋体"/>
          <w:color w:val="000000" w:themeColor="text1"/>
          <w:sz w:val="24"/>
          <w:szCs w:val="21"/>
          <w:highlight w:val="none"/>
          <w:lang w:eastAsia="zh-CN"/>
          <w14:textFill>
            <w14:solidFill>
              <w14:schemeClr w14:val="tx1"/>
            </w14:solidFill>
          </w14:textFill>
        </w:rPr>
        <w:t>）与采购人、其它供应商或者采购代理机构恶意串通的；</w:t>
      </w:r>
    </w:p>
    <w:p w14:paraId="4C459C04">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4</w:t>
      </w:r>
      <w:r>
        <w:rPr>
          <w:rFonts w:hint="eastAsia" w:ascii="宋体" w:hAnsi="宋体"/>
          <w:color w:val="000000" w:themeColor="text1"/>
          <w:sz w:val="24"/>
          <w:szCs w:val="21"/>
          <w:highlight w:val="none"/>
          <w:lang w:eastAsia="zh-CN"/>
          <w14:textFill>
            <w14:solidFill>
              <w14:schemeClr w14:val="tx1"/>
            </w14:solidFill>
          </w14:textFill>
        </w:rPr>
        <w:t>）向采购人、采购代理机构行贿或者提供其他不正当利益的；</w:t>
      </w:r>
    </w:p>
    <w:p w14:paraId="28EC8E63">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5</w:t>
      </w:r>
      <w:r>
        <w:rPr>
          <w:rFonts w:hint="eastAsia" w:ascii="宋体" w:hAnsi="宋体"/>
          <w:color w:val="000000" w:themeColor="text1"/>
          <w:sz w:val="24"/>
          <w:szCs w:val="21"/>
          <w:highlight w:val="none"/>
          <w:lang w:eastAsia="zh-CN"/>
          <w14:textFill>
            <w14:solidFill>
              <w14:schemeClr w14:val="tx1"/>
            </w14:solidFill>
          </w14:textFill>
        </w:rPr>
        <w:t>）在采购过程中与采购人进行协商磋商的；</w:t>
      </w:r>
    </w:p>
    <w:p w14:paraId="24A0A510">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w:t>
      </w:r>
      <w:r>
        <w:rPr>
          <w:rFonts w:ascii="宋体" w:hAnsi="宋体"/>
          <w:color w:val="000000" w:themeColor="text1"/>
          <w:sz w:val="24"/>
          <w:szCs w:val="21"/>
          <w:highlight w:val="none"/>
          <w:lang w:eastAsia="zh-CN"/>
          <w14:textFill>
            <w14:solidFill>
              <w14:schemeClr w14:val="tx1"/>
            </w14:solidFill>
          </w14:textFill>
        </w:rPr>
        <w:t>6</w:t>
      </w:r>
      <w:r>
        <w:rPr>
          <w:rFonts w:hint="eastAsia" w:ascii="宋体" w:hAnsi="宋体"/>
          <w:color w:val="000000" w:themeColor="text1"/>
          <w:sz w:val="24"/>
          <w:szCs w:val="21"/>
          <w:highlight w:val="none"/>
          <w:lang w:eastAsia="zh-CN"/>
          <w14:textFill>
            <w14:solidFill>
              <w14:schemeClr w14:val="tx1"/>
            </w14:solidFill>
          </w14:textFill>
        </w:rPr>
        <w:t>）拒绝有关部门监督检查或提供虚假情况的。</w:t>
      </w:r>
    </w:p>
    <w:p w14:paraId="1A011860">
      <w:pPr>
        <w:spacing w:line="360" w:lineRule="exact"/>
        <w:ind w:firstLine="480" w:firstLineChars="200"/>
        <w:rPr>
          <w:rFonts w:asci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8</w:t>
      </w:r>
      <w:r>
        <w:rPr>
          <w:rFonts w:ascii="宋体" w:hAnsi="宋体"/>
          <w:color w:val="000000" w:themeColor="text1"/>
          <w:sz w:val="24"/>
          <w:szCs w:val="21"/>
          <w:highlight w:val="none"/>
          <w:lang w:eastAsia="zh-CN"/>
          <w14:textFill>
            <w14:solidFill>
              <w14:schemeClr w14:val="tx1"/>
            </w14:solidFill>
          </w14:textFill>
        </w:rPr>
        <w:t>.</w:t>
      </w:r>
      <w:r>
        <w:rPr>
          <w:rFonts w:hint="eastAsia" w:ascii="宋体" w:hAnsi="宋体"/>
          <w:color w:val="000000" w:themeColor="text1"/>
          <w:sz w:val="24"/>
          <w:szCs w:val="21"/>
          <w:highlight w:val="none"/>
          <w:lang w:eastAsia="zh-CN"/>
          <w14:textFill>
            <w14:solidFill>
              <w14:schemeClr w14:val="tx1"/>
            </w14:solidFill>
          </w14:textFill>
        </w:rPr>
        <w:t>与本磋商有关的正式通讯地址为：</w:t>
      </w:r>
    </w:p>
    <w:p w14:paraId="10CDBC68">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供应商名称（盖章）：</w:t>
      </w:r>
    </w:p>
    <w:p w14:paraId="39CE3051">
      <w:pPr>
        <w:spacing w:line="400" w:lineRule="exact"/>
        <w:ind w:firstLine="720" w:firstLineChars="300"/>
        <w:rPr>
          <w:rFonts w:asci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地址：</w:t>
      </w:r>
    </w:p>
    <w:p w14:paraId="713C1D25">
      <w:pPr>
        <w:spacing w:line="400" w:lineRule="exact"/>
        <w:ind w:firstLine="720" w:firstLineChars="300"/>
        <w:rPr>
          <w:rFonts w:ascii="宋体" w:hAnsi="宋体"/>
          <w:color w:val="000000" w:themeColor="text1"/>
          <w:sz w:val="24"/>
          <w:highlight w:val="none"/>
          <w:u w:val="singl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联系电话：</w:t>
      </w:r>
    </w:p>
    <w:p w14:paraId="4B82FF05">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供应商</w:t>
      </w:r>
      <w:r>
        <w:rPr>
          <w:rFonts w:hint="eastAsia" w:asciiTheme="minorEastAsia" w:hAnsiTheme="minorEastAsia" w:eastAsiaTheme="minorEastAsia"/>
          <w:color w:val="000000" w:themeColor="text1"/>
          <w:sz w:val="24"/>
          <w:highlight w:val="none"/>
          <w:lang w:eastAsia="zh-CN"/>
          <w14:textFill>
            <w14:solidFill>
              <w14:schemeClr w14:val="tx1"/>
            </w14:solidFill>
          </w14:textFill>
        </w:rPr>
        <w:t>法定</w:t>
      </w:r>
      <w:r>
        <w:rPr>
          <w:rFonts w:hint="eastAsia" w:ascii="宋体" w:hAnsi="宋体"/>
          <w:color w:val="000000" w:themeColor="text1"/>
          <w:sz w:val="24"/>
          <w:highlight w:val="none"/>
          <w:lang w:eastAsia="zh-CN"/>
          <w14:textFill>
            <w14:solidFill>
              <w14:schemeClr w14:val="tx1"/>
            </w14:solidFill>
          </w14:textFill>
        </w:rPr>
        <w:t>代表人（签字或盖章）：</w:t>
      </w:r>
    </w:p>
    <w:p w14:paraId="368AADA5">
      <w:pPr>
        <w:spacing w:line="400" w:lineRule="exact"/>
        <w:ind w:firstLine="720" w:firstLineChars="300"/>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日期：   年   月   日</w:t>
      </w:r>
    </w:p>
    <w:p w14:paraId="6CFAB657">
      <w:pPr>
        <w:spacing w:line="360" w:lineRule="exact"/>
        <w:ind w:firstLine="720" w:firstLineChars="300"/>
        <w:rPr>
          <w:rFonts w:ascii="宋体" w:hAnsi="宋体"/>
          <w:color w:val="000000" w:themeColor="text1"/>
          <w:sz w:val="24"/>
          <w:highlight w:val="none"/>
          <w:lang w:eastAsia="zh-CN"/>
          <w14:textFill>
            <w14:solidFill>
              <w14:schemeClr w14:val="tx1"/>
            </w14:solidFill>
          </w14:textFill>
        </w:rPr>
      </w:pPr>
    </w:p>
    <w:p w14:paraId="32F6F7A1">
      <w:pPr>
        <w:spacing w:line="360" w:lineRule="exact"/>
        <w:ind w:firstLine="720" w:firstLineChars="300"/>
        <w:rPr>
          <w:rFonts w:ascii="宋体" w:hAnsi="宋体"/>
          <w:color w:val="000000" w:themeColor="text1"/>
          <w:sz w:val="24"/>
          <w:highlight w:val="none"/>
          <w:lang w:eastAsia="zh-CN"/>
          <w14:textFill>
            <w14:solidFill>
              <w14:schemeClr w14:val="tx1"/>
            </w14:solidFill>
          </w14:textFill>
        </w:rPr>
      </w:pPr>
    </w:p>
    <w:p w14:paraId="0233BCD0">
      <w:pPr>
        <w:pStyle w:val="67"/>
        <w:rPr>
          <w:rFonts w:eastAsiaTheme="minorEastAsia"/>
          <w:color w:val="000000" w:themeColor="text1"/>
          <w:highlight w:val="none"/>
          <w:lang w:eastAsia="zh-CN"/>
          <w14:textFill>
            <w14:solidFill>
              <w14:schemeClr w14:val="tx1"/>
            </w14:solidFill>
          </w14:textFill>
        </w:rPr>
      </w:pPr>
      <w:bookmarkStart w:id="142" w:name="_Hlt460314944"/>
      <w:bookmarkEnd w:id="142"/>
      <w:bookmarkStart w:id="143" w:name="_Toc10181"/>
      <w:bookmarkStart w:id="144" w:name="_Toc26050"/>
    </w:p>
    <w:p w14:paraId="543ECEB9">
      <w:pPr>
        <w:rPr>
          <w:rFonts w:eastAsiaTheme="minorEastAsia"/>
          <w:color w:val="000000" w:themeColor="text1"/>
          <w:highlight w:val="none"/>
          <w:lang w:eastAsia="zh-CN"/>
          <w14:textFill>
            <w14:solidFill>
              <w14:schemeClr w14:val="tx1"/>
            </w14:solidFill>
          </w14:textFill>
        </w:rPr>
      </w:pPr>
      <w:r>
        <w:rPr>
          <w:rFonts w:eastAsiaTheme="minorEastAsia"/>
          <w:color w:val="000000" w:themeColor="text1"/>
          <w:highlight w:val="none"/>
          <w:lang w:eastAsia="zh-CN"/>
          <w14:textFill>
            <w14:solidFill>
              <w14:schemeClr w14:val="tx1"/>
            </w14:solidFill>
          </w14:textFill>
        </w:rPr>
        <w:br w:type="page"/>
      </w:r>
    </w:p>
    <w:p w14:paraId="31DB1B56">
      <w:pPr>
        <w:outlineLvl w:val="1"/>
        <w:rPr>
          <w:rFonts w:ascii="宋体" w:hAnsi="宋体"/>
          <w:b/>
          <w:color w:val="000000" w:themeColor="text1"/>
          <w:sz w:val="24"/>
          <w:szCs w:val="21"/>
          <w:highlight w:val="none"/>
          <w:lang w:eastAsia="zh-CN"/>
          <w14:textFill>
            <w14:solidFill>
              <w14:schemeClr w14:val="tx1"/>
            </w14:solidFill>
          </w14:textFill>
        </w:rPr>
      </w:pPr>
      <w:bookmarkStart w:id="145" w:name="_Toc175663951"/>
      <w:r>
        <w:rPr>
          <w:rFonts w:hint="eastAsia" w:ascii="宋体" w:hAnsi="宋体"/>
          <w:b/>
          <w:color w:val="000000" w:themeColor="text1"/>
          <w:sz w:val="24"/>
          <w:szCs w:val="21"/>
          <w:highlight w:val="none"/>
          <w:lang w:eastAsia="zh-CN"/>
          <w14:textFill>
            <w14:solidFill>
              <w14:schemeClr w14:val="tx1"/>
            </w14:solidFill>
          </w14:textFill>
        </w:rPr>
        <w:t>二、法定代表人授权委托书</w:t>
      </w:r>
      <w:bookmarkEnd w:id="143"/>
      <w:bookmarkEnd w:id="144"/>
      <w:bookmarkEnd w:id="145"/>
    </w:p>
    <w:p w14:paraId="1B87B30A">
      <w:pPr>
        <w:ind w:firstLine="803" w:firstLineChars="200"/>
        <w:jc w:val="center"/>
        <w:rPr>
          <w:rFonts w:ascii="宋体" w:hAnsi="宋体"/>
          <w:b/>
          <w:bCs/>
          <w:color w:val="000000" w:themeColor="text1"/>
          <w:sz w:val="24"/>
          <w:highlight w:val="none"/>
          <w:lang w:eastAsia="zh-CN"/>
          <w14:textFill>
            <w14:solidFill>
              <w14:schemeClr w14:val="tx1"/>
            </w14:solidFill>
          </w14:textFill>
        </w:rPr>
      </w:pPr>
      <w:r>
        <w:rPr>
          <w:rFonts w:hint="eastAsia" w:ascii="黑体" w:hAnsi="宋体" w:eastAsia="黑体"/>
          <w:b/>
          <w:bCs/>
          <w:color w:val="000000" w:themeColor="text1"/>
          <w:sz w:val="40"/>
          <w:szCs w:val="44"/>
          <w:highlight w:val="none"/>
          <w:lang w:eastAsia="zh-CN"/>
          <w14:textFill>
            <w14:solidFill>
              <w14:schemeClr w14:val="tx1"/>
            </w14:solidFill>
          </w14:textFill>
        </w:rPr>
        <w:t>法定代表人授权委托书</w:t>
      </w:r>
    </w:p>
    <w:p w14:paraId="0D564F3C">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 </w:t>
      </w:r>
      <w:r>
        <w:rPr>
          <w:rFonts w:hint="eastAsia" w:ascii="宋体" w:hAnsi="宋体" w:eastAsia="宋体" w:cs="宋体"/>
          <w:color w:val="000000" w:themeColor="text1"/>
          <w:sz w:val="24"/>
          <w:szCs w:val="21"/>
          <w:highlight w:val="none"/>
          <w:lang w:eastAsia="zh-CN"/>
          <w14:textFill>
            <w14:solidFill>
              <w14:schemeClr w14:val="tx1"/>
            </w14:solidFill>
          </w14:textFill>
        </w:rPr>
        <w:t>南京长江新济洲国家湿地公园管理中心</w:t>
      </w:r>
      <w:r>
        <w:rPr>
          <w:rFonts w:hint="eastAsia" w:ascii="宋体" w:hAnsi="宋体"/>
          <w:color w:val="000000" w:themeColor="text1"/>
          <w:sz w:val="24"/>
          <w:szCs w:val="21"/>
          <w:highlight w:val="none"/>
          <w:lang w:eastAsia="zh-CN"/>
          <w14:textFill>
            <w14:solidFill>
              <w14:schemeClr w14:val="tx1"/>
            </w14:solidFill>
          </w14:textFill>
        </w:rPr>
        <w:t xml:space="preserve"> ：</w:t>
      </w:r>
    </w:p>
    <w:p w14:paraId="5873512A">
      <w:pPr>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    本授权书声明：注册于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（供应商注册地址）的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（供应商名称）法定代表人</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（法定代表人姓名、职务）代表本公司授权在下面签字的</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（授权代表姓名、职务）为本公司的合法代理人，就贵方组织的项目编号：</w:t>
      </w:r>
      <w:r>
        <w:rPr>
          <w:rFonts w:hint="eastAsia" w:ascii="宋体" w:hAnsi="宋体" w:eastAsiaTheme="minorEastAsia"/>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u w:val="single"/>
          <w:lang w:eastAsia="zh-CN"/>
          <w14:textFill>
            <w14:solidFill>
              <w14:schemeClr w14:val="tx1"/>
            </w14:solidFill>
          </w14:textFill>
        </w:rPr>
        <w:t>号</w:t>
      </w:r>
      <w:r>
        <w:rPr>
          <w:rFonts w:hint="eastAsia" w:ascii="宋体" w:hAnsi="宋体"/>
          <w:color w:val="000000" w:themeColor="text1"/>
          <w:sz w:val="24"/>
          <w:szCs w:val="21"/>
          <w:highlight w:val="none"/>
          <w:lang w:eastAsia="zh-CN"/>
          <w14:textFill>
            <w14:solidFill>
              <w14:schemeClr w14:val="tx1"/>
            </w14:solidFill>
          </w14:textFill>
        </w:rPr>
        <w:t>，项目名称</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，以本公司名义处理一切与之有关的事务。</w:t>
      </w:r>
    </w:p>
    <w:p w14:paraId="3F3E16D1">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本授权书于</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年</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月</w:t>
      </w:r>
      <w:r>
        <w:rPr>
          <w:rFonts w:hint="eastAsia" w:ascii="宋体" w:hAnsi="宋体"/>
          <w:color w:val="000000" w:themeColor="text1"/>
          <w:sz w:val="24"/>
          <w:szCs w:val="21"/>
          <w:highlight w:val="none"/>
          <w:u w:val="single"/>
          <w:lang w:eastAsia="zh-CN"/>
          <w14:textFill>
            <w14:solidFill>
              <w14:schemeClr w14:val="tx1"/>
            </w14:solidFill>
          </w14:textFill>
        </w:rPr>
        <w:t xml:space="preserve">    </w:t>
      </w:r>
      <w:r>
        <w:rPr>
          <w:rFonts w:hint="eastAsia" w:ascii="宋体" w:hAnsi="宋体"/>
          <w:color w:val="000000" w:themeColor="text1"/>
          <w:sz w:val="24"/>
          <w:szCs w:val="21"/>
          <w:highlight w:val="none"/>
          <w:lang w:eastAsia="zh-CN"/>
          <w14:textFill>
            <w14:solidFill>
              <w14:schemeClr w14:val="tx1"/>
            </w14:solidFill>
          </w14:textFill>
        </w:rPr>
        <w:t>日签字生效，特此声明。</w:t>
      </w:r>
    </w:p>
    <w:p w14:paraId="17E6A93B">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附：</w:t>
      </w:r>
      <w:r>
        <w:rPr>
          <w:rFonts w:hint="eastAsia" w:ascii="宋体" w:hAnsi="宋体"/>
          <w:b/>
          <w:color w:val="000000" w:themeColor="text1"/>
          <w:sz w:val="24"/>
          <w:szCs w:val="21"/>
          <w:highlight w:val="none"/>
          <w:lang w:eastAsia="zh-CN"/>
          <w14:textFill>
            <w14:solidFill>
              <w14:schemeClr w14:val="tx1"/>
            </w14:solidFill>
          </w14:textFill>
        </w:rPr>
        <w:t>法人</w:t>
      </w:r>
      <w:r>
        <w:rPr>
          <w:rFonts w:hint="eastAsia" w:ascii="宋体" w:hAnsi="宋体"/>
          <w:color w:val="000000" w:themeColor="text1"/>
          <w:sz w:val="24"/>
          <w:szCs w:val="21"/>
          <w:highlight w:val="none"/>
          <w:lang w:eastAsia="zh-CN"/>
          <w14:textFill>
            <w14:solidFill>
              <w14:schemeClr w14:val="tx1"/>
            </w14:solidFill>
          </w14:textFill>
        </w:rPr>
        <w:t>及授</w:t>
      </w:r>
      <w:r>
        <w:rPr>
          <w:rFonts w:hint="eastAsia" w:ascii="宋体" w:hAnsi="宋体"/>
          <w:b/>
          <w:color w:val="000000" w:themeColor="text1"/>
          <w:sz w:val="24"/>
          <w:szCs w:val="21"/>
          <w:highlight w:val="none"/>
          <w:lang w:eastAsia="zh-CN"/>
          <w14:textFill>
            <w14:solidFill>
              <w14:schemeClr w14:val="tx1"/>
            </w14:solidFill>
          </w14:textFill>
        </w:rPr>
        <w:t>权委托人</w:t>
      </w:r>
      <w:r>
        <w:rPr>
          <w:rFonts w:hint="eastAsia" w:ascii="宋体" w:hAnsi="宋体"/>
          <w:color w:val="000000" w:themeColor="text1"/>
          <w:sz w:val="24"/>
          <w:szCs w:val="21"/>
          <w:highlight w:val="none"/>
          <w:lang w:eastAsia="zh-CN"/>
          <w14:textFill>
            <w14:solidFill>
              <w14:schemeClr w14:val="tx1"/>
            </w14:solidFill>
          </w14:textFill>
        </w:rPr>
        <w:t>身份证加盖公章。</w:t>
      </w:r>
    </w:p>
    <w:p w14:paraId="0DBC82AC">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p>
    <w:p w14:paraId="71F68114">
      <w:pPr>
        <w:spacing w:line="500" w:lineRule="exact"/>
        <w:ind w:firstLine="420"/>
        <w:rPr>
          <w:rFonts w:ascii="宋体" w:hAnsi="宋体"/>
          <w:color w:val="000000" w:themeColor="text1"/>
          <w:sz w:val="24"/>
          <w:szCs w:val="21"/>
          <w:highlight w:val="none"/>
          <w:lang w:eastAsia="zh-CN"/>
          <w14:textFill>
            <w14:solidFill>
              <w14:schemeClr w14:val="tx1"/>
            </w14:solidFill>
          </w14:textFill>
        </w:rPr>
      </w:pPr>
    </w:p>
    <w:p w14:paraId="66323D4A">
      <w:pPr>
        <w:spacing w:line="500" w:lineRule="exact"/>
        <w:ind w:firstLine="480" w:firstLineChars="20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p>
    <w:p w14:paraId="4FD8001C">
      <w:pPr>
        <w:tabs>
          <w:tab w:val="left" w:pos="1440"/>
        </w:tabs>
        <w:spacing w:line="500" w:lineRule="exact"/>
        <w:ind w:firstLine="480" w:firstLineChars="20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日    期：       年    月    日</w:t>
      </w:r>
    </w:p>
    <w:p w14:paraId="312D1EDA">
      <w:pPr>
        <w:rPr>
          <w:rFonts w:ascii="宋体" w:hAnsi="宋体"/>
          <w:color w:val="000000" w:themeColor="text1"/>
          <w:sz w:val="24"/>
          <w:highlight w:val="none"/>
          <w:lang w:eastAsia="zh-CN"/>
          <w14:textFill>
            <w14:solidFill>
              <w14:schemeClr w14:val="tx1"/>
            </w14:solidFill>
          </w14:textFill>
        </w:rPr>
      </w:pPr>
    </w:p>
    <w:p w14:paraId="1868AD22">
      <w:pPr>
        <w:rPr>
          <w:rFonts w:ascii="宋体" w:hAnsi="宋体"/>
          <w:color w:val="000000" w:themeColor="text1"/>
          <w:sz w:val="24"/>
          <w:highlight w:val="none"/>
          <w:lang w:eastAsia="zh-CN"/>
          <w14:textFill>
            <w14:solidFill>
              <w14:schemeClr w14:val="tx1"/>
            </w14:solidFill>
          </w14:textFill>
        </w:rPr>
      </w:pPr>
    </w:p>
    <w:p w14:paraId="211981AC">
      <w:pPr>
        <w:rPr>
          <w:rFonts w:ascii="宋体" w:hAnsi="宋体"/>
          <w:color w:val="000000" w:themeColor="text1"/>
          <w:sz w:val="24"/>
          <w:highlight w:val="none"/>
          <w:lang w:eastAsia="zh-CN"/>
          <w14:textFill>
            <w14:solidFill>
              <w14:schemeClr w14:val="tx1"/>
            </w14:solidFill>
          </w14:textFill>
        </w:rPr>
      </w:pPr>
    </w:p>
    <w:p w14:paraId="6187AD8A">
      <w:pPr>
        <w:rPr>
          <w:rFonts w:ascii="宋体" w:hAnsi="宋体"/>
          <w:color w:val="000000" w:themeColor="text1"/>
          <w:sz w:val="24"/>
          <w:highlight w:val="none"/>
          <w:lang w:eastAsia="zh-CN"/>
          <w14:textFill>
            <w14:solidFill>
              <w14:schemeClr w14:val="tx1"/>
            </w14:solidFill>
          </w14:textFill>
        </w:rPr>
      </w:pPr>
    </w:p>
    <w:p w14:paraId="2981D550">
      <w:pPr>
        <w:rPr>
          <w:rFonts w:ascii="宋体" w:hAnsi="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lang w:eastAsia="zh-CN"/>
          <w14:textFill>
            <w14:solidFill>
              <w14:schemeClr w14:val="tx1"/>
            </w14:solidFill>
          </w14:textFill>
        </w:rPr>
        <w:br w:type="page"/>
      </w:r>
    </w:p>
    <w:p w14:paraId="2D520363">
      <w:pPr>
        <w:outlineLvl w:val="1"/>
        <w:rPr>
          <w:rFonts w:ascii="宋体" w:hAnsi="宋体"/>
          <w:b/>
          <w:color w:val="000000" w:themeColor="text1"/>
          <w:sz w:val="24"/>
          <w:szCs w:val="21"/>
          <w:highlight w:val="none"/>
          <w:lang w:eastAsia="zh-CN"/>
          <w14:textFill>
            <w14:solidFill>
              <w14:schemeClr w14:val="tx1"/>
            </w14:solidFill>
          </w14:textFill>
        </w:rPr>
      </w:pPr>
      <w:bookmarkStart w:id="146" w:name="_Toc25188"/>
      <w:bookmarkStart w:id="147" w:name="_Toc175663952"/>
      <w:bookmarkStart w:id="148" w:name="_Toc354594116"/>
      <w:bookmarkStart w:id="149" w:name="_Toc8055"/>
      <w:r>
        <w:rPr>
          <w:rFonts w:hint="eastAsia" w:ascii="宋体" w:hAnsi="宋体"/>
          <w:b/>
          <w:color w:val="000000" w:themeColor="text1"/>
          <w:sz w:val="24"/>
          <w:szCs w:val="21"/>
          <w:highlight w:val="none"/>
          <w:lang w:eastAsia="zh-CN"/>
          <w14:textFill>
            <w14:solidFill>
              <w14:schemeClr w14:val="tx1"/>
            </w14:solidFill>
          </w14:textFill>
        </w:rPr>
        <w:t>三、磋商报价</w:t>
      </w:r>
      <w:bookmarkEnd w:id="146"/>
      <w:bookmarkEnd w:id="147"/>
      <w:bookmarkEnd w:id="148"/>
      <w:bookmarkEnd w:id="149"/>
      <w:r>
        <w:rPr>
          <w:rFonts w:hint="eastAsia" w:asciiTheme="minorEastAsia" w:hAnsiTheme="minorEastAsia" w:eastAsiaTheme="minorEastAsia"/>
          <w:b/>
          <w:color w:val="000000" w:themeColor="text1"/>
          <w:sz w:val="24"/>
          <w:szCs w:val="21"/>
          <w:highlight w:val="none"/>
          <w:lang w:eastAsia="zh-CN"/>
          <w14:textFill>
            <w14:solidFill>
              <w14:schemeClr w14:val="tx1"/>
            </w14:solidFill>
          </w14:textFill>
        </w:rPr>
        <w:t>（第一轮）</w:t>
      </w:r>
    </w:p>
    <w:p w14:paraId="49FABFE9">
      <w:pPr>
        <w:autoSpaceDE w:val="0"/>
        <w:autoSpaceDN w:val="0"/>
        <w:adjustRightInd w:val="0"/>
        <w:spacing w:line="360" w:lineRule="auto"/>
        <w:ind w:firstLine="361" w:firstLineChars="100"/>
        <w:jc w:val="center"/>
        <w:rPr>
          <w:rFonts w:ascii="黑体" w:hAnsi="宋体" w:eastAsia="黑体"/>
          <w:b/>
          <w:color w:val="000000" w:themeColor="text1"/>
          <w:sz w:val="36"/>
          <w:szCs w:val="28"/>
          <w:highlight w:val="none"/>
          <w:lang w:eastAsia="zh-CN"/>
          <w14:textFill>
            <w14:solidFill>
              <w14:schemeClr w14:val="tx1"/>
            </w14:solidFill>
          </w14:textFill>
        </w:rPr>
      </w:pPr>
      <w:r>
        <w:rPr>
          <w:rFonts w:hint="eastAsia" w:ascii="黑体" w:hAnsi="宋体" w:eastAsia="黑体"/>
          <w:b/>
          <w:color w:val="000000" w:themeColor="text1"/>
          <w:sz w:val="36"/>
          <w:szCs w:val="28"/>
          <w:highlight w:val="none"/>
          <w:lang w:eastAsia="zh-CN"/>
          <w14:textFill>
            <w14:solidFill>
              <w14:schemeClr w14:val="tx1"/>
            </w14:solidFill>
          </w14:textFill>
        </w:rPr>
        <w:t>磋商报价（第一轮）</w:t>
      </w:r>
    </w:p>
    <w:p w14:paraId="0C0DF43E">
      <w:pPr>
        <w:autoSpaceDE w:val="0"/>
        <w:autoSpaceDN w:val="0"/>
        <w:adjustRightInd w:val="0"/>
        <w:spacing w:line="360" w:lineRule="auto"/>
        <w:rPr>
          <w:rFonts w:ascii="宋体" w:hAnsi="宋体" w:eastAsiaTheme="minorEastAsia"/>
          <w:bCs/>
          <w:color w:val="000000" w:themeColor="text1"/>
          <w:sz w:val="24"/>
          <w:szCs w:val="21"/>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 xml:space="preserve">项目编号：JSZC-320115-NJMT-C2026-0012 </w:t>
      </w:r>
    </w:p>
    <w:p w14:paraId="623EC111">
      <w:pPr>
        <w:autoSpaceDE w:val="0"/>
        <w:autoSpaceDN w:val="0"/>
        <w:adjustRightInd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1"/>
          <w:highlight w:val="none"/>
          <w:lang w:eastAsia="zh-CN"/>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新济洲2025年度公益林生态效益补偿项目</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59"/>
        <w:gridCol w:w="6840"/>
      </w:tblGrid>
      <w:tr w14:paraId="052A8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4" w:hRule="atLeast"/>
        </w:trPr>
        <w:tc>
          <w:tcPr>
            <w:tcW w:w="2759" w:type="dxa"/>
            <w:vMerge w:val="restart"/>
            <w:vAlign w:val="center"/>
          </w:tcPr>
          <w:p w14:paraId="5EA99A2A">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磋商报价</w:t>
            </w:r>
          </w:p>
        </w:tc>
        <w:tc>
          <w:tcPr>
            <w:tcW w:w="6840" w:type="dxa"/>
            <w:vAlign w:val="center"/>
          </w:tcPr>
          <w:p w14:paraId="3A622CC6">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w:t>
            </w:r>
          </w:p>
        </w:tc>
      </w:tr>
      <w:tr w14:paraId="295A5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2759" w:type="dxa"/>
            <w:vMerge w:val="continue"/>
            <w:vAlign w:val="center"/>
          </w:tcPr>
          <w:p w14:paraId="6D62129B">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p>
        </w:tc>
        <w:tc>
          <w:tcPr>
            <w:tcW w:w="6840" w:type="dxa"/>
            <w:vAlign w:val="center"/>
          </w:tcPr>
          <w:p w14:paraId="119987D7">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大写：</w:t>
            </w:r>
          </w:p>
        </w:tc>
      </w:tr>
      <w:tr w14:paraId="1A278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2759" w:type="dxa"/>
            <w:vAlign w:val="center"/>
          </w:tcPr>
          <w:p w14:paraId="1BD67CBE">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color w:val="000000" w:themeColor="text1"/>
                <w:highlight w:val="none"/>
                <w:lang w:val="en-US"/>
                <w14:textFill>
                  <w14:solidFill>
                    <w14:schemeClr w14:val="tx1"/>
                  </w14:solidFill>
                </w14:textFill>
              </w:rPr>
              <w:t>项目负责人</w:t>
            </w:r>
          </w:p>
        </w:tc>
        <w:tc>
          <w:tcPr>
            <w:tcW w:w="6840" w:type="dxa"/>
            <w:vAlign w:val="center"/>
          </w:tcPr>
          <w:p w14:paraId="5E4D938E">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p>
        </w:tc>
      </w:tr>
      <w:tr w14:paraId="7BACE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2759" w:type="dxa"/>
            <w:vAlign w:val="center"/>
          </w:tcPr>
          <w:p w14:paraId="70163990">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服务期</w:t>
            </w:r>
          </w:p>
        </w:tc>
        <w:tc>
          <w:tcPr>
            <w:tcW w:w="6840" w:type="dxa"/>
            <w:vAlign w:val="center"/>
          </w:tcPr>
          <w:p w14:paraId="3C36CD3B">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p>
        </w:tc>
      </w:tr>
      <w:tr w14:paraId="4E7EB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2759" w:type="dxa"/>
            <w:vAlign w:val="center"/>
          </w:tcPr>
          <w:p w14:paraId="47A33801">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是否小微企业</w:t>
            </w:r>
          </w:p>
        </w:tc>
        <w:tc>
          <w:tcPr>
            <w:tcW w:w="6840" w:type="dxa"/>
            <w:vAlign w:val="center"/>
          </w:tcPr>
          <w:p w14:paraId="35439BF1">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color w:val="000000" w:themeColor="text1"/>
                <w:highlight w:val="none"/>
                <w:lang w:val="zh-CN"/>
                <w14:textFill>
                  <w14:solidFill>
                    <w14:schemeClr w14:val="tx1"/>
                  </w14:solidFill>
                </w14:textFill>
              </w:rPr>
              <w:t>是</w:t>
            </w:r>
            <w:r>
              <w:rPr>
                <w:rFonts w:hint="eastAsia"/>
                <w:color w:val="000000" w:themeColor="text1"/>
                <w:highlight w:val="none"/>
                <w:lang w:val="zh-CN"/>
                <w14:textFill>
                  <w14:solidFill>
                    <w14:schemeClr w14:val="tx1"/>
                  </w14:solidFill>
                </w14:textFill>
              </w:rPr>
              <w:t xml:space="preserve">       否</w:t>
            </w:r>
          </w:p>
        </w:tc>
      </w:tr>
      <w:tr w14:paraId="64CD9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2759" w:type="dxa"/>
            <w:vAlign w:val="center"/>
          </w:tcPr>
          <w:p w14:paraId="56C5CAAD">
            <w:pPr>
              <w:autoSpaceDE w:val="0"/>
              <w:autoSpaceDN w:val="0"/>
              <w:adjustRightInd w:val="0"/>
              <w:spacing w:line="360" w:lineRule="auto"/>
              <w:jc w:val="center"/>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en-US"/>
                <w14:textFill>
                  <w14:solidFill>
                    <w14:schemeClr w14:val="tx1"/>
                  </w14:solidFill>
                </w14:textFill>
              </w:rPr>
              <w:t>其它</w:t>
            </w:r>
          </w:p>
        </w:tc>
        <w:tc>
          <w:tcPr>
            <w:tcW w:w="6840" w:type="dxa"/>
            <w:vAlign w:val="center"/>
          </w:tcPr>
          <w:p w14:paraId="35D9F131">
            <w:pPr>
              <w:autoSpaceDE w:val="0"/>
              <w:autoSpaceDN w:val="0"/>
              <w:adjustRightInd w:val="0"/>
              <w:spacing w:line="360" w:lineRule="auto"/>
              <w:jc w:val="both"/>
              <w:rPr>
                <w:rFonts w:hint="eastAsia" w:ascii="宋体" w:hAnsi="宋体" w:eastAsia="宋体" w:cs="宋体"/>
                <w:color w:val="000000" w:themeColor="text1"/>
                <w:sz w:val="24"/>
                <w:highlight w:val="none"/>
                <w:vertAlign w:val="baseline"/>
                <w:lang w:eastAsia="zh-CN"/>
                <w14:textFill>
                  <w14:solidFill>
                    <w14:schemeClr w14:val="tx1"/>
                  </w14:solidFill>
                </w14:textFill>
              </w:rPr>
            </w:pPr>
            <w:r>
              <w:rPr>
                <w:rFonts w:hint="eastAsia"/>
                <w:color w:val="000000" w:themeColor="text1"/>
                <w:highlight w:val="none"/>
                <w:lang w:val="zh-CN" w:eastAsia="zh-CN"/>
                <w14:textFill>
                  <w14:solidFill>
                    <w14:schemeClr w14:val="tx1"/>
                  </w14:solidFill>
                </w14:textFill>
              </w:rPr>
              <w:t>（如有优惠条件须在此注明）</w:t>
            </w:r>
          </w:p>
        </w:tc>
      </w:tr>
    </w:tbl>
    <w:p w14:paraId="1D9C00C1">
      <w:pPr>
        <w:bidi w:val="0"/>
        <w:rPr>
          <w:color w:val="000000" w:themeColor="text1"/>
          <w:highlight w:val="none"/>
          <w:lang w:val="zh-CN" w:eastAsia="zh-CN"/>
          <w14:textFill>
            <w14:solidFill>
              <w14:schemeClr w14:val="tx1"/>
            </w14:solidFill>
          </w14:textFill>
        </w:rPr>
      </w:pPr>
    </w:p>
    <w:p w14:paraId="75A7416D">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p>
    <w:p w14:paraId="315C23B5">
      <w:pPr>
        <w:spacing w:line="500" w:lineRule="exact"/>
        <w:rPr>
          <w:rFonts w:hint="eastAsia" w:ascii="宋体" w:hAnsi="宋体"/>
          <w:color w:val="000000" w:themeColor="text1"/>
          <w:sz w:val="24"/>
          <w:szCs w:val="21"/>
          <w:highlight w:val="none"/>
          <w:lang w:eastAsia="zh-CN"/>
          <w14:textFill>
            <w14:solidFill>
              <w14:schemeClr w14:val="tx1"/>
            </w14:solidFill>
          </w14:textFill>
        </w:rPr>
      </w:pPr>
    </w:p>
    <w:p w14:paraId="2760551E">
      <w:pPr>
        <w:tabs>
          <w:tab w:val="left" w:pos="1440"/>
        </w:tabs>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日    期：       年    月    日</w:t>
      </w:r>
    </w:p>
    <w:p w14:paraId="4D33C5FE">
      <w:pPr>
        <w:autoSpaceDE w:val="0"/>
        <w:autoSpaceDN w:val="0"/>
        <w:adjustRightInd w:val="0"/>
        <w:rPr>
          <w:rFonts w:ascii="宋体" w:hAnsi="宋体" w:cs="宋体"/>
          <w:color w:val="000000" w:themeColor="text1"/>
          <w:sz w:val="24"/>
          <w:szCs w:val="21"/>
          <w:highlight w:val="none"/>
          <w:lang w:eastAsia="zh-CN"/>
          <w14:textFill>
            <w14:solidFill>
              <w14:schemeClr w14:val="tx1"/>
            </w14:solidFill>
          </w14:textFill>
        </w:rPr>
      </w:pPr>
    </w:p>
    <w:p w14:paraId="5E0A90AC">
      <w:pPr>
        <w:ind w:firstLine="480" w:firstLineChars="20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说明:  </w:t>
      </w:r>
    </w:p>
    <w:p w14:paraId="272532EE">
      <w:pPr>
        <w:ind w:firstLine="420"/>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1、采购人对每一项货物和服务仅接受一个价格，</w:t>
      </w:r>
      <w:r>
        <w:rPr>
          <w:rFonts w:hint="eastAsia" w:ascii="宋体" w:hAnsi="宋体"/>
          <w:color w:val="000000" w:themeColor="text1"/>
          <w:sz w:val="24"/>
          <w:szCs w:val="21"/>
          <w:highlight w:val="none"/>
          <w:shd w:val="pct10" w:color="auto" w:fill="FFFFFF"/>
          <w:lang w:eastAsia="zh-CN"/>
          <w14:textFill>
            <w14:solidFill>
              <w14:schemeClr w14:val="tx1"/>
            </w14:solidFill>
          </w14:textFill>
        </w:rPr>
        <w:t>不得填报有选择性报价方案</w:t>
      </w:r>
      <w:r>
        <w:rPr>
          <w:rFonts w:hint="eastAsia" w:ascii="宋体" w:hAnsi="宋体"/>
          <w:color w:val="000000" w:themeColor="text1"/>
          <w:sz w:val="24"/>
          <w:szCs w:val="21"/>
          <w:highlight w:val="none"/>
          <w:lang w:eastAsia="zh-CN"/>
          <w14:textFill>
            <w14:solidFill>
              <w14:schemeClr w14:val="tx1"/>
            </w14:solidFill>
          </w14:textFill>
        </w:rPr>
        <w:t>。若有优惠条款须注明，但不得影响报价，影响产品整体功能。</w:t>
      </w:r>
    </w:p>
    <w:p w14:paraId="42E53DA2">
      <w:pPr>
        <w:ind w:firstLine="420"/>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2、磋商报价是磋商文件所确定的采购范围内的全部货物或服务的价格体现。磋商报价：包括但不限于人员劳资、交通费、风险评估费等，应包括供应商为完成任务所承担的全部费用、利润、税金、政策性文件规定及及合同包含内的所有风险、责任等各项应有费用，不论其在采购文件中是否有提及。响应供应商应根据上述因素自行考虑磋商报价</w:t>
      </w:r>
      <w:bookmarkStart w:id="150" w:name="_Hlt460314991"/>
      <w:bookmarkEnd w:id="150"/>
      <w:bookmarkStart w:id="151" w:name="_Toc479931772"/>
      <w:bookmarkStart w:id="152" w:name="_Toc12980"/>
      <w:bookmarkStart w:id="153" w:name="_Toc12002"/>
      <w:bookmarkStart w:id="154" w:name="_Toc354594118"/>
      <w:bookmarkStart w:id="155" w:name="_Toc341184785"/>
      <w:r>
        <w:rPr>
          <w:rFonts w:hint="eastAsia" w:ascii="宋体" w:hAnsi="宋体"/>
          <w:color w:val="000000" w:themeColor="text1"/>
          <w:sz w:val="24"/>
          <w:szCs w:val="21"/>
          <w:highlight w:val="none"/>
          <w:lang w:eastAsia="zh-CN"/>
          <w14:textFill>
            <w14:solidFill>
              <w14:schemeClr w14:val="tx1"/>
            </w14:solidFill>
          </w14:textFill>
        </w:rPr>
        <w:t>。</w:t>
      </w:r>
      <w:bookmarkEnd w:id="151"/>
      <w:bookmarkEnd w:id="152"/>
      <w:bookmarkEnd w:id="153"/>
      <w:bookmarkStart w:id="156" w:name="_Toc27011"/>
      <w:bookmarkStart w:id="157" w:name="_Toc459109593"/>
      <w:bookmarkStart w:id="158" w:name="_Toc12860"/>
      <w:bookmarkStart w:id="159" w:name="_Toc175663953"/>
    </w:p>
    <w:p w14:paraId="321FC8E1">
      <w:pPr>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br w:type="page"/>
      </w:r>
    </w:p>
    <w:p w14:paraId="51F99BCC">
      <w:pPr>
        <w:adjustRightInd w:val="0"/>
        <w:spacing w:line="240" w:lineRule="atLeast"/>
        <w:jc w:val="center"/>
        <w:rPr>
          <w:rFonts w:hint="eastAsia" w:ascii="宋体" w:hAnsi="宋体" w:cs="宋体"/>
          <w:color w:val="000000"/>
          <w:kern w:val="0"/>
          <w:sz w:val="32"/>
          <w:szCs w:val="32"/>
          <w:highlight w:val="none"/>
          <w:lang w:val="zh-CN"/>
        </w:rPr>
      </w:pPr>
      <w:r>
        <w:rPr>
          <w:rFonts w:hint="eastAsia" w:ascii="宋体" w:hAnsi="宋体" w:cs="宋体"/>
          <w:color w:val="000000"/>
          <w:kern w:val="0"/>
          <w:sz w:val="32"/>
          <w:szCs w:val="32"/>
          <w:highlight w:val="none"/>
          <w:lang w:val="zh-CN"/>
        </w:rPr>
        <w:t>分项报价表</w:t>
      </w:r>
    </w:p>
    <w:tbl>
      <w:tblPr>
        <w:tblStyle w:val="51"/>
        <w:tblW w:w="89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6"/>
        <w:gridCol w:w="883"/>
        <w:gridCol w:w="539"/>
        <w:gridCol w:w="683"/>
        <w:gridCol w:w="979"/>
        <w:gridCol w:w="1191"/>
        <w:gridCol w:w="4199"/>
      </w:tblGrid>
      <w:tr w14:paraId="6E4E6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CB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序号</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584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名称</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918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计量</w:t>
            </w:r>
          </w:p>
          <w:p w14:paraId="237E6C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单位</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35C7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工程量</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F0E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综合单价</w:t>
            </w:r>
          </w:p>
          <w:p w14:paraId="0B50B96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（元）</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56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总价</w:t>
            </w:r>
          </w:p>
          <w:p w14:paraId="4786D53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（元）</w:t>
            </w: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0EF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项目特征</w:t>
            </w:r>
          </w:p>
        </w:tc>
      </w:tr>
      <w:tr w14:paraId="70DFDA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24DB5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1、森林防护</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097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938F0">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3DE0B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85D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FE7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护林员</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5F8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人</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15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18</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33C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FE6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BE43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18"/>
                <w:szCs w:val="18"/>
                <w:highlight w:val="none"/>
                <w:u w:val="none"/>
              </w:rPr>
            </w:pPr>
            <w:r>
              <w:rPr>
                <w:rStyle w:val="490"/>
                <w:sz w:val="18"/>
                <w:szCs w:val="18"/>
                <w:highlight w:val="none"/>
                <w:lang w:val="en-US" w:eastAsia="zh-CN" w:bidi="ar"/>
              </w:rPr>
              <w:t>要求：1.公益林巡护，时间为1年。2.护林员</w:t>
            </w:r>
            <w:r>
              <w:rPr>
                <w:rStyle w:val="490"/>
                <w:rFonts w:hint="eastAsia"/>
                <w:sz w:val="18"/>
                <w:szCs w:val="18"/>
                <w:highlight w:val="none"/>
                <w:lang w:val="en-US" w:eastAsia="zh-CN" w:bidi="ar"/>
              </w:rPr>
              <w:t>18</w:t>
            </w:r>
            <w:r>
              <w:rPr>
                <w:rStyle w:val="490"/>
                <w:sz w:val="18"/>
                <w:szCs w:val="18"/>
                <w:highlight w:val="none"/>
                <w:lang w:val="en-US" w:eastAsia="zh-CN" w:bidi="ar"/>
              </w:rPr>
              <w:t>人，年龄不高于60周岁，身体健康。3.按时上下班，做好考勤表。4.学习、宣传保护公益林有关法律法规。5.熟悉和掌握公益林现场情况，每月对巡护区域进行自查登记，做到心中有数。6.认真做好防火工作，加强巡视和防范，及时消除火灾隐情。7.对公益林区域内水域发现偷捕等、林木偷盗等、道路破坏等情况，要及时反映上报至业主单位，保护现场，摸清情况，并配合有关部门查明原因。8.每月进行巡护考核。</w:t>
            </w:r>
          </w:p>
        </w:tc>
      </w:tr>
      <w:tr w14:paraId="61906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989A2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2、森林抚育</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B0F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199" w:type="dxa"/>
            <w:tcBorders>
              <w:top w:val="single" w:color="000000" w:sz="4" w:space="0"/>
              <w:left w:val="single" w:color="000000" w:sz="4" w:space="0"/>
              <w:bottom w:val="single" w:color="auto" w:sz="4" w:space="0"/>
              <w:right w:val="single" w:color="000000" w:sz="4" w:space="0"/>
            </w:tcBorders>
            <w:shd w:val="clear" w:color="auto" w:fill="auto"/>
            <w:vAlign w:val="center"/>
          </w:tcPr>
          <w:p w14:paraId="5B982956">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06A5A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E8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32C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购买服务（森林抚育）</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858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D107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 xml:space="preserve">226500 </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E0F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91" w:type="dxa"/>
            <w:tcBorders>
              <w:top w:val="single" w:color="000000" w:sz="4" w:space="0"/>
              <w:left w:val="single" w:color="000000" w:sz="4" w:space="0"/>
              <w:bottom w:val="single" w:color="000000" w:sz="4" w:space="0"/>
              <w:right w:val="single" w:color="auto" w:sz="4" w:space="0"/>
            </w:tcBorders>
            <w:shd w:val="clear" w:color="auto" w:fill="auto"/>
            <w:vAlign w:val="center"/>
          </w:tcPr>
          <w:p w14:paraId="5D2D38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199" w:type="dxa"/>
            <w:tcBorders>
              <w:top w:val="single" w:color="auto" w:sz="4" w:space="0"/>
              <w:left w:val="single" w:color="auto" w:sz="4" w:space="0"/>
              <w:bottom w:val="single" w:color="auto" w:sz="4" w:space="0"/>
              <w:right w:val="single" w:color="auto" w:sz="4" w:space="0"/>
            </w:tcBorders>
            <w:shd w:val="clear" w:color="auto" w:fill="auto"/>
            <w:vAlign w:val="center"/>
          </w:tcPr>
          <w:p w14:paraId="1C1B89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工作内容：</w:t>
            </w:r>
          </w:p>
          <w:p w14:paraId="163D2D0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每月清理杂草一次、每年清理杂草12次（每次总面积约226500m2，每月具体清理次数由业主单位确定）。(1)草坪区域应采用辅助工具将草连同草根一起拔掉，不可将杂草地上部分去除，拔出杂草应及时放于垃圾桶内，不可随意乱放。（2）除草剂除草，已经蔓延的恶性杂草用选择性除草剂防除，并证得采购人同意，靠近时花、灌木、小苗禁用除草剂。任何区域范围内均禁用灭生性除草剂，并做好记录。（3）非草坪区域或者道路两侧应选用机械除草，割灌机为主，旋刀机辅助，若遇到人工培育的花丛、苗木等，不允许用机械除草，这些地方要用人工除草，剪完后将人工分片堆放晾晒，以便外运，如有蔓延恶性杂草用选择性除草剂防除，并证得采购人同意，靠近时花、灌木、小苗等地方禁用除草剂。任何区域范围内均禁用灭生性除草剂，并做好记录。除掉的杂草要及时清理，运走、掩埋或异地制作肥料。</w:t>
            </w:r>
          </w:p>
          <w:p w14:paraId="712BFF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修剪区域或者道路两旁树枝，植物整形修剪、去除枯死植株、树木扶正，乔木类：主要修剪内膛肢、徒长枝、病虫枝、交叉枝、下垂枝、扭伤枝及枯枝烂头。道路行道树枝下高度根据道路的功能严格控制，遇有架空线按杯状形修剪、分枝均匀、树冠圆整。灌木类：灌木修剪应促枝叶繁茂、分布均匀。花灌木修剪要有利于短枝和花芽的形成，遵循 “先上后下、先内后外、去弱留强、去老留新”的原则进行修剪，防台防汛期间要做好加固，保持水道通畅，防止植物受损，及时扫雪打雪，确保苗木安全及道路畅通。</w:t>
            </w:r>
          </w:p>
          <w:p w14:paraId="6F63325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3、绿地无杂物堆料、枯树枯枝堆积等现象，绿化管理产生的垃圾及时清运，确保绿地清爽整洁。产生的垃圾中能降解的集中堆放，降解成有机肥循环使用。不能降解的垃圾也要集中堆放，等待运出岛外。</w:t>
            </w:r>
          </w:p>
          <w:p w14:paraId="5F1D03C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4、所有养护工具及除草药水由供应商提供。养护工作供应商应自行解决登洲交通出行方式，承担交通费用。所有垃圾当月须运出岛外，垃圾处理费用由供应商承担。</w:t>
            </w:r>
          </w:p>
          <w:p w14:paraId="5AB648B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5、每次养护，供应商须拍照留存，填写养护记录、台账等，供采购人验收，每次完成以采购人签字确认为准。在不超过全年养护次数的情况下每月可减少或增加养护次数，确保养护区域环境的美观。养护过程中，出现问题再现场协商。</w:t>
            </w:r>
          </w:p>
        </w:tc>
      </w:tr>
      <w:tr w14:paraId="6FC3F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78454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3、林区道路维护</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C70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199" w:type="dxa"/>
            <w:tcBorders>
              <w:top w:val="single" w:color="auto" w:sz="4" w:space="0"/>
              <w:left w:val="single" w:color="000000" w:sz="4" w:space="0"/>
              <w:bottom w:val="single" w:color="000000" w:sz="4" w:space="0"/>
              <w:right w:val="single" w:color="000000" w:sz="4" w:space="0"/>
            </w:tcBorders>
            <w:shd w:val="clear" w:color="auto" w:fill="auto"/>
            <w:vAlign w:val="center"/>
          </w:tcPr>
          <w:p w14:paraId="2539E08B">
            <w:pPr>
              <w:keepNext w:val="0"/>
              <w:keepLines w:val="0"/>
              <w:pageBreakBefore w:val="0"/>
              <w:widowControl/>
              <w:kinsoku/>
              <w:wordWrap/>
              <w:overflowPunct/>
              <w:topLinePunct w:val="0"/>
              <w:autoSpaceDE/>
              <w:autoSpaceDN/>
              <w:bidi w:val="0"/>
              <w:adjustRightInd/>
              <w:snapToGrid/>
              <w:spacing w:line="240" w:lineRule="auto"/>
              <w:jc w:val="center"/>
              <w:rPr>
                <w:rFonts w:hint="eastAsia" w:ascii="宋体" w:hAnsi="宋体" w:eastAsia="宋体" w:cs="宋体"/>
                <w:i w:val="0"/>
                <w:iCs w:val="0"/>
                <w:color w:val="000000"/>
                <w:sz w:val="18"/>
                <w:szCs w:val="18"/>
                <w:highlight w:val="none"/>
                <w:u w:val="none"/>
              </w:rPr>
            </w:pPr>
          </w:p>
        </w:tc>
      </w:tr>
      <w:tr w14:paraId="16747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AE5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3.1</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52F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路床（槽）整形</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E20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098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4800</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947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1840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A43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1、道路路床整平整形</w:t>
            </w:r>
          </w:p>
          <w:p w14:paraId="451494B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2、路线内杂草清理</w:t>
            </w:r>
          </w:p>
        </w:tc>
      </w:tr>
      <w:tr w14:paraId="41EF6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69C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3.2</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E8E8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林间碎石道路基层</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982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F62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4800</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E69E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145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90D0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1、碎石道路基层铺设</w:t>
            </w:r>
          </w:p>
          <w:p w14:paraId="28E97C6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2、粒径规格：5-40mm；厚度：5cm；碎石应符合质量要求，碎石级配良好</w:t>
            </w:r>
          </w:p>
          <w:p w14:paraId="7590E713">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3、整平、压实</w:t>
            </w:r>
          </w:p>
          <w:p w14:paraId="59450EE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4、满足车辆通行要求</w:t>
            </w:r>
          </w:p>
        </w:tc>
      </w:tr>
      <w:tr w14:paraId="4CCA4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4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169B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3.3</w:t>
            </w:r>
          </w:p>
        </w:tc>
        <w:tc>
          <w:tcPr>
            <w:tcW w:w="8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CB1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林间碎石道路面层</w:t>
            </w:r>
          </w:p>
        </w:tc>
        <w:tc>
          <w:tcPr>
            <w:tcW w:w="5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E538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m2</w:t>
            </w:r>
          </w:p>
        </w:tc>
        <w:tc>
          <w:tcPr>
            <w:tcW w:w="6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69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4800</w:t>
            </w:r>
          </w:p>
        </w:tc>
        <w:tc>
          <w:tcPr>
            <w:tcW w:w="9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DD1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9CF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18"/>
                <w:szCs w:val="18"/>
                <w:highlight w:val="none"/>
                <w:u w:val="none"/>
              </w:rPr>
            </w:pP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85F0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1、碎石道路面层铺设</w:t>
            </w:r>
          </w:p>
          <w:p w14:paraId="4152152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2、粒径规格：5-16mm；厚度：3cm；碎石应符合质量要求，碎石级配良好</w:t>
            </w:r>
          </w:p>
          <w:p w14:paraId="4A38B50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3、路面层摊铺密实找平、压实</w:t>
            </w:r>
          </w:p>
          <w:p w14:paraId="300D2BE1">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4、满足车辆通行要求</w:t>
            </w:r>
          </w:p>
        </w:tc>
      </w:tr>
      <w:tr w14:paraId="4E9FB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1F66A1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4、小计（1+2+3）</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B88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5E14B">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4E118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3"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742E2C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5、管理费（4）*3%</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0704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1C557">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58A44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2E4593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6、利润（4）*3%</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2C62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B798">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4C111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44860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7、税金（4+5+6）*3%</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E91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4258B">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r w14:paraId="2DF9E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35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6623A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8、合计（4+5+6+7）</w:t>
            </w:r>
          </w:p>
        </w:tc>
        <w:tc>
          <w:tcPr>
            <w:tcW w:w="11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7E73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000000"/>
                <w:sz w:val="18"/>
                <w:szCs w:val="18"/>
                <w:highlight w:val="none"/>
                <w:u w:val="none"/>
              </w:rPr>
            </w:pPr>
          </w:p>
        </w:tc>
        <w:tc>
          <w:tcPr>
            <w:tcW w:w="4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C8883">
            <w:pPr>
              <w:keepNext w:val="0"/>
              <w:keepLines w:val="0"/>
              <w:pageBreakBefore w:val="0"/>
              <w:widowControl/>
              <w:kinsoku/>
              <w:wordWrap/>
              <w:overflowPunct/>
              <w:topLinePunct w:val="0"/>
              <w:autoSpaceDE/>
              <w:autoSpaceDN/>
              <w:bidi w:val="0"/>
              <w:adjustRightInd/>
              <w:snapToGrid/>
              <w:spacing w:line="240" w:lineRule="auto"/>
              <w:jc w:val="left"/>
              <w:rPr>
                <w:rFonts w:hint="eastAsia" w:ascii="宋体" w:hAnsi="宋体" w:eastAsia="宋体" w:cs="宋体"/>
                <w:i w:val="0"/>
                <w:iCs w:val="0"/>
                <w:color w:val="000000"/>
                <w:sz w:val="18"/>
                <w:szCs w:val="18"/>
                <w:highlight w:val="none"/>
                <w:u w:val="none"/>
              </w:rPr>
            </w:pPr>
          </w:p>
        </w:tc>
      </w:tr>
    </w:tbl>
    <w:p w14:paraId="22500027">
      <w:pPr>
        <w:widowControl/>
        <w:shd w:val="clear" w:color="auto" w:fill="FFFFFF"/>
        <w:spacing w:line="360" w:lineRule="auto"/>
        <w:jc w:val="left"/>
        <w:rPr>
          <w:rFonts w:hint="eastAsia" w:ascii="宋体" w:hAnsi="宋体"/>
          <w:kern w:val="0"/>
          <w:sz w:val="24"/>
          <w:highlight w:val="none"/>
        </w:rPr>
      </w:pPr>
    </w:p>
    <w:p w14:paraId="57BDEE9D">
      <w:pPr>
        <w:spacing w:line="500" w:lineRule="exact"/>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供应商名称（盖章）:            </w:t>
      </w:r>
    </w:p>
    <w:p w14:paraId="47328EA0">
      <w:pPr>
        <w:spacing w:line="500" w:lineRule="exact"/>
        <w:rPr>
          <w:rFonts w:hint="eastAsia" w:ascii="宋体" w:hAnsi="宋体"/>
          <w:color w:val="000000" w:themeColor="text1"/>
          <w:sz w:val="24"/>
          <w:szCs w:val="21"/>
          <w:highlight w:val="none"/>
          <w:lang w:eastAsia="zh-CN"/>
          <w14:textFill>
            <w14:solidFill>
              <w14:schemeClr w14:val="tx1"/>
            </w14:solidFill>
          </w14:textFill>
        </w:rPr>
      </w:pPr>
    </w:p>
    <w:p w14:paraId="3CDAC821">
      <w:pPr>
        <w:tabs>
          <w:tab w:val="left" w:pos="1440"/>
        </w:tabs>
        <w:spacing w:line="500" w:lineRule="exact"/>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日    期：       年    月    日</w:t>
      </w:r>
    </w:p>
    <w:p w14:paraId="72F6F699">
      <w:pPr>
        <w:spacing w:line="360" w:lineRule="auto"/>
        <w:ind w:firstLine="420" w:firstLineChars="200"/>
        <w:outlineLvl w:val="0"/>
        <w:rPr>
          <w:rFonts w:hint="eastAsia" w:ascii="宋体" w:hAnsi="宋体" w:eastAsia="宋体" w:cs="宋体"/>
          <w:sz w:val="21"/>
          <w:szCs w:val="21"/>
          <w:highlight w:val="none"/>
          <w:lang w:val="en-US" w:eastAsia="zh-CN"/>
        </w:rPr>
      </w:pPr>
    </w:p>
    <w:p w14:paraId="74896CF4">
      <w:pPr>
        <w:spacing w:line="360" w:lineRule="auto"/>
        <w:jc w:val="center"/>
        <w:outlineLvl w:val="0"/>
        <w:rPr>
          <w:rFonts w:hint="eastAsia" w:ascii="宋体" w:hAnsi="宋体" w:eastAsia="宋体" w:cs="宋体"/>
          <w:sz w:val="36"/>
          <w:szCs w:val="36"/>
          <w:highlight w:val="none"/>
          <w:lang w:val="zh-CN"/>
        </w:rPr>
      </w:pPr>
    </w:p>
    <w:p w14:paraId="76FCEBE4">
      <w:pPr>
        <w:rPr>
          <w:rFonts w:hint="eastAsia"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br w:type="page"/>
      </w:r>
    </w:p>
    <w:p w14:paraId="4182EC81">
      <w:pPr>
        <w:pStyle w:val="66"/>
        <w:rPr>
          <w:rFonts w:hint="eastAsia"/>
          <w:highlight w:val="none"/>
          <w:lang w:eastAsia="zh-CN"/>
        </w:rPr>
      </w:pPr>
    </w:p>
    <w:p w14:paraId="4C56B2EC">
      <w:pPr>
        <w:ind w:firstLine="420"/>
        <w:rPr>
          <w:rFonts w:ascii="宋体" w:hAnsi="宋体"/>
          <w:b/>
          <w:color w:val="000000" w:themeColor="text1"/>
          <w:sz w:val="24"/>
          <w:highlight w:val="none"/>
          <w:lang w:eastAsia="zh-CN"/>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四、</w:t>
      </w:r>
      <w:bookmarkEnd w:id="156"/>
      <w:bookmarkEnd w:id="157"/>
      <w:bookmarkEnd w:id="158"/>
      <w:r>
        <w:rPr>
          <w:rFonts w:hint="eastAsia" w:ascii="宋体" w:hAnsi="宋体" w:cs="黑体"/>
          <w:b/>
          <w:bCs/>
          <w:color w:val="000000" w:themeColor="text1"/>
          <w:sz w:val="24"/>
          <w:szCs w:val="21"/>
          <w:highlight w:val="none"/>
          <w:lang w:val="zh-CN" w:eastAsia="zh-CN"/>
          <w14:textFill>
            <w14:solidFill>
              <w14:schemeClr w14:val="tx1"/>
            </w14:solidFill>
          </w14:textFill>
        </w:rPr>
        <w:t>资格证明文件</w:t>
      </w:r>
      <w:bookmarkEnd w:id="159"/>
    </w:p>
    <w:p w14:paraId="5EF6A458">
      <w:pPr>
        <w:jc w:val="center"/>
        <w:rPr>
          <w:b/>
          <w:color w:val="000000" w:themeColor="text1"/>
          <w:sz w:val="30"/>
          <w:szCs w:val="30"/>
          <w:highlight w:val="none"/>
          <w:lang w:val="zh-CN" w:eastAsia="zh-CN"/>
          <w14:textFill>
            <w14:solidFill>
              <w14:schemeClr w14:val="tx1"/>
            </w14:solidFill>
          </w14:textFill>
        </w:rPr>
      </w:pPr>
      <w:bookmarkStart w:id="160" w:name="_Toc13890"/>
      <w:bookmarkStart w:id="161" w:name="_Toc2759"/>
      <w:bookmarkStart w:id="162" w:name="_Toc2864"/>
      <w:bookmarkStart w:id="163" w:name="_Toc506199229"/>
      <w:r>
        <w:rPr>
          <w:rFonts w:hint="eastAsia"/>
          <w:b/>
          <w:color w:val="000000" w:themeColor="text1"/>
          <w:sz w:val="30"/>
          <w:szCs w:val="30"/>
          <w:highlight w:val="none"/>
          <w:lang w:val="zh-CN" w:eastAsia="zh-CN"/>
          <w14:textFill>
            <w14:solidFill>
              <w14:schemeClr w14:val="tx1"/>
            </w14:solidFill>
          </w14:textFill>
        </w:rPr>
        <w:t>资格证明文件（参考）</w:t>
      </w:r>
      <w:bookmarkEnd w:id="160"/>
      <w:bookmarkEnd w:id="161"/>
      <w:bookmarkEnd w:id="162"/>
      <w:bookmarkEnd w:id="163"/>
    </w:p>
    <w:p w14:paraId="0C02E593">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ascii="宋体" w:cs="宋体"/>
          <w:color w:val="000000" w:themeColor="text1"/>
          <w:sz w:val="24"/>
          <w:szCs w:val="21"/>
          <w:highlight w:val="none"/>
          <w:lang w:val="zh-CN" w:eastAsia="zh-CN"/>
          <w14:textFill>
            <w14:solidFill>
              <w14:schemeClr w14:val="tx1"/>
            </w14:solidFill>
          </w14:textFill>
        </w:rPr>
        <w:t>1.</w:t>
      </w:r>
      <w:r>
        <w:rPr>
          <w:rFonts w:hint="eastAsia" w:ascii="宋体" w:hAnsi="宋体" w:cs="宋体"/>
          <w:b/>
          <w:bCs/>
          <w:color w:val="000000" w:themeColor="text1"/>
          <w:sz w:val="24"/>
          <w:highlight w:val="none"/>
          <w:lang w:eastAsia="zh-CN"/>
          <w14:textFill>
            <w14:solidFill>
              <w14:schemeClr w14:val="tx1"/>
            </w14:solidFill>
          </w14:textFill>
        </w:rPr>
        <w:t xml:space="preserve"> 磋商公告2.1 参加政府采购活动的供应商应当具备政府采购法第二十二条第一款规定的条件证明材料</w:t>
      </w:r>
    </w:p>
    <w:p w14:paraId="4B748572">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2</w:t>
      </w:r>
      <w:r>
        <w:rPr>
          <w:rFonts w:ascii="宋体" w:cs="宋体"/>
          <w:color w:val="000000" w:themeColor="text1"/>
          <w:sz w:val="24"/>
          <w:szCs w:val="21"/>
          <w:highlight w:val="none"/>
          <w:lang w:val="zh-CN" w:eastAsia="zh-CN"/>
          <w14:textFill>
            <w14:solidFill>
              <w14:schemeClr w14:val="tx1"/>
            </w14:solidFill>
          </w14:textFill>
        </w:rPr>
        <w:t>.</w:t>
      </w:r>
      <w:r>
        <w:rPr>
          <w:rFonts w:ascii="宋体" w:hAnsi="宋体" w:cs="宋体"/>
          <w:b/>
          <w:bCs/>
          <w:color w:val="000000" w:themeColor="text1"/>
          <w:sz w:val="24"/>
          <w:highlight w:val="none"/>
          <w:lang w:eastAsia="zh-CN"/>
          <w14:textFill>
            <w14:solidFill>
              <w14:schemeClr w14:val="tx1"/>
            </w14:solidFill>
          </w14:textFill>
        </w:rPr>
        <w:t>磋商公告</w:t>
      </w:r>
      <w:r>
        <w:rPr>
          <w:rFonts w:hint="eastAsia" w:ascii="宋体" w:hAnsi="宋体" w:cs="宋体"/>
          <w:b/>
          <w:bCs/>
          <w:color w:val="000000" w:themeColor="text1"/>
          <w:sz w:val="24"/>
          <w:highlight w:val="none"/>
          <w:lang w:eastAsia="zh-CN"/>
          <w14:textFill>
            <w14:solidFill>
              <w14:schemeClr w14:val="tx1"/>
            </w14:solidFill>
          </w14:textFill>
        </w:rPr>
        <w:t xml:space="preserve"> 2.2 采购人根据采购项目的特殊要求规定的特定条件证明材料</w:t>
      </w:r>
    </w:p>
    <w:p w14:paraId="3CC98646">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3</w:t>
      </w:r>
      <w:r>
        <w:rPr>
          <w:rFonts w:hint="eastAsia" w:ascii="宋体" w:cs="宋体"/>
          <w:color w:val="000000" w:themeColor="text1"/>
          <w:sz w:val="24"/>
          <w:szCs w:val="21"/>
          <w:highlight w:val="none"/>
          <w:lang w:val="zh-CN" w:eastAsia="zh-CN"/>
          <w14:textFill>
            <w14:solidFill>
              <w14:schemeClr w14:val="tx1"/>
            </w14:solidFill>
          </w14:textFill>
        </w:rPr>
        <w:t>.南京市政府采购供应商信用记录表暨信用承诺书</w:t>
      </w:r>
    </w:p>
    <w:p w14:paraId="1470C473">
      <w:pPr>
        <w:autoSpaceDE w:val="0"/>
        <w:autoSpaceDN w:val="0"/>
        <w:adjustRightInd w:val="0"/>
        <w:spacing w:line="500" w:lineRule="exact"/>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eastAsia="zh-CN"/>
          <w14:textFill>
            <w14:solidFill>
              <w14:schemeClr w14:val="tx1"/>
            </w14:solidFill>
          </w14:textFill>
        </w:rPr>
        <w:t>4.</w:t>
      </w:r>
      <w:r>
        <w:rPr>
          <w:rFonts w:hint="eastAsia" w:ascii="宋体" w:cs="宋体"/>
          <w:color w:val="000000" w:themeColor="text1"/>
          <w:sz w:val="24"/>
          <w:szCs w:val="21"/>
          <w:highlight w:val="none"/>
          <w:lang w:val="zh-CN" w:eastAsia="zh-CN"/>
          <w14:textFill>
            <w14:solidFill>
              <w14:schemeClr w14:val="tx1"/>
            </w14:solidFill>
          </w14:textFill>
        </w:rPr>
        <w:t>投标供应商认为有必要有其他证明文件</w:t>
      </w:r>
    </w:p>
    <w:p w14:paraId="503A7599">
      <w:pPr>
        <w:spacing w:line="440" w:lineRule="exact"/>
        <w:rPr>
          <w:rFonts w:ascii="宋体" w:hAnsi="宋体"/>
          <w:color w:val="000000" w:themeColor="text1"/>
          <w:sz w:val="24"/>
          <w:szCs w:val="21"/>
          <w:highlight w:val="none"/>
          <w:lang w:eastAsia="zh-CN"/>
          <w14:textFill>
            <w14:solidFill>
              <w14:schemeClr w14:val="tx1"/>
            </w14:solidFill>
          </w14:textFill>
        </w:rPr>
      </w:pPr>
    </w:p>
    <w:p w14:paraId="793B174D">
      <w:pPr>
        <w:autoSpaceDE w:val="0"/>
        <w:autoSpaceDN w:val="0"/>
        <w:adjustRightInd w:val="0"/>
        <w:spacing w:line="600" w:lineRule="exact"/>
        <w:ind w:right="480" w:firstLine="6480" w:firstLineChars="2700"/>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18DB6608">
      <w:pPr>
        <w:autoSpaceDE w:val="0"/>
        <w:autoSpaceDN w:val="0"/>
        <w:adjustRightInd w:val="0"/>
        <w:spacing w:line="600" w:lineRule="exact"/>
        <w:ind w:right="240"/>
        <w:jc w:val="righ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6AB4517E">
      <w:pPr>
        <w:ind w:firstLine="960" w:firstLineChars="400"/>
        <w:outlineLvl w:val="1"/>
        <w:rPr>
          <w:rFonts w:ascii="宋体" w:hAnsi="宋体"/>
          <w:b/>
          <w:color w:val="000000" w:themeColor="text1"/>
          <w:sz w:val="24"/>
          <w:szCs w:val="21"/>
          <w:highlight w:val="none"/>
          <w:lang w:eastAsia="zh-CN"/>
          <w14:textFill>
            <w14:solidFill>
              <w14:schemeClr w14:val="tx1"/>
            </w14:solidFill>
          </w14:textFill>
        </w:rPr>
      </w:pPr>
    </w:p>
    <w:p w14:paraId="51110132">
      <w:pPr>
        <w:outlineLvl w:val="1"/>
        <w:rPr>
          <w:rFonts w:ascii="宋体" w:hAnsi="宋体"/>
          <w:b/>
          <w:color w:val="000000" w:themeColor="text1"/>
          <w:sz w:val="24"/>
          <w:szCs w:val="21"/>
          <w:highlight w:val="none"/>
          <w:lang w:eastAsia="zh-CN"/>
          <w14:textFill>
            <w14:solidFill>
              <w14:schemeClr w14:val="tx1"/>
            </w14:solidFill>
          </w14:textFill>
        </w:rPr>
      </w:pPr>
    </w:p>
    <w:p w14:paraId="2F549D3E">
      <w:pPr>
        <w:outlineLvl w:val="1"/>
        <w:rPr>
          <w:rFonts w:ascii="宋体" w:hAnsi="宋体"/>
          <w:b/>
          <w:color w:val="000000" w:themeColor="text1"/>
          <w:sz w:val="24"/>
          <w:szCs w:val="21"/>
          <w:highlight w:val="none"/>
          <w:lang w:eastAsia="zh-CN"/>
          <w14:textFill>
            <w14:solidFill>
              <w14:schemeClr w14:val="tx1"/>
            </w14:solidFill>
          </w14:textFill>
        </w:rPr>
      </w:pPr>
    </w:p>
    <w:p w14:paraId="5E5E344B">
      <w:pPr>
        <w:ind w:firstLine="960" w:firstLineChars="400"/>
        <w:outlineLvl w:val="1"/>
        <w:rPr>
          <w:rFonts w:ascii="宋体" w:hAnsi="宋体"/>
          <w:b/>
          <w:color w:val="000000" w:themeColor="text1"/>
          <w:sz w:val="24"/>
          <w:szCs w:val="21"/>
          <w:highlight w:val="none"/>
          <w:lang w:eastAsia="zh-CN"/>
          <w14:textFill>
            <w14:solidFill>
              <w14:schemeClr w14:val="tx1"/>
            </w14:solidFill>
          </w14:textFill>
        </w:rPr>
      </w:pPr>
    </w:p>
    <w:p w14:paraId="5CC3B001">
      <w:pPr>
        <w:ind w:firstLine="960" w:firstLineChars="400"/>
        <w:outlineLvl w:val="1"/>
        <w:rPr>
          <w:rFonts w:ascii="宋体" w:hAnsi="宋体"/>
          <w:b/>
          <w:color w:val="000000" w:themeColor="text1"/>
          <w:sz w:val="24"/>
          <w:szCs w:val="21"/>
          <w:highlight w:val="none"/>
          <w:lang w:eastAsia="zh-CN"/>
          <w14:textFill>
            <w14:solidFill>
              <w14:schemeClr w14:val="tx1"/>
            </w14:solidFill>
          </w14:textFill>
        </w:rPr>
      </w:pPr>
    </w:p>
    <w:p w14:paraId="49C5EE3B">
      <w:pPr>
        <w:outlineLvl w:val="1"/>
        <w:rPr>
          <w:rFonts w:ascii="宋体" w:hAnsi="宋体"/>
          <w:b/>
          <w:color w:val="000000" w:themeColor="text1"/>
          <w:sz w:val="24"/>
          <w:szCs w:val="21"/>
          <w:highlight w:val="none"/>
          <w:lang w:eastAsia="zh-CN"/>
          <w14:textFill>
            <w14:solidFill>
              <w14:schemeClr w14:val="tx1"/>
            </w14:solidFill>
          </w14:textFill>
        </w:rPr>
      </w:pPr>
      <w:bookmarkStart w:id="164" w:name="_Toc9482"/>
      <w:bookmarkStart w:id="165" w:name="_Toc29395"/>
      <w:bookmarkStart w:id="166" w:name="_Toc175663955"/>
    </w:p>
    <w:p w14:paraId="51A3FC3D">
      <w:pPr>
        <w:outlineLvl w:val="1"/>
        <w:rPr>
          <w:rFonts w:ascii="宋体" w:hAnsi="宋体"/>
          <w:b/>
          <w:color w:val="000000" w:themeColor="text1"/>
          <w:sz w:val="24"/>
          <w:szCs w:val="21"/>
          <w:highlight w:val="none"/>
          <w:lang w:eastAsia="zh-CN"/>
          <w14:textFill>
            <w14:solidFill>
              <w14:schemeClr w14:val="tx1"/>
            </w14:solidFill>
          </w14:textFill>
        </w:rPr>
      </w:pPr>
    </w:p>
    <w:p w14:paraId="60FC3AD3">
      <w:pPr>
        <w:outlineLvl w:val="1"/>
        <w:rPr>
          <w:rFonts w:ascii="宋体" w:hAnsi="宋体"/>
          <w:b/>
          <w:color w:val="000000" w:themeColor="text1"/>
          <w:sz w:val="24"/>
          <w:szCs w:val="21"/>
          <w:highlight w:val="none"/>
          <w:lang w:eastAsia="zh-CN"/>
          <w14:textFill>
            <w14:solidFill>
              <w14:schemeClr w14:val="tx1"/>
            </w14:solidFill>
          </w14:textFill>
        </w:rPr>
      </w:pPr>
    </w:p>
    <w:p w14:paraId="7154256C">
      <w:pPr>
        <w:outlineLvl w:val="1"/>
        <w:rPr>
          <w:rFonts w:ascii="宋体" w:hAnsi="宋体"/>
          <w:b/>
          <w:color w:val="000000" w:themeColor="text1"/>
          <w:sz w:val="24"/>
          <w:szCs w:val="21"/>
          <w:highlight w:val="none"/>
          <w:lang w:eastAsia="zh-CN"/>
          <w14:textFill>
            <w14:solidFill>
              <w14:schemeClr w14:val="tx1"/>
            </w14:solidFill>
          </w14:textFill>
        </w:rPr>
      </w:pPr>
    </w:p>
    <w:p w14:paraId="7704C57E">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val="en-US" w:eastAsia="zh-CN"/>
          <w14:textFill>
            <w14:solidFill>
              <w14:schemeClr w14:val="tx1"/>
            </w14:solidFill>
          </w14:textFill>
        </w:rPr>
        <w:t>五</w:t>
      </w:r>
      <w:r>
        <w:rPr>
          <w:rFonts w:hint="eastAsia" w:ascii="宋体" w:hAnsi="宋体"/>
          <w:b/>
          <w:color w:val="000000" w:themeColor="text1"/>
          <w:sz w:val="24"/>
          <w:szCs w:val="21"/>
          <w:highlight w:val="none"/>
          <w:lang w:eastAsia="zh-CN"/>
          <w14:textFill>
            <w14:solidFill>
              <w14:schemeClr w14:val="tx1"/>
            </w14:solidFill>
          </w14:textFill>
        </w:rPr>
        <w:t>、</w:t>
      </w:r>
      <w:bookmarkEnd w:id="154"/>
      <w:bookmarkEnd w:id="164"/>
      <w:bookmarkEnd w:id="165"/>
      <w:r>
        <w:rPr>
          <w:rFonts w:hint="eastAsia" w:ascii="宋体" w:hAnsi="宋体"/>
          <w:b/>
          <w:color w:val="000000" w:themeColor="text1"/>
          <w:sz w:val="24"/>
          <w:szCs w:val="21"/>
          <w:highlight w:val="none"/>
          <w:lang w:eastAsia="zh-CN"/>
          <w14:textFill>
            <w14:solidFill>
              <w14:schemeClr w14:val="tx1"/>
            </w14:solidFill>
          </w14:textFill>
        </w:rPr>
        <w:t>技术要求</w:t>
      </w:r>
      <w:bookmarkEnd w:id="166"/>
    </w:p>
    <w:bookmarkEnd w:id="155"/>
    <w:p w14:paraId="0460B3E5">
      <w:pPr>
        <w:rPr>
          <w:rFonts w:ascii="宋体" w:hAnsi="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服务</w:t>
      </w:r>
      <w:r>
        <w:rPr>
          <w:rFonts w:hint="eastAsia" w:ascii="宋体" w:hAnsi="宋体"/>
          <w:color w:val="000000" w:themeColor="text1"/>
          <w:sz w:val="24"/>
          <w:highlight w:val="none"/>
          <w:lang w:eastAsia="zh-CN"/>
          <w14:textFill>
            <w14:solidFill>
              <w14:schemeClr w14:val="tx1"/>
            </w14:solidFill>
          </w14:textFill>
        </w:rPr>
        <w:t>方案</w:t>
      </w:r>
      <w:r>
        <w:rPr>
          <w:rFonts w:hint="eastAsia" w:ascii="宋体" w:cs="宋体"/>
          <w:color w:val="000000" w:themeColor="text1"/>
          <w:sz w:val="24"/>
          <w:szCs w:val="21"/>
          <w:highlight w:val="none"/>
          <w:lang w:val="zh-CN" w:eastAsia="zh-CN"/>
          <w14:textFill>
            <w14:solidFill>
              <w14:schemeClr w14:val="tx1"/>
            </w14:solidFill>
          </w14:textFill>
        </w:rPr>
        <w:t>（格式自拟）</w:t>
      </w:r>
    </w:p>
    <w:p w14:paraId="24F52B9B">
      <w:pPr>
        <w:autoSpaceDE w:val="0"/>
        <w:autoSpaceDN w:val="0"/>
        <w:adjustRightInd w:val="0"/>
        <w:rPr>
          <w:rFonts w:ascii="宋体" w:hAnsi="宋体" w:cs="宋体"/>
          <w:b/>
          <w:bCs/>
          <w:color w:val="000000" w:themeColor="text1"/>
          <w:sz w:val="24"/>
          <w:szCs w:val="21"/>
          <w:highlight w:val="none"/>
          <w:lang w:eastAsia="zh-CN"/>
          <w14:textFill>
            <w14:solidFill>
              <w14:schemeClr w14:val="tx1"/>
            </w14:solidFill>
          </w14:textFill>
        </w:rPr>
      </w:pPr>
    </w:p>
    <w:p w14:paraId="3B349795">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1C0CFB3A">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2FF658AF">
      <w:pPr>
        <w:rPr>
          <w:rFonts w:ascii="宋体" w:hAnsi="宋体" w:cs="宋体"/>
          <w:b/>
          <w:bCs/>
          <w:color w:val="000000" w:themeColor="text1"/>
          <w:sz w:val="24"/>
          <w:szCs w:val="21"/>
          <w:highlight w:val="none"/>
          <w:lang w:val="zh-CN" w:eastAsia="zh-CN"/>
          <w14:textFill>
            <w14:solidFill>
              <w14:schemeClr w14:val="tx1"/>
            </w14:solidFill>
          </w14:textFill>
        </w:rPr>
      </w:pPr>
    </w:p>
    <w:p w14:paraId="04943FF4">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78E4616F">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6DEFBE20">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日期：   年   月  日</w:t>
      </w:r>
    </w:p>
    <w:p w14:paraId="5DF7E515">
      <w:pPr>
        <w:autoSpaceDE w:val="0"/>
        <w:autoSpaceDN w:val="0"/>
        <w:adjustRightInd w:val="0"/>
        <w:rPr>
          <w:rFonts w:ascii="宋体" w:hAnsi="宋体" w:cs="宋体"/>
          <w:b/>
          <w:bCs/>
          <w:color w:val="000000" w:themeColor="text1"/>
          <w:sz w:val="24"/>
          <w:szCs w:val="21"/>
          <w:highlight w:val="none"/>
          <w:lang w:val="zh-CN" w:eastAsia="zh-CN"/>
          <w14:textFill>
            <w14:solidFill>
              <w14:schemeClr w14:val="tx1"/>
            </w14:solidFill>
          </w14:textFill>
        </w:rPr>
      </w:pPr>
    </w:p>
    <w:p w14:paraId="003015BF">
      <w:pPr>
        <w:rPr>
          <w:rFonts w:ascii="宋体" w:hAnsi="宋体" w:eastAsiaTheme="minorEastAsia"/>
          <w:b/>
          <w:color w:val="000000" w:themeColor="text1"/>
          <w:sz w:val="24"/>
          <w:szCs w:val="21"/>
          <w:highlight w:val="none"/>
          <w:lang w:eastAsia="zh-CN"/>
          <w14:textFill>
            <w14:solidFill>
              <w14:schemeClr w14:val="tx1"/>
            </w14:solidFill>
          </w14:textFill>
        </w:rPr>
      </w:pPr>
      <w:bookmarkStart w:id="167" w:name="_Toc354594120"/>
      <w:r>
        <w:rPr>
          <w:rFonts w:ascii="宋体" w:hAnsi="宋体" w:eastAsiaTheme="minorEastAsia"/>
          <w:b/>
          <w:color w:val="000000" w:themeColor="text1"/>
          <w:sz w:val="24"/>
          <w:szCs w:val="21"/>
          <w:highlight w:val="none"/>
          <w:lang w:eastAsia="zh-CN"/>
          <w14:textFill>
            <w14:solidFill>
              <w14:schemeClr w14:val="tx1"/>
            </w14:solidFill>
          </w14:textFill>
        </w:rPr>
        <w:br w:type="page"/>
      </w:r>
    </w:p>
    <w:p w14:paraId="2D464DB2">
      <w:pPr>
        <w:outlineLvl w:val="1"/>
        <w:rPr>
          <w:rFonts w:ascii="宋体" w:hAnsi="宋体"/>
          <w:b/>
          <w:color w:val="000000" w:themeColor="text1"/>
          <w:sz w:val="24"/>
          <w:szCs w:val="21"/>
          <w:highlight w:val="none"/>
          <w:lang w:eastAsia="zh-CN"/>
          <w14:textFill>
            <w14:solidFill>
              <w14:schemeClr w14:val="tx1"/>
            </w14:solidFill>
          </w14:textFill>
        </w:rPr>
      </w:pPr>
      <w:bookmarkStart w:id="168" w:name="_Toc175663956"/>
      <w:bookmarkStart w:id="169" w:name="_Toc5649"/>
      <w:bookmarkStart w:id="170" w:name="_Toc28031"/>
      <w:r>
        <w:rPr>
          <w:rFonts w:hint="eastAsia" w:ascii="宋体" w:hAnsi="宋体"/>
          <w:b/>
          <w:color w:val="000000" w:themeColor="text1"/>
          <w:sz w:val="24"/>
          <w:szCs w:val="21"/>
          <w:highlight w:val="none"/>
          <w:lang w:val="en-US" w:eastAsia="zh-CN"/>
          <w14:textFill>
            <w14:solidFill>
              <w14:schemeClr w14:val="tx1"/>
            </w14:solidFill>
          </w14:textFill>
        </w:rPr>
        <w:t>六</w:t>
      </w:r>
      <w:r>
        <w:rPr>
          <w:rFonts w:hint="eastAsia" w:ascii="宋体" w:hAnsi="宋体"/>
          <w:b/>
          <w:color w:val="000000" w:themeColor="text1"/>
          <w:sz w:val="24"/>
          <w:szCs w:val="21"/>
          <w:highlight w:val="none"/>
          <w:lang w:eastAsia="zh-CN"/>
          <w14:textFill>
            <w14:solidFill>
              <w14:schemeClr w14:val="tx1"/>
            </w14:solidFill>
          </w14:textFill>
        </w:rPr>
        <w:t>、项目组成员一览表</w:t>
      </w:r>
      <w:bookmarkEnd w:id="167"/>
      <w:bookmarkEnd w:id="168"/>
      <w:bookmarkEnd w:id="169"/>
      <w:bookmarkEnd w:id="170"/>
    </w:p>
    <w:p w14:paraId="30A60D0E">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bookmarkStart w:id="171" w:name="_Toc341184788"/>
      <w:r>
        <w:rPr>
          <w:rFonts w:hint="eastAsia" w:ascii="黑体" w:eastAsia="黑体" w:cs="黑体"/>
          <w:b/>
          <w:bCs/>
          <w:color w:val="000000" w:themeColor="text1"/>
          <w:sz w:val="36"/>
          <w:szCs w:val="28"/>
          <w:highlight w:val="none"/>
          <w:lang w:val="zh-CN" w:eastAsia="zh-CN"/>
          <w14:textFill>
            <w14:solidFill>
              <w14:schemeClr w14:val="tx1"/>
            </w14:solidFill>
          </w14:textFill>
        </w:rPr>
        <w:t>项目组成员一览表</w:t>
      </w:r>
      <w:bookmarkEnd w:id="171"/>
    </w:p>
    <w:p w14:paraId="7A87F815">
      <w:pPr>
        <w:autoSpaceDE w:val="0"/>
        <w:autoSpaceDN w:val="0"/>
        <w:adjustRightInd w:val="0"/>
        <w:ind w:firstLine="420"/>
        <w:rPr>
          <w:rFonts w:ascii="宋体" w:hAnsi="宋体"/>
          <w:color w:val="000000" w:themeColor="text1"/>
          <w:sz w:val="24"/>
          <w:szCs w:val="21"/>
          <w:highlight w:val="none"/>
          <w:lang w:val="zh-CN" w:eastAsia="zh-CN"/>
          <w14:textFill>
            <w14:solidFill>
              <w14:schemeClr w14:val="tx1"/>
            </w14:solidFill>
          </w14:textFill>
        </w:rPr>
      </w:pPr>
    </w:p>
    <w:tbl>
      <w:tblPr>
        <w:tblStyle w:val="51"/>
        <w:tblW w:w="91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93"/>
        <w:gridCol w:w="992"/>
        <w:gridCol w:w="2126"/>
        <w:gridCol w:w="1559"/>
        <w:gridCol w:w="1560"/>
        <w:gridCol w:w="1276"/>
      </w:tblGrid>
      <w:tr w14:paraId="7FB3A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6" w:type="dxa"/>
            <w:gridSpan w:val="4"/>
            <w:noWrap/>
            <w:vAlign w:val="center"/>
          </w:tcPr>
          <w:p w14:paraId="10DFBC50">
            <w:pPr>
              <w:autoSpaceDE w:val="0"/>
              <w:autoSpaceDN w:val="0"/>
              <w:adjustRightInd w:val="0"/>
              <w:spacing w:line="24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项目名称：</w:t>
            </w:r>
            <w:r>
              <w:rPr>
                <w:rFonts w:hint="eastAsia" w:ascii="宋体" w:hAnsi="宋体" w:eastAsia="宋体" w:cs="宋体"/>
                <w:color w:val="000000" w:themeColor="text1"/>
                <w:sz w:val="24"/>
                <w:highlight w:val="none"/>
                <w:lang w:eastAsia="zh-CN"/>
                <w14:textFill>
                  <w14:solidFill>
                    <w14:schemeClr w14:val="tx1"/>
                  </w14:solidFill>
                </w14:textFill>
              </w:rPr>
              <w:t>新济洲2025年度公益林生态效益补偿项目</w:t>
            </w:r>
          </w:p>
        </w:tc>
        <w:tc>
          <w:tcPr>
            <w:tcW w:w="4395" w:type="dxa"/>
            <w:gridSpan w:val="3"/>
          </w:tcPr>
          <w:p w14:paraId="5D828A34">
            <w:pPr>
              <w:autoSpaceDE w:val="0"/>
              <w:autoSpaceDN w:val="0"/>
              <w:adjustRightInd w:val="0"/>
              <w:spacing w:line="240" w:lineRule="auto"/>
              <w:rPr>
                <w:rFonts w:ascii="宋体" w:hAnsi="宋体"/>
                <w:color w:val="000000" w:themeColor="text1"/>
                <w:sz w:val="24"/>
                <w:szCs w:val="21"/>
                <w:highlight w:val="none"/>
                <w:lang w:eastAsia="zh-CN"/>
                <w14:textFill>
                  <w14:solidFill>
                    <w14:schemeClr w14:val="tx1"/>
                  </w14:solidFill>
                </w14:textFill>
              </w:rPr>
            </w:pPr>
            <w:r>
              <w:rPr>
                <w:rFonts w:hint="eastAsia" w:ascii="宋体" w:hAnsi="宋体"/>
                <w:color w:val="000000" w:themeColor="text1"/>
                <w:sz w:val="24"/>
                <w:szCs w:val="21"/>
                <w:highlight w:val="none"/>
                <w:lang w:eastAsia="zh-CN"/>
                <w14:textFill>
                  <w14:solidFill>
                    <w14:schemeClr w14:val="tx1"/>
                  </w14:solidFill>
                </w14:textFill>
              </w:rPr>
              <w:t xml:space="preserve">项目编号：JSZC-320115-NJMT-C2026-0012 </w:t>
            </w:r>
          </w:p>
        </w:tc>
      </w:tr>
      <w:tr w14:paraId="794D9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675" w:type="dxa"/>
            <w:noWrap/>
            <w:vAlign w:val="center"/>
          </w:tcPr>
          <w:p w14:paraId="0E4B4BA5">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序号</w:t>
            </w:r>
          </w:p>
        </w:tc>
        <w:tc>
          <w:tcPr>
            <w:tcW w:w="993" w:type="dxa"/>
            <w:noWrap/>
            <w:vAlign w:val="center"/>
          </w:tcPr>
          <w:p w14:paraId="3F04942F">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姓名</w:t>
            </w:r>
          </w:p>
        </w:tc>
        <w:tc>
          <w:tcPr>
            <w:tcW w:w="992" w:type="dxa"/>
            <w:noWrap/>
            <w:vAlign w:val="center"/>
          </w:tcPr>
          <w:p w14:paraId="1E54E0D6">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性别</w:t>
            </w:r>
          </w:p>
        </w:tc>
        <w:tc>
          <w:tcPr>
            <w:tcW w:w="2126" w:type="dxa"/>
            <w:noWrap/>
            <w:vAlign w:val="center"/>
          </w:tcPr>
          <w:p w14:paraId="5FD346FE">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岗位</w:t>
            </w:r>
          </w:p>
        </w:tc>
        <w:tc>
          <w:tcPr>
            <w:tcW w:w="1559" w:type="dxa"/>
            <w:vAlign w:val="center"/>
          </w:tcPr>
          <w:p w14:paraId="2C5D93A7">
            <w:pPr>
              <w:autoSpaceDE w:val="0"/>
              <w:autoSpaceDN w:val="0"/>
              <w:adjustRightInd w:val="0"/>
              <w:jc w:val="center"/>
              <w:rPr>
                <w:rFonts w:asciiTheme="minorEastAsia" w:hAnsiTheme="minorEastAsia" w:eastAsiaTheme="minorEastAsia"/>
                <w:b/>
                <w:color w:val="000000" w:themeColor="text1"/>
                <w:sz w:val="24"/>
                <w:szCs w:val="21"/>
                <w:highlight w:val="none"/>
                <w:lang w:val="zh-CN" w:eastAsia="zh-CN"/>
                <w14:textFill>
                  <w14:solidFill>
                    <w14:schemeClr w14:val="tx1"/>
                  </w14:solidFill>
                </w14:textFill>
              </w:rPr>
            </w:pPr>
            <w:r>
              <w:rPr>
                <w:rFonts w:hint="eastAsia" w:asciiTheme="minorEastAsia" w:hAnsiTheme="minorEastAsia" w:eastAsiaTheme="minorEastAsia"/>
                <w:b/>
                <w:color w:val="000000" w:themeColor="text1"/>
                <w:sz w:val="24"/>
                <w:szCs w:val="21"/>
                <w:highlight w:val="none"/>
                <w:lang w:val="zh-CN" w:eastAsia="zh-CN"/>
                <w14:textFill>
                  <w14:solidFill>
                    <w14:schemeClr w14:val="tx1"/>
                  </w14:solidFill>
                </w14:textFill>
              </w:rPr>
              <w:t>证书</w:t>
            </w:r>
            <w:r>
              <w:rPr>
                <w:rFonts w:hint="eastAsia" w:ascii="宋体"/>
                <w:b/>
                <w:color w:val="000000" w:themeColor="text1"/>
                <w:sz w:val="24"/>
                <w:szCs w:val="21"/>
                <w:highlight w:val="none"/>
                <w:lang w:val="zh-CN"/>
                <w14:textFill>
                  <w14:solidFill>
                    <w14:schemeClr w14:val="tx1"/>
                  </w14:solidFill>
                </w14:textFill>
              </w:rPr>
              <w:t>类型</w:t>
            </w:r>
          </w:p>
        </w:tc>
        <w:tc>
          <w:tcPr>
            <w:tcW w:w="1560" w:type="dxa"/>
            <w:noWrap/>
            <w:vAlign w:val="center"/>
          </w:tcPr>
          <w:p w14:paraId="5593D87A">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ascii="宋体"/>
                <w:b/>
                <w:color w:val="000000" w:themeColor="text1"/>
                <w:sz w:val="24"/>
                <w:szCs w:val="21"/>
                <w:highlight w:val="none"/>
                <w:lang w:val="zh-CN"/>
                <w14:textFill>
                  <w14:solidFill>
                    <w14:schemeClr w14:val="tx1"/>
                  </w14:solidFill>
                </w14:textFill>
              </w:rPr>
              <w:t>证书号</w:t>
            </w:r>
          </w:p>
        </w:tc>
        <w:tc>
          <w:tcPr>
            <w:tcW w:w="1276" w:type="dxa"/>
            <w:noWrap/>
            <w:vAlign w:val="center"/>
          </w:tcPr>
          <w:p w14:paraId="7F588A4F">
            <w:pPr>
              <w:autoSpaceDE w:val="0"/>
              <w:autoSpaceDN w:val="0"/>
              <w:adjustRightInd w:val="0"/>
              <w:jc w:val="center"/>
              <w:rPr>
                <w:rFonts w:ascii="宋体"/>
                <w:b/>
                <w:color w:val="000000" w:themeColor="text1"/>
                <w:sz w:val="24"/>
                <w:szCs w:val="21"/>
                <w:highlight w:val="none"/>
                <w:lang w:val="zh-CN"/>
                <w14:textFill>
                  <w14:solidFill>
                    <w14:schemeClr w14:val="tx1"/>
                  </w14:solidFill>
                </w14:textFill>
              </w:rPr>
            </w:pPr>
            <w:r>
              <w:rPr>
                <w:rFonts w:hint="eastAsia" w:ascii="宋体"/>
                <w:b/>
                <w:color w:val="000000" w:themeColor="text1"/>
                <w:sz w:val="24"/>
                <w:szCs w:val="21"/>
                <w:highlight w:val="none"/>
                <w:lang w:val="zh-CN"/>
                <w14:textFill>
                  <w14:solidFill>
                    <w14:schemeClr w14:val="tx1"/>
                  </w14:solidFill>
                </w14:textFill>
              </w:rPr>
              <w:t>备    注</w:t>
            </w:r>
          </w:p>
        </w:tc>
      </w:tr>
      <w:tr w14:paraId="1A60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C3C614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1BA3E693">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1464263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614E6CD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03202C6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21E59BD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1968ACA7">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1CC4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18EE056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1F30BFE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1A72B2DC">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5D3139F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77C8E1E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52487E96">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0784A692">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619FD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86427C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24C7AC2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0FAE1AF7">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189C6EA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713998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23B21C8D">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6C5D62AF">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7697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6710DEC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2D0DAD31">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19370B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31DBF34D">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7CA94BF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7F4E45F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016A13D">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5B12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715662D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40F3EDC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1FBCE88">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4A4C084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633DB9B6">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2CF1D1A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4258434F">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6091D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5DE5CEE5">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6F64F4E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755A3B5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171401A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477158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4733AC8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CC85AC0">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0E4AD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2516863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48CCC24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718D9952">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74F036B3">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6D7DD7C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0388857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EEBD251">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27CDC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03607F8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46427667">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696D875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2D27971F">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6331EF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6B8B1B1A">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37A40B5C">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r w14:paraId="0610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noWrap/>
          </w:tcPr>
          <w:p w14:paraId="283BBF50">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3" w:type="dxa"/>
            <w:noWrap/>
          </w:tcPr>
          <w:p w14:paraId="735717E9">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992" w:type="dxa"/>
            <w:noWrap/>
          </w:tcPr>
          <w:p w14:paraId="590348FB">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2126" w:type="dxa"/>
            <w:noWrap/>
          </w:tcPr>
          <w:p w14:paraId="1A529CF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59" w:type="dxa"/>
          </w:tcPr>
          <w:p w14:paraId="190DE1AE">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560" w:type="dxa"/>
            <w:noWrap/>
          </w:tcPr>
          <w:p w14:paraId="342D5CD4">
            <w:pPr>
              <w:autoSpaceDE w:val="0"/>
              <w:autoSpaceDN w:val="0"/>
              <w:adjustRightInd w:val="0"/>
              <w:rPr>
                <w:rFonts w:ascii="宋体"/>
                <w:color w:val="000000" w:themeColor="text1"/>
                <w:sz w:val="24"/>
                <w:szCs w:val="21"/>
                <w:highlight w:val="none"/>
                <w:lang w:val="zh-CN"/>
                <w14:textFill>
                  <w14:solidFill>
                    <w14:schemeClr w14:val="tx1"/>
                  </w14:solidFill>
                </w14:textFill>
              </w:rPr>
            </w:pPr>
          </w:p>
        </w:tc>
        <w:tc>
          <w:tcPr>
            <w:tcW w:w="1276" w:type="dxa"/>
            <w:noWrap/>
          </w:tcPr>
          <w:p w14:paraId="68C7196B">
            <w:pPr>
              <w:autoSpaceDE w:val="0"/>
              <w:autoSpaceDN w:val="0"/>
              <w:adjustRightInd w:val="0"/>
              <w:rPr>
                <w:rFonts w:ascii="宋体"/>
                <w:color w:val="000000" w:themeColor="text1"/>
                <w:sz w:val="24"/>
                <w:szCs w:val="21"/>
                <w:highlight w:val="none"/>
                <w:lang w:val="zh-CN"/>
                <w14:textFill>
                  <w14:solidFill>
                    <w14:schemeClr w14:val="tx1"/>
                  </w14:solidFill>
                </w14:textFill>
              </w:rPr>
            </w:pPr>
          </w:p>
        </w:tc>
      </w:tr>
    </w:tbl>
    <w:p w14:paraId="22477AAC">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49456969">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日期：   年   月   日</w:t>
      </w:r>
    </w:p>
    <w:p w14:paraId="236229D2">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67E74764">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r>
        <w:rPr>
          <w:rFonts w:hint="eastAsia" w:ascii="宋体"/>
          <w:color w:val="000000" w:themeColor="text1"/>
          <w:sz w:val="24"/>
          <w:szCs w:val="21"/>
          <w:highlight w:val="none"/>
          <w:lang w:val="zh-CN" w:eastAsia="zh-CN"/>
          <w14:textFill>
            <w14:solidFill>
              <w14:schemeClr w14:val="tx1"/>
            </w14:solidFill>
          </w14:textFill>
        </w:rPr>
        <w:t>备注栏，可填写该人员擅长的工种，附相关证件加盖公章。</w:t>
      </w:r>
    </w:p>
    <w:p w14:paraId="05BEE28F">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p>
    <w:p w14:paraId="154DF693">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p>
    <w:p w14:paraId="3DC3EB65">
      <w:pPr>
        <w:autoSpaceDE w:val="0"/>
        <w:autoSpaceDN w:val="0"/>
        <w:adjustRightInd w:val="0"/>
        <w:rPr>
          <w:rFonts w:ascii="宋体"/>
          <w:color w:val="000000" w:themeColor="text1"/>
          <w:sz w:val="24"/>
          <w:szCs w:val="21"/>
          <w:highlight w:val="none"/>
          <w:lang w:val="zh-CN" w:eastAsia="zh-CN"/>
          <w14:textFill>
            <w14:solidFill>
              <w14:schemeClr w14:val="tx1"/>
            </w14:solidFill>
          </w14:textFill>
        </w:rPr>
      </w:pPr>
    </w:p>
    <w:p w14:paraId="31362EBC">
      <w:pPr>
        <w:autoSpaceDE w:val="0"/>
        <w:autoSpaceDN w:val="0"/>
        <w:adjustRightInd w:val="0"/>
        <w:rPr>
          <w:rFonts w:ascii="宋体" w:eastAsiaTheme="minorEastAsia"/>
          <w:color w:val="000000" w:themeColor="text1"/>
          <w:sz w:val="24"/>
          <w:szCs w:val="21"/>
          <w:highlight w:val="none"/>
          <w:lang w:val="zh-CN" w:eastAsia="zh-CN"/>
          <w14:textFill>
            <w14:solidFill>
              <w14:schemeClr w14:val="tx1"/>
            </w14:solidFill>
          </w14:textFill>
        </w:rPr>
      </w:pPr>
    </w:p>
    <w:p w14:paraId="2390DE89">
      <w:pPr>
        <w:pStyle w:val="67"/>
        <w:rPr>
          <w:color w:val="000000" w:themeColor="text1"/>
          <w:highlight w:val="none"/>
          <w:lang w:val="zh-CN" w:eastAsia="zh-CN"/>
          <w14:textFill>
            <w14:solidFill>
              <w14:schemeClr w14:val="tx1"/>
            </w14:solidFill>
          </w14:textFill>
        </w:rPr>
      </w:pPr>
    </w:p>
    <w:p w14:paraId="2D781D02">
      <w:pPr>
        <w:rPr>
          <w:rFonts w:eastAsiaTheme="minorEastAsia"/>
          <w:color w:val="000000" w:themeColor="text1"/>
          <w:highlight w:val="none"/>
          <w:lang w:val="zh-CN" w:eastAsia="zh-CN"/>
          <w14:textFill>
            <w14:solidFill>
              <w14:schemeClr w14:val="tx1"/>
            </w14:solidFill>
          </w14:textFill>
        </w:rPr>
      </w:pPr>
      <w:r>
        <w:rPr>
          <w:rFonts w:eastAsiaTheme="minorEastAsia"/>
          <w:color w:val="000000" w:themeColor="text1"/>
          <w:highlight w:val="none"/>
          <w:lang w:val="zh-CN" w:eastAsia="zh-CN"/>
          <w14:textFill>
            <w14:solidFill>
              <w14:schemeClr w14:val="tx1"/>
            </w14:solidFill>
          </w14:textFill>
        </w:rPr>
        <w:br w:type="page"/>
      </w:r>
    </w:p>
    <w:p w14:paraId="72D44A73">
      <w:pPr>
        <w:widowControl/>
        <w:adjustRightInd w:val="0"/>
        <w:spacing w:line="240" w:lineRule="atLeast"/>
        <w:outlineLvl w:val="1"/>
        <w:rPr>
          <w:b/>
          <w:color w:val="000000" w:themeColor="text1"/>
          <w:sz w:val="24"/>
          <w:highlight w:val="none"/>
          <w:lang w:eastAsia="zh-CN"/>
          <w14:textFill>
            <w14:solidFill>
              <w14:schemeClr w14:val="tx1"/>
            </w14:solidFill>
          </w14:textFill>
        </w:rPr>
      </w:pPr>
      <w:bookmarkStart w:id="172" w:name="_Toc11058"/>
      <w:bookmarkStart w:id="173" w:name="_Toc14286"/>
      <w:bookmarkStart w:id="174" w:name="_Toc459109600"/>
      <w:bookmarkStart w:id="175" w:name="_Toc175663957"/>
      <w:bookmarkStart w:id="176" w:name="_Toc354594121"/>
      <w:r>
        <w:rPr>
          <w:rFonts w:hint="eastAsia"/>
          <w:b/>
          <w:color w:val="000000" w:themeColor="text1"/>
          <w:sz w:val="24"/>
          <w:highlight w:val="none"/>
          <w:lang w:val="en-US" w:eastAsia="zh-CN"/>
          <w14:textFill>
            <w14:solidFill>
              <w14:schemeClr w14:val="tx1"/>
            </w14:solidFill>
          </w14:textFill>
        </w:rPr>
        <w:t>七</w:t>
      </w:r>
      <w:r>
        <w:rPr>
          <w:rFonts w:hint="eastAsia"/>
          <w:b/>
          <w:color w:val="000000" w:themeColor="text1"/>
          <w:sz w:val="24"/>
          <w:highlight w:val="none"/>
          <w:lang w:eastAsia="zh-CN"/>
          <w14:textFill>
            <w14:solidFill>
              <w14:schemeClr w14:val="tx1"/>
            </w14:solidFill>
          </w14:textFill>
        </w:rPr>
        <w:t>、无重大违法记录声明格式</w:t>
      </w:r>
      <w:bookmarkEnd w:id="172"/>
      <w:bookmarkEnd w:id="173"/>
      <w:bookmarkEnd w:id="174"/>
      <w:bookmarkEnd w:id="175"/>
    </w:p>
    <w:p w14:paraId="5F25C1DD">
      <w:pPr>
        <w:jc w:val="center"/>
        <w:rPr>
          <w:rFonts w:ascii="黑体" w:eastAsia="黑体"/>
          <w:color w:val="000000" w:themeColor="text1"/>
          <w:sz w:val="44"/>
          <w:szCs w:val="36"/>
          <w:highlight w:val="none"/>
          <w:lang w:eastAsia="zh-CN"/>
          <w14:textFill>
            <w14:solidFill>
              <w14:schemeClr w14:val="tx1"/>
            </w14:solidFill>
          </w14:textFill>
        </w:rPr>
      </w:pPr>
      <w:r>
        <w:rPr>
          <w:rFonts w:hint="eastAsia" w:ascii="宋体" w:hAnsi="宋体" w:cs="黑体"/>
          <w:b/>
          <w:bCs/>
          <w:color w:val="000000" w:themeColor="text1"/>
          <w:sz w:val="36"/>
          <w:szCs w:val="28"/>
          <w:highlight w:val="none"/>
          <w:lang w:val="zh-CN" w:eastAsia="zh-CN"/>
          <w14:textFill>
            <w14:solidFill>
              <w14:schemeClr w14:val="tx1"/>
            </w14:solidFill>
          </w14:textFill>
        </w:rPr>
        <w:t>无重大违法记录声明</w:t>
      </w:r>
    </w:p>
    <w:p w14:paraId="624ADE86">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eastAsia="宋体" w:cs="宋体"/>
          <w:color w:val="000000" w:themeColor="text1"/>
          <w:spacing w:val="6"/>
          <w:sz w:val="24"/>
          <w:szCs w:val="21"/>
          <w:highlight w:val="none"/>
          <w:lang w:eastAsia="zh-CN"/>
          <w14:textFill>
            <w14:solidFill>
              <w14:schemeClr w14:val="tx1"/>
            </w14:solidFill>
          </w14:textFill>
        </w:rPr>
        <w:t>南京长江新济洲国家湿地公园管理中心</w:t>
      </w: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w:t>
      </w:r>
    </w:p>
    <w:p w14:paraId="7D82AC2F">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我单位</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（供应商名称）郑重声明：</w:t>
      </w:r>
    </w:p>
    <w:p w14:paraId="2160F501">
      <w:pPr>
        <w:spacing w:line="360" w:lineRule="auto"/>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参加政府采购活动前3年内在经营活动中</w:t>
      </w:r>
      <w:r>
        <w:rPr>
          <w:rFonts w:hint="eastAsia" w:ascii="宋体" w:hAnsi="宋体" w:cs="仿宋_GB2312"/>
          <w:color w:val="000000" w:themeColor="text1"/>
          <w:spacing w:val="6"/>
          <w:sz w:val="24"/>
          <w:szCs w:val="21"/>
          <w:highlight w:val="none"/>
          <w:u w:val="single"/>
          <w:lang w:eastAsia="zh-CN"/>
          <w14:textFill>
            <w14:solidFill>
              <w14:schemeClr w14:val="tx1"/>
            </w14:solidFill>
          </w14:textFill>
        </w:rPr>
        <w:t xml:space="preserve">         </w:t>
      </w:r>
      <w:r>
        <w:rPr>
          <w:rFonts w:hint="eastAsia" w:ascii="宋体" w:hAnsi="宋体" w:cs="仿宋_GB2312"/>
          <w:color w:val="000000" w:themeColor="text1"/>
          <w:spacing w:val="6"/>
          <w:sz w:val="24"/>
          <w:szCs w:val="21"/>
          <w:highlight w:val="none"/>
          <w:lang w:eastAsia="zh-CN"/>
          <w14:textFill>
            <w14:solidFill>
              <w14:schemeClr w14:val="tx1"/>
            </w14:solidFill>
          </w14:textFill>
        </w:rPr>
        <w:t>（在下划线上如实填写：有或没有）重大违法记录。</w:t>
      </w:r>
    </w:p>
    <w:p w14:paraId="3A932438">
      <w:pPr>
        <w:spacing w:line="600" w:lineRule="exact"/>
        <w:rPr>
          <w:rFonts w:ascii="宋体" w:hAnsi="宋体" w:cs="仿宋_GB2312"/>
          <w:color w:val="000000" w:themeColor="text1"/>
          <w:spacing w:val="6"/>
          <w:sz w:val="24"/>
          <w:szCs w:val="21"/>
          <w:highlight w:val="none"/>
          <w:lang w:eastAsia="zh-CN"/>
          <w14:textFill>
            <w14:solidFill>
              <w14:schemeClr w14:val="tx1"/>
            </w14:solidFill>
          </w14:textFill>
        </w:rPr>
      </w:pPr>
      <w:r>
        <w:rPr>
          <w:rFonts w:hint="eastAsia" w:ascii="宋体" w:hAnsi="宋体" w:cs="仿宋_GB2312"/>
          <w:color w:val="000000" w:themeColor="text1"/>
          <w:spacing w:val="6"/>
          <w:sz w:val="24"/>
          <w:szCs w:val="21"/>
          <w:highlight w:val="none"/>
          <w:lang w:eastAsia="zh-CN"/>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7F4BBC9B">
      <w:pPr>
        <w:autoSpaceDE w:val="0"/>
        <w:autoSpaceDN w:val="0"/>
        <w:adjustRightInd w:val="0"/>
        <w:spacing w:line="600" w:lineRule="exact"/>
        <w:ind w:right="924"/>
        <w:jc w:val="righ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2D5B1918">
      <w:pPr>
        <w:autoSpaceDE w:val="0"/>
        <w:autoSpaceDN w:val="0"/>
        <w:adjustRightInd w:val="0"/>
        <w:spacing w:line="600" w:lineRule="exact"/>
        <w:jc w:val="right"/>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5D8AEDF4">
      <w:pPr>
        <w:autoSpaceDE w:val="0"/>
        <w:autoSpaceDN w:val="0"/>
        <w:adjustRightInd w:val="0"/>
        <w:spacing w:line="600" w:lineRule="exact"/>
        <w:outlineLvl w:val="1"/>
        <w:rPr>
          <w:rFonts w:ascii="宋体" w:hAnsi="宋体" w:cs="黑体"/>
          <w:b/>
          <w:bCs/>
          <w:color w:val="000000" w:themeColor="text1"/>
          <w:sz w:val="24"/>
          <w:szCs w:val="21"/>
          <w:highlight w:val="none"/>
          <w:lang w:eastAsia="zh-CN"/>
          <w14:textFill>
            <w14:solidFill>
              <w14:schemeClr w14:val="tx1"/>
            </w14:solidFill>
          </w14:textFill>
        </w:rPr>
      </w:pPr>
      <w:bookmarkStart w:id="177" w:name="_Toc504126844"/>
      <w:bookmarkStart w:id="178" w:name="_Toc506199234"/>
    </w:p>
    <w:p w14:paraId="3AD795D4">
      <w:pPr>
        <w:autoSpaceDE w:val="0"/>
        <w:autoSpaceDN w:val="0"/>
        <w:adjustRightInd w:val="0"/>
        <w:spacing w:line="460" w:lineRule="exact"/>
        <w:outlineLvl w:val="1"/>
        <w:rPr>
          <w:rFonts w:ascii="宋体" w:hAnsi="宋体" w:cs="黑体"/>
          <w:b/>
          <w:bCs/>
          <w:color w:val="000000" w:themeColor="text1"/>
          <w:sz w:val="24"/>
          <w:szCs w:val="21"/>
          <w:highlight w:val="none"/>
          <w:lang w:eastAsia="zh-CN"/>
          <w14:textFill>
            <w14:solidFill>
              <w14:schemeClr w14:val="tx1"/>
            </w14:solidFill>
          </w14:textFill>
        </w:rPr>
      </w:pPr>
    </w:p>
    <w:p w14:paraId="6727D1EE">
      <w:pPr>
        <w:autoSpaceDE w:val="0"/>
        <w:autoSpaceDN w:val="0"/>
        <w:adjustRightInd w:val="0"/>
        <w:spacing w:line="460" w:lineRule="exact"/>
        <w:outlineLvl w:val="1"/>
        <w:rPr>
          <w:rFonts w:ascii="宋体" w:hAnsi="宋体" w:cs="黑体"/>
          <w:b/>
          <w:bCs/>
          <w:color w:val="000000" w:themeColor="text1"/>
          <w:sz w:val="24"/>
          <w:szCs w:val="21"/>
          <w:highlight w:val="none"/>
          <w:lang w:eastAsia="zh-CN"/>
          <w14:textFill>
            <w14:solidFill>
              <w14:schemeClr w14:val="tx1"/>
            </w14:solidFill>
          </w14:textFill>
        </w:rPr>
      </w:pPr>
    </w:p>
    <w:p w14:paraId="79A7CE2E">
      <w:pPr>
        <w:autoSpaceDE w:val="0"/>
        <w:autoSpaceDN w:val="0"/>
        <w:adjustRightInd w:val="0"/>
        <w:spacing w:line="460" w:lineRule="exact"/>
        <w:outlineLvl w:val="1"/>
        <w:rPr>
          <w:rFonts w:ascii="宋体" w:hAnsi="宋体" w:cs="黑体"/>
          <w:b/>
          <w:bCs/>
          <w:color w:val="000000" w:themeColor="text1"/>
          <w:sz w:val="24"/>
          <w:szCs w:val="21"/>
          <w:highlight w:val="none"/>
          <w:lang w:eastAsia="zh-CN"/>
          <w14:textFill>
            <w14:solidFill>
              <w14:schemeClr w14:val="tx1"/>
            </w14:solidFill>
          </w14:textFill>
        </w:rPr>
      </w:pPr>
    </w:p>
    <w:p w14:paraId="29B7DFA1">
      <w:pPr>
        <w:autoSpaceDE w:val="0"/>
        <w:autoSpaceDN w:val="0"/>
        <w:adjustRightInd w:val="0"/>
        <w:spacing w:line="460" w:lineRule="exact"/>
        <w:outlineLvl w:val="1"/>
        <w:rPr>
          <w:rFonts w:ascii="宋体" w:hAnsi="宋体" w:cs="黑体"/>
          <w:b/>
          <w:bCs/>
          <w:color w:val="000000" w:themeColor="text1"/>
          <w:sz w:val="24"/>
          <w:szCs w:val="21"/>
          <w:highlight w:val="none"/>
          <w:lang w:val="zh-CN" w:eastAsia="zh-CN"/>
          <w14:textFill>
            <w14:solidFill>
              <w14:schemeClr w14:val="tx1"/>
            </w14:solidFill>
          </w14:textFill>
        </w:rPr>
      </w:pPr>
      <w:bookmarkStart w:id="179" w:name="_Toc175663958"/>
      <w:bookmarkStart w:id="180" w:name="_Toc11616"/>
      <w:bookmarkStart w:id="181" w:name="_Toc27923"/>
      <w:r>
        <w:rPr>
          <w:rFonts w:hint="eastAsia" w:ascii="宋体" w:hAnsi="宋体" w:cs="黑体"/>
          <w:b/>
          <w:bCs/>
          <w:color w:val="000000" w:themeColor="text1"/>
          <w:sz w:val="24"/>
          <w:szCs w:val="21"/>
          <w:highlight w:val="none"/>
          <w:lang w:val="en-US" w:eastAsia="zh-CN"/>
          <w14:textFill>
            <w14:solidFill>
              <w14:schemeClr w14:val="tx1"/>
            </w14:solidFill>
          </w14:textFill>
        </w:rPr>
        <w:t>八</w:t>
      </w:r>
      <w:r>
        <w:rPr>
          <w:rFonts w:hint="eastAsia" w:ascii="宋体" w:hAnsi="宋体" w:cs="黑体"/>
          <w:b/>
          <w:bCs/>
          <w:color w:val="000000" w:themeColor="text1"/>
          <w:sz w:val="24"/>
          <w:szCs w:val="21"/>
          <w:highlight w:val="none"/>
          <w:lang w:val="zh-CN" w:eastAsia="zh-CN"/>
          <w14:textFill>
            <w14:solidFill>
              <w14:schemeClr w14:val="tx1"/>
            </w14:solidFill>
          </w14:textFill>
        </w:rPr>
        <w:t>、具备履行合同所必需的设备和专业技术能力的书面声明</w:t>
      </w:r>
      <w:bookmarkEnd w:id="177"/>
      <w:bookmarkEnd w:id="178"/>
      <w:bookmarkEnd w:id="179"/>
      <w:bookmarkEnd w:id="180"/>
      <w:bookmarkEnd w:id="181"/>
    </w:p>
    <w:p w14:paraId="38170D9E">
      <w:pPr>
        <w:spacing w:line="360" w:lineRule="auto"/>
        <w:ind w:firstLine="504" w:firstLineChars="200"/>
        <w:rPr>
          <w:color w:val="000000" w:themeColor="text1"/>
          <w:spacing w:val="6"/>
          <w:sz w:val="24"/>
          <w:szCs w:val="21"/>
          <w:highlight w:val="none"/>
          <w:lang w:eastAsia="zh-CN"/>
          <w14:textFill>
            <w14:solidFill>
              <w14:schemeClr w14:val="tx1"/>
            </w14:solidFill>
          </w14:textFill>
        </w:rPr>
      </w:pPr>
    </w:p>
    <w:p w14:paraId="6DE6F1A1">
      <w:pPr>
        <w:autoSpaceDE w:val="0"/>
        <w:autoSpaceDN w:val="0"/>
        <w:adjustRightInd w:val="0"/>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我单位郑重声明：我单位具备履行本项采购合同所必需的设备和专业技术能力，为履行本项采购合同我公司具备如下主要设备和主要专业技术能力：</w:t>
      </w:r>
    </w:p>
    <w:p w14:paraId="5924E149">
      <w:pPr>
        <w:autoSpaceDE w:val="0"/>
        <w:autoSpaceDN w:val="0"/>
        <w:adjustRightInd w:val="0"/>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主要设备有：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w:t>
      </w:r>
    </w:p>
    <w:p w14:paraId="681D6FE1">
      <w:pPr>
        <w:autoSpaceDE w:val="0"/>
        <w:autoSpaceDN w:val="0"/>
        <w:adjustRightInd w:val="0"/>
        <w:spacing w:line="5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 xml:space="preserve">    主要专业技术能力有：</w:t>
      </w:r>
      <w:r>
        <w:rPr>
          <w:rFonts w:hint="eastAsia" w:ascii="宋体" w:hAns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hAnsi="宋体" w:cs="宋体"/>
          <w:color w:val="000000" w:themeColor="text1"/>
          <w:sz w:val="24"/>
          <w:szCs w:val="21"/>
          <w:highlight w:val="none"/>
          <w:lang w:val="zh-CN" w:eastAsia="zh-CN"/>
          <w14:textFill>
            <w14:solidFill>
              <w14:schemeClr w14:val="tx1"/>
            </w14:solidFill>
          </w14:textFill>
        </w:rPr>
        <w:t>。</w:t>
      </w:r>
    </w:p>
    <w:p w14:paraId="2CF53753">
      <w:pPr>
        <w:autoSpaceDE w:val="0"/>
        <w:autoSpaceDN w:val="0"/>
        <w:adjustRightInd w:val="0"/>
        <w:rPr>
          <w:rFonts w:ascii="宋体" w:hAnsi="宋体" w:cs="宋体"/>
          <w:color w:val="000000" w:themeColor="text1"/>
          <w:sz w:val="24"/>
          <w:szCs w:val="21"/>
          <w:highlight w:val="none"/>
          <w:lang w:val="zh-CN" w:eastAsia="zh-CN"/>
          <w14:textFill>
            <w14:solidFill>
              <w14:schemeClr w14:val="tx1"/>
            </w14:solidFill>
          </w14:textFill>
        </w:rPr>
      </w:pPr>
    </w:p>
    <w:p w14:paraId="12B305BA">
      <w:pPr>
        <w:autoSpaceDE w:val="0"/>
        <w:autoSpaceDN w:val="0"/>
        <w:adjustRightInd w:val="0"/>
        <w:snapToGrid w:val="0"/>
        <w:spacing w:line="600" w:lineRule="exact"/>
        <w:ind w:right="840"/>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供应商</w:t>
      </w:r>
      <w:r>
        <w:rPr>
          <w:color w:val="000000" w:themeColor="text1"/>
          <w:sz w:val="24"/>
          <w:szCs w:val="21"/>
          <w:highlight w:val="none"/>
          <w:lang w:eastAsia="zh-CN"/>
          <w14:textFill>
            <w14:solidFill>
              <w14:schemeClr w14:val="tx1"/>
            </w14:solidFill>
          </w14:textFill>
        </w:rPr>
        <w:t xml:space="preserve">（盖章）：           </w:t>
      </w:r>
    </w:p>
    <w:p w14:paraId="0FED0F05">
      <w:pPr>
        <w:autoSpaceDE w:val="0"/>
        <w:autoSpaceDN w:val="0"/>
        <w:adjustRightInd w:val="0"/>
        <w:snapToGrid w:val="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4B243306">
      <w:pPr>
        <w:autoSpaceDE w:val="0"/>
        <w:autoSpaceDN w:val="0"/>
        <w:adjustRightInd w:val="0"/>
        <w:snapToGrid w:val="0"/>
        <w:spacing w:line="600" w:lineRule="exact"/>
        <w:rPr>
          <w:color w:val="000000" w:themeColor="text1"/>
          <w:sz w:val="24"/>
          <w:szCs w:val="21"/>
          <w:highlight w:val="none"/>
          <w:lang w:val="zh-CN" w:eastAsia="zh-CN"/>
          <w14:textFill>
            <w14:solidFill>
              <w14:schemeClr w14:val="tx1"/>
            </w14:solidFill>
          </w14:textFill>
        </w:rPr>
      </w:pPr>
    </w:p>
    <w:p w14:paraId="48809019">
      <w:pPr>
        <w:autoSpaceDE w:val="0"/>
        <w:autoSpaceDN w:val="0"/>
        <w:adjustRightInd w:val="0"/>
        <w:snapToGrid w:val="0"/>
        <w:spacing w:line="600" w:lineRule="exact"/>
        <w:rPr>
          <w:rFonts w:ascii="宋体" w:hAnsi="宋体"/>
          <w:color w:val="000000" w:themeColor="text1"/>
          <w:sz w:val="24"/>
          <w:highlight w:val="none"/>
          <w:lang w:eastAsia="zh-CN"/>
          <w14:textFill>
            <w14:solidFill>
              <w14:schemeClr w14:val="tx1"/>
            </w14:solidFill>
          </w14:textFill>
        </w:rPr>
      </w:pPr>
    </w:p>
    <w:p w14:paraId="0251B79B">
      <w:pPr>
        <w:wordWrap w:val="0"/>
        <w:ind w:right="444"/>
        <w:rPr>
          <w:rFonts w:ascii="宋体" w:hAnsi="宋体"/>
          <w:b/>
          <w:color w:val="000000" w:themeColor="text1"/>
          <w:sz w:val="24"/>
          <w:szCs w:val="21"/>
          <w:highlight w:val="none"/>
          <w:lang w:eastAsia="zh-CN"/>
          <w14:textFill>
            <w14:solidFill>
              <w14:schemeClr w14:val="tx1"/>
            </w14:solidFill>
          </w14:textFill>
        </w:rPr>
      </w:pPr>
    </w:p>
    <w:p w14:paraId="7B1A81D5">
      <w:pPr>
        <w:wordWrap w:val="0"/>
        <w:ind w:right="444"/>
        <w:rPr>
          <w:rFonts w:ascii="宋体" w:hAnsi="宋体"/>
          <w:b/>
          <w:color w:val="000000" w:themeColor="text1"/>
          <w:sz w:val="24"/>
          <w:szCs w:val="21"/>
          <w:highlight w:val="none"/>
          <w:lang w:eastAsia="zh-CN"/>
          <w14:textFill>
            <w14:solidFill>
              <w14:schemeClr w14:val="tx1"/>
            </w14:solidFill>
          </w14:textFill>
        </w:rPr>
      </w:pPr>
    </w:p>
    <w:p w14:paraId="45793AA8">
      <w:pPr>
        <w:outlineLvl w:val="1"/>
        <w:rPr>
          <w:rFonts w:ascii="宋体" w:hAnsi="宋体"/>
          <w:b/>
          <w:color w:val="000000" w:themeColor="text1"/>
          <w:sz w:val="24"/>
          <w:szCs w:val="21"/>
          <w:highlight w:val="none"/>
          <w:lang w:eastAsia="zh-CN"/>
          <w14:textFill>
            <w14:solidFill>
              <w14:schemeClr w14:val="tx1"/>
            </w14:solidFill>
          </w14:textFill>
        </w:rPr>
      </w:pPr>
      <w:bookmarkStart w:id="182" w:name="_Toc13813"/>
      <w:bookmarkStart w:id="183" w:name="_Toc28457"/>
      <w:bookmarkStart w:id="184" w:name="_Toc175663959"/>
      <w:r>
        <w:rPr>
          <w:rFonts w:hint="eastAsia" w:ascii="宋体" w:hAnsi="宋体"/>
          <w:b/>
          <w:color w:val="000000" w:themeColor="text1"/>
          <w:sz w:val="24"/>
          <w:szCs w:val="21"/>
          <w:highlight w:val="none"/>
          <w:lang w:val="en-US" w:eastAsia="zh-CN"/>
          <w14:textFill>
            <w14:solidFill>
              <w14:schemeClr w14:val="tx1"/>
            </w14:solidFill>
          </w14:textFill>
        </w:rPr>
        <w:t>九</w:t>
      </w:r>
      <w:r>
        <w:rPr>
          <w:rFonts w:hint="eastAsia" w:ascii="宋体" w:hAnsi="宋体"/>
          <w:b/>
          <w:color w:val="000000" w:themeColor="text1"/>
          <w:sz w:val="24"/>
          <w:szCs w:val="21"/>
          <w:highlight w:val="none"/>
          <w:lang w:eastAsia="zh-CN"/>
          <w14:textFill>
            <w14:solidFill>
              <w14:schemeClr w14:val="tx1"/>
            </w14:solidFill>
          </w14:textFill>
        </w:rPr>
        <w:t>、</w:t>
      </w:r>
      <w:bookmarkEnd w:id="176"/>
      <w:bookmarkEnd w:id="182"/>
      <w:bookmarkEnd w:id="183"/>
      <w:r>
        <w:rPr>
          <w:rFonts w:hint="eastAsia" w:ascii="宋体" w:hAnsi="宋体"/>
          <w:b/>
          <w:color w:val="000000" w:themeColor="text1"/>
          <w:sz w:val="24"/>
          <w:szCs w:val="21"/>
          <w:highlight w:val="none"/>
          <w:lang w:eastAsia="zh-CN"/>
          <w14:textFill>
            <w14:solidFill>
              <w14:schemeClr w14:val="tx1"/>
            </w14:solidFill>
          </w14:textFill>
        </w:rPr>
        <w:t>服务承诺书</w:t>
      </w:r>
      <w:bookmarkEnd w:id="184"/>
    </w:p>
    <w:p w14:paraId="19396980">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r>
        <w:rPr>
          <w:rFonts w:hint="eastAsia" w:ascii="黑体" w:eastAsia="黑体" w:cs="黑体"/>
          <w:b/>
          <w:bCs/>
          <w:color w:val="000000" w:themeColor="text1"/>
          <w:sz w:val="36"/>
          <w:szCs w:val="28"/>
          <w:highlight w:val="none"/>
          <w:lang w:val="zh-CN" w:eastAsia="zh-CN"/>
          <w14:textFill>
            <w14:solidFill>
              <w14:schemeClr w14:val="tx1"/>
            </w14:solidFill>
          </w14:textFill>
        </w:rPr>
        <w:t>服务承诺书</w:t>
      </w:r>
    </w:p>
    <w:p w14:paraId="2DF90E07">
      <w:pPr>
        <w:autoSpaceDE w:val="0"/>
        <w:autoSpaceDN w:val="0"/>
        <w:adjustRightInd w:val="0"/>
        <w:rPr>
          <w:rFonts w:eastAsia="黑体"/>
          <w:color w:val="000000" w:themeColor="text1"/>
          <w:sz w:val="24"/>
          <w:szCs w:val="21"/>
          <w:highlight w:val="none"/>
          <w:lang w:eastAsia="zh-CN"/>
          <w14:textFill>
            <w14:solidFill>
              <w14:schemeClr w14:val="tx1"/>
            </w14:solidFill>
          </w14:textFill>
        </w:rPr>
      </w:pPr>
    </w:p>
    <w:p w14:paraId="236546C8">
      <w:pPr>
        <w:autoSpaceDE w:val="0"/>
        <w:autoSpaceDN w:val="0"/>
        <w:adjustRightInd w:val="0"/>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ab/>
      </w:r>
      <w:r>
        <w:rPr>
          <w:rFonts w:hint="eastAsia" w:ascii="宋体" w:cs="宋体"/>
          <w:color w:val="000000" w:themeColor="text1"/>
          <w:sz w:val="24"/>
          <w:szCs w:val="21"/>
          <w:highlight w:val="none"/>
          <w:lang w:val="zh-CN" w:eastAsia="zh-CN"/>
          <w14:textFill>
            <w14:solidFill>
              <w14:schemeClr w14:val="tx1"/>
            </w14:solidFill>
          </w14:textFill>
        </w:rPr>
        <w:t>我公司就项目编号为“JSZC-320115-NJMT-C2026-0012”的</w:t>
      </w:r>
      <w:r>
        <w:rPr>
          <w:rFonts w:hint="eastAsia" w:ascii="宋体" w:hAnsi="宋体" w:eastAsia="宋体" w:cs="宋体"/>
          <w:color w:val="000000" w:themeColor="text1"/>
          <w:sz w:val="24"/>
          <w:highlight w:val="none"/>
          <w:u w:val="single"/>
          <w:lang w:eastAsia="zh-CN"/>
          <w14:textFill>
            <w14:solidFill>
              <w14:schemeClr w14:val="tx1"/>
            </w14:solidFill>
          </w14:textFill>
        </w:rPr>
        <w:t>新济洲2025年度公益林生态效益补偿项目</w:t>
      </w:r>
      <w:r>
        <w:rPr>
          <w:rFonts w:hint="eastAsia" w:ascii="宋体" w:cs="宋体"/>
          <w:color w:val="000000" w:themeColor="text1"/>
          <w:sz w:val="24"/>
          <w:szCs w:val="21"/>
          <w:highlight w:val="none"/>
          <w:u w:val="single"/>
          <w:lang w:val="zh-CN" w:eastAsia="zh-CN"/>
          <w14:textFill>
            <w14:solidFill>
              <w14:schemeClr w14:val="tx1"/>
            </w14:solidFill>
          </w14:textFill>
        </w:rPr>
        <w:t xml:space="preserve"> </w:t>
      </w:r>
      <w:r>
        <w:rPr>
          <w:rFonts w:hint="eastAsia" w:ascii="宋体" w:cs="宋体"/>
          <w:color w:val="000000" w:themeColor="text1"/>
          <w:sz w:val="24"/>
          <w:szCs w:val="21"/>
          <w:highlight w:val="none"/>
          <w:lang w:val="zh-CN" w:eastAsia="zh-CN"/>
          <w14:textFill>
            <w14:solidFill>
              <w14:schemeClr w14:val="tx1"/>
            </w14:solidFill>
          </w14:textFill>
        </w:rPr>
        <w:t>质量保证及服务承诺如下：</w:t>
      </w:r>
    </w:p>
    <w:p w14:paraId="2DE1C665">
      <w:pPr>
        <w:autoSpaceDE w:val="0"/>
        <w:autoSpaceDN w:val="0"/>
        <w:adjustRightInd w:val="0"/>
        <w:spacing w:line="500" w:lineRule="exact"/>
        <w:ind w:firstLine="360"/>
        <w:rPr>
          <w:rFonts w:ascii="宋体" w:cs="宋体"/>
          <w:color w:val="000000" w:themeColor="text1"/>
          <w:sz w:val="24"/>
          <w:szCs w:val="21"/>
          <w:highlight w:val="none"/>
          <w:lang w:val="zh-CN" w:eastAsia="zh-CN"/>
          <w14:textFill>
            <w14:solidFill>
              <w14:schemeClr w14:val="tx1"/>
            </w14:solidFill>
          </w14:textFill>
        </w:rPr>
      </w:pPr>
    </w:p>
    <w:p w14:paraId="43FAC824">
      <w:pPr>
        <w:autoSpaceDE w:val="0"/>
        <w:autoSpaceDN w:val="0"/>
        <w:adjustRightInd w:val="0"/>
        <w:spacing w:line="500" w:lineRule="exact"/>
        <w:ind w:firstLine="360"/>
        <w:rPr>
          <w:rFonts w:ascii="宋体" w:cs="宋体"/>
          <w:color w:val="000000" w:themeColor="text1"/>
          <w:sz w:val="24"/>
          <w:szCs w:val="21"/>
          <w:highlight w:val="none"/>
          <w:lang w:val="zh-CN" w:eastAsia="zh-CN"/>
          <w14:textFill>
            <w14:solidFill>
              <w14:schemeClr w14:val="tx1"/>
            </w14:solidFill>
          </w14:textFill>
        </w:rPr>
      </w:pPr>
      <w:r>
        <w:rPr>
          <w:rFonts w:hint="eastAsia" w:ascii="宋体" w:cs="宋体"/>
          <w:color w:val="000000" w:themeColor="text1"/>
          <w:sz w:val="24"/>
          <w:szCs w:val="21"/>
          <w:highlight w:val="none"/>
          <w:lang w:val="zh-CN" w:eastAsia="zh-CN"/>
          <w14:textFill>
            <w14:solidFill>
              <w14:schemeClr w14:val="tx1"/>
            </w14:solidFill>
          </w14:textFill>
        </w:rPr>
        <w:t>（其他服务承诺供应商自拟）</w:t>
      </w:r>
    </w:p>
    <w:p w14:paraId="2B567DDD">
      <w:pPr>
        <w:autoSpaceDE w:val="0"/>
        <w:autoSpaceDN w:val="0"/>
        <w:adjustRightInd w:val="0"/>
        <w:ind w:firstLine="360"/>
        <w:rPr>
          <w:rFonts w:ascii="宋体" w:cs="宋体"/>
          <w:color w:val="000000" w:themeColor="text1"/>
          <w:sz w:val="24"/>
          <w:szCs w:val="21"/>
          <w:highlight w:val="none"/>
          <w:lang w:val="zh-CN" w:eastAsia="zh-CN"/>
          <w14:textFill>
            <w14:solidFill>
              <w14:schemeClr w14:val="tx1"/>
            </w14:solidFill>
          </w14:textFill>
        </w:rPr>
      </w:pPr>
    </w:p>
    <w:p w14:paraId="575DD72B">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供应商</w:t>
      </w:r>
      <w:r>
        <w:rPr>
          <w:rFonts w:hint="eastAsia" w:ascii="宋体" w:hAnsi="宋体"/>
          <w:color w:val="000000" w:themeColor="text1"/>
          <w:sz w:val="24"/>
          <w:szCs w:val="21"/>
          <w:highlight w:val="none"/>
          <w:lang w:eastAsia="zh-CN"/>
          <w14:textFill>
            <w14:solidFill>
              <w14:schemeClr w14:val="tx1"/>
            </w14:solidFill>
          </w14:textFill>
        </w:rPr>
        <w:t xml:space="preserve">（盖章）：            </w:t>
      </w:r>
    </w:p>
    <w:p w14:paraId="121FC665">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cs="宋体"/>
          <w:color w:val="000000" w:themeColor="text1"/>
          <w:sz w:val="24"/>
          <w:szCs w:val="21"/>
          <w:highlight w:val="none"/>
          <w:lang w:val="zh-CN" w:eastAsia="zh-CN"/>
          <w14:textFill>
            <w14:solidFill>
              <w14:schemeClr w14:val="tx1"/>
            </w14:solidFill>
          </w14:textFill>
        </w:rPr>
        <w:t>日  期：    年   月  日</w:t>
      </w:r>
    </w:p>
    <w:p w14:paraId="3D098216">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5AC59DA3">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BB4B272">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30EABFC7">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E40C5BB">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0C25AF30">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F82BB6C">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6AD803A4">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33C97FB0">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EF69201">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17F13D79">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5FB79301">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2BB73362">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46F04C3F">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08DB0757">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61C0B41E">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p>
    <w:p w14:paraId="3A800101">
      <w:pPr>
        <w:outlineLvl w:val="1"/>
        <w:rPr>
          <w:rFonts w:ascii="宋体" w:hAnsi="宋体"/>
          <w:b/>
          <w:color w:val="000000" w:themeColor="text1"/>
          <w:sz w:val="24"/>
          <w:szCs w:val="21"/>
          <w:highlight w:val="none"/>
          <w:lang w:eastAsia="zh-CN"/>
          <w14:textFill>
            <w14:solidFill>
              <w14:schemeClr w14:val="tx1"/>
            </w14:solidFill>
          </w14:textFill>
        </w:rPr>
      </w:pPr>
      <w:bookmarkStart w:id="185" w:name="_Toc29039"/>
      <w:bookmarkStart w:id="186" w:name="_Toc20990"/>
      <w:bookmarkStart w:id="187" w:name="_Toc175663960"/>
      <w:r>
        <w:rPr>
          <w:rFonts w:hint="eastAsia" w:ascii="宋体" w:hAnsi="宋体"/>
          <w:b/>
          <w:color w:val="000000" w:themeColor="text1"/>
          <w:sz w:val="24"/>
          <w:szCs w:val="21"/>
          <w:highlight w:val="none"/>
          <w:lang w:eastAsia="zh-CN"/>
          <w14:textFill>
            <w14:solidFill>
              <w14:schemeClr w14:val="tx1"/>
            </w14:solidFill>
          </w14:textFill>
        </w:rPr>
        <w:t>十、</w:t>
      </w:r>
      <w:bookmarkStart w:id="188" w:name="_Toc354594122"/>
      <w:r>
        <w:rPr>
          <w:rFonts w:hint="eastAsia" w:ascii="宋体" w:hAnsi="宋体"/>
          <w:b/>
          <w:color w:val="000000" w:themeColor="text1"/>
          <w:sz w:val="24"/>
          <w:szCs w:val="21"/>
          <w:highlight w:val="none"/>
          <w:lang w:eastAsia="zh-CN"/>
          <w14:textFill>
            <w14:solidFill>
              <w14:schemeClr w14:val="tx1"/>
            </w14:solidFill>
          </w14:textFill>
        </w:rPr>
        <w:t>中小企业声明函</w:t>
      </w:r>
      <w:bookmarkEnd w:id="185"/>
      <w:bookmarkEnd w:id="186"/>
      <w:bookmarkEnd w:id="187"/>
      <w:bookmarkEnd w:id="188"/>
    </w:p>
    <w:p w14:paraId="52AADC99">
      <w:pPr>
        <w:autoSpaceDE w:val="0"/>
        <w:autoSpaceDN w:val="0"/>
        <w:adjustRightInd w:val="0"/>
        <w:spacing w:line="460" w:lineRule="exact"/>
        <w:jc w:val="center"/>
        <w:rPr>
          <w:rFonts w:ascii="黑体" w:eastAsia="黑体" w:cs="黑体"/>
          <w:b/>
          <w:bCs/>
          <w:color w:val="000000" w:themeColor="text1"/>
          <w:sz w:val="36"/>
          <w:szCs w:val="28"/>
          <w:highlight w:val="none"/>
          <w:lang w:val="zh-CN" w:eastAsia="zh-CN"/>
          <w14:textFill>
            <w14:solidFill>
              <w14:schemeClr w14:val="tx1"/>
            </w14:solidFill>
          </w14:textFill>
        </w:rPr>
      </w:pPr>
      <w:bookmarkStart w:id="189" w:name="_Toc341184790"/>
      <w:r>
        <w:rPr>
          <w:rFonts w:hint="eastAsia" w:ascii="黑体" w:eastAsia="黑体" w:cs="黑体"/>
          <w:b/>
          <w:bCs/>
          <w:color w:val="000000" w:themeColor="text1"/>
          <w:sz w:val="36"/>
          <w:szCs w:val="28"/>
          <w:highlight w:val="none"/>
          <w:lang w:val="zh-CN" w:eastAsia="zh-CN"/>
          <w14:textFill>
            <w14:solidFill>
              <w14:schemeClr w14:val="tx1"/>
            </w14:solidFill>
          </w14:textFill>
        </w:rPr>
        <w:t>中小企业声明函</w:t>
      </w:r>
      <w:bookmarkEnd w:id="189"/>
    </w:p>
    <w:p w14:paraId="0696A50F">
      <w:pPr>
        <w:rPr>
          <w:rFonts w:ascii="宋体" w:hAnsi="宋体"/>
          <w:b/>
          <w:color w:val="000000" w:themeColor="text1"/>
          <w:sz w:val="24"/>
          <w:szCs w:val="21"/>
          <w:highlight w:val="none"/>
          <w:lang w:eastAsia="zh-CN"/>
          <w14:textFill>
            <w14:solidFill>
              <w14:schemeClr w14:val="tx1"/>
            </w14:solidFill>
          </w14:textFill>
        </w:rPr>
      </w:pPr>
    </w:p>
    <w:p w14:paraId="0AD740C4">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szCs w:val="20"/>
          <w:highlight w:val="none"/>
          <w:u w:val="single"/>
          <w14:textFill>
            <w14:solidFill>
              <w14:schemeClr w14:val="tx1"/>
            </w14:solidFill>
          </w14:textFill>
        </w:rPr>
        <w:t xml:space="preserve">    （单位名称）</w:t>
      </w:r>
      <w:r>
        <w:rPr>
          <w:rFonts w:hint="eastAsia" w:ascii="宋体" w:hAnsi="宋体" w:eastAsia="宋体" w:cs="宋体"/>
          <w:color w:val="000000" w:themeColor="text1"/>
          <w:highlight w:val="none"/>
          <w:lang w:bidi="ar"/>
          <w14:textFill>
            <w14:solidFill>
              <w14:schemeClr w14:val="tx1"/>
            </w14:solidFill>
          </w14:textFill>
        </w:rPr>
        <w:t>的</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szCs w:val="20"/>
          <w:highlight w:val="none"/>
          <w:u w:val="single"/>
          <w14:textFill>
            <w14:solidFill>
              <w14:schemeClr w14:val="tx1"/>
            </w14:solidFill>
          </w14:textFill>
        </w:rPr>
        <w:t xml:space="preserve">   （项目名称）采</w:t>
      </w:r>
      <w:r>
        <w:rPr>
          <w:rFonts w:hint="eastAsia" w:ascii="宋体" w:hAnsi="宋体" w:eastAsia="宋体" w:cs="宋体"/>
          <w:color w:val="000000" w:themeColor="text1"/>
          <w:szCs w:val="20"/>
          <w:highlight w:val="none"/>
          <w14:textFill>
            <w14:solidFill>
              <w14:schemeClr w14:val="tx1"/>
            </w14:solidFill>
          </w14:textFill>
        </w:rPr>
        <w:t>购活动，提供的货物全部由符合政策要求的中小企业制造。相关企业（含联合体中的中小企业、签订分包意向协议的中小企业）的具体情况如下：</w:t>
      </w:r>
    </w:p>
    <w:p w14:paraId="5BAC0EB2">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1</w:t>
      </w:r>
      <w:r>
        <w:rPr>
          <w:rFonts w:hint="eastAsia" w:ascii="宋体" w:hAnsi="宋体" w:eastAsia="宋体" w:cs="宋体"/>
          <w:color w:val="000000" w:themeColor="text1"/>
          <w:szCs w:val="20"/>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bidi="ar"/>
          <w14:textFill>
            <w14:solidFill>
              <w14:schemeClr w14:val="tx1"/>
            </w14:solidFill>
          </w14:textFill>
        </w:rPr>
        <w:t>（</w:t>
      </w:r>
      <w:r>
        <w:rPr>
          <w:rFonts w:hint="eastAsia" w:ascii="宋体" w:hAnsi="宋体" w:eastAsia="宋体" w:cs="宋体"/>
          <w:color w:val="000000" w:themeColor="text1"/>
          <w:szCs w:val="20"/>
          <w:highlight w:val="none"/>
          <w:u w:val="single"/>
          <w14:textFill>
            <w14:solidFill>
              <w14:schemeClr w14:val="tx1"/>
            </w14:solidFill>
          </w14:textFill>
        </w:rPr>
        <w:t>标的名称）</w:t>
      </w:r>
      <w:r>
        <w:rPr>
          <w:rFonts w:hint="eastAsia" w:ascii="宋体" w:hAnsi="宋体" w:eastAsia="宋体" w:cs="宋体"/>
          <w:color w:val="000000" w:themeColor="text1"/>
          <w:highlight w:val="none"/>
          <w:lang w:bidi="ar"/>
          <w14:textFill>
            <w14:solidFill>
              <w14:schemeClr w14:val="tx1"/>
            </w14:solidFill>
          </w14:textFill>
        </w:rPr>
        <w:t>，属于</w:t>
      </w:r>
      <w:r>
        <w:rPr>
          <w:rFonts w:hint="eastAsia" w:ascii="宋体" w:hAnsi="宋体" w:eastAsia="宋体" w:cs="宋体"/>
          <w:color w:val="000000" w:themeColor="text1"/>
          <w:szCs w:val="20"/>
          <w:highlight w:val="none"/>
          <w:u w:val="single"/>
          <w:lang w:val="en-US" w:eastAsia="zh-CN"/>
          <w14:textFill>
            <w14:solidFill>
              <w14:schemeClr w14:val="tx1"/>
            </w14:solidFill>
          </w14:textFill>
        </w:rPr>
        <w:t>其他未列明</w:t>
      </w:r>
      <w:r>
        <w:rPr>
          <w:rFonts w:hint="eastAsia" w:ascii="宋体" w:hAnsi="宋体" w:eastAsia="宋体" w:cs="宋体"/>
          <w:color w:val="000000" w:themeColor="text1"/>
          <w:highlight w:val="none"/>
          <w:lang w:bidi="ar"/>
          <w14:textFill>
            <w14:solidFill>
              <w14:schemeClr w14:val="tx1"/>
            </w14:solidFill>
          </w14:textFill>
        </w:rPr>
        <w:t>行业；</w:t>
      </w:r>
      <w:r>
        <w:rPr>
          <w:rFonts w:hint="eastAsia" w:ascii="宋体" w:hAnsi="宋体" w:eastAsia="宋体" w:cs="宋体"/>
          <w:color w:val="000000" w:themeColor="text1"/>
          <w:szCs w:val="20"/>
          <w:highlight w:val="none"/>
          <w14:textFill>
            <w14:solidFill>
              <w14:schemeClr w14:val="tx1"/>
            </w14:solidFill>
          </w14:textFill>
        </w:rPr>
        <w:t xml:space="preserve">制造商为 </w:t>
      </w:r>
      <w:r>
        <w:rPr>
          <w:rFonts w:hint="eastAsia" w:ascii="宋体" w:hAnsi="宋体" w:eastAsia="宋体" w:cs="宋体"/>
          <w:color w:val="000000" w:themeColor="text1"/>
          <w:szCs w:val="20"/>
          <w:highlight w:val="none"/>
          <w:u w:val="single"/>
          <w14:textFill>
            <w14:solidFill>
              <w14:schemeClr w14:val="tx1"/>
            </w14:solidFill>
          </w14:textFill>
        </w:rPr>
        <w:t xml:space="preserve">         （企业名称）</w:t>
      </w:r>
      <w:r>
        <w:rPr>
          <w:rFonts w:hint="eastAsia" w:ascii="宋体" w:hAnsi="宋体" w:eastAsia="宋体" w:cs="宋体"/>
          <w:color w:val="000000" w:themeColor="text1"/>
          <w:highlight w:val="none"/>
          <w:lang w:bidi="ar"/>
          <w14:textFill>
            <w14:solidFill>
              <w14:schemeClr w14:val="tx1"/>
            </w14:solidFill>
          </w14:textFill>
        </w:rPr>
        <w:t>，</w:t>
      </w:r>
      <w:r>
        <w:rPr>
          <w:rFonts w:hint="eastAsia" w:ascii="宋体" w:hAnsi="宋体" w:eastAsia="宋体" w:cs="宋体"/>
          <w:color w:val="000000" w:themeColor="text1"/>
          <w:szCs w:val="20"/>
          <w:highlight w:val="none"/>
          <w14:textFill>
            <w14:solidFill>
              <w14:schemeClr w14:val="tx1"/>
            </w14:solidFill>
          </w14:textFill>
        </w:rPr>
        <w:t>从业人员</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人，</w:t>
      </w:r>
      <w:r>
        <w:rPr>
          <w:rFonts w:hint="eastAsia" w:ascii="宋体" w:hAnsi="宋体" w:eastAsia="宋体" w:cs="宋体"/>
          <w:color w:val="000000" w:themeColor="text1"/>
          <w:szCs w:val="20"/>
          <w:highlight w:val="none"/>
          <w14:textFill>
            <w14:solidFill>
              <w14:schemeClr w14:val="tx1"/>
            </w14:solidFill>
          </w14:textFill>
        </w:rPr>
        <w:t>营业收入为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万元，</w:t>
      </w:r>
      <w:r>
        <w:rPr>
          <w:rFonts w:hint="eastAsia" w:ascii="宋体" w:hAnsi="宋体" w:eastAsia="宋体" w:cs="宋体"/>
          <w:color w:val="000000" w:themeColor="text1"/>
          <w:szCs w:val="20"/>
          <w:highlight w:val="none"/>
          <w14:textFill>
            <w14:solidFill>
              <w14:schemeClr w14:val="tx1"/>
            </w14:solidFill>
          </w14:textFill>
        </w:rPr>
        <w:t>资产总额为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万</w:t>
      </w:r>
      <w:r>
        <w:rPr>
          <w:rFonts w:hint="eastAsia" w:ascii="宋体" w:hAnsi="宋体" w:eastAsia="宋体" w:cs="宋体"/>
          <w:color w:val="000000" w:themeColor="text1"/>
          <w:szCs w:val="20"/>
          <w:highlight w:val="none"/>
          <w14:textFill>
            <w14:solidFill>
              <w14:schemeClr w14:val="tx1"/>
            </w14:solidFill>
          </w14:textFill>
        </w:rPr>
        <w:t>元，属于</w:t>
      </w:r>
      <w:r>
        <w:rPr>
          <w:rFonts w:hint="eastAsia" w:ascii="宋体" w:hAnsi="宋体" w:eastAsia="宋体" w:cs="宋体"/>
          <w:color w:val="000000" w:themeColor="text1"/>
          <w:szCs w:val="20"/>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highlight w:val="none"/>
          <w:lang w:bidi="ar"/>
          <w14:textFill>
            <w14:solidFill>
              <w14:schemeClr w14:val="tx1"/>
            </w14:solidFill>
          </w14:textFill>
        </w:rPr>
        <w:t>；</w:t>
      </w:r>
    </w:p>
    <w:p w14:paraId="112D7F89">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2</w:t>
      </w:r>
      <w:r>
        <w:rPr>
          <w:rFonts w:hint="eastAsia" w:ascii="宋体" w:hAnsi="宋体" w:eastAsia="宋体" w:cs="宋体"/>
          <w:color w:val="000000" w:themeColor="text1"/>
          <w:szCs w:val="20"/>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bidi="ar"/>
          <w14:textFill>
            <w14:solidFill>
              <w14:schemeClr w14:val="tx1"/>
            </w14:solidFill>
          </w14:textFill>
        </w:rPr>
        <w:t>（</w:t>
      </w:r>
      <w:r>
        <w:rPr>
          <w:rFonts w:hint="eastAsia" w:ascii="宋体" w:hAnsi="宋体" w:eastAsia="宋体" w:cs="宋体"/>
          <w:color w:val="000000" w:themeColor="text1"/>
          <w:szCs w:val="20"/>
          <w:highlight w:val="none"/>
          <w:u w:val="single"/>
          <w14:textFill>
            <w14:solidFill>
              <w14:schemeClr w14:val="tx1"/>
            </w14:solidFill>
          </w14:textFill>
        </w:rPr>
        <w:t>标的名称）</w:t>
      </w:r>
      <w:r>
        <w:rPr>
          <w:rFonts w:hint="eastAsia" w:ascii="宋体" w:hAnsi="宋体" w:eastAsia="宋体" w:cs="宋体"/>
          <w:color w:val="000000" w:themeColor="text1"/>
          <w:highlight w:val="none"/>
          <w:lang w:bidi="ar"/>
          <w14:textFill>
            <w14:solidFill>
              <w14:schemeClr w14:val="tx1"/>
            </w14:solidFill>
          </w14:textFill>
        </w:rPr>
        <w:t>，属于</w:t>
      </w:r>
      <w:r>
        <w:rPr>
          <w:rFonts w:hint="eastAsia" w:ascii="宋体" w:hAnsi="宋体" w:eastAsia="宋体" w:cs="宋体"/>
          <w:color w:val="000000" w:themeColor="text1"/>
          <w:szCs w:val="20"/>
          <w:highlight w:val="none"/>
          <w:u w:val="single"/>
          <w14:textFill>
            <w14:solidFill>
              <w14:schemeClr w14:val="tx1"/>
            </w14:solidFill>
          </w14:textFill>
        </w:rPr>
        <w:t xml:space="preserve">     （采购文件中明确的所属行业）</w:t>
      </w:r>
      <w:r>
        <w:rPr>
          <w:rFonts w:hint="eastAsia" w:ascii="宋体" w:hAnsi="宋体" w:eastAsia="宋体" w:cs="宋体"/>
          <w:color w:val="000000" w:themeColor="text1"/>
          <w:highlight w:val="none"/>
          <w:lang w:bidi="ar"/>
          <w14:textFill>
            <w14:solidFill>
              <w14:schemeClr w14:val="tx1"/>
            </w14:solidFill>
          </w14:textFill>
        </w:rPr>
        <w:t>行业；</w:t>
      </w:r>
      <w:r>
        <w:rPr>
          <w:rFonts w:hint="eastAsia" w:ascii="宋体" w:hAnsi="宋体" w:eastAsia="宋体" w:cs="宋体"/>
          <w:color w:val="000000" w:themeColor="text1"/>
          <w:szCs w:val="20"/>
          <w:highlight w:val="none"/>
          <w14:textFill>
            <w14:solidFill>
              <w14:schemeClr w14:val="tx1"/>
            </w14:solidFill>
          </w14:textFill>
        </w:rPr>
        <w:t xml:space="preserve">制造商为 </w:t>
      </w:r>
      <w:r>
        <w:rPr>
          <w:rFonts w:hint="eastAsia" w:ascii="宋体" w:hAnsi="宋体" w:eastAsia="宋体" w:cs="宋体"/>
          <w:color w:val="000000" w:themeColor="text1"/>
          <w:szCs w:val="20"/>
          <w:highlight w:val="none"/>
          <w:u w:val="single"/>
          <w14:textFill>
            <w14:solidFill>
              <w14:schemeClr w14:val="tx1"/>
            </w14:solidFill>
          </w14:textFill>
        </w:rPr>
        <w:t xml:space="preserve">         （企业名称）</w:t>
      </w:r>
      <w:r>
        <w:rPr>
          <w:rFonts w:hint="eastAsia" w:ascii="宋体" w:hAnsi="宋体" w:eastAsia="宋体" w:cs="宋体"/>
          <w:color w:val="000000" w:themeColor="text1"/>
          <w:highlight w:val="none"/>
          <w:lang w:bidi="ar"/>
          <w14:textFill>
            <w14:solidFill>
              <w14:schemeClr w14:val="tx1"/>
            </w14:solidFill>
          </w14:textFill>
        </w:rPr>
        <w:t>，</w:t>
      </w:r>
      <w:r>
        <w:rPr>
          <w:rFonts w:hint="eastAsia" w:ascii="宋体" w:hAnsi="宋体" w:eastAsia="宋体" w:cs="宋体"/>
          <w:color w:val="000000" w:themeColor="text1"/>
          <w:szCs w:val="20"/>
          <w:highlight w:val="none"/>
          <w14:textFill>
            <w14:solidFill>
              <w14:schemeClr w14:val="tx1"/>
            </w14:solidFill>
          </w14:textFill>
        </w:rPr>
        <w:t>从业人员</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人，</w:t>
      </w:r>
      <w:r>
        <w:rPr>
          <w:rFonts w:hint="eastAsia" w:ascii="宋体" w:hAnsi="宋体" w:eastAsia="宋体" w:cs="宋体"/>
          <w:color w:val="000000" w:themeColor="text1"/>
          <w:szCs w:val="20"/>
          <w:highlight w:val="none"/>
          <w14:textFill>
            <w14:solidFill>
              <w14:schemeClr w14:val="tx1"/>
            </w14:solidFill>
          </w14:textFill>
        </w:rPr>
        <w:t>营业收入为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万元，</w:t>
      </w:r>
      <w:r>
        <w:rPr>
          <w:rFonts w:hint="eastAsia" w:ascii="宋体" w:hAnsi="宋体" w:eastAsia="宋体" w:cs="宋体"/>
          <w:color w:val="000000" w:themeColor="text1"/>
          <w:szCs w:val="20"/>
          <w:highlight w:val="none"/>
          <w14:textFill>
            <w14:solidFill>
              <w14:schemeClr w14:val="tx1"/>
            </w14:solidFill>
          </w14:textFill>
        </w:rPr>
        <w:t>资产总额为</w:t>
      </w:r>
      <w:r>
        <w:rPr>
          <w:rFonts w:hint="eastAsia" w:ascii="宋体" w:hAnsi="宋体" w:eastAsia="宋体" w:cs="宋体"/>
          <w:color w:val="000000" w:themeColor="text1"/>
          <w:highlight w:val="none"/>
          <w:u w:val="single"/>
          <w:lang w:bidi="ar"/>
          <w14:textFill>
            <w14:solidFill>
              <w14:schemeClr w14:val="tx1"/>
            </w14:solidFill>
          </w14:textFill>
        </w:rPr>
        <w:t xml:space="preserve">   </w:t>
      </w:r>
      <w:r>
        <w:rPr>
          <w:rFonts w:hint="eastAsia" w:ascii="宋体" w:hAnsi="宋体" w:eastAsia="宋体" w:cs="宋体"/>
          <w:color w:val="000000" w:themeColor="text1"/>
          <w:highlight w:val="none"/>
          <w:lang w:bidi="ar"/>
          <w14:textFill>
            <w14:solidFill>
              <w14:schemeClr w14:val="tx1"/>
            </w14:solidFill>
          </w14:textFill>
        </w:rPr>
        <w:t>万</w:t>
      </w:r>
      <w:r>
        <w:rPr>
          <w:rFonts w:hint="eastAsia" w:ascii="宋体" w:hAnsi="宋体" w:eastAsia="宋体" w:cs="宋体"/>
          <w:color w:val="000000" w:themeColor="text1"/>
          <w:szCs w:val="20"/>
          <w:highlight w:val="none"/>
          <w14:textFill>
            <w14:solidFill>
              <w14:schemeClr w14:val="tx1"/>
            </w14:solidFill>
          </w14:textFill>
        </w:rPr>
        <w:t>元，属于</w:t>
      </w:r>
      <w:r>
        <w:rPr>
          <w:rFonts w:hint="eastAsia" w:ascii="宋体" w:hAnsi="宋体" w:eastAsia="宋体" w:cs="宋体"/>
          <w:color w:val="000000" w:themeColor="text1"/>
          <w:szCs w:val="20"/>
          <w:highlight w:val="none"/>
          <w:u w:val="single"/>
          <w14:textFill>
            <w14:solidFill>
              <w14:schemeClr w14:val="tx1"/>
            </w14:solidFill>
          </w14:textFill>
        </w:rPr>
        <w:t xml:space="preserve">     （中型企业、小型企业、微型企业）</w:t>
      </w:r>
      <w:r>
        <w:rPr>
          <w:rFonts w:hint="eastAsia" w:ascii="宋体" w:hAnsi="宋体" w:eastAsia="宋体" w:cs="宋体"/>
          <w:color w:val="000000" w:themeColor="text1"/>
          <w:highlight w:val="none"/>
          <w:lang w:bidi="ar"/>
          <w14:textFill>
            <w14:solidFill>
              <w14:schemeClr w14:val="tx1"/>
            </w14:solidFill>
          </w14:textFill>
        </w:rPr>
        <w:t>；</w:t>
      </w:r>
    </w:p>
    <w:p w14:paraId="31966E7A">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bidi="ar"/>
          <w14:textFill>
            <w14:solidFill>
              <w14:schemeClr w14:val="tx1"/>
            </w14:solidFill>
          </w14:textFill>
        </w:rPr>
        <w:t>……</w:t>
      </w:r>
    </w:p>
    <w:p w14:paraId="1EDF0B24">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以上企业，不属于大企业的分支机构，不存在控股股东为大企业的情形，也不存在与大企业的负责人为同一人的情形。</w:t>
      </w:r>
    </w:p>
    <w:p w14:paraId="43DA28AD">
      <w:pPr>
        <w:widowControl/>
        <w:shd w:val="clear" w:color="auto"/>
        <w:spacing w:before="100" w:beforeAutospacing="1" w:after="100" w:afterAutospacing="1" w:line="435" w:lineRule="exact"/>
        <w:ind w:firstLine="420"/>
        <w:jc w:val="left"/>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14:textFill>
            <w14:solidFill>
              <w14:schemeClr w14:val="tx1"/>
            </w14:solidFill>
          </w14:textFill>
        </w:rPr>
        <w:t>本企业对上述声明内容的真实性负责。如有虚假，将依法承担相应责任。</w:t>
      </w:r>
    </w:p>
    <w:p w14:paraId="6C6F3A0E">
      <w:pPr>
        <w:widowControl/>
        <w:shd w:val="clear" w:color="auto"/>
        <w:spacing w:before="100" w:beforeAutospacing="1" w:after="100" w:afterAutospacing="1" w:line="435" w:lineRule="exact"/>
        <w:ind w:firstLine="420"/>
        <w:jc w:val="center"/>
        <w:rPr>
          <w:rFonts w:hint="eastAsia" w:ascii="宋体" w:hAnsi="宋体" w:eastAsia="宋体" w:cs="宋体"/>
          <w:color w:val="000000" w:themeColor="text1"/>
          <w:szCs w:val="20"/>
          <w:highlight w:val="none"/>
          <w:lang w:val="en-US" w:eastAsia="zh-CN"/>
          <w14:textFill>
            <w14:solidFill>
              <w14:schemeClr w14:val="tx1"/>
            </w14:solidFill>
          </w14:textFill>
        </w:rPr>
      </w:pP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14:textFill>
            <w14:solidFill>
              <w14:schemeClr w14:val="tx1"/>
            </w14:solidFill>
          </w14:textFill>
        </w:rPr>
        <w:t>企业名称（</w:t>
      </w:r>
      <w:r>
        <w:rPr>
          <w:rFonts w:hint="eastAsia" w:ascii="宋体" w:hAnsi="宋体" w:eastAsia="宋体" w:cs="宋体"/>
          <w:color w:val="000000" w:themeColor="text1"/>
          <w:szCs w:val="20"/>
          <w:highlight w:val="none"/>
          <w:lang w:val="en-US" w:eastAsia="zh-CN"/>
          <w14:textFill>
            <w14:solidFill>
              <w14:schemeClr w14:val="tx1"/>
            </w14:solidFill>
          </w14:textFill>
        </w:rPr>
        <w:t>加盖公章</w:t>
      </w:r>
      <w:r>
        <w:rPr>
          <w:rFonts w:hint="eastAsia" w:ascii="宋体" w:hAnsi="宋体" w:eastAsia="宋体" w:cs="宋体"/>
          <w:color w:val="000000" w:themeColor="text1"/>
          <w:szCs w:val="20"/>
          <w:highlight w:val="none"/>
          <w14:textFill>
            <w14:solidFill>
              <w14:schemeClr w14:val="tx1"/>
            </w14:solidFill>
          </w14:textFill>
        </w:rPr>
        <w:t>）：</w:t>
      </w:r>
      <w:r>
        <w:rPr>
          <w:rFonts w:hint="eastAsia" w:ascii="宋体" w:hAnsi="宋体" w:eastAsia="宋体" w:cs="宋体"/>
          <w:color w:val="000000" w:themeColor="text1"/>
          <w:szCs w:val="20"/>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p>
    <w:p w14:paraId="2DF5BE66">
      <w:pPr>
        <w:widowControl/>
        <w:shd w:val="clear" w:color="auto"/>
        <w:spacing w:before="100" w:beforeAutospacing="1" w:after="100" w:afterAutospacing="1" w:line="435" w:lineRule="exact"/>
        <w:ind w:firstLine="420"/>
        <w:jc w:val="center"/>
        <w:rPr>
          <w:rFonts w:hint="eastAsia" w:ascii="宋体" w:hAnsi="宋体" w:eastAsia="宋体" w:cs="宋体"/>
          <w:color w:val="000000" w:themeColor="text1"/>
          <w:szCs w:val="20"/>
          <w:highlight w:val="none"/>
          <w14:textFill>
            <w14:solidFill>
              <w14:schemeClr w14:val="tx1"/>
            </w14:solidFill>
          </w14:textFill>
        </w:rPr>
      </w:pPr>
      <w:r>
        <w:rPr>
          <w:rFonts w:hint="eastAsia" w:ascii="宋体" w:hAnsi="宋体" w:eastAsia="宋体" w:cs="宋体"/>
          <w:color w:val="000000" w:themeColor="text1"/>
          <w:szCs w:val="20"/>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0"/>
          <w:highlight w:val="none"/>
          <w14:textFill>
            <w14:solidFill>
              <w14:schemeClr w14:val="tx1"/>
            </w14:solidFill>
          </w14:textFill>
        </w:rPr>
        <w:t>日 期：</w:t>
      </w:r>
    </w:p>
    <w:p w14:paraId="1DFE6D1D">
      <w:pPr>
        <w:shd w:val="clear" w:color="auto"/>
        <w:spacing w:line="420" w:lineRule="auto"/>
        <w:ind w:firstLine="422"/>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vertAlign w:val="superscript"/>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从业人员、营业收入、资产总额填报上一年度数据，无上一年度数据的新成立企业可不填报。</w:t>
      </w:r>
    </w:p>
    <w:p w14:paraId="6F0A42B7">
      <w:pPr>
        <w:shd w:val="clear" w:color="auto"/>
        <w:ind w:firstLine="422"/>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备注：</w:t>
      </w:r>
    </w:p>
    <w:p w14:paraId="4323942A">
      <w:pPr>
        <w:autoSpaceDE w:val="0"/>
        <w:autoSpaceDN w:val="0"/>
        <w:adjustRightInd w:val="0"/>
        <w:spacing w:line="600" w:lineRule="exact"/>
        <w:rPr>
          <w:rFonts w:ascii="宋体" w:hAnsi="宋体" w:cs="宋体"/>
          <w:color w:val="000000" w:themeColor="text1"/>
          <w:sz w:val="24"/>
          <w:szCs w:val="21"/>
          <w:highlight w:val="none"/>
          <w:lang w:val="zh-CN"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如供应商所投货物的制造商均为中小企业的，须由供应商在响应文件中提供加盖本单位公章的</w:t>
      </w:r>
      <w:r>
        <w:rPr>
          <w:rFonts w:hint="eastAsia" w:ascii="宋体" w:hAnsi="宋体" w:eastAsia="宋体" w:cs="宋体"/>
          <w:b/>
          <w:color w:val="000000" w:themeColor="text1"/>
          <w:sz w:val="21"/>
          <w:szCs w:val="21"/>
          <w:highlight w:val="none"/>
          <w14:textFill>
            <w14:solidFill>
              <w14:schemeClr w14:val="tx1"/>
            </w14:solidFill>
          </w14:textFill>
        </w:rPr>
        <w:t>声明</w:t>
      </w:r>
      <w:r>
        <w:rPr>
          <w:rFonts w:hint="eastAsia" w:ascii="宋体" w:hAnsi="宋体" w:eastAsia="宋体" w:cs="宋体"/>
          <w:b/>
          <w:bCs/>
          <w:color w:val="000000" w:themeColor="text1"/>
          <w:sz w:val="21"/>
          <w:szCs w:val="21"/>
          <w:highlight w:val="none"/>
          <w14:textFill>
            <w14:solidFill>
              <w14:schemeClr w14:val="tx1"/>
            </w14:solidFill>
          </w14:textFill>
        </w:rPr>
        <w:t>函，供应商应从制造商处获得充分、准确的信息，并对其出具的《中小企业声明函》真实性负责。</w:t>
      </w:r>
    </w:p>
    <w:p w14:paraId="6ABD06BA">
      <w:pPr>
        <w:outlineLvl w:val="1"/>
        <w:rPr>
          <w:rFonts w:hint="eastAsia" w:ascii="宋体" w:hAnsi="宋体"/>
          <w:b/>
          <w:color w:val="000000" w:themeColor="text1"/>
          <w:sz w:val="24"/>
          <w:szCs w:val="21"/>
          <w:highlight w:val="none"/>
          <w:lang w:eastAsia="zh-CN"/>
          <w14:textFill>
            <w14:solidFill>
              <w14:schemeClr w14:val="tx1"/>
            </w14:solidFill>
          </w14:textFill>
        </w:rPr>
      </w:pPr>
      <w:bookmarkStart w:id="190" w:name="_Toc175663961"/>
      <w:bookmarkStart w:id="191" w:name="_Toc30604"/>
      <w:bookmarkStart w:id="192" w:name="_Toc16865"/>
      <w:bookmarkStart w:id="193" w:name="_Toc5281"/>
    </w:p>
    <w:p w14:paraId="2FFF7DD3">
      <w:pPr>
        <w:outlineLvl w:val="1"/>
        <w:rPr>
          <w:rFonts w:hint="eastAsia" w:ascii="宋体" w:hAnsi="宋体"/>
          <w:b/>
          <w:color w:val="000000" w:themeColor="text1"/>
          <w:sz w:val="24"/>
          <w:szCs w:val="21"/>
          <w:highlight w:val="none"/>
          <w:lang w:eastAsia="zh-CN"/>
          <w14:textFill>
            <w14:solidFill>
              <w14:schemeClr w14:val="tx1"/>
            </w14:solidFill>
          </w14:textFill>
        </w:rPr>
      </w:pPr>
    </w:p>
    <w:p w14:paraId="3DED2647">
      <w:pPr>
        <w:outlineLvl w:val="1"/>
        <w:rPr>
          <w:rFonts w:hint="eastAsia" w:ascii="宋体" w:hAnsi="宋体"/>
          <w:b/>
          <w:color w:val="000000" w:themeColor="text1"/>
          <w:sz w:val="24"/>
          <w:szCs w:val="21"/>
          <w:highlight w:val="none"/>
          <w:lang w:eastAsia="zh-CN"/>
          <w14:textFill>
            <w14:solidFill>
              <w14:schemeClr w14:val="tx1"/>
            </w14:solidFill>
          </w14:textFill>
        </w:rPr>
      </w:pPr>
    </w:p>
    <w:p w14:paraId="23E3FD65">
      <w:pPr>
        <w:outlineLvl w:val="1"/>
        <w:rPr>
          <w:rFonts w:hint="eastAsia" w:ascii="宋体" w:hAnsi="宋体"/>
          <w:b/>
          <w:color w:val="000000" w:themeColor="text1"/>
          <w:sz w:val="24"/>
          <w:szCs w:val="21"/>
          <w:highlight w:val="none"/>
          <w:lang w:eastAsia="zh-CN"/>
          <w14:textFill>
            <w14:solidFill>
              <w14:schemeClr w14:val="tx1"/>
            </w14:solidFill>
          </w14:textFill>
        </w:rPr>
      </w:pPr>
    </w:p>
    <w:p w14:paraId="004BFC54">
      <w:pPr>
        <w:rPr>
          <w:rFonts w:hint="eastAsia"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br w:type="page"/>
      </w:r>
    </w:p>
    <w:p w14:paraId="6E2C1E2B">
      <w:pPr>
        <w:outlineLvl w:val="1"/>
        <w:rPr>
          <w:rFonts w:ascii="宋体" w:hAnsi="宋体"/>
          <w:b/>
          <w:color w:val="000000" w:themeColor="text1"/>
          <w:sz w:val="24"/>
          <w:szCs w:val="21"/>
          <w:highlight w:val="none"/>
          <w:lang w:eastAsia="zh-CN"/>
          <w14:textFill>
            <w14:solidFill>
              <w14:schemeClr w14:val="tx1"/>
            </w14:solidFill>
          </w14:textFill>
        </w:rPr>
      </w:pPr>
      <w:r>
        <w:rPr>
          <w:rFonts w:hint="eastAsia" w:ascii="宋体" w:hAnsi="宋体"/>
          <w:b/>
          <w:color w:val="000000" w:themeColor="text1"/>
          <w:sz w:val="24"/>
          <w:szCs w:val="21"/>
          <w:highlight w:val="none"/>
          <w:lang w:eastAsia="zh-CN"/>
          <w14:textFill>
            <w14:solidFill>
              <w14:schemeClr w14:val="tx1"/>
            </w14:solidFill>
          </w14:textFill>
        </w:rPr>
        <w:t>十</w:t>
      </w:r>
      <w:r>
        <w:rPr>
          <w:rFonts w:hint="eastAsia" w:ascii="宋体" w:hAnsi="宋体"/>
          <w:b/>
          <w:color w:val="000000" w:themeColor="text1"/>
          <w:sz w:val="24"/>
          <w:szCs w:val="21"/>
          <w:highlight w:val="none"/>
          <w:lang w:val="en-US" w:eastAsia="zh-CN"/>
          <w14:textFill>
            <w14:solidFill>
              <w14:schemeClr w14:val="tx1"/>
            </w14:solidFill>
          </w14:textFill>
        </w:rPr>
        <w:t>一</w:t>
      </w:r>
      <w:r>
        <w:rPr>
          <w:rFonts w:hint="eastAsia" w:ascii="宋体" w:hAnsi="宋体"/>
          <w:b/>
          <w:color w:val="000000" w:themeColor="text1"/>
          <w:sz w:val="24"/>
          <w:szCs w:val="21"/>
          <w:highlight w:val="none"/>
          <w:lang w:eastAsia="zh-CN"/>
          <w14:textFill>
            <w14:solidFill>
              <w14:schemeClr w14:val="tx1"/>
            </w14:solidFill>
          </w14:textFill>
        </w:rPr>
        <w:t>、残疾人福利性单位声明函</w:t>
      </w:r>
      <w:bookmarkEnd w:id="190"/>
      <w:bookmarkEnd w:id="191"/>
      <w:bookmarkEnd w:id="192"/>
      <w:bookmarkEnd w:id="193"/>
    </w:p>
    <w:p w14:paraId="55A1494A">
      <w:pPr>
        <w:widowControl/>
        <w:ind w:firstLine="723" w:firstLineChars="200"/>
        <w:jc w:val="center"/>
        <w:rPr>
          <w:color w:val="000000" w:themeColor="text1"/>
          <w:sz w:val="24"/>
          <w:highlight w:val="none"/>
          <w:lang w:eastAsia="zh-CN"/>
          <w14:textFill>
            <w14:solidFill>
              <w14:schemeClr w14:val="tx1"/>
            </w14:solidFill>
          </w14:textFill>
        </w:rPr>
      </w:pPr>
      <w:r>
        <w:rPr>
          <w:rFonts w:eastAsia="黑体"/>
          <w:b/>
          <w:bCs/>
          <w:color w:val="000000" w:themeColor="text1"/>
          <w:sz w:val="36"/>
          <w:szCs w:val="28"/>
          <w:highlight w:val="none"/>
          <w:lang w:eastAsia="zh-CN"/>
          <w14:textFill>
            <w14:solidFill>
              <w14:schemeClr w14:val="tx1"/>
            </w14:solidFill>
          </w14:textFill>
        </w:rPr>
        <w:t>残疾人福利性单位声明函</w:t>
      </w:r>
    </w:p>
    <w:p w14:paraId="350DBDA4">
      <w:pPr>
        <w:spacing w:line="500" w:lineRule="exact"/>
        <w:ind w:firstLine="504" w:firstLineChars="200"/>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本单位郑重声明，根据《财政部民政部中国残疾人联合会关于促进残疾人就业政府采购政策的通知》（财库〔2017〕 141号）的规定，本单位为</w:t>
      </w:r>
      <w:r>
        <w:rPr>
          <w:rFonts w:hint="eastAsia"/>
          <w:color w:val="000000" w:themeColor="text1"/>
          <w:spacing w:val="6"/>
          <w:sz w:val="24"/>
          <w:szCs w:val="21"/>
          <w:highlight w:val="none"/>
          <w:u w:val="single"/>
          <w:lang w:val="zh-CN" w:eastAsia="zh-CN"/>
          <w14:textFill>
            <w14:solidFill>
              <w14:schemeClr w14:val="tx1"/>
            </w14:solidFill>
          </w14:textFill>
        </w:rPr>
        <w:t xml:space="preserve">        </w:t>
      </w:r>
      <w:r>
        <w:rPr>
          <w:rFonts w:hint="eastAsia"/>
          <w:color w:val="000000" w:themeColor="text1"/>
          <w:spacing w:val="6"/>
          <w:sz w:val="24"/>
          <w:szCs w:val="21"/>
          <w:highlight w:val="none"/>
          <w:lang w:val="zh-CN" w:eastAsia="zh-CN"/>
          <w14:textFill>
            <w14:solidFill>
              <w14:schemeClr w14:val="tx1"/>
            </w14:solidFill>
          </w14:textFill>
        </w:rPr>
        <w:t>（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79ECD1D">
      <w:pPr>
        <w:spacing w:line="500" w:lineRule="exact"/>
        <w:ind w:firstLine="504" w:firstLineChars="200"/>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本单位对上述声明的真实性负责。如有虚假，将依法承担相应责任。</w:t>
      </w:r>
    </w:p>
    <w:p w14:paraId="4DFE2772">
      <w:pPr>
        <w:autoSpaceDE w:val="0"/>
        <w:autoSpaceDN w:val="0"/>
        <w:adjustRightInd w:val="0"/>
        <w:spacing w:line="600" w:lineRule="exact"/>
        <w:rPr>
          <w:color w:val="000000" w:themeColor="text1"/>
          <w:sz w:val="24"/>
          <w:szCs w:val="21"/>
          <w:highlight w:val="none"/>
          <w:lang w:val="zh-CN" w:eastAsia="zh-CN"/>
          <w14:textFill>
            <w14:solidFill>
              <w14:schemeClr w14:val="tx1"/>
            </w14:solidFill>
          </w14:textFill>
        </w:rPr>
      </w:pPr>
    </w:p>
    <w:p w14:paraId="107A14EF">
      <w:pPr>
        <w:autoSpaceDE w:val="0"/>
        <w:autoSpaceDN w:val="0"/>
        <w:adjustRightInd w:val="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供应商</w:t>
      </w:r>
      <w:r>
        <w:rPr>
          <w:color w:val="000000" w:themeColor="text1"/>
          <w:sz w:val="24"/>
          <w:szCs w:val="21"/>
          <w:highlight w:val="none"/>
          <w:lang w:eastAsia="zh-CN"/>
          <w14:textFill>
            <w14:solidFill>
              <w14:schemeClr w14:val="tx1"/>
            </w14:solidFill>
          </w14:textFill>
        </w:rPr>
        <w:t xml:space="preserve">（盖章）：            </w:t>
      </w:r>
    </w:p>
    <w:p w14:paraId="56457FBD">
      <w:pPr>
        <w:autoSpaceDE w:val="0"/>
        <w:autoSpaceDN w:val="0"/>
        <w:adjustRightInd w:val="0"/>
        <w:spacing w:line="600" w:lineRule="exact"/>
        <w:rPr>
          <w:color w:val="000000" w:themeColor="text1"/>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141C24D3">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bookmarkStart w:id="194" w:name="_Toc5074"/>
      <w:bookmarkStart w:id="195" w:name="_Toc27059"/>
      <w:bookmarkStart w:id="196" w:name="_Toc24113"/>
    </w:p>
    <w:p w14:paraId="5600AE24">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490907C6">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23B077F8">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6CD6E9EE">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115D7CB7">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BAAEB33">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1E4FAFE3">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2642C3B9">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458227F5">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3699E4D6">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4AF2ABB">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6F05333D">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7E592A5">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4E0EA124">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204F0E91">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5CA0E630">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0CBCB69">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p>
    <w:p w14:paraId="7659B3FB">
      <w:pPr>
        <w:widowControl/>
        <w:adjustRightInd w:val="0"/>
        <w:spacing w:line="360" w:lineRule="auto"/>
        <w:outlineLvl w:val="1"/>
        <w:rPr>
          <w:rFonts w:ascii="宋体" w:hAnsi="宋体"/>
          <w:b/>
          <w:color w:val="000000" w:themeColor="text1"/>
          <w:sz w:val="24"/>
          <w:szCs w:val="21"/>
          <w:highlight w:val="none"/>
          <w:lang w:eastAsia="zh-CN"/>
          <w14:textFill>
            <w14:solidFill>
              <w14:schemeClr w14:val="tx1"/>
            </w14:solidFill>
          </w14:textFill>
        </w:rPr>
      </w:pPr>
      <w:bookmarkStart w:id="197" w:name="_Toc175663962"/>
      <w:r>
        <w:rPr>
          <w:rFonts w:hint="eastAsia" w:ascii="宋体" w:hAnsi="宋体"/>
          <w:b/>
          <w:color w:val="000000" w:themeColor="text1"/>
          <w:sz w:val="24"/>
          <w:szCs w:val="21"/>
          <w:highlight w:val="none"/>
          <w:lang w:eastAsia="zh-CN"/>
          <w14:textFill>
            <w14:solidFill>
              <w14:schemeClr w14:val="tx1"/>
            </w14:solidFill>
          </w14:textFill>
        </w:rPr>
        <w:t>十</w:t>
      </w:r>
      <w:r>
        <w:rPr>
          <w:rFonts w:hint="eastAsia" w:ascii="宋体" w:hAnsi="宋体"/>
          <w:b/>
          <w:color w:val="000000" w:themeColor="text1"/>
          <w:sz w:val="24"/>
          <w:szCs w:val="21"/>
          <w:highlight w:val="none"/>
          <w:lang w:val="en-US" w:eastAsia="zh-CN"/>
          <w14:textFill>
            <w14:solidFill>
              <w14:schemeClr w14:val="tx1"/>
            </w14:solidFill>
          </w14:textFill>
        </w:rPr>
        <w:t>二</w:t>
      </w:r>
      <w:r>
        <w:rPr>
          <w:rFonts w:hint="eastAsia" w:ascii="宋体" w:hAnsi="宋体"/>
          <w:b/>
          <w:color w:val="000000" w:themeColor="text1"/>
          <w:sz w:val="24"/>
          <w:szCs w:val="21"/>
          <w:highlight w:val="none"/>
          <w:lang w:eastAsia="zh-CN"/>
          <w14:textFill>
            <w14:solidFill>
              <w14:schemeClr w14:val="tx1"/>
            </w14:solidFill>
          </w14:textFill>
        </w:rPr>
        <w:t>：技术条款偏离表格式</w:t>
      </w:r>
      <w:bookmarkEnd w:id="197"/>
    </w:p>
    <w:p w14:paraId="6DD4A700">
      <w:pPr>
        <w:widowControl/>
        <w:adjustRightInd w:val="0"/>
        <w:ind w:firstLine="723" w:firstLineChars="200"/>
        <w:jc w:val="center"/>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技术条款偏离表</w:t>
      </w:r>
    </w:p>
    <w:tbl>
      <w:tblPr>
        <w:tblStyle w:val="51"/>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65"/>
        <w:gridCol w:w="2338"/>
        <w:gridCol w:w="2693"/>
        <w:gridCol w:w="2410"/>
        <w:gridCol w:w="1229"/>
      </w:tblGrid>
      <w:tr w14:paraId="4507D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47" w:hRule="atLeast"/>
          <w:jc w:val="center"/>
        </w:trPr>
        <w:tc>
          <w:tcPr>
            <w:tcW w:w="9435" w:type="dxa"/>
            <w:gridSpan w:val="5"/>
            <w:tcBorders>
              <w:top w:val="nil"/>
              <w:left w:val="nil"/>
              <w:bottom w:val="single" w:color="auto" w:sz="4" w:space="0"/>
              <w:right w:val="nil"/>
            </w:tcBorders>
            <w:noWrap/>
            <w:vAlign w:val="center"/>
          </w:tcPr>
          <w:p w14:paraId="198CCE04">
            <w:pPr>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项目编号：</w:t>
            </w:r>
            <w:r>
              <w:rPr>
                <w:rFonts w:hint="eastAsia" w:ascii="宋体" w:hAnsi="宋体"/>
                <w:bCs/>
                <w:color w:val="000000" w:themeColor="text1"/>
                <w:sz w:val="24"/>
                <w:szCs w:val="21"/>
                <w:highlight w:val="none"/>
                <w:lang w:eastAsia="zh-CN"/>
                <w14:textFill>
                  <w14:solidFill>
                    <w14:schemeClr w14:val="tx1"/>
                  </w14:solidFill>
                </w14:textFill>
              </w:rPr>
              <w:t>JSZC-320115-NJMT-C2026-0012</w:t>
            </w:r>
          </w:p>
          <w:p w14:paraId="2D85E7D5">
            <w:pPr>
              <w:autoSpaceDE w:val="0"/>
              <w:autoSpaceDN w:val="0"/>
              <w:adjustRightInd w:val="0"/>
              <w:spacing w:line="360" w:lineRule="auto"/>
              <w:rPr>
                <w:rFonts w:ascii="宋体" w:hAnsi="宋体"/>
                <w:bCs/>
                <w:color w:val="000000" w:themeColor="text1"/>
                <w:sz w:val="24"/>
                <w:szCs w:val="21"/>
                <w:highlight w:val="none"/>
                <w:lang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项目名称：</w:t>
            </w:r>
            <w:r>
              <w:rPr>
                <w:rFonts w:hint="eastAsia" w:ascii="宋体" w:hAnsi="宋体" w:eastAsia="宋体" w:cs="宋体"/>
                <w:bCs/>
                <w:color w:val="000000" w:themeColor="text1"/>
                <w:sz w:val="24"/>
                <w:szCs w:val="21"/>
                <w:highlight w:val="none"/>
                <w:u w:val="single"/>
                <w:lang w:eastAsia="zh-CN"/>
                <w14:textFill>
                  <w14:solidFill>
                    <w14:schemeClr w14:val="tx1"/>
                  </w14:solidFill>
                </w14:textFill>
              </w:rPr>
              <w:t>新济洲2025年度公益林生态效益补偿项目</w:t>
            </w:r>
          </w:p>
        </w:tc>
      </w:tr>
      <w:tr w14:paraId="2243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tcBorders>
              <w:top w:val="single" w:color="auto" w:sz="4" w:space="0"/>
            </w:tcBorders>
            <w:noWrap/>
            <w:vAlign w:val="center"/>
          </w:tcPr>
          <w:p w14:paraId="17D51A95">
            <w:pPr>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序号</w:t>
            </w:r>
          </w:p>
        </w:tc>
        <w:tc>
          <w:tcPr>
            <w:tcW w:w="2338" w:type="dxa"/>
            <w:tcBorders>
              <w:top w:val="single" w:color="auto" w:sz="4" w:space="0"/>
            </w:tcBorders>
            <w:noWrap/>
            <w:vAlign w:val="center"/>
          </w:tcPr>
          <w:p w14:paraId="48D147D2">
            <w:pPr>
              <w:widowControl/>
              <w:adjustRightInd w:val="0"/>
              <w:spacing w:line="360" w:lineRule="auto"/>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采购文件的技术条款</w:t>
            </w:r>
          </w:p>
        </w:tc>
        <w:tc>
          <w:tcPr>
            <w:tcW w:w="2693" w:type="dxa"/>
            <w:tcBorders>
              <w:top w:val="single" w:color="auto" w:sz="4" w:space="0"/>
            </w:tcBorders>
            <w:noWrap/>
            <w:vAlign w:val="center"/>
          </w:tcPr>
          <w:p w14:paraId="77FAFF47">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响应文件中响应条款</w:t>
            </w:r>
          </w:p>
        </w:tc>
        <w:tc>
          <w:tcPr>
            <w:tcW w:w="2410" w:type="dxa"/>
            <w:tcBorders>
              <w:top w:val="single" w:color="auto" w:sz="4" w:space="0"/>
            </w:tcBorders>
            <w:noWrap/>
            <w:vAlign w:val="center"/>
          </w:tcPr>
          <w:p w14:paraId="77A39772">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符合/正偏离/负偏离</w:t>
            </w:r>
          </w:p>
        </w:tc>
        <w:tc>
          <w:tcPr>
            <w:tcW w:w="1229" w:type="dxa"/>
            <w:tcBorders>
              <w:top w:val="single" w:color="auto" w:sz="4" w:space="0"/>
            </w:tcBorders>
            <w:noWrap/>
            <w:vAlign w:val="center"/>
          </w:tcPr>
          <w:p w14:paraId="71BC1FB6">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备注</w:t>
            </w:r>
          </w:p>
        </w:tc>
      </w:tr>
      <w:tr w14:paraId="2E98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noWrap/>
            <w:vAlign w:val="center"/>
          </w:tcPr>
          <w:p w14:paraId="13B9E547">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1</w:t>
            </w:r>
          </w:p>
        </w:tc>
        <w:tc>
          <w:tcPr>
            <w:tcW w:w="2338" w:type="dxa"/>
            <w:noWrap/>
            <w:vAlign w:val="center"/>
          </w:tcPr>
          <w:p w14:paraId="026C0871">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693" w:type="dxa"/>
            <w:noWrap/>
            <w:vAlign w:val="center"/>
          </w:tcPr>
          <w:p w14:paraId="5EA73479">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410" w:type="dxa"/>
            <w:noWrap/>
            <w:vAlign w:val="center"/>
          </w:tcPr>
          <w:p w14:paraId="086FB448">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1229" w:type="dxa"/>
            <w:noWrap/>
            <w:vAlign w:val="center"/>
          </w:tcPr>
          <w:p w14:paraId="4C60F747">
            <w:pPr>
              <w:ind w:firstLine="424" w:firstLineChars="200"/>
              <w:jc w:val="center"/>
              <w:rPr>
                <w:color w:val="000000" w:themeColor="text1"/>
                <w:spacing w:val="6"/>
                <w:sz w:val="20"/>
                <w:szCs w:val="20"/>
                <w:highlight w:val="none"/>
                <w:lang w:val="zh-CN"/>
                <w14:textFill>
                  <w14:solidFill>
                    <w14:schemeClr w14:val="tx1"/>
                  </w14:solidFill>
                </w14:textFill>
              </w:rPr>
            </w:pPr>
          </w:p>
        </w:tc>
      </w:tr>
      <w:tr w14:paraId="7863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65" w:type="dxa"/>
            <w:noWrap/>
            <w:vAlign w:val="center"/>
          </w:tcPr>
          <w:p w14:paraId="6679BD33">
            <w:pPr>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2</w:t>
            </w:r>
          </w:p>
        </w:tc>
        <w:tc>
          <w:tcPr>
            <w:tcW w:w="2338" w:type="dxa"/>
            <w:noWrap/>
            <w:vAlign w:val="center"/>
          </w:tcPr>
          <w:p w14:paraId="6405DE18">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693" w:type="dxa"/>
            <w:noWrap/>
            <w:vAlign w:val="center"/>
          </w:tcPr>
          <w:p w14:paraId="1AE4617D">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2410" w:type="dxa"/>
            <w:noWrap/>
            <w:vAlign w:val="center"/>
          </w:tcPr>
          <w:p w14:paraId="16483A64">
            <w:pPr>
              <w:ind w:firstLine="424" w:firstLineChars="200"/>
              <w:jc w:val="center"/>
              <w:rPr>
                <w:color w:val="000000" w:themeColor="text1"/>
                <w:spacing w:val="6"/>
                <w:sz w:val="20"/>
                <w:szCs w:val="20"/>
                <w:highlight w:val="none"/>
                <w:lang w:val="zh-CN"/>
                <w14:textFill>
                  <w14:solidFill>
                    <w14:schemeClr w14:val="tx1"/>
                  </w14:solidFill>
                </w14:textFill>
              </w:rPr>
            </w:pPr>
          </w:p>
        </w:tc>
        <w:tc>
          <w:tcPr>
            <w:tcW w:w="1229" w:type="dxa"/>
            <w:noWrap/>
            <w:vAlign w:val="center"/>
          </w:tcPr>
          <w:p w14:paraId="74A2C76A">
            <w:pPr>
              <w:ind w:firstLine="424" w:firstLineChars="200"/>
              <w:jc w:val="center"/>
              <w:rPr>
                <w:color w:val="000000" w:themeColor="text1"/>
                <w:spacing w:val="6"/>
                <w:sz w:val="20"/>
                <w:szCs w:val="20"/>
                <w:highlight w:val="none"/>
                <w:lang w:val="zh-CN"/>
                <w14:textFill>
                  <w14:solidFill>
                    <w14:schemeClr w14:val="tx1"/>
                  </w14:solidFill>
                </w14:textFill>
              </w:rPr>
            </w:pPr>
          </w:p>
        </w:tc>
      </w:tr>
      <w:tr w14:paraId="290BD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5" w:hRule="atLeast"/>
          <w:jc w:val="center"/>
        </w:trPr>
        <w:tc>
          <w:tcPr>
            <w:tcW w:w="765" w:type="dxa"/>
            <w:noWrap/>
            <w:vAlign w:val="center"/>
          </w:tcPr>
          <w:p w14:paraId="11ACE033">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3</w:t>
            </w:r>
          </w:p>
        </w:tc>
        <w:tc>
          <w:tcPr>
            <w:tcW w:w="2338" w:type="dxa"/>
            <w:noWrap/>
            <w:vAlign w:val="center"/>
          </w:tcPr>
          <w:p w14:paraId="39286C92">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693" w:type="dxa"/>
            <w:noWrap/>
            <w:vAlign w:val="center"/>
          </w:tcPr>
          <w:p w14:paraId="5508729C">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410" w:type="dxa"/>
            <w:noWrap/>
            <w:vAlign w:val="center"/>
          </w:tcPr>
          <w:p w14:paraId="661BAE1C">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1229" w:type="dxa"/>
            <w:noWrap/>
            <w:vAlign w:val="center"/>
          </w:tcPr>
          <w:p w14:paraId="08A9194F">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r>
      <w:tr w14:paraId="51AB4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3" w:hRule="atLeast"/>
          <w:jc w:val="center"/>
        </w:trPr>
        <w:tc>
          <w:tcPr>
            <w:tcW w:w="765" w:type="dxa"/>
            <w:noWrap/>
            <w:vAlign w:val="center"/>
          </w:tcPr>
          <w:p w14:paraId="1C6358A5">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4</w:t>
            </w:r>
          </w:p>
        </w:tc>
        <w:tc>
          <w:tcPr>
            <w:tcW w:w="2338" w:type="dxa"/>
            <w:noWrap/>
            <w:vAlign w:val="center"/>
          </w:tcPr>
          <w:p w14:paraId="64477029">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693" w:type="dxa"/>
            <w:noWrap/>
            <w:vAlign w:val="center"/>
          </w:tcPr>
          <w:p w14:paraId="7D05E8B1">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2410" w:type="dxa"/>
            <w:noWrap/>
            <w:vAlign w:val="center"/>
          </w:tcPr>
          <w:p w14:paraId="6A61CF44">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c>
          <w:tcPr>
            <w:tcW w:w="1229" w:type="dxa"/>
            <w:noWrap/>
            <w:vAlign w:val="center"/>
          </w:tcPr>
          <w:p w14:paraId="2FDA5DD2">
            <w:pPr>
              <w:autoSpaceDE w:val="0"/>
              <w:autoSpaceDN w:val="0"/>
              <w:adjustRightInd w:val="0"/>
              <w:spacing w:line="360" w:lineRule="auto"/>
              <w:jc w:val="center"/>
              <w:rPr>
                <w:rFonts w:ascii="宋体" w:hAnsi="宋体" w:cs="宋体"/>
                <w:b/>
                <w:bCs/>
                <w:color w:val="000000" w:themeColor="text1"/>
                <w:szCs w:val="21"/>
                <w:highlight w:val="none"/>
                <w:lang w:val="zh-CN"/>
                <w14:textFill>
                  <w14:solidFill>
                    <w14:schemeClr w14:val="tx1"/>
                  </w14:solidFill>
                </w14:textFill>
              </w:rPr>
            </w:pPr>
          </w:p>
        </w:tc>
      </w:tr>
    </w:tbl>
    <w:p w14:paraId="2D3AC751">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 xml:space="preserve"> 我方承诺，除上表所列内容外，我方完全响应本次招标文件技术条款要求。</w:t>
      </w:r>
    </w:p>
    <w:p w14:paraId="068818EA">
      <w:pPr>
        <w:spacing w:line="360" w:lineRule="auto"/>
        <w:rPr>
          <w:color w:val="000000" w:themeColor="text1"/>
          <w:spacing w:val="6"/>
          <w:sz w:val="24"/>
          <w:szCs w:val="21"/>
          <w:highlight w:val="none"/>
          <w:lang w:val="zh-CN" w:eastAsia="zh-CN"/>
          <w14:textFill>
            <w14:solidFill>
              <w14:schemeClr w14:val="tx1"/>
            </w14:solidFill>
          </w14:textFill>
        </w:rPr>
      </w:pPr>
    </w:p>
    <w:p w14:paraId="3BE6A86B">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供应商名称：（盖章）</w:t>
      </w:r>
    </w:p>
    <w:p w14:paraId="21FE79BC">
      <w:pPr>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565A20AA">
      <w:pPr>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说明：如果行数不够，请自行增加。</w:t>
      </w:r>
      <w:bookmarkStart w:id="198" w:name="_Toc23139"/>
      <w:bookmarkStart w:id="199" w:name="_Toc11155"/>
      <w:bookmarkStart w:id="200" w:name="_Toc26433"/>
    </w:p>
    <w:p w14:paraId="0B691174">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2A26D66">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7529BD38">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68E90E7B">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6A93D091">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27DAC1AD">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6F31B6EE">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436A63D0">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05BBB707">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39ADB60C">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06E74DC4">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533BC2F">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0400BF67">
      <w:pPr>
        <w:widowControl/>
        <w:adjustRightInd w:val="0"/>
        <w:spacing w:line="360" w:lineRule="auto"/>
        <w:outlineLvl w:val="1"/>
        <w:rPr>
          <w:rFonts w:ascii="宋体" w:cs="宋体" w:eastAsiaTheme="minorEastAsia"/>
          <w:b/>
          <w:color w:val="000000" w:themeColor="text1"/>
          <w:szCs w:val="21"/>
          <w:highlight w:val="none"/>
          <w:lang w:val="zh-CN" w:eastAsia="zh-CN"/>
          <w14:textFill>
            <w14:solidFill>
              <w14:schemeClr w14:val="tx1"/>
            </w14:solidFill>
          </w14:textFill>
        </w:rPr>
      </w:pPr>
    </w:p>
    <w:p w14:paraId="3A3CE811">
      <w:pPr>
        <w:pStyle w:val="67"/>
        <w:rPr>
          <w:rFonts w:eastAsiaTheme="minorEastAsia"/>
          <w:color w:val="000000" w:themeColor="text1"/>
          <w:highlight w:val="none"/>
          <w:lang w:val="zh-CN" w:eastAsia="zh-CN"/>
          <w14:textFill>
            <w14:solidFill>
              <w14:schemeClr w14:val="tx1"/>
            </w14:solidFill>
          </w14:textFill>
        </w:rPr>
      </w:pPr>
    </w:p>
    <w:p w14:paraId="39EB7C98">
      <w:pPr>
        <w:pStyle w:val="67"/>
        <w:rPr>
          <w:rFonts w:eastAsiaTheme="minorEastAsia"/>
          <w:color w:val="000000" w:themeColor="text1"/>
          <w:highlight w:val="none"/>
          <w:lang w:val="zh-CN" w:eastAsia="zh-CN"/>
          <w14:textFill>
            <w14:solidFill>
              <w14:schemeClr w14:val="tx1"/>
            </w14:solidFill>
          </w14:textFill>
        </w:rPr>
      </w:pPr>
    </w:p>
    <w:p w14:paraId="2F753858">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8973301">
      <w:pPr>
        <w:widowControl/>
        <w:adjustRightInd w:val="0"/>
        <w:spacing w:line="360" w:lineRule="auto"/>
        <w:outlineLvl w:val="1"/>
        <w:rPr>
          <w:rFonts w:ascii="宋体" w:cs="宋体"/>
          <w:b/>
          <w:color w:val="000000" w:themeColor="text1"/>
          <w:szCs w:val="21"/>
          <w:highlight w:val="none"/>
          <w:lang w:val="zh-CN" w:eastAsia="zh-CN"/>
          <w14:textFill>
            <w14:solidFill>
              <w14:schemeClr w14:val="tx1"/>
            </w14:solidFill>
          </w14:textFill>
        </w:rPr>
      </w:pPr>
    </w:p>
    <w:p w14:paraId="1DF7E128">
      <w:pPr>
        <w:widowControl/>
        <w:adjustRightInd w:val="0"/>
        <w:spacing w:line="360" w:lineRule="auto"/>
        <w:outlineLvl w:val="1"/>
        <w:rPr>
          <w:rFonts w:ascii="宋体" w:hAnsi="宋体"/>
          <w:b/>
          <w:color w:val="000000" w:themeColor="text1"/>
          <w:sz w:val="24"/>
          <w:szCs w:val="21"/>
          <w:highlight w:val="none"/>
          <w:lang w:eastAsia="zh-CN"/>
          <w14:textFill>
            <w14:solidFill>
              <w14:schemeClr w14:val="tx1"/>
            </w14:solidFill>
          </w14:textFill>
        </w:rPr>
      </w:pPr>
      <w:bookmarkStart w:id="201" w:name="_Toc175663963"/>
      <w:r>
        <w:rPr>
          <w:rFonts w:hint="eastAsia" w:ascii="宋体" w:hAnsi="宋体"/>
          <w:b/>
          <w:color w:val="000000" w:themeColor="text1"/>
          <w:sz w:val="24"/>
          <w:szCs w:val="21"/>
          <w:highlight w:val="none"/>
          <w:lang w:eastAsia="zh-CN"/>
          <w14:textFill>
            <w14:solidFill>
              <w14:schemeClr w14:val="tx1"/>
            </w14:solidFill>
          </w14:textFill>
        </w:rPr>
        <w:t>十</w:t>
      </w:r>
      <w:r>
        <w:rPr>
          <w:rFonts w:hint="eastAsia" w:ascii="宋体" w:hAnsi="宋体"/>
          <w:b/>
          <w:color w:val="000000" w:themeColor="text1"/>
          <w:sz w:val="24"/>
          <w:szCs w:val="21"/>
          <w:highlight w:val="none"/>
          <w:lang w:val="en-US" w:eastAsia="zh-CN"/>
          <w14:textFill>
            <w14:solidFill>
              <w14:schemeClr w14:val="tx1"/>
            </w14:solidFill>
          </w14:textFill>
        </w:rPr>
        <w:t>三</w:t>
      </w:r>
      <w:r>
        <w:rPr>
          <w:rFonts w:hint="eastAsia" w:ascii="宋体" w:hAnsi="宋体"/>
          <w:b/>
          <w:color w:val="000000" w:themeColor="text1"/>
          <w:sz w:val="24"/>
          <w:szCs w:val="21"/>
          <w:highlight w:val="none"/>
          <w:lang w:eastAsia="zh-CN"/>
          <w14:textFill>
            <w14:solidFill>
              <w14:schemeClr w14:val="tx1"/>
            </w14:solidFill>
          </w14:textFill>
        </w:rPr>
        <w:t>：商务条款偏离表格式</w:t>
      </w:r>
      <w:bookmarkEnd w:id="198"/>
      <w:bookmarkEnd w:id="199"/>
      <w:bookmarkEnd w:id="200"/>
      <w:bookmarkEnd w:id="201"/>
    </w:p>
    <w:p w14:paraId="5643C0C7">
      <w:pPr>
        <w:widowControl/>
        <w:adjustRightInd w:val="0"/>
        <w:spacing w:line="360" w:lineRule="auto"/>
        <w:ind w:firstLine="723" w:firstLineChars="200"/>
        <w:jc w:val="center"/>
        <w:rPr>
          <w:rFonts w:eastAsia="黑体"/>
          <w:b/>
          <w:bCs/>
          <w:color w:val="000000" w:themeColor="text1"/>
          <w:sz w:val="36"/>
          <w:szCs w:val="28"/>
          <w:highlight w:val="none"/>
          <w14:textFill>
            <w14:solidFill>
              <w14:schemeClr w14:val="tx1"/>
            </w14:solidFill>
          </w14:textFill>
        </w:rPr>
      </w:pPr>
      <w:r>
        <w:rPr>
          <w:rFonts w:hint="eastAsia" w:eastAsia="黑体"/>
          <w:b/>
          <w:bCs/>
          <w:color w:val="000000" w:themeColor="text1"/>
          <w:sz w:val="36"/>
          <w:szCs w:val="28"/>
          <w:highlight w:val="none"/>
          <w14:textFill>
            <w14:solidFill>
              <w14:schemeClr w14:val="tx1"/>
            </w14:solidFill>
          </w14:textFill>
        </w:rPr>
        <w:t>商务条款偏离表</w:t>
      </w:r>
    </w:p>
    <w:tbl>
      <w:tblPr>
        <w:tblStyle w:val="5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7"/>
        <w:gridCol w:w="2342"/>
        <w:gridCol w:w="2835"/>
        <w:gridCol w:w="2368"/>
        <w:gridCol w:w="1020"/>
      </w:tblGrid>
      <w:tr w14:paraId="395A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9342" w:type="dxa"/>
            <w:gridSpan w:val="5"/>
            <w:tcBorders>
              <w:top w:val="nil"/>
              <w:left w:val="nil"/>
              <w:right w:val="nil"/>
            </w:tcBorders>
            <w:noWrap/>
            <w:vAlign w:val="center"/>
          </w:tcPr>
          <w:p w14:paraId="27ADBD7C">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项目编号：</w:t>
            </w:r>
            <w:r>
              <w:rPr>
                <w:rFonts w:hint="eastAsia" w:ascii="宋体" w:hAnsi="宋体"/>
                <w:bCs/>
                <w:color w:val="000000" w:themeColor="text1"/>
                <w:sz w:val="24"/>
                <w:szCs w:val="21"/>
                <w:highlight w:val="none"/>
                <w:lang w:eastAsia="zh-CN"/>
                <w14:textFill>
                  <w14:solidFill>
                    <w14:schemeClr w14:val="tx1"/>
                  </w14:solidFill>
                </w14:textFill>
              </w:rPr>
              <w:t>JSZC-320115-NJMT-C2026-0012</w:t>
            </w:r>
          </w:p>
          <w:p w14:paraId="35CF5608">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项目名称：</w:t>
            </w:r>
            <w:r>
              <w:rPr>
                <w:rFonts w:hint="eastAsia" w:ascii="宋体" w:hAnsi="宋体" w:eastAsia="宋体" w:cs="宋体"/>
                <w:color w:val="000000" w:themeColor="text1"/>
                <w:spacing w:val="6"/>
                <w:sz w:val="24"/>
                <w:szCs w:val="21"/>
                <w:highlight w:val="none"/>
                <w:u w:val="single"/>
                <w:lang w:val="zh-CN" w:eastAsia="zh-CN"/>
                <w14:textFill>
                  <w14:solidFill>
                    <w14:schemeClr w14:val="tx1"/>
                  </w14:solidFill>
                </w14:textFill>
              </w:rPr>
              <w:t>新济洲2025年度公益林生态效益补偿项目</w:t>
            </w:r>
          </w:p>
        </w:tc>
      </w:tr>
      <w:tr w14:paraId="31692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4" w:hRule="atLeast"/>
          <w:jc w:val="center"/>
        </w:trPr>
        <w:tc>
          <w:tcPr>
            <w:tcW w:w="777" w:type="dxa"/>
            <w:noWrap/>
            <w:vAlign w:val="center"/>
          </w:tcPr>
          <w:p w14:paraId="7FA9B5BF">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序号</w:t>
            </w:r>
          </w:p>
        </w:tc>
        <w:tc>
          <w:tcPr>
            <w:tcW w:w="2342" w:type="dxa"/>
            <w:noWrap/>
            <w:vAlign w:val="center"/>
          </w:tcPr>
          <w:p w14:paraId="12B16220">
            <w:pPr>
              <w:widowControl/>
              <w:adjustRightInd w:val="0"/>
              <w:spacing w:line="360" w:lineRule="auto"/>
              <w:jc w:val="center"/>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采购文件的商务条款</w:t>
            </w:r>
          </w:p>
        </w:tc>
        <w:tc>
          <w:tcPr>
            <w:tcW w:w="2835" w:type="dxa"/>
            <w:noWrap/>
            <w:vAlign w:val="center"/>
          </w:tcPr>
          <w:p w14:paraId="28C46A1F">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响应文件中响应条款</w:t>
            </w:r>
          </w:p>
        </w:tc>
        <w:tc>
          <w:tcPr>
            <w:tcW w:w="2368" w:type="dxa"/>
            <w:noWrap/>
            <w:vAlign w:val="center"/>
          </w:tcPr>
          <w:p w14:paraId="45308F9A">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符合/正偏离/负偏离</w:t>
            </w:r>
          </w:p>
        </w:tc>
        <w:tc>
          <w:tcPr>
            <w:tcW w:w="1020" w:type="dxa"/>
            <w:noWrap/>
            <w:vAlign w:val="center"/>
          </w:tcPr>
          <w:p w14:paraId="54D19F28">
            <w:pPr>
              <w:widowControl/>
              <w:adjustRightInd w:val="0"/>
              <w:spacing w:line="360" w:lineRule="auto"/>
              <w:jc w:val="center"/>
              <w:rPr>
                <w:color w:val="000000" w:themeColor="text1"/>
                <w:spacing w:val="6"/>
                <w:sz w:val="24"/>
                <w:highlight w:val="none"/>
                <w:lang w:val="zh-CN"/>
                <w14:textFill>
                  <w14:solidFill>
                    <w14:schemeClr w14:val="tx1"/>
                  </w14:solidFill>
                </w14:textFill>
              </w:rPr>
            </w:pPr>
            <w:r>
              <w:rPr>
                <w:rFonts w:hint="eastAsia"/>
                <w:color w:val="000000" w:themeColor="text1"/>
                <w:spacing w:val="6"/>
                <w:sz w:val="24"/>
                <w:highlight w:val="none"/>
                <w:lang w:val="zh-CN"/>
                <w14:textFill>
                  <w14:solidFill>
                    <w14:schemeClr w14:val="tx1"/>
                  </w14:solidFill>
                </w14:textFill>
              </w:rPr>
              <w:t>备注</w:t>
            </w:r>
          </w:p>
        </w:tc>
      </w:tr>
      <w:tr w14:paraId="12F58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2F482D71">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1</w:t>
            </w:r>
          </w:p>
        </w:tc>
        <w:tc>
          <w:tcPr>
            <w:tcW w:w="2342" w:type="dxa"/>
            <w:noWrap/>
            <w:vAlign w:val="center"/>
          </w:tcPr>
          <w:p w14:paraId="5C6F7159">
            <w:pPr>
              <w:widowControl/>
              <w:adjustRightInd w:val="0"/>
              <w:spacing w:line="360" w:lineRule="auto"/>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磋商申请及声明</w:t>
            </w:r>
          </w:p>
        </w:tc>
        <w:tc>
          <w:tcPr>
            <w:tcW w:w="2835" w:type="dxa"/>
            <w:noWrap/>
            <w:vAlign w:val="center"/>
          </w:tcPr>
          <w:p w14:paraId="4BC1F060">
            <w:pPr>
              <w:widowControl/>
              <w:adjustRightInd w:val="0"/>
              <w:spacing w:line="360" w:lineRule="auto"/>
              <w:jc w:val="center"/>
              <w:rPr>
                <w:rFonts w:hint="eastAsia" w:ascii="宋体" w:hAnsi="宋体"/>
                <w:bCs/>
                <w:color w:val="000000" w:themeColor="text1"/>
                <w:sz w:val="24"/>
                <w:highlight w:val="none"/>
                <w:lang w:val="zh-CN"/>
                <w14:textFill>
                  <w14:solidFill>
                    <w14:schemeClr w14:val="tx1"/>
                  </w14:solidFill>
                </w14:textFill>
              </w:rPr>
            </w:pPr>
          </w:p>
        </w:tc>
        <w:tc>
          <w:tcPr>
            <w:tcW w:w="2368" w:type="dxa"/>
            <w:noWrap/>
            <w:vAlign w:val="center"/>
          </w:tcPr>
          <w:p w14:paraId="46553B80">
            <w:pPr>
              <w:widowControl/>
              <w:adjustRightInd w:val="0"/>
              <w:spacing w:line="360" w:lineRule="auto"/>
              <w:jc w:val="center"/>
              <w:rPr>
                <w:rFonts w:hint="eastAsia" w:ascii="宋体" w:hAnsi="宋体"/>
                <w:bCs/>
                <w:color w:val="000000" w:themeColor="text1"/>
                <w:sz w:val="24"/>
                <w:highlight w:val="none"/>
                <w:lang w:val="zh-CN"/>
                <w14:textFill>
                  <w14:solidFill>
                    <w14:schemeClr w14:val="tx1"/>
                  </w14:solidFill>
                </w14:textFill>
              </w:rPr>
            </w:pPr>
          </w:p>
        </w:tc>
        <w:tc>
          <w:tcPr>
            <w:tcW w:w="1020" w:type="dxa"/>
            <w:noWrap/>
            <w:vAlign w:val="center"/>
          </w:tcPr>
          <w:p w14:paraId="12F6BE58">
            <w:pPr>
              <w:widowControl/>
              <w:adjustRightInd w:val="0"/>
              <w:spacing w:line="360" w:lineRule="auto"/>
              <w:jc w:val="center"/>
              <w:rPr>
                <w:rFonts w:hint="eastAsia" w:ascii="宋体" w:hAnsi="宋体"/>
                <w:bCs/>
                <w:color w:val="000000" w:themeColor="text1"/>
                <w:sz w:val="24"/>
                <w:highlight w:val="none"/>
                <w:lang w:val="zh-CN"/>
                <w14:textFill>
                  <w14:solidFill>
                    <w14:schemeClr w14:val="tx1"/>
                  </w14:solidFill>
                </w14:textFill>
              </w:rPr>
            </w:pPr>
          </w:p>
        </w:tc>
      </w:tr>
      <w:tr w14:paraId="0E4F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78F6F056">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2</w:t>
            </w:r>
          </w:p>
        </w:tc>
        <w:tc>
          <w:tcPr>
            <w:tcW w:w="2342" w:type="dxa"/>
            <w:noWrap/>
            <w:vAlign w:val="center"/>
          </w:tcPr>
          <w:p w14:paraId="6AA4F34F">
            <w:pPr>
              <w:widowControl/>
              <w:adjustRightInd w:val="0"/>
              <w:spacing w:line="360" w:lineRule="auto"/>
              <w:jc w:val="center"/>
              <w:rPr>
                <w:rFonts w:hint="eastAsia" w:ascii="宋体" w:hAnsi="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lang w:eastAsia="zh-CN"/>
                <w14:textFill>
                  <w14:solidFill>
                    <w14:schemeClr w14:val="tx1"/>
                  </w14:solidFill>
                </w14:textFill>
              </w:rPr>
              <w:t>法定代表人授权委托书</w:t>
            </w:r>
          </w:p>
        </w:tc>
        <w:tc>
          <w:tcPr>
            <w:tcW w:w="2835" w:type="dxa"/>
            <w:noWrap/>
            <w:vAlign w:val="center"/>
          </w:tcPr>
          <w:p w14:paraId="42B3E720">
            <w:pPr>
              <w:widowControl/>
              <w:adjustRightInd w:val="0"/>
              <w:spacing w:line="360" w:lineRule="auto"/>
              <w:jc w:val="center"/>
              <w:rPr>
                <w:rFonts w:hint="eastAsia" w:ascii="宋体" w:hAnsi="宋体"/>
                <w:bCs/>
                <w:color w:val="000000" w:themeColor="text1"/>
                <w:sz w:val="24"/>
                <w:highlight w:val="none"/>
                <w:lang w:val="zh-CN" w:eastAsia="zh-CN"/>
                <w14:textFill>
                  <w14:solidFill>
                    <w14:schemeClr w14:val="tx1"/>
                  </w14:solidFill>
                </w14:textFill>
              </w:rPr>
            </w:pPr>
          </w:p>
        </w:tc>
        <w:tc>
          <w:tcPr>
            <w:tcW w:w="2368" w:type="dxa"/>
            <w:noWrap/>
            <w:vAlign w:val="center"/>
          </w:tcPr>
          <w:p w14:paraId="4955591A">
            <w:pPr>
              <w:widowControl/>
              <w:adjustRightInd w:val="0"/>
              <w:spacing w:line="360" w:lineRule="auto"/>
              <w:jc w:val="center"/>
              <w:rPr>
                <w:rFonts w:hint="eastAsia" w:ascii="宋体" w:hAnsi="宋体"/>
                <w:bCs/>
                <w:color w:val="000000" w:themeColor="text1"/>
                <w:sz w:val="24"/>
                <w:highlight w:val="none"/>
                <w:lang w:val="zh-CN" w:eastAsia="zh-CN"/>
                <w14:textFill>
                  <w14:solidFill>
                    <w14:schemeClr w14:val="tx1"/>
                  </w14:solidFill>
                </w14:textFill>
              </w:rPr>
            </w:pPr>
          </w:p>
        </w:tc>
        <w:tc>
          <w:tcPr>
            <w:tcW w:w="1020" w:type="dxa"/>
            <w:noWrap/>
            <w:vAlign w:val="center"/>
          </w:tcPr>
          <w:p w14:paraId="3D5F0FF8">
            <w:pPr>
              <w:widowControl/>
              <w:adjustRightInd w:val="0"/>
              <w:spacing w:line="360" w:lineRule="auto"/>
              <w:jc w:val="center"/>
              <w:rPr>
                <w:rFonts w:hint="eastAsia" w:ascii="宋体" w:hAnsi="宋体"/>
                <w:bCs/>
                <w:color w:val="000000" w:themeColor="text1"/>
                <w:sz w:val="24"/>
                <w:highlight w:val="none"/>
                <w:lang w:val="zh-CN" w:eastAsia="zh-CN"/>
                <w14:textFill>
                  <w14:solidFill>
                    <w14:schemeClr w14:val="tx1"/>
                  </w14:solidFill>
                </w14:textFill>
              </w:rPr>
            </w:pPr>
          </w:p>
        </w:tc>
      </w:tr>
      <w:tr w14:paraId="666C5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00114856">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3</w:t>
            </w:r>
          </w:p>
        </w:tc>
        <w:tc>
          <w:tcPr>
            <w:tcW w:w="2342" w:type="dxa"/>
            <w:noWrap/>
            <w:vAlign w:val="center"/>
          </w:tcPr>
          <w:p w14:paraId="69C30102">
            <w:pPr>
              <w:widowControl/>
              <w:adjustRightInd w:val="0"/>
              <w:spacing w:line="360" w:lineRule="auto"/>
              <w:jc w:val="center"/>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磋商报价汇总表</w:t>
            </w:r>
          </w:p>
        </w:tc>
        <w:tc>
          <w:tcPr>
            <w:tcW w:w="2835" w:type="dxa"/>
            <w:noWrap/>
            <w:vAlign w:val="center"/>
          </w:tcPr>
          <w:p w14:paraId="3EC44DF2">
            <w:pPr>
              <w:widowControl/>
              <w:adjustRightInd w:val="0"/>
              <w:spacing w:line="360" w:lineRule="auto"/>
              <w:jc w:val="center"/>
              <w:rPr>
                <w:rFonts w:hint="eastAsia" w:ascii="宋体" w:hAnsi="宋体"/>
                <w:bCs/>
                <w:color w:val="000000" w:themeColor="text1"/>
                <w:sz w:val="24"/>
                <w:highlight w:val="none"/>
                <w:lang w:val="zh-CN"/>
                <w14:textFill>
                  <w14:solidFill>
                    <w14:schemeClr w14:val="tx1"/>
                  </w14:solidFill>
                </w14:textFill>
              </w:rPr>
            </w:pPr>
          </w:p>
        </w:tc>
        <w:tc>
          <w:tcPr>
            <w:tcW w:w="2368" w:type="dxa"/>
            <w:noWrap/>
            <w:vAlign w:val="center"/>
          </w:tcPr>
          <w:p w14:paraId="03972428">
            <w:pPr>
              <w:widowControl/>
              <w:adjustRightInd w:val="0"/>
              <w:spacing w:line="360" w:lineRule="auto"/>
              <w:jc w:val="center"/>
              <w:rPr>
                <w:rFonts w:hint="eastAsia" w:ascii="宋体" w:hAnsi="宋体"/>
                <w:bCs/>
                <w:color w:val="000000" w:themeColor="text1"/>
                <w:sz w:val="24"/>
                <w:highlight w:val="none"/>
                <w:lang w:val="zh-CN"/>
                <w14:textFill>
                  <w14:solidFill>
                    <w14:schemeClr w14:val="tx1"/>
                  </w14:solidFill>
                </w14:textFill>
              </w:rPr>
            </w:pPr>
          </w:p>
        </w:tc>
        <w:tc>
          <w:tcPr>
            <w:tcW w:w="1020" w:type="dxa"/>
            <w:noWrap/>
            <w:vAlign w:val="center"/>
          </w:tcPr>
          <w:p w14:paraId="6E1F8791">
            <w:pPr>
              <w:widowControl/>
              <w:adjustRightInd w:val="0"/>
              <w:spacing w:line="360" w:lineRule="auto"/>
              <w:jc w:val="center"/>
              <w:rPr>
                <w:rFonts w:hint="eastAsia" w:ascii="宋体" w:hAnsi="宋体"/>
                <w:bCs/>
                <w:color w:val="000000" w:themeColor="text1"/>
                <w:sz w:val="24"/>
                <w:highlight w:val="none"/>
                <w:lang w:val="zh-CN"/>
                <w14:textFill>
                  <w14:solidFill>
                    <w14:schemeClr w14:val="tx1"/>
                  </w14:solidFill>
                </w14:textFill>
              </w:rPr>
            </w:pPr>
          </w:p>
        </w:tc>
      </w:tr>
      <w:tr w14:paraId="40CF4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777" w:type="dxa"/>
            <w:noWrap/>
            <w:vAlign w:val="center"/>
          </w:tcPr>
          <w:p w14:paraId="4B94C1B0">
            <w:pPr>
              <w:widowControl/>
              <w:adjustRightInd w:val="0"/>
              <w:spacing w:line="360" w:lineRule="auto"/>
              <w:jc w:val="center"/>
              <w:rPr>
                <w:color w:val="000000" w:themeColor="text1"/>
                <w:spacing w:val="6"/>
                <w:sz w:val="20"/>
                <w:szCs w:val="20"/>
                <w:highlight w:val="none"/>
                <w:lang w:val="zh-CN"/>
                <w14:textFill>
                  <w14:solidFill>
                    <w14:schemeClr w14:val="tx1"/>
                  </w14:solidFill>
                </w14:textFill>
              </w:rPr>
            </w:pPr>
            <w:r>
              <w:rPr>
                <w:rFonts w:hint="eastAsia"/>
                <w:color w:val="000000" w:themeColor="text1"/>
                <w:spacing w:val="6"/>
                <w:sz w:val="20"/>
                <w:szCs w:val="20"/>
                <w:highlight w:val="none"/>
                <w:lang w:val="zh-CN"/>
                <w14:textFill>
                  <w14:solidFill>
                    <w14:schemeClr w14:val="tx1"/>
                  </w14:solidFill>
                </w14:textFill>
              </w:rPr>
              <w:t>4</w:t>
            </w:r>
          </w:p>
        </w:tc>
        <w:tc>
          <w:tcPr>
            <w:tcW w:w="2342" w:type="dxa"/>
            <w:noWrap/>
            <w:vAlign w:val="center"/>
          </w:tcPr>
          <w:p w14:paraId="3DB73588">
            <w:pPr>
              <w:widowControl/>
              <w:adjustRightInd w:val="0"/>
              <w:spacing w:line="360" w:lineRule="auto"/>
              <w:jc w:val="center"/>
              <w:rPr>
                <w:rFonts w:hint="default" w:ascii="宋体" w:hAnsi="宋体"/>
                <w:bCs/>
                <w:color w:val="000000" w:themeColor="text1"/>
                <w:sz w:val="24"/>
                <w:highlight w:val="none"/>
                <w:lang w:val="en-US" w:eastAsia="zh-CN"/>
                <w14:textFill>
                  <w14:solidFill>
                    <w14:schemeClr w14:val="tx1"/>
                  </w14:solidFill>
                </w14:textFill>
              </w:rPr>
            </w:pPr>
          </w:p>
        </w:tc>
        <w:tc>
          <w:tcPr>
            <w:tcW w:w="2835" w:type="dxa"/>
            <w:noWrap/>
            <w:vAlign w:val="center"/>
          </w:tcPr>
          <w:p w14:paraId="5B8D0B3E">
            <w:pPr>
              <w:widowControl/>
              <w:adjustRightInd w:val="0"/>
              <w:spacing w:line="360" w:lineRule="auto"/>
              <w:jc w:val="center"/>
              <w:rPr>
                <w:rFonts w:hint="eastAsia" w:ascii="宋体" w:hAnsi="宋体"/>
                <w:bCs/>
                <w:color w:val="000000" w:themeColor="text1"/>
                <w:sz w:val="24"/>
                <w:highlight w:val="none"/>
                <w:lang w:val="zh-CN"/>
                <w14:textFill>
                  <w14:solidFill>
                    <w14:schemeClr w14:val="tx1"/>
                  </w14:solidFill>
                </w14:textFill>
              </w:rPr>
            </w:pPr>
          </w:p>
        </w:tc>
        <w:tc>
          <w:tcPr>
            <w:tcW w:w="2368" w:type="dxa"/>
            <w:noWrap/>
            <w:vAlign w:val="center"/>
          </w:tcPr>
          <w:p w14:paraId="49E6B526">
            <w:pPr>
              <w:widowControl/>
              <w:adjustRightInd w:val="0"/>
              <w:spacing w:line="360" w:lineRule="auto"/>
              <w:jc w:val="center"/>
              <w:rPr>
                <w:rFonts w:hint="eastAsia" w:ascii="宋体" w:hAnsi="宋体"/>
                <w:bCs/>
                <w:color w:val="000000" w:themeColor="text1"/>
                <w:sz w:val="24"/>
                <w:highlight w:val="none"/>
                <w:lang w:val="zh-CN"/>
                <w14:textFill>
                  <w14:solidFill>
                    <w14:schemeClr w14:val="tx1"/>
                  </w14:solidFill>
                </w14:textFill>
              </w:rPr>
            </w:pPr>
          </w:p>
        </w:tc>
        <w:tc>
          <w:tcPr>
            <w:tcW w:w="1020" w:type="dxa"/>
            <w:noWrap/>
            <w:vAlign w:val="center"/>
          </w:tcPr>
          <w:p w14:paraId="3F8782DF">
            <w:pPr>
              <w:widowControl/>
              <w:adjustRightInd w:val="0"/>
              <w:spacing w:line="360" w:lineRule="auto"/>
              <w:jc w:val="center"/>
              <w:rPr>
                <w:rFonts w:hint="eastAsia" w:ascii="宋体" w:hAnsi="宋体"/>
                <w:bCs/>
                <w:color w:val="000000" w:themeColor="text1"/>
                <w:sz w:val="24"/>
                <w:highlight w:val="none"/>
                <w:lang w:val="zh-CN"/>
                <w14:textFill>
                  <w14:solidFill>
                    <w14:schemeClr w14:val="tx1"/>
                  </w14:solidFill>
                </w14:textFill>
              </w:rPr>
            </w:pPr>
          </w:p>
        </w:tc>
      </w:tr>
    </w:tbl>
    <w:p w14:paraId="422483AD">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我方承诺，除上表所列内容外，我方完全响应招标文件商务条款要求。</w:t>
      </w:r>
    </w:p>
    <w:p w14:paraId="3D8B1A29">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p>
    <w:p w14:paraId="3A45D5D1">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供应商名称：（盖章）</w:t>
      </w:r>
    </w:p>
    <w:p w14:paraId="4DC38F54">
      <w:pPr>
        <w:widowControl/>
        <w:adjustRightInd w:val="0"/>
        <w:spacing w:line="360" w:lineRule="auto"/>
        <w:rPr>
          <w:color w:val="000000" w:themeColor="text1"/>
          <w:spacing w:val="6"/>
          <w:sz w:val="24"/>
          <w:szCs w:val="21"/>
          <w:highlight w:val="none"/>
          <w:lang w:val="zh-CN" w:eastAsia="zh-CN"/>
          <w14:textFill>
            <w14:solidFill>
              <w14:schemeClr w14:val="tx1"/>
            </w14:solidFill>
          </w14:textFill>
        </w:rPr>
      </w:pPr>
      <w:r>
        <w:rPr>
          <w:color w:val="000000" w:themeColor="text1"/>
          <w:sz w:val="24"/>
          <w:szCs w:val="21"/>
          <w:highlight w:val="none"/>
          <w:lang w:val="zh-CN" w:eastAsia="zh-CN"/>
          <w14:textFill>
            <w14:solidFill>
              <w14:schemeClr w14:val="tx1"/>
            </w14:solidFill>
          </w14:textFill>
        </w:rPr>
        <w:t>日    期：    年    月   日</w:t>
      </w:r>
    </w:p>
    <w:p w14:paraId="180A1BB2">
      <w:pPr>
        <w:spacing w:line="360" w:lineRule="exact"/>
        <w:rPr>
          <w:color w:val="000000" w:themeColor="text1"/>
          <w:spacing w:val="6"/>
          <w:sz w:val="24"/>
          <w:szCs w:val="21"/>
          <w:highlight w:val="none"/>
          <w:lang w:val="zh-CN" w:eastAsia="zh-CN"/>
          <w14:textFill>
            <w14:solidFill>
              <w14:schemeClr w14:val="tx1"/>
            </w14:solidFill>
          </w14:textFill>
        </w:rPr>
      </w:pPr>
      <w:r>
        <w:rPr>
          <w:rFonts w:hint="eastAsia"/>
          <w:color w:val="000000" w:themeColor="text1"/>
          <w:spacing w:val="6"/>
          <w:sz w:val="24"/>
          <w:szCs w:val="21"/>
          <w:highlight w:val="none"/>
          <w:lang w:val="zh-CN" w:eastAsia="zh-CN"/>
          <w14:textFill>
            <w14:solidFill>
              <w14:schemeClr w14:val="tx1"/>
            </w14:solidFill>
          </w14:textFill>
        </w:rPr>
        <w:t>说明：如果行数不够，请自行增加。</w:t>
      </w:r>
    </w:p>
    <w:p w14:paraId="02674EDB">
      <w:pPr>
        <w:spacing w:line="360" w:lineRule="exact"/>
        <w:rPr>
          <w:color w:val="000000" w:themeColor="text1"/>
          <w:spacing w:val="6"/>
          <w:sz w:val="24"/>
          <w:szCs w:val="21"/>
          <w:highlight w:val="none"/>
          <w:lang w:val="zh-CN" w:eastAsia="zh-CN"/>
          <w14:textFill>
            <w14:solidFill>
              <w14:schemeClr w14:val="tx1"/>
            </w14:solidFill>
          </w14:textFill>
        </w:rPr>
      </w:pPr>
    </w:p>
    <w:p w14:paraId="1DC49AA8">
      <w:pPr>
        <w:spacing w:line="360" w:lineRule="exact"/>
        <w:rPr>
          <w:color w:val="000000" w:themeColor="text1"/>
          <w:spacing w:val="6"/>
          <w:sz w:val="24"/>
          <w:szCs w:val="21"/>
          <w:highlight w:val="none"/>
          <w:lang w:val="zh-CN" w:eastAsia="zh-CN"/>
          <w14:textFill>
            <w14:solidFill>
              <w14:schemeClr w14:val="tx1"/>
            </w14:solidFill>
          </w14:textFill>
        </w:rPr>
      </w:pPr>
    </w:p>
    <w:p w14:paraId="1E5854E3">
      <w:pPr>
        <w:spacing w:line="360" w:lineRule="exact"/>
        <w:rPr>
          <w:color w:val="000000" w:themeColor="text1"/>
          <w:spacing w:val="6"/>
          <w:sz w:val="24"/>
          <w:szCs w:val="21"/>
          <w:highlight w:val="none"/>
          <w:lang w:val="zh-CN" w:eastAsia="zh-CN"/>
          <w14:textFill>
            <w14:solidFill>
              <w14:schemeClr w14:val="tx1"/>
            </w14:solidFill>
          </w14:textFill>
        </w:rPr>
      </w:pPr>
    </w:p>
    <w:p w14:paraId="507F37E9">
      <w:pPr>
        <w:spacing w:line="360" w:lineRule="exact"/>
        <w:rPr>
          <w:color w:val="000000" w:themeColor="text1"/>
          <w:spacing w:val="6"/>
          <w:sz w:val="24"/>
          <w:szCs w:val="21"/>
          <w:highlight w:val="none"/>
          <w:lang w:val="zh-CN" w:eastAsia="zh-CN"/>
          <w14:textFill>
            <w14:solidFill>
              <w14:schemeClr w14:val="tx1"/>
            </w14:solidFill>
          </w14:textFill>
        </w:rPr>
      </w:pPr>
    </w:p>
    <w:p w14:paraId="074B67CD">
      <w:pPr>
        <w:spacing w:line="360" w:lineRule="exact"/>
        <w:rPr>
          <w:color w:val="000000" w:themeColor="text1"/>
          <w:spacing w:val="6"/>
          <w:sz w:val="24"/>
          <w:szCs w:val="21"/>
          <w:highlight w:val="none"/>
          <w:lang w:val="zh-CN" w:eastAsia="zh-CN"/>
          <w14:textFill>
            <w14:solidFill>
              <w14:schemeClr w14:val="tx1"/>
            </w14:solidFill>
          </w14:textFill>
        </w:rPr>
      </w:pPr>
    </w:p>
    <w:p w14:paraId="001366A4">
      <w:pPr>
        <w:spacing w:line="360" w:lineRule="exact"/>
        <w:rPr>
          <w:color w:val="000000" w:themeColor="text1"/>
          <w:spacing w:val="6"/>
          <w:sz w:val="24"/>
          <w:szCs w:val="21"/>
          <w:highlight w:val="none"/>
          <w:lang w:val="zh-CN" w:eastAsia="zh-CN"/>
          <w14:textFill>
            <w14:solidFill>
              <w14:schemeClr w14:val="tx1"/>
            </w14:solidFill>
          </w14:textFill>
        </w:rPr>
      </w:pPr>
    </w:p>
    <w:p w14:paraId="2BBA401F">
      <w:pPr>
        <w:spacing w:line="360" w:lineRule="exact"/>
        <w:rPr>
          <w:color w:val="000000" w:themeColor="text1"/>
          <w:spacing w:val="6"/>
          <w:sz w:val="24"/>
          <w:szCs w:val="21"/>
          <w:highlight w:val="none"/>
          <w:lang w:val="zh-CN" w:eastAsia="zh-CN"/>
          <w14:textFill>
            <w14:solidFill>
              <w14:schemeClr w14:val="tx1"/>
            </w14:solidFill>
          </w14:textFill>
        </w:rPr>
      </w:pPr>
    </w:p>
    <w:p w14:paraId="056AD16A">
      <w:pPr>
        <w:spacing w:line="360" w:lineRule="exact"/>
        <w:rPr>
          <w:color w:val="000000" w:themeColor="text1"/>
          <w:spacing w:val="6"/>
          <w:sz w:val="24"/>
          <w:szCs w:val="21"/>
          <w:highlight w:val="none"/>
          <w:lang w:val="zh-CN" w:eastAsia="zh-CN"/>
          <w14:textFill>
            <w14:solidFill>
              <w14:schemeClr w14:val="tx1"/>
            </w14:solidFill>
          </w14:textFill>
        </w:rPr>
      </w:pPr>
    </w:p>
    <w:p w14:paraId="3E67DF9F">
      <w:pPr>
        <w:spacing w:line="360" w:lineRule="exact"/>
        <w:rPr>
          <w:color w:val="000000" w:themeColor="text1"/>
          <w:spacing w:val="6"/>
          <w:sz w:val="24"/>
          <w:szCs w:val="21"/>
          <w:highlight w:val="none"/>
          <w:lang w:val="zh-CN" w:eastAsia="zh-CN"/>
          <w14:textFill>
            <w14:solidFill>
              <w14:schemeClr w14:val="tx1"/>
            </w14:solidFill>
          </w14:textFill>
        </w:rPr>
      </w:pPr>
    </w:p>
    <w:p w14:paraId="3872264F">
      <w:pPr>
        <w:spacing w:line="360" w:lineRule="exact"/>
        <w:rPr>
          <w:color w:val="000000" w:themeColor="text1"/>
          <w:spacing w:val="6"/>
          <w:sz w:val="24"/>
          <w:szCs w:val="21"/>
          <w:highlight w:val="none"/>
          <w:lang w:val="zh-CN" w:eastAsia="zh-CN"/>
          <w14:textFill>
            <w14:solidFill>
              <w14:schemeClr w14:val="tx1"/>
            </w14:solidFill>
          </w14:textFill>
        </w:rPr>
      </w:pPr>
    </w:p>
    <w:p w14:paraId="386FA958">
      <w:pPr>
        <w:spacing w:line="360" w:lineRule="exact"/>
        <w:rPr>
          <w:color w:val="000000" w:themeColor="text1"/>
          <w:spacing w:val="6"/>
          <w:sz w:val="24"/>
          <w:szCs w:val="21"/>
          <w:highlight w:val="none"/>
          <w:lang w:val="zh-CN" w:eastAsia="zh-CN"/>
          <w14:textFill>
            <w14:solidFill>
              <w14:schemeClr w14:val="tx1"/>
            </w14:solidFill>
          </w14:textFill>
        </w:rPr>
      </w:pPr>
    </w:p>
    <w:p w14:paraId="0FC450BE">
      <w:pPr>
        <w:spacing w:line="360" w:lineRule="exact"/>
        <w:rPr>
          <w:color w:val="000000" w:themeColor="text1"/>
          <w:spacing w:val="6"/>
          <w:sz w:val="24"/>
          <w:szCs w:val="21"/>
          <w:highlight w:val="none"/>
          <w:lang w:val="zh-CN" w:eastAsia="zh-CN"/>
          <w14:textFill>
            <w14:solidFill>
              <w14:schemeClr w14:val="tx1"/>
            </w14:solidFill>
          </w14:textFill>
        </w:rPr>
      </w:pPr>
    </w:p>
    <w:p w14:paraId="4BA75443">
      <w:pPr>
        <w:spacing w:line="360" w:lineRule="exact"/>
        <w:rPr>
          <w:color w:val="000000" w:themeColor="text1"/>
          <w:spacing w:val="6"/>
          <w:sz w:val="24"/>
          <w:szCs w:val="21"/>
          <w:highlight w:val="none"/>
          <w:lang w:val="zh-CN" w:eastAsia="zh-CN"/>
          <w14:textFill>
            <w14:solidFill>
              <w14:schemeClr w14:val="tx1"/>
            </w14:solidFill>
          </w14:textFill>
        </w:rPr>
      </w:pPr>
    </w:p>
    <w:p w14:paraId="3277FD20">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p>
    <w:p w14:paraId="3EA6452F">
      <w:pPr>
        <w:pStyle w:val="67"/>
        <w:rPr>
          <w:rFonts w:eastAsiaTheme="minorEastAsia"/>
          <w:color w:val="000000" w:themeColor="text1"/>
          <w:highlight w:val="none"/>
          <w:lang w:val="zh-CN" w:eastAsia="zh-CN"/>
          <w14:textFill>
            <w14:solidFill>
              <w14:schemeClr w14:val="tx1"/>
            </w14:solidFill>
          </w14:textFill>
        </w:rPr>
      </w:pPr>
    </w:p>
    <w:p w14:paraId="0ECF3029">
      <w:pPr>
        <w:pStyle w:val="67"/>
        <w:rPr>
          <w:rFonts w:eastAsiaTheme="minorEastAsia"/>
          <w:color w:val="000000" w:themeColor="text1"/>
          <w:highlight w:val="none"/>
          <w:lang w:val="zh-CN" w:eastAsia="zh-CN"/>
          <w14:textFill>
            <w14:solidFill>
              <w14:schemeClr w14:val="tx1"/>
            </w14:solidFill>
          </w14:textFill>
        </w:rPr>
      </w:pPr>
    </w:p>
    <w:p w14:paraId="4EBA2AA0">
      <w:pPr>
        <w:spacing w:line="360" w:lineRule="exact"/>
        <w:rPr>
          <w:color w:val="000000" w:themeColor="text1"/>
          <w:spacing w:val="6"/>
          <w:sz w:val="24"/>
          <w:szCs w:val="21"/>
          <w:highlight w:val="none"/>
          <w:lang w:val="zh-CN" w:eastAsia="zh-CN"/>
          <w14:textFill>
            <w14:solidFill>
              <w14:schemeClr w14:val="tx1"/>
            </w14:solidFill>
          </w14:textFill>
        </w:rPr>
      </w:pPr>
    </w:p>
    <w:p w14:paraId="18A9254E">
      <w:pPr>
        <w:spacing w:line="360" w:lineRule="exact"/>
        <w:rPr>
          <w:rFonts w:eastAsiaTheme="minorEastAsia"/>
          <w:color w:val="000000" w:themeColor="text1"/>
          <w:spacing w:val="6"/>
          <w:sz w:val="24"/>
          <w:szCs w:val="21"/>
          <w:highlight w:val="none"/>
          <w:lang w:val="zh-CN" w:eastAsia="zh-CN"/>
          <w14:textFill>
            <w14:solidFill>
              <w14:schemeClr w14:val="tx1"/>
            </w14:solidFill>
          </w14:textFill>
        </w:rPr>
      </w:pPr>
    </w:p>
    <w:p w14:paraId="440486DB">
      <w:pPr>
        <w:pStyle w:val="67"/>
        <w:rPr>
          <w:rFonts w:eastAsiaTheme="minorEastAsia"/>
          <w:color w:val="000000" w:themeColor="text1"/>
          <w:highlight w:val="none"/>
          <w:lang w:val="zh-CN" w:eastAsia="zh-CN"/>
          <w14:textFill>
            <w14:solidFill>
              <w14:schemeClr w14:val="tx1"/>
            </w14:solidFill>
          </w14:textFill>
        </w:rPr>
      </w:pPr>
    </w:p>
    <w:p w14:paraId="2C4C7B2D">
      <w:pPr>
        <w:autoSpaceDE w:val="0"/>
        <w:autoSpaceDN w:val="0"/>
        <w:adjustRightInd w:val="0"/>
        <w:spacing w:line="360" w:lineRule="auto"/>
        <w:outlineLvl w:val="1"/>
        <w:rPr>
          <w:rFonts w:ascii="宋体" w:hAnsi="宋体" w:cs="黑体"/>
          <w:b/>
          <w:bCs/>
          <w:color w:val="000000" w:themeColor="text1"/>
          <w:sz w:val="24"/>
          <w:szCs w:val="21"/>
          <w:highlight w:val="none"/>
          <w:lang w:eastAsia="zh-CN"/>
          <w14:textFill>
            <w14:solidFill>
              <w14:schemeClr w14:val="tx1"/>
            </w14:solidFill>
          </w14:textFill>
        </w:rPr>
      </w:pPr>
      <w:bookmarkStart w:id="202" w:name="_Toc175663964"/>
      <w:r>
        <w:rPr>
          <w:rFonts w:hint="eastAsia" w:ascii="宋体" w:hAnsi="宋体" w:cs="黑体"/>
          <w:b/>
          <w:bCs/>
          <w:color w:val="000000" w:themeColor="text1"/>
          <w:sz w:val="24"/>
          <w:szCs w:val="21"/>
          <w:highlight w:val="none"/>
          <w:lang w:eastAsia="zh-CN"/>
          <w14:textFill>
            <w14:solidFill>
              <w14:schemeClr w14:val="tx1"/>
            </w14:solidFill>
          </w14:textFill>
        </w:rPr>
        <w:t>十</w:t>
      </w:r>
      <w:r>
        <w:rPr>
          <w:rFonts w:hint="eastAsia" w:ascii="宋体" w:hAnsi="宋体" w:cs="黑体"/>
          <w:b/>
          <w:bCs/>
          <w:color w:val="000000" w:themeColor="text1"/>
          <w:sz w:val="24"/>
          <w:szCs w:val="21"/>
          <w:highlight w:val="none"/>
          <w:lang w:val="en-US" w:eastAsia="zh-CN"/>
          <w14:textFill>
            <w14:solidFill>
              <w14:schemeClr w14:val="tx1"/>
            </w14:solidFill>
          </w14:textFill>
        </w:rPr>
        <w:t>四</w:t>
      </w:r>
      <w:r>
        <w:rPr>
          <w:rFonts w:hint="eastAsia" w:ascii="宋体" w:hAnsi="宋体" w:cs="黑体"/>
          <w:b/>
          <w:bCs/>
          <w:color w:val="000000" w:themeColor="text1"/>
          <w:sz w:val="24"/>
          <w:szCs w:val="21"/>
          <w:highlight w:val="none"/>
          <w:lang w:eastAsia="zh-CN"/>
          <w14:textFill>
            <w14:solidFill>
              <w14:schemeClr w14:val="tx1"/>
            </w14:solidFill>
          </w14:textFill>
        </w:rPr>
        <w:t>、南京市政府采购供应商信用记录表暨信用承诺书</w:t>
      </w:r>
      <w:bookmarkEnd w:id="194"/>
      <w:bookmarkEnd w:id="195"/>
      <w:bookmarkEnd w:id="196"/>
      <w:r>
        <w:rPr>
          <w:rFonts w:hint="eastAsia" w:ascii="宋体" w:hAnsi="宋体" w:cs="黑体"/>
          <w:b/>
          <w:bCs/>
          <w:color w:val="000000" w:themeColor="text1"/>
          <w:sz w:val="24"/>
          <w:szCs w:val="21"/>
          <w:highlight w:val="none"/>
          <w:lang w:eastAsia="zh-CN"/>
          <w14:textFill>
            <w14:solidFill>
              <w14:schemeClr w14:val="tx1"/>
            </w14:solidFill>
          </w14:textFill>
        </w:rPr>
        <w:t>（附件）</w:t>
      </w:r>
      <w:bookmarkEnd w:id="202"/>
    </w:p>
    <w:tbl>
      <w:tblPr>
        <w:tblStyle w:val="51"/>
        <w:tblW w:w="9654" w:type="dxa"/>
        <w:tblInd w:w="0" w:type="dxa"/>
        <w:tblLayout w:type="fixed"/>
        <w:tblCellMar>
          <w:top w:w="15" w:type="dxa"/>
          <w:left w:w="15" w:type="dxa"/>
          <w:bottom w:w="15" w:type="dxa"/>
          <w:right w:w="15" w:type="dxa"/>
        </w:tblCellMar>
      </w:tblPr>
      <w:tblGrid>
        <w:gridCol w:w="2000"/>
        <w:gridCol w:w="2693"/>
        <w:gridCol w:w="2552"/>
        <w:gridCol w:w="2409"/>
      </w:tblGrid>
      <w:tr w14:paraId="160B5E92">
        <w:tblPrEx>
          <w:tblCellMar>
            <w:top w:w="15" w:type="dxa"/>
            <w:left w:w="15" w:type="dxa"/>
            <w:bottom w:w="15" w:type="dxa"/>
            <w:right w:w="15" w:type="dxa"/>
          </w:tblCellMar>
        </w:tblPrEx>
        <w:trPr>
          <w:trHeight w:val="600" w:hRule="atLeast"/>
        </w:trPr>
        <w:tc>
          <w:tcPr>
            <w:tcW w:w="9654" w:type="dxa"/>
            <w:gridSpan w:val="4"/>
            <w:noWrap/>
            <w:vAlign w:val="center"/>
          </w:tcPr>
          <w:p w14:paraId="30A3BE17">
            <w:pPr>
              <w:widowControl/>
              <w:jc w:val="center"/>
              <w:textAlignment w:val="center"/>
              <w:rPr>
                <w:rFonts w:ascii="黑体" w:hAnsi="宋体" w:eastAsia="黑体" w:cs="黑体"/>
                <w:color w:val="000000" w:themeColor="text1"/>
                <w:sz w:val="36"/>
                <w:szCs w:val="36"/>
                <w:highlight w:val="none"/>
                <w:lang w:eastAsia="zh-CN"/>
                <w14:textFill>
                  <w14:solidFill>
                    <w14:schemeClr w14:val="tx1"/>
                  </w14:solidFill>
                </w14:textFill>
              </w:rPr>
            </w:pPr>
            <w:r>
              <w:rPr>
                <w:rFonts w:hint="eastAsia" w:ascii="黑体" w:hAnsi="宋体" w:eastAsia="黑体" w:cs="黑体"/>
                <w:color w:val="000000" w:themeColor="text1"/>
                <w:sz w:val="36"/>
                <w:szCs w:val="36"/>
                <w:highlight w:val="none"/>
                <w:lang w:eastAsia="zh-CN"/>
                <w14:textFill>
                  <w14:solidFill>
                    <w14:schemeClr w14:val="tx1"/>
                  </w14:solidFill>
                </w14:textFill>
              </w:rPr>
              <w:t>南京市政府采购供应商信用记录表暨信用承诺书（附件）</w:t>
            </w:r>
          </w:p>
        </w:tc>
      </w:tr>
      <w:tr w14:paraId="2C69D6AA">
        <w:tblPrEx>
          <w:tblCellMar>
            <w:top w:w="15" w:type="dxa"/>
            <w:left w:w="15" w:type="dxa"/>
            <w:bottom w:w="15" w:type="dxa"/>
            <w:right w:w="15" w:type="dxa"/>
          </w:tblCellMar>
        </w:tblPrEx>
        <w:trPr>
          <w:trHeight w:val="570" w:hRule="atLeast"/>
        </w:trPr>
        <w:tc>
          <w:tcPr>
            <w:tcW w:w="9654" w:type="dxa"/>
            <w:gridSpan w:val="4"/>
            <w:noWrap/>
            <w:vAlign w:val="center"/>
          </w:tcPr>
          <w:p w14:paraId="73E2EC26">
            <w:pPr>
              <w:rPr>
                <w:rFonts w:ascii="宋体" w:hAnsi="宋体" w:cs="宋体"/>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eastAsia="zh-CN"/>
                <w14:textFill>
                  <w14:solidFill>
                    <w14:schemeClr w14:val="tx1"/>
                  </w14:solidFill>
                </w14:textFill>
              </w:rPr>
              <w:t>（仅为示范格式，直接填写无效，需至“南京政府采购供应商诚信档案管理系统”在线打印）</w:t>
            </w:r>
          </w:p>
        </w:tc>
      </w:tr>
      <w:tr w14:paraId="2D7B2F80">
        <w:tblPrEx>
          <w:tblCellMar>
            <w:top w:w="15" w:type="dxa"/>
            <w:left w:w="15" w:type="dxa"/>
            <w:bottom w:w="15" w:type="dxa"/>
            <w:right w:w="15" w:type="dxa"/>
          </w:tblCellMar>
        </w:tblPrEx>
        <w:trPr>
          <w:trHeight w:val="624" w:hRule="atLeast"/>
        </w:trPr>
        <w:tc>
          <w:tcPr>
            <w:tcW w:w="2000" w:type="dxa"/>
            <w:tcBorders>
              <w:top w:val="single" w:color="000000" w:sz="18" w:space="0"/>
              <w:left w:val="single" w:color="000000" w:sz="18" w:space="0"/>
              <w:bottom w:val="single" w:color="000000" w:sz="4" w:space="0"/>
              <w:right w:val="single" w:color="000000" w:sz="4" w:space="0"/>
            </w:tcBorders>
            <w:noWrap/>
            <w:vAlign w:val="center"/>
          </w:tcPr>
          <w:p w14:paraId="60F7802B">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单位名称</w:t>
            </w:r>
          </w:p>
        </w:tc>
        <w:tc>
          <w:tcPr>
            <w:tcW w:w="2693" w:type="dxa"/>
            <w:tcBorders>
              <w:top w:val="single" w:color="000000" w:sz="18" w:space="0"/>
              <w:left w:val="single" w:color="000000" w:sz="4" w:space="0"/>
              <w:bottom w:val="single" w:color="000000" w:sz="4" w:space="0"/>
              <w:right w:val="single" w:color="000000" w:sz="4" w:space="0"/>
            </w:tcBorders>
            <w:noWrap/>
            <w:vAlign w:val="center"/>
          </w:tcPr>
          <w:p w14:paraId="7F0B9F84">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18" w:space="0"/>
              <w:left w:val="single" w:color="000000" w:sz="4" w:space="0"/>
              <w:bottom w:val="single" w:color="000000" w:sz="4" w:space="0"/>
              <w:right w:val="single" w:color="000000" w:sz="4" w:space="0"/>
            </w:tcBorders>
            <w:noWrap/>
            <w:vAlign w:val="center"/>
          </w:tcPr>
          <w:p w14:paraId="52955665">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统一社会信用代码</w:t>
            </w:r>
          </w:p>
        </w:tc>
        <w:tc>
          <w:tcPr>
            <w:tcW w:w="2409" w:type="dxa"/>
            <w:tcBorders>
              <w:top w:val="single" w:color="000000" w:sz="18" w:space="0"/>
              <w:left w:val="single" w:color="000000" w:sz="4" w:space="0"/>
              <w:bottom w:val="single" w:color="000000" w:sz="4" w:space="0"/>
              <w:right w:val="single" w:color="000000" w:sz="18" w:space="0"/>
            </w:tcBorders>
            <w:noWrap/>
            <w:vAlign w:val="center"/>
          </w:tcPr>
          <w:p w14:paraId="3A78675B">
            <w:pPr>
              <w:rPr>
                <w:rFonts w:ascii="宋体" w:hAnsi="宋体" w:cs="宋体"/>
                <w:color w:val="000000" w:themeColor="text1"/>
                <w:sz w:val="24"/>
                <w:highlight w:val="none"/>
                <w14:textFill>
                  <w14:solidFill>
                    <w14:schemeClr w14:val="tx1"/>
                  </w14:solidFill>
                </w14:textFill>
              </w:rPr>
            </w:pPr>
          </w:p>
        </w:tc>
      </w:tr>
      <w:tr w14:paraId="13B30603">
        <w:tblPrEx>
          <w:tblCellMar>
            <w:top w:w="15" w:type="dxa"/>
            <w:left w:w="15" w:type="dxa"/>
            <w:bottom w:w="15" w:type="dxa"/>
            <w:right w:w="15" w:type="dxa"/>
          </w:tblCellMar>
        </w:tblPrEx>
        <w:trPr>
          <w:trHeight w:val="585"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2E186AFA">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法定代表人</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48DF2D7D">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993163E">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联系人</w:t>
            </w:r>
          </w:p>
        </w:tc>
        <w:tc>
          <w:tcPr>
            <w:tcW w:w="2409" w:type="dxa"/>
            <w:tcBorders>
              <w:top w:val="single" w:color="000000" w:sz="4" w:space="0"/>
              <w:left w:val="single" w:color="000000" w:sz="4" w:space="0"/>
              <w:bottom w:val="single" w:color="000000" w:sz="4" w:space="0"/>
              <w:right w:val="single" w:color="000000" w:sz="18" w:space="0"/>
            </w:tcBorders>
            <w:noWrap/>
            <w:vAlign w:val="center"/>
          </w:tcPr>
          <w:p w14:paraId="43EA8920">
            <w:pPr>
              <w:rPr>
                <w:rFonts w:ascii="宋体" w:hAnsi="宋体" w:cs="宋体"/>
                <w:color w:val="000000" w:themeColor="text1"/>
                <w:sz w:val="24"/>
                <w:highlight w:val="none"/>
                <w14:textFill>
                  <w14:solidFill>
                    <w14:schemeClr w14:val="tx1"/>
                  </w14:solidFill>
                </w14:textFill>
              </w:rPr>
            </w:pPr>
          </w:p>
        </w:tc>
      </w:tr>
      <w:tr w14:paraId="74F6B7C7">
        <w:tblPrEx>
          <w:tblCellMar>
            <w:top w:w="15" w:type="dxa"/>
            <w:left w:w="15" w:type="dxa"/>
            <w:bottom w:w="15" w:type="dxa"/>
            <w:right w:w="15" w:type="dxa"/>
          </w:tblCellMar>
        </w:tblPrEx>
        <w:trPr>
          <w:trHeight w:val="720"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4CF023D5">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联系地址</w:t>
            </w:r>
          </w:p>
        </w:tc>
        <w:tc>
          <w:tcPr>
            <w:tcW w:w="2693" w:type="dxa"/>
            <w:tcBorders>
              <w:top w:val="single" w:color="000000" w:sz="4" w:space="0"/>
              <w:left w:val="single" w:color="000000" w:sz="4" w:space="0"/>
              <w:bottom w:val="single" w:color="000000" w:sz="4" w:space="0"/>
              <w:right w:val="single" w:color="000000" w:sz="4" w:space="0"/>
            </w:tcBorders>
            <w:noWrap/>
            <w:vAlign w:val="center"/>
          </w:tcPr>
          <w:p w14:paraId="2C750A1C">
            <w:pPr>
              <w:rPr>
                <w:rFonts w:ascii="宋体" w:hAnsi="宋体" w:cs="宋体"/>
                <w:color w:val="000000" w:themeColor="text1"/>
                <w:sz w:val="24"/>
                <w:highlight w:val="none"/>
                <w14:textFill>
                  <w14:solidFill>
                    <w14:schemeClr w14:val="tx1"/>
                  </w14:solidFill>
                </w14:textFill>
              </w:rPr>
            </w:pPr>
          </w:p>
        </w:tc>
        <w:tc>
          <w:tcPr>
            <w:tcW w:w="2552" w:type="dxa"/>
            <w:tcBorders>
              <w:top w:val="single" w:color="000000" w:sz="4" w:space="0"/>
              <w:left w:val="single" w:color="000000" w:sz="4" w:space="0"/>
              <w:bottom w:val="single" w:color="000000" w:sz="4" w:space="0"/>
              <w:right w:val="single" w:color="000000" w:sz="4" w:space="0"/>
            </w:tcBorders>
            <w:noWrap/>
            <w:vAlign w:val="center"/>
          </w:tcPr>
          <w:p w14:paraId="0ADD80AB">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联系电话</w:t>
            </w:r>
          </w:p>
        </w:tc>
        <w:tc>
          <w:tcPr>
            <w:tcW w:w="2409" w:type="dxa"/>
            <w:tcBorders>
              <w:top w:val="single" w:color="000000" w:sz="4" w:space="0"/>
              <w:left w:val="single" w:color="000000" w:sz="4" w:space="0"/>
              <w:bottom w:val="single" w:color="000000" w:sz="4" w:space="0"/>
              <w:right w:val="single" w:color="000000" w:sz="18" w:space="0"/>
            </w:tcBorders>
            <w:noWrap/>
            <w:vAlign w:val="center"/>
          </w:tcPr>
          <w:p w14:paraId="28EDF363">
            <w:pPr>
              <w:rPr>
                <w:rFonts w:ascii="宋体" w:hAnsi="宋体" w:cs="宋体"/>
                <w:color w:val="000000" w:themeColor="text1"/>
                <w:sz w:val="24"/>
                <w:highlight w:val="none"/>
                <w14:textFill>
                  <w14:solidFill>
                    <w14:schemeClr w14:val="tx1"/>
                  </w14:solidFill>
                </w14:textFill>
              </w:rPr>
            </w:pPr>
          </w:p>
        </w:tc>
      </w:tr>
      <w:tr w14:paraId="7C8E6F2B">
        <w:tblPrEx>
          <w:tblCellMar>
            <w:top w:w="15" w:type="dxa"/>
            <w:left w:w="15" w:type="dxa"/>
            <w:bottom w:w="15" w:type="dxa"/>
            <w:right w:w="15" w:type="dxa"/>
          </w:tblCellMar>
        </w:tblPrEx>
        <w:trPr>
          <w:trHeight w:val="953" w:hRule="atLeast"/>
        </w:trPr>
        <w:tc>
          <w:tcPr>
            <w:tcW w:w="2000" w:type="dxa"/>
            <w:tcBorders>
              <w:top w:val="single" w:color="000000" w:sz="4" w:space="0"/>
              <w:left w:val="single" w:color="000000" w:sz="18" w:space="0"/>
              <w:bottom w:val="single" w:color="000000" w:sz="4" w:space="0"/>
              <w:right w:val="single" w:color="000000" w:sz="4" w:space="0"/>
            </w:tcBorders>
            <w:noWrap/>
            <w:vAlign w:val="center"/>
          </w:tcPr>
          <w:p w14:paraId="21C3256B">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诚信档案记录情况</w:t>
            </w:r>
          </w:p>
        </w:tc>
        <w:tc>
          <w:tcPr>
            <w:tcW w:w="7654" w:type="dxa"/>
            <w:gridSpan w:val="3"/>
            <w:tcBorders>
              <w:top w:val="single" w:color="000000" w:sz="4" w:space="0"/>
              <w:left w:val="single" w:color="000000" w:sz="4" w:space="0"/>
              <w:bottom w:val="single" w:color="000000" w:sz="4" w:space="0"/>
              <w:right w:val="single" w:color="000000" w:sz="18" w:space="0"/>
            </w:tcBorders>
            <w:noWrap/>
            <w:vAlign w:val="center"/>
          </w:tcPr>
          <w:p w14:paraId="6634DD6F">
            <w:pPr>
              <w:rPr>
                <w:rFonts w:ascii="宋体" w:hAnsi="宋体" w:cs="宋体"/>
                <w:color w:val="000000" w:themeColor="text1"/>
                <w:sz w:val="24"/>
                <w:highlight w:val="none"/>
                <w14:textFill>
                  <w14:solidFill>
                    <w14:schemeClr w14:val="tx1"/>
                  </w14:solidFill>
                </w14:textFill>
              </w:rPr>
            </w:pPr>
          </w:p>
        </w:tc>
      </w:tr>
      <w:tr w14:paraId="1DC806D8">
        <w:tblPrEx>
          <w:tblCellMar>
            <w:top w:w="15" w:type="dxa"/>
            <w:left w:w="15" w:type="dxa"/>
            <w:bottom w:w="15" w:type="dxa"/>
            <w:right w:w="15" w:type="dxa"/>
          </w:tblCellMar>
        </w:tblPrEx>
        <w:trPr>
          <w:trHeight w:val="3512" w:hRule="atLeast"/>
        </w:trPr>
        <w:tc>
          <w:tcPr>
            <w:tcW w:w="2000" w:type="dxa"/>
            <w:tcBorders>
              <w:top w:val="single" w:color="000000" w:sz="4" w:space="0"/>
              <w:left w:val="single" w:color="000000" w:sz="18" w:space="0"/>
              <w:bottom w:val="single" w:color="000000" w:sz="18" w:space="0"/>
              <w:right w:val="single" w:color="000000" w:sz="4" w:space="0"/>
            </w:tcBorders>
            <w:noWrap/>
            <w:vAlign w:val="center"/>
          </w:tcPr>
          <w:p w14:paraId="48601EE9">
            <w:pPr>
              <w:widowControl/>
              <w:textAlignment w:val="center"/>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信用承诺</w:t>
            </w:r>
          </w:p>
        </w:tc>
        <w:tc>
          <w:tcPr>
            <w:tcW w:w="7654" w:type="dxa"/>
            <w:gridSpan w:val="3"/>
            <w:tcBorders>
              <w:top w:val="single" w:color="000000" w:sz="4" w:space="0"/>
              <w:left w:val="single" w:color="000000" w:sz="4" w:space="0"/>
              <w:bottom w:val="single" w:color="000000" w:sz="18" w:space="0"/>
              <w:right w:val="single" w:color="000000" w:sz="18" w:space="0"/>
            </w:tcBorders>
            <w:noWrap/>
            <w:vAlign w:val="center"/>
          </w:tcPr>
          <w:p w14:paraId="48A79A9B">
            <w:pPr>
              <w:widowControl/>
              <w:spacing w:line="400" w:lineRule="exact"/>
              <w:rPr>
                <w:rFonts w:ascii="宋体" w:hAnsi="宋体" w:cs="宋体"/>
                <w:b/>
                <w:color w:val="000000" w:themeColor="text1"/>
                <w:sz w:val="24"/>
                <w:highlight w:val="none"/>
                <w:lang w:eastAsia="zh-CN"/>
                <w14:textFill>
                  <w14:solidFill>
                    <w14:schemeClr w14:val="tx1"/>
                  </w14:solidFill>
                </w14:textFill>
              </w:rPr>
            </w:pPr>
            <w:r>
              <w:rPr>
                <w:rFonts w:hint="eastAsia" w:ascii="宋体" w:hAnsi="宋体" w:cs="宋体"/>
                <w:b/>
                <w:color w:val="000000" w:themeColor="text1"/>
                <w:sz w:val="24"/>
                <w:highlight w:val="none"/>
                <w:lang w:eastAsia="zh-CN"/>
                <w14:textFill>
                  <w14:solidFill>
                    <w14:schemeClr w14:val="tx1"/>
                  </w14:solidFill>
                </w14:textFill>
              </w:rPr>
              <w:t>信用承诺：</w:t>
            </w:r>
          </w:p>
          <w:p w14:paraId="747F848D">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p>
          <w:p w14:paraId="743B4F78">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供应商名称（盖章）：</w:t>
            </w:r>
          </w:p>
          <w:p w14:paraId="55D2ED16">
            <w:pPr>
              <w:widowControl/>
              <w:spacing w:line="400" w:lineRule="exact"/>
              <w:ind w:firstLine="240" w:firstLineChars="100"/>
              <w:rPr>
                <w:rFonts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法定代表人（签字）：</w:t>
            </w:r>
          </w:p>
          <w:p w14:paraId="3D8A0740">
            <w:pPr>
              <w:widowControl/>
              <w:spacing w:line="400" w:lineRule="exact"/>
              <w:ind w:firstLine="240" w:firstLineChars="1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二〇    年  月    日</w:t>
            </w:r>
          </w:p>
        </w:tc>
      </w:tr>
    </w:tbl>
    <w:p w14:paraId="4E274E4E">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注：1、供应商在中标（成交）后，应按采购文件要求，将上述由信用承诺书替代的证明材料提交采购人或采购代理机构核验。经核验无误后，由采购人或采购代理机构发出中标（成交）通知书。</w:t>
      </w:r>
    </w:p>
    <w:p w14:paraId="0B3183F0">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 xml:space="preserve">    2、供应商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09E74933">
      <w:pPr>
        <w:autoSpaceDE w:val="0"/>
        <w:autoSpaceDN w:val="0"/>
        <w:adjustRightInd w:val="0"/>
        <w:ind w:firstLine="480" w:firstLineChars="200"/>
        <w:rPr>
          <w:rFonts w:ascii="宋体" w:hAnsi="宋体" w:cs="宋体"/>
          <w:b/>
          <w:color w:val="000000" w:themeColor="text1"/>
          <w:sz w:val="24"/>
          <w:szCs w:val="21"/>
          <w:highlight w:val="none"/>
          <w:lang w:val="zh-CN" w:eastAsia="zh-CN"/>
          <w14:textFill>
            <w14:solidFill>
              <w14:schemeClr w14:val="tx1"/>
            </w14:solidFill>
          </w14:textFill>
        </w:rPr>
      </w:pPr>
      <w:r>
        <w:rPr>
          <w:rFonts w:hint="eastAsia" w:ascii="宋体" w:hAnsi="宋体" w:cs="宋体"/>
          <w:b/>
          <w:color w:val="000000" w:themeColor="text1"/>
          <w:sz w:val="24"/>
          <w:szCs w:val="21"/>
          <w:highlight w:val="none"/>
          <w:lang w:val="zh-CN" w:eastAsia="zh-CN"/>
          <w14:textFill>
            <w14:solidFill>
              <w14:schemeClr w14:val="tx1"/>
            </w14:solidFill>
          </w14:textFill>
        </w:rPr>
        <w:t>★3、本承诺书打印时间须在本项目招标公告发布至投标截止时间内。</w:t>
      </w:r>
    </w:p>
    <w:p w14:paraId="322F84AE">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p>
    <w:p w14:paraId="6CCE88DF">
      <w:pPr>
        <w:autoSpaceDE w:val="0"/>
        <w:autoSpaceDN w:val="0"/>
        <w:adjustRightInd w:val="0"/>
        <w:rPr>
          <w:rFonts w:ascii="宋体" w:hAnsi="宋体" w:cs="宋体"/>
          <w:b/>
          <w:color w:val="000000" w:themeColor="text1"/>
          <w:sz w:val="24"/>
          <w:szCs w:val="21"/>
          <w:highlight w:val="none"/>
          <w:lang w:val="zh-CN" w:eastAsia="zh-CN"/>
          <w14:textFill>
            <w14:solidFill>
              <w14:schemeClr w14:val="tx1"/>
            </w14:solidFill>
          </w14:textFill>
        </w:rPr>
      </w:pPr>
    </w:p>
    <w:p w14:paraId="60190D33">
      <w:pPr>
        <w:autoSpaceDE w:val="0"/>
        <w:autoSpaceDN w:val="0"/>
        <w:adjustRightInd w:val="0"/>
        <w:spacing w:line="360" w:lineRule="auto"/>
        <w:outlineLvl w:val="1"/>
        <w:rPr>
          <w:rFonts w:ascii="宋体" w:hAnsi="宋体" w:cs="黑体" w:eastAsiaTheme="minorEastAsia"/>
          <w:b/>
          <w:bCs/>
          <w:color w:val="000000" w:themeColor="text1"/>
          <w:sz w:val="24"/>
          <w:szCs w:val="21"/>
          <w:highlight w:val="none"/>
          <w:lang w:eastAsia="zh-CN"/>
          <w14:textFill>
            <w14:solidFill>
              <w14:schemeClr w14:val="tx1"/>
            </w14:solidFill>
          </w14:textFill>
        </w:rPr>
      </w:pPr>
      <w:bookmarkStart w:id="203" w:name="_Toc175663965"/>
      <w:r>
        <w:rPr>
          <w:rFonts w:hint="eastAsia" w:ascii="宋体" w:hAnsi="宋体" w:cs="黑体"/>
          <w:b/>
          <w:bCs/>
          <w:color w:val="000000" w:themeColor="text1"/>
          <w:sz w:val="24"/>
          <w:szCs w:val="21"/>
          <w:highlight w:val="none"/>
          <w:lang w:eastAsia="zh-CN"/>
          <w14:textFill>
            <w14:solidFill>
              <w14:schemeClr w14:val="tx1"/>
            </w14:solidFill>
          </w14:textFill>
        </w:rPr>
        <w:t>十</w:t>
      </w:r>
      <w:r>
        <w:rPr>
          <w:rFonts w:hint="eastAsia" w:ascii="宋体" w:hAnsi="宋体" w:cs="黑体"/>
          <w:b/>
          <w:bCs/>
          <w:color w:val="000000" w:themeColor="text1"/>
          <w:sz w:val="24"/>
          <w:szCs w:val="21"/>
          <w:highlight w:val="none"/>
          <w:lang w:val="en-US" w:eastAsia="zh-CN"/>
          <w14:textFill>
            <w14:solidFill>
              <w14:schemeClr w14:val="tx1"/>
            </w14:solidFill>
          </w14:textFill>
        </w:rPr>
        <w:t>五</w:t>
      </w:r>
      <w:r>
        <w:rPr>
          <w:rFonts w:hint="eastAsia" w:ascii="宋体" w:hAnsi="宋体" w:cs="黑体"/>
          <w:b/>
          <w:bCs/>
          <w:color w:val="000000" w:themeColor="text1"/>
          <w:sz w:val="24"/>
          <w:szCs w:val="21"/>
          <w:highlight w:val="none"/>
          <w:lang w:eastAsia="zh-CN"/>
          <w14:textFill>
            <w14:solidFill>
              <w14:schemeClr w14:val="tx1"/>
            </w14:solidFill>
          </w14:textFill>
        </w:rPr>
        <w:t>、其他（格式自拟）</w:t>
      </w:r>
      <w:bookmarkEnd w:id="203"/>
    </w:p>
    <w:p w14:paraId="3F7DEEAE">
      <w:pPr>
        <w:pStyle w:val="18"/>
        <w:spacing w:before="26"/>
        <w:ind w:left="112" w:right="233"/>
        <w:jc w:val="center"/>
        <w:rPr>
          <w:color w:val="000000" w:themeColor="text1"/>
          <w:sz w:val="21"/>
          <w:szCs w:val="21"/>
          <w:highlight w:val="none"/>
          <w:lang w:eastAsia="zh-CN"/>
          <w14:textFill>
            <w14:solidFill>
              <w14:schemeClr w14:val="tx1"/>
            </w14:solidFill>
          </w14:textFill>
        </w:rPr>
      </w:pPr>
    </w:p>
    <w:sectPr>
      <w:headerReference r:id="rId3" w:type="default"/>
      <w:footerReference r:id="rId4" w:type="default"/>
      <w:pgSz w:w="11906" w:h="16838"/>
      <w:pgMar w:top="1418" w:right="1134" w:bottom="1247" w:left="130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2CDA367-1CD2-48DD-ADE6-4D4C80E444D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65BBA8AE-85AE-4CD1-B64A-0507B0F19F63}"/>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Ar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10" w:usb3="00000000" w:csb0="00040000" w:csb1="00000000"/>
    <w:embedRegular r:id="rId3" w:fontKey="{A5B08B7E-C2C1-4600-9038-615AF6BBBB91}"/>
  </w:font>
  <w:font w:name="仿宋">
    <w:panose1 w:val="02010609060101010101"/>
    <w:charset w:val="86"/>
    <w:family w:val="modern"/>
    <w:pitch w:val="default"/>
    <w:sig w:usb0="800002BF" w:usb1="38CF7CFA" w:usb2="00000016" w:usb3="00000000" w:csb0="00040001" w:csb1="00000000"/>
    <w:embedRegular r:id="rId4" w:fontKey="{09BC1CEF-76DB-435F-B0F5-3AA2353587D3}"/>
  </w:font>
  <w:font w:name="Consolas">
    <w:panose1 w:val="020B0609020204030204"/>
    <w:charset w:val="00"/>
    <w:family w:val="modern"/>
    <w:pitch w:val="default"/>
    <w:sig w:usb0="E00006FF" w:usb1="0000FCFF" w:usb2="00000001" w:usb3="00000000" w:csb0="6000019F" w:csb1="DFD70000"/>
  </w:font>
  <w:font w:name="华文细黑">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金山简魏碑">
    <w:altName w:val="宋体"/>
    <w:panose1 w:val="00000000000000000000"/>
    <w:charset w:val="86"/>
    <w:family w:val="modern"/>
    <w:pitch w:val="default"/>
    <w:sig w:usb0="00000000" w:usb1="00000000" w:usb2="00000010" w:usb3="00000000" w:csb0="00040000" w:csb1="00000000"/>
  </w:font>
  <w:font w:name="KNLe">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ZLe">
    <w:altName w:val="Times New Roman"/>
    <w:panose1 w:val="00000000000000000000"/>
    <w:charset w:val="00"/>
    <w:family w:val="roman"/>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embedRegular r:id="rId5" w:fontKey="{C10F9808-63D6-419C-BF2C-F6BA7A05981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46D773">
    <w:pPr>
      <w:pStyle w:val="30"/>
      <w:jc w:val="center"/>
      <w:rPr>
        <w:rFonts w:eastAsiaTheme="minorEastAsia"/>
        <w:lang w:eastAsia="zh-CN"/>
      </w:rPr>
    </w:pPr>
    <w:r>
      <w:rPr>
        <w:lang w:val="en-US"/>
      </w:rPr>
      <w:fldChar w:fldCharType="begin"/>
    </w:r>
    <w:r>
      <w:instrText xml:space="preserve"> PAGE   \* MERGEFORMAT </w:instrText>
    </w:r>
    <w:r>
      <w:rPr>
        <w:lang w:val="en-US"/>
      </w:rPr>
      <w:fldChar w:fldCharType="separate"/>
    </w:r>
    <w:r>
      <w:rPr>
        <w:lang w:val="zh-CN"/>
      </w:rPr>
      <w:t>45</w:t>
    </w:r>
    <w:r>
      <w:rPr>
        <w:lang w:val="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70A658">
    <w:pPr>
      <w:spacing w:line="14" w:lineRule="aut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417B41"/>
    <w:multiLevelType w:val="multilevel"/>
    <w:tmpl w:val="42417B41"/>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6CD026D3"/>
    <w:multiLevelType w:val="singleLevel"/>
    <w:tmpl w:val="6CD026D3"/>
    <w:lvl w:ilvl="0" w:tentative="0">
      <w:start w:val="2"/>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72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wY2MzNjA3ZmUyMmM4NWFmNWZlNTEyMjVkYmQ2OWQifQ=="/>
  </w:docVars>
  <w:rsids>
    <w:rsidRoot w:val="00B37687"/>
    <w:rsid w:val="00011CBD"/>
    <w:rsid w:val="000175AB"/>
    <w:rsid w:val="00025F16"/>
    <w:rsid w:val="00051695"/>
    <w:rsid w:val="000954BB"/>
    <w:rsid w:val="000C0952"/>
    <w:rsid w:val="000E46A7"/>
    <w:rsid w:val="000F26C5"/>
    <w:rsid w:val="000F5645"/>
    <w:rsid w:val="0011257B"/>
    <w:rsid w:val="001146A8"/>
    <w:rsid w:val="00222B40"/>
    <w:rsid w:val="00225DD3"/>
    <w:rsid w:val="00243497"/>
    <w:rsid w:val="00257B2E"/>
    <w:rsid w:val="00276216"/>
    <w:rsid w:val="00276311"/>
    <w:rsid w:val="002829A8"/>
    <w:rsid w:val="002A04C4"/>
    <w:rsid w:val="002B1762"/>
    <w:rsid w:val="002B421D"/>
    <w:rsid w:val="002C646C"/>
    <w:rsid w:val="002D024E"/>
    <w:rsid w:val="00312D33"/>
    <w:rsid w:val="003247E4"/>
    <w:rsid w:val="00327E33"/>
    <w:rsid w:val="00367756"/>
    <w:rsid w:val="003718DE"/>
    <w:rsid w:val="003832F4"/>
    <w:rsid w:val="003A0B68"/>
    <w:rsid w:val="003A2C50"/>
    <w:rsid w:val="003D6FB0"/>
    <w:rsid w:val="003E47EA"/>
    <w:rsid w:val="003E6C6F"/>
    <w:rsid w:val="004053DE"/>
    <w:rsid w:val="00421508"/>
    <w:rsid w:val="00452A4A"/>
    <w:rsid w:val="004726BA"/>
    <w:rsid w:val="004868DE"/>
    <w:rsid w:val="00494CB8"/>
    <w:rsid w:val="004A3953"/>
    <w:rsid w:val="004B2F1D"/>
    <w:rsid w:val="004B5357"/>
    <w:rsid w:val="004B6EC2"/>
    <w:rsid w:val="0052014E"/>
    <w:rsid w:val="00524EDB"/>
    <w:rsid w:val="0054061E"/>
    <w:rsid w:val="0056126E"/>
    <w:rsid w:val="005C4DEE"/>
    <w:rsid w:val="005E3F6C"/>
    <w:rsid w:val="00621F1B"/>
    <w:rsid w:val="00663612"/>
    <w:rsid w:val="00667C07"/>
    <w:rsid w:val="006779BF"/>
    <w:rsid w:val="006B6E07"/>
    <w:rsid w:val="006C4E91"/>
    <w:rsid w:val="00703E3A"/>
    <w:rsid w:val="00711AB1"/>
    <w:rsid w:val="00715B37"/>
    <w:rsid w:val="00731AE6"/>
    <w:rsid w:val="00744CA3"/>
    <w:rsid w:val="00754D6A"/>
    <w:rsid w:val="00757B46"/>
    <w:rsid w:val="00766A1F"/>
    <w:rsid w:val="00790231"/>
    <w:rsid w:val="00794217"/>
    <w:rsid w:val="007C4E45"/>
    <w:rsid w:val="007C5536"/>
    <w:rsid w:val="007D133B"/>
    <w:rsid w:val="008362CC"/>
    <w:rsid w:val="00860F0E"/>
    <w:rsid w:val="00861502"/>
    <w:rsid w:val="00886AA5"/>
    <w:rsid w:val="00895612"/>
    <w:rsid w:val="008A505E"/>
    <w:rsid w:val="008C6A4F"/>
    <w:rsid w:val="008E37EA"/>
    <w:rsid w:val="008E6E22"/>
    <w:rsid w:val="00911D11"/>
    <w:rsid w:val="00911D3F"/>
    <w:rsid w:val="00942374"/>
    <w:rsid w:val="00954864"/>
    <w:rsid w:val="00963FEF"/>
    <w:rsid w:val="00985795"/>
    <w:rsid w:val="009D5FE5"/>
    <w:rsid w:val="00A120B9"/>
    <w:rsid w:val="00A14004"/>
    <w:rsid w:val="00A450CC"/>
    <w:rsid w:val="00A47459"/>
    <w:rsid w:val="00A644B1"/>
    <w:rsid w:val="00A76E1A"/>
    <w:rsid w:val="00A842B9"/>
    <w:rsid w:val="00A8433C"/>
    <w:rsid w:val="00AE4B5E"/>
    <w:rsid w:val="00B1356D"/>
    <w:rsid w:val="00B13BAA"/>
    <w:rsid w:val="00B17E5D"/>
    <w:rsid w:val="00B21D0B"/>
    <w:rsid w:val="00B264E0"/>
    <w:rsid w:val="00B374F8"/>
    <w:rsid w:val="00B37687"/>
    <w:rsid w:val="00B62000"/>
    <w:rsid w:val="00B85637"/>
    <w:rsid w:val="00BA12C5"/>
    <w:rsid w:val="00BA2320"/>
    <w:rsid w:val="00BB187E"/>
    <w:rsid w:val="00BD40ED"/>
    <w:rsid w:val="00BD6555"/>
    <w:rsid w:val="00BD6958"/>
    <w:rsid w:val="00BF39FC"/>
    <w:rsid w:val="00BF7221"/>
    <w:rsid w:val="00C03E88"/>
    <w:rsid w:val="00C060B8"/>
    <w:rsid w:val="00C121AC"/>
    <w:rsid w:val="00C87FF4"/>
    <w:rsid w:val="00D52623"/>
    <w:rsid w:val="00D75E83"/>
    <w:rsid w:val="00D85C97"/>
    <w:rsid w:val="00D86D3F"/>
    <w:rsid w:val="00D91BFA"/>
    <w:rsid w:val="00DA2A32"/>
    <w:rsid w:val="00E273AC"/>
    <w:rsid w:val="00E76A6B"/>
    <w:rsid w:val="00EA3AA4"/>
    <w:rsid w:val="00EA4938"/>
    <w:rsid w:val="00EA542E"/>
    <w:rsid w:val="00EB6F85"/>
    <w:rsid w:val="00ED0FBD"/>
    <w:rsid w:val="00F03C36"/>
    <w:rsid w:val="00F268A6"/>
    <w:rsid w:val="00F336FF"/>
    <w:rsid w:val="00F50669"/>
    <w:rsid w:val="00F52064"/>
    <w:rsid w:val="00F62699"/>
    <w:rsid w:val="00F80751"/>
    <w:rsid w:val="00F94D15"/>
    <w:rsid w:val="00FA7895"/>
    <w:rsid w:val="00FC098E"/>
    <w:rsid w:val="00FC1EE2"/>
    <w:rsid w:val="00FF5C5B"/>
    <w:rsid w:val="016245C6"/>
    <w:rsid w:val="0177775C"/>
    <w:rsid w:val="01C208AF"/>
    <w:rsid w:val="01F445C7"/>
    <w:rsid w:val="05BB4D5E"/>
    <w:rsid w:val="092226A3"/>
    <w:rsid w:val="096E635C"/>
    <w:rsid w:val="09E0077E"/>
    <w:rsid w:val="0C590BAD"/>
    <w:rsid w:val="0DE02512"/>
    <w:rsid w:val="0E2C035C"/>
    <w:rsid w:val="0E5F516C"/>
    <w:rsid w:val="0ED95FB7"/>
    <w:rsid w:val="0F195CD1"/>
    <w:rsid w:val="100A6178"/>
    <w:rsid w:val="104135F9"/>
    <w:rsid w:val="110525CA"/>
    <w:rsid w:val="154C6D24"/>
    <w:rsid w:val="16E0489A"/>
    <w:rsid w:val="17606A5A"/>
    <w:rsid w:val="17C27715"/>
    <w:rsid w:val="17F44CBB"/>
    <w:rsid w:val="181A3740"/>
    <w:rsid w:val="19D92BCF"/>
    <w:rsid w:val="1AA618A6"/>
    <w:rsid w:val="1AF0779F"/>
    <w:rsid w:val="1C084BCA"/>
    <w:rsid w:val="1D1E0605"/>
    <w:rsid w:val="1D6D3648"/>
    <w:rsid w:val="1D7323BC"/>
    <w:rsid w:val="1DB341EC"/>
    <w:rsid w:val="1F7312F5"/>
    <w:rsid w:val="20D61EF9"/>
    <w:rsid w:val="20FC5B73"/>
    <w:rsid w:val="21515D36"/>
    <w:rsid w:val="21CD7FF9"/>
    <w:rsid w:val="225D2089"/>
    <w:rsid w:val="230404D5"/>
    <w:rsid w:val="24C45B42"/>
    <w:rsid w:val="258A140E"/>
    <w:rsid w:val="25FD7B6A"/>
    <w:rsid w:val="27337458"/>
    <w:rsid w:val="27685729"/>
    <w:rsid w:val="29876290"/>
    <w:rsid w:val="2A2E0CD5"/>
    <w:rsid w:val="2ADF307E"/>
    <w:rsid w:val="2EA27BD7"/>
    <w:rsid w:val="2ECE2EA0"/>
    <w:rsid w:val="2ED629EE"/>
    <w:rsid w:val="2F510DF5"/>
    <w:rsid w:val="2FD3466D"/>
    <w:rsid w:val="30185CCC"/>
    <w:rsid w:val="31D24BDD"/>
    <w:rsid w:val="32CE66D5"/>
    <w:rsid w:val="32D2318C"/>
    <w:rsid w:val="335B2689"/>
    <w:rsid w:val="33E235F2"/>
    <w:rsid w:val="33E502A9"/>
    <w:rsid w:val="34F50348"/>
    <w:rsid w:val="351153E0"/>
    <w:rsid w:val="352639D0"/>
    <w:rsid w:val="359909F0"/>
    <w:rsid w:val="35EE1917"/>
    <w:rsid w:val="36604142"/>
    <w:rsid w:val="3792750D"/>
    <w:rsid w:val="39762A50"/>
    <w:rsid w:val="3AF42EC4"/>
    <w:rsid w:val="3AF804C6"/>
    <w:rsid w:val="3B3B22F3"/>
    <w:rsid w:val="3B4879C6"/>
    <w:rsid w:val="3E011AFF"/>
    <w:rsid w:val="3E77753E"/>
    <w:rsid w:val="4292177C"/>
    <w:rsid w:val="43092CC4"/>
    <w:rsid w:val="44646D00"/>
    <w:rsid w:val="45884F6D"/>
    <w:rsid w:val="46C247B9"/>
    <w:rsid w:val="486E6405"/>
    <w:rsid w:val="4945758C"/>
    <w:rsid w:val="4ABB35AB"/>
    <w:rsid w:val="4AC27088"/>
    <w:rsid w:val="4C65255B"/>
    <w:rsid w:val="4F615AA1"/>
    <w:rsid w:val="51130435"/>
    <w:rsid w:val="51226553"/>
    <w:rsid w:val="52355618"/>
    <w:rsid w:val="530F621A"/>
    <w:rsid w:val="53AE0572"/>
    <w:rsid w:val="567F61F6"/>
    <w:rsid w:val="56A64683"/>
    <w:rsid w:val="577151B2"/>
    <w:rsid w:val="57825F9E"/>
    <w:rsid w:val="58492617"/>
    <w:rsid w:val="596C6231"/>
    <w:rsid w:val="5A30132A"/>
    <w:rsid w:val="5A6B2D19"/>
    <w:rsid w:val="5AA37A09"/>
    <w:rsid w:val="5B295D11"/>
    <w:rsid w:val="5BDD3CE1"/>
    <w:rsid w:val="5C122E7C"/>
    <w:rsid w:val="5C244482"/>
    <w:rsid w:val="5C2C69B3"/>
    <w:rsid w:val="5C844439"/>
    <w:rsid w:val="5CA50038"/>
    <w:rsid w:val="5D767658"/>
    <w:rsid w:val="5F1D47FE"/>
    <w:rsid w:val="60B94243"/>
    <w:rsid w:val="60D158A0"/>
    <w:rsid w:val="63B108C9"/>
    <w:rsid w:val="64516763"/>
    <w:rsid w:val="65567E8E"/>
    <w:rsid w:val="6618187B"/>
    <w:rsid w:val="699A18A3"/>
    <w:rsid w:val="6A25630C"/>
    <w:rsid w:val="6B8562AD"/>
    <w:rsid w:val="6C6E356B"/>
    <w:rsid w:val="6CBE317C"/>
    <w:rsid w:val="710342DB"/>
    <w:rsid w:val="71EE6610"/>
    <w:rsid w:val="75DF0C72"/>
    <w:rsid w:val="773B4B21"/>
    <w:rsid w:val="77611342"/>
    <w:rsid w:val="78C76824"/>
    <w:rsid w:val="79387321"/>
    <w:rsid w:val="7CA94F73"/>
    <w:rsid w:val="7E5576B9"/>
    <w:rsid w:val="7EC363D0"/>
    <w:rsid w:val="7EDD2B29"/>
    <w:rsid w:val="7FFA0518"/>
  </w:rsids>
  <m:mathPr>
    <m:mathFont m:val="Cambria Math"/>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99"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iPriority="99"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Calibri" w:hAnsi="Calibri" w:eastAsia="Calibri" w:cs="Times New Roman"/>
      <w:sz w:val="22"/>
      <w:szCs w:val="22"/>
      <w:lang w:val="en-US" w:eastAsia="en-US" w:bidi="ar-SA"/>
    </w:rPr>
  </w:style>
  <w:style w:type="paragraph" w:styleId="2">
    <w:name w:val="heading 1"/>
    <w:basedOn w:val="1"/>
    <w:next w:val="1"/>
    <w:link w:val="227"/>
    <w:qFormat/>
    <w:uiPriority w:val="0"/>
    <w:pPr>
      <w:outlineLvl w:val="0"/>
    </w:pPr>
    <w:rPr>
      <w:rFonts w:ascii="黑体" w:hAnsi="黑体" w:eastAsia="黑体"/>
      <w:sz w:val="72"/>
      <w:szCs w:val="72"/>
    </w:rPr>
  </w:style>
  <w:style w:type="paragraph" w:styleId="3">
    <w:name w:val="heading 2"/>
    <w:basedOn w:val="1"/>
    <w:next w:val="1"/>
    <w:link w:val="228"/>
    <w:qFormat/>
    <w:uiPriority w:val="0"/>
    <w:pPr>
      <w:ind w:left="1558"/>
      <w:outlineLvl w:val="1"/>
    </w:pPr>
    <w:rPr>
      <w:rFonts w:ascii="黑体" w:hAnsi="黑体" w:eastAsia="黑体"/>
      <w:b/>
      <w:bCs/>
      <w:sz w:val="36"/>
      <w:szCs w:val="36"/>
    </w:rPr>
  </w:style>
  <w:style w:type="paragraph" w:styleId="4">
    <w:name w:val="heading 3"/>
    <w:basedOn w:val="1"/>
    <w:next w:val="1"/>
    <w:link w:val="229"/>
    <w:qFormat/>
    <w:uiPriority w:val="0"/>
    <w:pPr>
      <w:outlineLvl w:val="2"/>
    </w:pPr>
    <w:rPr>
      <w:rFonts w:ascii="黑体" w:hAnsi="黑体" w:eastAsia="黑体"/>
      <w:sz w:val="32"/>
      <w:szCs w:val="32"/>
    </w:rPr>
  </w:style>
  <w:style w:type="paragraph" w:styleId="5">
    <w:name w:val="heading 4"/>
    <w:basedOn w:val="1"/>
    <w:next w:val="1"/>
    <w:link w:val="230"/>
    <w:qFormat/>
    <w:uiPriority w:val="0"/>
    <w:pPr>
      <w:spacing w:before="34"/>
      <w:ind w:left="358"/>
      <w:outlineLvl w:val="3"/>
    </w:pPr>
    <w:rPr>
      <w:rFonts w:ascii="宋体" w:hAnsi="宋体" w:eastAsia="宋体"/>
      <w:b/>
      <w:bCs/>
      <w:sz w:val="24"/>
      <w:szCs w:val="24"/>
    </w:rPr>
  </w:style>
  <w:style w:type="paragraph" w:styleId="6">
    <w:name w:val="heading 5"/>
    <w:basedOn w:val="1"/>
    <w:next w:val="1"/>
    <w:link w:val="287"/>
    <w:qFormat/>
    <w:uiPriority w:val="0"/>
    <w:pPr>
      <w:keepNext/>
      <w:keepLines/>
      <w:spacing w:before="280" w:after="290" w:line="372" w:lineRule="auto"/>
      <w:jc w:val="both"/>
      <w:outlineLvl w:val="4"/>
    </w:pPr>
    <w:rPr>
      <w:rFonts w:ascii="Times New Roman" w:hAnsi="Times New Roman" w:eastAsia="宋体"/>
      <w:b/>
      <w:bCs/>
      <w:kern w:val="2"/>
      <w:sz w:val="28"/>
      <w:szCs w:val="28"/>
      <w:lang w:eastAsia="zh-CN"/>
    </w:rPr>
  </w:style>
  <w:style w:type="paragraph" w:styleId="7">
    <w:name w:val="heading 6"/>
    <w:basedOn w:val="1"/>
    <w:next w:val="1"/>
    <w:link w:val="231"/>
    <w:qFormat/>
    <w:uiPriority w:val="0"/>
    <w:pPr>
      <w:keepNext/>
      <w:keepLines/>
      <w:widowControl/>
      <w:tabs>
        <w:tab w:val="left" w:pos="1440"/>
      </w:tabs>
      <w:spacing w:before="240" w:after="64" w:line="317" w:lineRule="auto"/>
      <w:ind w:left="1152" w:hanging="1152"/>
      <w:outlineLvl w:val="5"/>
    </w:pPr>
    <w:rPr>
      <w:rFonts w:ascii="Arial" w:hAnsi="Arial" w:eastAsia="黑体"/>
      <w:b/>
      <w:sz w:val="24"/>
      <w:szCs w:val="20"/>
    </w:rPr>
  </w:style>
  <w:style w:type="paragraph" w:styleId="8">
    <w:name w:val="heading 7"/>
    <w:basedOn w:val="1"/>
    <w:next w:val="1"/>
    <w:link w:val="232"/>
    <w:qFormat/>
    <w:uiPriority w:val="0"/>
    <w:pPr>
      <w:keepNext/>
      <w:keepLines/>
      <w:widowControl/>
      <w:tabs>
        <w:tab w:val="left" w:pos="2520"/>
      </w:tabs>
      <w:spacing w:before="240" w:after="64" w:line="317" w:lineRule="auto"/>
      <w:ind w:left="1296" w:hanging="1296"/>
      <w:outlineLvl w:val="6"/>
    </w:pPr>
    <w:rPr>
      <w:rFonts w:eastAsia="宋体"/>
      <w:b/>
      <w:sz w:val="24"/>
      <w:szCs w:val="20"/>
    </w:rPr>
  </w:style>
  <w:style w:type="paragraph" w:styleId="9">
    <w:name w:val="heading 8"/>
    <w:basedOn w:val="1"/>
    <w:next w:val="1"/>
    <w:link w:val="233"/>
    <w:qFormat/>
    <w:uiPriority w:val="0"/>
    <w:pPr>
      <w:keepNext/>
      <w:keepLines/>
      <w:widowControl/>
      <w:tabs>
        <w:tab w:val="left" w:pos="1440"/>
      </w:tabs>
      <w:spacing w:before="240" w:after="64" w:line="317" w:lineRule="auto"/>
      <w:ind w:left="1440" w:hanging="1440"/>
      <w:outlineLvl w:val="7"/>
    </w:pPr>
    <w:rPr>
      <w:rFonts w:ascii="Arial" w:hAnsi="Arial" w:eastAsia="黑体"/>
      <w:sz w:val="24"/>
      <w:szCs w:val="20"/>
    </w:rPr>
  </w:style>
  <w:style w:type="paragraph" w:styleId="10">
    <w:name w:val="heading 9"/>
    <w:basedOn w:val="1"/>
    <w:next w:val="1"/>
    <w:link w:val="234"/>
    <w:qFormat/>
    <w:uiPriority w:val="0"/>
    <w:pPr>
      <w:keepNext/>
      <w:keepLines/>
      <w:widowControl/>
      <w:tabs>
        <w:tab w:val="left" w:pos="1584"/>
      </w:tabs>
      <w:spacing w:before="240" w:after="64" w:line="317" w:lineRule="auto"/>
      <w:ind w:left="1584" w:hanging="1584"/>
      <w:outlineLvl w:val="8"/>
    </w:pPr>
    <w:rPr>
      <w:rFonts w:ascii="Arial" w:hAnsi="Arial" w:eastAsia="黑体"/>
      <w:sz w:val="21"/>
      <w:szCs w:val="20"/>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ind w:left="2520"/>
      <w:jc w:val="both"/>
    </w:pPr>
    <w:rPr>
      <w:rFonts w:eastAsia="宋体"/>
      <w:sz w:val="21"/>
      <w:lang w:eastAsia="zh-CN"/>
    </w:rPr>
  </w:style>
  <w:style w:type="paragraph" w:styleId="12">
    <w:name w:val="Normal Indent"/>
    <w:basedOn w:val="1"/>
    <w:qFormat/>
    <w:uiPriority w:val="0"/>
    <w:pPr>
      <w:ind w:firstLine="420"/>
    </w:pPr>
  </w:style>
  <w:style w:type="paragraph" w:styleId="13">
    <w:name w:val="caption"/>
    <w:basedOn w:val="1"/>
    <w:next w:val="1"/>
    <w:qFormat/>
    <w:uiPriority w:val="0"/>
    <w:pPr>
      <w:jc w:val="both"/>
    </w:pPr>
    <w:rPr>
      <w:rFonts w:ascii="Cambria" w:hAnsi="Cambria" w:eastAsia="黑体"/>
      <w:kern w:val="2"/>
      <w:sz w:val="20"/>
      <w:szCs w:val="20"/>
      <w:lang w:eastAsia="zh-CN"/>
    </w:rPr>
  </w:style>
  <w:style w:type="paragraph" w:styleId="14">
    <w:name w:val="Document Map"/>
    <w:basedOn w:val="1"/>
    <w:link w:val="235"/>
    <w:qFormat/>
    <w:uiPriority w:val="0"/>
    <w:rPr>
      <w:rFonts w:ascii="宋体" w:eastAsia="宋体"/>
      <w:sz w:val="18"/>
      <w:szCs w:val="18"/>
    </w:rPr>
  </w:style>
  <w:style w:type="paragraph" w:styleId="15">
    <w:name w:val="annotation text"/>
    <w:basedOn w:val="1"/>
    <w:link w:val="236"/>
    <w:qFormat/>
    <w:uiPriority w:val="0"/>
    <w:rPr>
      <w:sz w:val="20"/>
    </w:rPr>
  </w:style>
  <w:style w:type="paragraph" w:styleId="16">
    <w:name w:val="Salutation"/>
    <w:basedOn w:val="1"/>
    <w:next w:val="1"/>
    <w:link w:val="388"/>
    <w:qFormat/>
    <w:uiPriority w:val="99"/>
    <w:pPr>
      <w:jc w:val="both"/>
    </w:pPr>
    <w:rPr>
      <w:rFonts w:ascii="楷体_GB2312" w:eastAsia="楷体_GB2312"/>
      <w:kern w:val="2"/>
      <w:sz w:val="28"/>
      <w:szCs w:val="20"/>
      <w:lang w:eastAsia="zh-CN"/>
    </w:rPr>
  </w:style>
  <w:style w:type="paragraph" w:styleId="17">
    <w:name w:val="Body Text 3"/>
    <w:basedOn w:val="1"/>
    <w:link w:val="237"/>
    <w:qFormat/>
    <w:uiPriority w:val="0"/>
    <w:pPr>
      <w:jc w:val="both"/>
    </w:pPr>
    <w:rPr>
      <w:rFonts w:ascii="宋体" w:eastAsia="宋体"/>
      <w:sz w:val="24"/>
      <w:szCs w:val="20"/>
    </w:rPr>
  </w:style>
  <w:style w:type="paragraph" w:styleId="18">
    <w:name w:val="Body Text"/>
    <w:basedOn w:val="1"/>
    <w:link w:val="238"/>
    <w:qFormat/>
    <w:uiPriority w:val="0"/>
    <w:pPr>
      <w:spacing w:before="34"/>
      <w:ind w:left="118"/>
    </w:pPr>
    <w:rPr>
      <w:rFonts w:ascii="宋体" w:hAnsi="宋体" w:eastAsia="宋体"/>
      <w:sz w:val="24"/>
      <w:szCs w:val="24"/>
    </w:rPr>
  </w:style>
  <w:style w:type="paragraph" w:styleId="19">
    <w:name w:val="Body Text Indent"/>
    <w:basedOn w:val="1"/>
    <w:next w:val="20"/>
    <w:link w:val="239"/>
    <w:qFormat/>
    <w:uiPriority w:val="99"/>
    <w:pPr>
      <w:spacing w:after="120"/>
      <w:ind w:left="420"/>
      <w:jc w:val="both"/>
    </w:pPr>
    <w:rPr>
      <w:rFonts w:eastAsia="宋体"/>
      <w:sz w:val="21"/>
      <w:szCs w:val="20"/>
    </w:rPr>
  </w:style>
  <w:style w:type="paragraph" w:styleId="20">
    <w:name w:val="envelope return"/>
    <w:basedOn w:val="1"/>
    <w:unhideWhenUsed/>
    <w:qFormat/>
    <w:uiPriority w:val="99"/>
    <w:rPr>
      <w:rFonts w:ascii="Arial" w:hAnsi="Arial" w:cs="Arial"/>
    </w:rPr>
  </w:style>
  <w:style w:type="paragraph" w:styleId="21">
    <w:name w:val="index 4"/>
    <w:basedOn w:val="1"/>
    <w:next w:val="1"/>
    <w:unhideWhenUsed/>
    <w:qFormat/>
    <w:uiPriority w:val="0"/>
    <w:pPr>
      <w:ind w:left="600"/>
    </w:pPr>
  </w:style>
  <w:style w:type="paragraph" w:styleId="22">
    <w:name w:val="toc 5"/>
    <w:basedOn w:val="1"/>
    <w:next w:val="1"/>
    <w:unhideWhenUsed/>
    <w:qFormat/>
    <w:uiPriority w:val="0"/>
    <w:pPr>
      <w:ind w:left="1680"/>
      <w:jc w:val="both"/>
    </w:pPr>
    <w:rPr>
      <w:rFonts w:eastAsia="宋体"/>
      <w:sz w:val="21"/>
      <w:lang w:eastAsia="zh-CN"/>
    </w:rPr>
  </w:style>
  <w:style w:type="paragraph" w:styleId="23">
    <w:name w:val="toc 3"/>
    <w:basedOn w:val="1"/>
    <w:next w:val="1"/>
    <w:qFormat/>
    <w:uiPriority w:val="39"/>
    <w:pPr>
      <w:ind w:left="840"/>
      <w:jc w:val="both"/>
    </w:pPr>
    <w:rPr>
      <w:rFonts w:eastAsia="宋体"/>
      <w:sz w:val="21"/>
      <w:szCs w:val="20"/>
      <w:lang w:eastAsia="zh-CN"/>
    </w:rPr>
  </w:style>
  <w:style w:type="paragraph" w:styleId="24">
    <w:name w:val="Plain Text"/>
    <w:basedOn w:val="1"/>
    <w:link w:val="240"/>
    <w:qFormat/>
    <w:uiPriority w:val="0"/>
    <w:pPr>
      <w:jc w:val="both"/>
    </w:pPr>
    <w:rPr>
      <w:rFonts w:ascii="Ari" w:eastAsia="宋体"/>
      <w:sz w:val="21"/>
      <w:szCs w:val="24"/>
    </w:rPr>
  </w:style>
  <w:style w:type="paragraph" w:styleId="25">
    <w:name w:val="toc 8"/>
    <w:basedOn w:val="1"/>
    <w:next w:val="1"/>
    <w:unhideWhenUsed/>
    <w:qFormat/>
    <w:uiPriority w:val="0"/>
    <w:pPr>
      <w:ind w:left="2940"/>
      <w:jc w:val="both"/>
    </w:pPr>
    <w:rPr>
      <w:rFonts w:eastAsia="宋体"/>
      <w:sz w:val="21"/>
      <w:lang w:eastAsia="zh-CN"/>
    </w:rPr>
  </w:style>
  <w:style w:type="paragraph" w:styleId="26">
    <w:name w:val="Date"/>
    <w:basedOn w:val="1"/>
    <w:next w:val="1"/>
    <w:link w:val="241"/>
    <w:qFormat/>
    <w:uiPriority w:val="0"/>
    <w:pPr>
      <w:jc w:val="both"/>
    </w:pPr>
    <w:rPr>
      <w:rFonts w:eastAsia="宋体"/>
      <w:sz w:val="24"/>
      <w:szCs w:val="20"/>
    </w:rPr>
  </w:style>
  <w:style w:type="paragraph" w:styleId="27">
    <w:name w:val="Body Text Indent 2"/>
    <w:basedOn w:val="1"/>
    <w:link w:val="286"/>
    <w:unhideWhenUsed/>
    <w:qFormat/>
    <w:uiPriority w:val="0"/>
    <w:pPr>
      <w:spacing w:after="120" w:line="480" w:lineRule="auto"/>
      <w:ind w:left="420" w:leftChars="200"/>
    </w:pPr>
  </w:style>
  <w:style w:type="paragraph" w:styleId="28">
    <w:name w:val="endnote text"/>
    <w:basedOn w:val="1"/>
    <w:link w:val="225"/>
    <w:semiHidden/>
    <w:unhideWhenUsed/>
    <w:qFormat/>
    <w:uiPriority w:val="99"/>
    <w:rPr>
      <w:rFonts w:eastAsia="宋体"/>
      <w:sz w:val="20"/>
      <w:szCs w:val="20"/>
    </w:rPr>
  </w:style>
  <w:style w:type="paragraph" w:styleId="29">
    <w:name w:val="Balloon Text"/>
    <w:basedOn w:val="1"/>
    <w:link w:val="242"/>
    <w:qFormat/>
    <w:uiPriority w:val="0"/>
    <w:rPr>
      <w:sz w:val="18"/>
      <w:szCs w:val="18"/>
    </w:rPr>
  </w:style>
  <w:style w:type="paragraph" w:styleId="30">
    <w:name w:val="footer"/>
    <w:basedOn w:val="1"/>
    <w:link w:val="243"/>
    <w:qFormat/>
    <w:uiPriority w:val="0"/>
    <w:pPr>
      <w:tabs>
        <w:tab w:val="center" w:pos="4153"/>
        <w:tab w:val="right" w:pos="8306"/>
      </w:tabs>
    </w:pPr>
    <w:rPr>
      <w:sz w:val="18"/>
    </w:rPr>
  </w:style>
  <w:style w:type="paragraph" w:styleId="31">
    <w:name w:val="header"/>
    <w:basedOn w:val="1"/>
    <w:link w:val="244"/>
    <w:qFormat/>
    <w:uiPriority w:val="99"/>
    <w:pPr>
      <w:pBdr>
        <w:top w:val="none" w:color="000000" w:sz="0" w:space="1"/>
        <w:left w:val="none" w:color="000000" w:sz="0" w:space="4"/>
        <w:bottom w:val="none" w:color="000000" w:sz="0" w:space="1"/>
        <w:right w:val="none" w:color="000000" w:sz="0" w:space="4"/>
      </w:pBdr>
      <w:tabs>
        <w:tab w:val="center" w:pos="4153"/>
        <w:tab w:val="right" w:pos="8306"/>
      </w:tabs>
      <w:jc w:val="both"/>
    </w:pPr>
    <w:rPr>
      <w:sz w:val="18"/>
    </w:rPr>
  </w:style>
  <w:style w:type="paragraph" w:styleId="32">
    <w:name w:val="toc 1"/>
    <w:basedOn w:val="1"/>
    <w:next w:val="1"/>
    <w:qFormat/>
    <w:uiPriority w:val="39"/>
    <w:pPr>
      <w:spacing w:before="271"/>
    </w:pPr>
    <w:rPr>
      <w:rFonts w:ascii="宋体" w:hAnsi="宋体" w:eastAsia="宋体"/>
      <w:b/>
      <w:bCs/>
      <w:sz w:val="24"/>
      <w:szCs w:val="24"/>
    </w:rPr>
  </w:style>
  <w:style w:type="paragraph" w:styleId="33">
    <w:name w:val="toc 4"/>
    <w:basedOn w:val="1"/>
    <w:next w:val="1"/>
    <w:unhideWhenUsed/>
    <w:qFormat/>
    <w:uiPriority w:val="0"/>
    <w:pPr>
      <w:ind w:left="1260"/>
      <w:jc w:val="both"/>
    </w:pPr>
    <w:rPr>
      <w:rFonts w:eastAsia="宋体"/>
      <w:sz w:val="21"/>
      <w:lang w:eastAsia="zh-CN"/>
    </w:rPr>
  </w:style>
  <w:style w:type="paragraph" w:styleId="34">
    <w:name w:val="index heading"/>
    <w:basedOn w:val="1"/>
    <w:next w:val="35"/>
    <w:qFormat/>
    <w:uiPriority w:val="0"/>
    <w:pPr>
      <w:jc w:val="both"/>
    </w:pPr>
    <w:rPr>
      <w:rFonts w:ascii="Times New Roman" w:hAnsi="Times New Roman" w:eastAsia="宋体"/>
      <w:kern w:val="2"/>
      <w:sz w:val="21"/>
      <w:szCs w:val="20"/>
      <w:lang w:eastAsia="zh-CN"/>
    </w:rPr>
  </w:style>
  <w:style w:type="paragraph" w:styleId="35">
    <w:name w:val="index 1"/>
    <w:basedOn w:val="1"/>
    <w:next w:val="1"/>
    <w:qFormat/>
    <w:uiPriority w:val="0"/>
    <w:pPr>
      <w:spacing w:line="220" w:lineRule="exact"/>
      <w:jc w:val="center"/>
    </w:pPr>
    <w:rPr>
      <w:rFonts w:ascii="仿宋_GB2312" w:eastAsia="仿宋_GB2312"/>
      <w:sz w:val="21"/>
      <w:szCs w:val="20"/>
      <w:lang w:eastAsia="zh-CN"/>
    </w:rPr>
  </w:style>
  <w:style w:type="paragraph" w:styleId="36">
    <w:name w:val="Subtitle"/>
    <w:basedOn w:val="1"/>
    <w:next w:val="1"/>
    <w:link w:val="88"/>
    <w:qFormat/>
    <w:uiPriority w:val="0"/>
    <w:pPr>
      <w:spacing w:before="200" w:after="200"/>
    </w:pPr>
    <w:rPr>
      <w:rFonts w:eastAsia="宋体"/>
      <w:sz w:val="24"/>
      <w:szCs w:val="24"/>
    </w:rPr>
  </w:style>
  <w:style w:type="paragraph" w:styleId="37">
    <w:name w:val="List"/>
    <w:basedOn w:val="1"/>
    <w:qFormat/>
    <w:uiPriority w:val="0"/>
    <w:pPr>
      <w:ind w:left="200" w:hanging="200"/>
      <w:contextualSpacing/>
    </w:pPr>
    <w:rPr>
      <w:rFonts w:ascii="Times New Roman" w:hAnsi="Times New Roman"/>
    </w:rPr>
  </w:style>
  <w:style w:type="paragraph" w:styleId="38">
    <w:name w:val="footnote text"/>
    <w:basedOn w:val="1"/>
    <w:link w:val="224"/>
    <w:semiHidden/>
    <w:unhideWhenUsed/>
    <w:qFormat/>
    <w:uiPriority w:val="99"/>
    <w:pPr>
      <w:spacing w:after="40"/>
    </w:pPr>
    <w:rPr>
      <w:rFonts w:eastAsia="宋体"/>
      <w:sz w:val="18"/>
      <w:szCs w:val="20"/>
    </w:rPr>
  </w:style>
  <w:style w:type="paragraph" w:styleId="39">
    <w:name w:val="toc 6"/>
    <w:basedOn w:val="1"/>
    <w:next w:val="1"/>
    <w:unhideWhenUsed/>
    <w:qFormat/>
    <w:uiPriority w:val="0"/>
    <w:pPr>
      <w:ind w:left="2100"/>
      <w:jc w:val="both"/>
    </w:pPr>
    <w:rPr>
      <w:rFonts w:eastAsia="宋体"/>
      <w:sz w:val="21"/>
      <w:lang w:eastAsia="zh-CN"/>
    </w:rPr>
  </w:style>
  <w:style w:type="paragraph" w:styleId="40">
    <w:name w:val="Body Text Indent 3"/>
    <w:basedOn w:val="1"/>
    <w:link w:val="245"/>
    <w:qFormat/>
    <w:uiPriority w:val="0"/>
    <w:pPr>
      <w:spacing w:after="120"/>
      <w:ind w:left="420"/>
      <w:jc w:val="both"/>
    </w:pPr>
    <w:rPr>
      <w:rFonts w:eastAsia="宋体"/>
      <w:sz w:val="16"/>
      <w:szCs w:val="20"/>
    </w:rPr>
  </w:style>
  <w:style w:type="paragraph" w:styleId="41">
    <w:name w:val="table of figures"/>
    <w:basedOn w:val="1"/>
    <w:next w:val="1"/>
    <w:unhideWhenUsed/>
    <w:qFormat/>
    <w:uiPriority w:val="99"/>
  </w:style>
  <w:style w:type="paragraph" w:styleId="42">
    <w:name w:val="toc 2"/>
    <w:basedOn w:val="1"/>
    <w:next w:val="1"/>
    <w:qFormat/>
    <w:uiPriority w:val="39"/>
    <w:pPr>
      <w:spacing w:before="151"/>
      <w:ind w:left="327"/>
    </w:pPr>
    <w:rPr>
      <w:rFonts w:ascii="宋体" w:hAnsi="宋体" w:eastAsia="宋体"/>
      <w:sz w:val="24"/>
      <w:szCs w:val="24"/>
    </w:rPr>
  </w:style>
  <w:style w:type="paragraph" w:styleId="43">
    <w:name w:val="toc 9"/>
    <w:basedOn w:val="1"/>
    <w:next w:val="1"/>
    <w:unhideWhenUsed/>
    <w:qFormat/>
    <w:uiPriority w:val="0"/>
    <w:pPr>
      <w:ind w:left="3360"/>
      <w:jc w:val="both"/>
    </w:pPr>
    <w:rPr>
      <w:rFonts w:eastAsia="宋体"/>
      <w:sz w:val="21"/>
      <w:lang w:eastAsia="zh-CN"/>
    </w:rPr>
  </w:style>
  <w:style w:type="paragraph" w:styleId="44">
    <w:name w:val="Body Text 2"/>
    <w:basedOn w:val="1"/>
    <w:link w:val="389"/>
    <w:qFormat/>
    <w:uiPriority w:val="99"/>
    <w:pPr>
      <w:jc w:val="both"/>
    </w:pPr>
    <w:rPr>
      <w:rFonts w:ascii="宋体" w:eastAsia="宋体"/>
      <w:b/>
      <w:bCs/>
      <w:kern w:val="2"/>
      <w:sz w:val="24"/>
      <w:szCs w:val="24"/>
      <w:lang w:eastAsia="zh-CN"/>
    </w:rPr>
  </w:style>
  <w:style w:type="paragraph" w:styleId="45">
    <w:name w:val="HTML Preformatted"/>
    <w:basedOn w:val="1"/>
    <w:link w:val="28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pPr>
    <w:rPr>
      <w:rFonts w:ascii="Arial" w:hAnsi="Arial" w:eastAsia="宋体"/>
      <w:sz w:val="11"/>
      <w:szCs w:val="11"/>
      <w:lang w:eastAsia="zh-CN"/>
    </w:rPr>
  </w:style>
  <w:style w:type="paragraph" w:styleId="46">
    <w:name w:val="Normal (Web)"/>
    <w:basedOn w:val="1"/>
    <w:unhideWhenUsed/>
    <w:qFormat/>
    <w:uiPriority w:val="0"/>
    <w:pPr>
      <w:widowControl/>
      <w:spacing w:before="100" w:beforeAutospacing="1" w:after="100" w:afterAutospacing="1"/>
    </w:pPr>
    <w:rPr>
      <w:rFonts w:ascii="宋体" w:hAnsi="宋体" w:eastAsia="宋体" w:cs="宋体"/>
      <w:sz w:val="24"/>
      <w:szCs w:val="24"/>
      <w:lang w:eastAsia="zh-CN"/>
    </w:rPr>
  </w:style>
  <w:style w:type="paragraph" w:styleId="47">
    <w:name w:val="Title"/>
    <w:basedOn w:val="1"/>
    <w:link w:val="246"/>
    <w:qFormat/>
    <w:uiPriority w:val="0"/>
    <w:pPr>
      <w:spacing w:before="240" w:after="60" w:line="420" w:lineRule="atLeast"/>
      <w:jc w:val="center"/>
      <w:outlineLvl w:val="0"/>
    </w:pPr>
    <w:rPr>
      <w:rFonts w:ascii="Arial" w:hAnsi="Arial" w:eastAsia="宋体"/>
      <w:b/>
      <w:sz w:val="32"/>
      <w:szCs w:val="20"/>
    </w:rPr>
  </w:style>
  <w:style w:type="paragraph" w:styleId="48">
    <w:name w:val="annotation subject"/>
    <w:basedOn w:val="15"/>
    <w:next w:val="15"/>
    <w:link w:val="247"/>
    <w:qFormat/>
    <w:uiPriority w:val="0"/>
    <w:rPr>
      <w:rFonts w:eastAsia="宋体"/>
      <w:szCs w:val="20"/>
    </w:rPr>
  </w:style>
  <w:style w:type="paragraph" w:styleId="49">
    <w:name w:val="Body Text First Indent"/>
    <w:basedOn w:val="18"/>
    <w:link w:val="248"/>
    <w:qFormat/>
    <w:uiPriority w:val="0"/>
    <w:pPr>
      <w:tabs>
        <w:tab w:val="left" w:pos="562"/>
        <w:tab w:val="left" w:pos="3372"/>
        <w:tab w:val="left" w:pos="3653"/>
      </w:tabs>
      <w:ind w:firstLine="200"/>
    </w:pPr>
  </w:style>
  <w:style w:type="paragraph" w:styleId="50">
    <w:name w:val="Body Text First Indent 2"/>
    <w:basedOn w:val="19"/>
    <w:next w:val="1"/>
    <w:link w:val="390"/>
    <w:qFormat/>
    <w:uiPriority w:val="0"/>
    <w:pPr>
      <w:ind w:firstLine="420"/>
    </w:pPr>
  </w:style>
  <w:style w:type="table" w:styleId="52">
    <w:name w:val="Table Grid"/>
    <w:basedOn w:val="51"/>
    <w:qFormat/>
    <w:uiPriority w:val="0"/>
    <w:tblPr>
      <w:tblCellMar>
        <w:top w:w="0" w:type="dxa"/>
        <w:left w:w="108" w:type="dxa"/>
        <w:bottom w:w="0" w:type="dxa"/>
        <w:right w:w="108" w:type="dxa"/>
      </w:tblCellMar>
    </w:tblPr>
  </w:style>
  <w:style w:type="character" w:styleId="54">
    <w:name w:val="Strong"/>
    <w:qFormat/>
    <w:uiPriority w:val="0"/>
    <w:rPr>
      <w:b/>
      <w:bCs/>
    </w:rPr>
  </w:style>
  <w:style w:type="character" w:styleId="55">
    <w:name w:val="endnote reference"/>
    <w:semiHidden/>
    <w:unhideWhenUsed/>
    <w:qFormat/>
    <w:uiPriority w:val="99"/>
    <w:rPr>
      <w:vertAlign w:val="superscript"/>
    </w:rPr>
  </w:style>
  <w:style w:type="character" w:styleId="56">
    <w:name w:val="page number"/>
    <w:qFormat/>
    <w:uiPriority w:val="0"/>
  </w:style>
  <w:style w:type="character" w:styleId="57">
    <w:name w:val="FollowedHyperlink"/>
    <w:unhideWhenUsed/>
    <w:qFormat/>
    <w:uiPriority w:val="99"/>
    <w:rPr>
      <w:color w:val="800080"/>
      <w:u w:val="single"/>
    </w:rPr>
  </w:style>
  <w:style w:type="character" w:styleId="58">
    <w:name w:val="Emphasis"/>
    <w:qFormat/>
    <w:uiPriority w:val="0"/>
    <w:rPr>
      <w:i/>
      <w:iCs/>
    </w:rPr>
  </w:style>
  <w:style w:type="character" w:styleId="59">
    <w:name w:val="HTML Definition"/>
    <w:qFormat/>
    <w:uiPriority w:val="0"/>
    <w:rPr>
      <w:i/>
    </w:rPr>
  </w:style>
  <w:style w:type="character" w:styleId="60">
    <w:name w:val="Hyperlink"/>
    <w:qFormat/>
    <w:uiPriority w:val="99"/>
    <w:rPr>
      <w:color w:val="0000FF"/>
      <w:u w:val="single"/>
    </w:rPr>
  </w:style>
  <w:style w:type="character" w:styleId="61">
    <w:name w:val="HTML Code"/>
    <w:qFormat/>
    <w:uiPriority w:val="0"/>
    <w:rPr>
      <w:rFonts w:ascii="Consolas" w:hAnsi="Consolas" w:eastAsia="Consolas" w:cs="Consolas"/>
      <w:color w:val="CA4440"/>
      <w:sz w:val="21"/>
      <w:szCs w:val="21"/>
      <w:shd w:val="clear" w:color="auto" w:fill="F9F2F4"/>
    </w:rPr>
  </w:style>
  <w:style w:type="character" w:styleId="62">
    <w:name w:val="annotation reference"/>
    <w:qFormat/>
    <w:uiPriority w:val="0"/>
    <w:rPr>
      <w:sz w:val="21"/>
      <w:szCs w:val="21"/>
    </w:rPr>
  </w:style>
  <w:style w:type="character" w:styleId="63">
    <w:name w:val="footnote reference"/>
    <w:unhideWhenUsed/>
    <w:qFormat/>
    <w:uiPriority w:val="99"/>
    <w:rPr>
      <w:vertAlign w:val="superscript"/>
    </w:rPr>
  </w:style>
  <w:style w:type="character" w:styleId="64">
    <w:name w:val="HTML Keyboard"/>
    <w:qFormat/>
    <w:uiPriority w:val="0"/>
    <w:rPr>
      <w:rFonts w:hint="default" w:ascii="Consolas" w:hAnsi="Consolas" w:eastAsia="Consolas" w:cs="Consolas"/>
      <w:color w:val="FFFFFF"/>
      <w:sz w:val="21"/>
      <w:szCs w:val="21"/>
      <w:shd w:val="clear" w:color="auto" w:fill="333333"/>
    </w:rPr>
  </w:style>
  <w:style w:type="character" w:styleId="65">
    <w:name w:val="HTML Sample"/>
    <w:qFormat/>
    <w:uiPriority w:val="0"/>
    <w:rPr>
      <w:rFonts w:hint="default" w:ascii="Consolas" w:hAnsi="Consolas" w:eastAsia="Consolas" w:cs="Consolas"/>
      <w:sz w:val="21"/>
      <w:szCs w:val="21"/>
    </w:rPr>
  </w:style>
  <w:style w:type="paragraph" w:customStyle="1" w:styleId="66">
    <w:name w:val="正文文本 21"/>
    <w:basedOn w:val="1"/>
    <w:qFormat/>
    <w:uiPriority w:val="0"/>
    <w:rPr>
      <w:sz w:val="24"/>
      <w:szCs w:val="24"/>
    </w:rPr>
  </w:style>
  <w:style w:type="paragraph" w:styleId="67">
    <w:name w:val="List Paragraph"/>
    <w:basedOn w:val="1"/>
    <w:qFormat/>
    <w:uiPriority w:val="34"/>
  </w:style>
  <w:style w:type="paragraph" w:customStyle="1" w:styleId="68">
    <w:name w:val="Heading 1"/>
    <w:basedOn w:val="1"/>
    <w:next w:val="1"/>
    <w:link w:val="69"/>
    <w:qFormat/>
    <w:uiPriority w:val="9"/>
    <w:pPr>
      <w:keepNext/>
      <w:keepLines/>
      <w:spacing w:before="480" w:after="200"/>
      <w:outlineLvl w:val="0"/>
    </w:pPr>
    <w:rPr>
      <w:rFonts w:ascii="Arial" w:hAnsi="Arial" w:eastAsia="Arial"/>
      <w:sz w:val="40"/>
      <w:szCs w:val="40"/>
    </w:rPr>
  </w:style>
  <w:style w:type="character" w:customStyle="1" w:styleId="69">
    <w:name w:val="Heading 1 Char"/>
    <w:link w:val="68"/>
    <w:qFormat/>
    <w:uiPriority w:val="9"/>
    <w:rPr>
      <w:rFonts w:ascii="Arial" w:hAnsi="Arial" w:eastAsia="Arial" w:cs="Arial"/>
      <w:sz w:val="40"/>
      <w:szCs w:val="40"/>
    </w:rPr>
  </w:style>
  <w:style w:type="character" w:customStyle="1" w:styleId="70">
    <w:name w:val="Heading 2 Char"/>
    <w:link w:val="71"/>
    <w:qFormat/>
    <w:uiPriority w:val="9"/>
    <w:rPr>
      <w:rFonts w:ascii="Arial" w:hAnsi="Arial" w:eastAsia="Arial" w:cs="Arial"/>
      <w:sz w:val="34"/>
    </w:rPr>
  </w:style>
  <w:style w:type="paragraph" w:customStyle="1" w:styleId="71">
    <w:name w:val="Heading 2"/>
    <w:basedOn w:val="1"/>
    <w:link w:val="70"/>
    <w:qFormat/>
    <w:uiPriority w:val="9"/>
    <w:pPr>
      <w:spacing w:before="169"/>
      <w:ind w:left="157"/>
      <w:outlineLvl w:val="2"/>
    </w:pPr>
    <w:rPr>
      <w:rFonts w:ascii="Arial" w:hAnsi="Arial" w:eastAsia="Arial"/>
      <w:sz w:val="34"/>
      <w:szCs w:val="20"/>
    </w:rPr>
  </w:style>
  <w:style w:type="paragraph" w:customStyle="1" w:styleId="72">
    <w:name w:val="Heading 3"/>
    <w:basedOn w:val="1"/>
    <w:next w:val="1"/>
    <w:link w:val="73"/>
    <w:unhideWhenUsed/>
    <w:qFormat/>
    <w:uiPriority w:val="9"/>
    <w:pPr>
      <w:keepNext/>
      <w:keepLines/>
      <w:spacing w:before="320" w:after="200"/>
      <w:outlineLvl w:val="2"/>
    </w:pPr>
    <w:rPr>
      <w:rFonts w:ascii="Arial" w:hAnsi="Arial" w:eastAsia="Arial"/>
      <w:sz w:val="30"/>
      <w:szCs w:val="30"/>
    </w:rPr>
  </w:style>
  <w:style w:type="character" w:customStyle="1" w:styleId="73">
    <w:name w:val="Heading 3 Char"/>
    <w:link w:val="72"/>
    <w:qFormat/>
    <w:uiPriority w:val="9"/>
    <w:rPr>
      <w:rFonts w:ascii="Arial" w:hAnsi="Arial" w:eastAsia="Arial" w:cs="Arial"/>
      <w:sz w:val="30"/>
      <w:szCs w:val="30"/>
    </w:rPr>
  </w:style>
  <w:style w:type="paragraph" w:customStyle="1" w:styleId="74">
    <w:name w:val="Heading 4"/>
    <w:basedOn w:val="1"/>
    <w:next w:val="1"/>
    <w:link w:val="75"/>
    <w:unhideWhenUsed/>
    <w:qFormat/>
    <w:uiPriority w:val="9"/>
    <w:pPr>
      <w:keepNext/>
      <w:keepLines/>
      <w:spacing w:before="320" w:after="200"/>
      <w:outlineLvl w:val="3"/>
    </w:pPr>
    <w:rPr>
      <w:rFonts w:ascii="Arial" w:hAnsi="Arial" w:eastAsia="Arial"/>
      <w:b/>
      <w:bCs/>
      <w:sz w:val="26"/>
      <w:szCs w:val="26"/>
    </w:rPr>
  </w:style>
  <w:style w:type="character" w:customStyle="1" w:styleId="75">
    <w:name w:val="Heading 4 Char"/>
    <w:link w:val="74"/>
    <w:qFormat/>
    <w:uiPriority w:val="9"/>
    <w:rPr>
      <w:rFonts w:ascii="Arial" w:hAnsi="Arial" w:eastAsia="Arial" w:cs="Arial"/>
      <w:b/>
      <w:bCs/>
      <w:sz w:val="26"/>
      <w:szCs w:val="26"/>
    </w:rPr>
  </w:style>
  <w:style w:type="paragraph" w:customStyle="1" w:styleId="76">
    <w:name w:val="Heading 5"/>
    <w:basedOn w:val="1"/>
    <w:next w:val="1"/>
    <w:link w:val="77"/>
    <w:unhideWhenUsed/>
    <w:qFormat/>
    <w:uiPriority w:val="9"/>
    <w:pPr>
      <w:keepNext/>
      <w:keepLines/>
      <w:spacing w:before="320" w:after="200"/>
      <w:outlineLvl w:val="4"/>
    </w:pPr>
    <w:rPr>
      <w:rFonts w:ascii="Arial" w:hAnsi="Arial" w:eastAsia="Arial"/>
      <w:b/>
      <w:bCs/>
      <w:sz w:val="24"/>
      <w:szCs w:val="24"/>
    </w:rPr>
  </w:style>
  <w:style w:type="character" w:customStyle="1" w:styleId="77">
    <w:name w:val="Heading 5 Char"/>
    <w:link w:val="76"/>
    <w:qFormat/>
    <w:uiPriority w:val="9"/>
    <w:rPr>
      <w:rFonts w:ascii="Arial" w:hAnsi="Arial" w:eastAsia="Arial" w:cs="Arial"/>
      <w:b/>
      <w:bCs/>
      <w:sz w:val="24"/>
      <w:szCs w:val="24"/>
    </w:rPr>
  </w:style>
  <w:style w:type="paragraph" w:customStyle="1" w:styleId="78">
    <w:name w:val="Heading 6"/>
    <w:basedOn w:val="1"/>
    <w:next w:val="1"/>
    <w:link w:val="79"/>
    <w:unhideWhenUsed/>
    <w:qFormat/>
    <w:uiPriority w:val="9"/>
    <w:pPr>
      <w:keepNext/>
      <w:keepLines/>
      <w:spacing w:before="320" w:after="200"/>
      <w:outlineLvl w:val="5"/>
    </w:pPr>
    <w:rPr>
      <w:rFonts w:ascii="Arial" w:hAnsi="Arial" w:eastAsia="Arial"/>
      <w:b/>
      <w:bCs/>
    </w:rPr>
  </w:style>
  <w:style w:type="character" w:customStyle="1" w:styleId="79">
    <w:name w:val="Heading 6 Char"/>
    <w:link w:val="78"/>
    <w:qFormat/>
    <w:uiPriority w:val="9"/>
    <w:rPr>
      <w:rFonts w:ascii="Arial" w:hAnsi="Arial" w:eastAsia="Arial" w:cs="Arial"/>
      <w:b/>
      <w:bCs/>
      <w:sz w:val="22"/>
      <w:szCs w:val="22"/>
    </w:rPr>
  </w:style>
  <w:style w:type="paragraph" w:customStyle="1" w:styleId="80">
    <w:name w:val="Heading 7"/>
    <w:basedOn w:val="1"/>
    <w:next w:val="1"/>
    <w:link w:val="81"/>
    <w:unhideWhenUsed/>
    <w:qFormat/>
    <w:uiPriority w:val="9"/>
    <w:pPr>
      <w:keepNext/>
      <w:keepLines/>
      <w:spacing w:before="320" w:after="200"/>
      <w:outlineLvl w:val="6"/>
    </w:pPr>
    <w:rPr>
      <w:rFonts w:ascii="Arial" w:hAnsi="Arial" w:eastAsia="Arial"/>
      <w:b/>
      <w:bCs/>
      <w:i/>
      <w:iCs/>
    </w:rPr>
  </w:style>
  <w:style w:type="character" w:customStyle="1" w:styleId="81">
    <w:name w:val="Heading 7 Char"/>
    <w:link w:val="80"/>
    <w:qFormat/>
    <w:uiPriority w:val="9"/>
    <w:rPr>
      <w:rFonts w:ascii="Arial" w:hAnsi="Arial" w:eastAsia="Arial" w:cs="Arial"/>
      <w:b/>
      <w:bCs/>
      <w:i/>
      <w:iCs/>
      <w:sz w:val="22"/>
      <w:szCs w:val="22"/>
    </w:rPr>
  </w:style>
  <w:style w:type="paragraph" w:customStyle="1" w:styleId="82">
    <w:name w:val="Heading 8"/>
    <w:basedOn w:val="1"/>
    <w:next w:val="1"/>
    <w:link w:val="83"/>
    <w:unhideWhenUsed/>
    <w:qFormat/>
    <w:uiPriority w:val="9"/>
    <w:pPr>
      <w:keepNext/>
      <w:keepLines/>
      <w:spacing w:before="320" w:after="200"/>
      <w:outlineLvl w:val="7"/>
    </w:pPr>
    <w:rPr>
      <w:rFonts w:ascii="Arial" w:hAnsi="Arial" w:eastAsia="Arial"/>
      <w:i/>
      <w:iCs/>
    </w:rPr>
  </w:style>
  <w:style w:type="character" w:customStyle="1" w:styleId="83">
    <w:name w:val="Heading 8 Char"/>
    <w:link w:val="82"/>
    <w:qFormat/>
    <w:uiPriority w:val="9"/>
    <w:rPr>
      <w:rFonts w:ascii="Arial" w:hAnsi="Arial" w:eastAsia="Arial" w:cs="Arial"/>
      <w:i/>
      <w:iCs/>
      <w:sz w:val="22"/>
      <w:szCs w:val="22"/>
    </w:rPr>
  </w:style>
  <w:style w:type="paragraph" w:customStyle="1" w:styleId="84">
    <w:name w:val="Heading 9"/>
    <w:basedOn w:val="1"/>
    <w:next w:val="1"/>
    <w:link w:val="85"/>
    <w:unhideWhenUsed/>
    <w:qFormat/>
    <w:uiPriority w:val="9"/>
    <w:pPr>
      <w:keepNext/>
      <w:keepLines/>
      <w:spacing w:before="320" w:after="200"/>
      <w:outlineLvl w:val="8"/>
    </w:pPr>
    <w:rPr>
      <w:rFonts w:ascii="Arial" w:hAnsi="Arial" w:eastAsia="Arial"/>
      <w:i/>
      <w:iCs/>
      <w:sz w:val="21"/>
      <w:szCs w:val="21"/>
    </w:rPr>
  </w:style>
  <w:style w:type="character" w:customStyle="1" w:styleId="85">
    <w:name w:val="Heading 9 Char"/>
    <w:link w:val="84"/>
    <w:qFormat/>
    <w:uiPriority w:val="9"/>
    <w:rPr>
      <w:rFonts w:ascii="Arial" w:hAnsi="Arial" w:eastAsia="Arial" w:cs="Arial"/>
      <w:i/>
      <w:iCs/>
      <w:sz w:val="21"/>
      <w:szCs w:val="21"/>
    </w:rPr>
  </w:style>
  <w:style w:type="paragraph" w:styleId="86">
    <w:name w:val="No Spacing"/>
    <w:link w:val="331"/>
    <w:qFormat/>
    <w:uiPriority w:val="1"/>
    <w:rPr>
      <w:rFonts w:ascii="Calibri" w:hAnsi="Calibri" w:eastAsia="宋体" w:cs="Times New Roman"/>
      <w:lang w:val="en-US" w:eastAsia="zh-CN" w:bidi="ar-SA"/>
    </w:rPr>
  </w:style>
  <w:style w:type="character" w:customStyle="1" w:styleId="87">
    <w:name w:val="Title Char"/>
    <w:qFormat/>
    <w:uiPriority w:val="10"/>
    <w:rPr>
      <w:sz w:val="48"/>
      <w:szCs w:val="48"/>
    </w:rPr>
  </w:style>
  <w:style w:type="character" w:customStyle="1" w:styleId="88">
    <w:name w:val="副标题 Char"/>
    <w:link w:val="36"/>
    <w:qFormat/>
    <w:uiPriority w:val="0"/>
    <w:rPr>
      <w:sz w:val="24"/>
      <w:szCs w:val="24"/>
    </w:rPr>
  </w:style>
  <w:style w:type="paragraph" w:styleId="89">
    <w:name w:val="Quote"/>
    <w:basedOn w:val="1"/>
    <w:next w:val="1"/>
    <w:link w:val="90"/>
    <w:qFormat/>
    <w:uiPriority w:val="0"/>
    <w:pPr>
      <w:ind w:left="720" w:right="720"/>
    </w:pPr>
    <w:rPr>
      <w:rFonts w:eastAsia="宋体"/>
      <w:i/>
      <w:sz w:val="20"/>
      <w:szCs w:val="20"/>
    </w:rPr>
  </w:style>
  <w:style w:type="character" w:customStyle="1" w:styleId="90">
    <w:name w:val="引用 Char"/>
    <w:link w:val="89"/>
    <w:qFormat/>
    <w:uiPriority w:val="0"/>
    <w:rPr>
      <w:i/>
    </w:rPr>
  </w:style>
  <w:style w:type="paragraph" w:styleId="91">
    <w:name w:val="Intense Quote"/>
    <w:basedOn w:val="1"/>
    <w:next w:val="1"/>
    <w:link w:val="92"/>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eastAsia="宋体"/>
      <w:i/>
      <w:sz w:val="20"/>
      <w:szCs w:val="20"/>
    </w:rPr>
  </w:style>
  <w:style w:type="character" w:customStyle="1" w:styleId="92">
    <w:name w:val="明显引用 Char"/>
    <w:link w:val="91"/>
    <w:qFormat/>
    <w:uiPriority w:val="0"/>
    <w:rPr>
      <w:i/>
    </w:rPr>
  </w:style>
  <w:style w:type="paragraph" w:customStyle="1" w:styleId="93">
    <w:name w:val="Header"/>
    <w:basedOn w:val="1"/>
    <w:link w:val="94"/>
    <w:unhideWhenUsed/>
    <w:qFormat/>
    <w:uiPriority w:val="99"/>
    <w:pPr>
      <w:tabs>
        <w:tab w:val="center" w:pos="7143"/>
        <w:tab w:val="right" w:pos="14287"/>
      </w:tabs>
    </w:pPr>
  </w:style>
  <w:style w:type="character" w:customStyle="1" w:styleId="94">
    <w:name w:val="Header Char"/>
    <w:link w:val="93"/>
    <w:qFormat/>
    <w:uiPriority w:val="99"/>
  </w:style>
  <w:style w:type="paragraph" w:customStyle="1" w:styleId="95">
    <w:name w:val="Footer"/>
    <w:basedOn w:val="1"/>
    <w:link w:val="98"/>
    <w:unhideWhenUsed/>
    <w:qFormat/>
    <w:uiPriority w:val="99"/>
    <w:pPr>
      <w:tabs>
        <w:tab w:val="center" w:pos="7143"/>
        <w:tab w:val="right" w:pos="14287"/>
      </w:tabs>
    </w:pPr>
  </w:style>
  <w:style w:type="character" w:customStyle="1" w:styleId="96">
    <w:name w:val="Footer Char"/>
    <w:qFormat/>
    <w:uiPriority w:val="99"/>
  </w:style>
  <w:style w:type="paragraph" w:customStyle="1" w:styleId="97">
    <w:name w:val="Caption"/>
    <w:basedOn w:val="1"/>
    <w:next w:val="1"/>
    <w:semiHidden/>
    <w:unhideWhenUsed/>
    <w:qFormat/>
    <w:uiPriority w:val="35"/>
    <w:pPr>
      <w:spacing w:line="276" w:lineRule="auto"/>
    </w:pPr>
    <w:rPr>
      <w:b/>
      <w:bCs/>
      <w:color w:val="4F81BD"/>
      <w:sz w:val="18"/>
      <w:szCs w:val="18"/>
    </w:rPr>
  </w:style>
  <w:style w:type="character" w:customStyle="1" w:styleId="98">
    <w:name w:val="Caption Char"/>
    <w:link w:val="95"/>
    <w:qFormat/>
    <w:uiPriority w:val="99"/>
  </w:style>
  <w:style w:type="table" w:customStyle="1" w:styleId="99">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0">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1">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2">
    <w:name w:val="Plain Table 3"/>
    <w:qFormat/>
    <w:uiPriority w:val="99"/>
    <w:tblPr>
      <w:tblCellMar>
        <w:top w:w="0" w:type="dxa"/>
        <w:left w:w="0" w:type="dxa"/>
        <w:bottom w:w="0" w:type="dxa"/>
        <w:right w:w="0" w:type="dxa"/>
      </w:tblCellMar>
    </w:tblPr>
  </w:style>
  <w:style w:type="table" w:customStyle="1" w:styleId="103">
    <w:name w:val="Plain Table 4"/>
    <w:qFormat/>
    <w:uiPriority w:val="99"/>
    <w:tblPr>
      <w:tblCellMar>
        <w:top w:w="0" w:type="dxa"/>
        <w:left w:w="0" w:type="dxa"/>
        <w:bottom w:w="0" w:type="dxa"/>
        <w:right w:w="0" w:type="dxa"/>
      </w:tblCellMar>
    </w:tblPr>
  </w:style>
  <w:style w:type="table" w:customStyle="1" w:styleId="104">
    <w:name w:val="Plain Table 5"/>
    <w:qFormat/>
    <w:uiPriority w:val="99"/>
    <w:tblPr>
      <w:tblCellMar>
        <w:top w:w="0" w:type="dxa"/>
        <w:left w:w="0" w:type="dxa"/>
        <w:bottom w:w="0" w:type="dxa"/>
        <w:right w:w="0" w:type="dxa"/>
      </w:tblCellMar>
    </w:tblPr>
  </w:style>
  <w:style w:type="table" w:customStyle="1" w:styleId="105">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6">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7">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08">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09">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0">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1">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2">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3">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4">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5">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6">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7">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8">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9">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0">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1">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2">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3">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4">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5">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6">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7">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28">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29">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0">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1">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2">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3">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4">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5">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1">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2">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3">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4">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5">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6">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7">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8">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9">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0">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1">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2">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3">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4">
    <w:name w:val="List Table 1 Light"/>
    <w:qFormat/>
    <w:uiPriority w:val="99"/>
    <w:tblPr>
      <w:tblCellMar>
        <w:top w:w="0" w:type="dxa"/>
        <w:left w:w="0" w:type="dxa"/>
        <w:bottom w:w="0" w:type="dxa"/>
        <w:right w:w="0" w:type="dxa"/>
      </w:tblCellMar>
    </w:tblPr>
  </w:style>
  <w:style w:type="table" w:customStyle="1" w:styleId="155">
    <w:name w:val="List Table 1 Light - Accent 1"/>
    <w:qFormat/>
    <w:uiPriority w:val="99"/>
    <w:tblPr>
      <w:tblCellMar>
        <w:top w:w="0" w:type="dxa"/>
        <w:left w:w="0" w:type="dxa"/>
        <w:bottom w:w="0" w:type="dxa"/>
        <w:right w:w="0" w:type="dxa"/>
      </w:tblCellMar>
    </w:tblPr>
  </w:style>
  <w:style w:type="table" w:customStyle="1" w:styleId="156">
    <w:name w:val="List Table 1 Light - Accent 2"/>
    <w:qFormat/>
    <w:uiPriority w:val="99"/>
    <w:tblPr>
      <w:tblCellMar>
        <w:top w:w="0" w:type="dxa"/>
        <w:left w:w="0" w:type="dxa"/>
        <w:bottom w:w="0" w:type="dxa"/>
        <w:right w:w="0" w:type="dxa"/>
      </w:tblCellMar>
    </w:tblPr>
  </w:style>
  <w:style w:type="table" w:customStyle="1" w:styleId="157">
    <w:name w:val="List Table 1 Light - Accent 3"/>
    <w:qFormat/>
    <w:uiPriority w:val="99"/>
    <w:tblPr>
      <w:tblCellMar>
        <w:top w:w="0" w:type="dxa"/>
        <w:left w:w="0" w:type="dxa"/>
        <w:bottom w:w="0" w:type="dxa"/>
        <w:right w:w="0" w:type="dxa"/>
      </w:tblCellMar>
    </w:tblPr>
  </w:style>
  <w:style w:type="table" w:customStyle="1" w:styleId="158">
    <w:name w:val="List Table 1 Light - Accent 4"/>
    <w:qFormat/>
    <w:uiPriority w:val="99"/>
    <w:tblPr>
      <w:tblCellMar>
        <w:top w:w="0" w:type="dxa"/>
        <w:left w:w="0" w:type="dxa"/>
        <w:bottom w:w="0" w:type="dxa"/>
        <w:right w:w="0" w:type="dxa"/>
      </w:tblCellMar>
    </w:tblPr>
  </w:style>
  <w:style w:type="table" w:customStyle="1" w:styleId="159">
    <w:name w:val="List Table 1 Light - Accent 5"/>
    <w:qFormat/>
    <w:uiPriority w:val="99"/>
    <w:tblPr>
      <w:tblCellMar>
        <w:top w:w="0" w:type="dxa"/>
        <w:left w:w="0" w:type="dxa"/>
        <w:bottom w:w="0" w:type="dxa"/>
        <w:right w:w="0" w:type="dxa"/>
      </w:tblCellMar>
    </w:tblPr>
  </w:style>
  <w:style w:type="table" w:customStyle="1" w:styleId="160">
    <w:name w:val="List Table 1 Light - Accent 6"/>
    <w:qFormat/>
    <w:uiPriority w:val="99"/>
    <w:tblPr>
      <w:tblCellMar>
        <w:top w:w="0" w:type="dxa"/>
        <w:left w:w="0" w:type="dxa"/>
        <w:bottom w:w="0" w:type="dxa"/>
        <w:right w:w="0" w:type="dxa"/>
      </w:tblCellMar>
    </w:tblPr>
  </w:style>
  <w:style w:type="table" w:customStyle="1" w:styleId="161">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2">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3">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4">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5">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6">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7">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68">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69">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0">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1">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2">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3">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4">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5">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6">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7">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78">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79">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0">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1">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2">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3">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4">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5">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6">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7">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88">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89">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0">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1">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2">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3">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4">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5">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6">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97">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98">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99">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0">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1">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2">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3">
    <w:name w:val="Lined - Accent"/>
    <w:qFormat/>
    <w:uiPriority w:val="99"/>
    <w:rPr>
      <w:color w:val="404040"/>
    </w:rPr>
    <w:tblPr>
      <w:tblCellMar>
        <w:top w:w="0" w:type="dxa"/>
        <w:left w:w="0" w:type="dxa"/>
        <w:bottom w:w="0" w:type="dxa"/>
        <w:right w:w="0" w:type="dxa"/>
      </w:tblCellMar>
    </w:tblPr>
  </w:style>
  <w:style w:type="table" w:customStyle="1" w:styleId="204">
    <w:name w:val="Lined - Accent 1"/>
    <w:qFormat/>
    <w:uiPriority w:val="99"/>
    <w:rPr>
      <w:color w:val="404040"/>
    </w:rPr>
    <w:tblPr>
      <w:tblCellMar>
        <w:top w:w="0" w:type="dxa"/>
        <w:left w:w="0" w:type="dxa"/>
        <w:bottom w:w="0" w:type="dxa"/>
        <w:right w:w="0" w:type="dxa"/>
      </w:tblCellMar>
    </w:tblPr>
  </w:style>
  <w:style w:type="table" w:customStyle="1" w:styleId="205">
    <w:name w:val="Lined - Accent 2"/>
    <w:qFormat/>
    <w:uiPriority w:val="99"/>
    <w:rPr>
      <w:color w:val="404040"/>
    </w:rPr>
    <w:tblPr>
      <w:tblCellMar>
        <w:top w:w="0" w:type="dxa"/>
        <w:left w:w="0" w:type="dxa"/>
        <w:bottom w:w="0" w:type="dxa"/>
        <w:right w:w="0" w:type="dxa"/>
      </w:tblCellMar>
    </w:tblPr>
  </w:style>
  <w:style w:type="table" w:customStyle="1" w:styleId="206">
    <w:name w:val="Lined - Accent 3"/>
    <w:qFormat/>
    <w:uiPriority w:val="99"/>
    <w:rPr>
      <w:color w:val="404040"/>
    </w:rPr>
    <w:tblPr>
      <w:tblCellMar>
        <w:top w:w="0" w:type="dxa"/>
        <w:left w:w="0" w:type="dxa"/>
        <w:bottom w:w="0" w:type="dxa"/>
        <w:right w:w="0" w:type="dxa"/>
      </w:tblCellMar>
    </w:tblPr>
  </w:style>
  <w:style w:type="table" w:customStyle="1" w:styleId="207">
    <w:name w:val="Lined - Accent 4"/>
    <w:qFormat/>
    <w:uiPriority w:val="99"/>
    <w:rPr>
      <w:color w:val="404040"/>
    </w:rPr>
    <w:tblPr>
      <w:tblCellMar>
        <w:top w:w="0" w:type="dxa"/>
        <w:left w:w="0" w:type="dxa"/>
        <w:bottom w:w="0" w:type="dxa"/>
        <w:right w:w="0" w:type="dxa"/>
      </w:tblCellMar>
    </w:tblPr>
  </w:style>
  <w:style w:type="table" w:customStyle="1" w:styleId="208">
    <w:name w:val="Lined - Accent 5"/>
    <w:qFormat/>
    <w:uiPriority w:val="99"/>
    <w:rPr>
      <w:color w:val="404040"/>
    </w:rPr>
    <w:tblPr>
      <w:tblCellMar>
        <w:top w:w="0" w:type="dxa"/>
        <w:left w:w="0" w:type="dxa"/>
        <w:bottom w:w="0" w:type="dxa"/>
        <w:right w:w="0" w:type="dxa"/>
      </w:tblCellMar>
    </w:tblPr>
  </w:style>
  <w:style w:type="table" w:customStyle="1" w:styleId="209">
    <w:name w:val="Lined - Accent 6"/>
    <w:qFormat/>
    <w:uiPriority w:val="99"/>
    <w:rPr>
      <w:color w:val="404040"/>
    </w:rPr>
    <w:tblPr>
      <w:tblCellMar>
        <w:top w:w="0" w:type="dxa"/>
        <w:left w:w="0" w:type="dxa"/>
        <w:bottom w:w="0" w:type="dxa"/>
        <w:right w:w="0" w:type="dxa"/>
      </w:tblCellMar>
    </w:tblPr>
  </w:style>
  <w:style w:type="table" w:customStyle="1" w:styleId="210">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1">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2">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3">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4">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5">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6">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7">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18">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19">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0">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1">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2">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3">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4">
    <w:name w:val="脚注文本 Char"/>
    <w:link w:val="38"/>
    <w:qFormat/>
    <w:uiPriority w:val="99"/>
    <w:rPr>
      <w:sz w:val="18"/>
    </w:rPr>
  </w:style>
  <w:style w:type="character" w:customStyle="1" w:styleId="225">
    <w:name w:val="尾注文本 Char"/>
    <w:link w:val="28"/>
    <w:qFormat/>
    <w:uiPriority w:val="99"/>
    <w:rPr>
      <w:sz w:val="20"/>
    </w:rPr>
  </w:style>
  <w:style w:type="paragraph" w:customStyle="1" w:styleId="226">
    <w:name w:val="TOC 标题1"/>
    <w:unhideWhenUsed/>
    <w:qFormat/>
    <w:uiPriority w:val="39"/>
    <w:rPr>
      <w:rFonts w:ascii="Calibri" w:hAnsi="Calibri" w:eastAsia="宋体" w:cs="Times New Roman"/>
      <w:lang w:val="en-US" w:eastAsia="zh-CN" w:bidi="ar-SA"/>
    </w:rPr>
  </w:style>
  <w:style w:type="character" w:customStyle="1" w:styleId="227">
    <w:name w:val="标题 1 Char1"/>
    <w:basedOn w:val="53"/>
    <w:link w:val="2"/>
    <w:qFormat/>
    <w:uiPriority w:val="0"/>
    <w:rPr>
      <w:rFonts w:ascii="黑体" w:hAnsi="Times New Roman" w:eastAsia="仿宋" w:cs="Times New Roman"/>
      <w:b/>
      <w:sz w:val="24"/>
      <w:szCs w:val="28"/>
    </w:rPr>
  </w:style>
  <w:style w:type="character" w:customStyle="1" w:styleId="228">
    <w:name w:val="标题 2 Char"/>
    <w:link w:val="3"/>
    <w:qFormat/>
    <w:uiPriority w:val="0"/>
    <w:rPr>
      <w:rFonts w:ascii="黑体" w:hAnsi="黑体" w:eastAsia="黑体"/>
      <w:b/>
      <w:bCs/>
      <w:sz w:val="36"/>
      <w:szCs w:val="36"/>
      <w:lang w:eastAsia="en-US"/>
    </w:rPr>
  </w:style>
  <w:style w:type="character" w:customStyle="1" w:styleId="229">
    <w:name w:val="标题 3 Char"/>
    <w:link w:val="4"/>
    <w:qFormat/>
    <w:uiPriority w:val="0"/>
    <w:rPr>
      <w:rFonts w:ascii="黑体" w:hAnsi="黑体" w:eastAsia="黑体"/>
      <w:sz w:val="32"/>
      <w:szCs w:val="32"/>
      <w:lang w:eastAsia="en-US"/>
    </w:rPr>
  </w:style>
  <w:style w:type="character" w:customStyle="1" w:styleId="230">
    <w:name w:val="标题 4 Char"/>
    <w:link w:val="5"/>
    <w:qFormat/>
    <w:uiPriority w:val="0"/>
    <w:rPr>
      <w:rFonts w:ascii="宋体" w:hAnsi="宋体"/>
      <w:b/>
      <w:bCs/>
      <w:sz w:val="24"/>
      <w:szCs w:val="24"/>
      <w:lang w:eastAsia="en-US"/>
    </w:rPr>
  </w:style>
  <w:style w:type="character" w:customStyle="1" w:styleId="231">
    <w:name w:val="标题 6 Char"/>
    <w:link w:val="7"/>
    <w:qFormat/>
    <w:uiPriority w:val="0"/>
    <w:rPr>
      <w:rFonts w:ascii="Arial" w:hAnsi="Arial" w:eastAsia="黑体"/>
      <w:b/>
      <w:sz w:val="24"/>
    </w:rPr>
  </w:style>
  <w:style w:type="character" w:customStyle="1" w:styleId="232">
    <w:name w:val="标题 7 Char"/>
    <w:link w:val="8"/>
    <w:qFormat/>
    <w:uiPriority w:val="0"/>
    <w:rPr>
      <w:b/>
      <w:sz w:val="24"/>
    </w:rPr>
  </w:style>
  <w:style w:type="character" w:customStyle="1" w:styleId="233">
    <w:name w:val="标题 8 Char"/>
    <w:link w:val="9"/>
    <w:qFormat/>
    <w:uiPriority w:val="0"/>
    <w:rPr>
      <w:rFonts w:ascii="Arial" w:hAnsi="Arial" w:eastAsia="黑体"/>
      <w:sz w:val="24"/>
    </w:rPr>
  </w:style>
  <w:style w:type="character" w:customStyle="1" w:styleId="234">
    <w:name w:val="标题 9 Char"/>
    <w:link w:val="10"/>
    <w:qFormat/>
    <w:uiPriority w:val="0"/>
    <w:rPr>
      <w:rFonts w:ascii="Arial" w:hAnsi="Arial" w:eastAsia="黑体"/>
      <w:sz w:val="21"/>
    </w:rPr>
  </w:style>
  <w:style w:type="character" w:customStyle="1" w:styleId="235">
    <w:name w:val="文档结构图 Char"/>
    <w:link w:val="14"/>
    <w:qFormat/>
    <w:uiPriority w:val="0"/>
    <w:rPr>
      <w:rFonts w:ascii="宋体"/>
      <w:sz w:val="18"/>
      <w:szCs w:val="18"/>
      <w:lang w:eastAsia="en-US"/>
    </w:rPr>
  </w:style>
  <w:style w:type="character" w:customStyle="1" w:styleId="236">
    <w:name w:val="批注文字 Char"/>
    <w:link w:val="15"/>
    <w:qFormat/>
    <w:uiPriority w:val="0"/>
    <w:rPr>
      <w:rFonts w:eastAsia="Calibri"/>
      <w:szCs w:val="22"/>
      <w:lang w:eastAsia="en-US"/>
    </w:rPr>
  </w:style>
  <w:style w:type="character" w:customStyle="1" w:styleId="237">
    <w:name w:val="正文文本 3 Char"/>
    <w:link w:val="17"/>
    <w:qFormat/>
    <w:uiPriority w:val="0"/>
    <w:rPr>
      <w:rFonts w:ascii="宋体"/>
      <w:sz w:val="24"/>
    </w:rPr>
  </w:style>
  <w:style w:type="character" w:customStyle="1" w:styleId="238">
    <w:name w:val="正文文本 Char"/>
    <w:link w:val="18"/>
    <w:qFormat/>
    <w:uiPriority w:val="0"/>
    <w:rPr>
      <w:rFonts w:ascii="宋体" w:hAnsi="宋体"/>
      <w:sz w:val="24"/>
      <w:szCs w:val="24"/>
      <w:lang w:eastAsia="en-US"/>
    </w:rPr>
  </w:style>
  <w:style w:type="character" w:customStyle="1" w:styleId="239">
    <w:name w:val="正文文本缩进 Char"/>
    <w:link w:val="19"/>
    <w:qFormat/>
    <w:uiPriority w:val="99"/>
    <w:rPr>
      <w:sz w:val="21"/>
    </w:rPr>
  </w:style>
  <w:style w:type="character" w:customStyle="1" w:styleId="240">
    <w:name w:val="纯文本 Char"/>
    <w:link w:val="24"/>
    <w:qFormat/>
    <w:uiPriority w:val="0"/>
    <w:rPr>
      <w:rFonts w:ascii="Ari"/>
      <w:sz w:val="21"/>
      <w:szCs w:val="24"/>
    </w:rPr>
  </w:style>
  <w:style w:type="character" w:customStyle="1" w:styleId="241">
    <w:name w:val="日期 Char"/>
    <w:link w:val="26"/>
    <w:qFormat/>
    <w:uiPriority w:val="0"/>
    <w:rPr>
      <w:sz w:val="24"/>
    </w:rPr>
  </w:style>
  <w:style w:type="character" w:customStyle="1" w:styleId="242">
    <w:name w:val="批注框文本 Char"/>
    <w:link w:val="29"/>
    <w:qFormat/>
    <w:uiPriority w:val="0"/>
    <w:rPr>
      <w:rFonts w:eastAsia="Calibri"/>
      <w:sz w:val="18"/>
      <w:szCs w:val="18"/>
      <w:lang w:eastAsia="en-US"/>
    </w:rPr>
  </w:style>
  <w:style w:type="character" w:customStyle="1" w:styleId="243">
    <w:name w:val="页脚 Char"/>
    <w:link w:val="30"/>
    <w:qFormat/>
    <w:uiPriority w:val="0"/>
    <w:rPr>
      <w:rFonts w:eastAsia="Calibri"/>
      <w:sz w:val="18"/>
      <w:szCs w:val="22"/>
      <w:lang w:eastAsia="en-US"/>
    </w:rPr>
  </w:style>
  <w:style w:type="character" w:customStyle="1" w:styleId="244">
    <w:name w:val="页眉 Char"/>
    <w:link w:val="31"/>
    <w:qFormat/>
    <w:uiPriority w:val="99"/>
    <w:rPr>
      <w:rFonts w:eastAsia="Calibri"/>
      <w:sz w:val="18"/>
      <w:szCs w:val="22"/>
      <w:lang w:eastAsia="en-US"/>
    </w:rPr>
  </w:style>
  <w:style w:type="character" w:customStyle="1" w:styleId="245">
    <w:name w:val="正文文本缩进 3 Char"/>
    <w:link w:val="40"/>
    <w:qFormat/>
    <w:uiPriority w:val="0"/>
    <w:rPr>
      <w:sz w:val="16"/>
    </w:rPr>
  </w:style>
  <w:style w:type="character" w:customStyle="1" w:styleId="246">
    <w:name w:val="标题 Char"/>
    <w:link w:val="47"/>
    <w:qFormat/>
    <w:uiPriority w:val="0"/>
    <w:rPr>
      <w:rFonts w:ascii="Arial" w:hAnsi="Arial"/>
      <w:b/>
      <w:sz w:val="32"/>
    </w:rPr>
  </w:style>
  <w:style w:type="character" w:customStyle="1" w:styleId="247">
    <w:name w:val="批注主题 Char"/>
    <w:link w:val="48"/>
    <w:qFormat/>
    <w:uiPriority w:val="0"/>
    <w:rPr>
      <w:lang w:eastAsia="en-US"/>
    </w:rPr>
  </w:style>
  <w:style w:type="character" w:customStyle="1" w:styleId="248">
    <w:name w:val="正文首行缩进 Char"/>
    <w:link w:val="49"/>
    <w:qFormat/>
    <w:uiPriority w:val="0"/>
    <w:rPr>
      <w:rFonts w:ascii="宋体" w:hAnsi="宋体" w:cs="宋体"/>
      <w:sz w:val="24"/>
      <w:szCs w:val="24"/>
      <w:lang w:eastAsia="en-US"/>
    </w:rPr>
  </w:style>
  <w:style w:type="character" w:customStyle="1" w:styleId="249">
    <w:name w:val="标题 1 Char"/>
    <w:qFormat/>
    <w:uiPriority w:val="0"/>
    <w:rPr>
      <w:rFonts w:ascii="黑体" w:hAnsi="黑体" w:eastAsia="黑体"/>
      <w:sz w:val="72"/>
      <w:szCs w:val="72"/>
      <w:lang w:eastAsia="en-US"/>
    </w:rPr>
  </w:style>
  <w:style w:type="character" w:customStyle="1" w:styleId="250">
    <w:name w:val="Char Char25"/>
    <w:qFormat/>
    <w:uiPriority w:val="0"/>
    <w:rPr>
      <w:rFonts w:ascii="Arial" w:hAnsi="Arial" w:eastAsia="黑体"/>
      <w:b/>
      <w:sz w:val="28"/>
    </w:rPr>
  </w:style>
  <w:style w:type="character" w:customStyle="1" w:styleId="251">
    <w:name w:val="未处理的提及"/>
    <w:unhideWhenUsed/>
    <w:qFormat/>
    <w:uiPriority w:val="99"/>
    <w:rPr>
      <w:color w:val="605E5C"/>
      <w:shd w:val="clear" w:color="auto" w:fill="E1DFDD"/>
    </w:rPr>
  </w:style>
  <w:style w:type="character" w:customStyle="1" w:styleId="252">
    <w:name w:val="bookmark"/>
    <w:qFormat/>
    <w:uiPriority w:val="0"/>
  </w:style>
  <w:style w:type="character" w:customStyle="1" w:styleId="253">
    <w:name w:val="NormalCharacter1"/>
    <w:qFormat/>
    <w:uiPriority w:val="0"/>
  </w:style>
  <w:style w:type="character" w:customStyle="1" w:styleId="254">
    <w:name w:val="font161"/>
    <w:qFormat/>
    <w:uiPriority w:val="0"/>
    <w:rPr>
      <w:b/>
      <w:sz w:val="32"/>
    </w:rPr>
  </w:style>
  <w:style w:type="character" w:customStyle="1" w:styleId="255">
    <w:name w:val="已访问的超链接11"/>
    <w:qFormat/>
    <w:uiPriority w:val="99"/>
    <w:rPr>
      <w:rFonts w:eastAsia="Calibri"/>
      <w:sz w:val="22"/>
      <w:szCs w:val="22"/>
      <w:lang w:val="en-US" w:eastAsia="en-US" w:bidi="ar-SA"/>
    </w:rPr>
  </w:style>
  <w:style w:type="paragraph" w:customStyle="1" w:styleId="256">
    <w:name w:val="Table Paragraph"/>
    <w:basedOn w:val="1"/>
    <w:qFormat/>
    <w:uiPriority w:val="99"/>
  </w:style>
  <w:style w:type="paragraph" w:customStyle="1" w:styleId="257">
    <w:name w:val="首行缩进"/>
    <w:basedOn w:val="1"/>
    <w:qFormat/>
    <w:uiPriority w:val="99"/>
    <w:pPr>
      <w:spacing w:line="360" w:lineRule="auto"/>
      <w:ind w:firstLine="480"/>
    </w:pPr>
    <w:rPr>
      <w:rFonts w:ascii="宋体" w:hAnsi="宋体"/>
      <w:sz w:val="24"/>
      <w:szCs w:val="24"/>
    </w:rPr>
  </w:style>
  <w:style w:type="paragraph" w:customStyle="1" w:styleId="258">
    <w:name w:val="样式 标题 2 + Times New Roman 四号 非加粗 段前: 5 磅 段后: 0 磅 行距: 固定值 20..."/>
    <w:basedOn w:val="3"/>
    <w:qFormat/>
    <w:uiPriority w:val="0"/>
    <w:pPr>
      <w:keepNext/>
      <w:keepLines/>
      <w:spacing w:before="100" w:line="400" w:lineRule="exact"/>
      <w:ind w:left="0"/>
      <w:jc w:val="both"/>
    </w:pPr>
    <w:rPr>
      <w:rFonts w:ascii="Times New Roman" w:hAnsi="Times New Roman"/>
      <w:b w:val="0"/>
      <w:bCs w:val="0"/>
      <w:sz w:val="28"/>
      <w:szCs w:val="20"/>
      <w:lang w:eastAsia="zh-CN"/>
    </w:rPr>
  </w:style>
  <w:style w:type="paragraph" w:customStyle="1" w:styleId="259">
    <w:name w:val="Heading21"/>
    <w:basedOn w:val="1"/>
    <w:next w:val="1"/>
    <w:qFormat/>
    <w:uiPriority w:val="0"/>
    <w:pPr>
      <w:keepNext/>
      <w:keepLines/>
    </w:pPr>
    <w:rPr>
      <w:rFonts w:ascii="Arial" w:hAnsi="Arial"/>
      <w:sz w:val="28"/>
      <w:szCs w:val="24"/>
    </w:rPr>
  </w:style>
  <w:style w:type="paragraph" w:customStyle="1" w:styleId="260">
    <w:name w:val="6'"/>
    <w:basedOn w:val="1"/>
    <w:qFormat/>
    <w:uiPriority w:val="0"/>
    <w:pPr>
      <w:spacing w:line="320" w:lineRule="exact"/>
      <w:jc w:val="center"/>
    </w:pPr>
    <w:rPr>
      <w:rFonts w:eastAsia="宋体"/>
      <w:spacing w:val="20"/>
      <w:sz w:val="21"/>
      <w:szCs w:val="20"/>
      <w:lang w:eastAsia="zh-CN"/>
    </w:rPr>
  </w:style>
  <w:style w:type="paragraph" w:customStyle="1" w:styleId="261">
    <w:name w:val="正文_1_0_0_0_0"/>
    <w:qFormat/>
    <w:uiPriority w:val="0"/>
    <w:pPr>
      <w:widowControl w:val="0"/>
      <w:jc w:val="both"/>
    </w:pPr>
    <w:rPr>
      <w:rFonts w:ascii="Times New Roman" w:hAnsi="Times New Roman" w:eastAsia="宋体" w:cs="Times New Roman"/>
      <w:szCs w:val="24"/>
      <w:lang w:val="en-US" w:eastAsia="zh-CN" w:bidi="ar-SA"/>
    </w:rPr>
  </w:style>
  <w:style w:type="paragraph" w:customStyle="1" w:styleId="262">
    <w:name w:val="样式 标题 3 + (中文) 黑体 小四 非加粗 段前: 7.8 磅 段后: 0 磅 行距: 固定值 20 磅"/>
    <w:basedOn w:val="4"/>
    <w:qFormat/>
    <w:uiPriority w:val="0"/>
    <w:pPr>
      <w:keepNext/>
      <w:keepLines/>
      <w:spacing w:line="400" w:lineRule="exact"/>
      <w:jc w:val="both"/>
    </w:pPr>
    <w:rPr>
      <w:rFonts w:ascii="Times New Roman" w:hAnsi="Times New Roman"/>
      <w:sz w:val="24"/>
      <w:szCs w:val="20"/>
      <w:lang w:eastAsia="zh-CN"/>
    </w:rPr>
  </w:style>
  <w:style w:type="paragraph" w:customStyle="1" w:styleId="263">
    <w:name w:val="Heading 3_0_0_0"/>
    <w:basedOn w:val="264"/>
    <w:next w:val="264"/>
    <w:qFormat/>
    <w:uiPriority w:val="0"/>
    <w:pPr>
      <w:keepNext/>
      <w:keepLines/>
      <w:spacing w:line="400" w:lineRule="exact"/>
      <w:outlineLvl w:val="2"/>
    </w:pPr>
    <w:rPr>
      <w:rFonts w:ascii="黑体" w:hAnsi="黑体" w:eastAsia="黑体"/>
      <w:bCs/>
      <w:color w:val="FF0000"/>
      <w:szCs w:val="21"/>
    </w:rPr>
  </w:style>
  <w:style w:type="paragraph" w:customStyle="1" w:styleId="264">
    <w:name w:val="Normal_0_0"/>
    <w:qFormat/>
    <w:uiPriority w:val="0"/>
    <w:pPr>
      <w:widowControl w:val="0"/>
      <w:jc w:val="both"/>
    </w:pPr>
    <w:rPr>
      <w:rFonts w:ascii="Times New Roman" w:hAnsi="Times New Roman" w:eastAsia="宋体" w:cs="Times New Roman"/>
      <w:szCs w:val="24"/>
      <w:lang w:val="en-US" w:eastAsia="zh-CN" w:bidi="ar-SA"/>
    </w:rPr>
  </w:style>
  <w:style w:type="paragraph" w:customStyle="1" w:styleId="265">
    <w:name w:val="正文_1_0"/>
    <w:qFormat/>
    <w:uiPriority w:val="0"/>
    <w:pPr>
      <w:widowControl w:val="0"/>
      <w:jc w:val="both"/>
    </w:pPr>
    <w:rPr>
      <w:rFonts w:ascii="Times New Roman" w:hAnsi="Times New Roman" w:eastAsia="宋体" w:cs="Times New Roman"/>
      <w:szCs w:val="24"/>
      <w:lang w:val="en-US" w:eastAsia="zh-CN" w:bidi="ar-SA"/>
    </w:rPr>
  </w:style>
  <w:style w:type="paragraph" w:customStyle="1" w:styleId="266">
    <w:name w:val="表格文字"/>
    <w:basedOn w:val="1"/>
    <w:qFormat/>
    <w:uiPriority w:val="0"/>
    <w:pPr>
      <w:spacing w:line="420" w:lineRule="atLeast"/>
    </w:pPr>
    <w:rPr>
      <w:rFonts w:eastAsia="宋体"/>
      <w:sz w:val="21"/>
      <w:szCs w:val="20"/>
      <w:lang w:eastAsia="zh-CN"/>
    </w:rPr>
  </w:style>
  <w:style w:type="paragraph" w:customStyle="1" w:styleId="267">
    <w:name w:val="1"/>
    <w:basedOn w:val="1"/>
    <w:next w:val="1"/>
    <w:qFormat/>
    <w:uiPriority w:val="0"/>
    <w:pPr>
      <w:jc w:val="both"/>
    </w:pPr>
    <w:rPr>
      <w:rFonts w:eastAsia="宋体"/>
      <w:sz w:val="21"/>
      <w:szCs w:val="20"/>
      <w:lang w:eastAsia="zh-CN"/>
    </w:rPr>
  </w:style>
  <w:style w:type="paragraph" w:customStyle="1" w:styleId="268">
    <w:name w:val="WPSOffice手动目录 1"/>
    <w:qFormat/>
    <w:uiPriority w:val="0"/>
    <w:rPr>
      <w:rFonts w:ascii="Calibri" w:hAnsi="Calibri" w:eastAsia="宋体" w:cs="Times New Roman"/>
      <w:lang w:val="en-US" w:eastAsia="zh-CN" w:bidi="ar-SA"/>
    </w:rPr>
  </w:style>
  <w:style w:type="paragraph" w:customStyle="1" w:styleId="269">
    <w:name w:val="段"/>
    <w:next w:val="1"/>
    <w:qFormat/>
    <w:uiPriority w:val="0"/>
    <w:pPr>
      <w:ind w:firstLine="200"/>
      <w:jc w:val="both"/>
    </w:pPr>
    <w:rPr>
      <w:rFonts w:ascii="宋体" w:hAnsi="Calibri" w:eastAsia="宋体" w:cs="Times New Roman"/>
      <w:sz w:val="21"/>
      <w:lang w:val="en-US" w:eastAsia="zh-CN" w:bidi="ar-SA"/>
    </w:rPr>
  </w:style>
  <w:style w:type="paragraph" w:customStyle="1" w:styleId="270">
    <w:name w:val="Default"/>
    <w:qFormat/>
    <w:uiPriority w:val="0"/>
    <w:pPr>
      <w:widowControl w:val="0"/>
    </w:pPr>
    <w:rPr>
      <w:rFonts w:ascii="宋体" w:hAnsi="Calibri" w:eastAsia="宋体" w:cs="宋体"/>
      <w:color w:val="000000"/>
      <w:sz w:val="24"/>
      <w:szCs w:val="24"/>
      <w:lang w:val="en-US" w:eastAsia="zh-CN" w:bidi="ar-SA"/>
    </w:rPr>
  </w:style>
  <w:style w:type="paragraph" w:customStyle="1" w:styleId="271">
    <w:name w:val="正文_1_0_0"/>
    <w:qFormat/>
    <w:uiPriority w:val="0"/>
    <w:pPr>
      <w:widowControl w:val="0"/>
      <w:jc w:val="both"/>
    </w:pPr>
    <w:rPr>
      <w:rFonts w:ascii="Times New Roman" w:hAnsi="Times New Roman" w:eastAsia="宋体" w:cs="Times New Roman"/>
      <w:lang w:val="en-US" w:eastAsia="zh-CN" w:bidi="ar-SA"/>
    </w:rPr>
  </w:style>
  <w:style w:type="paragraph" w:customStyle="1" w:styleId="272">
    <w:name w:val="正文_2"/>
    <w:qFormat/>
    <w:uiPriority w:val="0"/>
    <w:pPr>
      <w:widowControl w:val="0"/>
      <w:spacing w:after="200" w:line="276" w:lineRule="auto"/>
    </w:pPr>
    <w:rPr>
      <w:rFonts w:ascii="Calibri" w:hAnsi="Calibri" w:eastAsia="宋体" w:cs="Times New Roman"/>
      <w:lang w:val="en-US" w:eastAsia="zh-CN" w:bidi="ar-SA"/>
    </w:rPr>
  </w:style>
  <w:style w:type="paragraph" w:customStyle="1" w:styleId="273">
    <w:name w:val="表格"/>
    <w:basedOn w:val="1"/>
    <w:qFormat/>
    <w:uiPriority w:val="0"/>
    <w:pPr>
      <w:jc w:val="center"/>
    </w:pPr>
    <w:rPr>
      <w:rFonts w:ascii="华文细黑" w:hAnsi="华文细黑" w:eastAsia="宋体"/>
      <w:sz w:val="21"/>
      <w:szCs w:val="20"/>
      <w:lang w:eastAsia="zh-CN"/>
    </w:rPr>
  </w:style>
  <w:style w:type="paragraph" w:customStyle="1" w:styleId="274">
    <w:name w:val="正文_1_1"/>
    <w:qFormat/>
    <w:uiPriority w:val="99"/>
    <w:pPr>
      <w:widowControl w:val="0"/>
      <w:jc w:val="both"/>
    </w:pPr>
    <w:rPr>
      <w:rFonts w:ascii="Times New Roman" w:hAnsi="Times New Roman" w:eastAsia="宋体" w:cs="Times New Roman"/>
      <w:szCs w:val="24"/>
      <w:lang w:val="en-US" w:eastAsia="zh-CN" w:bidi="ar-SA"/>
    </w:rPr>
  </w:style>
  <w:style w:type="paragraph" w:customStyle="1" w:styleId="275">
    <w:name w:val="正文_1_0_0_0_0_0"/>
    <w:qFormat/>
    <w:uiPriority w:val="0"/>
    <w:pPr>
      <w:widowControl w:val="0"/>
      <w:jc w:val="both"/>
    </w:pPr>
    <w:rPr>
      <w:rFonts w:ascii="Times New Roman" w:hAnsi="Times New Roman" w:eastAsia="宋体" w:cs="Times New Roman"/>
      <w:szCs w:val="24"/>
      <w:lang w:val="en-US" w:eastAsia="zh-CN" w:bidi="ar-SA"/>
    </w:rPr>
  </w:style>
  <w:style w:type="paragraph" w:customStyle="1" w:styleId="276">
    <w:name w:val="正文_0_0_0"/>
    <w:qFormat/>
    <w:uiPriority w:val="99"/>
    <w:pPr>
      <w:widowControl w:val="0"/>
      <w:jc w:val="both"/>
    </w:pPr>
    <w:rPr>
      <w:rFonts w:ascii="Times New Roman" w:hAnsi="Times New Roman" w:eastAsia="宋体" w:cs="Times New Roman"/>
      <w:szCs w:val="24"/>
      <w:lang w:val="en-US" w:eastAsia="zh-CN" w:bidi="ar-SA"/>
    </w:rPr>
  </w:style>
  <w:style w:type="paragraph" w:customStyle="1" w:styleId="277">
    <w:name w:val="列出段落1"/>
    <w:basedOn w:val="1"/>
    <w:qFormat/>
    <w:uiPriority w:val="0"/>
    <w:pPr>
      <w:widowControl/>
      <w:ind w:left="720"/>
      <w:contextualSpacing/>
    </w:pPr>
    <w:rPr>
      <w:rFonts w:ascii="Arial" w:hAnsi="Arial" w:eastAsia="黑体"/>
      <w:sz w:val="24"/>
      <w:szCs w:val="24"/>
    </w:rPr>
  </w:style>
  <w:style w:type="paragraph" w:customStyle="1" w:styleId="278">
    <w:name w:val="正文_1_0_0_0"/>
    <w:qFormat/>
    <w:uiPriority w:val="0"/>
    <w:pPr>
      <w:widowControl w:val="0"/>
      <w:jc w:val="both"/>
    </w:pPr>
    <w:rPr>
      <w:rFonts w:ascii="Times New Roman" w:hAnsi="Times New Roman" w:eastAsia="宋体" w:cs="Times New Roman"/>
      <w:szCs w:val="24"/>
      <w:lang w:val="en-US" w:eastAsia="zh-CN" w:bidi="ar-SA"/>
    </w:rPr>
  </w:style>
  <w:style w:type="paragraph" w:customStyle="1" w:styleId="279">
    <w:name w:val="Normal_0_1"/>
    <w:qFormat/>
    <w:uiPriority w:val="0"/>
    <w:pPr>
      <w:widowControl w:val="0"/>
      <w:jc w:val="both"/>
    </w:pPr>
    <w:rPr>
      <w:rFonts w:ascii="Times New Roman" w:hAnsi="Times New Roman" w:eastAsia="宋体" w:cs="Times New Roman"/>
      <w:lang w:val="en-US" w:eastAsia="zh-CN" w:bidi="ar-SA"/>
    </w:rPr>
  </w:style>
  <w:style w:type="paragraph" w:customStyle="1" w:styleId="280">
    <w:name w:val="正文文本缩进1"/>
    <w:basedOn w:val="265"/>
    <w:qFormat/>
    <w:uiPriority w:val="0"/>
    <w:pPr>
      <w:spacing w:after="120"/>
      <w:ind w:left="420"/>
    </w:pPr>
    <w:rPr>
      <w:rFonts w:ascii="Calibri" w:hAnsi="Calibri" w:eastAsia="微软雅黑"/>
    </w:rPr>
  </w:style>
  <w:style w:type="paragraph" w:customStyle="1" w:styleId="281">
    <w:name w:val="样式 标题 1 + 黑体 三号 非加粗 居中 段前: 6 磅 段后: 6 磅 行距: 固定值 20 磅"/>
    <w:basedOn w:val="2"/>
    <w:qFormat/>
    <w:uiPriority w:val="0"/>
    <w:pPr>
      <w:keepNext/>
      <w:keepLines/>
      <w:spacing w:before="120" w:after="120" w:line="400" w:lineRule="exact"/>
      <w:jc w:val="center"/>
    </w:pPr>
    <w:rPr>
      <w:sz w:val="32"/>
      <w:szCs w:val="20"/>
      <w:lang w:eastAsia="zh-CN"/>
    </w:rPr>
  </w:style>
  <w:style w:type="paragraph" w:customStyle="1" w:styleId="282">
    <w:name w:val="Blockquote"/>
    <w:basedOn w:val="1"/>
    <w:qFormat/>
    <w:uiPriority w:val="99"/>
    <w:pPr>
      <w:spacing w:before="100" w:after="100"/>
      <w:ind w:left="360" w:right="360"/>
    </w:pPr>
    <w:rPr>
      <w:rFonts w:eastAsia="宋体"/>
      <w:sz w:val="24"/>
      <w:szCs w:val="20"/>
      <w:lang w:eastAsia="zh-CN"/>
    </w:rPr>
  </w:style>
  <w:style w:type="paragraph" w:customStyle="1" w:styleId="283">
    <w:name w:val="_Style 19"/>
    <w:qFormat/>
    <w:uiPriority w:val="0"/>
    <w:pPr>
      <w:widowControl w:val="0"/>
      <w:jc w:val="both"/>
    </w:pPr>
    <w:rPr>
      <w:rFonts w:ascii="Calibri" w:hAnsi="Calibri" w:eastAsia="宋体" w:cs="Times New Roman"/>
      <w:sz w:val="21"/>
      <w:szCs w:val="22"/>
      <w:lang w:val="en-US" w:eastAsia="zh-CN" w:bidi="ar-SA"/>
    </w:rPr>
  </w:style>
  <w:style w:type="table" w:customStyle="1" w:styleId="284">
    <w:name w:val="Table Normal"/>
    <w:unhideWhenUsed/>
    <w:qFormat/>
    <w:uiPriority w:val="2"/>
    <w:tblPr>
      <w:tblCellMar>
        <w:top w:w="0" w:type="dxa"/>
        <w:left w:w="0" w:type="dxa"/>
        <w:bottom w:w="0" w:type="dxa"/>
        <w:right w:w="0" w:type="dxa"/>
      </w:tblCellMar>
    </w:tblPr>
  </w:style>
  <w:style w:type="table" w:customStyle="1" w:styleId="285">
    <w:name w:val="网格型1"/>
    <w:basedOn w:val="51"/>
    <w:qFormat/>
    <w:uiPriority w:val="59"/>
    <w:tblPr>
      <w:tblCellMar>
        <w:top w:w="0" w:type="dxa"/>
        <w:left w:w="108" w:type="dxa"/>
        <w:bottom w:w="0" w:type="dxa"/>
        <w:right w:w="108" w:type="dxa"/>
      </w:tblCellMar>
    </w:tblPr>
  </w:style>
  <w:style w:type="character" w:customStyle="1" w:styleId="286">
    <w:name w:val="正文文本缩进 2 Char"/>
    <w:basedOn w:val="53"/>
    <w:link w:val="27"/>
    <w:qFormat/>
    <w:uiPriority w:val="0"/>
    <w:rPr>
      <w:rFonts w:eastAsia="Calibri"/>
      <w:sz w:val="22"/>
      <w:szCs w:val="22"/>
      <w:lang w:eastAsia="en-US"/>
    </w:rPr>
  </w:style>
  <w:style w:type="character" w:customStyle="1" w:styleId="287">
    <w:name w:val="标题 5 Char"/>
    <w:basedOn w:val="53"/>
    <w:link w:val="6"/>
    <w:qFormat/>
    <w:uiPriority w:val="0"/>
    <w:rPr>
      <w:rFonts w:ascii="Times New Roman" w:hAnsi="Times New Roman"/>
      <w:b/>
      <w:bCs/>
      <w:kern w:val="2"/>
      <w:sz w:val="28"/>
      <w:szCs w:val="28"/>
    </w:rPr>
  </w:style>
  <w:style w:type="character" w:customStyle="1" w:styleId="288">
    <w:name w:val="纯文本 Char1"/>
    <w:qFormat/>
    <w:locked/>
    <w:uiPriority w:val="0"/>
    <w:rPr>
      <w:rFonts w:ascii="宋体" w:hAnsi="Courier New" w:cs="金山简魏碑"/>
      <w:kern w:val="2"/>
      <w:sz w:val="21"/>
      <w:szCs w:val="21"/>
    </w:rPr>
  </w:style>
  <w:style w:type="character" w:customStyle="1" w:styleId="289">
    <w:name w:val="HTML 预设格式 Char"/>
    <w:basedOn w:val="53"/>
    <w:link w:val="45"/>
    <w:qFormat/>
    <w:uiPriority w:val="99"/>
    <w:rPr>
      <w:rFonts w:ascii="Arial" w:hAnsi="Arial"/>
      <w:sz w:val="11"/>
      <w:szCs w:val="11"/>
    </w:rPr>
  </w:style>
  <w:style w:type="character" w:customStyle="1" w:styleId="290">
    <w:name w:val="明显引用 Char1"/>
    <w:qFormat/>
    <w:uiPriority w:val="99"/>
    <w:rPr>
      <w:b/>
      <w:bCs/>
      <w:i/>
      <w:iCs/>
      <w:color w:val="4F81BD"/>
      <w:kern w:val="2"/>
      <w:sz w:val="21"/>
      <w:szCs w:val="24"/>
    </w:rPr>
  </w:style>
  <w:style w:type="character" w:customStyle="1" w:styleId="291">
    <w:name w:val="rvts13"/>
    <w:qFormat/>
    <w:uiPriority w:val="0"/>
    <w:rPr>
      <w:rFonts w:hint="default" w:ascii="KNLe" w:hAnsi="KNLe"/>
      <w:color w:val="000000"/>
    </w:rPr>
  </w:style>
  <w:style w:type="character" w:customStyle="1" w:styleId="292">
    <w:name w:val="文档结构图 Char1"/>
    <w:qFormat/>
    <w:uiPriority w:val="0"/>
    <w:rPr>
      <w:rFonts w:ascii="宋体"/>
      <w:kern w:val="2"/>
      <w:sz w:val="18"/>
      <w:szCs w:val="18"/>
    </w:rPr>
  </w:style>
  <w:style w:type="character" w:customStyle="1" w:styleId="293">
    <w:name w:val="标题 Char1"/>
    <w:qFormat/>
    <w:uiPriority w:val="10"/>
    <w:rPr>
      <w:rFonts w:ascii="Cambria" w:hAnsi="Cambria" w:eastAsia="宋体" w:cs="Times New Roman"/>
      <w:b/>
      <w:bCs/>
      <w:sz w:val="32"/>
      <w:szCs w:val="32"/>
    </w:rPr>
  </w:style>
  <w:style w:type="character" w:customStyle="1" w:styleId="294">
    <w:name w:val="标题 3 Char1"/>
    <w:qFormat/>
    <w:uiPriority w:val="0"/>
    <w:rPr>
      <w:b/>
      <w:bCs/>
      <w:kern w:val="2"/>
      <w:sz w:val="32"/>
      <w:szCs w:val="32"/>
    </w:rPr>
  </w:style>
  <w:style w:type="character" w:customStyle="1" w:styleId="295">
    <w:name w:val="font21"/>
    <w:qFormat/>
    <w:uiPriority w:val="0"/>
    <w:rPr>
      <w:rFonts w:hint="eastAsia" w:ascii="微软雅黑" w:hAnsi="微软雅黑" w:eastAsia="微软雅黑" w:cs="微软雅黑"/>
      <w:color w:val="000000"/>
      <w:sz w:val="24"/>
      <w:szCs w:val="24"/>
      <w:u w:val="none"/>
    </w:rPr>
  </w:style>
  <w:style w:type="character" w:customStyle="1" w:styleId="296">
    <w:name w:val="标题 4 Char1"/>
    <w:qFormat/>
    <w:uiPriority w:val="0"/>
    <w:rPr>
      <w:rFonts w:ascii="Cambria" w:hAnsi="Cambria" w:eastAsia="宋体" w:cs="Times New Roman"/>
      <w:b/>
      <w:bCs/>
      <w:kern w:val="2"/>
      <w:sz w:val="28"/>
      <w:szCs w:val="28"/>
    </w:rPr>
  </w:style>
  <w:style w:type="character" w:customStyle="1" w:styleId="297">
    <w:name w:val="标题4 Char Char"/>
    <w:link w:val="298"/>
    <w:qFormat/>
    <w:uiPriority w:val="0"/>
    <w:rPr>
      <w:rFonts w:ascii="Arial" w:hAnsi="Arial"/>
      <w:b/>
      <w:bCs/>
      <w:sz w:val="24"/>
      <w:szCs w:val="32"/>
    </w:rPr>
  </w:style>
  <w:style w:type="paragraph" w:customStyle="1" w:styleId="298">
    <w:name w:val="标题4"/>
    <w:basedOn w:val="3"/>
    <w:next w:val="21"/>
    <w:link w:val="297"/>
    <w:qFormat/>
    <w:uiPriority w:val="0"/>
    <w:pPr>
      <w:keepNext/>
      <w:keepLines/>
      <w:spacing w:before="260" w:after="260" w:line="413" w:lineRule="auto"/>
      <w:ind w:left="0"/>
      <w:jc w:val="both"/>
    </w:pPr>
    <w:rPr>
      <w:rFonts w:ascii="Arial" w:hAnsi="Arial" w:eastAsia="宋体"/>
      <w:sz w:val="24"/>
      <w:szCs w:val="32"/>
    </w:rPr>
  </w:style>
  <w:style w:type="character" w:customStyle="1" w:styleId="299">
    <w:name w:val="批注框文本 Char1"/>
    <w:qFormat/>
    <w:uiPriority w:val="0"/>
    <w:rPr>
      <w:kern w:val="2"/>
      <w:sz w:val="18"/>
      <w:szCs w:val="18"/>
    </w:rPr>
  </w:style>
  <w:style w:type="character" w:customStyle="1" w:styleId="300">
    <w:name w:val="_Style 78"/>
    <w:qFormat/>
    <w:uiPriority w:val="0"/>
    <w:rPr>
      <w:b/>
      <w:bCs/>
      <w:smallCaps/>
      <w:spacing w:val="5"/>
    </w:rPr>
  </w:style>
  <w:style w:type="character" w:customStyle="1" w:styleId="301">
    <w:name w:val="副标题 Char1"/>
    <w:qFormat/>
    <w:uiPriority w:val="0"/>
    <w:rPr>
      <w:rFonts w:ascii="Cambria" w:hAnsi="Cambria" w:cs="Times New Roman"/>
      <w:b/>
      <w:bCs/>
      <w:kern w:val="28"/>
      <w:sz w:val="32"/>
      <w:szCs w:val="32"/>
    </w:rPr>
  </w:style>
  <w:style w:type="character" w:customStyle="1" w:styleId="302">
    <w:name w:val="批注文字 Char Char"/>
    <w:qFormat/>
    <w:uiPriority w:val="0"/>
    <w:rPr>
      <w:rFonts w:ascii="宋体" w:hAnsi="Times New Roman" w:eastAsia="宋体" w:cs="Times New Roman"/>
      <w:sz w:val="28"/>
      <w:szCs w:val="20"/>
    </w:rPr>
  </w:style>
  <w:style w:type="character" w:customStyle="1" w:styleId="303">
    <w:name w:val="批注主题 Char1"/>
    <w:qFormat/>
    <w:uiPriority w:val="0"/>
    <w:rPr>
      <w:b/>
      <w:bCs/>
      <w:kern w:val="2"/>
      <w:sz w:val="21"/>
      <w:szCs w:val="22"/>
    </w:rPr>
  </w:style>
  <w:style w:type="character" w:customStyle="1" w:styleId="304">
    <w:name w:val="_Style 82"/>
    <w:qFormat/>
    <w:uiPriority w:val="0"/>
    <w:rPr>
      <w:b/>
      <w:bCs/>
      <w:smallCaps/>
      <w:color w:val="C0504D"/>
      <w:spacing w:val="5"/>
      <w:u w:val="single"/>
    </w:rPr>
  </w:style>
  <w:style w:type="character" w:customStyle="1" w:styleId="305">
    <w:name w:val="rvts10"/>
    <w:qFormat/>
    <w:uiPriority w:val="0"/>
    <w:rPr>
      <w:rFonts w:hint="default" w:ascii="KNLe" w:hAnsi="KNLe"/>
      <w:b/>
      <w:bCs/>
    </w:rPr>
  </w:style>
  <w:style w:type="character" w:customStyle="1" w:styleId="306">
    <w:name w:val="font11"/>
    <w:qFormat/>
    <w:uiPriority w:val="0"/>
    <w:rPr>
      <w:rFonts w:hint="eastAsia" w:ascii="微软雅黑" w:hAnsi="微软雅黑" w:eastAsia="微软雅黑" w:cs="微软雅黑"/>
      <w:color w:val="000000"/>
      <w:sz w:val="24"/>
      <w:szCs w:val="24"/>
      <w:u w:val="none"/>
      <w:vertAlign w:val="superscript"/>
    </w:rPr>
  </w:style>
  <w:style w:type="character" w:customStyle="1" w:styleId="307">
    <w:name w:val="引用 Char1"/>
    <w:qFormat/>
    <w:uiPriority w:val="99"/>
    <w:rPr>
      <w:i/>
      <w:iCs/>
      <w:color w:val="000000"/>
      <w:kern w:val="2"/>
      <w:sz w:val="21"/>
      <w:szCs w:val="24"/>
    </w:rPr>
  </w:style>
  <w:style w:type="character" w:customStyle="1" w:styleId="308">
    <w:name w:val="日期 Char1"/>
    <w:qFormat/>
    <w:uiPriority w:val="0"/>
    <w:rPr>
      <w:kern w:val="2"/>
      <w:sz w:val="21"/>
      <w:szCs w:val="22"/>
    </w:rPr>
  </w:style>
  <w:style w:type="character" w:customStyle="1" w:styleId="309">
    <w:name w:val="NormalCharacter"/>
    <w:qFormat/>
    <w:uiPriority w:val="0"/>
  </w:style>
  <w:style w:type="character" w:customStyle="1" w:styleId="310">
    <w:name w:val="批注主题 Char2"/>
    <w:qFormat/>
    <w:uiPriority w:val="0"/>
    <w:rPr>
      <w:b/>
      <w:bCs/>
      <w:kern w:val="2"/>
      <w:sz w:val="21"/>
      <w:szCs w:val="24"/>
    </w:rPr>
  </w:style>
  <w:style w:type="character" w:customStyle="1" w:styleId="311">
    <w:name w:val="批注文字 字符"/>
    <w:semiHidden/>
    <w:qFormat/>
    <w:uiPriority w:val="0"/>
    <w:rPr>
      <w:kern w:val="2"/>
      <w:sz w:val="21"/>
    </w:rPr>
  </w:style>
  <w:style w:type="character" w:customStyle="1" w:styleId="312">
    <w:name w:val="_Style 91"/>
    <w:qFormat/>
    <w:uiPriority w:val="0"/>
    <w:rPr>
      <w:smallCaps/>
      <w:color w:val="C0504D"/>
      <w:u w:val="single"/>
    </w:rPr>
  </w:style>
  <w:style w:type="character" w:customStyle="1" w:styleId="313">
    <w:name w:val="_Style 92"/>
    <w:qFormat/>
    <w:uiPriority w:val="0"/>
    <w:rPr>
      <w:i/>
      <w:iCs/>
      <w:color w:val="808080"/>
    </w:rPr>
  </w:style>
  <w:style w:type="character" w:customStyle="1" w:styleId="314">
    <w:name w:val="rvts11"/>
    <w:qFormat/>
    <w:uiPriority w:val="0"/>
    <w:rPr>
      <w:rFonts w:hint="default" w:ascii="KNLe" w:hAnsi="KNLe"/>
      <w:u w:val="single"/>
    </w:rPr>
  </w:style>
  <w:style w:type="character" w:customStyle="1" w:styleId="315">
    <w:name w:val="标题3 Char"/>
    <w:link w:val="316"/>
    <w:qFormat/>
    <w:uiPriority w:val="0"/>
    <w:rPr>
      <w:rFonts w:ascii="黑体" w:hAnsi="黑体" w:eastAsia="黑体"/>
      <w:b/>
      <w:kern w:val="2"/>
      <w:sz w:val="32"/>
      <w:szCs w:val="32"/>
    </w:rPr>
  </w:style>
  <w:style w:type="paragraph" w:customStyle="1" w:styleId="316">
    <w:name w:val="标题3"/>
    <w:basedOn w:val="1"/>
    <w:link w:val="315"/>
    <w:qFormat/>
    <w:uiPriority w:val="0"/>
    <w:pPr>
      <w:pageBreakBefore/>
      <w:jc w:val="center"/>
      <w:outlineLvl w:val="2"/>
    </w:pPr>
    <w:rPr>
      <w:rFonts w:ascii="黑体" w:hAnsi="黑体" w:eastAsia="黑体"/>
      <w:b/>
      <w:kern w:val="2"/>
      <w:sz w:val="32"/>
      <w:szCs w:val="32"/>
    </w:rPr>
  </w:style>
  <w:style w:type="character" w:customStyle="1" w:styleId="317">
    <w:name w:val="_Style 96"/>
    <w:qFormat/>
    <w:uiPriority w:val="0"/>
    <w:rPr>
      <w:b/>
      <w:bCs/>
      <w:i/>
      <w:iCs/>
      <w:color w:val="4F81BD"/>
    </w:rPr>
  </w:style>
  <w:style w:type="character" w:customStyle="1" w:styleId="318">
    <w:name w:val="正文文本 Char1"/>
    <w:qFormat/>
    <w:uiPriority w:val="0"/>
    <w:rPr>
      <w:kern w:val="2"/>
      <w:sz w:val="21"/>
      <w:szCs w:val="22"/>
    </w:rPr>
  </w:style>
  <w:style w:type="character" w:customStyle="1" w:styleId="319">
    <w:name w:val="textcontents"/>
    <w:qFormat/>
    <w:uiPriority w:val="0"/>
    <w:rPr>
      <w:rFonts w:cs="Times New Roman"/>
    </w:rPr>
  </w:style>
  <w:style w:type="character" w:customStyle="1" w:styleId="320">
    <w:name w:val="p21"/>
    <w:qFormat/>
    <w:uiPriority w:val="0"/>
    <w:rPr>
      <w:sz w:val="9"/>
      <w:szCs w:val="9"/>
    </w:rPr>
  </w:style>
  <w:style w:type="character" w:customStyle="1" w:styleId="321">
    <w:name w:val="标题5 Char Char"/>
    <w:link w:val="322"/>
    <w:qFormat/>
    <w:uiPriority w:val="0"/>
    <w:rPr>
      <w:rFonts w:ascii="Arial" w:hAnsi="Arial"/>
      <w:b/>
      <w:bCs/>
      <w:sz w:val="24"/>
      <w:szCs w:val="32"/>
    </w:rPr>
  </w:style>
  <w:style w:type="paragraph" w:customStyle="1" w:styleId="322">
    <w:name w:val="标题5"/>
    <w:basedOn w:val="4"/>
    <w:link w:val="321"/>
    <w:qFormat/>
    <w:uiPriority w:val="0"/>
    <w:pPr>
      <w:keepNext/>
      <w:keepLines/>
      <w:tabs>
        <w:tab w:val="left" w:pos="432"/>
      </w:tabs>
      <w:spacing w:before="260" w:after="260" w:line="413" w:lineRule="auto"/>
      <w:jc w:val="both"/>
    </w:pPr>
    <w:rPr>
      <w:rFonts w:ascii="Arial" w:hAnsi="Arial" w:eastAsia="宋体"/>
      <w:b/>
      <w:bCs/>
      <w:sz w:val="24"/>
    </w:rPr>
  </w:style>
  <w:style w:type="character" w:customStyle="1" w:styleId="323">
    <w:name w:val="标题 2 Char_0"/>
    <w:link w:val="324"/>
    <w:qFormat/>
    <w:uiPriority w:val="0"/>
    <w:rPr>
      <w:rFonts w:ascii="Cambria" w:hAnsi="Cambria" w:eastAsia="黑体"/>
      <w:b/>
      <w:bCs/>
      <w:sz w:val="32"/>
      <w:szCs w:val="32"/>
    </w:rPr>
  </w:style>
  <w:style w:type="paragraph" w:customStyle="1" w:styleId="324">
    <w:name w:val="标题 21"/>
    <w:basedOn w:val="325"/>
    <w:next w:val="325"/>
    <w:link w:val="323"/>
    <w:qFormat/>
    <w:uiPriority w:val="0"/>
    <w:rPr>
      <w:rFonts w:ascii="Cambria" w:hAnsi="Cambria" w:eastAsia="黑体"/>
      <w:b/>
      <w:bCs/>
      <w:sz w:val="32"/>
      <w:szCs w:val="32"/>
    </w:rPr>
  </w:style>
  <w:style w:type="paragraph" w:customStyle="1" w:styleId="325">
    <w:name w:val="Normal_0"/>
    <w:qFormat/>
    <w:uiPriority w:val="0"/>
    <w:pPr>
      <w:widowControl w:val="0"/>
    </w:pPr>
    <w:rPr>
      <w:rFonts w:ascii="Times New Roman" w:hAnsi="Times New Roman" w:eastAsia="宋体" w:cs="Times New Roman"/>
      <w:lang w:val="en-US" w:eastAsia="zh-CN" w:bidi="ar-SA"/>
    </w:rPr>
  </w:style>
  <w:style w:type="character" w:customStyle="1" w:styleId="326">
    <w:name w:val="rvts9"/>
    <w:qFormat/>
    <w:uiPriority w:val="0"/>
    <w:rPr>
      <w:rFonts w:hint="default" w:ascii="KNLe" w:hAnsi="KNLe"/>
    </w:rPr>
  </w:style>
  <w:style w:type="paragraph" w:customStyle="1" w:styleId="327">
    <w:name w:val="Char7"/>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paragraph" w:customStyle="1" w:styleId="328">
    <w:name w:val="列出段落2"/>
    <w:basedOn w:val="1"/>
    <w:qFormat/>
    <w:uiPriority w:val="0"/>
    <w:pPr>
      <w:ind w:firstLine="420" w:firstLineChars="200"/>
      <w:jc w:val="both"/>
    </w:pPr>
    <w:rPr>
      <w:rFonts w:eastAsia="宋体"/>
      <w:kern w:val="2"/>
      <w:sz w:val="21"/>
      <w:lang w:eastAsia="zh-CN"/>
    </w:rPr>
  </w:style>
  <w:style w:type="paragraph" w:customStyle="1" w:styleId="329">
    <w:name w:val="Char Char Char Char Char Char Char Char Char Char Char Char Char Char Char Char"/>
    <w:basedOn w:val="1"/>
    <w:qFormat/>
    <w:uiPriority w:val="0"/>
    <w:pPr>
      <w:tabs>
        <w:tab w:val="left" w:pos="360"/>
      </w:tabs>
      <w:spacing w:line="360" w:lineRule="auto"/>
      <w:ind w:left="482" w:firstLine="200" w:firstLineChars="200"/>
      <w:jc w:val="both"/>
    </w:pPr>
    <w:rPr>
      <w:rFonts w:ascii="宋体" w:hAnsi="Times New Roman" w:eastAsia="宋体"/>
      <w:kern w:val="2"/>
      <w:sz w:val="24"/>
      <w:szCs w:val="24"/>
      <w:lang w:eastAsia="zh-CN"/>
    </w:rPr>
  </w:style>
  <w:style w:type="paragraph" w:customStyle="1" w:styleId="330">
    <w:name w:val="t_black_12_b"/>
    <w:basedOn w:val="1"/>
    <w:qFormat/>
    <w:uiPriority w:val="0"/>
    <w:pPr>
      <w:widowControl/>
    </w:pPr>
    <w:rPr>
      <w:rFonts w:ascii="宋体" w:hAnsi="宋体" w:eastAsia="宋体" w:cs="宋体"/>
      <w:b/>
      <w:bCs/>
      <w:color w:val="212121"/>
      <w:sz w:val="9"/>
      <w:szCs w:val="9"/>
      <w:lang w:eastAsia="zh-CN"/>
    </w:rPr>
  </w:style>
  <w:style w:type="character" w:customStyle="1" w:styleId="331">
    <w:name w:val="无间隔 Char"/>
    <w:link w:val="86"/>
    <w:qFormat/>
    <w:uiPriority w:val="1"/>
    <w:rPr>
      <w:lang w:val="en-US" w:eastAsia="zh-CN" w:bidi="ar-SA"/>
    </w:rPr>
  </w:style>
  <w:style w:type="paragraph" w:customStyle="1" w:styleId="332">
    <w:name w:val="pa-2"/>
    <w:basedOn w:val="1"/>
    <w:qFormat/>
    <w:uiPriority w:val="0"/>
    <w:pPr>
      <w:widowControl/>
      <w:spacing w:line="320" w:lineRule="atLeast"/>
      <w:ind w:firstLine="700"/>
      <w:jc w:val="both"/>
    </w:pPr>
    <w:rPr>
      <w:rFonts w:ascii="宋体" w:hAnsi="宋体" w:eastAsia="宋体" w:cs="宋体"/>
      <w:sz w:val="24"/>
      <w:szCs w:val="24"/>
      <w:lang w:eastAsia="zh-CN"/>
    </w:rPr>
  </w:style>
  <w:style w:type="paragraph" w:customStyle="1" w:styleId="333">
    <w:name w:val="Char Char Char Char Char Char Char1 Char"/>
    <w:basedOn w:val="1"/>
    <w:qFormat/>
    <w:uiPriority w:val="0"/>
    <w:pPr>
      <w:jc w:val="both"/>
    </w:pPr>
    <w:rPr>
      <w:rFonts w:ascii="Tahoma" w:hAnsi="Tahoma" w:eastAsia="宋体" w:cs="Tahoma"/>
      <w:kern w:val="2"/>
      <w:sz w:val="24"/>
      <w:szCs w:val="24"/>
      <w:lang w:eastAsia="zh-CN"/>
    </w:rPr>
  </w:style>
  <w:style w:type="paragraph" w:customStyle="1" w:styleId="334">
    <w:name w:val="Char1"/>
    <w:basedOn w:val="1"/>
    <w:qFormat/>
    <w:uiPriority w:val="0"/>
    <w:pPr>
      <w:widowControl/>
      <w:spacing w:after="160" w:line="240" w:lineRule="exact"/>
    </w:pPr>
    <w:rPr>
      <w:rFonts w:ascii="Verdana" w:hAnsi="Verdana" w:eastAsia="仿宋_GB2312"/>
      <w:sz w:val="24"/>
      <w:szCs w:val="20"/>
    </w:rPr>
  </w:style>
  <w:style w:type="paragraph" w:customStyle="1" w:styleId="335">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6">
    <w:name w:val="样式 小四 段前: 5 磅 段后: 5 磅 首行缩进:  2 字符"/>
    <w:basedOn w:val="1"/>
    <w:qFormat/>
    <w:uiPriority w:val="0"/>
    <w:pPr>
      <w:spacing w:line="360" w:lineRule="auto"/>
      <w:jc w:val="both"/>
    </w:pPr>
    <w:rPr>
      <w:rFonts w:ascii="宋体" w:hAnsi="宋体" w:eastAsia="宋体"/>
      <w:kern w:val="2"/>
      <w:sz w:val="21"/>
      <w:szCs w:val="21"/>
      <w:lang w:eastAsia="zh-CN"/>
    </w:rPr>
  </w:style>
  <w:style w:type="paragraph" w:customStyle="1" w:styleId="337">
    <w:name w:val="Char"/>
    <w:basedOn w:val="1"/>
    <w:qFormat/>
    <w:uiPriority w:val="0"/>
    <w:pPr>
      <w:widowControl/>
      <w:spacing w:after="160" w:line="240" w:lineRule="exact"/>
    </w:pPr>
    <w:rPr>
      <w:rFonts w:ascii="Verdana" w:hAnsi="Verdana" w:eastAsia="仿宋_GB2312"/>
      <w:sz w:val="24"/>
      <w:szCs w:val="20"/>
    </w:rPr>
  </w:style>
  <w:style w:type="paragraph" w:customStyle="1" w:styleId="338">
    <w:name w:val="_Style 122"/>
    <w:basedOn w:val="2"/>
    <w:next w:val="1"/>
    <w:qFormat/>
    <w:uiPriority w:val="39"/>
    <w:pPr>
      <w:keepNext/>
      <w:keepLines/>
      <w:tabs>
        <w:tab w:val="left" w:pos="432"/>
      </w:tabs>
      <w:spacing w:before="340" w:after="330" w:line="578" w:lineRule="auto"/>
      <w:jc w:val="both"/>
      <w:outlineLvl w:val="9"/>
    </w:pPr>
    <w:rPr>
      <w:rFonts w:ascii="Calibri" w:hAnsi="Times New Roman" w:eastAsia="宋体"/>
      <w:b/>
      <w:bCs/>
      <w:kern w:val="44"/>
      <w:sz w:val="44"/>
      <w:szCs w:val="44"/>
      <w:lang w:eastAsia="zh-CN"/>
    </w:rPr>
  </w:style>
  <w:style w:type="paragraph" w:customStyle="1" w:styleId="339">
    <w:name w:val="正文2"/>
    <w:qFormat/>
    <w:uiPriority w:val="0"/>
    <w:pPr>
      <w:widowControl w:val="0"/>
      <w:jc w:val="both"/>
    </w:pPr>
    <w:rPr>
      <w:rFonts w:ascii="Times New Roman" w:hAnsi="Times New Roman" w:eastAsia="Times New Roman" w:cs="Times New Roman"/>
      <w:lang w:val="en-US" w:eastAsia="zh-CN" w:bidi="ar-SA"/>
    </w:rPr>
  </w:style>
  <w:style w:type="paragraph" w:customStyle="1" w:styleId="340">
    <w:name w:val="正文1"/>
    <w:qFormat/>
    <w:uiPriority w:val="0"/>
    <w:pPr>
      <w:widowControl w:val="0"/>
    </w:pPr>
    <w:rPr>
      <w:rFonts w:ascii="Times New Roman" w:hAnsi="Times New Roman" w:eastAsia="Times New Roman" w:cs="Times New Roman"/>
      <w:lang w:val="en-US" w:eastAsia="zh-CN" w:bidi="ar-SA"/>
    </w:rPr>
  </w:style>
  <w:style w:type="paragraph" w:customStyle="1" w:styleId="341">
    <w:name w:val="TOC 标题11"/>
    <w:basedOn w:val="2"/>
    <w:next w:val="1"/>
    <w:qFormat/>
    <w:uiPriority w:val="0"/>
    <w:pPr>
      <w:autoSpaceDE w:val="0"/>
      <w:autoSpaceDN w:val="0"/>
      <w:ind w:left="8"/>
      <w:jc w:val="center"/>
      <w:outlineLvl w:val="9"/>
    </w:pPr>
    <w:rPr>
      <w:rFonts w:cs="黑体"/>
      <w:sz w:val="30"/>
      <w:szCs w:val="30"/>
      <w:lang w:val="zh-CN" w:eastAsia="zh-CN" w:bidi="zh-CN"/>
    </w:rPr>
  </w:style>
  <w:style w:type="paragraph" w:customStyle="1" w:styleId="342">
    <w:name w:val="正文_0"/>
    <w:qFormat/>
    <w:uiPriority w:val="0"/>
    <w:pPr>
      <w:widowControl w:val="0"/>
    </w:pPr>
    <w:rPr>
      <w:rFonts w:ascii="Times New Roman" w:hAnsi="Times New Roman" w:eastAsia="宋体" w:cs="Times New Roman"/>
      <w:szCs w:val="24"/>
      <w:lang w:val="en-US" w:eastAsia="zh-CN" w:bidi="ar-SA"/>
    </w:rPr>
  </w:style>
  <w:style w:type="paragraph" w:customStyle="1" w:styleId="343">
    <w:name w:val="Char2"/>
    <w:basedOn w:val="1"/>
    <w:qFormat/>
    <w:uiPriority w:val="0"/>
    <w:pPr>
      <w:widowControl/>
      <w:spacing w:after="160" w:line="240" w:lineRule="exact"/>
    </w:pPr>
    <w:rPr>
      <w:rFonts w:ascii="Verdana" w:hAnsi="Verdana" w:eastAsia="仿宋_GB2312"/>
      <w:sz w:val="24"/>
      <w:szCs w:val="20"/>
    </w:rPr>
  </w:style>
  <w:style w:type="paragraph" w:customStyle="1" w:styleId="344">
    <w:name w:val="Char711"/>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paragraph" w:customStyle="1" w:styleId="345">
    <w:name w:val="列出段落4"/>
    <w:basedOn w:val="1"/>
    <w:qFormat/>
    <w:uiPriority w:val="0"/>
    <w:pPr>
      <w:ind w:firstLine="420" w:firstLineChars="200"/>
      <w:jc w:val="both"/>
    </w:pPr>
    <w:rPr>
      <w:rFonts w:ascii="Times New Roman" w:hAnsi="Times New Roman" w:eastAsia="宋体"/>
      <w:kern w:val="2"/>
      <w:sz w:val="21"/>
      <w:szCs w:val="20"/>
      <w:lang w:eastAsia="zh-CN"/>
    </w:rPr>
  </w:style>
  <w:style w:type="paragraph" w:customStyle="1" w:styleId="346">
    <w:name w:val="普通 (Web)"/>
    <w:basedOn w:val="1"/>
    <w:qFormat/>
    <w:uiPriority w:val="0"/>
    <w:pPr>
      <w:widowControl/>
      <w:spacing w:before="100" w:beforeAutospacing="1" w:after="100" w:afterAutospacing="1"/>
    </w:pPr>
    <w:rPr>
      <w:rFonts w:ascii="宋体" w:hAnsi="宋体" w:eastAsia="宋体"/>
      <w:sz w:val="24"/>
      <w:szCs w:val="24"/>
      <w:lang w:eastAsia="zh-CN"/>
    </w:rPr>
  </w:style>
  <w:style w:type="paragraph" w:customStyle="1" w:styleId="347">
    <w:name w:val="纯文本1"/>
    <w:basedOn w:val="1"/>
    <w:qFormat/>
    <w:uiPriority w:val="0"/>
    <w:pPr>
      <w:adjustRightInd w:val="0"/>
      <w:jc w:val="both"/>
      <w:textAlignment w:val="baseline"/>
    </w:pPr>
    <w:rPr>
      <w:rFonts w:ascii="宋体" w:hAnsi="Courier New" w:eastAsia="楷体_GB2312"/>
      <w:kern w:val="2"/>
      <w:sz w:val="26"/>
      <w:szCs w:val="20"/>
      <w:lang w:eastAsia="zh-CN"/>
    </w:rPr>
  </w:style>
  <w:style w:type="paragraph" w:customStyle="1" w:styleId="348">
    <w:name w:val="列出段落3"/>
    <w:basedOn w:val="1"/>
    <w:qFormat/>
    <w:uiPriority w:val="99"/>
    <w:pPr>
      <w:widowControl/>
      <w:ind w:left="720"/>
      <w:contextualSpacing/>
    </w:pPr>
    <w:rPr>
      <w:rFonts w:ascii="Arial" w:hAnsi="Arial" w:eastAsia="黑体"/>
      <w:sz w:val="24"/>
      <w:szCs w:val="24"/>
    </w:rPr>
  </w:style>
  <w:style w:type="paragraph" w:customStyle="1" w:styleId="349">
    <w:name w:val="列出段落11"/>
    <w:basedOn w:val="1"/>
    <w:qFormat/>
    <w:uiPriority w:val="0"/>
    <w:pPr>
      <w:ind w:firstLine="420" w:firstLineChars="200"/>
      <w:jc w:val="both"/>
    </w:pPr>
    <w:rPr>
      <w:rFonts w:eastAsia="宋体"/>
      <w:kern w:val="2"/>
      <w:sz w:val="21"/>
      <w:lang w:eastAsia="zh-CN"/>
    </w:rPr>
  </w:style>
  <w:style w:type="paragraph" w:customStyle="1" w:styleId="350">
    <w:name w:val="正文_0_0"/>
    <w:qFormat/>
    <w:uiPriority w:val="0"/>
    <w:pPr>
      <w:widowControl w:val="0"/>
    </w:pPr>
    <w:rPr>
      <w:rFonts w:ascii="Times New Roman" w:hAnsi="Times New Roman" w:eastAsia="宋体" w:cs="Times New Roman"/>
      <w:szCs w:val="24"/>
      <w:lang w:val="en-US" w:eastAsia="zh-CN" w:bidi="ar-SA"/>
    </w:rPr>
  </w:style>
  <w:style w:type="paragraph" w:customStyle="1" w:styleId="351">
    <w:name w:val="默认段落字体 Para Char Char Char Char Char Char Char"/>
    <w:basedOn w:val="1"/>
    <w:qFormat/>
    <w:uiPriority w:val="0"/>
    <w:pPr>
      <w:jc w:val="both"/>
    </w:pPr>
    <w:rPr>
      <w:rFonts w:ascii="Tahoma" w:hAnsi="Tahoma" w:eastAsia="宋体"/>
      <w:kern w:val="2"/>
      <w:sz w:val="24"/>
      <w:szCs w:val="20"/>
      <w:lang w:eastAsia="zh-CN"/>
    </w:rPr>
  </w:style>
  <w:style w:type="paragraph" w:customStyle="1" w:styleId="352">
    <w:name w:val="_Style 140"/>
    <w:qFormat/>
    <w:uiPriority w:val="0"/>
    <w:rPr>
      <w:rFonts w:ascii="Times New Roman" w:hAnsi="Times New Roman" w:eastAsia="宋体" w:cs="Times New Roman"/>
      <w:kern w:val="2"/>
      <w:sz w:val="21"/>
      <w:szCs w:val="24"/>
      <w:lang w:val="en-US" w:eastAsia="zh-CN" w:bidi="ar-SA"/>
    </w:rPr>
  </w:style>
  <w:style w:type="paragraph" w:customStyle="1" w:styleId="353">
    <w:name w:val="正文缩进4"/>
    <w:next w:val="1"/>
    <w:qFormat/>
    <w:uiPriority w:val="99"/>
    <w:pPr>
      <w:wordWrap w:val="0"/>
      <w:ind w:left="3400"/>
      <w:jc w:val="both"/>
    </w:pPr>
    <w:rPr>
      <w:rFonts w:ascii="Times New Roman" w:hAnsi="Times New Roman" w:eastAsia="宋体" w:cs="Times New Roman"/>
      <w:sz w:val="21"/>
      <w:lang w:val="en-US" w:eastAsia="zh-CN" w:bidi="ar-SA"/>
    </w:rPr>
  </w:style>
  <w:style w:type="paragraph" w:customStyle="1" w:styleId="354">
    <w:name w:val="contentarticle"/>
    <w:basedOn w:val="1"/>
    <w:qFormat/>
    <w:uiPriority w:val="0"/>
    <w:pPr>
      <w:widowControl/>
      <w:spacing w:before="100" w:beforeAutospacing="1" w:after="100" w:afterAutospacing="1"/>
    </w:pPr>
    <w:rPr>
      <w:rFonts w:ascii="宋体" w:hAnsi="宋体" w:eastAsia="宋体" w:cs="宋体"/>
      <w:sz w:val="24"/>
      <w:lang w:eastAsia="zh-CN"/>
    </w:rPr>
  </w:style>
  <w:style w:type="paragraph" w:customStyle="1" w:styleId="355">
    <w:name w:val="_Style 24"/>
    <w:unhideWhenUsed/>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356">
    <w:name w:val="Char71"/>
    <w:basedOn w:val="14"/>
    <w:qFormat/>
    <w:uiPriority w:val="0"/>
    <w:pPr>
      <w:shd w:val="clear" w:color="auto" w:fill="000080"/>
      <w:adjustRightInd w:val="0"/>
      <w:snapToGrid w:val="0"/>
      <w:spacing w:line="360" w:lineRule="auto"/>
      <w:jc w:val="both"/>
    </w:pPr>
    <w:rPr>
      <w:rFonts w:ascii="Tahoma" w:hAnsi="Tahoma"/>
      <w:kern w:val="2"/>
      <w:sz w:val="24"/>
      <w:szCs w:val="24"/>
      <w:lang w:eastAsia="zh-CN"/>
    </w:rPr>
  </w:style>
  <w:style w:type="character" w:customStyle="1" w:styleId="357">
    <w:name w:val="15"/>
    <w:basedOn w:val="53"/>
    <w:qFormat/>
    <w:uiPriority w:val="0"/>
    <w:rPr>
      <w:rFonts w:hint="default" w:ascii="Calibri" w:hAnsi="Calibri"/>
    </w:rPr>
  </w:style>
  <w:style w:type="paragraph" w:customStyle="1" w:styleId="358">
    <w:name w:val="正文首缩两字"/>
    <w:basedOn w:val="1"/>
    <w:qFormat/>
    <w:uiPriority w:val="0"/>
    <w:pPr>
      <w:spacing w:afterLines="30" w:line="360" w:lineRule="auto"/>
      <w:ind w:left="210" w:right="210" w:firstLine="480" w:firstLineChars="200"/>
    </w:pPr>
    <w:rPr>
      <w:rFonts w:ascii="宋体" w:hAnsi="宋体" w:eastAsia="仿宋_GB2312"/>
      <w:sz w:val="24"/>
      <w:szCs w:val="24"/>
      <w:lang w:eastAsia="zh-CN"/>
    </w:rPr>
  </w:style>
  <w:style w:type="paragraph" w:customStyle="1" w:styleId="359">
    <w:name w:val="列出段落5"/>
    <w:basedOn w:val="1"/>
    <w:qFormat/>
    <w:uiPriority w:val="0"/>
    <w:pPr>
      <w:ind w:firstLine="420" w:firstLineChars="200"/>
      <w:jc w:val="both"/>
    </w:pPr>
    <w:rPr>
      <w:rFonts w:eastAsia="宋体"/>
      <w:kern w:val="2"/>
      <w:sz w:val="21"/>
      <w:lang w:eastAsia="zh-CN"/>
    </w:rPr>
  </w:style>
  <w:style w:type="character" w:customStyle="1" w:styleId="360">
    <w:name w:val="font121"/>
    <w:qFormat/>
    <w:uiPriority w:val="0"/>
    <w:rPr>
      <w:rFonts w:hint="eastAsia" w:ascii="宋体" w:hAnsi="宋体" w:eastAsia="宋体" w:cs="宋体"/>
      <w:color w:val="FF0000"/>
      <w:sz w:val="24"/>
      <w:szCs w:val="24"/>
      <w:u w:val="none"/>
    </w:rPr>
  </w:style>
  <w:style w:type="character" w:customStyle="1" w:styleId="361">
    <w:name w:val="font101"/>
    <w:qFormat/>
    <w:uiPriority w:val="0"/>
    <w:rPr>
      <w:rFonts w:hint="eastAsia" w:ascii="宋体" w:hAnsi="宋体" w:eastAsia="宋体" w:cs="宋体"/>
      <w:color w:val="000000"/>
      <w:sz w:val="22"/>
      <w:szCs w:val="22"/>
      <w:u w:val="none"/>
    </w:rPr>
  </w:style>
  <w:style w:type="character" w:customStyle="1" w:styleId="362">
    <w:name w:val="font131"/>
    <w:qFormat/>
    <w:uiPriority w:val="0"/>
    <w:rPr>
      <w:rFonts w:hint="eastAsia" w:ascii="宋体" w:hAnsi="宋体" w:eastAsia="宋体" w:cs="宋体"/>
      <w:color w:val="000000"/>
      <w:sz w:val="22"/>
      <w:szCs w:val="22"/>
      <w:u w:val="none"/>
    </w:rPr>
  </w:style>
  <w:style w:type="paragraph" w:customStyle="1" w:styleId="363">
    <w:name w:val="Index4"/>
    <w:basedOn w:val="1"/>
    <w:next w:val="1"/>
    <w:semiHidden/>
    <w:qFormat/>
    <w:uiPriority w:val="0"/>
    <w:pPr>
      <w:widowControl/>
      <w:ind w:left="1260"/>
      <w:jc w:val="both"/>
      <w:textAlignment w:val="baseline"/>
    </w:pPr>
    <w:rPr>
      <w:sz w:val="20"/>
      <w:szCs w:val="20"/>
      <w:lang w:val="zh-CN" w:eastAsia="zh-CN"/>
    </w:rPr>
  </w:style>
  <w:style w:type="paragraph" w:customStyle="1" w:styleId="364">
    <w:name w:val="font5"/>
    <w:basedOn w:val="1"/>
    <w:qFormat/>
    <w:uiPriority w:val="0"/>
    <w:pPr>
      <w:widowControl/>
      <w:spacing w:before="100" w:beforeAutospacing="1" w:after="100" w:afterAutospacing="1"/>
    </w:pPr>
    <w:rPr>
      <w:rFonts w:ascii="宋体" w:hAnsi="宋体" w:eastAsia="宋体" w:cs="宋体"/>
      <w:sz w:val="18"/>
      <w:szCs w:val="18"/>
      <w:lang w:eastAsia="zh-CN"/>
    </w:rPr>
  </w:style>
  <w:style w:type="paragraph" w:customStyle="1" w:styleId="365">
    <w:name w:val="xl65"/>
    <w:basedOn w:val="1"/>
    <w:qFormat/>
    <w:uiPriority w:val="0"/>
    <w:pPr>
      <w:widowControl/>
      <w:spacing w:before="100" w:beforeAutospacing="1" w:after="100" w:afterAutospacing="1"/>
      <w:jc w:val="center"/>
    </w:pPr>
    <w:rPr>
      <w:rFonts w:ascii="宋体" w:hAnsi="宋体" w:eastAsia="宋体" w:cs="宋体"/>
      <w:sz w:val="24"/>
      <w:szCs w:val="24"/>
      <w:lang w:eastAsia="zh-CN"/>
    </w:rPr>
  </w:style>
  <w:style w:type="paragraph" w:customStyle="1" w:styleId="366">
    <w:name w:val="xl66"/>
    <w:basedOn w:val="1"/>
    <w:qFormat/>
    <w:uiPriority w:val="0"/>
    <w:pPr>
      <w:widowControl/>
      <w:spacing w:before="100" w:beforeAutospacing="1" w:after="100" w:afterAutospacing="1"/>
      <w:jc w:val="center"/>
      <w:textAlignment w:val="center"/>
    </w:pPr>
    <w:rPr>
      <w:rFonts w:ascii="宋体" w:hAnsi="宋体" w:eastAsia="宋体" w:cs="宋体"/>
      <w:sz w:val="18"/>
      <w:szCs w:val="18"/>
      <w:lang w:eastAsia="zh-CN"/>
    </w:rPr>
  </w:style>
  <w:style w:type="paragraph" w:customStyle="1" w:styleId="367">
    <w:name w:val="xl6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cs="宋体"/>
      <w:b/>
      <w:bCs/>
      <w:lang w:eastAsia="zh-CN"/>
    </w:rPr>
  </w:style>
  <w:style w:type="paragraph" w:customStyle="1" w:styleId="368">
    <w:name w:val="xl6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369">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0">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sz w:val="18"/>
      <w:szCs w:val="18"/>
      <w:lang w:eastAsia="zh-CN"/>
    </w:rPr>
  </w:style>
  <w:style w:type="paragraph" w:customStyle="1" w:styleId="371">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s="宋体"/>
      <w:color w:val="000000"/>
      <w:sz w:val="17"/>
      <w:szCs w:val="17"/>
      <w:lang w:eastAsia="zh-CN"/>
    </w:rPr>
  </w:style>
  <w:style w:type="paragraph" w:customStyle="1" w:styleId="372">
    <w:name w:val="xl7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18"/>
      <w:szCs w:val="18"/>
      <w:lang w:eastAsia="zh-CN"/>
    </w:rPr>
  </w:style>
  <w:style w:type="paragraph" w:customStyle="1" w:styleId="3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eastAsia="宋体" w:cs="宋体"/>
      <w:color w:val="000000"/>
      <w:sz w:val="18"/>
      <w:szCs w:val="18"/>
      <w:lang w:eastAsia="zh-CN"/>
    </w:rPr>
  </w:style>
  <w:style w:type="paragraph" w:customStyle="1" w:styleId="3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paragraph" w:customStyle="1" w:styleId="3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color w:val="000000"/>
      <w:sz w:val="18"/>
      <w:szCs w:val="18"/>
      <w:lang w:eastAsia="zh-CN"/>
    </w:rPr>
  </w:style>
  <w:style w:type="character" w:customStyle="1" w:styleId="377">
    <w:name w:val="书籍标题1"/>
    <w:qFormat/>
    <w:uiPriority w:val="0"/>
    <w:rPr>
      <w:b/>
      <w:bCs/>
      <w:smallCaps/>
      <w:spacing w:val="5"/>
    </w:rPr>
  </w:style>
  <w:style w:type="character" w:customStyle="1" w:styleId="378">
    <w:name w:val="明显参考1"/>
    <w:qFormat/>
    <w:uiPriority w:val="0"/>
    <w:rPr>
      <w:b/>
      <w:bCs/>
      <w:smallCaps/>
      <w:color w:val="C0504D"/>
      <w:spacing w:val="5"/>
      <w:u w:val="single"/>
    </w:rPr>
  </w:style>
  <w:style w:type="character" w:customStyle="1" w:styleId="379">
    <w:name w:val="不明显参考1"/>
    <w:qFormat/>
    <w:uiPriority w:val="0"/>
    <w:rPr>
      <w:smallCaps/>
      <w:color w:val="C0504D"/>
      <w:u w:val="single"/>
    </w:rPr>
  </w:style>
  <w:style w:type="character" w:customStyle="1" w:styleId="380">
    <w:name w:val="不明显强调1"/>
    <w:qFormat/>
    <w:uiPriority w:val="0"/>
    <w:rPr>
      <w:i/>
      <w:iCs/>
      <w:color w:val="808080"/>
    </w:rPr>
  </w:style>
  <w:style w:type="character" w:customStyle="1" w:styleId="381">
    <w:name w:val="明显强调1"/>
    <w:qFormat/>
    <w:uiPriority w:val="0"/>
    <w:rPr>
      <w:b/>
      <w:bCs/>
      <w:i/>
      <w:iCs/>
      <w:color w:val="4F81BD"/>
    </w:rPr>
  </w:style>
  <w:style w:type="paragraph" w:customStyle="1" w:styleId="382">
    <w:name w:val="标题 22"/>
    <w:basedOn w:val="325"/>
    <w:next w:val="325"/>
    <w:qFormat/>
    <w:uiPriority w:val="0"/>
  </w:style>
  <w:style w:type="paragraph" w:customStyle="1" w:styleId="383">
    <w:name w:val="列出段落6"/>
    <w:basedOn w:val="1"/>
    <w:qFormat/>
    <w:uiPriority w:val="0"/>
    <w:pPr>
      <w:ind w:firstLine="420" w:firstLineChars="200"/>
      <w:jc w:val="both"/>
    </w:pPr>
    <w:rPr>
      <w:rFonts w:ascii="Times New Roman" w:hAnsi="Times New Roman" w:eastAsia="宋体"/>
      <w:kern w:val="2"/>
      <w:sz w:val="21"/>
      <w:szCs w:val="20"/>
      <w:lang w:eastAsia="zh-CN"/>
    </w:rPr>
  </w:style>
  <w:style w:type="paragraph" w:customStyle="1" w:styleId="384">
    <w:name w:val="修订1"/>
    <w:qFormat/>
    <w:uiPriority w:val="0"/>
    <w:rPr>
      <w:rFonts w:ascii="Times New Roman" w:hAnsi="Times New Roman" w:eastAsia="宋体" w:cs="Times New Roman"/>
      <w:kern w:val="2"/>
      <w:sz w:val="21"/>
      <w:szCs w:val="24"/>
      <w:lang w:val="en-US" w:eastAsia="zh-CN" w:bidi="ar-SA"/>
    </w:rPr>
  </w:style>
  <w:style w:type="character" w:customStyle="1" w:styleId="385">
    <w:name w:val="纯文本 Char Char"/>
    <w:qFormat/>
    <w:uiPriority w:val="99"/>
    <w:rPr>
      <w:rFonts w:ascii="宋体" w:hAnsi="Courier New" w:eastAsia="宋体"/>
      <w:kern w:val="2"/>
      <w:sz w:val="21"/>
      <w:szCs w:val="21"/>
      <w:lang w:val="en-US" w:eastAsia="zh-CN" w:bidi="ar-SA"/>
    </w:rPr>
  </w:style>
  <w:style w:type="paragraph" w:customStyle="1" w:styleId="386">
    <w:name w:val="正文（首行缩进）"/>
    <w:qFormat/>
    <w:uiPriority w:val="0"/>
    <w:pPr>
      <w:widowControl w:val="0"/>
      <w:spacing w:line="360" w:lineRule="auto"/>
      <w:ind w:firstLine="200" w:firstLineChars="200"/>
      <w:jc w:val="both"/>
    </w:pPr>
    <w:rPr>
      <w:rFonts w:ascii="Times New Roman" w:hAnsi="Times New Roman" w:eastAsia="宋体" w:cs="Times New Roman"/>
      <w:sz w:val="21"/>
      <w:szCs w:val="24"/>
      <w:lang w:val="en-US" w:eastAsia="zh-CN" w:bidi="ar-SA"/>
    </w:rPr>
  </w:style>
  <w:style w:type="paragraph" w:customStyle="1" w:styleId="387">
    <w:name w:val="正文 A"/>
    <w:next w:val="1"/>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388">
    <w:name w:val="称呼 Char"/>
    <w:basedOn w:val="53"/>
    <w:link w:val="16"/>
    <w:qFormat/>
    <w:uiPriority w:val="99"/>
    <w:rPr>
      <w:rFonts w:ascii="楷体_GB2312" w:eastAsia="楷体_GB2312"/>
      <w:kern w:val="2"/>
      <w:sz w:val="28"/>
    </w:rPr>
  </w:style>
  <w:style w:type="character" w:customStyle="1" w:styleId="389">
    <w:name w:val="正文文本 2 Char"/>
    <w:basedOn w:val="53"/>
    <w:link w:val="44"/>
    <w:qFormat/>
    <w:uiPriority w:val="99"/>
    <w:rPr>
      <w:rFonts w:ascii="宋体"/>
      <w:b/>
      <w:bCs/>
      <w:kern w:val="2"/>
      <w:sz w:val="24"/>
      <w:szCs w:val="24"/>
    </w:rPr>
  </w:style>
  <w:style w:type="character" w:customStyle="1" w:styleId="390">
    <w:name w:val="正文首行缩进 2 Char"/>
    <w:basedOn w:val="239"/>
    <w:link w:val="50"/>
    <w:qFormat/>
    <w:uiPriority w:val="0"/>
    <w:rPr>
      <w:lang w:eastAsia="en-US"/>
    </w:rPr>
  </w:style>
  <w:style w:type="character" w:customStyle="1" w:styleId="391">
    <w:name w:val="书籍标题11"/>
    <w:qFormat/>
    <w:uiPriority w:val="0"/>
    <w:rPr>
      <w:b/>
      <w:bCs/>
      <w:smallCaps/>
      <w:spacing w:val="5"/>
    </w:rPr>
  </w:style>
  <w:style w:type="character" w:customStyle="1" w:styleId="392">
    <w:name w:val="明显参考11"/>
    <w:qFormat/>
    <w:uiPriority w:val="0"/>
    <w:rPr>
      <w:b/>
      <w:bCs/>
      <w:smallCaps/>
      <w:color w:val="C0504D"/>
      <w:spacing w:val="5"/>
      <w:u w:val="single"/>
    </w:rPr>
  </w:style>
  <w:style w:type="character" w:customStyle="1" w:styleId="393">
    <w:name w:val="不明显参考11"/>
    <w:qFormat/>
    <w:uiPriority w:val="0"/>
    <w:rPr>
      <w:smallCaps/>
      <w:color w:val="C0504D"/>
      <w:u w:val="single"/>
    </w:rPr>
  </w:style>
  <w:style w:type="character" w:customStyle="1" w:styleId="394">
    <w:name w:val="不明显强调11"/>
    <w:qFormat/>
    <w:uiPriority w:val="0"/>
    <w:rPr>
      <w:i/>
      <w:iCs/>
      <w:color w:val="808080"/>
    </w:rPr>
  </w:style>
  <w:style w:type="character" w:customStyle="1" w:styleId="395">
    <w:name w:val="明显强调11"/>
    <w:qFormat/>
    <w:uiPriority w:val="0"/>
    <w:rPr>
      <w:b/>
      <w:bCs/>
      <w:i/>
      <w:iCs/>
      <w:color w:val="4F81BD"/>
    </w:rPr>
  </w:style>
  <w:style w:type="paragraph" w:customStyle="1" w:styleId="396">
    <w:name w:val="列出段落111"/>
    <w:basedOn w:val="1"/>
    <w:qFormat/>
    <w:uiPriority w:val="0"/>
    <w:pPr>
      <w:ind w:firstLine="420" w:firstLineChars="200"/>
      <w:jc w:val="both"/>
    </w:pPr>
    <w:rPr>
      <w:rFonts w:eastAsia="宋体"/>
      <w:kern w:val="2"/>
      <w:sz w:val="21"/>
      <w:lang w:eastAsia="zh-CN"/>
    </w:rPr>
  </w:style>
  <w:style w:type="paragraph" w:customStyle="1" w:styleId="397">
    <w:name w:val="修订11"/>
    <w:qFormat/>
    <w:uiPriority w:val="0"/>
    <w:rPr>
      <w:rFonts w:ascii="Times New Roman" w:hAnsi="Times New Roman" w:eastAsia="宋体" w:cs="Times New Roman"/>
      <w:kern w:val="2"/>
      <w:sz w:val="21"/>
      <w:szCs w:val="24"/>
      <w:lang w:val="en-US" w:eastAsia="zh-CN" w:bidi="ar-SA"/>
    </w:rPr>
  </w:style>
  <w:style w:type="character" w:customStyle="1" w:styleId="398">
    <w:name w:val="fontstyle01"/>
    <w:qFormat/>
    <w:uiPriority w:val="0"/>
    <w:rPr>
      <w:rFonts w:hint="eastAsia" w:ascii="仿宋_GB2312" w:eastAsia="仿宋_GB2312"/>
      <w:color w:val="000000"/>
      <w:sz w:val="32"/>
      <w:szCs w:val="32"/>
    </w:rPr>
  </w:style>
  <w:style w:type="character" w:customStyle="1" w:styleId="399">
    <w:name w:val="fontstyle21"/>
    <w:qFormat/>
    <w:uiPriority w:val="0"/>
    <w:rPr>
      <w:rFonts w:hint="default" w:ascii="Times New Roman" w:hAnsi="Times New Roman" w:cs="Times New Roman"/>
      <w:color w:val="000000"/>
      <w:sz w:val="32"/>
      <w:szCs w:val="32"/>
    </w:rPr>
  </w:style>
  <w:style w:type="paragraph" w:customStyle="1" w:styleId="400">
    <w:name w:val="正文文本1"/>
    <w:basedOn w:val="1"/>
    <w:qFormat/>
    <w:uiPriority w:val="0"/>
    <w:pPr>
      <w:autoSpaceDE w:val="0"/>
      <w:autoSpaceDN w:val="0"/>
      <w:spacing w:line="463" w:lineRule="auto"/>
      <w:ind w:firstLine="400"/>
    </w:pPr>
    <w:rPr>
      <w:rFonts w:ascii="宋体" w:hAnsi="宋体" w:eastAsia="宋体" w:cs="宋体"/>
      <w:sz w:val="40"/>
      <w:szCs w:val="40"/>
      <w:lang w:val="zh-CN" w:eastAsia="zh-CN" w:bidi="zh-CN"/>
    </w:rPr>
  </w:style>
  <w:style w:type="character" w:customStyle="1" w:styleId="401">
    <w:name w:val="正文文本 字符"/>
    <w:basedOn w:val="53"/>
    <w:qFormat/>
    <w:uiPriority w:val="0"/>
    <w:rPr>
      <w:rFonts w:ascii="宋体" w:hAnsi="宋体" w:cs="宋体"/>
      <w:sz w:val="21"/>
      <w:szCs w:val="21"/>
      <w:lang w:val="zh-CN" w:bidi="zh-CN"/>
    </w:rPr>
  </w:style>
  <w:style w:type="character" w:customStyle="1" w:styleId="402">
    <w:name w:val="页脚 字符"/>
    <w:basedOn w:val="53"/>
    <w:qFormat/>
    <w:uiPriority w:val="0"/>
    <w:rPr>
      <w:rFonts w:ascii="宋体" w:hAnsi="宋体" w:cs="宋体"/>
      <w:sz w:val="18"/>
      <w:szCs w:val="18"/>
      <w:lang w:val="zh-CN" w:bidi="zh-CN"/>
    </w:rPr>
  </w:style>
  <w:style w:type="character" w:customStyle="1" w:styleId="403">
    <w:name w:val="批注文字 Char1"/>
    <w:basedOn w:val="53"/>
    <w:qFormat/>
    <w:uiPriority w:val="0"/>
    <w:rPr>
      <w:rFonts w:ascii="宋体" w:hAnsi="宋体" w:cs="宋体"/>
      <w:sz w:val="22"/>
      <w:szCs w:val="22"/>
      <w:lang w:val="zh-CN" w:bidi="zh-CN"/>
    </w:rPr>
  </w:style>
  <w:style w:type="character" w:customStyle="1" w:styleId="404">
    <w:name w:val="正文文本缩进 2 Char1"/>
    <w:basedOn w:val="53"/>
    <w:qFormat/>
    <w:uiPriority w:val="0"/>
    <w:rPr>
      <w:rFonts w:ascii="宋体" w:hAnsi="宋体" w:cs="宋体"/>
      <w:sz w:val="22"/>
      <w:szCs w:val="22"/>
      <w:lang w:val="zh-CN" w:bidi="zh-CN"/>
    </w:rPr>
  </w:style>
  <w:style w:type="character" w:customStyle="1" w:styleId="405">
    <w:name w:val="Char Char9"/>
    <w:qFormat/>
    <w:uiPriority w:val="0"/>
    <w:rPr>
      <w:rFonts w:ascii="Calibri" w:hAnsi="Calibri" w:eastAsia="宋体" w:cs="Times New Roman"/>
      <w:kern w:val="2"/>
      <w:sz w:val="21"/>
      <w:szCs w:val="24"/>
    </w:rPr>
  </w:style>
  <w:style w:type="character" w:customStyle="1" w:styleId="406">
    <w:name w:val="标题 字符1"/>
    <w:basedOn w:val="53"/>
    <w:qFormat/>
    <w:uiPriority w:val="10"/>
    <w:rPr>
      <w:rFonts w:ascii="Arial" w:hAnsi="Arial" w:eastAsia="黑体" w:cs="Times New Roman"/>
      <w:b/>
      <w:bCs/>
      <w:sz w:val="32"/>
      <w:szCs w:val="32"/>
      <w:lang w:val="zh-CN" w:bidi="zh-CN"/>
    </w:rPr>
  </w:style>
  <w:style w:type="paragraph" w:customStyle="1" w:styleId="407">
    <w:name w:val="_Style 2"/>
    <w:basedOn w:val="1"/>
    <w:qFormat/>
    <w:uiPriority w:val="0"/>
    <w:pPr>
      <w:widowControl/>
      <w:ind w:firstLine="420" w:firstLineChars="200"/>
    </w:pPr>
    <w:rPr>
      <w:rFonts w:eastAsia="宋体"/>
      <w:sz w:val="21"/>
      <w:lang w:eastAsia="zh-CN"/>
    </w:rPr>
  </w:style>
  <w:style w:type="paragraph" w:customStyle="1" w:styleId="408">
    <w:name w:val="表格无间距"/>
    <w:basedOn w:val="1"/>
    <w:qFormat/>
    <w:uiPriority w:val="0"/>
    <w:pPr>
      <w:widowControl/>
      <w:spacing w:line="240" w:lineRule="atLeast"/>
      <w:jc w:val="center"/>
    </w:pPr>
    <w:rPr>
      <w:rFonts w:ascii="宋体" w:hAnsi="宋体" w:eastAsia="宋体" w:cs="宋体"/>
      <w:bCs/>
      <w:sz w:val="18"/>
      <w:szCs w:val="18"/>
      <w:lang w:eastAsia="zh-CN"/>
    </w:rPr>
  </w:style>
  <w:style w:type="character" w:customStyle="1" w:styleId="409">
    <w:name w:val="rvts14"/>
    <w:qFormat/>
    <w:uiPriority w:val="0"/>
    <w:rPr>
      <w:rFonts w:hint="default" w:ascii="KNLe" w:hAnsi="KNLe" w:eastAsia="宋体" w:cs="Times New Roman"/>
      <w:color w:val="000000"/>
      <w:u w:val="single"/>
    </w:rPr>
  </w:style>
  <w:style w:type="character" w:customStyle="1" w:styleId="410">
    <w:name w:val="rvts19"/>
    <w:qFormat/>
    <w:uiPriority w:val="0"/>
    <w:rPr>
      <w:rFonts w:hint="default" w:ascii="KNLe" w:hAnsi="KNLe" w:eastAsia="宋体" w:cs="Times New Roman"/>
      <w:sz w:val="24"/>
      <w:szCs w:val="24"/>
    </w:rPr>
  </w:style>
  <w:style w:type="character" w:customStyle="1" w:styleId="411">
    <w:name w:val="rvts7"/>
    <w:qFormat/>
    <w:uiPriority w:val="0"/>
    <w:rPr>
      <w:rFonts w:hint="default" w:ascii=":ZLe" w:hAnsi=":ZLe" w:eastAsia="宋体" w:cs="Times New Roman"/>
      <w:sz w:val="32"/>
      <w:szCs w:val="32"/>
    </w:rPr>
  </w:style>
  <w:style w:type="character" w:customStyle="1" w:styleId="412">
    <w:name w:val="rvts12"/>
    <w:qFormat/>
    <w:uiPriority w:val="0"/>
    <w:rPr>
      <w:rFonts w:hint="default" w:ascii="KNLe" w:hAnsi="KNLe" w:eastAsia="宋体" w:cs="Times New Roman"/>
      <w:b/>
      <w:bCs/>
      <w:u w:val="single"/>
    </w:rPr>
  </w:style>
  <w:style w:type="character" w:customStyle="1" w:styleId="413">
    <w:name w:val="正文文本 3 Char1"/>
    <w:basedOn w:val="53"/>
    <w:qFormat/>
    <w:uiPriority w:val="99"/>
    <w:rPr>
      <w:rFonts w:ascii="宋体" w:hAnsi="宋体" w:cs="宋体"/>
      <w:sz w:val="16"/>
      <w:szCs w:val="16"/>
      <w:lang w:val="zh-CN" w:bidi="zh-CN"/>
    </w:rPr>
  </w:style>
  <w:style w:type="paragraph" w:customStyle="1" w:styleId="414">
    <w:name w:val="rvps1"/>
    <w:basedOn w:val="1"/>
    <w:qFormat/>
    <w:uiPriority w:val="99"/>
    <w:pPr>
      <w:widowControl/>
      <w:jc w:val="center"/>
    </w:pPr>
    <w:rPr>
      <w:rFonts w:ascii="Times New Roman" w:hAnsi="Times New Roman" w:eastAsia="宋体"/>
      <w:sz w:val="24"/>
      <w:szCs w:val="24"/>
      <w:lang w:eastAsia="zh-CN"/>
    </w:rPr>
  </w:style>
  <w:style w:type="paragraph" w:customStyle="1" w:styleId="415">
    <w:name w:val="rvps2"/>
    <w:basedOn w:val="1"/>
    <w:qFormat/>
    <w:uiPriority w:val="0"/>
    <w:pPr>
      <w:widowControl/>
      <w:jc w:val="both"/>
    </w:pPr>
    <w:rPr>
      <w:rFonts w:ascii="宋体" w:hAnsi="宋体" w:eastAsia="宋体" w:cs="宋体"/>
      <w:sz w:val="24"/>
      <w:szCs w:val="24"/>
      <w:lang w:eastAsia="zh-CN"/>
    </w:rPr>
  </w:style>
  <w:style w:type="character" w:customStyle="1" w:styleId="416">
    <w:name w:val="普通文字 Char Char1"/>
    <w:qFormat/>
    <w:uiPriority w:val="0"/>
    <w:rPr>
      <w:rFonts w:ascii="宋体" w:hAnsi="Courier New" w:eastAsia="宋体" w:cs="Times New Roman"/>
      <w:kern w:val="2"/>
      <w:sz w:val="21"/>
      <w:szCs w:val="21"/>
      <w:lang w:val="en-US" w:eastAsia="zh-CN" w:bidi="ar-SA"/>
    </w:rPr>
  </w:style>
  <w:style w:type="character" w:customStyle="1" w:styleId="417">
    <w:name w:val="称呼 Char1"/>
    <w:basedOn w:val="53"/>
    <w:qFormat/>
    <w:uiPriority w:val="99"/>
    <w:rPr>
      <w:rFonts w:ascii="宋体" w:hAnsi="宋体" w:cs="宋体"/>
      <w:sz w:val="22"/>
      <w:szCs w:val="22"/>
      <w:lang w:val="zh-CN" w:bidi="zh-CN"/>
    </w:rPr>
  </w:style>
  <w:style w:type="character" w:customStyle="1" w:styleId="418">
    <w:name w:val="正文文本 2 Char1"/>
    <w:basedOn w:val="53"/>
    <w:qFormat/>
    <w:uiPriority w:val="99"/>
    <w:rPr>
      <w:rFonts w:ascii="宋体" w:hAnsi="宋体" w:cs="宋体"/>
      <w:sz w:val="22"/>
      <w:szCs w:val="22"/>
      <w:lang w:val="zh-CN" w:bidi="zh-CN"/>
    </w:rPr>
  </w:style>
  <w:style w:type="paragraph" w:customStyle="1" w:styleId="419">
    <w:name w:val="目录文字"/>
    <w:basedOn w:val="1"/>
    <w:qFormat/>
    <w:uiPriority w:val="0"/>
    <w:pPr>
      <w:widowControl/>
      <w:spacing w:line="480" w:lineRule="auto"/>
    </w:pPr>
    <w:rPr>
      <w:rFonts w:ascii="宋体" w:hAnsi="宋体" w:eastAsia="宋体"/>
      <w:sz w:val="24"/>
      <w:szCs w:val="20"/>
      <w:lang w:eastAsia="zh-CN"/>
    </w:rPr>
  </w:style>
  <w:style w:type="paragraph" w:customStyle="1" w:styleId="420">
    <w:name w:val="Char Char Char Char"/>
    <w:basedOn w:val="1"/>
    <w:qFormat/>
    <w:uiPriority w:val="0"/>
    <w:pPr>
      <w:adjustRightInd w:val="0"/>
      <w:spacing w:line="360" w:lineRule="atLeast"/>
      <w:jc w:val="both"/>
      <w:textAlignment w:val="baseline"/>
    </w:pPr>
    <w:rPr>
      <w:rFonts w:ascii="Tahoma" w:hAnsi="Tahoma" w:eastAsia="宋体"/>
      <w:kern w:val="2"/>
      <w:sz w:val="24"/>
      <w:szCs w:val="20"/>
      <w:lang w:eastAsia="zh-CN"/>
    </w:rPr>
  </w:style>
  <w:style w:type="paragraph" w:customStyle="1" w:styleId="421">
    <w:name w:val="p0"/>
    <w:basedOn w:val="1"/>
    <w:qFormat/>
    <w:uiPriority w:val="99"/>
    <w:pPr>
      <w:widowControl/>
      <w:spacing w:before="100" w:beforeAutospacing="1" w:after="100" w:afterAutospacing="1"/>
    </w:pPr>
    <w:rPr>
      <w:rFonts w:ascii="宋体" w:hAnsi="宋体" w:eastAsia="宋体" w:cs="宋体"/>
      <w:sz w:val="24"/>
      <w:szCs w:val="24"/>
      <w:lang w:eastAsia="zh-CN"/>
    </w:rPr>
  </w:style>
  <w:style w:type="paragraph" w:customStyle="1" w:styleId="422">
    <w:name w:val="Char Char Char Char Char Char"/>
    <w:basedOn w:val="1"/>
    <w:qFormat/>
    <w:uiPriority w:val="0"/>
    <w:pPr>
      <w:widowControl/>
      <w:spacing w:after="160" w:line="240" w:lineRule="exact"/>
    </w:pPr>
    <w:rPr>
      <w:rFonts w:ascii="Arial" w:hAnsi="Arial" w:eastAsia="Times New Roman" w:cs="Verdana"/>
      <w:b/>
      <w:sz w:val="21"/>
      <w:szCs w:val="20"/>
    </w:rPr>
  </w:style>
  <w:style w:type="character" w:customStyle="1" w:styleId="423">
    <w:name w:val="label11"/>
    <w:basedOn w:val="53"/>
    <w:qFormat/>
    <w:uiPriority w:val="0"/>
    <w:rPr>
      <w:rFonts w:ascii="Calibri" w:hAnsi="Calibri" w:eastAsia="宋体" w:cs="Times New Roman"/>
    </w:rPr>
  </w:style>
  <w:style w:type="character" w:customStyle="1" w:styleId="424">
    <w:name w:val="rvts15"/>
    <w:qFormat/>
    <w:uiPriority w:val="0"/>
    <w:rPr>
      <w:rFonts w:hint="default" w:ascii="KNLe" w:hAnsi="KNLe"/>
      <w:color w:val="0000FF"/>
      <w:u w:val="single"/>
    </w:rPr>
  </w:style>
  <w:style w:type="character" w:customStyle="1" w:styleId="425">
    <w:name w:val="明显引用 字符1"/>
    <w:basedOn w:val="53"/>
    <w:qFormat/>
    <w:uiPriority w:val="30"/>
    <w:rPr>
      <w:rFonts w:ascii="宋体" w:hAnsi="宋体" w:cs="宋体"/>
      <w:i/>
      <w:iCs/>
      <w:color w:val="4F81BD"/>
      <w:sz w:val="22"/>
      <w:szCs w:val="22"/>
      <w:lang w:val="zh-CN" w:bidi="zh-CN"/>
    </w:rPr>
  </w:style>
  <w:style w:type="character" w:customStyle="1" w:styleId="426">
    <w:name w:val="label12"/>
    <w:basedOn w:val="53"/>
    <w:qFormat/>
    <w:uiPriority w:val="0"/>
    <w:rPr>
      <w:rFonts w:ascii="Calibri" w:hAnsi="Calibri" w:eastAsia="宋体" w:cs="Times New Roman"/>
    </w:rPr>
  </w:style>
  <w:style w:type="character" w:customStyle="1" w:styleId="427">
    <w:name w:val="first-child"/>
    <w:basedOn w:val="53"/>
    <w:qFormat/>
    <w:uiPriority w:val="0"/>
    <w:rPr>
      <w:rFonts w:ascii="Calibri" w:hAnsi="Calibri" w:eastAsia="宋体" w:cs="Times New Roman"/>
    </w:rPr>
  </w:style>
  <w:style w:type="character" w:customStyle="1" w:styleId="428">
    <w:name w:val="label10"/>
    <w:qFormat/>
    <w:uiPriority w:val="0"/>
    <w:rPr>
      <w:color w:val="1CC09F"/>
      <w:shd w:val="clear" w:color="auto" w:fill="FFFFFF"/>
    </w:rPr>
  </w:style>
  <w:style w:type="character" w:customStyle="1" w:styleId="429">
    <w:name w:val="cdropright"/>
    <w:basedOn w:val="53"/>
    <w:qFormat/>
    <w:uiPriority w:val="0"/>
    <w:rPr>
      <w:rFonts w:ascii="Calibri" w:hAnsi="Calibri" w:eastAsia="宋体" w:cs="Times New Roman"/>
    </w:rPr>
  </w:style>
  <w:style w:type="character" w:customStyle="1" w:styleId="430">
    <w:name w:val="1page sec3 Char2"/>
    <w:qFormat/>
    <w:uiPriority w:val="0"/>
    <w:rPr>
      <w:rFonts w:eastAsia="宋体"/>
      <w:kern w:val="2"/>
      <w:sz w:val="18"/>
      <w:szCs w:val="18"/>
      <w:lang w:val="en-US" w:eastAsia="zh-CN" w:bidi="ar-SA"/>
    </w:rPr>
  </w:style>
  <w:style w:type="character" w:customStyle="1" w:styleId="431">
    <w:name w:val="layui-this"/>
    <w:qFormat/>
    <w:uiPriority w:val="0"/>
    <w:rPr>
      <w:bdr w:val="single" w:color="EEEEEE" w:sz="6" w:space="0"/>
      <w:shd w:val="clear" w:color="auto" w:fill="FFFFFF"/>
    </w:rPr>
  </w:style>
  <w:style w:type="character" w:customStyle="1" w:styleId="432">
    <w:name w:val="button"/>
    <w:basedOn w:val="53"/>
    <w:qFormat/>
    <w:uiPriority w:val="0"/>
    <w:rPr>
      <w:rFonts w:ascii="Calibri" w:hAnsi="Calibri" w:eastAsia="宋体" w:cs="Times New Roman"/>
    </w:rPr>
  </w:style>
  <w:style w:type="character" w:customStyle="1" w:styleId="433">
    <w:name w:val="tmpztreemove_arrow"/>
    <w:basedOn w:val="53"/>
    <w:qFormat/>
    <w:uiPriority w:val="0"/>
    <w:rPr>
      <w:rFonts w:ascii="Calibri" w:hAnsi="Calibri" w:eastAsia="宋体" w:cs="Times New Roman"/>
    </w:rPr>
  </w:style>
  <w:style w:type="character" w:customStyle="1" w:styleId="434">
    <w:name w:val="label9"/>
    <w:qFormat/>
    <w:uiPriority w:val="0"/>
    <w:rPr>
      <w:color w:val="1AB394"/>
      <w:shd w:val="clear" w:color="auto" w:fill="FFFFFF"/>
    </w:rPr>
  </w:style>
  <w:style w:type="character" w:customStyle="1" w:styleId="435">
    <w:name w:val="引用 字符1"/>
    <w:basedOn w:val="53"/>
    <w:qFormat/>
    <w:uiPriority w:val="29"/>
    <w:rPr>
      <w:rFonts w:ascii="宋体" w:hAnsi="宋体" w:cs="宋体"/>
      <w:i/>
      <w:iCs/>
      <w:color w:val="404040"/>
      <w:sz w:val="22"/>
      <w:szCs w:val="22"/>
      <w:lang w:val="zh-CN" w:bidi="zh-CN"/>
    </w:rPr>
  </w:style>
  <w:style w:type="character" w:customStyle="1" w:styleId="436">
    <w:name w:val="引用 Char2"/>
    <w:basedOn w:val="53"/>
    <w:qFormat/>
    <w:uiPriority w:val="99"/>
    <w:rPr>
      <w:rFonts w:ascii="宋体" w:hAnsi="宋体" w:cs="宋体"/>
      <w:i/>
      <w:iCs/>
      <w:color w:val="000000"/>
      <w:sz w:val="22"/>
      <w:szCs w:val="22"/>
      <w:lang w:val="zh-CN" w:bidi="zh-CN"/>
    </w:rPr>
  </w:style>
  <w:style w:type="character" w:customStyle="1" w:styleId="437">
    <w:name w:val="cdropleft"/>
    <w:basedOn w:val="53"/>
    <w:qFormat/>
    <w:uiPriority w:val="0"/>
    <w:rPr>
      <w:rFonts w:ascii="Calibri" w:hAnsi="Calibri" w:eastAsia="宋体" w:cs="Times New Roman"/>
    </w:rPr>
  </w:style>
  <w:style w:type="paragraph" w:customStyle="1" w:styleId="438">
    <w:name w:val="空半行"/>
    <w:basedOn w:val="1"/>
    <w:qFormat/>
    <w:uiPriority w:val="0"/>
    <w:pPr>
      <w:adjustRightInd w:val="0"/>
      <w:spacing w:line="120" w:lineRule="exact"/>
      <w:jc w:val="both"/>
      <w:textAlignment w:val="baseline"/>
    </w:pPr>
    <w:rPr>
      <w:rFonts w:ascii="Times New Roman" w:hAnsi="Times New Roman" w:eastAsia="仿宋_GB2312"/>
      <w:color w:val="FFFFFF"/>
      <w:sz w:val="30"/>
      <w:szCs w:val="20"/>
      <w:lang w:eastAsia="zh-CN"/>
    </w:rPr>
  </w:style>
  <w:style w:type="paragraph" w:customStyle="1" w:styleId="439">
    <w:name w:val="aspnumfaautoadjustrightr"/>
    <w:unhideWhenUsed/>
    <w:qFormat/>
    <w:uiPriority w:val="0"/>
    <w:pPr>
      <w:widowControl w:val="0"/>
      <w:autoSpaceDE w:val="0"/>
      <w:autoSpaceDN w:val="0"/>
      <w:ind w:firstLine="720"/>
      <w:jc w:val="both"/>
    </w:pPr>
    <w:rPr>
      <w:rFonts w:hint="eastAsia" w:ascii="Times New Roman" w:hAnsi="Times New Roman" w:eastAsia="宋体" w:cs="Times New Roman"/>
      <w:sz w:val="21"/>
      <w:szCs w:val="22"/>
      <w:lang w:val="en-US" w:eastAsia="zh-CN" w:bidi="ar-SA"/>
    </w:rPr>
  </w:style>
  <w:style w:type="paragraph" w:customStyle="1" w:styleId="440">
    <w:name w:val="flNote"/>
    <w:basedOn w:val="1"/>
    <w:qFormat/>
    <w:uiPriority w:val="0"/>
    <w:pPr>
      <w:adjustRightInd w:val="0"/>
      <w:spacing w:before="320" w:after="160" w:line="360" w:lineRule="atLeast"/>
      <w:jc w:val="center"/>
      <w:textAlignment w:val="baseline"/>
    </w:pPr>
    <w:rPr>
      <w:rFonts w:ascii="Arial" w:hAnsi="Times New Roman" w:eastAsia="黑体"/>
      <w:sz w:val="30"/>
      <w:szCs w:val="20"/>
      <w:lang w:eastAsia="zh-CN"/>
    </w:rPr>
  </w:style>
  <w:style w:type="paragraph" w:customStyle="1" w:styleId="441">
    <w:name w:val="投标文件二级标题"/>
    <w:basedOn w:val="3"/>
    <w:qFormat/>
    <w:uiPriority w:val="0"/>
    <w:pPr>
      <w:keepNext/>
      <w:keepLines/>
      <w:tabs>
        <w:tab w:val="left" w:pos="576"/>
      </w:tabs>
      <w:spacing w:before="480" w:after="120" w:line="400" w:lineRule="exact"/>
      <w:ind w:left="223"/>
      <w:jc w:val="both"/>
    </w:pPr>
    <w:rPr>
      <w:rFonts w:ascii="Cambria" w:hAnsi="Cambria" w:eastAsia="宋体"/>
      <w:kern w:val="2"/>
      <w:sz w:val="32"/>
      <w:szCs w:val="28"/>
      <w:lang w:val="zh-CN" w:eastAsia="zh-CN"/>
    </w:rPr>
  </w:style>
  <w:style w:type="paragraph" w:customStyle="1" w:styleId="442">
    <w:name w:val="xl31"/>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eastAsia="宋体"/>
      <w:sz w:val="24"/>
      <w:szCs w:val="24"/>
      <w:lang w:eastAsia="zh-CN"/>
    </w:rPr>
  </w:style>
  <w:style w:type="paragraph" w:customStyle="1" w:styleId="443">
    <w:name w:val="标题3_0"/>
    <w:basedOn w:val="274"/>
    <w:qFormat/>
    <w:uiPriority w:val="0"/>
    <w:pPr>
      <w:jc w:val="center"/>
      <w:outlineLvl w:val="2"/>
    </w:pPr>
    <w:rPr>
      <w:rFonts w:ascii="黑体" w:hAnsi="黑体" w:eastAsia="黑体"/>
      <w:b/>
      <w:sz w:val="32"/>
      <w:szCs w:val="32"/>
    </w:rPr>
  </w:style>
  <w:style w:type="paragraph" w:customStyle="1" w:styleId="444">
    <w:name w:val="正文_0_0_0_0"/>
    <w:qFormat/>
    <w:uiPriority w:val="99"/>
    <w:pPr>
      <w:widowControl w:val="0"/>
      <w:jc w:val="both"/>
    </w:pPr>
    <w:rPr>
      <w:rFonts w:ascii="Times New Roman" w:hAnsi="Times New Roman" w:eastAsia="宋体" w:cs="Times New Roman"/>
      <w:lang w:val="en-US" w:eastAsia="zh-CN" w:bidi="ar-SA"/>
    </w:rPr>
  </w:style>
  <w:style w:type="paragraph" w:customStyle="1" w:styleId="445">
    <w:name w:val="Normal_0_2_0"/>
    <w:qFormat/>
    <w:uiPriority w:val="0"/>
    <w:pPr>
      <w:widowControl w:val="0"/>
      <w:jc w:val="both"/>
    </w:pPr>
    <w:rPr>
      <w:rFonts w:ascii="Calibri" w:hAnsi="Calibri" w:eastAsia="宋体" w:cs="Times New Roman"/>
      <w:lang w:val="en-US" w:eastAsia="zh-CN" w:bidi="ar-SA"/>
    </w:rPr>
  </w:style>
  <w:style w:type="paragraph" w:customStyle="1" w:styleId="446">
    <w:name w:val="Normal_0_2"/>
    <w:qFormat/>
    <w:uiPriority w:val="0"/>
    <w:pPr>
      <w:widowControl w:val="0"/>
      <w:jc w:val="both"/>
    </w:pPr>
    <w:rPr>
      <w:rFonts w:ascii="Calibri" w:hAnsi="Calibri" w:eastAsia="宋体" w:cs="Times New Roman"/>
      <w:lang w:val="en-US" w:eastAsia="zh-CN" w:bidi="ar-SA"/>
    </w:rPr>
  </w:style>
  <w:style w:type="paragraph" w:customStyle="1" w:styleId="447">
    <w:name w:val="Normal_4"/>
    <w:qFormat/>
    <w:uiPriority w:val="0"/>
    <w:pPr>
      <w:widowControl w:val="0"/>
      <w:jc w:val="both"/>
    </w:pPr>
    <w:rPr>
      <w:rFonts w:ascii="Times New Roman" w:hAnsi="Times New Roman" w:eastAsia="宋体" w:cs="Times New Roman"/>
      <w:lang w:val="en-US" w:eastAsia="zh-CN" w:bidi="ar-SA"/>
    </w:rPr>
  </w:style>
  <w:style w:type="paragraph" w:customStyle="1" w:styleId="448">
    <w:name w:val="正文_3_0"/>
    <w:qFormat/>
    <w:uiPriority w:val="99"/>
    <w:pPr>
      <w:widowControl w:val="0"/>
      <w:jc w:val="both"/>
    </w:pPr>
    <w:rPr>
      <w:rFonts w:ascii="Calibri" w:hAnsi="Calibri" w:eastAsia="宋体" w:cs="Times New Roman"/>
      <w:lang w:val="en-US" w:eastAsia="zh-CN" w:bidi="ar-SA"/>
    </w:rPr>
  </w:style>
  <w:style w:type="paragraph" w:customStyle="1" w:styleId="449">
    <w:name w:val="正文_5_1"/>
    <w:qFormat/>
    <w:uiPriority w:val="0"/>
    <w:pPr>
      <w:widowControl w:val="0"/>
      <w:jc w:val="both"/>
    </w:pPr>
    <w:rPr>
      <w:rFonts w:ascii="Calibri" w:hAnsi="Calibri" w:eastAsia="宋体" w:cs="Times New Roman"/>
      <w:kern w:val="2"/>
      <w:sz w:val="21"/>
      <w:szCs w:val="22"/>
      <w:lang w:val="en-US" w:eastAsia="zh-CN" w:bidi="ar-SA"/>
    </w:rPr>
  </w:style>
  <w:style w:type="character" w:customStyle="1" w:styleId="450">
    <w:name w:val="ca-10_0"/>
    <w:qFormat/>
    <w:uiPriority w:val="0"/>
    <w:rPr>
      <w:rFonts w:ascii="Calibri" w:hAnsi="Calibri" w:eastAsia="Times New Roman"/>
      <w:lang w:val="en-US" w:eastAsia="zh-CN" w:bidi="ar-SA"/>
    </w:rPr>
  </w:style>
  <w:style w:type="paragraph" w:customStyle="1" w:styleId="451">
    <w:name w:val="pa-13_0"/>
    <w:basedOn w:val="271"/>
    <w:qFormat/>
    <w:uiPriority w:val="0"/>
    <w:pPr>
      <w:widowControl/>
      <w:spacing w:before="100" w:beforeAutospacing="1" w:after="100" w:afterAutospacing="1"/>
      <w:jc w:val="left"/>
    </w:pPr>
    <w:rPr>
      <w:rFonts w:ascii="宋体" w:hAnsi="宋体" w:eastAsia="Times New Roman"/>
      <w:sz w:val="24"/>
      <w:szCs w:val="24"/>
    </w:rPr>
  </w:style>
  <w:style w:type="character" w:customStyle="1" w:styleId="452">
    <w:name w:val="ca-2_0"/>
    <w:qFormat/>
    <w:uiPriority w:val="0"/>
    <w:rPr>
      <w:rFonts w:ascii="Calibri" w:hAnsi="Calibri" w:eastAsia="Times New Roman"/>
      <w:lang w:val="en-US" w:eastAsia="zh-CN" w:bidi="ar-SA"/>
    </w:rPr>
  </w:style>
  <w:style w:type="paragraph" w:customStyle="1" w:styleId="453">
    <w:name w:val="pa-15_1"/>
    <w:basedOn w:val="271"/>
    <w:qFormat/>
    <w:uiPriority w:val="0"/>
    <w:pPr>
      <w:widowControl/>
      <w:spacing w:before="100" w:beforeAutospacing="1" w:after="100" w:afterAutospacing="1"/>
      <w:jc w:val="left"/>
    </w:pPr>
    <w:rPr>
      <w:rFonts w:ascii="宋体" w:hAnsi="宋体" w:eastAsia="Times New Roman"/>
      <w:sz w:val="24"/>
      <w:szCs w:val="24"/>
    </w:rPr>
  </w:style>
  <w:style w:type="character" w:customStyle="1" w:styleId="454">
    <w:name w:val="apple-converted-space_0"/>
    <w:qFormat/>
    <w:uiPriority w:val="0"/>
    <w:rPr>
      <w:rFonts w:ascii="Calibri" w:hAnsi="Calibri" w:eastAsia="Times New Roman"/>
      <w:lang w:val="en-US" w:eastAsia="zh-CN" w:bidi="ar-SA"/>
    </w:rPr>
  </w:style>
  <w:style w:type="paragraph" w:customStyle="1" w:styleId="455">
    <w:name w:val="pa-16_0"/>
    <w:basedOn w:val="271"/>
    <w:qFormat/>
    <w:uiPriority w:val="0"/>
    <w:pPr>
      <w:widowControl/>
      <w:spacing w:before="100" w:beforeAutospacing="1" w:after="100" w:afterAutospacing="1"/>
      <w:jc w:val="left"/>
    </w:pPr>
    <w:rPr>
      <w:rFonts w:ascii="宋体" w:hAnsi="宋体" w:eastAsia="Times New Roman"/>
      <w:sz w:val="24"/>
      <w:szCs w:val="24"/>
    </w:rPr>
  </w:style>
  <w:style w:type="paragraph" w:customStyle="1" w:styleId="456">
    <w:name w:val="xl77"/>
    <w:basedOn w:val="1"/>
    <w:qFormat/>
    <w:uiPriority w:val="0"/>
    <w:pPr>
      <w:widowControl/>
      <w:pBdr>
        <w:top w:val="single" w:color="000000" w:sz="8"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7">
    <w:name w:val="xl78"/>
    <w:basedOn w:val="1"/>
    <w:qFormat/>
    <w:uiPriority w:val="0"/>
    <w:pPr>
      <w:widowControl/>
      <w:pBdr>
        <w:left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8">
    <w:name w:val="xl79"/>
    <w:basedOn w:val="1"/>
    <w:qFormat/>
    <w:uiPriority w:val="0"/>
    <w:pPr>
      <w:widowControl/>
      <w:pBdr>
        <w:bottom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59">
    <w:name w:val="xl80"/>
    <w:basedOn w:val="1"/>
    <w:qFormat/>
    <w:uiPriority w:val="0"/>
    <w:pPr>
      <w:widowControl/>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0">
    <w:name w:val="xl81"/>
    <w:basedOn w:val="1"/>
    <w:qFormat/>
    <w:uiPriority w:val="0"/>
    <w:pPr>
      <w:widowControl/>
      <w:spacing w:before="100" w:beforeAutospacing="1" w:after="100" w:afterAutospacing="1"/>
      <w:textAlignment w:val="center"/>
    </w:pPr>
    <w:rPr>
      <w:rFonts w:ascii="宋体" w:hAnsi="宋体" w:eastAsia="宋体" w:cs="宋体"/>
      <w:sz w:val="24"/>
      <w:szCs w:val="24"/>
      <w:lang w:eastAsia="zh-CN"/>
    </w:rPr>
  </w:style>
  <w:style w:type="paragraph" w:customStyle="1" w:styleId="461">
    <w:name w:val="xl82"/>
    <w:basedOn w:val="1"/>
    <w:qFormat/>
    <w:uiPriority w:val="0"/>
    <w:pPr>
      <w:widowControl/>
      <w:pBdr>
        <w:top w:val="single" w:color="000000" w:sz="4" w:space="0"/>
        <w:left w:val="single" w:color="000000" w:sz="8"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2">
    <w:name w:val="xl83"/>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3">
    <w:name w:val="xl84"/>
    <w:basedOn w:val="1"/>
    <w:qFormat/>
    <w:uiPriority w:val="0"/>
    <w:pPr>
      <w:widowControl/>
      <w:pBdr>
        <w:top w:val="single" w:color="000000" w:sz="4" w:space="0"/>
        <w:left w:val="single" w:color="000000" w:sz="4" w:space="0"/>
        <w:right w:val="single" w:color="000000" w:sz="4" w:space="0"/>
      </w:pBdr>
      <w:spacing w:before="100" w:beforeAutospacing="1" w:after="100" w:afterAutospacing="1"/>
      <w:textAlignment w:val="center"/>
    </w:pPr>
    <w:rPr>
      <w:rFonts w:ascii="宋体" w:hAnsi="宋体" w:eastAsia="宋体" w:cs="宋体"/>
      <w:sz w:val="24"/>
      <w:szCs w:val="24"/>
      <w:lang w:eastAsia="zh-CN"/>
    </w:rPr>
  </w:style>
  <w:style w:type="paragraph" w:customStyle="1" w:styleId="464">
    <w:name w:val="xl85"/>
    <w:basedOn w:val="1"/>
    <w:qFormat/>
    <w:uiPriority w:val="0"/>
    <w:pPr>
      <w:widowControl/>
      <w:pBdr>
        <w:top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6">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7">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8">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69">
    <w:name w:val="xl90"/>
    <w:basedOn w:val="1"/>
    <w:qFormat/>
    <w:uiPriority w:val="0"/>
    <w:pPr>
      <w:widowControl/>
      <w:pBdr>
        <w:top w:val="single" w:color="000000" w:sz="4" w:space="0"/>
        <w:left w:val="single" w:color="000000" w:sz="4" w:space="0"/>
        <w:bottom w:val="single" w:color="auto"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0">
    <w:name w:val="xl91"/>
    <w:basedOn w:val="1"/>
    <w:qFormat/>
    <w:uiPriority w:val="0"/>
    <w:pPr>
      <w:widowControl/>
      <w:pBdr>
        <w:top w:val="single" w:color="000000" w:sz="4" w:space="0"/>
        <w:bottom w:val="single" w:color="auto"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1">
    <w:name w:val="xl9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2">
    <w:name w:val="xl9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3">
    <w:name w:val="xl94"/>
    <w:basedOn w:val="1"/>
    <w:qFormat/>
    <w:uiPriority w:val="0"/>
    <w:pPr>
      <w:widowControl/>
      <w:pBdr>
        <w:top w:val="single" w:color="000000" w:sz="8" w:space="0"/>
        <w:left w:val="single" w:color="000000" w:sz="4" w:space="0"/>
        <w:bottom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4">
    <w:name w:val="xl95"/>
    <w:basedOn w:val="1"/>
    <w:qFormat/>
    <w:uiPriority w:val="0"/>
    <w:pPr>
      <w:widowControl/>
      <w:pBdr>
        <w:top w:val="single" w:color="000000" w:sz="8" w:space="0"/>
        <w:bottom w:val="single" w:color="000000" w:sz="4" w:space="0"/>
        <w:right w:val="single" w:color="000000" w:sz="4" w:space="0"/>
      </w:pBdr>
      <w:spacing w:before="100" w:beforeAutospacing="1" w:after="100" w:afterAutospacing="1"/>
      <w:jc w:val="center"/>
      <w:textAlignment w:val="center"/>
    </w:pPr>
    <w:rPr>
      <w:rFonts w:ascii="宋体" w:hAnsi="宋体" w:eastAsia="宋体" w:cs="宋体"/>
      <w:sz w:val="24"/>
      <w:szCs w:val="24"/>
      <w:lang w:eastAsia="zh-CN"/>
    </w:rPr>
  </w:style>
  <w:style w:type="paragraph" w:customStyle="1" w:styleId="475">
    <w:name w:val="xl96"/>
    <w:basedOn w:val="1"/>
    <w:qFormat/>
    <w:uiPriority w:val="0"/>
    <w:pPr>
      <w:widowControl/>
      <w:pBdr>
        <w:top w:val="single" w:color="000000" w:sz="4" w:space="0"/>
        <w:left w:val="single" w:color="000000" w:sz="8"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6">
    <w:name w:val="xl97"/>
    <w:basedOn w:val="1"/>
    <w:qFormat/>
    <w:uiPriority w:val="0"/>
    <w:pPr>
      <w:widowControl/>
      <w:pBdr>
        <w:top w:val="single" w:color="000000" w:sz="4" w:space="0"/>
        <w:bottom w:val="single" w:color="000000"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77">
    <w:name w:val="xl98"/>
    <w:basedOn w:val="1"/>
    <w:qFormat/>
    <w:uiPriority w:val="0"/>
    <w:pPr>
      <w:widowControl/>
      <w:pBdr>
        <w:top w:val="single" w:color="000000" w:sz="8" w:space="0"/>
        <w:left w:val="single" w:color="000000" w:sz="4" w:space="0"/>
        <w:right w:val="single" w:color="000000" w:sz="4" w:space="0"/>
      </w:pBdr>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78">
    <w:name w:val="xl99"/>
    <w:basedOn w:val="1"/>
    <w:qFormat/>
    <w:uiPriority w:val="0"/>
    <w:pPr>
      <w:widowControl/>
      <w:spacing w:before="100" w:beforeAutospacing="1" w:after="100" w:afterAutospacing="1"/>
      <w:jc w:val="center"/>
      <w:textAlignment w:val="center"/>
    </w:pPr>
    <w:rPr>
      <w:rFonts w:ascii="宋体" w:hAnsi="宋体" w:eastAsia="宋体" w:cs="宋体"/>
      <w:b/>
      <w:bCs/>
      <w:sz w:val="24"/>
      <w:szCs w:val="24"/>
      <w:lang w:eastAsia="zh-CN"/>
    </w:rPr>
  </w:style>
  <w:style w:type="paragraph" w:customStyle="1" w:styleId="479">
    <w:name w:val="xl100"/>
    <w:basedOn w:val="1"/>
    <w:qFormat/>
    <w:uiPriority w:val="0"/>
    <w:pPr>
      <w:widowControl/>
      <w:pBdr>
        <w:left w:val="single" w:color="000000" w:sz="8"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80">
    <w:name w:val="xl101"/>
    <w:basedOn w:val="1"/>
    <w:qFormat/>
    <w:uiPriority w:val="0"/>
    <w:pPr>
      <w:widowControl/>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81">
    <w:name w:val="xl102"/>
    <w:basedOn w:val="1"/>
    <w:qFormat/>
    <w:uiPriority w:val="0"/>
    <w:pPr>
      <w:widowControl/>
      <w:pBdr>
        <w:right w:val="single" w:color="auto" w:sz="4" w:space="0"/>
      </w:pBdr>
      <w:spacing w:before="100" w:beforeAutospacing="1" w:after="100" w:afterAutospacing="1"/>
      <w:jc w:val="center"/>
      <w:textAlignment w:val="center"/>
    </w:pPr>
    <w:rPr>
      <w:rFonts w:ascii="宋体" w:hAnsi="宋体" w:eastAsia="宋体" w:cs="宋体"/>
      <w:b/>
      <w:bCs/>
      <w:sz w:val="18"/>
      <w:szCs w:val="18"/>
      <w:lang w:eastAsia="zh-CN"/>
    </w:rPr>
  </w:style>
  <w:style w:type="paragraph" w:customStyle="1" w:styleId="482">
    <w:name w:val="xl63"/>
    <w:basedOn w:val="1"/>
    <w:qFormat/>
    <w:uiPriority w:val="0"/>
    <w:pPr>
      <w:widowControl/>
      <w:spacing w:before="100" w:beforeAutospacing="1" w:after="100" w:afterAutospacing="1"/>
    </w:pPr>
    <w:rPr>
      <w:rFonts w:ascii="宋体" w:hAnsi="宋体" w:eastAsia="宋体" w:cs="宋体"/>
      <w:sz w:val="24"/>
      <w:szCs w:val="24"/>
      <w:lang w:eastAsia="zh-CN"/>
    </w:rPr>
  </w:style>
  <w:style w:type="paragraph" w:customStyle="1" w:styleId="483">
    <w:name w:val="xl64"/>
    <w:basedOn w:val="1"/>
    <w:qFormat/>
    <w:uiPriority w:val="0"/>
    <w:pPr>
      <w:widowControl/>
      <w:spacing w:before="100" w:beforeAutospacing="1" w:after="100" w:afterAutospacing="1"/>
      <w:jc w:val="center"/>
    </w:pPr>
    <w:rPr>
      <w:rFonts w:ascii="宋体" w:hAnsi="宋体" w:eastAsia="宋体" w:cs="宋体"/>
      <w:sz w:val="24"/>
      <w:szCs w:val="24"/>
      <w:lang w:eastAsia="zh-CN"/>
    </w:rPr>
  </w:style>
  <w:style w:type="paragraph" w:customStyle="1" w:styleId="484">
    <w:name w:val="正文样式"/>
    <w:basedOn w:val="1"/>
    <w:qFormat/>
    <w:uiPriority w:val="0"/>
    <w:pPr>
      <w:spacing w:line="360" w:lineRule="auto"/>
      <w:ind w:firstLine="560"/>
      <w:jc w:val="both"/>
    </w:pPr>
    <w:rPr>
      <w:rFonts w:ascii="仿宋_GB2312" w:hAnsi="仿宋_GB2312" w:eastAsia="仿宋_GB2312" w:cs="仿宋_GB2312"/>
      <w:sz w:val="28"/>
      <w:szCs w:val="28"/>
      <w:lang w:val="en-US" w:bidi="ar-SA"/>
    </w:rPr>
  </w:style>
  <w:style w:type="paragraph" w:customStyle="1" w:styleId="485">
    <w:name w:val="五号表格正文"/>
    <w:basedOn w:val="486"/>
    <w:qFormat/>
    <w:uiPriority w:val="0"/>
    <w:pPr>
      <w:spacing w:line="240" w:lineRule="auto"/>
      <w:ind w:firstLine="0"/>
    </w:pPr>
    <w:rPr>
      <w:sz w:val="21"/>
    </w:rPr>
  </w:style>
  <w:style w:type="paragraph" w:customStyle="1" w:styleId="486">
    <w:name w:val="正文小四缩进"/>
    <w:basedOn w:val="1"/>
    <w:qFormat/>
    <w:uiPriority w:val="0"/>
    <w:pPr>
      <w:spacing w:after="0" w:line="300" w:lineRule="auto"/>
      <w:ind w:firstLine="200" w:firstLineChars="200"/>
      <w:jc w:val="left"/>
    </w:pPr>
    <w:rPr>
      <w:sz w:val="24"/>
    </w:rPr>
  </w:style>
  <w:style w:type="paragraph" w:customStyle="1" w:styleId="487">
    <w:name w:val="(标书)正文 Char Char"/>
    <w:basedOn w:val="1"/>
    <w:qFormat/>
    <w:uiPriority w:val="0"/>
    <w:pPr>
      <w:ind w:firstLine="200" w:firstLineChars="200"/>
    </w:pPr>
    <w:rPr>
      <w:rFonts w:ascii="宋体" w:hAnsi="宋体" w:cs="Times New Roman"/>
      <w:spacing w:val="10"/>
      <w:szCs w:val="24"/>
    </w:rPr>
  </w:style>
  <w:style w:type="paragraph" w:customStyle="1" w:styleId="488">
    <w:name w:val="正文文本11"/>
    <w:basedOn w:val="1"/>
    <w:next w:val="1"/>
    <w:qFormat/>
    <w:uiPriority w:val="0"/>
    <w:rPr>
      <w:rFonts w:ascii="楷体_GB2312" w:hAnsi="Arial" w:eastAsia="楷体_GB2312" w:cs="Times New Roman"/>
      <w:sz w:val="28"/>
    </w:rPr>
  </w:style>
  <w:style w:type="paragraph" w:customStyle="1" w:styleId="489">
    <w:name w:val="Table Text"/>
    <w:basedOn w:val="1"/>
    <w:semiHidden/>
    <w:qFormat/>
    <w:uiPriority w:val="0"/>
    <w:rPr>
      <w:rFonts w:ascii="宋体" w:hAnsi="宋体" w:eastAsia="宋体" w:cs="宋体"/>
    </w:rPr>
  </w:style>
  <w:style w:type="character" w:customStyle="1" w:styleId="490">
    <w:name w:val="font01"/>
    <w:basedOn w:val="53"/>
    <w:qFormat/>
    <w:uiPriority w:val="0"/>
    <w:rPr>
      <w:rFonts w:hint="eastAsia" w:ascii="宋体" w:hAnsi="宋体" w:eastAsia="宋体" w:cs="宋体"/>
      <w:color w:val="000000"/>
      <w:sz w:val="22"/>
      <w:szCs w:val="22"/>
      <w:u w:val="none"/>
    </w:rPr>
  </w:style>
  <w:style w:type="character" w:customStyle="1" w:styleId="491">
    <w:name w:val="font41"/>
    <w:basedOn w:val="53"/>
    <w:qFormat/>
    <w:uiPriority w:val="0"/>
    <w:rPr>
      <w:rFonts w:hint="eastAsia" w:ascii="宋体" w:hAnsi="宋体" w:eastAsia="宋体" w:cs="宋体"/>
      <w:color w:val="FF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WI</Company>
  <Pages>52</Pages>
  <Words>18169</Words>
  <Characters>19302</Characters>
  <Lines>222</Lines>
  <Paragraphs>62</Paragraphs>
  <TotalTime>6</TotalTime>
  <ScaleCrop>false</ScaleCrop>
  <LinksUpToDate>false</LinksUpToDate>
  <CharactersWithSpaces>19500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2024-03-28T06:58:00Z</dcterms:created>
  <dc:creator>招标代</dc:creator>
  <cp:lastModifiedBy>kayie~</cp:lastModifiedBy>
  <cp:lastPrinted>2025-05-19T08:45:00Z</cp:lastPrinted>
  <dcterms:modified xsi:type="dcterms:W3CDTF">2026-08-06T08:12:35Z</dcterms:modified>
  <cp:revision>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E79E74F9A1E846418BA0B470BE652DE2_13</vt:lpwstr>
  </property>
  <property fmtid="{D5CDD505-2E9C-101B-9397-08002B2CF9AE}" pid="4" name="KSOTemplateDocerSaveRecord">
    <vt:lpwstr>eyJoZGlkIjoiNmQ4MzQyZWVhMThiODFkZmVlZmEyYWI0MWFkN2M5MGEiLCJ1c2VySWQiOiIzMDI0MzIyNDMifQ==</vt:lpwstr>
  </property>
</Properties>
</file>