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10"/>
        <w:spacing w:before="120" w:beforeAutospacing="0" w:after="120" w:afterAutospacing="0" w:line="360" w:lineRule="auto"/>
        <w:rPr>
          <w:color w:val="auto"/>
        </w:rPr>
      </w:pPr>
      <w:bookmarkStart w:id="215" w:name="_GoBack"/>
      <w:r>
        <w:rPr>
          <w:color w:val="auto"/>
        </w:rPr>
        <w:t> </w:t>
      </w:r>
    </w:p>
    <w:p w14:paraId="0748D618">
      <w:pPr>
        <w:pStyle w:val="10"/>
        <w:spacing w:before="120" w:beforeAutospacing="0" w:after="120" w:afterAutospacing="0" w:line="360" w:lineRule="auto"/>
        <w:ind w:firstLine="1687"/>
        <w:jc w:val="center"/>
        <w:rPr>
          <w:color w:val="auto"/>
        </w:rPr>
      </w:pPr>
      <w:r>
        <w:rPr>
          <w:rFonts w:ascii="Arial" w:hAnsi="Arial" w:cs="Arial"/>
          <w:b/>
          <w:color w:val="auto"/>
          <w:sz w:val="84"/>
          <w:szCs w:val="84"/>
        </w:rPr>
        <w:t>招 标 文 件</w:t>
      </w:r>
    </w:p>
    <w:p w14:paraId="02660C76">
      <w:pPr>
        <w:pStyle w:val="10"/>
        <w:kinsoku w:val="0"/>
        <w:overflowPunct w:val="0"/>
        <w:autoSpaceDE w:val="0"/>
        <w:autoSpaceDN w:val="0"/>
        <w:spacing w:before="120" w:beforeAutospacing="0" w:after="120" w:afterAutospacing="0" w:line="360" w:lineRule="auto"/>
        <w:ind w:firstLine="643"/>
        <w:jc w:val="center"/>
        <w:rPr>
          <w:rFonts w:ascii="Arial" w:hAnsi="Arial" w:cs="Arial"/>
          <w:b/>
          <w:color w:val="auto"/>
          <w:sz w:val="32"/>
          <w:szCs w:val="32"/>
        </w:rPr>
      </w:pPr>
    </w:p>
    <w:p w14:paraId="1FF8B3B5">
      <w:pPr>
        <w:pStyle w:val="10"/>
        <w:kinsoku w:val="0"/>
        <w:overflowPunct w:val="0"/>
        <w:autoSpaceDE w:val="0"/>
        <w:autoSpaceDN w:val="0"/>
        <w:spacing w:before="120" w:beforeAutospacing="0" w:after="120" w:afterAutospacing="0" w:line="360" w:lineRule="auto"/>
        <w:ind w:firstLine="643"/>
        <w:jc w:val="center"/>
        <w:rPr>
          <w:rFonts w:ascii="Arial" w:hAnsi="Arial" w:cs="Arial"/>
          <w:b/>
          <w:color w:val="auto"/>
          <w:sz w:val="32"/>
          <w:szCs w:val="32"/>
        </w:rPr>
      </w:pPr>
    </w:p>
    <w:p w14:paraId="4E526098">
      <w:pPr>
        <w:pStyle w:val="10"/>
        <w:kinsoku w:val="0"/>
        <w:overflowPunct w:val="0"/>
        <w:autoSpaceDE w:val="0"/>
        <w:autoSpaceDN w:val="0"/>
        <w:spacing w:before="120" w:beforeAutospacing="0" w:after="120" w:afterAutospacing="0" w:line="360" w:lineRule="auto"/>
        <w:ind w:firstLine="643"/>
        <w:jc w:val="center"/>
        <w:rPr>
          <w:rFonts w:ascii="Arial" w:hAnsi="Arial" w:cs="Arial"/>
          <w:b/>
          <w:color w:val="auto"/>
          <w:sz w:val="32"/>
          <w:szCs w:val="32"/>
        </w:rPr>
      </w:pPr>
      <w:r>
        <w:rPr>
          <w:rFonts w:ascii="Arial" w:hAnsi="Arial" w:cs="Arial"/>
          <w:b/>
          <w:color w:val="auto"/>
          <w:sz w:val="32"/>
          <w:szCs w:val="32"/>
        </w:rPr>
        <w:t>项目名称：</w:t>
      </w:r>
      <w:r>
        <w:rPr>
          <w:rFonts w:hint="eastAsia" w:ascii="Arial" w:hAnsi="Arial" w:cs="Arial"/>
          <w:b/>
          <w:color w:val="auto"/>
          <w:sz w:val="32"/>
          <w:szCs w:val="32"/>
        </w:rPr>
        <w:t>盐城市卫生健康委员会2026年度医务人员海外研修服务项目</w:t>
      </w:r>
    </w:p>
    <w:p w14:paraId="5BAD00F2">
      <w:pPr>
        <w:pStyle w:val="10"/>
        <w:spacing w:before="120" w:beforeAutospacing="0" w:after="120" w:afterAutospacing="0" w:line="360" w:lineRule="auto"/>
        <w:ind w:firstLine="643" w:firstLineChars="200"/>
        <w:rPr>
          <w:color w:val="auto"/>
        </w:rPr>
      </w:pPr>
      <w:r>
        <w:rPr>
          <w:rFonts w:ascii="Arial" w:hAnsi="Arial" w:cs="Arial"/>
          <w:b/>
          <w:color w:val="auto"/>
          <w:sz w:val="32"/>
          <w:szCs w:val="32"/>
        </w:rPr>
        <w:t>项目编号：</w:t>
      </w:r>
      <w:r>
        <w:rPr>
          <w:rFonts w:hint="eastAsia" w:ascii="Arial" w:hAnsi="Arial" w:cs="Arial"/>
          <w:b/>
          <w:color w:val="auto"/>
          <w:sz w:val="32"/>
          <w:szCs w:val="32"/>
        </w:rPr>
        <w:t>JSZC-320900-SZDL-G2026-0010</w:t>
      </w:r>
      <w:r>
        <w:rPr>
          <w:rFonts w:ascii="Times New Roman" w:hAnsi="Times New Roman"/>
          <w:b/>
          <w:color w:val="auto"/>
          <w:sz w:val="30"/>
          <w:szCs w:val="30"/>
        </w:rPr>
        <w:t xml:space="preserve">  </w:t>
      </w:r>
    </w:p>
    <w:p w14:paraId="6F53CC27">
      <w:pPr>
        <w:pStyle w:val="10"/>
        <w:spacing w:beforeAutospacing="0" w:afterAutospacing="0" w:line="360" w:lineRule="auto"/>
        <w:rPr>
          <w:color w:val="auto"/>
        </w:rPr>
      </w:pPr>
      <w:r>
        <w:rPr>
          <w:color w:val="auto"/>
        </w:rPr>
        <w:t> </w:t>
      </w:r>
    </w:p>
    <w:p w14:paraId="062C3A68">
      <w:pPr>
        <w:pStyle w:val="10"/>
        <w:spacing w:beforeAutospacing="0" w:afterAutospacing="0" w:line="360" w:lineRule="auto"/>
        <w:rPr>
          <w:color w:val="auto"/>
        </w:rPr>
      </w:pPr>
      <w:r>
        <w:rPr>
          <w:color w:val="auto"/>
        </w:rPr>
        <w:t> </w:t>
      </w:r>
    </w:p>
    <w:p w14:paraId="24182504">
      <w:pPr>
        <w:pStyle w:val="10"/>
        <w:spacing w:beforeAutospacing="0" w:afterAutospacing="0" w:line="360" w:lineRule="auto"/>
        <w:rPr>
          <w:color w:val="auto"/>
        </w:rPr>
      </w:pPr>
      <w:r>
        <w:rPr>
          <w:color w:val="auto"/>
        </w:rPr>
        <w:t> </w:t>
      </w:r>
    </w:p>
    <w:p w14:paraId="3C13D1EC">
      <w:pPr>
        <w:pStyle w:val="10"/>
        <w:spacing w:beforeAutospacing="0" w:afterAutospacing="0" w:line="360" w:lineRule="auto"/>
        <w:rPr>
          <w:color w:val="auto"/>
        </w:rPr>
      </w:pPr>
      <w:r>
        <w:rPr>
          <w:color w:val="auto"/>
        </w:rPr>
        <w:t> </w:t>
      </w:r>
    </w:p>
    <w:p w14:paraId="68483B32">
      <w:pPr>
        <w:pStyle w:val="10"/>
        <w:spacing w:beforeAutospacing="0" w:afterAutospacing="0" w:line="360" w:lineRule="auto"/>
        <w:rPr>
          <w:color w:val="auto"/>
        </w:rPr>
      </w:pPr>
      <w:r>
        <w:rPr>
          <w:color w:val="auto"/>
        </w:rPr>
        <w:t> </w:t>
      </w:r>
    </w:p>
    <w:p w14:paraId="5C4F9B91">
      <w:pPr>
        <w:pStyle w:val="10"/>
        <w:spacing w:beforeAutospacing="0" w:afterAutospacing="0" w:line="360" w:lineRule="auto"/>
        <w:rPr>
          <w:color w:val="auto"/>
        </w:rPr>
      </w:pPr>
      <w:r>
        <w:rPr>
          <w:color w:val="auto"/>
        </w:rPr>
        <w:t> </w:t>
      </w:r>
    </w:p>
    <w:p w14:paraId="38DC4F88">
      <w:pPr>
        <w:pStyle w:val="10"/>
        <w:spacing w:beforeAutospacing="0" w:afterAutospacing="0" w:line="360" w:lineRule="auto"/>
        <w:rPr>
          <w:color w:val="auto"/>
        </w:rPr>
      </w:pPr>
      <w:r>
        <w:rPr>
          <w:color w:val="auto"/>
        </w:rPr>
        <w:t> </w:t>
      </w:r>
    </w:p>
    <w:p w14:paraId="7B277374">
      <w:pPr>
        <w:pStyle w:val="10"/>
        <w:spacing w:before="120" w:beforeAutospacing="0" w:after="120" w:afterAutospacing="0" w:line="360" w:lineRule="auto"/>
        <w:ind w:firstLine="643"/>
        <w:jc w:val="center"/>
        <w:rPr>
          <w:rFonts w:ascii="Arial" w:hAnsi="Arial" w:cs="Arial"/>
          <w:b/>
          <w:color w:val="auto"/>
          <w:sz w:val="32"/>
          <w:szCs w:val="32"/>
        </w:rPr>
      </w:pPr>
      <w:r>
        <w:rPr>
          <w:rFonts w:hint="eastAsia" w:ascii="宋体" w:hAnsi="宋体" w:cs="宋体"/>
          <w:b/>
          <w:bCs/>
          <w:color w:val="auto"/>
          <w:sz w:val="32"/>
        </w:rPr>
        <w:t>盐城市卫生健康委员会</w:t>
      </w:r>
    </w:p>
    <w:p w14:paraId="36E8D47F">
      <w:pPr>
        <w:pStyle w:val="10"/>
        <w:spacing w:before="120" w:beforeAutospacing="0" w:after="120" w:afterAutospacing="0" w:line="360" w:lineRule="auto"/>
        <w:ind w:firstLine="643"/>
        <w:jc w:val="center"/>
        <w:rPr>
          <w:color w:val="auto"/>
        </w:rPr>
      </w:pPr>
      <w:r>
        <w:rPr>
          <w:rFonts w:hint="eastAsia" w:ascii="宋体" w:hAnsi="宋体" w:cs="宋体"/>
          <w:b/>
          <w:bCs/>
          <w:color w:val="auto"/>
          <w:sz w:val="32"/>
        </w:rPr>
        <w:t>2026年7月</w:t>
      </w:r>
    </w:p>
    <w:p w14:paraId="07289AF9">
      <w:pPr>
        <w:pStyle w:val="10"/>
        <w:spacing w:before="120" w:beforeAutospacing="0" w:after="120" w:afterAutospacing="0" w:line="360" w:lineRule="auto"/>
        <w:rPr>
          <w:color w:val="auto"/>
        </w:rPr>
      </w:pPr>
      <w:r>
        <w:rPr>
          <w:rFonts w:ascii="Arial" w:hAnsi="Arial" w:cs="Arial"/>
          <w:color w:val="auto"/>
        </w:rPr>
        <w:t xml:space="preserve">                        </w:t>
      </w:r>
    </w:p>
    <w:p w14:paraId="77109889">
      <w:pPr>
        <w:pStyle w:val="10"/>
        <w:spacing w:before="120" w:beforeAutospacing="0" w:after="120" w:afterAutospacing="0" w:line="360" w:lineRule="auto"/>
        <w:jc w:val="center"/>
        <w:rPr>
          <w:color w:val="auto"/>
        </w:rPr>
      </w:pPr>
      <w:r>
        <w:rPr>
          <w:color w:val="auto"/>
        </w:rPr>
        <w:t> </w:t>
      </w:r>
    </w:p>
    <w:p w14:paraId="1C306D57">
      <w:pPr>
        <w:pStyle w:val="10"/>
        <w:spacing w:beforeAutospacing="0" w:afterAutospacing="0" w:line="480" w:lineRule="auto"/>
        <w:ind w:firstLine="420"/>
        <w:jc w:val="center"/>
        <w:rPr>
          <w:color w:val="auto"/>
        </w:rPr>
      </w:pPr>
      <w:r>
        <w:rPr>
          <w:rFonts w:ascii="Times New Roman" w:hAnsi="Times New Roman"/>
          <w:color w:val="auto"/>
          <w:sz w:val="21"/>
          <w:szCs w:val="21"/>
        </w:rPr>
        <w:br w:type="page"/>
      </w:r>
      <w:r>
        <w:rPr>
          <w:rFonts w:ascii="Times New Roman" w:hAnsi="Times New Roman"/>
          <w:color w:val="auto"/>
          <w:sz w:val="21"/>
          <w:szCs w:val="21"/>
        </w:rPr>
        <w:t> </w:t>
      </w:r>
      <w:bookmarkStart w:id="0" w:name="_Toc523127445"/>
      <w:bookmarkStart w:id="1" w:name="_Toc513029200"/>
      <w:bookmarkStart w:id="2" w:name="_Toc20823272"/>
      <w:bookmarkStart w:id="3" w:name="_Toc120614210"/>
      <w:bookmarkStart w:id="4" w:name="_Toc479757206"/>
      <w:bookmarkStart w:id="5" w:name="_Toc16938516"/>
      <w:r>
        <w:rPr>
          <w:rFonts w:ascii="Times New Roman" w:hAnsi="Times New Roman"/>
          <w:color w:val="auto"/>
          <w:sz w:val="21"/>
          <w:szCs w:val="21"/>
        </w:rPr>
        <w:t> </w:t>
      </w:r>
      <w:r>
        <w:rPr>
          <w:rFonts w:ascii="黑体" w:hAnsi="宋体" w:eastAsia="黑体" w:cs="黑体"/>
          <w:b/>
          <w:color w:val="auto"/>
          <w:sz w:val="44"/>
          <w:szCs w:val="44"/>
        </w:rPr>
        <w:t>总  目  录</w:t>
      </w:r>
      <w:bookmarkEnd w:id="0"/>
      <w:bookmarkEnd w:id="1"/>
      <w:bookmarkEnd w:id="2"/>
      <w:bookmarkEnd w:id="3"/>
      <w:bookmarkEnd w:id="4"/>
      <w:bookmarkEnd w:id="5"/>
    </w:p>
    <w:p w14:paraId="6EB96C7E">
      <w:pPr>
        <w:pStyle w:val="10"/>
        <w:spacing w:beforeAutospacing="0" w:afterAutospacing="0" w:line="480" w:lineRule="auto"/>
        <w:jc w:val="both"/>
        <w:rPr>
          <w:color w:val="auto"/>
        </w:rPr>
      </w:pPr>
      <w:r>
        <w:rPr>
          <w:color w:val="auto"/>
        </w:rPr>
        <w:t> </w:t>
      </w:r>
    </w:p>
    <w:p w14:paraId="63E5A6A0">
      <w:pPr>
        <w:pStyle w:val="10"/>
        <w:tabs>
          <w:tab w:val="left" w:pos="1441"/>
        </w:tabs>
        <w:spacing w:beforeAutospacing="0" w:afterAutospacing="0" w:line="480" w:lineRule="auto"/>
        <w:ind w:firstLine="720"/>
        <w:jc w:val="both"/>
        <w:rPr>
          <w:color w:val="auto"/>
        </w:rPr>
      </w:pPr>
      <w:r>
        <w:rPr>
          <w:rFonts w:hint="eastAsia" w:ascii="黑体" w:hAnsi="宋体" w:eastAsia="黑体" w:cs="黑体"/>
          <w:color w:val="auto"/>
          <w:sz w:val="36"/>
          <w:szCs w:val="36"/>
        </w:rPr>
        <w:t xml:space="preserve">招标公告…………………………………… </w:t>
      </w:r>
    </w:p>
    <w:p w14:paraId="3F048C29">
      <w:pPr>
        <w:pStyle w:val="10"/>
        <w:tabs>
          <w:tab w:val="left" w:pos="1441"/>
        </w:tabs>
        <w:spacing w:beforeAutospacing="0" w:afterAutospacing="0" w:line="480" w:lineRule="auto"/>
        <w:ind w:firstLine="720"/>
        <w:jc w:val="both"/>
        <w:rPr>
          <w:color w:val="auto"/>
        </w:rPr>
      </w:pPr>
      <w:r>
        <w:rPr>
          <w:rFonts w:hint="eastAsia" w:ascii="黑体" w:hAnsi="宋体" w:eastAsia="黑体" w:cs="黑体"/>
          <w:color w:val="auto"/>
          <w:sz w:val="36"/>
          <w:szCs w:val="36"/>
        </w:rPr>
        <w:t xml:space="preserve">投标人须知…………………………………  </w:t>
      </w:r>
    </w:p>
    <w:p w14:paraId="36557F5B">
      <w:pPr>
        <w:pStyle w:val="10"/>
        <w:tabs>
          <w:tab w:val="left" w:pos="1441"/>
        </w:tabs>
        <w:spacing w:beforeAutospacing="0" w:afterAutospacing="0" w:line="480" w:lineRule="auto"/>
        <w:ind w:firstLine="720"/>
        <w:jc w:val="both"/>
        <w:rPr>
          <w:color w:val="auto"/>
        </w:rPr>
      </w:pPr>
      <w:r>
        <w:rPr>
          <w:rFonts w:hint="eastAsia" w:ascii="黑体" w:hAnsi="宋体" w:eastAsia="黑体" w:cs="黑体"/>
          <w:color w:val="auto"/>
          <w:sz w:val="36"/>
          <w:szCs w:val="36"/>
        </w:rPr>
        <w:t>合同文本……………………………………</w:t>
      </w:r>
    </w:p>
    <w:p w14:paraId="76DCD7D4">
      <w:pPr>
        <w:pStyle w:val="10"/>
        <w:tabs>
          <w:tab w:val="left" w:pos="1441"/>
        </w:tabs>
        <w:spacing w:beforeAutospacing="0" w:afterAutospacing="0" w:line="480" w:lineRule="auto"/>
        <w:ind w:firstLine="720"/>
        <w:jc w:val="both"/>
        <w:rPr>
          <w:color w:val="auto"/>
        </w:rPr>
      </w:pPr>
      <w:r>
        <w:rPr>
          <w:rFonts w:hint="eastAsia" w:ascii="黑体" w:hAnsi="宋体" w:eastAsia="黑体" w:cs="黑体"/>
          <w:color w:val="auto"/>
          <w:sz w:val="36"/>
          <w:szCs w:val="36"/>
        </w:rPr>
        <w:t>采购需求……………………………………</w:t>
      </w:r>
    </w:p>
    <w:p w14:paraId="620E178A">
      <w:pPr>
        <w:pStyle w:val="10"/>
        <w:tabs>
          <w:tab w:val="left" w:pos="1441"/>
        </w:tabs>
        <w:spacing w:beforeAutospacing="0" w:afterAutospacing="0" w:line="480" w:lineRule="auto"/>
        <w:ind w:firstLine="720"/>
        <w:jc w:val="both"/>
        <w:rPr>
          <w:color w:val="auto"/>
        </w:rPr>
      </w:pPr>
      <w:r>
        <w:rPr>
          <w:rFonts w:hint="eastAsia" w:ascii="黑体" w:hAnsi="宋体" w:eastAsia="黑体" w:cs="黑体"/>
          <w:color w:val="auto"/>
          <w:sz w:val="36"/>
          <w:szCs w:val="36"/>
        </w:rPr>
        <w:t>评标方法与评标标准………………………</w:t>
      </w:r>
    </w:p>
    <w:p w14:paraId="6D203C59">
      <w:pPr>
        <w:pStyle w:val="10"/>
        <w:tabs>
          <w:tab w:val="left" w:pos="1441"/>
        </w:tabs>
        <w:spacing w:beforeAutospacing="0" w:afterAutospacing="0" w:line="480" w:lineRule="auto"/>
        <w:ind w:firstLine="720"/>
        <w:jc w:val="both"/>
        <w:rPr>
          <w:color w:val="auto"/>
        </w:rPr>
      </w:pPr>
      <w:r>
        <w:rPr>
          <w:rFonts w:hint="eastAsia" w:ascii="黑体" w:hAnsi="宋体" w:eastAsia="黑体" w:cs="黑体"/>
          <w:color w:val="auto"/>
          <w:sz w:val="36"/>
          <w:szCs w:val="36"/>
        </w:rPr>
        <w:t>投标文件格式………………………………</w:t>
      </w:r>
    </w:p>
    <w:p w14:paraId="64341C45">
      <w:pPr>
        <w:pStyle w:val="10"/>
        <w:spacing w:beforeAutospacing="0" w:afterAutospacing="0"/>
        <w:jc w:val="both"/>
        <w:rPr>
          <w:color w:val="auto"/>
        </w:rPr>
      </w:pPr>
      <w:r>
        <w:rPr>
          <w:color w:val="auto"/>
        </w:rPr>
        <w:t> </w:t>
      </w:r>
    </w:p>
    <w:p w14:paraId="16364196">
      <w:pPr>
        <w:pStyle w:val="10"/>
        <w:spacing w:beforeAutospacing="0" w:afterAutospacing="0"/>
        <w:jc w:val="both"/>
        <w:rPr>
          <w:color w:val="auto"/>
        </w:rPr>
      </w:pPr>
      <w:r>
        <w:rPr>
          <w:color w:val="auto"/>
        </w:rPr>
        <w:t> </w:t>
      </w:r>
    </w:p>
    <w:p w14:paraId="11556BE8">
      <w:pPr>
        <w:pStyle w:val="10"/>
        <w:spacing w:beforeAutospacing="0" w:afterAutospacing="0"/>
        <w:jc w:val="both"/>
        <w:rPr>
          <w:color w:val="auto"/>
        </w:rPr>
      </w:pPr>
      <w:r>
        <w:rPr>
          <w:color w:val="auto"/>
        </w:rPr>
        <w:t> </w:t>
      </w:r>
    </w:p>
    <w:p w14:paraId="7B29980D">
      <w:pPr>
        <w:pStyle w:val="10"/>
        <w:spacing w:beforeAutospacing="0" w:afterAutospacing="0"/>
        <w:jc w:val="both"/>
        <w:rPr>
          <w:color w:val="auto"/>
        </w:rPr>
      </w:pPr>
      <w:r>
        <w:rPr>
          <w:color w:val="auto"/>
        </w:rPr>
        <w:t> </w:t>
      </w:r>
    </w:p>
    <w:p w14:paraId="1611712B">
      <w:pPr>
        <w:pStyle w:val="10"/>
        <w:spacing w:beforeAutospacing="0" w:afterAutospacing="0"/>
        <w:jc w:val="both"/>
        <w:rPr>
          <w:color w:val="auto"/>
        </w:rPr>
      </w:pPr>
      <w:r>
        <w:rPr>
          <w:color w:val="auto"/>
        </w:rPr>
        <w:t> </w:t>
      </w:r>
    </w:p>
    <w:p w14:paraId="69FAA169">
      <w:pPr>
        <w:pStyle w:val="10"/>
        <w:spacing w:beforeAutospacing="0" w:afterAutospacing="0"/>
        <w:jc w:val="both"/>
        <w:rPr>
          <w:color w:val="auto"/>
        </w:rPr>
      </w:pPr>
      <w:r>
        <w:rPr>
          <w:color w:val="auto"/>
        </w:rPr>
        <w:t> </w:t>
      </w:r>
    </w:p>
    <w:p w14:paraId="4182AF71">
      <w:pPr>
        <w:pStyle w:val="10"/>
        <w:spacing w:beforeAutospacing="0" w:afterAutospacing="0"/>
        <w:jc w:val="both"/>
        <w:rPr>
          <w:color w:val="auto"/>
        </w:rPr>
      </w:pPr>
      <w:r>
        <w:rPr>
          <w:color w:val="auto"/>
        </w:rPr>
        <w:t> </w:t>
      </w:r>
    </w:p>
    <w:p w14:paraId="71654CC7">
      <w:pPr>
        <w:pStyle w:val="10"/>
        <w:spacing w:beforeAutospacing="0" w:afterAutospacing="0"/>
        <w:jc w:val="both"/>
        <w:rPr>
          <w:color w:val="auto"/>
        </w:rPr>
      </w:pPr>
      <w:r>
        <w:rPr>
          <w:color w:val="auto"/>
        </w:rPr>
        <w:t> </w:t>
      </w:r>
    </w:p>
    <w:p w14:paraId="04037430">
      <w:pPr>
        <w:pStyle w:val="10"/>
        <w:spacing w:beforeAutospacing="0" w:afterAutospacing="0"/>
        <w:jc w:val="both"/>
        <w:rPr>
          <w:color w:val="auto"/>
        </w:rPr>
      </w:pPr>
      <w:r>
        <w:rPr>
          <w:color w:val="auto"/>
        </w:rPr>
        <w:t> </w:t>
      </w:r>
    </w:p>
    <w:p w14:paraId="781B204C">
      <w:pPr>
        <w:pStyle w:val="10"/>
        <w:spacing w:beforeAutospacing="0" w:afterAutospacing="0"/>
        <w:jc w:val="both"/>
        <w:rPr>
          <w:color w:val="auto"/>
        </w:rPr>
      </w:pPr>
      <w:r>
        <w:rPr>
          <w:color w:val="auto"/>
        </w:rPr>
        <w:t> </w:t>
      </w:r>
    </w:p>
    <w:p w14:paraId="267F7F03">
      <w:pPr>
        <w:pStyle w:val="10"/>
        <w:spacing w:beforeAutospacing="0" w:afterAutospacing="0"/>
        <w:jc w:val="both"/>
        <w:rPr>
          <w:color w:val="auto"/>
        </w:rPr>
      </w:pPr>
      <w:r>
        <w:rPr>
          <w:color w:val="auto"/>
        </w:rPr>
        <w:t> </w:t>
      </w:r>
    </w:p>
    <w:p w14:paraId="27498963">
      <w:pPr>
        <w:pStyle w:val="10"/>
        <w:spacing w:beforeAutospacing="0" w:afterAutospacing="0"/>
        <w:jc w:val="both"/>
        <w:rPr>
          <w:color w:val="auto"/>
        </w:rPr>
      </w:pPr>
      <w:r>
        <w:rPr>
          <w:color w:val="auto"/>
        </w:rPr>
        <w:t> </w:t>
      </w:r>
    </w:p>
    <w:p w14:paraId="46A18BE9">
      <w:pPr>
        <w:pStyle w:val="10"/>
        <w:spacing w:beforeAutospacing="0" w:afterAutospacing="0"/>
        <w:jc w:val="both"/>
        <w:rPr>
          <w:color w:val="auto"/>
        </w:rPr>
      </w:pPr>
      <w:r>
        <w:rPr>
          <w:color w:val="auto"/>
        </w:rPr>
        <w:t> </w:t>
      </w:r>
    </w:p>
    <w:p w14:paraId="4328D0A4">
      <w:pPr>
        <w:pStyle w:val="10"/>
        <w:spacing w:beforeAutospacing="0" w:afterAutospacing="0"/>
        <w:jc w:val="both"/>
        <w:rPr>
          <w:color w:val="auto"/>
        </w:rPr>
      </w:pPr>
      <w:r>
        <w:rPr>
          <w:color w:val="auto"/>
        </w:rPr>
        <w:t> </w:t>
      </w:r>
    </w:p>
    <w:p w14:paraId="6222989F">
      <w:pPr>
        <w:pStyle w:val="10"/>
        <w:spacing w:beforeAutospacing="0" w:afterAutospacing="0"/>
        <w:jc w:val="both"/>
        <w:rPr>
          <w:color w:val="auto"/>
        </w:rPr>
      </w:pPr>
      <w:r>
        <w:rPr>
          <w:color w:val="auto"/>
        </w:rPr>
        <w:t> </w:t>
      </w:r>
    </w:p>
    <w:p w14:paraId="16612821">
      <w:pPr>
        <w:pStyle w:val="10"/>
        <w:spacing w:beforeAutospacing="0" w:afterAutospacing="0"/>
        <w:jc w:val="both"/>
        <w:rPr>
          <w:color w:val="auto"/>
        </w:rPr>
      </w:pPr>
      <w:r>
        <w:rPr>
          <w:color w:val="auto"/>
        </w:rPr>
        <w:t> </w:t>
      </w:r>
    </w:p>
    <w:p w14:paraId="34917203">
      <w:pPr>
        <w:pStyle w:val="10"/>
        <w:spacing w:beforeAutospacing="0" w:afterAutospacing="0"/>
        <w:jc w:val="both"/>
        <w:rPr>
          <w:color w:val="auto"/>
        </w:rPr>
      </w:pPr>
      <w:r>
        <w:rPr>
          <w:color w:val="auto"/>
        </w:rPr>
        <w:t> </w:t>
      </w:r>
    </w:p>
    <w:p w14:paraId="2132A022">
      <w:pPr>
        <w:pStyle w:val="10"/>
        <w:spacing w:beforeAutospacing="0" w:afterAutospacing="0"/>
        <w:jc w:val="both"/>
        <w:rPr>
          <w:color w:val="auto"/>
        </w:rPr>
      </w:pPr>
      <w:r>
        <w:rPr>
          <w:color w:val="auto"/>
        </w:rPr>
        <w:t> </w:t>
      </w:r>
    </w:p>
    <w:p w14:paraId="403C6B04">
      <w:pPr>
        <w:pStyle w:val="10"/>
        <w:spacing w:beforeAutospacing="0" w:afterAutospacing="0"/>
        <w:jc w:val="both"/>
        <w:rPr>
          <w:color w:val="auto"/>
        </w:rPr>
      </w:pPr>
      <w:r>
        <w:rPr>
          <w:color w:val="auto"/>
        </w:rPr>
        <w:t> </w:t>
      </w:r>
    </w:p>
    <w:p w14:paraId="4D3F100B">
      <w:pPr>
        <w:pStyle w:val="10"/>
        <w:spacing w:beforeAutospacing="0" w:afterAutospacing="0"/>
        <w:jc w:val="both"/>
        <w:rPr>
          <w:color w:val="auto"/>
        </w:rPr>
      </w:pPr>
      <w:r>
        <w:rPr>
          <w:color w:val="auto"/>
        </w:rPr>
        <w:t> </w:t>
      </w:r>
    </w:p>
    <w:p w14:paraId="7F92285B">
      <w:pPr>
        <w:pStyle w:val="10"/>
        <w:spacing w:beforeAutospacing="0" w:afterAutospacing="0"/>
        <w:jc w:val="both"/>
        <w:rPr>
          <w:color w:val="auto"/>
        </w:rPr>
      </w:pPr>
      <w:r>
        <w:rPr>
          <w:color w:val="auto"/>
        </w:rPr>
        <w:t> </w:t>
      </w:r>
    </w:p>
    <w:p w14:paraId="1D73C107">
      <w:pPr>
        <w:pStyle w:val="10"/>
        <w:spacing w:beforeAutospacing="0" w:afterAutospacing="0"/>
        <w:jc w:val="both"/>
        <w:rPr>
          <w:color w:val="auto"/>
        </w:rPr>
      </w:pPr>
      <w:r>
        <w:rPr>
          <w:color w:val="auto"/>
        </w:rPr>
        <w:t> </w:t>
      </w:r>
    </w:p>
    <w:p w14:paraId="726FF3B9">
      <w:pPr>
        <w:pStyle w:val="10"/>
        <w:spacing w:beforeAutospacing="0" w:afterAutospacing="0"/>
        <w:jc w:val="both"/>
        <w:rPr>
          <w:color w:val="auto"/>
        </w:rPr>
      </w:pPr>
      <w:r>
        <w:rPr>
          <w:color w:val="auto"/>
        </w:rPr>
        <w:t> </w:t>
      </w:r>
    </w:p>
    <w:p w14:paraId="2DA54E0E">
      <w:pPr>
        <w:pStyle w:val="10"/>
        <w:spacing w:beforeAutospacing="0" w:afterAutospacing="0"/>
        <w:jc w:val="both"/>
        <w:rPr>
          <w:color w:val="auto"/>
        </w:rPr>
      </w:pPr>
      <w:r>
        <w:rPr>
          <w:color w:val="auto"/>
        </w:rPr>
        <w:t> </w:t>
      </w:r>
    </w:p>
    <w:p w14:paraId="20FE1C4E">
      <w:pPr>
        <w:pStyle w:val="10"/>
        <w:spacing w:beforeAutospacing="0" w:afterAutospacing="0"/>
        <w:jc w:val="both"/>
        <w:rPr>
          <w:color w:val="auto"/>
        </w:rPr>
      </w:pPr>
      <w:r>
        <w:rPr>
          <w:color w:val="auto"/>
        </w:rPr>
        <w:t> </w:t>
      </w:r>
    </w:p>
    <w:p w14:paraId="2659AB6A">
      <w:pPr>
        <w:pStyle w:val="10"/>
        <w:spacing w:beforeAutospacing="0" w:afterAutospacing="0"/>
        <w:jc w:val="both"/>
        <w:rPr>
          <w:color w:val="auto"/>
        </w:rPr>
      </w:pPr>
      <w:r>
        <w:rPr>
          <w:color w:val="auto"/>
        </w:rPr>
        <w:t> </w:t>
      </w:r>
    </w:p>
    <w:p w14:paraId="485CAADD">
      <w:pPr>
        <w:pStyle w:val="10"/>
        <w:spacing w:beforeAutospacing="0" w:afterAutospacing="0"/>
        <w:jc w:val="both"/>
        <w:rPr>
          <w:color w:val="auto"/>
        </w:rPr>
      </w:pPr>
      <w:r>
        <w:rPr>
          <w:color w:val="auto"/>
        </w:rPr>
        <w:t> </w:t>
      </w:r>
    </w:p>
    <w:p w14:paraId="46154823">
      <w:pPr>
        <w:pStyle w:val="10"/>
        <w:keepNext/>
        <w:spacing w:beforeAutospacing="0" w:afterAutospacing="0"/>
        <w:ind w:firstLine="880"/>
        <w:jc w:val="center"/>
        <w:rPr>
          <w:rFonts w:eastAsia="黑体"/>
          <w:color w:val="auto"/>
        </w:rPr>
      </w:pPr>
      <w:r>
        <w:rPr>
          <w:rFonts w:hint="eastAsia" w:ascii="黑体" w:hAnsi="宋体" w:eastAsia="黑体" w:cs="黑体"/>
          <w:color w:val="auto"/>
          <w:sz w:val="44"/>
          <w:szCs w:val="44"/>
        </w:rPr>
        <w:t>第一章 招标公告</w:t>
      </w:r>
    </w:p>
    <w:p w14:paraId="3A37393B">
      <w:pPr>
        <w:pStyle w:val="10"/>
        <w:pBdr>
          <w:top w:val="single" w:color="000000" w:sz="4" w:space="0"/>
          <w:left w:val="single" w:color="000000" w:sz="4" w:space="0"/>
          <w:bottom w:val="single" w:color="000000" w:sz="4" w:space="0"/>
          <w:right w:val="single" w:color="000000" w:sz="4" w:space="0"/>
        </w:pBdr>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项目概况</w:t>
      </w:r>
    </w:p>
    <w:p w14:paraId="54A8B89E">
      <w:pPr>
        <w:pStyle w:val="10"/>
        <w:pBdr>
          <w:top w:val="single" w:color="000000" w:sz="4" w:space="0"/>
          <w:left w:val="single" w:color="000000" w:sz="4" w:space="0"/>
          <w:bottom w:val="single" w:color="000000" w:sz="4" w:space="0"/>
          <w:right w:val="single" w:color="000000" w:sz="4" w:space="0"/>
        </w:pBdr>
        <w:spacing w:beforeAutospacing="0" w:afterAutospacing="0" w:line="460" w:lineRule="exact"/>
        <w:ind w:firstLine="480" w:firstLineChars="200"/>
        <w:jc w:val="both"/>
        <w:rPr>
          <w:rFonts w:ascii="宋体" w:hAnsi="宋体" w:eastAsia="宋体" w:cs="宋体"/>
          <w:color w:val="auto"/>
        </w:rPr>
      </w:pPr>
      <w:r>
        <w:rPr>
          <w:rFonts w:hint="eastAsia" w:ascii="宋体" w:hAnsi="宋体"/>
          <w:color w:val="auto"/>
          <w:szCs w:val="21"/>
          <w:u w:val="single"/>
        </w:rPr>
        <w:t>盐城市卫生健康委员会2026年度医务人员海外研修服务项目</w:t>
      </w:r>
      <w:r>
        <w:rPr>
          <w:rFonts w:hint="eastAsia" w:ascii="宋体" w:hAnsi="宋体" w:eastAsia="宋体" w:cs="宋体"/>
          <w:color w:val="auto"/>
        </w:rPr>
        <w:t>招标项目的潜在投标人可在</w:t>
      </w:r>
      <w:r>
        <w:rPr>
          <w:rFonts w:hint="eastAsia" w:ascii="宋体" w:hAnsi="宋体" w:eastAsia="宋体" w:cs="宋体"/>
          <w:color w:val="auto"/>
          <w:shd w:val="clear" w:color="auto" w:fill="FFFFFF"/>
        </w:rPr>
        <w:t>“苏采云”系统内免费下载（投标人必须在苏采云系统中获取采购文件，方能参与政府采购项目） </w:t>
      </w:r>
      <w:r>
        <w:rPr>
          <w:rFonts w:hint="eastAsia" w:ascii="宋体" w:hAnsi="宋体" w:eastAsia="宋体" w:cs="宋体"/>
          <w:color w:val="auto"/>
        </w:rPr>
        <w:t>，并于</w:t>
      </w:r>
      <w:r>
        <w:rPr>
          <w:rFonts w:hint="eastAsia" w:ascii="宋体" w:hAnsi="宋体" w:eastAsia="宋体" w:cs="宋体"/>
          <w:color w:val="auto"/>
          <w:u w:val="single"/>
        </w:rPr>
        <w:t>2026年</w:t>
      </w:r>
      <w:r>
        <w:rPr>
          <w:rFonts w:hint="eastAsia" w:ascii="宋体" w:hAnsi="宋体" w:eastAsia="宋体" w:cs="宋体"/>
          <w:color w:val="auto"/>
          <w:u w:val="single"/>
          <w:lang w:eastAsia="zh-CN"/>
        </w:rPr>
        <w:t>8月6</w:t>
      </w:r>
      <w:r>
        <w:rPr>
          <w:rFonts w:hint="eastAsia" w:ascii="宋体" w:hAnsi="宋体" w:eastAsia="宋体" w:cs="宋体"/>
          <w:color w:val="auto"/>
          <w:u w:val="single"/>
        </w:rPr>
        <w:t>日09点00分（</w:t>
      </w:r>
      <w:r>
        <w:rPr>
          <w:rFonts w:hint="eastAsia" w:ascii="宋体" w:hAnsi="宋体" w:eastAsia="宋体" w:cs="宋体"/>
          <w:color w:val="auto"/>
        </w:rPr>
        <w:t>北京时间）前递交投标文件。</w:t>
      </w:r>
    </w:p>
    <w:p w14:paraId="5C0F5791">
      <w:pPr>
        <w:pStyle w:val="10"/>
        <w:keepNext/>
        <w:keepLines/>
        <w:spacing w:beforeAutospacing="0" w:afterAutospacing="0" w:line="460" w:lineRule="exact"/>
        <w:ind w:firstLine="482" w:firstLineChars="200"/>
        <w:jc w:val="both"/>
        <w:rPr>
          <w:rFonts w:ascii="宋体" w:hAnsi="宋体" w:eastAsia="宋体" w:cs="宋体"/>
          <w:color w:val="auto"/>
        </w:rPr>
      </w:pPr>
      <w:bookmarkStart w:id="6" w:name="_Toc28359002"/>
      <w:bookmarkStart w:id="7" w:name="_Hlk24379207"/>
      <w:bookmarkStart w:id="8" w:name="_Toc38985263"/>
      <w:bookmarkStart w:id="9" w:name="_Toc35393621"/>
      <w:bookmarkStart w:id="10" w:name="_Toc28359079"/>
      <w:bookmarkStart w:id="11" w:name="_Toc35393790"/>
      <w:r>
        <w:rPr>
          <w:rFonts w:hint="eastAsia" w:ascii="宋体" w:hAnsi="宋体" w:eastAsia="宋体" w:cs="宋体"/>
          <w:b/>
          <w:color w:val="auto"/>
        </w:rPr>
        <w:t>一、项目基本情况</w:t>
      </w:r>
      <w:bookmarkEnd w:id="6"/>
      <w:bookmarkEnd w:id="7"/>
      <w:bookmarkEnd w:id="8"/>
      <w:bookmarkEnd w:id="9"/>
      <w:bookmarkEnd w:id="10"/>
      <w:bookmarkEnd w:id="11"/>
    </w:p>
    <w:p w14:paraId="6E8C93EC">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1.项目编号：JSZC-320900-SZDL-G2026-0010</w:t>
      </w:r>
    </w:p>
    <w:p w14:paraId="724DA292">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2.项目名称：</w:t>
      </w:r>
      <w:r>
        <w:rPr>
          <w:rFonts w:hint="eastAsia" w:ascii="宋体" w:hAnsi="宋体"/>
          <w:color w:val="auto"/>
          <w:szCs w:val="21"/>
        </w:rPr>
        <w:t>盐城市卫生健康委员会2026年度医务人员海外研修服务项目</w:t>
      </w:r>
    </w:p>
    <w:p w14:paraId="35EBDC8A">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shd w:val="clear" w:color="auto" w:fill="FFFFFF"/>
        </w:rPr>
        <w:t>3.采购方式：公开招标</w:t>
      </w:r>
    </w:p>
    <w:p w14:paraId="1C72FFB9">
      <w:pPr>
        <w:pStyle w:val="10"/>
        <w:spacing w:beforeAutospacing="0" w:afterAutospacing="0" w:line="500" w:lineRule="exact"/>
        <w:ind w:firstLine="480" w:firstLineChars="200"/>
        <w:jc w:val="both"/>
        <w:rPr>
          <w:rFonts w:ascii="宋体" w:hAnsi="宋体" w:eastAsia="宋体" w:cs="宋体"/>
          <w:color w:val="auto"/>
        </w:rPr>
      </w:pPr>
      <w:r>
        <w:rPr>
          <w:rFonts w:hint="eastAsia" w:ascii="宋体" w:hAnsi="宋体" w:eastAsia="宋体" w:cs="宋体"/>
          <w:color w:val="auto"/>
          <w:shd w:val="clear" w:color="auto" w:fill="FFFFFF"/>
        </w:rPr>
        <w:t>4.预算金</w:t>
      </w:r>
      <w:r>
        <w:rPr>
          <w:rFonts w:hint="eastAsia" w:ascii="宋体" w:hAnsi="宋体" w:eastAsia="宋体" w:cs="宋体"/>
          <w:color w:val="auto"/>
        </w:rPr>
        <w:t>额：赴英国、</w:t>
      </w:r>
      <w:r>
        <w:rPr>
          <w:rFonts w:hint="eastAsia" w:ascii="宋体" w:eastAsia="宋体" w:cs="宋体"/>
          <w:color w:val="auto"/>
        </w:rPr>
        <w:t>意大利研修人员</w:t>
      </w:r>
      <w:r>
        <w:rPr>
          <w:rFonts w:hint="eastAsia" w:cs="宋体" w:asciiTheme="minorEastAsia" w:hAnsiTheme="minorEastAsia"/>
          <w:color w:val="auto"/>
        </w:rPr>
        <w:t>服务费用预算金额为人民币</w:t>
      </w:r>
      <w:r>
        <w:rPr>
          <w:rFonts w:cs="宋体" w:asciiTheme="minorEastAsia" w:hAnsiTheme="minorEastAsia"/>
          <w:bCs/>
          <w:color w:val="auto"/>
          <w:u w:val="single"/>
        </w:rPr>
        <w:t xml:space="preserve"> 9.0 </w:t>
      </w:r>
      <w:r>
        <w:rPr>
          <w:rFonts w:cs="宋体" w:asciiTheme="minorEastAsia" w:hAnsiTheme="minorEastAsia"/>
          <w:bCs/>
          <w:color w:val="auto"/>
        </w:rPr>
        <w:t>万</w:t>
      </w:r>
      <w:r>
        <w:rPr>
          <w:rFonts w:hint="eastAsia" w:cs="宋体" w:asciiTheme="minorEastAsia" w:hAnsiTheme="minorEastAsia"/>
          <w:bCs/>
          <w:color w:val="auto"/>
        </w:rPr>
        <w:t>元/人；</w:t>
      </w:r>
      <w:r>
        <w:rPr>
          <w:rFonts w:hint="eastAsia" w:ascii="宋体" w:hAnsi="宋体" w:eastAsia="宋体" w:cs="宋体"/>
          <w:color w:val="auto"/>
        </w:rPr>
        <w:t>赴</w:t>
      </w:r>
      <w:r>
        <w:rPr>
          <w:rFonts w:hint="eastAsia" w:ascii="宋体" w:eastAsia="宋体" w:cs="宋体"/>
          <w:color w:val="auto"/>
        </w:rPr>
        <w:t>美国研修人员</w:t>
      </w:r>
      <w:r>
        <w:rPr>
          <w:rFonts w:hint="eastAsia" w:cs="宋体" w:asciiTheme="minorEastAsia" w:hAnsiTheme="minorEastAsia"/>
          <w:color w:val="auto"/>
        </w:rPr>
        <w:t>服务费用预算金额为人民币</w:t>
      </w:r>
      <w:r>
        <w:rPr>
          <w:rFonts w:cs="宋体" w:asciiTheme="minorEastAsia" w:hAnsiTheme="minorEastAsia"/>
          <w:bCs/>
          <w:color w:val="auto"/>
          <w:u w:val="single"/>
        </w:rPr>
        <w:t xml:space="preserve"> 9.5</w:t>
      </w:r>
      <w:r>
        <w:rPr>
          <w:rFonts w:cs="宋体" w:asciiTheme="minorEastAsia" w:hAnsiTheme="minorEastAsia"/>
          <w:bCs/>
          <w:color w:val="auto"/>
        </w:rPr>
        <w:t>万</w:t>
      </w:r>
      <w:r>
        <w:rPr>
          <w:rFonts w:hint="eastAsia" w:cs="宋体" w:asciiTheme="minorEastAsia" w:hAnsiTheme="minorEastAsia"/>
          <w:bCs/>
          <w:color w:val="auto"/>
        </w:rPr>
        <w:t>元/人。</w:t>
      </w:r>
    </w:p>
    <w:p w14:paraId="7B27D76B">
      <w:pPr>
        <w:pStyle w:val="10"/>
        <w:spacing w:beforeAutospacing="0" w:afterAutospacing="0" w:line="500" w:lineRule="exact"/>
        <w:ind w:firstLine="480" w:firstLineChars="200"/>
        <w:jc w:val="both"/>
        <w:rPr>
          <w:rFonts w:ascii="宋体" w:hAnsi="宋体" w:eastAsia="宋体" w:cs="宋体"/>
          <w:color w:val="auto"/>
        </w:rPr>
      </w:pPr>
      <w:r>
        <w:rPr>
          <w:rFonts w:hint="eastAsia" w:ascii="宋体" w:hAnsi="宋体" w:eastAsia="宋体" w:cs="宋体"/>
          <w:color w:val="auto"/>
        </w:rPr>
        <w:t>5.</w:t>
      </w:r>
      <w:bookmarkStart w:id="12" w:name="OLE_LINK11"/>
      <w:bookmarkStart w:id="13" w:name="OLE_LINK10"/>
      <w:r>
        <w:rPr>
          <w:rFonts w:hint="eastAsia" w:ascii="宋体" w:hAnsi="宋体" w:eastAsia="宋体" w:cs="宋体"/>
          <w:color w:val="auto"/>
        </w:rPr>
        <w:t>最高限价：赴英国、</w:t>
      </w:r>
      <w:r>
        <w:rPr>
          <w:rFonts w:hint="eastAsia" w:ascii="宋体" w:eastAsia="宋体" w:cs="宋体"/>
          <w:color w:val="auto"/>
        </w:rPr>
        <w:t>意大利研修人员</w:t>
      </w:r>
      <w:r>
        <w:rPr>
          <w:rFonts w:hint="eastAsia" w:cs="宋体" w:asciiTheme="minorEastAsia" w:hAnsiTheme="minorEastAsia"/>
          <w:color w:val="auto"/>
        </w:rPr>
        <w:t>服务费用最高限价为人民币</w:t>
      </w:r>
      <w:r>
        <w:rPr>
          <w:rFonts w:cs="宋体" w:asciiTheme="minorEastAsia" w:hAnsiTheme="minorEastAsia"/>
          <w:bCs/>
          <w:color w:val="auto"/>
          <w:u w:val="single"/>
        </w:rPr>
        <w:t xml:space="preserve"> 9.0 </w:t>
      </w:r>
      <w:r>
        <w:rPr>
          <w:rFonts w:cs="宋体" w:asciiTheme="minorEastAsia" w:hAnsiTheme="minorEastAsia"/>
          <w:bCs/>
          <w:color w:val="auto"/>
        </w:rPr>
        <w:t>万</w:t>
      </w:r>
      <w:r>
        <w:rPr>
          <w:rFonts w:hint="eastAsia" w:cs="宋体" w:asciiTheme="minorEastAsia" w:hAnsiTheme="minorEastAsia"/>
          <w:bCs/>
          <w:color w:val="auto"/>
        </w:rPr>
        <w:t>元/人；</w:t>
      </w:r>
      <w:r>
        <w:rPr>
          <w:rFonts w:hint="eastAsia" w:ascii="宋体" w:hAnsi="宋体" w:eastAsia="宋体" w:cs="宋体"/>
          <w:color w:val="auto"/>
        </w:rPr>
        <w:t>赴</w:t>
      </w:r>
      <w:r>
        <w:rPr>
          <w:rFonts w:hint="eastAsia" w:ascii="宋体" w:eastAsia="宋体" w:cs="宋体"/>
          <w:color w:val="auto"/>
        </w:rPr>
        <w:t>美国研修人员</w:t>
      </w:r>
      <w:r>
        <w:rPr>
          <w:rFonts w:hint="eastAsia" w:cs="宋体" w:asciiTheme="minorEastAsia" w:hAnsiTheme="minorEastAsia"/>
          <w:color w:val="auto"/>
        </w:rPr>
        <w:t>服务费用最高限价为人民币</w:t>
      </w:r>
      <w:r>
        <w:rPr>
          <w:rFonts w:cs="宋体" w:asciiTheme="minorEastAsia" w:hAnsiTheme="minorEastAsia"/>
          <w:bCs/>
          <w:color w:val="auto"/>
          <w:u w:val="single"/>
        </w:rPr>
        <w:t xml:space="preserve"> 9.5</w:t>
      </w:r>
      <w:r>
        <w:rPr>
          <w:rFonts w:cs="宋体" w:asciiTheme="minorEastAsia" w:hAnsiTheme="minorEastAsia"/>
          <w:bCs/>
          <w:color w:val="auto"/>
        </w:rPr>
        <w:t>万</w:t>
      </w:r>
      <w:r>
        <w:rPr>
          <w:rFonts w:hint="eastAsia" w:cs="宋体" w:asciiTheme="minorEastAsia" w:hAnsiTheme="minorEastAsia"/>
          <w:bCs/>
          <w:color w:val="auto"/>
        </w:rPr>
        <w:t>元/人。</w:t>
      </w:r>
      <w:bookmarkEnd w:id="12"/>
      <w:bookmarkEnd w:id="13"/>
    </w:p>
    <w:p w14:paraId="2F3263F6">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6.采购需求：</w:t>
      </w:r>
      <w:r>
        <w:rPr>
          <w:rFonts w:hint="eastAsia" w:ascii="宋体" w:hAnsi="宋体"/>
          <w:color w:val="auto"/>
          <w:szCs w:val="21"/>
        </w:rPr>
        <w:t>盐城市卫生健康委员会2026年度医务人员海外研修服务项目，</w:t>
      </w:r>
      <w:r>
        <w:rPr>
          <w:rFonts w:hint="eastAsia" w:ascii="宋体" w:hAnsi="宋体" w:eastAsia="宋体" w:cs="宋体"/>
          <w:color w:val="auto"/>
        </w:rPr>
        <w:t>详细内容见本招标文件第四章。</w:t>
      </w:r>
    </w:p>
    <w:p w14:paraId="454D8868">
      <w:pPr>
        <w:pStyle w:val="10"/>
        <w:spacing w:beforeAutospacing="0" w:afterAutospacing="0" w:line="500" w:lineRule="exact"/>
        <w:ind w:firstLine="480" w:firstLineChars="200"/>
        <w:jc w:val="both"/>
        <w:rPr>
          <w:rFonts w:ascii="宋体" w:hAnsi="宋体" w:eastAsia="宋体" w:cs="宋体"/>
          <w:color w:val="auto"/>
        </w:rPr>
      </w:pPr>
      <w:r>
        <w:rPr>
          <w:rFonts w:hint="eastAsia" w:ascii="宋体" w:hAnsi="宋体" w:eastAsia="宋体" w:cs="宋体"/>
          <w:color w:val="auto"/>
        </w:rPr>
        <w:t>7.</w:t>
      </w:r>
      <w:bookmarkStart w:id="14" w:name="_Hlk229125418"/>
      <w:bookmarkStart w:id="15" w:name="OLE_LINK4"/>
      <w:bookmarkStart w:id="16" w:name="OLE_LINK5"/>
      <w:bookmarkStart w:id="17" w:name="OLE_LINK3"/>
      <w:r>
        <w:rPr>
          <w:rFonts w:hint="eastAsia" w:ascii="宋体" w:hAnsi="宋体" w:eastAsia="宋体" w:cs="宋体"/>
          <w:color w:val="auto"/>
        </w:rPr>
        <w:t>合同履行期限：3年</w:t>
      </w:r>
      <w:bookmarkEnd w:id="14"/>
    </w:p>
    <w:bookmarkEnd w:id="15"/>
    <w:bookmarkEnd w:id="16"/>
    <w:bookmarkEnd w:id="17"/>
    <w:p w14:paraId="52432C18">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8.本项目不接受联合体参与招标。</w:t>
      </w:r>
    </w:p>
    <w:p w14:paraId="0D95F988">
      <w:pPr>
        <w:pStyle w:val="10"/>
        <w:keepNext/>
        <w:keepLines/>
        <w:spacing w:beforeAutospacing="0" w:afterAutospacing="0" w:line="460" w:lineRule="exact"/>
        <w:ind w:firstLine="482" w:firstLineChars="200"/>
        <w:jc w:val="both"/>
        <w:rPr>
          <w:rFonts w:ascii="宋体" w:hAnsi="宋体" w:eastAsia="宋体" w:cs="宋体"/>
          <w:color w:val="auto"/>
        </w:rPr>
      </w:pPr>
      <w:bookmarkStart w:id="18" w:name="_Toc28359080"/>
      <w:bookmarkStart w:id="19" w:name="_Toc38985264"/>
      <w:bookmarkStart w:id="20" w:name="_Toc35393791"/>
      <w:bookmarkStart w:id="21" w:name="_Toc28359003"/>
      <w:bookmarkStart w:id="22" w:name="_Toc35393622"/>
      <w:r>
        <w:rPr>
          <w:rFonts w:hint="eastAsia" w:ascii="宋体" w:hAnsi="宋体" w:eastAsia="宋体" w:cs="宋体"/>
          <w:b/>
          <w:color w:val="auto"/>
        </w:rPr>
        <w:t>二、申请人的资格要求：</w:t>
      </w:r>
      <w:bookmarkEnd w:id="18"/>
      <w:bookmarkEnd w:id="19"/>
      <w:bookmarkEnd w:id="20"/>
      <w:bookmarkEnd w:id="21"/>
      <w:bookmarkEnd w:id="22"/>
    </w:p>
    <w:p w14:paraId="1D22B421">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1.满足《中华人民共和国政府采购法》第二十二条规定，并提供下列材料：</w:t>
      </w:r>
    </w:p>
    <w:p w14:paraId="3839587F">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1.1 法人或者其他组织的营业执照等证明文件，自然人的身份证明；</w:t>
      </w:r>
    </w:p>
    <w:p w14:paraId="747B7FCD">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1.2上一年度的财务状况报告（成立不满一年无需提供）；</w:t>
      </w:r>
    </w:p>
    <w:p w14:paraId="1459E6E0">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1.3具备履行合同所必需的设备和专业技术能力的书面声明；</w:t>
      </w:r>
    </w:p>
    <w:p w14:paraId="5312617D">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1905CC5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1.5参加政府采购活动前3年内在经营活动中没有重大违法记录的书面声明。</w:t>
      </w:r>
    </w:p>
    <w:p w14:paraId="48E03DAE">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1.6法律、行政法规规定的其他条件。</w:t>
      </w:r>
    </w:p>
    <w:p w14:paraId="359C15D0">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1.8单位负责人为同一人或者存在直接控股、管理关系的不同供应商，不得参加同一合同项下的政府采购活动。</w:t>
      </w:r>
    </w:p>
    <w:p w14:paraId="545634B1">
      <w:pPr>
        <w:widowControl/>
        <w:spacing w:line="520" w:lineRule="exact"/>
        <w:ind w:firstLine="480" w:firstLineChars="200"/>
        <w:rPr>
          <w:rFonts w:eastAsia="宋体"/>
          <w:b/>
          <w:bCs/>
          <w:color w:val="auto"/>
          <w:sz w:val="24"/>
          <w:szCs w:val="20"/>
        </w:rPr>
      </w:pPr>
      <w:r>
        <w:rPr>
          <w:rFonts w:hint="eastAsia"/>
          <w:color w:val="auto"/>
          <w:sz w:val="24"/>
          <w:szCs w:val="20"/>
        </w:rPr>
        <w:t>2.落实政府采购政策需满足的资格要求：本项目专门面向中小微企业采购，供应商应为中小</w:t>
      </w:r>
      <w:r>
        <w:rPr>
          <w:rFonts w:hint="eastAsia" w:ascii="宋体" w:hAnsi="宋体" w:eastAsia="宋体" w:cs="宋体"/>
          <w:color w:val="auto"/>
          <w:sz w:val="24"/>
          <w:szCs w:val="20"/>
        </w:rPr>
        <w:t>微企业或监狱企业或残疾人福利性单位。供应商需按照采购文件的要求提供相应的《中小企业声明函》。企业标准请参照《关于印发中小企业划型标准规定的通知》（工信部联企业[2011]300号）文件规定自行填写。</w:t>
      </w:r>
    </w:p>
    <w:p w14:paraId="6718CED0">
      <w:pPr>
        <w:pStyle w:val="10"/>
        <w:widowControl/>
        <w:shd w:val="clear" w:color="auto" w:fill="FFFFFF"/>
        <w:spacing w:beforeAutospacing="0" w:afterAutospacing="0" w:line="500" w:lineRule="exact"/>
        <w:ind w:firstLine="480" w:firstLineChars="200"/>
        <w:jc w:val="both"/>
        <w:rPr>
          <w:rFonts w:ascii="宋体" w:hAnsi="宋体" w:cs="宋体"/>
          <w:color w:val="auto"/>
        </w:rPr>
      </w:pPr>
      <w:r>
        <w:rPr>
          <w:rFonts w:hint="eastAsia" w:ascii="宋体" w:hAnsi="宋体" w:eastAsia="宋体" w:cs="宋体"/>
          <w:color w:val="auto"/>
        </w:rPr>
        <w:t>3.本项目的特定资格要求：</w:t>
      </w:r>
      <w:r>
        <w:rPr>
          <w:rFonts w:hint="eastAsia" w:ascii="宋体" w:hAnsi="宋体"/>
          <w:color w:val="auto"/>
          <w:szCs w:val="21"/>
        </w:rPr>
        <w:t>供应商须保证委托代理人、项目负责人为本单位的正式职工，投标时提供从2026年4月开始至投标截止之日当月至少1个月在本单位缴纳养老保险缴费记录证明。</w:t>
      </w:r>
    </w:p>
    <w:p w14:paraId="63754E56">
      <w:pPr>
        <w:pStyle w:val="10"/>
        <w:keepNext/>
        <w:keepLines/>
        <w:spacing w:beforeAutospacing="0" w:afterAutospacing="0" w:line="460" w:lineRule="exact"/>
        <w:ind w:firstLine="482" w:firstLineChars="200"/>
        <w:jc w:val="both"/>
        <w:rPr>
          <w:rFonts w:ascii="宋体" w:hAnsi="宋体" w:eastAsia="宋体" w:cs="宋体"/>
          <w:color w:val="auto"/>
        </w:rPr>
      </w:pPr>
      <w:r>
        <w:rPr>
          <w:rFonts w:hint="eastAsia" w:ascii="宋体" w:hAnsi="宋体" w:eastAsia="宋体" w:cs="宋体"/>
          <w:b/>
          <w:color w:val="auto"/>
        </w:rPr>
        <w:t>三、获取招标文件</w:t>
      </w:r>
    </w:p>
    <w:p w14:paraId="15F91AA5">
      <w:pPr>
        <w:widowControl/>
        <w:spacing w:line="460" w:lineRule="exact"/>
        <w:ind w:firstLine="480" w:firstLineChars="200"/>
        <w:jc w:val="left"/>
        <w:rPr>
          <w:rFonts w:ascii="宋体" w:hAnsi="宋体" w:eastAsia="宋体" w:cs="宋体"/>
          <w:color w:val="auto"/>
          <w:kern w:val="0"/>
          <w:sz w:val="24"/>
        </w:rPr>
      </w:pPr>
      <w:bookmarkStart w:id="23" w:name="_Toc28359005"/>
      <w:bookmarkStart w:id="24" w:name="_Toc35393793"/>
      <w:bookmarkStart w:id="25" w:name="_Toc38985266"/>
      <w:bookmarkStart w:id="26" w:name="_Toc28359082"/>
      <w:bookmarkStart w:id="27" w:name="_Toc35393624"/>
      <w:r>
        <w:rPr>
          <w:rFonts w:hint="eastAsia" w:ascii="宋体" w:hAnsi="宋体" w:eastAsia="宋体" w:cs="宋体"/>
          <w:color w:val="auto"/>
          <w:sz w:val="24"/>
        </w:rPr>
        <w:t>1.时间</w:t>
      </w:r>
      <w:r>
        <w:rPr>
          <w:rFonts w:hint="eastAsia" w:ascii="宋体" w:hAnsi="宋体" w:eastAsia="宋体" w:cs="宋体"/>
          <w:color w:val="auto"/>
          <w:kern w:val="0"/>
          <w:sz w:val="24"/>
        </w:rPr>
        <w:t>：</w:t>
      </w:r>
      <w:bookmarkEnd w:id="23"/>
      <w:bookmarkEnd w:id="24"/>
      <w:bookmarkEnd w:id="25"/>
      <w:bookmarkEnd w:id="26"/>
      <w:bookmarkEnd w:id="27"/>
      <w:r>
        <w:rPr>
          <w:rFonts w:hint="eastAsia" w:ascii="宋体" w:hAnsi="宋体" w:eastAsia="宋体" w:cs="宋体"/>
          <w:color w:val="auto"/>
          <w:kern w:val="0"/>
          <w:sz w:val="24"/>
        </w:rPr>
        <w:t>自招标文件公告发布之日起5个工作日。</w:t>
      </w:r>
    </w:p>
    <w:p w14:paraId="3FE7E4A2">
      <w:pPr>
        <w:widowControl/>
        <w:spacing w:line="460" w:lineRule="exact"/>
        <w:ind w:firstLine="480" w:firstLineChars="200"/>
        <w:jc w:val="left"/>
        <w:rPr>
          <w:rFonts w:ascii="宋体" w:hAnsi="宋体" w:eastAsia="宋体" w:cs="宋体"/>
          <w:color w:val="auto"/>
          <w:kern w:val="0"/>
          <w:sz w:val="24"/>
        </w:rPr>
      </w:pPr>
      <w:r>
        <w:rPr>
          <w:rFonts w:hint="eastAsia" w:ascii="宋体" w:hAnsi="宋体" w:eastAsia="宋体" w:cs="宋体"/>
          <w:color w:val="auto"/>
          <w:kern w:val="0"/>
          <w:sz w:val="24"/>
        </w:rPr>
        <w:t>2.地点：“苏采云”系统内免费下载（投标人必须在苏采云系统中获取采购文件，方能参与政府采购项目）；</w:t>
      </w:r>
    </w:p>
    <w:p w14:paraId="1CD7F0EF">
      <w:pPr>
        <w:widowControl/>
        <w:spacing w:line="460" w:lineRule="exact"/>
        <w:ind w:firstLine="480" w:firstLineChars="200"/>
        <w:jc w:val="left"/>
        <w:rPr>
          <w:rFonts w:ascii="宋体" w:hAnsi="宋体" w:eastAsia="宋体" w:cs="宋体"/>
          <w:color w:val="auto"/>
          <w:kern w:val="0"/>
          <w:sz w:val="24"/>
        </w:rPr>
      </w:pPr>
      <w:r>
        <w:rPr>
          <w:rFonts w:hint="eastAsia" w:ascii="宋体" w:hAnsi="宋体" w:eastAsia="宋体" w:cs="宋体"/>
          <w:color w:val="auto"/>
          <w:kern w:val="0"/>
          <w:sz w:val="24"/>
        </w:rPr>
        <w:t xml:space="preserve">3.方式：本项目采用网上注册登记方式。 </w:t>
      </w:r>
    </w:p>
    <w:p w14:paraId="31F3C5CF">
      <w:pPr>
        <w:widowControl/>
        <w:spacing w:line="460" w:lineRule="exact"/>
        <w:ind w:firstLine="480" w:firstLineChars="200"/>
        <w:jc w:val="left"/>
        <w:rPr>
          <w:rFonts w:ascii="宋体" w:hAnsi="宋体" w:eastAsia="宋体" w:cs="宋体"/>
          <w:color w:val="auto"/>
          <w:kern w:val="0"/>
          <w:sz w:val="24"/>
        </w:rPr>
      </w:pPr>
      <w:r>
        <w:rPr>
          <w:rFonts w:hint="eastAsia" w:ascii="宋体" w:hAnsi="宋体" w:eastAsia="宋体" w:cs="宋体"/>
          <w:color w:val="auto"/>
          <w:kern w:val="0"/>
          <w:sz w:val="24"/>
        </w:rPr>
        <w:t>4.售价：0元</w:t>
      </w:r>
    </w:p>
    <w:p w14:paraId="48944B76">
      <w:pPr>
        <w:pStyle w:val="10"/>
        <w:keepNext/>
        <w:keepLines/>
        <w:spacing w:beforeAutospacing="0" w:afterAutospacing="0" w:line="460" w:lineRule="exact"/>
        <w:ind w:firstLine="482" w:firstLineChars="200"/>
        <w:jc w:val="both"/>
        <w:rPr>
          <w:rFonts w:ascii="宋体" w:hAnsi="宋体" w:eastAsia="宋体" w:cs="宋体"/>
          <w:color w:val="auto"/>
        </w:rPr>
      </w:pPr>
      <w:r>
        <w:rPr>
          <w:rFonts w:hint="eastAsia" w:ascii="宋体" w:hAnsi="宋体" w:eastAsia="宋体" w:cs="宋体"/>
          <w:b/>
          <w:color w:val="auto"/>
        </w:rPr>
        <w:t>四、提交投标文件截止时间、开标时间和地点</w:t>
      </w:r>
    </w:p>
    <w:p w14:paraId="681BEBED">
      <w:pPr>
        <w:widowControl/>
        <w:spacing w:line="460" w:lineRule="exact"/>
        <w:ind w:firstLine="480" w:firstLineChars="200"/>
        <w:jc w:val="left"/>
        <w:rPr>
          <w:rFonts w:ascii="宋体" w:hAnsi="宋体" w:eastAsia="宋体" w:cs="宋体"/>
          <w:color w:val="auto"/>
          <w:kern w:val="0"/>
          <w:sz w:val="24"/>
        </w:rPr>
      </w:pPr>
      <w:r>
        <w:rPr>
          <w:rFonts w:hint="eastAsia" w:ascii="宋体" w:hAnsi="宋体" w:eastAsia="宋体" w:cs="宋体"/>
          <w:color w:val="auto"/>
          <w:sz w:val="24"/>
        </w:rPr>
        <w:t>1.</w:t>
      </w:r>
      <w:r>
        <w:rPr>
          <w:rFonts w:hint="eastAsia" w:ascii="宋体" w:hAnsi="宋体" w:eastAsia="宋体" w:cs="宋体"/>
          <w:color w:val="auto"/>
          <w:kern w:val="0"/>
          <w:sz w:val="24"/>
        </w:rPr>
        <w:t>时间：2026年</w:t>
      </w:r>
      <w:r>
        <w:rPr>
          <w:rFonts w:hint="eastAsia" w:eastAsia="宋体" w:cs="宋体" w:asciiTheme="minorEastAsia" w:hAnsiTheme="minorEastAsia"/>
          <w:color w:val="auto"/>
          <w:kern w:val="0"/>
          <w:sz w:val="24"/>
          <w:lang w:eastAsia="zh-CN"/>
        </w:rPr>
        <w:t>8月6</w:t>
      </w:r>
      <w:r>
        <w:rPr>
          <w:rFonts w:hint="eastAsia" w:cs="宋体" w:asciiTheme="minorEastAsia" w:hAnsiTheme="minorEastAsia"/>
          <w:color w:val="auto"/>
          <w:kern w:val="0"/>
          <w:sz w:val="24"/>
        </w:rPr>
        <w:t>日9点00分</w:t>
      </w:r>
      <w:r>
        <w:rPr>
          <w:rFonts w:hint="eastAsia" w:ascii="宋体" w:hAnsi="宋体" w:eastAsia="宋体" w:cs="宋体"/>
          <w:color w:val="auto"/>
          <w:kern w:val="0"/>
          <w:sz w:val="24"/>
        </w:rPr>
        <w:t>（北京时间）</w:t>
      </w:r>
    </w:p>
    <w:p w14:paraId="2DD14093">
      <w:pPr>
        <w:widowControl/>
        <w:spacing w:line="460" w:lineRule="exact"/>
        <w:ind w:firstLine="480" w:firstLineChars="200"/>
        <w:jc w:val="left"/>
        <w:rPr>
          <w:rFonts w:ascii="宋体" w:hAnsi="宋体" w:eastAsia="宋体" w:cs="宋体"/>
          <w:color w:val="auto"/>
          <w:kern w:val="0"/>
          <w:sz w:val="24"/>
        </w:rPr>
      </w:pPr>
      <w:r>
        <w:rPr>
          <w:rFonts w:hint="eastAsia" w:ascii="宋体" w:hAnsi="宋体" w:eastAsia="宋体" w:cs="宋体"/>
          <w:color w:val="auto"/>
          <w:kern w:val="0"/>
          <w:sz w:val="24"/>
        </w:rPr>
        <w:t>2.地点：苏采云“不见面”开标大厅。</w:t>
      </w:r>
    </w:p>
    <w:p w14:paraId="24E0C040">
      <w:pPr>
        <w:pStyle w:val="10"/>
        <w:keepNext/>
        <w:keepLines/>
        <w:spacing w:beforeAutospacing="0" w:afterAutospacing="0" w:line="460" w:lineRule="exact"/>
        <w:ind w:firstLine="482" w:firstLineChars="200"/>
        <w:jc w:val="both"/>
        <w:rPr>
          <w:rFonts w:ascii="宋体" w:hAnsi="宋体" w:eastAsia="宋体" w:cs="宋体"/>
          <w:color w:val="auto"/>
        </w:rPr>
      </w:pPr>
      <w:bookmarkStart w:id="28" w:name="_Toc38985267"/>
      <w:bookmarkStart w:id="29" w:name="_Toc28359084"/>
      <w:bookmarkStart w:id="30" w:name="_Toc28359007"/>
      <w:bookmarkStart w:id="31" w:name="_Toc35393625"/>
      <w:bookmarkStart w:id="32" w:name="_Toc35393794"/>
      <w:r>
        <w:rPr>
          <w:rFonts w:hint="eastAsia" w:ascii="宋体" w:hAnsi="宋体" w:eastAsia="宋体" w:cs="宋体"/>
          <w:b/>
          <w:color w:val="auto"/>
        </w:rPr>
        <w:t>五、公告期限</w:t>
      </w:r>
      <w:bookmarkEnd w:id="28"/>
      <w:bookmarkEnd w:id="29"/>
      <w:bookmarkEnd w:id="30"/>
      <w:bookmarkEnd w:id="31"/>
      <w:bookmarkEnd w:id="32"/>
    </w:p>
    <w:p w14:paraId="7C2197F9">
      <w:pPr>
        <w:pStyle w:val="10"/>
        <w:widowControl/>
        <w:shd w:val="clear" w:color="auto" w:fill="FFFFFF"/>
        <w:spacing w:beforeAutospacing="0" w:afterAutospacing="0" w:line="460" w:lineRule="exact"/>
        <w:ind w:firstLine="480" w:firstLineChars="200"/>
        <w:jc w:val="both"/>
        <w:rPr>
          <w:rFonts w:ascii="宋体" w:hAnsi="宋体" w:eastAsia="宋体" w:cs="宋体"/>
          <w:color w:val="auto"/>
          <w:shd w:val="clear" w:color="auto" w:fill="FFFFFF"/>
        </w:rPr>
      </w:pPr>
      <w:bookmarkStart w:id="33" w:name="_Toc38985268"/>
      <w:bookmarkStart w:id="34" w:name="_Toc35393626"/>
      <w:bookmarkStart w:id="35" w:name="_Toc35393795"/>
      <w:r>
        <w:rPr>
          <w:rFonts w:hint="eastAsia" w:ascii="宋体" w:hAnsi="宋体" w:eastAsia="宋体" w:cs="宋体"/>
          <w:color w:val="auto"/>
          <w:shd w:val="clear" w:color="auto" w:fill="FFFFFF"/>
        </w:rPr>
        <w:t>自本公告发布之日起5个工作日。</w:t>
      </w:r>
      <w:bookmarkEnd w:id="33"/>
      <w:bookmarkEnd w:id="34"/>
      <w:bookmarkEnd w:id="35"/>
    </w:p>
    <w:p w14:paraId="637476BB">
      <w:pPr>
        <w:pStyle w:val="10"/>
        <w:keepNext/>
        <w:keepLines/>
        <w:spacing w:beforeAutospacing="0" w:afterAutospacing="0" w:line="460" w:lineRule="exact"/>
        <w:ind w:firstLine="482" w:firstLineChars="200"/>
        <w:jc w:val="both"/>
        <w:rPr>
          <w:rFonts w:ascii="宋体" w:hAnsi="宋体" w:eastAsia="宋体" w:cs="宋体"/>
          <w:color w:val="auto"/>
        </w:rPr>
      </w:pPr>
      <w:r>
        <w:rPr>
          <w:rFonts w:hint="eastAsia" w:ascii="宋体" w:hAnsi="宋体" w:eastAsia="宋体" w:cs="宋体"/>
          <w:b/>
          <w:color w:val="auto"/>
        </w:rPr>
        <w:t>六、其他补充事宜</w:t>
      </w:r>
    </w:p>
    <w:p w14:paraId="76E58DE7">
      <w:pPr>
        <w:pStyle w:val="2"/>
        <w:widowControl/>
        <w:shd w:val="clear" w:color="auto" w:fill="FFFFFF"/>
        <w:spacing w:beforeAutospacing="0" w:afterAutospacing="0" w:line="460" w:lineRule="exact"/>
        <w:ind w:firstLine="480" w:firstLineChars="200"/>
        <w:jc w:val="both"/>
        <w:rPr>
          <w:rFonts w:hint="default" w:cs="宋体"/>
          <w:b w:val="0"/>
          <w:bCs w:val="0"/>
          <w:color w:val="auto"/>
          <w:sz w:val="24"/>
          <w:szCs w:val="24"/>
          <w:shd w:val="clear" w:color="auto" w:fill="FFFFFF"/>
        </w:rPr>
      </w:pPr>
      <w:bookmarkStart w:id="36" w:name="_Toc28359018"/>
      <w:r>
        <w:rPr>
          <w:rFonts w:cs="宋体"/>
          <w:b w:val="0"/>
          <w:bCs w:val="0"/>
          <w:color w:val="auto"/>
          <w:sz w:val="24"/>
          <w:szCs w:val="24"/>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7F977122">
      <w:pPr>
        <w:pStyle w:val="2"/>
        <w:widowControl/>
        <w:shd w:val="clear" w:color="auto" w:fill="FFFFFF"/>
        <w:spacing w:beforeAutospacing="0" w:afterAutospacing="0" w:line="460" w:lineRule="exact"/>
        <w:ind w:firstLine="480" w:firstLineChars="200"/>
        <w:jc w:val="both"/>
        <w:rPr>
          <w:rFonts w:hint="default" w:cs="宋体"/>
          <w:b w:val="0"/>
          <w:bCs w:val="0"/>
          <w:color w:val="auto"/>
          <w:sz w:val="24"/>
          <w:szCs w:val="24"/>
          <w:shd w:val="clear" w:color="auto" w:fill="FFFFFF"/>
        </w:rPr>
      </w:pPr>
      <w:r>
        <w:rPr>
          <w:rFonts w:cs="宋体"/>
          <w:b w:val="0"/>
          <w:bCs w:val="0"/>
          <w:color w:val="auto"/>
          <w:sz w:val="24"/>
          <w:szCs w:val="24"/>
          <w:shd w:val="clear" w:color="auto" w:fill="FFFFFF"/>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75729D56">
      <w:pPr>
        <w:pStyle w:val="2"/>
        <w:widowControl/>
        <w:shd w:val="clear" w:color="auto" w:fill="FFFFFF"/>
        <w:spacing w:beforeAutospacing="0" w:afterAutospacing="0" w:line="460" w:lineRule="exact"/>
        <w:ind w:firstLine="480" w:firstLineChars="200"/>
        <w:jc w:val="both"/>
        <w:rPr>
          <w:rFonts w:hint="default" w:cs="宋体"/>
          <w:b w:val="0"/>
          <w:bCs w:val="0"/>
          <w:color w:val="auto"/>
          <w:sz w:val="24"/>
          <w:szCs w:val="24"/>
          <w:shd w:val="clear" w:color="auto" w:fill="FFFFFF"/>
        </w:rPr>
      </w:pPr>
      <w:r>
        <w:rPr>
          <w:rFonts w:cs="宋体"/>
          <w:b w:val="0"/>
          <w:bCs w:val="0"/>
          <w:color w:val="auto"/>
          <w:sz w:val="24"/>
          <w:szCs w:val="24"/>
          <w:shd w:val="clear" w:color="auto" w:fill="FFFFFF"/>
        </w:rPr>
        <w:t xml:space="preserve">2.潜在供应商访问电子招标响应交易平台的网络地址和方法： </w:t>
      </w:r>
    </w:p>
    <w:p w14:paraId="11064A50">
      <w:pPr>
        <w:pStyle w:val="2"/>
        <w:widowControl/>
        <w:shd w:val="clear" w:color="auto" w:fill="FFFFFF"/>
        <w:spacing w:beforeAutospacing="0" w:afterAutospacing="0" w:line="460" w:lineRule="exact"/>
        <w:ind w:firstLine="480" w:firstLineChars="200"/>
        <w:jc w:val="both"/>
        <w:rPr>
          <w:rFonts w:hint="default" w:cs="宋体"/>
          <w:b w:val="0"/>
          <w:bCs w:val="0"/>
          <w:color w:val="auto"/>
          <w:sz w:val="24"/>
          <w:szCs w:val="24"/>
          <w:shd w:val="clear" w:color="auto" w:fill="FFFFFF"/>
        </w:rPr>
      </w:pPr>
      <w:r>
        <w:rPr>
          <w:rFonts w:cs="宋体"/>
          <w:b w:val="0"/>
          <w:bCs w:val="0"/>
          <w:color w:val="auto"/>
          <w:sz w:val="24"/>
          <w:szCs w:val="24"/>
          <w:shd w:val="clear" w:color="auto" w:fill="FFFFFF"/>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FCBC11E">
      <w:pPr>
        <w:pStyle w:val="2"/>
        <w:widowControl/>
        <w:shd w:val="clear" w:color="auto" w:fill="FFFFFF"/>
        <w:spacing w:beforeAutospacing="0" w:afterAutospacing="0" w:line="460" w:lineRule="exact"/>
        <w:ind w:firstLine="480" w:firstLineChars="200"/>
        <w:jc w:val="both"/>
        <w:rPr>
          <w:rFonts w:hint="default" w:cs="宋体"/>
          <w:b w:val="0"/>
          <w:bCs w:val="0"/>
          <w:color w:val="auto"/>
          <w:sz w:val="24"/>
          <w:szCs w:val="24"/>
          <w:shd w:val="clear" w:color="auto" w:fill="FFFFFF"/>
        </w:rPr>
      </w:pPr>
      <w:r>
        <w:rPr>
          <w:rFonts w:cs="宋体"/>
          <w:b w:val="0"/>
          <w:bCs w:val="0"/>
          <w:color w:val="auto"/>
          <w:sz w:val="24"/>
          <w:szCs w:val="24"/>
          <w:shd w:val="clear" w:color="auto" w:fill="FFFFFF"/>
        </w:rPr>
        <w:t xml:space="preserve">2.2潜在投标人访问“苏采云”系统方法：江苏省政府采购网首页-“苏采云”链接。 </w:t>
      </w:r>
    </w:p>
    <w:p w14:paraId="590570EA">
      <w:pPr>
        <w:pStyle w:val="2"/>
        <w:widowControl/>
        <w:shd w:val="clear" w:color="auto" w:fill="FFFFFF"/>
        <w:spacing w:beforeAutospacing="0" w:afterAutospacing="0" w:line="460" w:lineRule="exact"/>
        <w:ind w:firstLine="480" w:firstLineChars="200"/>
        <w:jc w:val="both"/>
        <w:rPr>
          <w:rFonts w:hint="default" w:cs="宋体"/>
          <w:b w:val="0"/>
          <w:bCs w:val="0"/>
          <w:color w:val="auto"/>
          <w:sz w:val="24"/>
          <w:szCs w:val="24"/>
          <w:shd w:val="clear" w:color="auto" w:fill="FFFFFF"/>
        </w:rPr>
      </w:pPr>
      <w:r>
        <w:rPr>
          <w:rFonts w:cs="宋体"/>
          <w:b w:val="0"/>
          <w:bCs w:val="0"/>
          <w:color w:val="auto"/>
          <w:sz w:val="24"/>
          <w:szCs w:val="24"/>
          <w:shd w:val="clear" w:color="auto" w:fill="FFFFFF"/>
        </w:rPr>
        <w:t xml:space="preserve">2.3采购文件（后缀名为“.kedt”）、供应商操作手册及政府采购客户端 工具可通过“苏采云”系统相应链接进行下载。 </w:t>
      </w:r>
    </w:p>
    <w:p w14:paraId="0DD60473">
      <w:pPr>
        <w:pStyle w:val="2"/>
        <w:widowControl/>
        <w:shd w:val="clear" w:color="auto" w:fill="FFFFFF"/>
        <w:spacing w:beforeAutospacing="0" w:afterAutospacing="0" w:line="460" w:lineRule="exact"/>
        <w:ind w:firstLine="480" w:firstLineChars="200"/>
        <w:jc w:val="both"/>
        <w:rPr>
          <w:rFonts w:hint="default" w:cs="宋体"/>
          <w:b w:val="0"/>
          <w:bCs w:val="0"/>
          <w:color w:val="auto"/>
          <w:sz w:val="24"/>
          <w:szCs w:val="24"/>
          <w:shd w:val="clear" w:color="auto" w:fill="FFFFFF"/>
        </w:rPr>
      </w:pPr>
      <w:r>
        <w:rPr>
          <w:rFonts w:cs="宋体"/>
          <w:b w:val="0"/>
          <w:bCs w:val="0"/>
          <w:color w:val="auto"/>
          <w:sz w:val="24"/>
          <w:szCs w:val="24"/>
          <w:shd w:val="clear" w:color="auto" w:fill="FFFFFF"/>
        </w:rPr>
        <w:t xml:space="preserve">2.4采购代理机构将数据电文形式的采购文件加载至“苏采云”系统，供潜在供应商下载或者查阅。 </w:t>
      </w:r>
    </w:p>
    <w:p w14:paraId="640D1C57">
      <w:pPr>
        <w:pStyle w:val="2"/>
        <w:widowControl/>
        <w:shd w:val="clear" w:color="auto" w:fill="FFFFFF"/>
        <w:spacing w:beforeAutospacing="0" w:afterAutospacing="0" w:line="460" w:lineRule="exact"/>
        <w:ind w:firstLine="480" w:firstLineChars="200"/>
        <w:jc w:val="both"/>
        <w:rPr>
          <w:rFonts w:hint="default" w:cs="宋体"/>
          <w:b w:val="0"/>
          <w:bCs w:val="0"/>
          <w:color w:val="auto"/>
          <w:sz w:val="24"/>
          <w:szCs w:val="24"/>
          <w:shd w:val="clear" w:color="auto" w:fill="FFFFFF"/>
        </w:rPr>
      </w:pPr>
      <w:r>
        <w:rPr>
          <w:rFonts w:cs="宋体"/>
          <w:b w:val="0"/>
          <w:bCs w:val="0"/>
          <w:color w:val="auto"/>
          <w:sz w:val="24"/>
          <w:szCs w:val="24"/>
          <w:shd w:val="clear" w:color="auto" w:fill="FFFFFF"/>
        </w:rPr>
        <w:t xml:space="preserve">2.5请潜在投标单位提前安装相应的控件（详见《“苏采云”系统供应商操作手册》）并使用谷歌浏览器登录“苏采云”系统参与不见面开评标。 </w:t>
      </w:r>
    </w:p>
    <w:p w14:paraId="1F581CA7">
      <w:pPr>
        <w:pStyle w:val="2"/>
        <w:widowControl/>
        <w:shd w:val="clear" w:color="auto" w:fill="FFFFFF"/>
        <w:spacing w:beforeAutospacing="0" w:afterAutospacing="0" w:line="460" w:lineRule="exact"/>
        <w:ind w:firstLine="480" w:firstLineChars="200"/>
        <w:jc w:val="both"/>
        <w:rPr>
          <w:rFonts w:hint="default" w:cs="宋体"/>
          <w:b w:val="0"/>
          <w:bCs w:val="0"/>
          <w:color w:val="auto"/>
          <w:sz w:val="24"/>
          <w:szCs w:val="24"/>
          <w:shd w:val="clear" w:color="auto" w:fill="FFFFFF"/>
        </w:rPr>
      </w:pPr>
      <w:r>
        <w:rPr>
          <w:rFonts w:cs="宋体"/>
          <w:b w:val="0"/>
          <w:bCs w:val="0"/>
          <w:color w:val="auto"/>
          <w:sz w:val="24"/>
          <w:szCs w:val="24"/>
          <w:shd w:val="clear" w:color="auto" w:fill="FFFFFF"/>
        </w:rPr>
        <w:t>如潜在投标人未按上述要求操作，将自行承担所产生的风险。</w:t>
      </w:r>
    </w:p>
    <w:p w14:paraId="4379C012">
      <w:pPr>
        <w:pStyle w:val="2"/>
        <w:widowControl/>
        <w:shd w:val="clear" w:color="auto" w:fill="FFFFFF"/>
        <w:spacing w:beforeAutospacing="0" w:afterAutospacing="0" w:line="460" w:lineRule="exact"/>
        <w:ind w:firstLine="480" w:firstLineChars="200"/>
        <w:jc w:val="both"/>
        <w:rPr>
          <w:rFonts w:hint="default" w:cs="宋体"/>
          <w:b w:val="0"/>
          <w:bCs w:val="0"/>
          <w:color w:val="auto"/>
          <w:sz w:val="24"/>
          <w:szCs w:val="24"/>
          <w:shd w:val="clear" w:color="auto" w:fill="FFFFFF"/>
        </w:rPr>
      </w:pPr>
      <w:r>
        <w:rPr>
          <w:rFonts w:cs="宋体"/>
          <w:b w:val="0"/>
          <w:bCs w:val="0"/>
          <w:color w:val="auto"/>
          <w:sz w:val="24"/>
          <w:szCs w:val="24"/>
          <w:shd w:val="clear" w:color="auto" w:fill="FFFFFF"/>
        </w:rPr>
        <w:t>3.有关本次招标的事项若存在变动或修改，敬请及时关注采购代理机构在“中国政府采购网”、“江苏政府采购网”、“盐城市政府采购网”发布的更正公告。</w:t>
      </w:r>
    </w:p>
    <w:p w14:paraId="642F3002">
      <w:pPr>
        <w:pStyle w:val="2"/>
        <w:widowControl/>
        <w:shd w:val="clear" w:color="auto" w:fill="FFFFFF"/>
        <w:spacing w:beforeAutospacing="0" w:afterAutospacing="0" w:line="460" w:lineRule="exact"/>
        <w:ind w:firstLine="480" w:firstLineChars="200"/>
        <w:jc w:val="both"/>
        <w:rPr>
          <w:rFonts w:hint="default" w:cs="宋体"/>
          <w:b w:val="0"/>
          <w:bCs w:val="0"/>
          <w:color w:val="auto"/>
          <w:sz w:val="24"/>
          <w:szCs w:val="24"/>
          <w:shd w:val="clear" w:color="auto" w:fill="FFFFFF"/>
        </w:rPr>
      </w:pPr>
      <w:r>
        <w:rPr>
          <w:rFonts w:cs="宋体"/>
          <w:b w:val="0"/>
          <w:bCs w:val="0"/>
          <w:color w:val="auto"/>
          <w:sz w:val="24"/>
          <w:szCs w:val="24"/>
          <w:shd w:val="clear" w:color="auto" w:fill="FFFFFF"/>
        </w:rPr>
        <w:t>4.本次招标不收取投标保证金，不收取质量保证金。</w:t>
      </w:r>
    </w:p>
    <w:p w14:paraId="5BFADC70">
      <w:pPr>
        <w:pStyle w:val="2"/>
        <w:widowControl/>
        <w:shd w:val="clear" w:color="auto" w:fill="FFFFFF"/>
        <w:spacing w:beforeAutospacing="0" w:afterAutospacing="0" w:line="460" w:lineRule="exact"/>
        <w:ind w:firstLine="480" w:firstLineChars="200"/>
        <w:jc w:val="both"/>
        <w:rPr>
          <w:rFonts w:hint="default" w:cs="宋体"/>
          <w:b w:val="0"/>
          <w:bCs w:val="0"/>
          <w:color w:val="auto"/>
          <w:sz w:val="24"/>
          <w:szCs w:val="24"/>
        </w:rPr>
      </w:pPr>
      <w:r>
        <w:rPr>
          <w:rFonts w:cs="宋体"/>
          <w:b w:val="0"/>
          <w:bCs w:val="0"/>
          <w:color w:val="auto"/>
          <w:sz w:val="24"/>
          <w:szCs w:val="24"/>
          <w:shd w:val="clear" w:color="auto" w:fill="FFFFFF"/>
        </w:rPr>
        <w:t>七、对本次招标提出询问，请按以下方式联系。</w:t>
      </w:r>
      <w:bookmarkEnd w:id="36"/>
    </w:p>
    <w:p w14:paraId="0D2BFE3A">
      <w:pPr>
        <w:pStyle w:val="10"/>
        <w:widowControl/>
        <w:shd w:val="clear" w:color="auto" w:fill="FFFFFF"/>
        <w:spacing w:beforeAutospacing="0" w:afterAutospacing="0" w:line="460" w:lineRule="exact"/>
        <w:ind w:firstLine="480" w:firstLineChars="200"/>
        <w:jc w:val="both"/>
        <w:rPr>
          <w:rFonts w:ascii="宋体" w:hAnsi="宋体" w:eastAsia="宋体" w:cs="宋体"/>
          <w:color w:val="auto"/>
          <w:shd w:val="clear" w:color="auto" w:fill="FFFFFF"/>
        </w:rPr>
      </w:pPr>
      <w:bookmarkStart w:id="37" w:name="_Toc28359009"/>
      <w:r>
        <w:rPr>
          <w:rFonts w:hint="eastAsia" w:ascii="宋体" w:hAnsi="宋体" w:eastAsia="宋体" w:cs="宋体"/>
          <w:color w:val="auto"/>
          <w:shd w:val="clear" w:color="auto" w:fill="FFFFFF"/>
        </w:rPr>
        <w:t>1.采购人信息</w:t>
      </w:r>
    </w:p>
    <w:p w14:paraId="6A019226">
      <w:pPr>
        <w:pStyle w:val="10"/>
        <w:widowControl/>
        <w:shd w:val="clear" w:color="auto" w:fill="FFFFFF"/>
        <w:spacing w:beforeAutospacing="0" w:afterAutospacing="0" w:line="500" w:lineRule="exact"/>
        <w:ind w:firstLine="480" w:firstLineChars="200"/>
        <w:jc w:val="both"/>
        <w:rPr>
          <w:rFonts w:ascii="宋体" w:hAnsi="宋体" w:eastAsia="宋体" w:cs="宋体"/>
          <w:color w:val="auto"/>
        </w:rPr>
      </w:pPr>
      <w:r>
        <w:rPr>
          <w:rFonts w:hint="eastAsia" w:ascii="宋体" w:hAnsi="宋体" w:eastAsia="宋体" w:cs="宋体"/>
          <w:color w:val="auto"/>
        </w:rPr>
        <w:t>名 称：</w:t>
      </w:r>
      <w:r>
        <w:rPr>
          <w:rFonts w:hint="eastAsia" w:ascii="宋体" w:hAnsi="宋体" w:cs="宋体"/>
          <w:color w:val="auto"/>
          <w:szCs w:val="21"/>
          <w:shd w:val="clear" w:color="auto" w:fill="FFFFFF"/>
          <w:lang w:bidi="ar"/>
        </w:rPr>
        <w:t>盐城市卫生健康委员会</w:t>
      </w:r>
      <w:r>
        <w:rPr>
          <w:rFonts w:hint="eastAsia" w:ascii="宋体" w:hAnsi="宋体" w:eastAsia="宋体" w:cs="宋体"/>
          <w:color w:val="auto"/>
        </w:rPr>
        <w:t xml:space="preserve">  </w:t>
      </w:r>
    </w:p>
    <w:p w14:paraId="77B660B9">
      <w:pPr>
        <w:pStyle w:val="10"/>
        <w:widowControl/>
        <w:shd w:val="clear" w:color="auto" w:fill="FFFFFF"/>
        <w:spacing w:beforeAutospacing="0" w:afterAutospacing="0" w:line="500" w:lineRule="exact"/>
        <w:ind w:firstLine="480" w:firstLineChars="200"/>
        <w:jc w:val="both"/>
        <w:rPr>
          <w:rFonts w:ascii="宋体" w:hAnsi="宋体" w:eastAsia="宋体" w:cs="宋体"/>
          <w:color w:val="auto"/>
        </w:rPr>
      </w:pPr>
      <w:r>
        <w:rPr>
          <w:rFonts w:hint="eastAsia" w:ascii="宋体" w:hAnsi="宋体" w:eastAsia="宋体" w:cs="宋体"/>
          <w:color w:val="auto"/>
        </w:rPr>
        <w:t>地址：</w:t>
      </w:r>
      <w:r>
        <w:rPr>
          <w:rFonts w:hint="eastAsia" w:ascii="宋体" w:hAnsi="宋体" w:cs="宋体"/>
          <w:color w:val="auto"/>
          <w:szCs w:val="21"/>
          <w:shd w:val="clear" w:color="auto" w:fill="FFFFFF"/>
          <w:lang w:bidi="ar"/>
        </w:rPr>
        <w:t>盐城市开发大道北路39号</w:t>
      </w:r>
      <w:r>
        <w:rPr>
          <w:rFonts w:hint="eastAsia" w:ascii="宋体" w:hAnsi="宋体" w:eastAsia="宋体" w:cs="宋体"/>
          <w:color w:val="auto"/>
        </w:rPr>
        <w:t xml:space="preserve">  </w:t>
      </w:r>
    </w:p>
    <w:p w14:paraId="3FDCA078">
      <w:pPr>
        <w:pStyle w:val="10"/>
        <w:widowControl/>
        <w:shd w:val="clear" w:color="auto" w:fill="FFFFFF"/>
        <w:spacing w:beforeAutospacing="0" w:afterAutospacing="0" w:line="460" w:lineRule="exact"/>
        <w:ind w:firstLine="480" w:firstLineChars="20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联系人：陈先生                </w:t>
      </w:r>
    </w:p>
    <w:p w14:paraId="060E616F">
      <w:pPr>
        <w:pStyle w:val="10"/>
        <w:widowControl/>
        <w:shd w:val="clear" w:color="auto" w:fill="FFFFFF"/>
        <w:spacing w:beforeAutospacing="0" w:afterAutospacing="0" w:line="460" w:lineRule="exact"/>
        <w:ind w:firstLine="480" w:firstLineChars="20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联系方式：0515-88336050            </w:t>
      </w:r>
    </w:p>
    <w:p w14:paraId="0213576D">
      <w:pPr>
        <w:pStyle w:val="10"/>
        <w:widowControl/>
        <w:shd w:val="clear" w:color="auto" w:fill="FFFFFF"/>
        <w:spacing w:beforeAutospacing="0" w:afterAutospacing="0" w:line="460" w:lineRule="exact"/>
        <w:ind w:firstLine="480" w:firstLineChars="20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2.采购代理机构信息</w:t>
      </w:r>
    </w:p>
    <w:p w14:paraId="0C05E702">
      <w:pPr>
        <w:pStyle w:val="10"/>
        <w:widowControl/>
        <w:shd w:val="clear" w:color="auto" w:fill="FFFFFF"/>
        <w:spacing w:beforeAutospacing="0" w:afterAutospacing="0" w:line="500" w:lineRule="exact"/>
        <w:ind w:firstLine="480" w:firstLineChars="200"/>
        <w:jc w:val="both"/>
        <w:rPr>
          <w:rFonts w:ascii="宋体" w:hAnsi="宋体" w:eastAsia="宋体" w:cs="宋体"/>
          <w:color w:val="auto"/>
        </w:rPr>
      </w:pPr>
      <w:bookmarkStart w:id="38" w:name="_Toc28359021"/>
      <w:r>
        <w:rPr>
          <w:rFonts w:hint="eastAsia" w:ascii="宋体" w:hAnsi="宋体" w:eastAsia="宋体" w:cs="宋体"/>
          <w:color w:val="auto"/>
        </w:rPr>
        <w:t>名 称：盐城市招标代理有限公司</w:t>
      </w:r>
    </w:p>
    <w:p w14:paraId="59D1675B">
      <w:pPr>
        <w:pStyle w:val="10"/>
        <w:widowControl/>
        <w:shd w:val="clear" w:color="auto" w:fill="FFFFFF"/>
        <w:spacing w:beforeAutospacing="0" w:afterAutospacing="0" w:line="500" w:lineRule="exact"/>
        <w:ind w:firstLine="480" w:firstLineChars="200"/>
        <w:jc w:val="both"/>
        <w:rPr>
          <w:rFonts w:ascii="宋体" w:hAnsi="宋体" w:eastAsia="宋体" w:cs="宋体"/>
          <w:color w:val="auto"/>
        </w:rPr>
      </w:pPr>
      <w:r>
        <w:rPr>
          <w:rFonts w:hint="eastAsia" w:ascii="宋体" w:hAnsi="宋体" w:eastAsia="宋体" w:cs="宋体"/>
          <w:color w:val="auto"/>
        </w:rPr>
        <w:t>地 址：</w:t>
      </w:r>
      <w:r>
        <w:rPr>
          <w:rFonts w:hint="eastAsia" w:cs="宋体" w:asciiTheme="minorEastAsia" w:hAnsiTheme="minorEastAsia"/>
          <w:color w:val="auto"/>
        </w:rPr>
        <w:t>盐城市青年路钱江财富广场西区A座4楼</w:t>
      </w:r>
    </w:p>
    <w:p w14:paraId="76F7D97B">
      <w:pPr>
        <w:pStyle w:val="10"/>
        <w:widowControl/>
        <w:shd w:val="clear" w:color="auto" w:fill="FFFFFF"/>
        <w:spacing w:beforeAutospacing="0" w:afterAutospacing="0" w:line="500" w:lineRule="exact"/>
        <w:ind w:firstLine="480" w:firstLineChars="200"/>
        <w:jc w:val="both"/>
        <w:rPr>
          <w:rFonts w:ascii="宋体" w:hAnsi="宋体" w:eastAsia="宋体" w:cs="宋体"/>
          <w:color w:val="auto"/>
        </w:rPr>
      </w:pPr>
      <w:r>
        <w:rPr>
          <w:rFonts w:hint="eastAsia" w:ascii="宋体" w:hAnsi="宋体" w:eastAsia="宋体" w:cs="宋体"/>
          <w:color w:val="auto"/>
        </w:rPr>
        <w:t>联系人：</w:t>
      </w:r>
      <w:r>
        <w:rPr>
          <w:rFonts w:hint="eastAsia" w:ascii="宋体" w:hAnsi="宋体" w:cs="宋体"/>
          <w:color w:val="auto"/>
          <w:szCs w:val="21"/>
          <w:shd w:val="clear" w:color="auto" w:fill="FFFFFF"/>
          <w:lang w:bidi="ar"/>
        </w:rPr>
        <w:t>吴满霞</w:t>
      </w:r>
      <w:r>
        <w:rPr>
          <w:rFonts w:hint="eastAsia" w:ascii="宋体" w:hAnsi="宋体" w:eastAsia="宋体" w:cs="宋体"/>
          <w:color w:val="auto"/>
        </w:rPr>
        <w:t xml:space="preserve">                     </w:t>
      </w:r>
    </w:p>
    <w:p w14:paraId="733ED21A">
      <w:pPr>
        <w:pStyle w:val="10"/>
        <w:widowControl/>
        <w:shd w:val="clear" w:color="auto" w:fill="FFFFFF"/>
        <w:spacing w:beforeAutospacing="0" w:afterAutospacing="0" w:line="500" w:lineRule="exact"/>
        <w:ind w:firstLine="480" w:firstLineChars="200"/>
        <w:jc w:val="both"/>
        <w:rPr>
          <w:rFonts w:ascii="宋体" w:hAnsi="宋体" w:eastAsia="宋体" w:cs="宋体"/>
          <w:color w:val="auto"/>
        </w:rPr>
      </w:pPr>
      <w:r>
        <w:rPr>
          <w:rFonts w:hint="eastAsia" w:ascii="宋体" w:hAnsi="宋体" w:eastAsia="宋体" w:cs="宋体"/>
          <w:color w:val="auto"/>
        </w:rPr>
        <w:t>联系方式：</w:t>
      </w:r>
      <w:bookmarkStart w:id="39" w:name="_Toc28359010"/>
      <w:bookmarkStart w:id="40" w:name="_Toc28359087"/>
      <w:r>
        <w:rPr>
          <w:rFonts w:ascii="宋体" w:hAnsi="宋体" w:cs="宋体"/>
          <w:color w:val="auto"/>
          <w:szCs w:val="21"/>
          <w:shd w:val="clear" w:color="auto" w:fill="FFFFFF"/>
          <w:lang w:bidi="ar"/>
        </w:rPr>
        <w:t>0515-89803566  15950298580</w:t>
      </w:r>
      <w:r>
        <w:rPr>
          <w:rFonts w:hint="eastAsia" w:ascii="宋体" w:hAnsi="宋体" w:eastAsia="宋体" w:cs="宋体"/>
          <w:color w:val="auto"/>
        </w:rPr>
        <w:t>       </w:t>
      </w:r>
      <w:bookmarkEnd w:id="39"/>
      <w:bookmarkEnd w:id="40"/>
      <w:r>
        <w:rPr>
          <w:rFonts w:hint="eastAsia" w:ascii="宋体" w:hAnsi="宋体" w:eastAsia="宋体" w:cs="宋体"/>
          <w:color w:val="auto"/>
        </w:rPr>
        <w:t xml:space="preserve">            </w:t>
      </w:r>
    </w:p>
    <w:p w14:paraId="33DFE756">
      <w:pPr>
        <w:pStyle w:val="10"/>
        <w:widowControl/>
        <w:shd w:val="clear" w:color="auto" w:fill="FFFFFF"/>
        <w:spacing w:beforeAutospacing="0" w:afterAutospacing="0" w:line="460" w:lineRule="exact"/>
        <w:ind w:firstLine="480" w:firstLineChars="20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3.</w:t>
      </w:r>
      <w:bookmarkEnd w:id="38"/>
      <w:r>
        <w:rPr>
          <w:rFonts w:hint="eastAsia" w:ascii="宋体" w:hAnsi="宋体" w:eastAsia="宋体" w:cs="宋体"/>
          <w:color w:val="auto"/>
          <w:shd w:val="clear" w:color="auto" w:fill="FFFFFF"/>
        </w:rPr>
        <w:t>项目联系方式</w:t>
      </w:r>
    </w:p>
    <w:p w14:paraId="36DA1B21">
      <w:pPr>
        <w:pStyle w:val="10"/>
        <w:widowControl/>
        <w:shd w:val="clear" w:color="auto" w:fill="FFFFFF"/>
        <w:spacing w:beforeAutospacing="0" w:afterAutospacing="0" w:line="460" w:lineRule="exact"/>
        <w:ind w:firstLine="480" w:firstLineChars="20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项目联系人：陈先生</w:t>
      </w:r>
    </w:p>
    <w:p w14:paraId="5AA0D518">
      <w:pPr>
        <w:pStyle w:val="10"/>
        <w:widowControl/>
        <w:shd w:val="clear" w:color="auto" w:fill="FFFFFF"/>
        <w:spacing w:beforeAutospacing="0" w:afterAutospacing="0" w:line="460" w:lineRule="exact"/>
        <w:ind w:firstLine="480" w:firstLineChars="20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电　　 话：0515-88336050　　　　　　　　　　　　</w:t>
      </w:r>
    </w:p>
    <w:p w14:paraId="2CEFCD0D">
      <w:pPr>
        <w:rPr>
          <w:rFonts w:ascii="宋体" w:hAnsi="宋体" w:eastAsia="宋体" w:cs="宋体"/>
          <w:color w:val="auto"/>
          <w:sz w:val="24"/>
        </w:rPr>
      </w:pPr>
      <w:r>
        <w:rPr>
          <w:rFonts w:hint="eastAsia" w:ascii="宋体" w:hAnsi="宋体" w:eastAsia="宋体" w:cs="宋体"/>
          <w:color w:val="auto"/>
          <w:sz w:val="24"/>
        </w:rPr>
        <w:t> </w:t>
      </w:r>
    </w:p>
    <w:p w14:paraId="01CD31E3">
      <w:pPr>
        <w:pStyle w:val="10"/>
        <w:spacing w:beforeAutospacing="0" w:afterAutospacing="0"/>
        <w:ind w:right="840"/>
        <w:jc w:val="center"/>
        <w:rPr>
          <w:color w:val="auto"/>
        </w:rPr>
      </w:pPr>
      <w:r>
        <w:rPr>
          <w:rFonts w:hint="eastAsia" w:ascii="宋体" w:hAnsi="宋体" w:eastAsia="宋体" w:cs="宋体"/>
          <w:color w:val="auto"/>
        </w:rPr>
        <w:br w:type="page"/>
      </w:r>
      <w:bookmarkStart w:id="41" w:name="_Toc120614211"/>
      <w:r>
        <w:rPr>
          <w:rFonts w:ascii="宋体" w:hAnsi="宋体" w:eastAsia="宋体" w:cs="宋体"/>
          <w:color w:val="auto"/>
        </w:rPr>
        <w:t xml:space="preserve">          </w:t>
      </w:r>
      <w:r>
        <w:rPr>
          <w:rFonts w:hint="eastAsia" w:ascii="黑体" w:hAnsi="宋体" w:eastAsia="黑体" w:cs="黑体"/>
          <w:b/>
          <w:color w:val="auto"/>
          <w:sz w:val="44"/>
          <w:szCs w:val="44"/>
        </w:rPr>
        <w:t xml:space="preserve">第二章  </w:t>
      </w:r>
      <w:bookmarkEnd w:id="41"/>
      <w:bookmarkStart w:id="42" w:name="_Toc20823274"/>
      <w:bookmarkStart w:id="43" w:name="_Toc16938518"/>
      <w:bookmarkStart w:id="44" w:name="_Toc513029202"/>
      <w:bookmarkStart w:id="45" w:name="_Toc120614213"/>
      <w:r>
        <w:rPr>
          <w:rFonts w:hint="eastAsia" w:ascii="黑体" w:hAnsi="宋体" w:eastAsia="黑体" w:cs="黑体"/>
          <w:b/>
          <w:color w:val="auto"/>
          <w:sz w:val="44"/>
          <w:szCs w:val="44"/>
        </w:rPr>
        <w:t>投标人须知</w:t>
      </w:r>
      <w:bookmarkEnd w:id="42"/>
      <w:bookmarkEnd w:id="43"/>
      <w:bookmarkEnd w:id="44"/>
      <w:bookmarkEnd w:id="45"/>
    </w:p>
    <w:p w14:paraId="2D4D4940">
      <w:pPr>
        <w:pStyle w:val="10"/>
        <w:keepNext/>
        <w:keepLines/>
        <w:spacing w:beforeAutospacing="0" w:afterAutospacing="0" w:line="460" w:lineRule="exact"/>
        <w:ind w:firstLine="482" w:firstLineChars="200"/>
        <w:jc w:val="both"/>
        <w:rPr>
          <w:rFonts w:ascii="宋体" w:hAnsi="宋体" w:eastAsia="宋体" w:cs="宋体"/>
          <w:color w:val="auto"/>
        </w:rPr>
      </w:pPr>
      <w:bookmarkStart w:id="46" w:name="_Toc20823275"/>
      <w:bookmarkStart w:id="47" w:name="_Toc513029203"/>
      <w:bookmarkStart w:id="48" w:name="_Toc120614214"/>
      <w:bookmarkStart w:id="49" w:name="_Toc16938519"/>
      <w:r>
        <w:rPr>
          <w:rFonts w:hint="eastAsia" w:ascii="宋体" w:hAnsi="宋体" w:eastAsia="宋体" w:cs="宋体"/>
          <w:b/>
          <w:color w:val="auto"/>
        </w:rPr>
        <w:t>一、总则</w:t>
      </w:r>
      <w:bookmarkEnd w:id="46"/>
      <w:bookmarkEnd w:id="47"/>
      <w:bookmarkEnd w:id="48"/>
      <w:bookmarkEnd w:id="49"/>
    </w:p>
    <w:p w14:paraId="48E05819">
      <w:pPr>
        <w:pStyle w:val="10"/>
        <w:keepNext/>
        <w:keepLines/>
        <w:spacing w:beforeAutospacing="0" w:afterAutospacing="0" w:line="460" w:lineRule="exact"/>
        <w:ind w:firstLine="480" w:firstLineChars="200"/>
        <w:jc w:val="both"/>
        <w:rPr>
          <w:rFonts w:ascii="宋体" w:hAnsi="宋体" w:eastAsia="宋体" w:cs="宋体"/>
          <w:color w:val="auto"/>
        </w:rPr>
      </w:pPr>
      <w:bookmarkStart w:id="50" w:name="_Toc16938520"/>
      <w:bookmarkStart w:id="51" w:name="_Toc458694821"/>
      <w:bookmarkStart w:id="52" w:name="_Toc513029204"/>
      <w:bookmarkStart w:id="53" w:name="_Toc20823276"/>
      <w:bookmarkStart w:id="54" w:name="_Hlt16619475"/>
      <w:r>
        <w:rPr>
          <w:rFonts w:hint="eastAsia" w:ascii="宋体" w:hAnsi="宋体" w:eastAsia="宋体" w:cs="宋体"/>
          <w:color w:val="auto"/>
        </w:rPr>
        <w:t>1</w:t>
      </w:r>
      <w:bookmarkEnd w:id="50"/>
      <w:r>
        <w:rPr>
          <w:rFonts w:hint="eastAsia" w:ascii="宋体" w:hAnsi="宋体" w:eastAsia="宋体" w:cs="宋体"/>
          <w:color w:val="auto"/>
        </w:rPr>
        <w:t>、招标方式</w:t>
      </w:r>
      <w:bookmarkEnd w:id="51"/>
      <w:bookmarkEnd w:id="52"/>
      <w:bookmarkEnd w:id="53"/>
    </w:p>
    <w:p w14:paraId="496D2DA3">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1.1本次招标采取公开招标方式，本招标文件仅适用于招标公告中所述项目。</w:t>
      </w:r>
    </w:p>
    <w:p w14:paraId="7EFF3468">
      <w:pPr>
        <w:pStyle w:val="10"/>
        <w:keepNext/>
        <w:keepLines/>
        <w:spacing w:beforeAutospacing="0" w:afterAutospacing="0" w:line="460" w:lineRule="exact"/>
        <w:ind w:firstLine="480" w:firstLineChars="200"/>
        <w:jc w:val="both"/>
        <w:rPr>
          <w:rFonts w:ascii="宋体" w:hAnsi="宋体" w:eastAsia="宋体" w:cs="宋体"/>
          <w:color w:val="auto"/>
        </w:rPr>
      </w:pPr>
      <w:bookmarkStart w:id="55" w:name="_Toc20823277"/>
      <w:bookmarkStart w:id="56" w:name="_Toc513029205"/>
      <w:bookmarkStart w:id="57" w:name="_Toc16938521"/>
      <w:r>
        <w:rPr>
          <w:rFonts w:hint="eastAsia" w:ascii="宋体" w:hAnsi="宋体" w:eastAsia="宋体" w:cs="宋体"/>
          <w:color w:val="auto"/>
        </w:rPr>
        <w:t>2、合格的投标人</w:t>
      </w:r>
      <w:bookmarkEnd w:id="55"/>
      <w:bookmarkEnd w:id="56"/>
      <w:bookmarkEnd w:id="57"/>
    </w:p>
    <w:p w14:paraId="575CB15D">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2.1满足招标公告中供应商的资格要求的规定。</w:t>
      </w:r>
    </w:p>
    <w:p w14:paraId="053B99F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2.2满足本文件实质性要求和条件的规定。</w:t>
      </w:r>
    </w:p>
    <w:p w14:paraId="4170807A">
      <w:pPr>
        <w:spacing w:line="460" w:lineRule="exact"/>
        <w:ind w:firstLine="480" w:firstLineChars="200"/>
        <w:rPr>
          <w:rFonts w:ascii="方正魏碑_GBK" w:hAnsi="方正魏碑_GBK" w:eastAsia="方正魏碑_GBK" w:cs="方正魏碑_GBK"/>
          <w:color w:val="auto"/>
          <w:sz w:val="24"/>
          <w:szCs w:val="21"/>
        </w:rPr>
      </w:pPr>
      <w:bookmarkStart w:id="58" w:name="_Toc16938522"/>
      <w:bookmarkStart w:id="59" w:name="_Toc20823278"/>
      <w:bookmarkStart w:id="60" w:name="_Toc513029206"/>
      <w:bookmarkStart w:id="61" w:name="_Toc20823279"/>
      <w:bookmarkStart w:id="62" w:name="_Toc16938523"/>
      <w:bookmarkStart w:id="63" w:name="_Toc513029207"/>
      <w:bookmarkStart w:id="64" w:name="_Toc462564067"/>
      <w:r>
        <w:rPr>
          <w:rFonts w:hint="eastAsia" w:ascii="方正魏碑_GBK" w:hAnsi="方正魏碑_GBK" w:eastAsia="方正魏碑_GBK" w:cs="方正魏碑_GBK"/>
          <w:color w:val="auto"/>
          <w:sz w:val="24"/>
          <w:szCs w:val="21"/>
        </w:rPr>
        <w:t>3、适用法律</w:t>
      </w:r>
      <w:bookmarkEnd w:id="58"/>
      <w:bookmarkEnd w:id="59"/>
      <w:bookmarkEnd w:id="60"/>
      <w:r>
        <w:rPr>
          <w:rFonts w:hint="eastAsia" w:ascii="方正魏碑_GBK" w:hAnsi="方正魏碑_GBK" w:eastAsia="方正魏碑_GBK" w:cs="方正魏碑_GBK"/>
          <w:color w:val="auto"/>
          <w:sz w:val="24"/>
          <w:szCs w:val="21"/>
        </w:rPr>
        <w:t>和标准</w:t>
      </w:r>
    </w:p>
    <w:p w14:paraId="60757E93">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3.1 本次招标及由此产生的合同受中华人民共和国有关的法律法规制约和保护。</w:t>
      </w:r>
    </w:p>
    <w:p w14:paraId="7F9D1500">
      <w:pPr>
        <w:spacing w:line="460" w:lineRule="exact"/>
        <w:ind w:firstLine="480" w:firstLineChars="200"/>
        <w:rPr>
          <w:rFonts w:ascii="宋体" w:hAnsi="宋体" w:eastAsia="宋体" w:cs="宋体"/>
          <w:color w:val="auto"/>
          <w:sz w:val="24"/>
        </w:rPr>
      </w:pPr>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36533D3B">
      <w:pPr>
        <w:pStyle w:val="10"/>
        <w:keepNext/>
        <w:keepLines/>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4、投标费用</w:t>
      </w:r>
      <w:bookmarkEnd w:id="61"/>
      <w:bookmarkEnd w:id="62"/>
      <w:bookmarkEnd w:id="63"/>
      <w:bookmarkEnd w:id="64"/>
    </w:p>
    <w:p w14:paraId="23EE288E">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4.1投标人应自行承担所有与参加投标有关的费用，无论投标过程中的做法和结果如何，盐城市招标代理有限公司（以下简称：采购代理机构）在任何情况下均无义务和责任承担这些费用。</w:t>
      </w:r>
    </w:p>
    <w:p w14:paraId="7508EC0F">
      <w:pPr>
        <w:pStyle w:val="10"/>
        <w:spacing w:beforeAutospacing="0" w:afterAutospacing="0" w:line="460" w:lineRule="exact"/>
        <w:ind w:firstLine="480" w:firstLineChars="200"/>
        <w:jc w:val="both"/>
        <w:rPr>
          <w:rFonts w:cs="宋体" w:asciiTheme="minorEastAsia" w:hAnsiTheme="minorEastAsia"/>
          <w:color w:val="auto"/>
        </w:rPr>
      </w:pPr>
      <w:r>
        <w:rPr>
          <w:rFonts w:hint="eastAsia" w:cs="宋体" w:asciiTheme="minorEastAsia" w:hAnsiTheme="minorEastAsia"/>
          <w:color w:val="auto"/>
        </w:rPr>
        <w:t>4.2</w:t>
      </w:r>
      <w:r>
        <w:rPr>
          <w:rFonts w:hint="eastAsia" w:cs="宋体" w:asciiTheme="minorEastAsia" w:hAnsiTheme="minorEastAsia"/>
          <w:bCs/>
          <w:color w:val="auto"/>
          <w:szCs w:val="21"/>
        </w:rPr>
        <w:t>采购代理服务费：</w:t>
      </w:r>
      <w:r>
        <w:rPr>
          <w:rFonts w:hint="eastAsia" w:cs="宋体" w:asciiTheme="minorEastAsia" w:hAnsiTheme="minorEastAsia"/>
          <w:color w:val="auto"/>
          <w:szCs w:val="21"/>
        </w:rPr>
        <w:t>本次采购代理服务费由成交供应商承担，按《江苏省招标代理服务收费的指导意见》（苏招协〔2022〕002号）收费标准的</w:t>
      </w:r>
      <w:r>
        <w:rPr>
          <w:rFonts w:cs="宋体" w:asciiTheme="minorEastAsia" w:hAnsiTheme="minorEastAsia"/>
          <w:color w:val="auto"/>
          <w:szCs w:val="21"/>
        </w:rPr>
        <w:t>40</w:t>
      </w:r>
      <w:r>
        <w:rPr>
          <w:rFonts w:hint="eastAsia" w:cs="宋体" w:asciiTheme="minorEastAsia" w:hAnsiTheme="minorEastAsia"/>
          <w:color w:val="auto"/>
          <w:szCs w:val="21"/>
        </w:rPr>
        <w:t>%，其中单项招标代理服务费不低于</w:t>
      </w:r>
      <w:r>
        <w:rPr>
          <w:rFonts w:cs="宋体" w:asciiTheme="minorEastAsia" w:hAnsiTheme="minorEastAsia"/>
          <w:color w:val="auto"/>
          <w:szCs w:val="21"/>
        </w:rPr>
        <w:t>25</w:t>
      </w:r>
      <w:r>
        <w:rPr>
          <w:rFonts w:hint="eastAsia" w:cs="宋体" w:asciiTheme="minorEastAsia" w:hAnsiTheme="minorEastAsia"/>
          <w:color w:val="auto"/>
          <w:szCs w:val="21"/>
        </w:rPr>
        <w:t>00元；此项费用由各供应商在报价时综合考虑，无需单独列项报价。在成交通知书发放前向采购代理机构一次性支付采购代理服务费</w:t>
      </w:r>
      <w:r>
        <w:rPr>
          <w:rFonts w:hint="eastAsia" w:cs="宋体" w:asciiTheme="minorEastAsia" w:hAnsiTheme="minorEastAsia"/>
          <w:color w:val="auto"/>
        </w:rPr>
        <w:t>。</w:t>
      </w:r>
    </w:p>
    <w:p w14:paraId="3170A5D0">
      <w:pPr>
        <w:pStyle w:val="10"/>
        <w:keepNext/>
        <w:keepLines/>
        <w:spacing w:beforeAutospacing="0" w:afterAutospacing="0" w:line="460" w:lineRule="exact"/>
        <w:ind w:firstLine="480" w:firstLineChars="200"/>
        <w:jc w:val="both"/>
        <w:rPr>
          <w:rFonts w:ascii="宋体" w:hAnsi="宋体" w:eastAsia="宋体" w:cs="宋体"/>
          <w:bCs/>
          <w:color w:val="auto"/>
        </w:rPr>
      </w:pPr>
      <w:r>
        <w:rPr>
          <w:rFonts w:hint="eastAsia" w:ascii="宋体" w:hAnsi="宋体" w:eastAsia="宋体" w:cs="宋体"/>
          <w:bCs/>
          <w:color w:val="auto"/>
        </w:rPr>
        <w:t>5、招标文件的约束力</w:t>
      </w:r>
    </w:p>
    <w:p w14:paraId="34C8BA98">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5.1投标人一旦参加本项目采购活动，即被认为接受了本招标文件的规定和约束。</w:t>
      </w:r>
    </w:p>
    <w:p w14:paraId="43832C20">
      <w:pPr>
        <w:pStyle w:val="10"/>
        <w:keepNext/>
        <w:keepLines/>
        <w:spacing w:beforeAutospacing="0" w:afterAutospacing="0" w:line="460" w:lineRule="exact"/>
        <w:ind w:firstLine="482" w:firstLineChars="200"/>
        <w:jc w:val="both"/>
        <w:rPr>
          <w:rFonts w:ascii="宋体" w:hAnsi="宋体" w:eastAsia="宋体" w:cs="宋体"/>
          <w:color w:val="auto"/>
        </w:rPr>
      </w:pPr>
      <w:bookmarkStart w:id="65" w:name="_Toc513029209"/>
      <w:bookmarkStart w:id="66" w:name="_Toc20823281"/>
      <w:bookmarkStart w:id="67" w:name="_Toc120614215"/>
      <w:bookmarkStart w:id="68" w:name="_Toc16938525"/>
      <w:r>
        <w:rPr>
          <w:rFonts w:hint="eastAsia" w:ascii="宋体" w:hAnsi="宋体" w:eastAsia="宋体" w:cs="宋体"/>
          <w:b/>
          <w:color w:val="auto"/>
        </w:rPr>
        <w:t>二、招标文件</w:t>
      </w:r>
      <w:bookmarkEnd w:id="65"/>
      <w:bookmarkEnd w:id="66"/>
      <w:bookmarkEnd w:id="67"/>
      <w:bookmarkEnd w:id="68"/>
    </w:p>
    <w:p w14:paraId="68ED197E">
      <w:pPr>
        <w:pStyle w:val="10"/>
        <w:keepNext/>
        <w:keepLines/>
        <w:spacing w:beforeAutospacing="0" w:afterAutospacing="0" w:line="460" w:lineRule="exact"/>
        <w:ind w:firstLine="480" w:firstLineChars="200"/>
        <w:jc w:val="both"/>
        <w:rPr>
          <w:rFonts w:ascii="宋体" w:hAnsi="宋体" w:eastAsia="宋体" w:cs="宋体"/>
          <w:color w:val="auto"/>
        </w:rPr>
      </w:pPr>
      <w:bookmarkStart w:id="69" w:name="_Toc513029210"/>
      <w:bookmarkStart w:id="70" w:name="_Toc20823282"/>
      <w:bookmarkStart w:id="71" w:name="_Toc16938526"/>
      <w:r>
        <w:rPr>
          <w:rFonts w:hint="eastAsia" w:ascii="宋体" w:hAnsi="宋体" w:eastAsia="宋体" w:cs="宋体"/>
          <w:color w:val="auto"/>
        </w:rPr>
        <w:t>6、招标文件构成</w:t>
      </w:r>
      <w:bookmarkEnd w:id="69"/>
      <w:bookmarkEnd w:id="70"/>
      <w:bookmarkEnd w:id="71"/>
    </w:p>
    <w:p w14:paraId="3A8430B3">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6.1 招标文件由以下部分组成：</w:t>
      </w:r>
    </w:p>
    <w:p w14:paraId="7CAD8D0E">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（1）招标公告</w:t>
      </w:r>
    </w:p>
    <w:p w14:paraId="65867A5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（2）投标人须知</w:t>
      </w:r>
    </w:p>
    <w:p w14:paraId="57943076">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（3）合同文本</w:t>
      </w:r>
    </w:p>
    <w:p w14:paraId="2179FCE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（4）采购需求</w:t>
      </w:r>
    </w:p>
    <w:p w14:paraId="552F5101">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（5）评标方法与评标标准</w:t>
      </w:r>
    </w:p>
    <w:p w14:paraId="35C39FDB">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（6）投标文件格式</w:t>
      </w:r>
    </w:p>
    <w:p w14:paraId="4BF7395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请仔细检查招标文件是否齐全，如有缺漏请立即与采购代理机构联系解决。</w:t>
      </w:r>
    </w:p>
    <w:p w14:paraId="6CE2222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10"/>
        <w:keepNext/>
        <w:keepLines/>
        <w:spacing w:beforeAutospacing="0" w:afterAutospacing="0" w:line="460" w:lineRule="exact"/>
        <w:ind w:firstLine="480" w:firstLineChars="200"/>
        <w:jc w:val="both"/>
        <w:rPr>
          <w:rFonts w:ascii="宋体" w:hAnsi="宋体" w:eastAsia="宋体" w:cs="宋体"/>
          <w:color w:val="auto"/>
        </w:rPr>
      </w:pPr>
      <w:bookmarkStart w:id="72" w:name="_Toc20823283"/>
      <w:bookmarkStart w:id="73" w:name="_Toc513029211"/>
      <w:bookmarkStart w:id="74" w:name="_Toc16938527"/>
      <w:bookmarkStart w:id="75" w:name="_Toc462564070"/>
      <w:r>
        <w:rPr>
          <w:rFonts w:hint="eastAsia" w:ascii="宋体" w:hAnsi="宋体" w:eastAsia="宋体" w:cs="宋体"/>
          <w:color w:val="auto"/>
        </w:rPr>
        <w:t>7、招标文件的澄清</w:t>
      </w:r>
      <w:bookmarkEnd w:id="72"/>
      <w:bookmarkEnd w:id="73"/>
      <w:bookmarkEnd w:id="74"/>
      <w:bookmarkEnd w:id="75"/>
    </w:p>
    <w:p w14:paraId="51C9CA80">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7.1任何要求对招标文件进行澄清的投标人，应在投标截止期</w:t>
      </w:r>
      <w:r>
        <w:rPr>
          <w:rFonts w:hint="eastAsia" w:ascii="宋体" w:hAnsi="宋体" w:eastAsia="宋体" w:cs="宋体"/>
          <w:b/>
          <w:color w:val="auto"/>
        </w:rPr>
        <w:t>十日</w:t>
      </w:r>
      <w:r>
        <w:rPr>
          <w:rFonts w:hint="eastAsia" w:ascii="宋体" w:hAnsi="宋体" w:eastAsia="宋体" w:cs="宋体"/>
          <w:color w:val="auto"/>
        </w:rPr>
        <w:t>前按招标公告中的通讯地址，以书面形式通知采购代理机构。</w:t>
      </w:r>
    </w:p>
    <w:p w14:paraId="64D93D1A">
      <w:pPr>
        <w:pStyle w:val="10"/>
        <w:keepNext/>
        <w:keepLines/>
        <w:spacing w:beforeAutospacing="0" w:afterAutospacing="0" w:line="460" w:lineRule="exact"/>
        <w:ind w:firstLine="480" w:firstLineChars="200"/>
        <w:jc w:val="both"/>
        <w:rPr>
          <w:rFonts w:ascii="宋体" w:hAnsi="宋体" w:eastAsia="宋体" w:cs="宋体"/>
          <w:color w:val="auto"/>
        </w:rPr>
      </w:pPr>
      <w:bookmarkStart w:id="76" w:name="_Toc16938528"/>
      <w:bookmarkStart w:id="77" w:name="_Toc513029212"/>
      <w:bookmarkStart w:id="78" w:name="_Toc462564071"/>
      <w:bookmarkStart w:id="79" w:name="_Toc20823284"/>
      <w:r>
        <w:rPr>
          <w:rFonts w:hint="eastAsia" w:ascii="宋体" w:hAnsi="宋体" w:eastAsia="宋体" w:cs="宋体"/>
          <w:color w:val="auto"/>
        </w:rPr>
        <w:t>8、招标文件的修改</w:t>
      </w:r>
      <w:bookmarkEnd w:id="76"/>
      <w:bookmarkEnd w:id="77"/>
      <w:bookmarkEnd w:id="78"/>
      <w:bookmarkEnd w:id="79"/>
    </w:p>
    <w:p w14:paraId="79F7581C">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8.1在投标截止时间前，采购代理机构可以对招标文件进行修改。</w:t>
      </w:r>
    </w:p>
    <w:p w14:paraId="6C5CE64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8.2采购代理机构有权按照法定的要求推迟投标截止日期和开标日期。</w:t>
      </w:r>
    </w:p>
    <w:p w14:paraId="47FD8A9B">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8.3招标文件的修改将在中国政府采购网</w:t>
      </w:r>
      <w:r>
        <w:rPr>
          <w:rFonts w:hint="eastAsia" w:ascii="宋体" w:hAnsi="宋体" w:eastAsia="宋体" w:cs="宋体"/>
          <w:color w:val="auto"/>
          <w:shd w:val="clear" w:color="auto" w:fill="FFFFFF"/>
        </w:rPr>
        <w:t>、</w:t>
      </w:r>
      <w:r>
        <w:rPr>
          <w:rFonts w:hint="eastAsia" w:ascii="宋体" w:hAnsi="宋体" w:eastAsia="宋体" w:cs="宋体"/>
          <w:color w:val="auto"/>
        </w:rPr>
        <w:t>江苏政府采购网、盐城市政府采购网公布，补充文件将作为招标文件的组成部分，并对投标人具有约束力。</w:t>
      </w:r>
    </w:p>
    <w:p w14:paraId="00278C9A">
      <w:pPr>
        <w:pStyle w:val="10"/>
        <w:keepNext/>
        <w:keepLines/>
        <w:spacing w:beforeAutospacing="0" w:afterAutospacing="0" w:line="460" w:lineRule="exact"/>
        <w:ind w:firstLine="482" w:firstLineChars="200"/>
        <w:jc w:val="both"/>
        <w:rPr>
          <w:rFonts w:ascii="宋体" w:hAnsi="宋体" w:eastAsia="宋体" w:cs="宋体"/>
          <w:color w:val="auto"/>
        </w:rPr>
      </w:pPr>
      <w:bookmarkStart w:id="80" w:name="_Toc16938529"/>
      <w:bookmarkStart w:id="81" w:name="_Toc120614216"/>
      <w:bookmarkStart w:id="82" w:name="_Toc462564072"/>
      <w:bookmarkStart w:id="83" w:name="_Toc513029213"/>
      <w:bookmarkStart w:id="84" w:name="_Toc20823285"/>
      <w:r>
        <w:rPr>
          <w:rFonts w:hint="eastAsia" w:ascii="宋体" w:hAnsi="宋体" w:eastAsia="宋体" w:cs="宋体"/>
          <w:b/>
          <w:color w:val="auto"/>
        </w:rPr>
        <w:t>三、投标文件的编制</w:t>
      </w:r>
      <w:bookmarkEnd w:id="80"/>
      <w:bookmarkEnd w:id="81"/>
      <w:bookmarkEnd w:id="82"/>
      <w:bookmarkEnd w:id="83"/>
      <w:bookmarkEnd w:id="84"/>
    </w:p>
    <w:p w14:paraId="3958D525">
      <w:pPr>
        <w:pStyle w:val="10"/>
        <w:keepNext/>
        <w:keepLines/>
        <w:spacing w:beforeAutospacing="0" w:afterAutospacing="0" w:line="460" w:lineRule="exact"/>
        <w:ind w:firstLine="480" w:firstLineChars="200"/>
        <w:jc w:val="both"/>
        <w:rPr>
          <w:rFonts w:ascii="宋体" w:hAnsi="宋体" w:eastAsia="宋体" w:cs="宋体"/>
          <w:color w:val="auto"/>
        </w:rPr>
      </w:pPr>
      <w:bookmarkStart w:id="85" w:name="_Toc16938530"/>
      <w:bookmarkStart w:id="86" w:name="_Toc20823286"/>
      <w:bookmarkStart w:id="87" w:name="_Toc462564073"/>
      <w:bookmarkStart w:id="88" w:name="_Toc513029214"/>
      <w:r>
        <w:rPr>
          <w:rFonts w:hint="eastAsia" w:ascii="宋体" w:hAnsi="宋体" w:eastAsia="宋体" w:cs="宋体"/>
          <w:color w:val="auto"/>
        </w:rPr>
        <w:t>9、投标文件的语言及度量衡单位</w:t>
      </w:r>
      <w:bookmarkEnd w:id="85"/>
      <w:bookmarkEnd w:id="86"/>
      <w:bookmarkEnd w:id="87"/>
      <w:bookmarkEnd w:id="88"/>
    </w:p>
    <w:p w14:paraId="4F02069C">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9.1投标人提交的投标文件以及投标人与采购代理机构就有关投标的所有来往通知、函件和文件均应使用</w:t>
      </w:r>
      <w:r>
        <w:rPr>
          <w:rFonts w:hint="eastAsia" w:ascii="宋体" w:hAnsi="宋体" w:eastAsia="宋体" w:cs="宋体"/>
          <w:b/>
          <w:color w:val="auto"/>
        </w:rPr>
        <w:t>简体中文</w:t>
      </w:r>
      <w:r>
        <w:rPr>
          <w:rFonts w:hint="eastAsia" w:ascii="宋体" w:hAnsi="宋体" w:eastAsia="宋体" w:cs="宋体"/>
          <w:color w:val="auto"/>
        </w:rPr>
        <w:t>。</w:t>
      </w:r>
    </w:p>
    <w:p w14:paraId="4BFB97B0">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9.2除技术性能另有规定外，投标文件所使用的度量衡单位，均须采用国家法定计量单位。</w:t>
      </w:r>
    </w:p>
    <w:p w14:paraId="5A005DB0">
      <w:pPr>
        <w:pStyle w:val="10"/>
        <w:keepNext/>
        <w:keepLines/>
        <w:spacing w:beforeAutospacing="0" w:afterAutospacing="0" w:line="460" w:lineRule="exact"/>
        <w:ind w:firstLine="480" w:firstLineChars="200"/>
        <w:jc w:val="both"/>
        <w:rPr>
          <w:rFonts w:ascii="宋体" w:hAnsi="宋体" w:eastAsia="宋体" w:cs="宋体"/>
          <w:color w:val="auto"/>
        </w:rPr>
      </w:pPr>
      <w:bookmarkStart w:id="89" w:name="_Toc462564074"/>
      <w:bookmarkStart w:id="90" w:name="_Toc16938531"/>
      <w:bookmarkStart w:id="91" w:name="_Toc513029215"/>
      <w:bookmarkStart w:id="92" w:name="_Toc20823287"/>
      <w:r>
        <w:rPr>
          <w:rFonts w:hint="eastAsia" w:ascii="宋体" w:hAnsi="宋体" w:eastAsia="宋体" w:cs="宋体"/>
          <w:color w:val="auto"/>
        </w:rPr>
        <w:t>10、投标文件构成</w:t>
      </w:r>
      <w:bookmarkEnd w:id="89"/>
      <w:bookmarkEnd w:id="90"/>
      <w:bookmarkEnd w:id="91"/>
      <w:bookmarkEnd w:id="92"/>
    </w:p>
    <w:p w14:paraId="2CDE719A">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10.1投标人编写的投标文件应包括资格证明文件、符合性证明文件、投标分项报价表、技术要求响应及偏离表、商务要求响应及偏离表、其他证明文件、投标函、开标一览表等部分。</w:t>
      </w:r>
    </w:p>
    <w:p w14:paraId="43A68060">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10.2如标书制作工具中格式和内容与</w:t>
      </w:r>
      <w:r>
        <w:rPr>
          <w:rFonts w:hint="eastAsia" w:ascii="宋体" w:hAnsi="宋体" w:eastAsia="宋体" w:cs="宋体"/>
          <w:color w:val="auto"/>
          <w:shd w:val="clear" w:color="auto" w:fill="FFFFFF"/>
        </w:rPr>
        <w:t>“</w:t>
      </w:r>
      <w:r>
        <w:rPr>
          <w:rFonts w:hint="eastAsia" w:ascii="宋体" w:hAnsi="宋体" w:eastAsia="宋体" w:cs="宋体"/>
          <w:color w:val="auto"/>
        </w:rPr>
        <w:t>中国政府采购网”“江苏政府采购网”“盐城市政府采购网”发布的招标文件不一致，请以</w:t>
      </w:r>
      <w:r>
        <w:rPr>
          <w:rFonts w:hint="eastAsia" w:ascii="宋体" w:hAnsi="宋体" w:eastAsia="宋体" w:cs="宋体"/>
          <w:color w:val="auto"/>
          <w:shd w:val="clear" w:color="auto" w:fill="FFFFFF"/>
        </w:rPr>
        <w:t>“</w:t>
      </w:r>
      <w:r>
        <w:rPr>
          <w:rFonts w:hint="eastAsia" w:ascii="宋体" w:hAnsi="宋体" w:eastAsia="宋体" w:cs="宋体"/>
          <w:color w:val="auto"/>
        </w:rPr>
        <w:t>中国政府采购网”“江苏政府采购网”“盐城市政府采购网”发布的招标文件为准。</w:t>
      </w:r>
    </w:p>
    <w:p w14:paraId="58AAE2F3">
      <w:pPr>
        <w:pStyle w:val="10"/>
        <w:keepNext/>
        <w:keepLines/>
        <w:spacing w:beforeAutospacing="0" w:afterAutospacing="0" w:line="460" w:lineRule="exact"/>
        <w:ind w:firstLine="480" w:firstLineChars="200"/>
        <w:jc w:val="both"/>
        <w:rPr>
          <w:rFonts w:ascii="宋体" w:hAnsi="宋体" w:eastAsia="宋体" w:cs="宋体"/>
          <w:color w:val="auto"/>
        </w:rPr>
      </w:pPr>
      <w:bookmarkStart w:id="93" w:name="_Toc14577357"/>
      <w:bookmarkStart w:id="94" w:name="_Toc513029216"/>
      <w:bookmarkStart w:id="95" w:name="_Toc513029219"/>
      <w:bookmarkStart w:id="96" w:name="_Toc14577354"/>
      <w:bookmarkStart w:id="97" w:name="_Toc49090507"/>
      <w:bookmarkStart w:id="98" w:name="_Toc49090509"/>
      <w:bookmarkStart w:id="99" w:name="_Hlt26954838"/>
      <w:bookmarkStart w:id="100" w:name="_Hlt26668975"/>
      <w:bookmarkStart w:id="101" w:name="_Hlt26670360"/>
      <w:r>
        <w:rPr>
          <w:rFonts w:hint="eastAsia" w:ascii="宋体" w:hAnsi="宋体" w:eastAsia="宋体" w:cs="宋体"/>
          <w:color w:val="auto"/>
        </w:rPr>
        <w:t>11、证明投标人及投标标的符合招标文件规定的文件</w:t>
      </w:r>
      <w:bookmarkEnd w:id="93"/>
      <w:bookmarkEnd w:id="94"/>
      <w:bookmarkEnd w:id="95"/>
      <w:bookmarkEnd w:id="96"/>
      <w:bookmarkEnd w:id="97"/>
      <w:bookmarkEnd w:id="98"/>
    </w:p>
    <w:p w14:paraId="7BCF26D9">
      <w:pPr>
        <w:pStyle w:val="10"/>
        <w:spacing w:beforeAutospacing="0" w:afterAutospacing="0" w:line="460" w:lineRule="exact"/>
        <w:ind w:firstLine="480" w:firstLineChars="200"/>
        <w:jc w:val="both"/>
        <w:rPr>
          <w:rFonts w:ascii="宋体" w:hAnsi="宋体" w:eastAsia="宋体" w:cs="宋体"/>
          <w:color w:val="auto"/>
        </w:rPr>
      </w:pPr>
      <w:bookmarkStart w:id="102" w:name="_Toc14577355"/>
      <w:bookmarkStart w:id="103" w:name="_Toc49090508"/>
      <w:r>
        <w:rPr>
          <w:rFonts w:hint="eastAsia" w:ascii="宋体" w:hAnsi="宋体" w:eastAsia="宋体" w:cs="宋体"/>
          <w:color w:val="auto"/>
        </w:rPr>
        <w:t>11.1投标人应按照法律、法规、规章和规范性文件以及招标文件要求提交证明文件，证明其及投标标的符合招标文件规定。</w:t>
      </w:r>
      <w:bookmarkEnd w:id="102"/>
      <w:bookmarkEnd w:id="103"/>
    </w:p>
    <w:p w14:paraId="68EBD42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11.2招标文件对证明文件无明确形式要求的，证明文件可以以文字资料、图纸和数据等形式提交。</w:t>
      </w:r>
    </w:p>
    <w:p w14:paraId="7C62A904">
      <w:pPr>
        <w:pStyle w:val="10"/>
        <w:keepNext/>
        <w:keepLines/>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12、投标分项报价</w:t>
      </w:r>
      <w:bookmarkStart w:id="104" w:name="_Hlt26670373"/>
      <w:r>
        <w:rPr>
          <w:rFonts w:hint="eastAsia" w:ascii="宋体" w:hAnsi="宋体" w:eastAsia="宋体" w:cs="宋体"/>
          <w:color w:val="auto"/>
        </w:rPr>
        <w:t>表</w:t>
      </w:r>
    </w:p>
    <w:p w14:paraId="54CA8B62">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12.1投</w:t>
      </w:r>
      <w:bookmarkStart w:id="105" w:name="_Hlt26954840"/>
      <w:r>
        <w:rPr>
          <w:rFonts w:hint="eastAsia" w:ascii="宋体" w:hAnsi="宋体" w:eastAsia="宋体" w:cs="宋体"/>
          <w:color w:val="auto"/>
        </w:rPr>
        <w:t>标人应按照招标文件规定格式填报投标分项报价表</w:t>
      </w:r>
      <w:bookmarkStart w:id="106" w:name="_Hlt26670399"/>
      <w:r>
        <w:rPr>
          <w:rFonts w:hint="eastAsia" w:ascii="宋体" w:hAnsi="宋体" w:eastAsia="宋体" w:cs="宋体"/>
          <w:color w:val="auto"/>
        </w:rPr>
        <w:t>。</w:t>
      </w:r>
    </w:p>
    <w:p w14:paraId="25F1AFE8">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12.2投标货币。投标文件中的单价和总价无特殊规定的采用人民币报价，以元为单位标注。招标文件中另有规定的按规定执行。</w:t>
      </w:r>
    </w:p>
    <w:p w14:paraId="3EF731C1">
      <w:pPr>
        <w:pStyle w:val="10"/>
        <w:spacing w:beforeAutospacing="0" w:afterAutospacing="0" w:line="500" w:lineRule="exact"/>
        <w:ind w:firstLine="480" w:firstLineChars="200"/>
        <w:jc w:val="both"/>
        <w:rPr>
          <w:rFonts w:ascii="宋体" w:hAnsi="宋体" w:eastAsia="宋体" w:cs="宋体"/>
          <w:color w:val="auto"/>
        </w:rPr>
      </w:pPr>
      <w:bookmarkStart w:id="107" w:name="_Hlt26954731"/>
      <w:bookmarkStart w:id="108" w:name="_Hlt26670486"/>
      <w:bookmarkStart w:id="109" w:name="_Hlt26670403"/>
      <w:bookmarkStart w:id="110" w:name="_Hlt26954842"/>
      <w:bookmarkStart w:id="111" w:name="_Hlt26954848"/>
      <w:bookmarkStart w:id="112" w:name="_Hlt26954844"/>
      <w:bookmarkStart w:id="113" w:name="_Hlt26670482"/>
      <w:bookmarkStart w:id="114" w:name="_Hlt26954846"/>
      <w:bookmarkStart w:id="115" w:name="_Hlt26668983"/>
      <w:bookmarkStart w:id="116" w:name="_Hlt26670425"/>
      <w:r>
        <w:rPr>
          <w:rFonts w:hint="eastAsia" w:ascii="宋体" w:hAnsi="宋体" w:eastAsia="宋体" w:cs="宋体"/>
          <w:color w:val="auto"/>
        </w:rPr>
        <w:t>12.3本项目采用用固定单价报价，投标报价包括但不限于前期调研或后期跟踪服务费用、人员工资、社会保险费、技术服务费、办公经费、福利费、加班费、培训费、通讯费、安全教育费、人员意外伤害险、利润、售后服务费用、税费、管理费、中标服务费、投标费、不可预见费、服务对象的费用（包括研修项目费、面试辅导费、签证指导费、全程服务费、境外住宿费）及其他为完成本项目发生的所有费用，采购文件未列明，而投标人认为必需的费用自行综合考虑到报价。</w:t>
      </w:r>
    </w:p>
    <w:p w14:paraId="3E71C8AC">
      <w:pPr>
        <w:pStyle w:val="10"/>
        <w:keepNext/>
        <w:keepLines/>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13、技术要求响应及偏离表、商务要求响应及偏离表</w:t>
      </w:r>
    </w:p>
    <w:p w14:paraId="7633F01F">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13.1投标人需对招标文件中的技术要求与商务要求逐项作出响应或偏离，并说明原因。</w:t>
      </w:r>
    </w:p>
    <w:p w14:paraId="39ED4825">
      <w:pPr>
        <w:pStyle w:val="10"/>
        <w:tabs>
          <w:tab w:val="left" w:pos="1036"/>
        </w:tabs>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13.2投标人可在投标文件中提供认为需要的其他技术文件或说明。</w:t>
      </w:r>
    </w:p>
    <w:p w14:paraId="3BCCF779">
      <w:pPr>
        <w:pStyle w:val="10"/>
        <w:keepNext/>
        <w:keepLines/>
        <w:spacing w:beforeAutospacing="0" w:afterAutospacing="0" w:line="460" w:lineRule="exact"/>
        <w:ind w:firstLine="480" w:firstLineChars="200"/>
        <w:jc w:val="both"/>
        <w:rPr>
          <w:rFonts w:ascii="宋体" w:hAnsi="宋体" w:eastAsia="宋体" w:cs="宋体"/>
          <w:color w:val="auto"/>
        </w:rPr>
      </w:pPr>
      <w:bookmarkStart w:id="117" w:name="_Toc14577359"/>
      <w:bookmarkStart w:id="118" w:name="_Toc49090510"/>
      <w:r>
        <w:rPr>
          <w:rFonts w:hint="eastAsia" w:ascii="宋体" w:hAnsi="宋体" w:eastAsia="宋体" w:cs="宋体"/>
          <w:color w:val="auto"/>
        </w:rPr>
        <w:t>14、投标函和开标一览表</w:t>
      </w:r>
      <w:bookmarkEnd w:id="117"/>
      <w:bookmarkEnd w:id="118"/>
    </w:p>
    <w:p w14:paraId="1BEB9EC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14.1投标人应按照招标文件中提供的格式完整、正确填写投标函、开标一览表。</w:t>
      </w:r>
    </w:p>
    <w:p w14:paraId="63A61873">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rPr>
        <w:t>。</w:t>
      </w:r>
    </w:p>
    <w:p w14:paraId="53CB0256">
      <w:pPr>
        <w:pStyle w:val="10"/>
        <w:keepNext/>
        <w:keepLines/>
        <w:spacing w:beforeAutospacing="0" w:afterAutospacing="0" w:line="460" w:lineRule="exact"/>
        <w:ind w:firstLine="480" w:firstLineChars="200"/>
        <w:jc w:val="both"/>
        <w:rPr>
          <w:rFonts w:ascii="宋体" w:hAnsi="宋体" w:eastAsia="宋体" w:cs="宋体"/>
          <w:color w:val="auto"/>
        </w:rPr>
      </w:pPr>
      <w:bookmarkStart w:id="119" w:name="_Toc14577360"/>
      <w:bookmarkStart w:id="120" w:name="_Toc49090511"/>
      <w:bookmarkStart w:id="121" w:name="_Hlt26954850"/>
      <w:bookmarkStart w:id="122" w:name="_Hlt26954734"/>
      <w:bookmarkStart w:id="123" w:name="_Hlt26670489"/>
      <w:r>
        <w:rPr>
          <w:rFonts w:hint="eastAsia" w:ascii="宋体" w:hAnsi="宋体" w:eastAsia="宋体" w:cs="宋体"/>
          <w:color w:val="auto"/>
        </w:rPr>
        <w:t>15、投标有效期</w:t>
      </w:r>
      <w:bookmarkEnd w:id="119"/>
      <w:bookmarkEnd w:id="120"/>
    </w:p>
    <w:p w14:paraId="6CB8DD62">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15.1投标有效期为采购代理机构规定的开标之日后</w:t>
      </w:r>
      <w:r>
        <w:rPr>
          <w:rFonts w:hint="eastAsia" w:ascii="宋体" w:hAnsi="宋体" w:eastAsia="宋体" w:cs="宋体"/>
          <w:b/>
          <w:color w:val="auto"/>
          <w:u w:val="single"/>
        </w:rPr>
        <w:t>九十（90）天</w:t>
      </w:r>
      <w:r>
        <w:rPr>
          <w:rFonts w:hint="eastAsia" w:ascii="宋体" w:hAnsi="宋体" w:eastAsia="宋体" w:cs="宋体"/>
          <w:color w:val="auto"/>
        </w:rPr>
        <w:t>。投标有效期比规定短的将被视为未实质性响应招标文件而予以拒绝。</w:t>
      </w:r>
    </w:p>
    <w:p w14:paraId="0A08692B">
      <w:pPr>
        <w:pStyle w:val="10"/>
        <w:keepNext/>
        <w:keepLines/>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16、投标有效期的延长</w:t>
      </w:r>
    </w:p>
    <w:p w14:paraId="580C2F5C">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p>
    <w:p w14:paraId="1E06A6BF">
      <w:pPr>
        <w:pStyle w:val="10"/>
        <w:keepNext/>
        <w:keepLines/>
        <w:spacing w:beforeAutospacing="0" w:afterAutospacing="0" w:line="460" w:lineRule="exact"/>
        <w:ind w:firstLine="482" w:firstLineChars="200"/>
        <w:jc w:val="both"/>
        <w:rPr>
          <w:rFonts w:ascii="宋体" w:hAnsi="宋体" w:eastAsia="宋体" w:cs="宋体"/>
          <w:color w:val="auto"/>
        </w:rPr>
      </w:pPr>
      <w:bookmarkStart w:id="124" w:name="_Toc120614217"/>
      <w:bookmarkStart w:id="125" w:name="_Toc513029224"/>
      <w:bookmarkStart w:id="126" w:name="_Toc20823296"/>
      <w:bookmarkStart w:id="127" w:name="_Toc16938540"/>
      <w:bookmarkStart w:id="128" w:name="_Hlt26954852"/>
      <w:bookmarkStart w:id="129" w:name="_Hlt26954739"/>
      <w:r>
        <w:rPr>
          <w:rFonts w:hint="eastAsia" w:ascii="宋体" w:hAnsi="宋体" w:eastAsia="宋体" w:cs="宋体"/>
          <w:b/>
          <w:color w:val="auto"/>
        </w:rPr>
        <w:t>四、投标文件的递交</w:t>
      </w:r>
      <w:bookmarkEnd w:id="124"/>
      <w:bookmarkEnd w:id="125"/>
      <w:bookmarkEnd w:id="126"/>
      <w:bookmarkEnd w:id="127"/>
    </w:p>
    <w:p w14:paraId="4C633EA9">
      <w:pPr>
        <w:pStyle w:val="10"/>
        <w:keepNext/>
        <w:keepLines/>
        <w:spacing w:beforeAutospacing="0" w:afterAutospacing="0" w:line="460" w:lineRule="exact"/>
        <w:ind w:firstLine="480" w:firstLineChars="200"/>
        <w:jc w:val="both"/>
        <w:rPr>
          <w:rFonts w:ascii="宋体" w:hAnsi="宋体" w:eastAsia="宋体" w:cs="宋体"/>
          <w:color w:val="auto"/>
        </w:rPr>
      </w:pPr>
      <w:bookmarkStart w:id="130" w:name="_Toc513029225"/>
      <w:bookmarkStart w:id="131" w:name="_Toc16938541"/>
      <w:bookmarkStart w:id="132" w:name="_Toc20823297"/>
      <w:bookmarkStart w:id="133" w:name="_Toc462564084"/>
      <w:r>
        <w:rPr>
          <w:rFonts w:hint="eastAsia" w:ascii="宋体" w:hAnsi="宋体" w:eastAsia="宋体" w:cs="宋体"/>
          <w:color w:val="auto"/>
        </w:rPr>
        <w:t>17、投标文件</w:t>
      </w:r>
      <w:bookmarkEnd w:id="130"/>
      <w:bookmarkEnd w:id="131"/>
      <w:bookmarkEnd w:id="132"/>
      <w:bookmarkEnd w:id="133"/>
      <w:r>
        <w:rPr>
          <w:rFonts w:hint="eastAsia" w:ascii="宋体" w:hAnsi="宋体" w:eastAsia="宋体" w:cs="宋体"/>
          <w:color w:val="auto"/>
        </w:rPr>
        <w:t>的递交</w:t>
      </w:r>
    </w:p>
    <w:p w14:paraId="26BFC676">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17.1 电子投标文件的递交</w:t>
      </w:r>
    </w:p>
    <w:p w14:paraId="65F6134F">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投标人应当按照《操作手册》规定，在投标截止时间前制作并上传电子投标文件。</w:t>
      </w:r>
      <w:bookmarkStart w:id="134" w:name="_Toc16938542"/>
      <w:bookmarkEnd w:id="134"/>
      <w:bookmarkStart w:id="135" w:name="_Toc20823298"/>
      <w:bookmarkEnd w:id="135"/>
      <w:bookmarkStart w:id="136" w:name="_Toc513029226"/>
    </w:p>
    <w:p w14:paraId="4F21A69A">
      <w:pPr>
        <w:pStyle w:val="10"/>
        <w:keepNext/>
        <w:keepLines/>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18、投标截止时间</w:t>
      </w:r>
    </w:p>
    <w:p w14:paraId="674070DF">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i/>
          <w:color w:val="auto"/>
          <w:u w:val="single"/>
        </w:rPr>
        <w:t>18.1投标人上传电子投标文件的时间不得迟于招标公告中规定的投标截止时间。</w:t>
      </w:r>
    </w:p>
    <w:p w14:paraId="237BBC0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投标人应充分考虑到网络环境、网络带宽等风险因素，如因投标人自身原因造成的电子投标文件上传不成功的按照本招标文件第二章第26.1.2条 规定做无效投标处理。</w:t>
      </w:r>
    </w:p>
    <w:p w14:paraId="120F6522">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18.2采购代理机构可以按照规定，通过修改招标文件酌情延长投标截止时间，在此情况下，投标人的所有权利和义务以及投标人受制的截止时间均应以延长后新的截止时间为准。</w:t>
      </w:r>
    </w:p>
    <w:p w14:paraId="3AECB744">
      <w:pPr>
        <w:pStyle w:val="10"/>
        <w:keepNext/>
        <w:keepLines/>
        <w:spacing w:beforeAutospacing="0" w:afterAutospacing="0" w:line="460" w:lineRule="exact"/>
        <w:ind w:firstLine="480" w:firstLineChars="200"/>
        <w:jc w:val="both"/>
        <w:rPr>
          <w:rFonts w:ascii="宋体" w:hAnsi="宋体" w:eastAsia="宋体" w:cs="宋体"/>
          <w:color w:val="auto"/>
        </w:rPr>
      </w:pPr>
      <w:bookmarkStart w:id="137" w:name="_Toc16938543"/>
      <w:bookmarkStart w:id="138" w:name="_Toc20823299"/>
      <w:bookmarkStart w:id="139" w:name="_Toc513029227"/>
      <w:r>
        <w:rPr>
          <w:rFonts w:hint="eastAsia" w:ascii="宋体" w:hAnsi="宋体" w:eastAsia="宋体" w:cs="宋体"/>
          <w:color w:val="auto"/>
        </w:rPr>
        <w:t>19、投标文件</w:t>
      </w:r>
      <w:bookmarkEnd w:id="137"/>
      <w:bookmarkEnd w:id="138"/>
      <w:bookmarkEnd w:id="139"/>
      <w:r>
        <w:rPr>
          <w:rFonts w:hint="eastAsia" w:ascii="宋体" w:hAnsi="宋体" w:eastAsia="宋体" w:cs="宋体"/>
          <w:color w:val="auto"/>
        </w:rPr>
        <w:t>的拒收</w:t>
      </w:r>
    </w:p>
    <w:p w14:paraId="2B48FBBD">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19.1采购代理机构拒绝接收在其规定的投标截止时间后上传的任何投标文件。</w:t>
      </w:r>
    </w:p>
    <w:p w14:paraId="6520AEC0">
      <w:pPr>
        <w:pStyle w:val="10"/>
        <w:keepNext/>
        <w:keepLines/>
        <w:spacing w:beforeAutospacing="0" w:afterAutospacing="0" w:line="460" w:lineRule="exact"/>
        <w:ind w:firstLine="480" w:firstLineChars="200"/>
        <w:jc w:val="both"/>
        <w:rPr>
          <w:rFonts w:ascii="宋体" w:hAnsi="宋体" w:eastAsia="宋体" w:cs="宋体"/>
          <w:color w:val="auto"/>
        </w:rPr>
      </w:pPr>
      <w:bookmarkStart w:id="140" w:name="_Toc513029228"/>
      <w:bookmarkStart w:id="141" w:name="_Toc16938544"/>
      <w:bookmarkStart w:id="142" w:name="_Toc20823300"/>
      <w:r>
        <w:rPr>
          <w:rFonts w:hint="eastAsia" w:ascii="宋体" w:hAnsi="宋体" w:eastAsia="宋体" w:cs="宋体"/>
          <w:color w:val="auto"/>
        </w:rPr>
        <w:t>20、投标文件的撤回和修改</w:t>
      </w:r>
      <w:bookmarkEnd w:id="140"/>
      <w:bookmarkEnd w:id="141"/>
      <w:bookmarkEnd w:id="142"/>
    </w:p>
    <w:p w14:paraId="2C6476A3">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20.1投标文件的撤回</w:t>
      </w:r>
    </w:p>
    <w:p w14:paraId="72EBA9C8">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20.1.1电子投标文件的撤回</w:t>
      </w:r>
    </w:p>
    <w:p w14:paraId="26CBD294">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投标人可在投标截止时间前，撤回其电子投标文件，具体操作方法见《操作手册》。</w:t>
      </w:r>
    </w:p>
    <w:p w14:paraId="3ED5148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20.1.2投标人撤回电子投标文件，则认为其不再参与本项目投标活动。</w:t>
      </w:r>
    </w:p>
    <w:p w14:paraId="090FC03B">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20.2 投标文件的修改</w:t>
      </w:r>
    </w:p>
    <w:p w14:paraId="053F4E4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20.2.1投标人可在投标截止时间前，对其电子投标文件进行修改，具体操作方法见《操作手册》。</w:t>
      </w:r>
    </w:p>
    <w:p w14:paraId="7AABAAF3">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20.2.2在投标截止时间之后，投标人不得对其电子投标文件作任何修改。</w:t>
      </w:r>
    </w:p>
    <w:p w14:paraId="1BEFAE9D">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20.3在投标截止时间至招标文件中规定的投标有效期满之间的这段时间内，投标人不得撤回其投标。</w:t>
      </w:r>
    </w:p>
    <w:p w14:paraId="1BB23621">
      <w:pPr>
        <w:pStyle w:val="10"/>
        <w:keepNext/>
        <w:keepLines/>
        <w:spacing w:beforeAutospacing="0" w:afterAutospacing="0" w:line="460" w:lineRule="exact"/>
        <w:ind w:firstLine="482" w:firstLineChars="200"/>
        <w:jc w:val="both"/>
        <w:rPr>
          <w:rFonts w:ascii="宋体" w:hAnsi="宋体" w:eastAsia="宋体" w:cs="宋体"/>
          <w:color w:val="auto"/>
        </w:rPr>
      </w:pPr>
      <w:bookmarkStart w:id="143" w:name="_Toc513029229"/>
      <w:bookmarkStart w:id="144" w:name="_Toc120614218"/>
      <w:bookmarkStart w:id="145" w:name="_Toc20823301"/>
      <w:bookmarkStart w:id="146" w:name="_Toc16938545"/>
      <w:r>
        <w:rPr>
          <w:rFonts w:hint="eastAsia" w:ascii="宋体" w:hAnsi="宋体" w:eastAsia="宋体" w:cs="宋体"/>
          <w:b/>
          <w:color w:val="auto"/>
        </w:rPr>
        <w:t>五、开标与评标</w:t>
      </w:r>
      <w:bookmarkEnd w:id="143"/>
      <w:bookmarkEnd w:id="144"/>
      <w:bookmarkEnd w:id="145"/>
      <w:bookmarkEnd w:id="146"/>
    </w:p>
    <w:p w14:paraId="2C4C772A">
      <w:pPr>
        <w:pStyle w:val="10"/>
        <w:keepNext/>
        <w:keepLines/>
        <w:spacing w:beforeAutospacing="0" w:afterAutospacing="0" w:line="460" w:lineRule="exact"/>
        <w:ind w:firstLine="480" w:firstLineChars="200"/>
        <w:jc w:val="both"/>
        <w:rPr>
          <w:rFonts w:ascii="宋体" w:hAnsi="宋体" w:eastAsia="宋体" w:cs="宋体"/>
          <w:color w:val="auto"/>
        </w:rPr>
      </w:pPr>
      <w:bookmarkStart w:id="147" w:name="_Toc16938546"/>
      <w:bookmarkStart w:id="148" w:name="_Toc513029230"/>
      <w:bookmarkStart w:id="149" w:name="_Toc20823302"/>
      <w:r>
        <w:rPr>
          <w:rFonts w:hint="eastAsia" w:ascii="宋体" w:hAnsi="宋体" w:eastAsia="宋体" w:cs="宋体"/>
          <w:color w:val="auto"/>
        </w:rPr>
        <w:t>21、开标</w:t>
      </w:r>
      <w:bookmarkEnd w:id="147"/>
      <w:bookmarkEnd w:id="148"/>
      <w:bookmarkEnd w:id="149"/>
    </w:p>
    <w:p w14:paraId="3FFA4913">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21.1采购代理机构将在招标公告中规定的时间和地点组织公开开标。投标人应当按照《操作手册》规定，参加开标活动和在苏采云系统规定的时间内对投标文件进行解密。</w:t>
      </w:r>
    </w:p>
    <w:p w14:paraId="01390B0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21.2开标仪式由采购代理机构组织。苏采云系统将自动对项目进行开标，并宣布各投标人名称和投标价格。</w:t>
      </w:r>
    </w:p>
    <w:p w14:paraId="24D42C9F">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21.3投标人在开标过程中涉及到的投标文件解密、开标结果确认等工作，应按照《操作手册》规定执行。</w:t>
      </w:r>
    </w:p>
    <w:p w14:paraId="6DF31ED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21.4投标人如果对开标过程和开标记录有疑义，应当根据《操作手册》规定提出，如苏采云系统中《开标记录表》宣布后5分钟内未提出的，视同认可开标结果。</w:t>
      </w:r>
    </w:p>
    <w:p w14:paraId="388DE53A">
      <w:pPr>
        <w:pStyle w:val="10"/>
        <w:keepNext/>
        <w:keepLines/>
        <w:spacing w:beforeAutospacing="0" w:afterAutospacing="0" w:line="460" w:lineRule="exact"/>
        <w:ind w:firstLine="480" w:firstLineChars="200"/>
        <w:jc w:val="both"/>
        <w:rPr>
          <w:rFonts w:ascii="宋体" w:hAnsi="宋体" w:eastAsia="宋体" w:cs="宋体"/>
          <w:color w:val="auto"/>
        </w:rPr>
      </w:pPr>
      <w:bookmarkStart w:id="150" w:name="_Toc20823303"/>
      <w:bookmarkStart w:id="151" w:name="_Toc513029231"/>
      <w:bookmarkStart w:id="152" w:name="_Toc16938547"/>
      <w:r>
        <w:rPr>
          <w:rFonts w:hint="eastAsia" w:ascii="宋体" w:hAnsi="宋体" w:eastAsia="宋体" w:cs="宋体"/>
          <w:color w:val="auto"/>
        </w:rPr>
        <w:t>22、评标委员会</w:t>
      </w:r>
      <w:bookmarkEnd w:id="150"/>
      <w:bookmarkEnd w:id="151"/>
      <w:bookmarkEnd w:id="152"/>
    </w:p>
    <w:p w14:paraId="2A744671">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22.1开标后，采购代理机构将立即组织评标委员会（以下简称评委会）进行评标。</w:t>
      </w:r>
    </w:p>
    <w:p w14:paraId="20656C36">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22.2评委会由采购人代表和有关技术、经济等方面的专家组成，且人员构成符合政府采购有关规定。</w:t>
      </w:r>
    </w:p>
    <w:p w14:paraId="1DF8D94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22.3评委会独立工作，负责评审所有投标文件并确定中标候选人。</w:t>
      </w:r>
    </w:p>
    <w:p w14:paraId="28C925DA">
      <w:pPr>
        <w:pStyle w:val="10"/>
        <w:keepNext/>
        <w:keepLines/>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23、评标过程的保密与公正</w:t>
      </w:r>
    </w:p>
    <w:p w14:paraId="57F459E2">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23.1凡是与审查、澄清、评价和比较投标的有关资料以及授标建议等，采购人、评委、采购代理机构均不得向投标人或与评标无关的其他人员透露。</w:t>
      </w:r>
    </w:p>
    <w:p w14:paraId="390A3B58">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23.2在评标过程中，投标人不得以任何行为影响评标过程，否则其投标文件将被作为无效投标文件。</w:t>
      </w:r>
    </w:p>
    <w:p w14:paraId="50BCF12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23.3采购代理机构和评标委员会不向未中标的投标人解释未中标原因，也不公布评标过程中的相关细节。</w:t>
      </w:r>
    </w:p>
    <w:p w14:paraId="5811AC5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23.4采用综合评分法的项目，未中标的投标人可于中标结果公告期限届满之日起通过苏采云系统查看自己的评审得分及排序情况。</w:t>
      </w:r>
    </w:p>
    <w:p w14:paraId="54153DDE">
      <w:pPr>
        <w:pStyle w:val="10"/>
        <w:keepNext/>
        <w:keepLines/>
        <w:spacing w:beforeAutospacing="0" w:afterAutospacing="0" w:line="460" w:lineRule="exact"/>
        <w:ind w:firstLine="480" w:firstLineChars="200"/>
        <w:jc w:val="both"/>
        <w:rPr>
          <w:rFonts w:ascii="宋体" w:hAnsi="宋体" w:eastAsia="宋体" w:cs="宋体"/>
          <w:color w:val="auto"/>
        </w:rPr>
      </w:pPr>
      <w:bookmarkStart w:id="153" w:name="_Toc513029232"/>
      <w:bookmarkStart w:id="154" w:name="_Toc16938548"/>
      <w:bookmarkStart w:id="155" w:name="_Toc20823304"/>
      <w:r>
        <w:rPr>
          <w:rFonts w:hint="eastAsia" w:ascii="宋体" w:hAnsi="宋体" w:eastAsia="宋体" w:cs="宋体"/>
          <w:color w:val="auto"/>
        </w:rPr>
        <w:t>24、投标文件的澄清</w:t>
      </w:r>
      <w:bookmarkEnd w:id="153"/>
      <w:bookmarkEnd w:id="154"/>
      <w:bookmarkEnd w:id="155"/>
    </w:p>
    <w:p w14:paraId="26A54FE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24.1评标期间，评委会对投标文件中含义不明确、同类问题表述不一致或者有明显文字和计算错误的内容 ，有权要求投标人作出必要的澄清、说明或者补正。</w:t>
      </w:r>
    </w:p>
    <w:p w14:paraId="29F4FB70">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投标人的澄清、说明或者补正不得超出投标文件的范围或者改变投标文件的实质性内容。</w:t>
      </w:r>
    </w:p>
    <w:p w14:paraId="3B1C0700">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评标委员会并非对每个投标人都做澄清要求。</w:t>
      </w:r>
    </w:p>
    <w:p w14:paraId="36C4B1EC">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0AB8EBE">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24.3接到评委会澄清、说明和补正要求的投标人如未按规定作出澄清、说明和补正，其风险由投标人自行承担。</w:t>
      </w:r>
    </w:p>
    <w:p w14:paraId="6E30B691">
      <w:pPr>
        <w:pStyle w:val="10"/>
        <w:keepNext/>
        <w:keepLines/>
        <w:spacing w:beforeAutospacing="0" w:afterAutospacing="0" w:line="460" w:lineRule="exact"/>
        <w:ind w:firstLine="480" w:firstLineChars="200"/>
        <w:jc w:val="both"/>
        <w:rPr>
          <w:rFonts w:ascii="宋体" w:hAnsi="宋体" w:eastAsia="宋体" w:cs="宋体"/>
          <w:color w:val="auto"/>
        </w:rPr>
      </w:pPr>
      <w:bookmarkStart w:id="156" w:name="_Toc16938549"/>
      <w:bookmarkStart w:id="157" w:name="_Toc20823305"/>
      <w:bookmarkStart w:id="158" w:name="_Toc513029233"/>
      <w:r>
        <w:rPr>
          <w:rFonts w:hint="eastAsia" w:ascii="宋体" w:hAnsi="宋体" w:eastAsia="宋体" w:cs="宋体"/>
          <w:color w:val="auto"/>
        </w:rPr>
        <w:t>25、对投标文件的初审</w:t>
      </w:r>
      <w:bookmarkEnd w:id="156"/>
      <w:bookmarkEnd w:id="157"/>
      <w:bookmarkEnd w:id="158"/>
    </w:p>
    <w:p w14:paraId="71756E3B">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25.1投标文件初审分为资格审查和符合性审查。</w:t>
      </w:r>
    </w:p>
    <w:p w14:paraId="18F44AD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25.1.1资格审查：依据法律法规和招标文件的规定，由采购人对投标文件中的资格证明文件进行审查。资格审查的结论，采购人以书面形式向评委会进行反馈。</w:t>
      </w:r>
    </w:p>
    <w:p w14:paraId="6A4B8600">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采购人在进行资格性审查的同时，将在“信用中国”网站（www.creditchina.gov.cn）查询投标人的信用记录，以确定投标人是否具备投标资格,查询结果留存并归档。</w:t>
      </w:r>
    </w:p>
    <w:p w14:paraId="45C5179D">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接受联合体的项目，两个以上的自然人、法人或者其他组织组成一个联合体，以一个供应商的身份共同参加政府采购活动的,联合体成员存在不良信用记录的，视同联合体存在不良应用记录。</w:t>
      </w:r>
    </w:p>
    <w:p w14:paraId="0E1B06C9">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25.1.2符合性审查：依据招标文件的规定，由评委会从投标文件的有效性、完整性和对招标文件的响应程度进行审查，以确定是否对招标文件的实质性要求作出响应。</w:t>
      </w:r>
    </w:p>
    <w:p w14:paraId="0FC7AF8F">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25.1.3未通过资格审查或符合性审查的投标人，采购代理机构将在苏采云系统中告知未通过资格审查或符合性审查的原因，评标结束后，采购代理机构将不再告知未通过资格审查和符合性审查的原因。</w:t>
      </w:r>
    </w:p>
    <w:p w14:paraId="21A80F1A">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25.3如果投标文件实质上没有响应招标文件的要求，评委会将予以拒绝，投标人不得通过修改或撤销不合要求的偏离或保留而使其投标成为实质性响应的投标。</w:t>
      </w:r>
    </w:p>
    <w:p w14:paraId="4FCA6640">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25.4评委会将对确定为实质性响应的投标进行进一步审核，确定其是否有计算上或累加上的算术错误，修正错误的原则如下：</w:t>
      </w:r>
    </w:p>
    <w:p w14:paraId="463946E2">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（1）投标文件中开标一览表内容与投标文件中相应内容不一致的，以开标一览表为准。</w:t>
      </w:r>
    </w:p>
    <w:p w14:paraId="4AA7B771">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（2）大写金额和小写金额不一致的，以大写金额为准。</w:t>
      </w:r>
    </w:p>
    <w:p w14:paraId="44F56D61">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（3）单价金额小数点或者百分比有明显错位的，以开标一览表的总价为准，并修改单价。</w:t>
      </w:r>
    </w:p>
    <w:p w14:paraId="0157CF21">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（4）总价金额与按单价汇总金额不一致的，以单价金额计算结果为准。</w:t>
      </w:r>
    </w:p>
    <w:p w14:paraId="2D36D6CA">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同时出现两种以上错误的，按照前款规定的顺序修正。</w:t>
      </w:r>
    </w:p>
    <w:p w14:paraId="1143D9AB">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25.5评委会将按上述修正错误的方法调整投标文件中的投标报价，并通过苏采云系统告知投标人，调整后的价格应对投标人具有约束力。如果投标人不接受修正后的价格，则其投标将被拒绝。</w:t>
      </w:r>
    </w:p>
    <w:p w14:paraId="1230C2C8">
      <w:pPr>
        <w:pStyle w:val="10"/>
        <w:spacing w:beforeAutospacing="0" w:afterAutospacing="0" w:line="460" w:lineRule="exact"/>
        <w:ind w:firstLine="480" w:firstLineChars="200"/>
        <w:jc w:val="both"/>
        <w:rPr>
          <w:rFonts w:ascii="宋体" w:hAnsi="宋体" w:eastAsia="宋体" w:cs="宋体"/>
          <w:color w:val="auto"/>
        </w:rPr>
      </w:pPr>
      <w:bookmarkStart w:id="159" w:name="_Toc513029234"/>
      <w:bookmarkStart w:id="160" w:name="_Toc20823306"/>
      <w:bookmarkStart w:id="161" w:name="_Toc16938550"/>
      <w:r>
        <w:rPr>
          <w:rFonts w:hint="eastAsia" w:ascii="宋体" w:hAnsi="宋体" w:eastAsia="宋体" w:cs="宋体"/>
          <w:color w:val="auto"/>
        </w:rPr>
        <w:t>25.6投标人在开、评标全过程中应保持通信畅通，及时登录苏采云系统查阅、答复相关信息，并安排专人与采购代理机构及评标委员会联系。</w:t>
      </w:r>
      <w:bookmarkEnd w:id="159"/>
      <w:bookmarkEnd w:id="160"/>
      <w:bookmarkEnd w:id="161"/>
    </w:p>
    <w:p w14:paraId="25F3BE20">
      <w:pPr>
        <w:pStyle w:val="10"/>
        <w:keepNext/>
        <w:keepLines/>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26、无效投标条款和废标条款</w:t>
      </w:r>
    </w:p>
    <w:p w14:paraId="7FB12682">
      <w:pPr>
        <w:pStyle w:val="10"/>
        <w:spacing w:beforeAutospacing="0" w:afterAutospacing="0" w:line="460" w:lineRule="exact"/>
        <w:ind w:firstLine="480" w:firstLineChars="200"/>
        <w:jc w:val="both"/>
        <w:rPr>
          <w:rFonts w:ascii="宋体" w:hAnsi="宋体" w:eastAsia="宋体" w:cs="宋体"/>
          <w:color w:val="auto"/>
        </w:rPr>
      </w:pPr>
      <w:bookmarkStart w:id="162" w:name="_Toc16938551"/>
      <w:bookmarkStart w:id="163" w:name="_Toc20823307"/>
      <w:bookmarkStart w:id="164" w:name="_Toc513029235"/>
      <w:r>
        <w:rPr>
          <w:rFonts w:hint="eastAsia" w:ascii="宋体" w:hAnsi="宋体" w:eastAsia="宋体" w:cs="宋体"/>
          <w:color w:val="auto"/>
        </w:rPr>
        <w:t>26.1无效投标条款</w:t>
      </w:r>
      <w:bookmarkEnd w:id="162"/>
      <w:bookmarkEnd w:id="163"/>
      <w:bookmarkEnd w:id="164"/>
    </w:p>
    <w:p w14:paraId="53B8CA9C">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26.1.1投标人在苏采云系统规定的时间内未成功解密电子投标文件的。</w:t>
      </w:r>
    </w:p>
    <w:p w14:paraId="66D8985D">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26.1.2投标人未按照招标文件要求上传电子投标文件的。</w:t>
      </w:r>
    </w:p>
    <w:p w14:paraId="435C93E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26.1.3同一投标人提交两个（含两个）以上不同的投标报价的。</w:t>
      </w:r>
    </w:p>
    <w:p w14:paraId="2DA1CF5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26.1.4投标人不具备招标文件中规定资格要求的。</w:t>
      </w:r>
    </w:p>
    <w:p w14:paraId="3BA9591A">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26.1.5投标人的报价超过了采购预算或最高限价的。</w:t>
      </w:r>
    </w:p>
    <w:p w14:paraId="05DAFB39">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26.1.6未通过符合性审查的。</w:t>
      </w:r>
    </w:p>
    <w:p w14:paraId="41A1E490">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26.1.7不符合招标文件中规定的实质性要求和条件的（</w:t>
      </w:r>
      <w:r>
        <w:rPr>
          <w:rFonts w:hint="eastAsia" w:ascii="宋体" w:hAnsi="宋体" w:eastAsia="宋体" w:cs="宋体"/>
          <w:i/>
          <w:color w:val="auto"/>
          <w:u w:val="single"/>
        </w:rPr>
        <w:t>本招标文件中斜体且有下划线部分为实质性要求和条件）。</w:t>
      </w:r>
    </w:p>
    <w:p w14:paraId="43387AC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26.1.9投标文件含有采购人不能接受的附加条件的。</w:t>
      </w:r>
    </w:p>
    <w:p w14:paraId="30278C46">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26.1.10投标人不能证明其报价合理性的，评标委员会应当将其作为无效投标处理。</w:t>
      </w:r>
    </w:p>
    <w:p w14:paraId="53F25155">
      <w:pPr>
        <w:pStyle w:val="10"/>
        <w:adjustRightInd w:val="0"/>
        <w:snapToGrid w:val="0"/>
        <w:spacing w:beforeAutospacing="0" w:afterAutospacing="0" w:line="500" w:lineRule="exact"/>
        <w:ind w:firstLine="482" w:firstLineChars="200"/>
        <w:jc w:val="both"/>
        <w:rPr>
          <w:rFonts w:cs="宋体" w:asciiTheme="minorEastAsia" w:hAnsiTheme="minorEastAsia"/>
          <w:b/>
          <w:color w:val="auto"/>
        </w:rPr>
      </w:pPr>
      <w:r>
        <w:rPr>
          <w:rFonts w:hint="eastAsia" w:cs="宋体" w:asciiTheme="minorEastAsia" w:hAnsiTheme="minorEastAsia"/>
          <w:b/>
          <w:color w:val="auto"/>
        </w:rPr>
        <w:t>（一）评审过程中出现下列情形之一的，评标委员会应当启动异常低价投标审查程序：</w:t>
      </w:r>
    </w:p>
    <w:p w14:paraId="122719FA">
      <w:pPr>
        <w:pStyle w:val="10"/>
        <w:adjustRightInd w:val="0"/>
        <w:snapToGrid w:val="0"/>
        <w:spacing w:beforeAutospacing="0" w:afterAutospacing="0" w:line="500" w:lineRule="exact"/>
        <w:ind w:firstLine="482" w:firstLineChars="200"/>
        <w:jc w:val="both"/>
        <w:rPr>
          <w:rFonts w:cs="宋体" w:asciiTheme="minorEastAsia" w:hAnsiTheme="minorEastAsia"/>
          <w:b/>
          <w:color w:val="auto"/>
        </w:rPr>
      </w:pPr>
      <w:r>
        <w:rPr>
          <w:rFonts w:hint="eastAsia" w:cs="宋体" w:asciiTheme="minorEastAsia" w:hAnsiTheme="minorEastAsia"/>
          <w:b/>
          <w:color w:val="auto"/>
        </w:rPr>
        <w:t>1.投标（响应）报价低于全部通过符合性审查供应商投标（响应）报价平均值50%的，即投标（响应）报价&lt;全部通过符合性审查供应商投标（响应）报价平均值×50%；</w:t>
      </w:r>
    </w:p>
    <w:p w14:paraId="011C351C">
      <w:pPr>
        <w:pStyle w:val="10"/>
        <w:adjustRightInd w:val="0"/>
        <w:snapToGrid w:val="0"/>
        <w:spacing w:beforeAutospacing="0" w:afterAutospacing="0" w:line="500" w:lineRule="exact"/>
        <w:ind w:firstLine="482" w:firstLineChars="200"/>
        <w:jc w:val="both"/>
        <w:rPr>
          <w:rFonts w:cs="宋体" w:asciiTheme="minorEastAsia" w:hAnsiTheme="minorEastAsia"/>
          <w:b/>
          <w:color w:val="auto"/>
        </w:rPr>
      </w:pPr>
      <w:r>
        <w:rPr>
          <w:rFonts w:hint="eastAsia" w:cs="宋体" w:asciiTheme="minorEastAsia" w:hAnsiTheme="minorEastAsia"/>
          <w:b/>
          <w:color w:val="auto"/>
        </w:rPr>
        <w:t>2.投标（响应）报价低于通过符合性审查的次低报价供应商投标（响应）报价50%的，即投标（响应）报价&lt;通过符合性审查的次低报价供应商投标（响应）报价×50%；</w:t>
      </w:r>
    </w:p>
    <w:p w14:paraId="322E29DF">
      <w:pPr>
        <w:pStyle w:val="10"/>
        <w:adjustRightInd w:val="0"/>
        <w:snapToGrid w:val="0"/>
        <w:spacing w:beforeAutospacing="0" w:afterAutospacing="0" w:line="500" w:lineRule="exact"/>
        <w:ind w:firstLine="482" w:firstLineChars="200"/>
        <w:jc w:val="both"/>
        <w:rPr>
          <w:rFonts w:cs="宋体" w:asciiTheme="minorEastAsia" w:hAnsiTheme="minorEastAsia"/>
          <w:b/>
          <w:color w:val="auto"/>
        </w:rPr>
      </w:pPr>
      <w:r>
        <w:rPr>
          <w:rFonts w:hint="eastAsia" w:cs="宋体" w:asciiTheme="minorEastAsia" w:hAnsiTheme="minorEastAsia"/>
          <w:b/>
          <w:color w:val="auto"/>
        </w:rPr>
        <w:t>3.投标（响应）报价低于采购项目最高限价45%的，即投标（响应）报价&lt;采购项目最高限价×45%；</w:t>
      </w:r>
    </w:p>
    <w:p w14:paraId="30091A6B">
      <w:pPr>
        <w:pStyle w:val="10"/>
        <w:adjustRightInd w:val="0"/>
        <w:snapToGrid w:val="0"/>
        <w:spacing w:beforeAutospacing="0" w:afterAutospacing="0" w:line="500" w:lineRule="exact"/>
        <w:ind w:firstLine="482" w:firstLineChars="200"/>
        <w:jc w:val="both"/>
        <w:rPr>
          <w:rFonts w:cs="宋体" w:asciiTheme="minorEastAsia" w:hAnsiTheme="minorEastAsia"/>
          <w:b/>
          <w:color w:val="auto"/>
        </w:rPr>
      </w:pPr>
      <w:r>
        <w:rPr>
          <w:rFonts w:hint="eastAsia" w:cs="宋体" w:asciiTheme="minorEastAsia" w:hAnsiTheme="minorEastAsia"/>
          <w:b/>
          <w:color w:val="auto"/>
        </w:rPr>
        <w:t>4.评审委员会基于专业判断，认为供应商报价过低，有可能影响产品质量或者不能诚信履约的其他情形。</w:t>
      </w:r>
    </w:p>
    <w:p w14:paraId="68474802">
      <w:pPr>
        <w:pStyle w:val="10"/>
        <w:adjustRightInd w:val="0"/>
        <w:snapToGrid w:val="0"/>
        <w:spacing w:beforeAutospacing="0" w:afterAutospacing="0" w:line="500" w:lineRule="exact"/>
        <w:ind w:firstLine="482" w:firstLineChars="200"/>
        <w:jc w:val="both"/>
        <w:rPr>
          <w:rFonts w:cs="宋体" w:asciiTheme="minorEastAsia" w:hAnsiTheme="minorEastAsia"/>
          <w:b/>
          <w:color w:val="auto"/>
        </w:rPr>
      </w:pPr>
      <w:r>
        <w:rPr>
          <w:rFonts w:hint="eastAsia" w:cs="宋体" w:asciiTheme="minorEastAsia" w:hAnsiTheme="minorEastAsia"/>
          <w:b/>
          <w:color w:val="auto"/>
        </w:rPr>
        <w:t>提醒：采购人可以结合具体项目实际情况，提高上述第1项至第3项中启动异常低价投标（响应）审查的数值标准，但是最高不得超过65%。</w:t>
      </w:r>
    </w:p>
    <w:p w14:paraId="11A261B7">
      <w:pPr>
        <w:pStyle w:val="10"/>
        <w:adjustRightInd w:val="0"/>
        <w:snapToGrid w:val="0"/>
        <w:spacing w:beforeAutospacing="0" w:afterAutospacing="0" w:line="500" w:lineRule="exact"/>
        <w:ind w:firstLine="482" w:firstLineChars="200"/>
        <w:jc w:val="both"/>
        <w:rPr>
          <w:rFonts w:cs="宋体" w:asciiTheme="minorEastAsia" w:hAnsiTheme="minorEastAsia"/>
          <w:b/>
          <w:color w:val="auto"/>
        </w:rPr>
      </w:pPr>
      <w:r>
        <w:rPr>
          <w:rFonts w:hint="eastAsia" w:cs="宋体" w:asciiTheme="minorEastAsia" w:hAnsiTheme="minorEastAsia"/>
          <w:b/>
          <w:color w:val="auto"/>
        </w:rPr>
        <w:t>相关法律法规对供应商报价有规定的，从其规定。</w:t>
      </w:r>
    </w:p>
    <w:p w14:paraId="1D8B5158">
      <w:pPr>
        <w:pStyle w:val="10"/>
        <w:adjustRightInd w:val="0"/>
        <w:snapToGrid w:val="0"/>
        <w:spacing w:beforeAutospacing="0" w:afterAutospacing="0" w:line="500" w:lineRule="exact"/>
        <w:ind w:firstLine="482" w:firstLineChars="200"/>
        <w:jc w:val="both"/>
        <w:rPr>
          <w:rFonts w:cs="宋体" w:asciiTheme="minorEastAsia" w:hAnsiTheme="minorEastAsia"/>
          <w:b/>
          <w:color w:val="auto"/>
        </w:rPr>
      </w:pPr>
      <w:r>
        <w:rPr>
          <w:rFonts w:hint="eastAsia" w:cs="宋体" w:asciiTheme="minorEastAsia" w:hAnsiTheme="minorEastAsia"/>
          <w:b/>
          <w:color w:val="auto"/>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BC68BA">
      <w:pPr>
        <w:pStyle w:val="10"/>
        <w:adjustRightInd w:val="0"/>
        <w:snapToGrid w:val="0"/>
        <w:spacing w:beforeAutospacing="0" w:afterAutospacing="0" w:line="500" w:lineRule="exact"/>
        <w:ind w:firstLine="482" w:firstLineChars="200"/>
        <w:jc w:val="both"/>
        <w:rPr>
          <w:rFonts w:cs="宋体" w:asciiTheme="minorEastAsia" w:hAnsiTheme="minorEastAsia"/>
          <w:b/>
          <w:color w:val="auto"/>
        </w:rPr>
      </w:pPr>
      <w:r>
        <w:rPr>
          <w:rFonts w:hint="eastAsia" w:cs="宋体" w:asciiTheme="minorEastAsia" w:hAnsiTheme="minorEastAsia"/>
          <w:b/>
          <w:color w:va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B0A4D2F">
      <w:pPr>
        <w:pStyle w:val="10"/>
        <w:adjustRightInd w:val="0"/>
        <w:snapToGrid w:val="0"/>
        <w:spacing w:beforeAutospacing="0" w:afterAutospacing="0" w:line="500" w:lineRule="exact"/>
        <w:ind w:firstLine="482" w:firstLineChars="200"/>
        <w:jc w:val="both"/>
        <w:rPr>
          <w:rFonts w:cs="宋体" w:asciiTheme="minorEastAsia" w:hAnsiTheme="minorEastAsia"/>
          <w:b/>
          <w:color w:val="auto"/>
        </w:rPr>
      </w:pPr>
      <w:r>
        <w:rPr>
          <w:rFonts w:hint="eastAsia" w:cs="宋体" w:asciiTheme="minorEastAsia" w:hAnsiTheme="minorEastAsia"/>
          <w:b/>
          <w:color w:val="auto"/>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53FE4F4">
      <w:pPr>
        <w:pStyle w:val="10"/>
        <w:adjustRightInd w:val="0"/>
        <w:snapToGrid w:val="0"/>
        <w:spacing w:beforeAutospacing="0" w:afterAutospacing="0" w:line="500" w:lineRule="exact"/>
        <w:ind w:firstLine="482" w:firstLineChars="200"/>
        <w:jc w:val="both"/>
        <w:rPr>
          <w:rFonts w:cs="宋体" w:asciiTheme="minorEastAsia" w:hAnsiTheme="minorEastAsia"/>
          <w:b/>
          <w:color w:val="auto"/>
        </w:rPr>
      </w:pPr>
      <w:r>
        <w:rPr>
          <w:rFonts w:hint="eastAsia" w:cs="宋体" w:asciiTheme="minorEastAsia" w:hAnsiTheme="minorEastAsia"/>
          <w:b/>
          <w:color w:val="auto"/>
        </w:rPr>
        <w:t>异常低价投标（响应）审查的启动原因、审查意见和审查结果应当在评审报告中记录，并随供应商提供的相关书面说明及证明材料，以及评审委员会有关互联网浏览、查询历史一并归档。</w:t>
      </w:r>
    </w:p>
    <w:p w14:paraId="18627F4F">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26.1.11投标文件未按照招标文件要求加盖CA电子公章的。</w:t>
      </w:r>
    </w:p>
    <w:p w14:paraId="742E7BA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26.1.12其他法律、法规及本招标文件规定的属无效投标的情形。</w:t>
      </w:r>
    </w:p>
    <w:p w14:paraId="2ACAC68A">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26.2废标条款</w:t>
      </w:r>
    </w:p>
    <w:p w14:paraId="5626BAE3">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26.2.1符合专业条件的供应商或者对招标文件作实质响应的供应商不足三家的。</w:t>
      </w:r>
    </w:p>
    <w:p w14:paraId="76ABCD28">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26.2.2出现影响采购公正的违法、违规行为的。</w:t>
      </w:r>
    </w:p>
    <w:p w14:paraId="6837BF2C">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26.2.3因重大变故，采购任务取消的。</w:t>
      </w:r>
    </w:p>
    <w:p w14:paraId="571B12E8">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26.2.4评标委员会认定招标文件存在歧义、重大缺陷导致评审工作无法进行。</w:t>
      </w:r>
    </w:p>
    <w:p w14:paraId="233CF4F2">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26.2.5因苏采云系统系统故障原因造成开标不成功的。</w:t>
      </w:r>
    </w:p>
    <w:p w14:paraId="25998E9E">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26.3 投标截止时间结束后参加投标的供应商不足三家的处理：</w:t>
      </w:r>
    </w:p>
    <w:p w14:paraId="6F8D70A4">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26.3.1如出现投标截止时间结束后参加投标的供应商或者在评标期间对招标文件做出实质响应的供应商不足三家情况，按政府采购相关规定执行。</w:t>
      </w:r>
    </w:p>
    <w:p w14:paraId="54251A44">
      <w:pPr>
        <w:pStyle w:val="10"/>
        <w:keepNext/>
        <w:keepLines/>
        <w:spacing w:beforeAutospacing="0" w:afterAutospacing="0" w:line="460" w:lineRule="exact"/>
        <w:ind w:firstLine="482" w:firstLineChars="200"/>
        <w:jc w:val="both"/>
        <w:rPr>
          <w:rFonts w:ascii="宋体" w:hAnsi="宋体" w:eastAsia="宋体" w:cs="宋体"/>
          <w:color w:val="auto"/>
        </w:rPr>
      </w:pPr>
      <w:bookmarkStart w:id="165" w:name="_Toc120614219"/>
      <w:r>
        <w:rPr>
          <w:rFonts w:hint="eastAsia" w:ascii="宋体" w:hAnsi="宋体" w:eastAsia="宋体" w:cs="宋体"/>
          <w:b/>
          <w:color w:val="auto"/>
        </w:rPr>
        <w:t>六、定标</w:t>
      </w:r>
      <w:bookmarkEnd w:id="165"/>
    </w:p>
    <w:p w14:paraId="609C833C">
      <w:pPr>
        <w:pStyle w:val="10"/>
        <w:keepNext/>
        <w:keepLines/>
        <w:spacing w:beforeAutospacing="0" w:afterAutospacing="0" w:line="460" w:lineRule="exact"/>
        <w:ind w:firstLine="480" w:firstLineChars="200"/>
        <w:jc w:val="both"/>
        <w:rPr>
          <w:rFonts w:ascii="宋体" w:hAnsi="宋体" w:eastAsia="宋体" w:cs="宋体"/>
          <w:color w:val="auto"/>
        </w:rPr>
      </w:pPr>
      <w:bookmarkStart w:id="166" w:name="_Toc20823310"/>
      <w:bookmarkStart w:id="167" w:name="_Toc513029238"/>
      <w:bookmarkStart w:id="168" w:name="_Toc16938554"/>
      <w:r>
        <w:rPr>
          <w:rFonts w:hint="eastAsia" w:ascii="宋体" w:hAnsi="宋体" w:eastAsia="宋体" w:cs="宋体"/>
          <w:color w:val="auto"/>
        </w:rPr>
        <w:t>27、</w:t>
      </w:r>
      <w:bookmarkEnd w:id="166"/>
      <w:r>
        <w:rPr>
          <w:rFonts w:hint="eastAsia" w:ascii="宋体" w:hAnsi="宋体" w:eastAsia="宋体" w:cs="宋体"/>
          <w:color w:val="auto"/>
        </w:rPr>
        <w:t>确定</w:t>
      </w:r>
      <w:bookmarkEnd w:id="167"/>
      <w:bookmarkEnd w:id="168"/>
      <w:r>
        <w:rPr>
          <w:rFonts w:hint="eastAsia" w:ascii="宋体" w:hAnsi="宋体" w:eastAsia="宋体" w:cs="宋体"/>
          <w:color w:val="auto"/>
        </w:rPr>
        <w:t>中标单位</w:t>
      </w:r>
    </w:p>
    <w:p w14:paraId="2AB6A90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 xml:space="preserve">27.1中标候选人的选取原则和数量见招标文件第五章规定。 </w:t>
      </w:r>
    </w:p>
    <w:p w14:paraId="17FFA72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27.2采购人应根据评委会推荐的中标候选人确定中标人。</w:t>
      </w:r>
    </w:p>
    <w:p w14:paraId="1FD1F372">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27.3采购代理机构将在“中国政府采购网”“江苏政府采购网”“盐城市政府采购网”发布中标公告，公告期限为1个工作日。</w:t>
      </w:r>
    </w:p>
    <w:p w14:paraId="41C3973E">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27.4若有充分证据证明，中标人出现下列情况之一的，一经查实，将被取消中标资格：</w:t>
      </w:r>
    </w:p>
    <w:p w14:paraId="685A758D">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27.4.1提供虚假材料谋取中标的。</w:t>
      </w:r>
    </w:p>
    <w:p w14:paraId="5973AA0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27.4.2向采购人、采购代理机构行贿或者提供其他不正当利益的。</w:t>
      </w:r>
    </w:p>
    <w:p w14:paraId="42C47A6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27.4.3属于本文件规定的无效条件，但在评标过程中又未被评委会发现的。</w:t>
      </w:r>
    </w:p>
    <w:p w14:paraId="2557B7C1">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27.4.4与采购人或者其他供应商恶意串通的。</w:t>
      </w:r>
    </w:p>
    <w:p w14:paraId="39DB40B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27.4.5采取不正当手段诋毁、排挤其他供应商的。</w:t>
      </w:r>
    </w:p>
    <w:p w14:paraId="359F1DB9">
      <w:pPr>
        <w:pStyle w:val="10"/>
        <w:spacing w:beforeAutospacing="0" w:afterAutospacing="0" w:line="460" w:lineRule="exact"/>
        <w:ind w:firstLine="480" w:firstLineChars="200"/>
        <w:jc w:val="both"/>
        <w:rPr>
          <w:rFonts w:ascii="宋体" w:hAnsi="宋体" w:eastAsia="宋体" w:cs="宋体"/>
          <w:color w:val="auto"/>
        </w:rPr>
      </w:pPr>
      <w:bookmarkStart w:id="169" w:name="_Toc200451960"/>
      <w:r>
        <w:rPr>
          <w:rFonts w:hint="eastAsia" w:ascii="宋体" w:hAnsi="宋体" w:eastAsia="宋体" w:cs="宋体"/>
          <w:color w:val="auto"/>
        </w:rPr>
        <w:t>27.5 有下列情形之一的，视为投标人串通投标，投标无效：</w:t>
      </w:r>
      <w:bookmarkEnd w:id="169"/>
    </w:p>
    <w:p w14:paraId="4A4B8D9A">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27.5.1不同投标人的投标文件由同一单位或者个人编制。</w:t>
      </w:r>
    </w:p>
    <w:p w14:paraId="59209E4B">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27.5.2不同投标人委托同一单位或者个人办理投标事宜。</w:t>
      </w:r>
    </w:p>
    <w:p w14:paraId="2A2191CD">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27.5.3不同投标人的投标文件载明的项目管理成员或者联系人员为同一人。</w:t>
      </w:r>
    </w:p>
    <w:p w14:paraId="1D9D00BF">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27.5.4不同投标人的投标文件异常一致或者投标报价呈规律性差异。</w:t>
      </w:r>
    </w:p>
    <w:p w14:paraId="1FA357F7">
      <w:pPr>
        <w:pStyle w:val="10"/>
        <w:keepNext/>
        <w:keepLines/>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28、质疑处理</w:t>
      </w:r>
    </w:p>
    <w:p w14:paraId="4C279A9B">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28.1提出质疑的供应商应当是参与所质疑项目采购活动的供应商。潜在供应商依法获取其可质疑的采购文件的，可以对采购文件提出质疑。</w:t>
      </w:r>
    </w:p>
    <w:p w14:paraId="717781AB">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686E0D9F">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28.2.1对可以质疑的采购文件提出质疑的，为收到采购文件之日或者采购文件公告期限届满之日；</w:t>
      </w:r>
    </w:p>
    <w:p w14:paraId="6BCE34BA">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28.2.2对采购过程提出质疑的，为各采购程序环节结束之日；</w:t>
      </w:r>
    </w:p>
    <w:p w14:paraId="5B797334">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28.2.3对中标或者成交结果提出质疑的，为中标或者成交结果公告期限届满之日。</w:t>
      </w:r>
    </w:p>
    <w:p w14:paraId="2D25EC6E">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供应商应当在法定质疑期内一次性提出针对同一采购程序环节的质疑。供应商如在法定期限内对同一采购程序环节提出多次质疑的，采购代理机构、采购人将只对供应商第一次质疑作出答复。</w:t>
      </w:r>
    </w:p>
    <w:p w14:paraId="76A90D99">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08878857">
      <w:pPr>
        <w:pStyle w:val="10"/>
        <w:spacing w:beforeAutospacing="0" w:afterAutospacing="0" w:line="500" w:lineRule="exact"/>
        <w:ind w:firstLine="480" w:firstLineChars="200"/>
        <w:jc w:val="both"/>
        <w:rPr>
          <w:rFonts w:ascii="宋体" w:hAnsi="宋体" w:eastAsia="宋体" w:cs="宋体"/>
          <w:color w:val="auto"/>
        </w:rPr>
      </w:pPr>
      <w:r>
        <w:rPr>
          <w:rFonts w:hint="eastAsia" w:ascii="宋体" w:hAnsi="宋体" w:eastAsia="宋体" w:cs="宋体"/>
          <w:color w:val="auto"/>
        </w:rPr>
        <w:t>采购人及采购代理机构只接收以纸质原件形式送达的质疑,采购人和采购代理机构不接受未填写快递运单的快件。质疑接收部门为盐城市招标代理有限公司业务受理处，联系地址：</w:t>
      </w:r>
      <w:r>
        <w:rPr>
          <w:rFonts w:hint="eastAsia" w:ascii="宋体" w:hAnsi="宋体" w:cs="宋体"/>
          <w:color w:val="auto"/>
          <w:szCs w:val="21"/>
          <w:shd w:val="clear" w:color="auto" w:fill="FFFFFF"/>
          <w:lang w:bidi="ar"/>
        </w:rPr>
        <w:t>盐城市青年路钱江财富广场西区A座4楼</w:t>
      </w:r>
      <w:r>
        <w:rPr>
          <w:rFonts w:hint="eastAsia" w:ascii="宋体" w:hAnsi="宋体" w:eastAsia="宋体" w:cs="宋体"/>
          <w:color w:val="auto"/>
        </w:rPr>
        <w:t>，联系电话：</w:t>
      </w:r>
      <w:r>
        <w:rPr>
          <w:rFonts w:ascii="宋体" w:hAnsi="宋体" w:cs="宋体"/>
          <w:color w:val="auto"/>
          <w:szCs w:val="21"/>
          <w:shd w:val="clear" w:color="auto" w:fill="FFFFFF"/>
          <w:lang w:bidi="ar"/>
        </w:rPr>
        <w:t>0515-89803566  15950298580</w:t>
      </w:r>
      <w:r>
        <w:rPr>
          <w:rFonts w:hint="eastAsia" w:ascii="宋体" w:hAnsi="宋体" w:eastAsia="宋体" w:cs="宋体"/>
          <w:color w:val="auto"/>
        </w:rPr>
        <w:t>。</w:t>
      </w:r>
    </w:p>
    <w:p w14:paraId="37E616A4">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28.5 以下情形的质疑不予受理</w:t>
      </w:r>
    </w:p>
    <w:p w14:paraId="75557581">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28.5.1内容不符合《政府采购质疑和投诉办法》第十二条规定的质疑。</w:t>
      </w:r>
    </w:p>
    <w:p w14:paraId="3875B54A">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28.5.2超出政府采购法定期限的质疑。</w:t>
      </w:r>
    </w:p>
    <w:p w14:paraId="78004B98">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28.5.3以传真、电子邮件等方式递交的非原件形式的质疑。</w:t>
      </w:r>
    </w:p>
    <w:p w14:paraId="355CA4D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28.5.4未参加投标活动的供应商或在投标活动中自身权益未受到损害的供应商所提出的质疑。</w:t>
      </w:r>
    </w:p>
    <w:p w14:paraId="111544C6">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28.5.5供应商组成联合体参加投标，联合体中任何一方或多方未按要求签字、盖章、加盖公章的质疑。</w:t>
      </w:r>
    </w:p>
    <w:p w14:paraId="457CF031">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3A91BDE">
      <w:pPr>
        <w:pStyle w:val="10"/>
        <w:keepNext/>
        <w:keepLines/>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29、中标通知书</w:t>
      </w:r>
    </w:p>
    <w:p w14:paraId="3BFBC942">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CC1F91B">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29.2中标通知书将是合同的一个组成部分。对采购人和中标人均具有法律效力。中标通知书发出后，采购人改变中标结果的，或者中标人放弃中标项目的，应当依法承担法律责任。</w:t>
      </w:r>
    </w:p>
    <w:p w14:paraId="64DAAC83">
      <w:pPr>
        <w:pStyle w:val="10"/>
        <w:keepNext/>
        <w:keepLines/>
        <w:spacing w:beforeAutospacing="0" w:afterAutospacing="0" w:line="460" w:lineRule="exact"/>
        <w:ind w:firstLine="482" w:firstLineChars="200"/>
        <w:jc w:val="both"/>
        <w:rPr>
          <w:rFonts w:ascii="宋体" w:hAnsi="宋体" w:eastAsia="宋体" w:cs="宋体"/>
          <w:color w:val="auto"/>
        </w:rPr>
      </w:pPr>
      <w:bookmarkStart w:id="170" w:name="_Toc20823308"/>
      <w:bookmarkStart w:id="171" w:name="_Toc16938552"/>
      <w:bookmarkStart w:id="172" w:name="_Toc513029236"/>
      <w:bookmarkStart w:id="173" w:name="_Toc120614220"/>
      <w:r>
        <w:rPr>
          <w:rFonts w:hint="eastAsia" w:ascii="宋体" w:hAnsi="宋体" w:eastAsia="宋体" w:cs="宋体"/>
          <w:b/>
          <w:color w:val="auto"/>
        </w:rPr>
        <w:t>七、授予合同</w:t>
      </w:r>
      <w:bookmarkEnd w:id="170"/>
      <w:bookmarkEnd w:id="171"/>
      <w:bookmarkEnd w:id="172"/>
      <w:bookmarkEnd w:id="173"/>
    </w:p>
    <w:p w14:paraId="6ACCED81">
      <w:pPr>
        <w:pStyle w:val="10"/>
        <w:keepNext/>
        <w:keepLines/>
        <w:spacing w:beforeAutospacing="0" w:afterAutospacing="0" w:line="460" w:lineRule="exact"/>
        <w:ind w:firstLine="480" w:firstLineChars="200"/>
        <w:jc w:val="both"/>
        <w:rPr>
          <w:rFonts w:ascii="宋体" w:hAnsi="宋体" w:eastAsia="宋体" w:cs="宋体"/>
          <w:color w:val="auto"/>
        </w:rPr>
      </w:pPr>
      <w:bookmarkStart w:id="174" w:name="_Toc513029237"/>
      <w:bookmarkStart w:id="175" w:name="_Toc20823309"/>
      <w:bookmarkStart w:id="176" w:name="_Toc16938553"/>
      <w:r>
        <w:rPr>
          <w:rFonts w:hint="eastAsia" w:ascii="宋体" w:hAnsi="宋体" w:eastAsia="宋体" w:cs="宋体"/>
          <w:color w:val="auto"/>
        </w:rPr>
        <w:t>30.签订合同</w:t>
      </w:r>
      <w:bookmarkEnd w:id="174"/>
      <w:bookmarkEnd w:id="175"/>
      <w:bookmarkEnd w:id="176"/>
    </w:p>
    <w:p w14:paraId="49272DD0">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30.l中标人应当在中标通知书发出之日起三十日内，按照招标文件确定的事项与采购人签订政府采购合同。</w:t>
      </w:r>
    </w:p>
    <w:p w14:paraId="00518D93">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30.2招标文件、中标人的投标文件及招标过程中有关澄清、承诺文件均应作为合同附件。</w:t>
      </w:r>
    </w:p>
    <w:p w14:paraId="6C2608F8">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30.3签订合同后，</w:t>
      </w:r>
      <w:r>
        <w:rPr>
          <w:rFonts w:hint="eastAsia" w:ascii="宋体" w:hAnsi="宋体" w:eastAsia="宋体" w:cs="宋体"/>
          <w:i/>
          <w:color w:val="auto"/>
          <w:u w:val="single"/>
        </w:rPr>
        <w:t>中标人不得将合同标的进行转包</w:t>
      </w:r>
      <w:r>
        <w:rPr>
          <w:rFonts w:hint="eastAsia" w:ascii="宋体" w:hAnsi="宋体" w:eastAsia="宋体" w:cs="宋体"/>
          <w:color w:val="auto"/>
        </w:rPr>
        <w:t>。未经采购人同意，中标人也不得采用分包的形式履行合同，否则采购人有权终止合同。转包或分包造成采购人损失的，中标人应承担相应赔偿责任。</w:t>
      </w:r>
    </w:p>
    <w:p w14:paraId="77BCD65A">
      <w:pPr>
        <w:pStyle w:val="10"/>
        <w:keepNext/>
        <w:keepLines/>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31、服务（包含与服务相关的货物）的追加</w:t>
      </w:r>
    </w:p>
    <w:p w14:paraId="3B7551AE">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10"/>
        <w:keepNext/>
        <w:keepLines/>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32.政府采购政策功能落实</w:t>
      </w:r>
    </w:p>
    <w:p w14:paraId="3EA2C724">
      <w:pPr>
        <w:pStyle w:val="10"/>
        <w:keepNext/>
        <w:keepLines/>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32.1政府采购线上合同信用融资政策</w:t>
      </w:r>
    </w:p>
    <w:p w14:paraId="7831DEFD">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5A8ADEB">
      <w:pPr>
        <w:tabs>
          <w:tab w:val="left" w:pos="1381"/>
        </w:tabs>
        <w:spacing w:line="460" w:lineRule="exact"/>
        <w:ind w:firstLine="480" w:firstLineChars="200"/>
        <w:rPr>
          <w:rFonts w:ascii="宋体" w:hAnsi="宋体" w:eastAsia="宋体" w:cs="宋体"/>
          <w:color w:val="auto"/>
          <w:kern w:val="0"/>
          <w:sz w:val="24"/>
        </w:rPr>
      </w:pPr>
      <w:r>
        <w:rPr>
          <w:rFonts w:hint="eastAsia" w:ascii="宋体" w:hAnsi="宋体" w:eastAsia="宋体" w:cs="宋体"/>
          <w:color w:val="auto"/>
          <w:kern w:val="0"/>
          <w:sz w:val="24"/>
        </w:rPr>
        <w:t>32.2进口产品</w:t>
      </w:r>
    </w:p>
    <w:p w14:paraId="5E25FDB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tabs>
          <w:tab w:val="left" w:pos="1381"/>
        </w:tabs>
        <w:spacing w:line="460" w:lineRule="exact"/>
        <w:ind w:firstLine="480" w:firstLineChars="200"/>
        <w:rPr>
          <w:rFonts w:ascii="宋体" w:hAnsi="宋体" w:eastAsia="宋体" w:cs="宋体"/>
          <w:color w:val="auto"/>
          <w:kern w:val="0"/>
          <w:sz w:val="24"/>
        </w:rPr>
      </w:pPr>
      <w:r>
        <w:rPr>
          <w:rFonts w:hint="eastAsia" w:ascii="宋体" w:hAnsi="宋体" w:eastAsia="宋体" w:cs="宋体"/>
          <w:color w:val="auto"/>
          <w:kern w:val="0"/>
          <w:sz w:val="24"/>
        </w:rPr>
        <w:t>32.3中小企业、监狱企业及残疾人福利性单位</w:t>
      </w:r>
    </w:p>
    <w:p w14:paraId="63807B9C">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32.3.1中小企业定义：</w:t>
      </w:r>
    </w:p>
    <w:p w14:paraId="4C9CBD8E">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32.3.2供应商提供的货物、工程或者服务符合下列情形的，享受中小企业扶持政策：</w:t>
      </w:r>
    </w:p>
    <w:p w14:paraId="6761BEF4">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32.3.2.1在货物采购项目中，货物由中小企业制造，即货物由中小企业生产且使用该中小企业商号或者注册商标；</w:t>
      </w:r>
    </w:p>
    <w:p w14:paraId="31163D4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32.3.2.2在工程采购项目中，工程由中小企业承建，即工程施工单位为中小企业；</w:t>
      </w:r>
    </w:p>
    <w:p w14:paraId="4DFC19BD">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32.3.2.3在服务采购项目中，服务由中小企业承接，即提供服务的人员为中小企业依照《中华人民共和国劳动合同法》订立劳动合同的从业人员。</w:t>
      </w:r>
    </w:p>
    <w:p w14:paraId="3EA95C7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32.3.3在货物采购项目中，供应商提供的货物既有中小企业制造货物，也有大型企业制造货物的，不享受中小企业扶持政策。</w:t>
      </w:r>
    </w:p>
    <w:p w14:paraId="18C13D1A">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32.3.4以联合体形式参加政府采购活动，联合体各方均为中小企业的，联合体视同中小企业。其中，联合体各方均为小微企业的，联合体视同小微企业。</w:t>
      </w:r>
    </w:p>
    <w:p w14:paraId="34D8F3DF">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32.3.6残疾人福利单位定义：享受政府采购支持政策的残疾人福利性单位应当同时满足以下条件：</w:t>
      </w:r>
    </w:p>
    <w:p w14:paraId="2C10A4F6">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32.3.6.1安置的残疾人占本单位在职职工人数的比例不低于25%（含25%），并且安置的残疾人人数不少于10 人（含10 人）；</w:t>
      </w:r>
    </w:p>
    <w:p w14:paraId="273AB3B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32.3.6.2依法与安置的每位残疾人签订了一年以上（含一年）的劳动合同或服务协议；</w:t>
      </w:r>
    </w:p>
    <w:p w14:paraId="25054FF3">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32.3.6.3为安置的每位残疾人按月足额缴纳了基本养老保险、基本医疗保险、失业保险、工伤保险和生育保险等社会保险费；</w:t>
      </w:r>
    </w:p>
    <w:p w14:paraId="2B08B5C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32.3.6.4通过银行等金融机构向安置的每位残疾人，按月支付了不低于单位所在区县适用的经省级人民政府批准的月最低工资标准的工资；</w:t>
      </w:r>
    </w:p>
    <w:p w14:paraId="20CB233D">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32.3.6.5提供本单位制造的货物、承担的工程或者服务（以下简称产品），或者提供其他残疾人福利性单位制造的货物（不包括使用非残疾人福利性单位注册商标的货物）；</w:t>
      </w:r>
    </w:p>
    <w:p w14:paraId="23EBDFDE">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32.3.7本项目是否专门面向中小企业预留采购份额见第一章《招标公告》。</w:t>
      </w:r>
    </w:p>
    <w:p w14:paraId="66321B5E">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32.3.8采购标的对应的中小企业划分标准所属行业见第四章《采购需求》。</w:t>
      </w:r>
    </w:p>
    <w:p w14:paraId="3CD37815">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32.3.9小微企业价格评审优惠的政策：见第五章《评标方法和评标标准》。</w:t>
      </w:r>
    </w:p>
    <w:p w14:paraId="24130294">
      <w:pPr>
        <w:pStyle w:val="10"/>
        <w:keepNext/>
        <w:keepLines/>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32.4政府采购节能产品、环境标志产品</w:t>
      </w:r>
    </w:p>
    <w:p w14:paraId="56196F7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32.5绿色包装</w:t>
      </w:r>
    </w:p>
    <w:p w14:paraId="3C828DB7">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tabs>
          <w:tab w:val="left" w:pos="1381"/>
        </w:tabs>
        <w:spacing w:line="460" w:lineRule="exact"/>
        <w:ind w:firstLine="480" w:firstLineChars="200"/>
        <w:rPr>
          <w:rFonts w:ascii="宋体" w:hAnsi="宋体" w:eastAsia="宋体" w:cs="宋体"/>
          <w:color w:val="auto"/>
          <w:kern w:val="0"/>
          <w:sz w:val="24"/>
        </w:rPr>
      </w:pPr>
      <w:r>
        <w:rPr>
          <w:rFonts w:hint="eastAsia" w:ascii="宋体" w:hAnsi="宋体" w:eastAsia="宋体" w:cs="宋体"/>
          <w:color w:val="auto"/>
          <w:kern w:val="0"/>
          <w:sz w:val="24"/>
        </w:rPr>
        <w:t>32.6政府采购创新产品</w:t>
      </w:r>
    </w:p>
    <w:p w14:paraId="2D9B3368">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采购人优先采购各级政府部门公开发布的有效期内的创新产品、创新服务、首台套、首购首用等《目录》的创新产品。</w:t>
      </w:r>
    </w:p>
    <w:p w14:paraId="57947BB5">
      <w:pPr>
        <w:tabs>
          <w:tab w:val="left" w:pos="1381"/>
        </w:tabs>
        <w:spacing w:line="460" w:lineRule="exact"/>
        <w:ind w:firstLine="480" w:firstLineChars="200"/>
        <w:rPr>
          <w:rFonts w:ascii="宋体" w:hAnsi="宋体" w:eastAsia="宋体" w:cs="宋体"/>
          <w:color w:val="auto"/>
          <w:kern w:val="0"/>
          <w:sz w:val="24"/>
        </w:rPr>
      </w:pPr>
      <w:r>
        <w:rPr>
          <w:rFonts w:hint="eastAsia" w:ascii="宋体" w:hAnsi="宋体" w:eastAsia="宋体" w:cs="宋体"/>
          <w:color w:val="auto"/>
          <w:kern w:val="0"/>
          <w:sz w:val="24"/>
        </w:rPr>
        <w:t xml:space="preserve">32.7绿色数据中心政策 </w:t>
      </w:r>
    </w:p>
    <w:p w14:paraId="722A8D32">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spacing w:line="460" w:lineRule="exact"/>
        <w:ind w:firstLine="482" w:firstLineChars="200"/>
        <w:rPr>
          <w:rFonts w:ascii="宋体" w:hAnsi="宋体" w:eastAsia="宋体" w:cs="宋体"/>
          <w:b/>
          <w:bCs/>
          <w:color w:val="auto"/>
          <w:kern w:val="0"/>
          <w:sz w:val="24"/>
        </w:rPr>
      </w:pPr>
      <w:r>
        <w:rPr>
          <w:rFonts w:hint="eastAsia" w:ascii="宋体" w:hAnsi="宋体" w:eastAsia="宋体" w:cs="宋体"/>
          <w:b/>
          <w:bCs/>
          <w:color w:val="auto"/>
          <w:kern w:val="0"/>
          <w:sz w:val="24"/>
        </w:rPr>
        <w:t>32.8实施本国产品标准及相关政策</w:t>
      </w:r>
    </w:p>
    <w:p w14:paraId="510E6799">
      <w:pPr>
        <w:spacing w:line="460" w:lineRule="exact"/>
        <w:ind w:firstLine="482" w:firstLineChars="200"/>
        <w:rPr>
          <w:rFonts w:ascii="宋体" w:hAnsi="宋体" w:eastAsia="宋体" w:cs="宋体"/>
          <w:b/>
          <w:bCs/>
          <w:color w:val="auto"/>
          <w:kern w:val="0"/>
          <w:sz w:val="24"/>
        </w:rPr>
      </w:pPr>
      <w:r>
        <w:rPr>
          <w:rFonts w:hint="eastAsia" w:ascii="宋体" w:hAnsi="宋体" w:eastAsia="宋体" w:cs="宋体"/>
          <w:b/>
          <w:bCs/>
          <w:color w:val="auto"/>
          <w:kern w:val="0"/>
          <w:sz w:val="24"/>
        </w:rPr>
        <w:t>1.本项目对采购本国产品给予政策支持，具体内容见招标文件“第五章 评标方法与评标标准”。</w:t>
      </w:r>
    </w:p>
    <w:p w14:paraId="6E8BCEDC">
      <w:pPr>
        <w:spacing w:line="460" w:lineRule="exact"/>
        <w:ind w:firstLine="482" w:firstLineChars="200"/>
        <w:rPr>
          <w:rFonts w:ascii="宋体" w:hAnsi="宋体" w:eastAsia="宋体" w:cs="宋体"/>
          <w:b/>
          <w:bCs/>
          <w:color w:val="auto"/>
          <w:kern w:val="0"/>
          <w:sz w:val="24"/>
        </w:rPr>
      </w:pPr>
      <w:r>
        <w:rPr>
          <w:rFonts w:hint="eastAsia" w:ascii="宋体" w:hAnsi="宋体" w:eastAsia="宋体" w:cs="宋体"/>
          <w:b/>
          <w:bCs/>
          <w:color w:val="auto"/>
          <w:kern w:val="0"/>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spacing w:line="460" w:lineRule="exact"/>
        <w:ind w:firstLine="482" w:firstLineChars="200"/>
        <w:rPr>
          <w:rFonts w:ascii="宋体" w:hAnsi="宋体" w:eastAsia="宋体" w:cs="宋体"/>
          <w:color w:val="auto"/>
          <w:kern w:val="0"/>
          <w:sz w:val="24"/>
        </w:rPr>
      </w:pPr>
      <w:r>
        <w:rPr>
          <w:rFonts w:hint="eastAsia" w:ascii="宋体" w:hAnsi="宋体" w:eastAsia="宋体" w:cs="宋体"/>
          <w:b/>
          <w:bCs/>
          <w:color w:val="auto"/>
          <w:kern w:val="0"/>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spacing w:line="460" w:lineRule="exact"/>
        <w:ind w:firstLine="482" w:firstLineChars="200"/>
        <w:rPr>
          <w:rFonts w:ascii="宋体" w:hAnsi="宋体" w:eastAsia="宋体" w:cs="宋体"/>
          <w:b/>
          <w:bCs/>
          <w:color w:val="auto"/>
          <w:kern w:val="0"/>
          <w:sz w:val="24"/>
        </w:rPr>
      </w:pPr>
      <w:r>
        <w:rPr>
          <w:rFonts w:hint="eastAsia" w:ascii="宋体" w:hAnsi="宋体" w:eastAsia="宋体" w:cs="宋体"/>
          <w:b/>
          <w:bCs/>
          <w:color w:val="auto"/>
          <w:kern w:val="0"/>
          <w:sz w:val="24"/>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u w:val="single"/>
        </w:rPr>
        <w:t>故，如供应商所提供产品为本国产品的，应当对其提供的产品出具《关于符合本国产品标准的声明函》（以下简称《声明函》），不出具《声明函》的，不享受政府采购对本国产品的支持政策。</w:t>
      </w:r>
    </w:p>
    <w:p w14:paraId="034807A4">
      <w:pPr>
        <w:tabs>
          <w:tab w:val="left" w:pos="1381"/>
        </w:tabs>
        <w:spacing w:line="460" w:lineRule="exact"/>
        <w:ind w:firstLine="480" w:firstLineChars="200"/>
        <w:rPr>
          <w:rFonts w:ascii="宋体" w:hAnsi="宋体" w:eastAsia="宋体" w:cs="宋体"/>
          <w:color w:val="auto"/>
          <w:kern w:val="0"/>
          <w:sz w:val="24"/>
        </w:rPr>
      </w:pPr>
      <w:r>
        <w:rPr>
          <w:rFonts w:hint="eastAsia" w:ascii="宋体" w:hAnsi="宋体" w:eastAsia="宋体" w:cs="宋体"/>
          <w:color w:val="auto"/>
          <w:kern w:val="0"/>
          <w:sz w:val="24"/>
        </w:rPr>
        <w:t>32.9履约保证金政策</w:t>
      </w:r>
    </w:p>
    <w:p w14:paraId="4AF54F99">
      <w:pPr>
        <w:spacing w:line="500" w:lineRule="exact"/>
        <w:ind w:firstLine="480" w:firstLineChars="200"/>
        <w:rPr>
          <w:rFonts w:ascii="宋体" w:hAnsi="宋体" w:eastAsia="宋体" w:cs="宋体"/>
          <w:color w:val="auto"/>
          <w:kern w:val="0"/>
          <w:sz w:val="24"/>
        </w:rPr>
      </w:pPr>
      <w:r>
        <w:rPr>
          <w:rFonts w:hint="eastAsia" w:ascii="宋体" w:hAnsi="宋体" w:eastAsia="宋体" w:cs="宋体"/>
          <w:color w:val="auto"/>
          <w:kern w:val="0"/>
          <w:sz w:val="24"/>
        </w:rPr>
        <w:t>确需收取履约保证金的，履约保证金的缴纳形式：</w:t>
      </w:r>
    </w:p>
    <w:p w14:paraId="5F4DA5BC">
      <w:pPr>
        <w:spacing w:line="500" w:lineRule="exact"/>
        <w:ind w:firstLine="480" w:firstLineChars="200"/>
        <w:rPr>
          <w:rFonts w:ascii="宋体" w:hAnsi="宋体" w:eastAsia="宋体" w:cs="宋体"/>
          <w:color w:val="auto"/>
          <w:kern w:val="0"/>
          <w:sz w:val="24"/>
        </w:rPr>
      </w:pPr>
      <w:r>
        <w:rPr>
          <w:rFonts w:hint="eastAsia" w:ascii="宋体" w:hAnsi="宋体" w:eastAsia="宋体" w:cs="宋体"/>
          <w:color w:val="auto"/>
          <w:kern w:val="0"/>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BF2DE29">
      <w:pPr>
        <w:spacing w:line="500" w:lineRule="exact"/>
        <w:ind w:firstLine="480" w:firstLineChars="200"/>
        <w:rPr>
          <w:rFonts w:ascii="宋体" w:hAnsi="宋体" w:eastAsia="宋体" w:cs="宋体"/>
          <w:color w:val="auto"/>
          <w:kern w:val="0"/>
          <w:sz w:val="24"/>
        </w:rPr>
      </w:pPr>
      <w:r>
        <w:rPr>
          <w:rFonts w:hint="eastAsia" w:ascii="宋体" w:hAnsi="宋体" w:eastAsia="宋体" w:cs="宋体"/>
          <w:color w:val="auto"/>
          <w:kern w:val="0"/>
          <w:sz w:val="24"/>
        </w:rPr>
        <w:t xml:space="preserve"> 如以履约保函（保险）形式缴纳履约保证金，供应商可通过政府采购电子履约保函（保险）平台（www.jsdzbh.com）在线申请履约保函（保险）。</w:t>
      </w:r>
    </w:p>
    <w:p w14:paraId="4A23EC11">
      <w:pPr>
        <w:spacing w:line="500" w:lineRule="exact"/>
        <w:ind w:firstLine="480" w:firstLineChars="200"/>
        <w:rPr>
          <w:rFonts w:ascii="宋体" w:hAnsi="宋体" w:eastAsia="宋体" w:cs="宋体"/>
          <w:color w:val="auto"/>
          <w:kern w:val="0"/>
          <w:sz w:val="24"/>
        </w:rPr>
      </w:pPr>
      <w:r>
        <w:rPr>
          <w:rFonts w:hint="eastAsia" w:ascii="宋体" w:hAnsi="宋体" w:eastAsia="宋体" w:cs="宋体"/>
          <w:color w:val="auto"/>
          <w:kern w:val="0"/>
          <w:sz w:val="24"/>
        </w:rPr>
        <w:t>履约保证金金额</w:t>
      </w:r>
      <w:r>
        <w:rPr>
          <w:rFonts w:hint="eastAsia" w:ascii="宋体" w:hAnsi="宋体" w:cs="宋体"/>
          <w:color w:val="auto"/>
          <w:sz w:val="24"/>
        </w:rPr>
        <w:t>为合同金额的</w:t>
      </w:r>
      <w:r>
        <w:rPr>
          <w:rFonts w:ascii="宋体" w:hAnsi="宋体" w:cs="宋体"/>
          <w:color w:val="auto"/>
          <w:sz w:val="24"/>
        </w:rPr>
        <w:t>5</w:t>
      </w:r>
      <w:r>
        <w:rPr>
          <w:rFonts w:hint="eastAsia" w:ascii="宋体" w:hAnsi="宋体" w:cs="宋体"/>
          <w:color w:val="auto"/>
          <w:sz w:val="24"/>
        </w:rPr>
        <w:t>%</w:t>
      </w:r>
      <w:r>
        <w:rPr>
          <w:rFonts w:hint="eastAsia" w:ascii="宋体" w:hAnsi="宋体" w:eastAsia="宋体" w:cs="宋体"/>
          <w:color w:val="auto"/>
          <w:kern w:val="0"/>
          <w:sz w:val="24"/>
        </w:rPr>
        <w:t>，采购人对第三方信用服务机构依据标准规范评定为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4A8582D0">
      <w:pPr>
        <w:tabs>
          <w:tab w:val="left" w:pos="1381"/>
        </w:tabs>
        <w:spacing w:line="500" w:lineRule="exact"/>
        <w:ind w:firstLine="480" w:firstLineChars="200"/>
        <w:rPr>
          <w:rFonts w:ascii="宋体" w:hAnsi="宋体" w:eastAsia="宋体" w:cs="宋体"/>
          <w:color w:val="auto"/>
          <w:kern w:val="0"/>
          <w:sz w:val="24"/>
        </w:rPr>
      </w:pPr>
      <w:r>
        <w:rPr>
          <w:rFonts w:hint="eastAsia" w:ascii="宋体" w:hAnsi="宋体" w:eastAsia="宋体" w:cs="宋体"/>
          <w:color w:val="auto"/>
          <w:kern w:val="0"/>
          <w:sz w:val="24"/>
        </w:rPr>
        <w:t>34. 预付款制度</w:t>
      </w:r>
    </w:p>
    <w:p w14:paraId="1D0D848B">
      <w:pPr>
        <w:spacing w:line="500" w:lineRule="exact"/>
        <w:ind w:firstLine="480" w:firstLineChars="200"/>
        <w:rPr>
          <w:rFonts w:ascii="宋体" w:hAnsi="宋体" w:eastAsia="宋体" w:cs="宋体"/>
          <w:color w:val="auto"/>
          <w:kern w:val="0"/>
          <w:sz w:val="24"/>
        </w:rPr>
      </w:pPr>
      <w:r>
        <w:rPr>
          <w:rFonts w:hint="eastAsia" w:ascii="宋体" w:hAnsi="宋体" w:eastAsia="宋体" w:cs="宋体"/>
          <w:color w:val="auto"/>
          <w:kern w:val="0"/>
          <w:sz w:val="24"/>
        </w:rPr>
        <w:t>本项目落实预付款制度，预付款比例为</w:t>
      </w:r>
      <w:r>
        <w:rPr>
          <w:rFonts w:hint="eastAsia" w:ascii="宋体" w:hAnsi="宋体" w:eastAsia="宋体" w:cs="宋体"/>
          <w:color w:val="auto"/>
          <w:kern w:val="0"/>
          <w:sz w:val="24"/>
          <w:u w:val="single"/>
        </w:rPr>
        <w:t xml:space="preserve"> </w:t>
      </w:r>
      <w:r>
        <w:rPr>
          <w:rFonts w:ascii="宋体" w:hAnsi="宋体" w:eastAsia="宋体" w:cs="宋体"/>
          <w:color w:val="auto"/>
          <w:kern w:val="0"/>
          <w:sz w:val="24"/>
          <w:u w:val="single"/>
        </w:rPr>
        <w:t>30</w:t>
      </w:r>
      <w:r>
        <w:rPr>
          <w:rFonts w:hint="eastAsia" w:ascii="宋体" w:hAnsi="宋体" w:eastAsia="宋体" w:cs="宋体"/>
          <w:color w:val="auto"/>
          <w:kern w:val="0"/>
          <w:sz w:val="24"/>
        </w:rPr>
        <w:t xml:space="preserve"> %。在签订合同时，中标、成交供应商明确书面表示无需预付款或者主动要求降低预付款比例的，采购人可就预付款比例作相应调整。</w:t>
      </w:r>
    </w:p>
    <w:p w14:paraId="7CA8D8D6">
      <w:pPr>
        <w:pStyle w:val="10"/>
        <w:spacing w:beforeAutospacing="0" w:afterAutospacing="0" w:line="460" w:lineRule="exact"/>
        <w:ind w:firstLine="480" w:firstLineChars="200"/>
        <w:jc w:val="both"/>
        <w:rPr>
          <w:rFonts w:ascii="宋体" w:hAnsi="宋体" w:eastAsia="宋体" w:cs="宋体"/>
          <w:color w:val="auto"/>
        </w:rPr>
      </w:pPr>
    </w:p>
    <w:p w14:paraId="53289C7D">
      <w:pPr>
        <w:pStyle w:val="10"/>
        <w:spacing w:beforeAutospacing="0" w:afterAutospacing="0" w:line="0" w:lineRule="atLeast"/>
        <w:ind w:firstLine="480"/>
        <w:jc w:val="both"/>
        <w:rPr>
          <w:rFonts w:ascii="宋体" w:hAnsi="宋体" w:eastAsia="宋体" w:cs="宋体"/>
          <w:color w:val="auto"/>
        </w:rPr>
      </w:pPr>
    </w:p>
    <w:p w14:paraId="71AEE9AD">
      <w:pPr>
        <w:pStyle w:val="10"/>
        <w:spacing w:beforeAutospacing="0" w:afterAutospacing="0"/>
        <w:jc w:val="both"/>
        <w:rPr>
          <w:rFonts w:ascii="黑体" w:hAnsi="宋体" w:eastAsia="黑体" w:cs="黑体"/>
          <w:color w:val="auto"/>
          <w:sz w:val="44"/>
          <w:szCs w:val="44"/>
        </w:rPr>
      </w:pPr>
      <w:r>
        <w:rPr>
          <w:rFonts w:hint="eastAsia" w:ascii="宋体" w:hAnsi="宋体" w:eastAsia="宋体" w:cs="宋体"/>
          <w:color w:val="auto"/>
        </w:rPr>
        <w:t> </w:t>
      </w:r>
    </w:p>
    <w:p w14:paraId="61434B72">
      <w:pPr>
        <w:spacing w:line="500" w:lineRule="exact"/>
        <w:ind w:firstLine="880"/>
        <w:jc w:val="center"/>
        <w:rPr>
          <w:rFonts w:ascii="黑体" w:hAnsi="宋体" w:eastAsia="黑体" w:cs="黑体"/>
          <w:color w:val="auto"/>
          <w:sz w:val="44"/>
          <w:szCs w:val="44"/>
        </w:rPr>
      </w:pPr>
    </w:p>
    <w:p w14:paraId="0D5A4711">
      <w:pPr>
        <w:spacing w:line="500" w:lineRule="exact"/>
        <w:ind w:firstLine="880"/>
        <w:jc w:val="center"/>
        <w:rPr>
          <w:color w:val="auto"/>
          <w:sz w:val="44"/>
          <w:szCs w:val="44"/>
        </w:rPr>
      </w:pPr>
      <w:r>
        <w:rPr>
          <w:rFonts w:hint="eastAsia" w:ascii="黑体" w:hAnsi="宋体" w:eastAsia="黑体" w:cs="黑体"/>
          <w:color w:val="auto"/>
          <w:sz w:val="44"/>
          <w:szCs w:val="44"/>
        </w:rPr>
        <w:t>第三章  合同文本</w:t>
      </w:r>
    </w:p>
    <w:p w14:paraId="6ED296F0">
      <w:pPr>
        <w:adjustRightInd w:val="0"/>
        <w:snapToGrid w:val="0"/>
        <w:spacing w:line="500" w:lineRule="exact"/>
        <w:ind w:firstLine="480" w:firstLineChars="200"/>
        <w:rPr>
          <w:rFonts w:asciiTheme="minorEastAsia" w:hAnsiTheme="minorEastAsia"/>
          <w:bCs/>
          <w:color w:val="auto"/>
          <w:sz w:val="24"/>
        </w:rPr>
      </w:pPr>
      <w:bookmarkStart w:id="177" w:name="_Toc479757211"/>
      <w:bookmarkStart w:id="178" w:name="_Toc20823346"/>
      <w:bookmarkStart w:id="179" w:name="_Toc462564139"/>
      <w:bookmarkStart w:id="180" w:name="_Toc16938590"/>
      <w:bookmarkStart w:id="181" w:name="_Hlt16619350"/>
      <w:bookmarkStart w:id="182" w:name="_Toc120614244"/>
      <w:bookmarkStart w:id="183" w:name="_Hlt16619369"/>
      <w:r>
        <w:rPr>
          <w:rFonts w:hint="eastAsia" w:asciiTheme="minorEastAsia" w:hAnsiTheme="minorEastAsia"/>
          <w:bCs/>
          <w:color w:val="auto"/>
          <w:sz w:val="24"/>
        </w:rPr>
        <w:t>以下为成交后签订本项目合同的通用条款，成交供应商不得提出实质性的修改，关于专用条款将由采购人与成交供应商结合本项目具体情况协商后签订。</w:t>
      </w:r>
    </w:p>
    <w:p w14:paraId="3F4A3CD2">
      <w:pPr>
        <w:adjustRightInd w:val="0"/>
        <w:snapToGrid w:val="0"/>
        <w:spacing w:line="500" w:lineRule="exact"/>
        <w:ind w:firstLine="480" w:firstLineChars="200"/>
        <w:rPr>
          <w:rFonts w:asciiTheme="minorEastAsia" w:hAnsiTheme="minorEastAsia"/>
          <w:color w:val="auto"/>
          <w:sz w:val="24"/>
        </w:rPr>
      </w:pPr>
    </w:p>
    <w:p w14:paraId="3F4EDADB">
      <w:pPr>
        <w:adjustRightInd w:val="0"/>
        <w:snapToGrid w:val="0"/>
        <w:spacing w:line="500" w:lineRule="exact"/>
        <w:jc w:val="left"/>
        <w:rPr>
          <w:rFonts w:cs="宋体" w:asciiTheme="minorEastAsia" w:hAnsiTheme="minorEastAsia"/>
          <w:color w:val="auto"/>
          <w:sz w:val="24"/>
        </w:rPr>
      </w:pPr>
      <w:r>
        <w:rPr>
          <w:rFonts w:hint="eastAsia" w:cs="宋体" w:asciiTheme="minorEastAsia" w:hAnsiTheme="minorEastAsia"/>
          <w:color w:val="auto"/>
          <w:sz w:val="24"/>
        </w:rPr>
        <w:t>甲方：盐城市卫生健康委员会</w:t>
      </w:r>
    </w:p>
    <w:p w14:paraId="2402ECA0">
      <w:pPr>
        <w:adjustRightInd w:val="0"/>
        <w:snapToGrid w:val="0"/>
        <w:spacing w:line="500" w:lineRule="exact"/>
        <w:jc w:val="left"/>
        <w:rPr>
          <w:rFonts w:cs="宋体" w:asciiTheme="minorEastAsia" w:hAnsiTheme="minorEastAsia"/>
          <w:color w:val="auto"/>
          <w:sz w:val="24"/>
        </w:rPr>
      </w:pPr>
      <w:r>
        <w:rPr>
          <w:rFonts w:hint="eastAsia" w:cs="宋体" w:asciiTheme="minorEastAsia" w:hAnsiTheme="minorEastAsia"/>
          <w:color w:val="auto"/>
          <w:sz w:val="24"/>
        </w:rPr>
        <w:t xml:space="preserve">地址：盐城市亭湖区开发大道北路39号  </w:t>
      </w:r>
    </w:p>
    <w:p w14:paraId="7FB9EA3C">
      <w:pPr>
        <w:adjustRightInd w:val="0"/>
        <w:snapToGrid w:val="0"/>
        <w:spacing w:line="500" w:lineRule="exact"/>
        <w:jc w:val="left"/>
        <w:rPr>
          <w:rFonts w:cs="宋体" w:asciiTheme="minorEastAsia" w:hAnsiTheme="minorEastAsia"/>
          <w:color w:val="auto"/>
          <w:sz w:val="24"/>
        </w:rPr>
      </w:pPr>
    </w:p>
    <w:p w14:paraId="7664CF2E">
      <w:pPr>
        <w:adjustRightInd w:val="0"/>
        <w:snapToGrid w:val="0"/>
        <w:spacing w:line="500" w:lineRule="exact"/>
        <w:jc w:val="left"/>
        <w:rPr>
          <w:rFonts w:cs="宋体" w:asciiTheme="minorEastAsia" w:hAnsiTheme="minorEastAsia"/>
          <w:color w:val="auto"/>
          <w:sz w:val="24"/>
        </w:rPr>
      </w:pPr>
      <w:r>
        <w:rPr>
          <w:rFonts w:hint="eastAsia" w:cs="宋体" w:asciiTheme="minorEastAsia" w:hAnsiTheme="minorEastAsia"/>
          <w:color w:val="auto"/>
          <w:sz w:val="24"/>
        </w:rPr>
        <w:t>乙方：</w:t>
      </w:r>
      <w:r>
        <w:rPr>
          <w:rFonts w:hint="eastAsia" w:cs="宋体" w:asciiTheme="minorEastAsia" w:hAnsiTheme="minorEastAsia"/>
          <w:color w:val="auto"/>
          <w:sz w:val="24"/>
          <w:u w:val="single"/>
        </w:rPr>
        <w:t xml:space="preserve"> </w:t>
      </w:r>
      <w:r>
        <w:rPr>
          <w:rFonts w:cs="宋体" w:asciiTheme="minorEastAsia" w:hAnsiTheme="minorEastAsia"/>
          <w:color w:val="auto"/>
          <w:sz w:val="24"/>
          <w:u w:val="single"/>
        </w:rPr>
        <w:t xml:space="preserve">                        </w:t>
      </w:r>
    </w:p>
    <w:p w14:paraId="27C5A4FE">
      <w:pPr>
        <w:adjustRightInd w:val="0"/>
        <w:snapToGrid w:val="0"/>
        <w:spacing w:line="500" w:lineRule="exact"/>
        <w:jc w:val="left"/>
        <w:rPr>
          <w:rFonts w:cs="宋体" w:asciiTheme="minorEastAsia" w:hAnsiTheme="minorEastAsia"/>
          <w:color w:val="auto"/>
          <w:sz w:val="24"/>
        </w:rPr>
      </w:pPr>
      <w:r>
        <w:rPr>
          <w:rFonts w:hint="eastAsia" w:cs="宋体" w:asciiTheme="minorEastAsia" w:hAnsiTheme="minorEastAsia"/>
          <w:color w:val="auto"/>
          <w:sz w:val="24"/>
        </w:rPr>
        <w:t>地址：</w:t>
      </w:r>
      <w:r>
        <w:rPr>
          <w:rFonts w:hint="eastAsia" w:cs="宋体" w:asciiTheme="minorEastAsia" w:hAnsiTheme="minorEastAsia"/>
          <w:color w:val="auto"/>
          <w:sz w:val="24"/>
          <w:u w:val="single"/>
        </w:rPr>
        <w:t xml:space="preserve"> </w:t>
      </w:r>
      <w:r>
        <w:rPr>
          <w:rFonts w:cs="宋体" w:asciiTheme="minorEastAsia" w:hAnsiTheme="minorEastAsia"/>
          <w:color w:val="auto"/>
          <w:sz w:val="24"/>
          <w:u w:val="single"/>
        </w:rPr>
        <w:t xml:space="preserve">                         </w:t>
      </w:r>
    </w:p>
    <w:p w14:paraId="3E6EA5EB">
      <w:pPr>
        <w:adjustRightInd w:val="0"/>
        <w:snapToGrid w:val="0"/>
        <w:spacing w:line="500" w:lineRule="exact"/>
        <w:jc w:val="left"/>
        <w:rPr>
          <w:rFonts w:cs="宋体" w:asciiTheme="minorEastAsia" w:hAnsiTheme="minorEastAsia"/>
          <w:color w:val="auto"/>
          <w:sz w:val="24"/>
        </w:rPr>
      </w:pPr>
    </w:p>
    <w:p w14:paraId="4C3B98D2">
      <w:pPr>
        <w:adjustRightInd w:val="0"/>
        <w:snapToGrid w:val="0"/>
        <w:spacing w:line="500" w:lineRule="exact"/>
        <w:ind w:firstLine="482" w:firstLineChars="200"/>
        <w:jc w:val="center"/>
        <w:rPr>
          <w:rFonts w:cs="宋体" w:asciiTheme="minorEastAsia" w:hAnsiTheme="minorEastAsia"/>
          <w:b/>
          <w:bCs/>
          <w:color w:val="auto"/>
          <w:sz w:val="24"/>
        </w:rPr>
      </w:pPr>
      <w:r>
        <w:rPr>
          <w:rFonts w:hint="eastAsia" w:cs="宋体" w:asciiTheme="minorEastAsia" w:hAnsiTheme="minorEastAsia"/>
          <w:b/>
          <w:bCs/>
          <w:color w:val="auto"/>
          <w:sz w:val="24"/>
        </w:rPr>
        <w:t>第一章   服务基本条款</w:t>
      </w:r>
    </w:p>
    <w:p w14:paraId="16A47DBF">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本合同条款是依据《中华人民共和国民法典》及相关法律的规定，甲、乙双方就甲方开展的“2026-2028年度医务人员海外研修服务项目”，由乙方为甲方提供赴海外研修相关咨询服务事宜，在协商一致的基础上制定。</w:t>
      </w:r>
    </w:p>
    <w:p w14:paraId="096AD0AE">
      <w:pPr>
        <w:adjustRightInd w:val="0"/>
        <w:snapToGrid w:val="0"/>
        <w:spacing w:line="500" w:lineRule="exact"/>
        <w:jc w:val="left"/>
        <w:rPr>
          <w:rFonts w:cs="宋体" w:asciiTheme="minorEastAsia" w:hAnsiTheme="minorEastAsia"/>
          <w:color w:val="auto"/>
          <w:sz w:val="24"/>
        </w:rPr>
      </w:pPr>
    </w:p>
    <w:p w14:paraId="667A93BF">
      <w:pPr>
        <w:adjustRightInd w:val="0"/>
        <w:snapToGrid w:val="0"/>
        <w:spacing w:line="500" w:lineRule="exact"/>
        <w:ind w:firstLine="482" w:firstLineChars="200"/>
        <w:jc w:val="center"/>
        <w:rPr>
          <w:rFonts w:cs="宋体" w:asciiTheme="minorEastAsia" w:hAnsiTheme="minorEastAsia"/>
          <w:b/>
          <w:bCs/>
          <w:color w:val="auto"/>
          <w:sz w:val="24"/>
        </w:rPr>
      </w:pPr>
      <w:r>
        <w:rPr>
          <w:rFonts w:hint="eastAsia" w:cs="宋体" w:asciiTheme="minorEastAsia" w:hAnsiTheme="minorEastAsia"/>
          <w:b/>
          <w:bCs/>
          <w:color w:val="auto"/>
          <w:sz w:val="24"/>
        </w:rPr>
        <w:t>第二章  服务内容</w:t>
      </w:r>
    </w:p>
    <w:p w14:paraId="0CA00AEB">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第一条  乙方根据学员的专业背景以及选报的项目，协助联系安排其到所选国家相应院校，按照学校教授制定的详细培训计划，开展临床观摩或实验研究，学习国外先进医疗卫生服务体系建设、临床诊疗技术和先进管理经验；同时，乙方为学员提供面试指导、签证指导、入住安顿等服务。</w:t>
      </w:r>
    </w:p>
    <w:p w14:paraId="60217D00">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第二条  甲方所选项目为</w:t>
      </w:r>
      <w:r>
        <w:rPr>
          <w:rFonts w:hint="eastAsia" w:cs="宋体" w:asciiTheme="minorEastAsia" w:hAnsiTheme="minorEastAsia"/>
          <w:color w:val="auto"/>
          <w:sz w:val="24"/>
          <w:u w:val="single"/>
        </w:rPr>
        <w:t xml:space="preserve">  临床观摩项目</w:t>
      </w:r>
      <w:r>
        <w:rPr>
          <w:rFonts w:hint="eastAsia" w:cs="宋体" w:asciiTheme="minorEastAsia" w:hAnsiTheme="minorEastAsia"/>
          <w:b/>
          <w:bCs/>
          <w:color w:val="auto"/>
          <w:sz w:val="24"/>
          <w:u w:val="single"/>
        </w:rPr>
        <w:t xml:space="preserve">  </w:t>
      </w:r>
      <w:r>
        <w:rPr>
          <w:rFonts w:hint="eastAsia" w:cs="宋体" w:asciiTheme="minorEastAsia" w:hAnsiTheme="minorEastAsia"/>
          <w:color w:val="auto"/>
          <w:sz w:val="24"/>
        </w:rPr>
        <w:t>；</w:t>
      </w:r>
    </w:p>
    <w:p w14:paraId="66C24F32">
      <w:pPr>
        <w:pStyle w:val="24"/>
        <w:widowControl w:val="0"/>
        <w:spacing w:before="0" w:beforeLines="0" w:after="0" w:line="500" w:lineRule="exact"/>
        <w:ind w:firstLine="480" w:firstLineChars="200"/>
        <w:jc w:val="left"/>
        <w:rPr>
          <w:rFonts w:ascii="宋体" w:eastAsia="宋体" w:cs="宋体"/>
          <w:color w:val="auto"/>
          <w:szCs w:val="24"/>
        </w:rPr>
      </w:pPr>
      <w:r>
        <w:rPr>
          <w:rFonts w:hint="eastAsia" w:cs="宋体" w:asciiTheme="minorEastAsia" w:hAnsiTheme="minorEastAsia" w:eastAsiaTheme="minorEastAsia"/>
          <w:color w:val="auto"/>
          <w:kern w:val="2"/>
          <w:szCs w:val="24"/>
        </w:rPr>
        <w:t xml:space="preserve">第三条 </w:t>
      </w:r>
      <w:r>
        <w:rPr>
          <w:rFonts w:hint="eastAsia" w:cs="宋体" w:asciiTheme="minorEastAsia" w:hAnsiTheme="minorEastAsia"/>
          <w:color w:val="auto"/>
        </w:rPr>
        <w:t xml:space="preserve"> </w:t>
      </w:r>
      <w:r>
        <w:rPr>
          <w:rFonts w:hint="eastAsia" w:cs="宋体" w:asciiTheme="minorEastAsia" w:hAnsiTheme="minorEastAsia" w:eastAsiaTheme="minorEastAsia"/>
          <w:color w:val="auto"/>
          <w:kern w:val="2"/>
          <w:szCs w:val="24"/>
        </w:rPr>
        <w:t>研修目标国家和机构为</w:t>
      </w:r>
      <w:r>
        <w:rPr>
          <w:rFonts w:hint="eastAsia" w:ascii="宋体" w:eastAsia="宋体" w:cs="宋体"/>
          <w:color w:val="auto"/>
          <w:szCs w:val="24"/>
        </w:rPr>
        <w:t>：</w:t>
      </w:r>
      <w:r>
        <w:rPr>
          <w:rFonts w:hint="eastAsia" w:ascii="宋体" w:eastAsia="宋体" w:cs="宋体"/>
          <w:color w:val="auto"/>
          <w:szCs w:val="24"/>
          <w:u w:val="single"/>
        </w:rPr>
        <w:t>意大利、美国、英国，具体研修地点及专业须经甲方确认</w:t>
      </w:r>
      <w:r>
        <w:rPr>
          <w:rFonts w:hint="eastAsia" w:ascii="宋体" w:eastAsia="宋体" w:cs="宋体"/>
          <w:color w:val="auto"/>
          <w:szCs w:val="24"/>
        </w:rPr>
        <w:t>。</w:t>
      </w:r>
    </w:p>
    <w:p w14:paraId="14D217D4">
      <w:pPr>
        <w:pStyle w:val="24"/>
        <w:widowControl w:val="0"/>
        <w:spacing w:before="0" w:beforeLines="0" w:after="0" w:line="500" w:lineRule="exact"/>
        <w:ind w:firstLine="480" w:firstLineChars="200"/>
        <w:jc w:val="left"/>
        <w:rPr>
          <w:rFonts w:ascii="宋体" w:eastAsia="宋体" w:cs="宋体"/>
          <w:color w:val="auto"/>
          <w:szCs w:val="24"/>
        </w:rPr>
      </w:pPr>
      <w:r>
        <w:rPr>
          <w:rFonts w:hint="eastAsia" w:ascii="宋体" w:eastAsia="宋体" w:cs="宋体"/>
          <w:color w:val="auto"/>
          <w:szCs w:val="24"/>
        </w:rPr>
        <w:t>2.研修机构要求：研修机构要求：国外研修机构世界知名，</w:t>
      </w:r>
      <w:r>
        <w:rPr>
          <w:rFonts w:ascii="宋体" w:eastAsia="宋体" w:cs="宋体"/>
          <w:color w:val="auto"/>
          <w:szCs w:val="24"/>
        </w:rPr>
        <w:t>所在国综合</w:t>
      </w:r>
      <w:r>
        <w:rPr>
          <w:rFonts w:hint="eastAsia" w:ascii="宋体" w:eastAsia="宋体" w:cs="宋体"/>
          <w:color w:val="auto"/>
          <w:szCs w:val="24"/>
        </w:rPr>
        <w:t>：</w:t>
      </w:r>
      <w:r>
        <w:rPr>
          <w:rFonts w:ascii="宋体" w:eastAsia="宋体" w:cs="宋体"/>
          <w:color w:val="auto"/>
          <w:szCs w:val="24"/>
        </w:rPr>
        <w:t>美国为综合排名前</w:t>
      </w:r>
      <w:r>
        <w:rPr>
          <w:rFonts w:hint="eastAsia" w:ascii="宋体" w:eastAsia="宋体" w:cs="宋体"/>
          <w:color w:val="auto"/>
          <w:szCs w:val="24"/>
        </w:rPr>
        <w:t>三十名，意大利</w:t>
      </w:r>
      <w:r>
        <w:rPr>
          <w:rFonts w:ascii="宋体" w:eastAsia="宋体" w:cs="宋体"/>
          <w:color w:val="auto"/>
          <w:szCs w:val="24"/>
        </w:rPr>
        <w:t>为综合排名前</w:t>
      </w:r>
      <w:r>
        <w:rPr>
          <w:rFonts w:hint="eastAsia" w:ascii="宋体" w:eastAsia="宋体" w:cs="宋体"/>
          <w:color w:val="auto"/>
          <w:szCs w:val="24"/>
        </w:rPr>
        <w:t>十名</w:t>
      </w:r>
      <w:r>
        <w:rPr>
          <w:rFonts w:ascii="宋体" w:eastAsia="宋体" w:cs="宋体"/>
          <w:color w:val="auto"/>
          <w:szCs w:val="24"/>
        </w:rPr>
        <w:t>，</w:t>
      </w:r>
      <w:r>
        <w:rPr>
          <w:rFonts w:hint="eastAsia" w:ascii="宋体" w:eastAsia="宋体" w:cs="宋体"/>
          <w:color w:val="auto"/>
          <w:szCs w:val="24"/>
        </w:rPr>
        <w:t>英国</w:t>
      </w:r>
      <w:r>
        <w:rPr>
          <w:rFonts w:ascii="宋体" w:eastAsia="宋体" w:cs="宋体"/>
          <w:color w:val="auto"/>
          <w:szCs w:val="24"/>
        </w:rPr>
        <w:t>为综合排名前</w:t>
      </w:r>
      <w:r>
        <w:rPr>
          <w:rFonts w:hint="eastAsia" w:ascii="宋体" w:eastAsia="宋体" w:cs="宋体"/>
          <w:color w:val="auto"/>
          <w:szCs w:val="24"/>
        </w:rPr>
        <w:t>十五名；</w:t>
      </w:r>
      <w:r>
        <w:rPr>
          <w:rFonts w:ascii="宋体" w:eastAsia="宋体" w:cs="宋体"/>
          <w:color w:val="auto"/>
          <w:szCs w:val="24"/>
        </w:rPr>
        <w:t>或专科排名前</w:t>
      </w:r>
      <w:r>
        <w:rPr>
          <w:rFonts w:hint="eastAsia" w:ascii="宋体" w:eastAsia="宋体" w:cs="宋体"/>
          <w:color w:val="auto"/>
          <w:szCs w:val="24"/>
        </w:rPr>
        <w:t>五</w:t>
      </w:r>
      <w:r>
        <w:rPr>
          <w:rFonts w:ascii="宋体" w:eastAsia="宋体" w:cs="宋体"/>
          <w:color w:val="auto"/>
          <w:szCs w:val="24"/>
        </w:rPr>
        <w:t>（美国为专科排名前二十）。</w:t>
      </w:r>
    </w:p>
    <w:p w14:paraId="417442C6">
      <w:pPr>
        <w:pStyle w:val="10"/>
        <w:spacing w:beforeAutospacing="0" w:afterAutospacing="0" w:line="500" w:lineRule="exact"/>
        <w:ind w:firstLine="480" w:firstLineChars="200"/>
        <w:jc w:val="both"/>
        <w:rPr>
          <w:rFonts w:cs="宋体" w:asciiTheme="minorEastAsia" w:hAnsiTheme="minorEastAsia"/>
          <w:color w:val="auto"/>
        </w:rPr>
      </w:pPr>
      <w:r>
        <w:rPr>
          <w:rFonts w:hint="eastAsia" w:cs="宋体" w:asciiTheme="minorEastAsia" w:hAnsiTheme="minorEastAsia"/>
          <w:color w:val="auto"/>
        </w:rPr>
        <w:t xml:space="preserve">第四条  </w:t>
      </w:r>
      <w:r>
        <w:rPr>
          <w:rFonts w:hint="eastAsia" w:ascii="宋体" w:hAnsi="宋体" w:eastAsia="宋体" w:cs="宋体"/>
          <w:color w:val="auto"/>
        </w:rPr>
        <w:t>合同履行期限：最长时限3年。</w:t>
      </w:r>
      <w:r>
        <w:rPr>
          <w:rFonts w:hint="eastAsia" w:cs="宋体" w:asciiTheme="minorEastAsia" w:hAnsiTheme="minorEastAsia"/>
          <w:color w:val="auto"/>
        </w:rPr>
        <w:t>研修项目时长:</w:t>
      </w:r>
      <w:r>
        <w:rPr>
          <w:rFonts w:hint="eastAsia" w:cs="宋体" w:asciiTheme="minorEastAsia" w:hAnsiTheme="minorEastAsia"/>
          <w:color w:val="auto"/>
          <w:u w:val="single"/>
        </w:rPr>
        <w:t xml:space="preserve">   3  </w:t>
      </w:r>
      <w:r>
        <w:rPr>
          <w:rFonts w:hint="eastAsia" w:cs="宋体" w:asciiTheme="minorEastAsia" w:hAnsiTheme="minorEastAsia"/>
          <w:color w:val="auto"/>
        </w:rPr>
        <w:t>个月。</w:t>
      </w:r>
    </w:p>
    <w:p w14:paraId="7E08B137">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第五条  乙方需保证学员在</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前出发前往</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（甲乙双方都充分理解并认可，根据国际形势突然变化及各国签证政策的突然调整，最终境外访学机构及出行时间可能会有变化，双方需友好协商议定新的境外访学机构及派出时间。）</w:t>
      </w:r>
    </w:p>
    <w:p w14:paraId="2FAEE1D9">
      <w:pPr>
        <w:adjustRightInd w:val="0"/>
        <w:snapToGrid w:val="0"/>
        <w:spacing w:line="500" w:lineRule="exact"/>
        <w:jc w:val="left"/>
        <w:rPr>
          <w:rFonts w:cs="宋体" w:asciiTheme="minorEastAsia" w:hAnsiTheme="minorEastAsia"/>
          <w:color w:val="auto"/>
          <w:sz w:val="24"/>
        </w:rPr>
      </w:pPr>
    </w:p>
    <w:p w14:paraId="466AA526">
      <w:pPr>
        <w:adjustRightInd w:val="0"/>
        <w:snapToGrid w:val="0"/>
        <w:spacing w:line="500" w:lineRule="exact"/>
        <w:ind w:firstLine="482"/>
        <w:jc w:val="center"/>
        <w:rPr>
          <w:rFonts w:cs="宋体" w:asciiTheme="minorEastAsia" w:hAnsiTheme="minorEastAsia"/>
          <w:b/>
          <w:bCs/>
          <w:color w:val="auto"/>
          <w:sz w:val="24"/>
        </w:rPr>
      </w:pPr>
      <w:r>
        <w:rPr>
          <w:rFonts w:hint="eastAsia" w:cs="宋体" w:asciiTheme="minorEastAsia" w:hAnsiTheme="minorEastAsia"/>
          <w:b/>
          <w:bCs/>
          <w:color w:val="auto"/>
          <w:sz w:val="24"/>
        </w:rPr>
        <w:t>第三章  费用及付款方式</w:t>
      </w:r>
    </w:p>
    <w:p w14:paraId="6AE1CD6F">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第一条  项目服务费用及付款方式</w:t>
      </w:r>
    </w:p>
    <w:p w14:paraId="40374EEE">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（1）预付款支付时间：甲方确定研修国家、研修机构及参与人员并签订合同，收到乙方发票后10个工作日内支付预付款，支付比例为合同总额的</w:t>
      </w:r>
      <w:r>
        <w:rPr>
          <w:rFonts w:cs="宋体" w:asciiTheme="minorEastAsia" w:hAnsiTheme="minorEastAsia"/>
          <w:color w:val="auto"/>
          <w:sz w:val="24"/>
        </w:rPr>
        <w:t>3</w:t>
      </w:r>
      <w:r>
        <w:rPr>
          <w:rFonts w:hint="eastAsia" w:cs="宋体" w:asciiTheme="minorEastAsia" w:hAnsiTheme="minorEastAsia"/>
          <w:color w:val="auto"/>
          <w:sz w:val="24"/>
        </w:rPr>
        <w:t>0%，同时乙方须向甲方提供对等的预付款保函（保函的有效期3个月）。</w:t>
      </w:r>
    </w:p>
    <w:p w14:paraId="4294134B">
      <w:pPr>
        <w:adjustRightInd w:val="0"/>
        <w:snapToGrid w:val="0"/>
        <w:spacing w:line="500" w:lineRule="exact"/>
        <w:ind w:firstLine="480" w:firstLineChars="200"/>
        <w:jc w:val="left"/>
        <w:rPr>
          <w:rFonts w:cs="宋体" w:asciiTheme="minorEastAsia" w:hAnsiTheme="minorEastAsia"/>
          <w:color w:val="auto"/>
          <w:sz w:val="24"/>
        </w:rPr>
      </w:pPr>
      <w:r>
        <w:rPr>
          <w:rFonts w:cs="宋体" w:asciiTheme="minorEastAsia" w:hAnsiTheme="minorEastAsia"/>
          <w:color w:val="auto"/>
          <w:sz w:val="24"/>
        </w:rPr>
        <w:t>（</w:t>
      </w:r>
      <w:r>
        <w:rPr>
          <w:rFonts w:hint="eastAsia" w:cs="宋体" w:asciiTheme="minorEastAsia" w:hAnsiTheme="minorEastAsia"/>
          <w:color w:val="auto"/>
          <w:sz w:val="24"/>
        </w:rPr>
        <w:t>2</w:t>
      </w:r>
      <w:r>
        <w:rPr>
          <w:rFonts w:cs="宋体" w:asciiTheme="minorEastAsia" w:hAnsiTheme="minorEastAsia"/>
          <w:color w:val="auto"/>
          <w:sz w:val="24"/>
        </w:rPr>
        <w:t>）研修人员签证办理完成（出签），</w:t>
      </w:r>
      <w:r>
        <w:rPr>
          <w:rFonts w:hint="eastAsia" w:cs="宋体" w:asciiTheme="minorEastAsia" w:hAnsiTheme="minorEastAsia"/>
          <w:color w:val="auto"/>
          <w:sz w:val="24"/>
        </w:rPr>
        <w:t>出境</w:t>
      </w:r>
      <w:r>
        <w:rPr>
          <w:rFonts w:cs="宋体" w:asciiTheme="minorEastAsia" w:hAnsiTheme="minorEastAsia"/>
          <w:color w:val="auto"/>
          <w:sz w:val="24"/>
        </w:rPr>
        <w:t>前甲方向乙方</w:t>
      </w:r>
      <w:r>
        <w:rPr>
          <w:rFonts w:hint="eastAsia" w:cs="宋体" w:asciiTheme="minorEastAsia" w:hAnsiTheme="minorEastAsia"/>
          <w:color w:val="auto"/>
          <w:sz w:val="24"/>
        </w:rPr>
        <w:t>付清</w:t>
      </w:r>
      <w:r>
        <w:rPr>
          <w:rFonts w:cs="宋体" w:asciiTheme="minorEastAsia" w:hAnsiTheme="minorEastAsia"/>
          <w:color w:val="auto"/>
          <w:sz w:val="24"/>
        </w:rPr>
        <w:t>余款</w:t>
      </w:r>
      <w:r>
        <w:rPr>
          <w:rFonts w:hint="eastAsia" w:cs="宋体" w:asciiTheme="minorEastAsia" w:hAnsiTheme="minorEastAsia"/>
          <w:color w:val="auto"/>
          <w:sz w:val="24"/>
        </w:rPr>
        <w:t>同时乙方须向甲方提供对等的支付保函（保函的有效期3个月）。</w:t>
      </w:r>
    </w:p>
    <w:p w14:paraId="3AC54C92">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甲方于研修人员成功获得签证后15日内全额支付合同价款，甲方付款前，乙方需提前5个工作日向甲方开具等额增值税普通发票，发票类别为服务费。</w:t>
      </w:r>
    </w:p>
    <w:p w14:paraId="270FB94D">
      <w:pPr>
        <w:adjustRightInd w:val="0"/>
        <w:snapToGrid w:val="0"/>
        <w:spacing w:line="500" w:lineRule="exact"/>
        <w:ind w:firstLine="480" w:firstLineChars="200"/>
        <w:jc w:val="left"/>
        <w:rPr>
          <w:rFonts w:cs="宋体" w:asciiTheme="minorEastAsia" w:hAnsiTheme="minorEastAsia"/>
          <w:b/>
          <w:bCs/>
          <w:color w:val="auto"/>
          <w:sz w:val="24"/>
        </w:rPr>
      </w:pPr>
      <w:r>
        <w:rPr>
          <w:rFonts w:hint="eastAsia" w:cs="宋体" w:asciiTheme="minorEastAsia" w:hAnsiTheme="minorEastAsia"/>
          <w:color w:val="auto"/>
          <w:sz w:val="24"/>
        </w:rPr>
        <w:t>第二条</w:t>
      </w:r>
      <w:r>
        <w:rPr>
          <w:rFonts w:hint="eastAsia" w:cs="宋体" w:asciiTheme="minorEastAsia" w:hAnsiTheme="minorEastAsia"/>
          <w:b/>
          <w:bCs/>
          <w:color w:val="auto"/>
          <w:sz w:val="24"/>
        </w:rPr>
        <w:t xml:space="preserve">  </w:t>
      </w:r>
      <w:r>
        <w:rPr>
          <w:rFonts w:hint="eastAsia" w:cs="宋体" w:asciiTheme="minorEastAsia" w:hAnsiTheme="minorEastAsia"/>
          <w:color w:val="auto"/>
          <w:sz w:val="24"/>
        </w:rPr>
        <w:t>项目服务费用包括：</w:t>
      </w:r>
    </w:p>
    <w:p w14:paraId="2A46A4C2">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第一款  研修项目费、面试辅导费、签证指导费、全程服务费、境外住宿。其中住宿为单人单间，套间内或楼层内具备厨房，盥洗室等生活必要设施，距离研修机构搭乘公共交通40分钟以内。</w:t>
      </w:r>
    </w:p>
    <w:p w14:paraId="567D7133">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第二款  交通、伙食、体检、签证、保险费、水电燃气杂费及第二条第一款列明费用之外的其他费用由甲方或学员自行负担。</w:t>
      </w:r>
    </w:p>
    <w:p w14:paraId="4B24EBF4">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第三条  乙方收款账户信息：</w:t>
      </w:r>
    </w:p>
    <w:p w14:paraId="00E31FBE">
      <w:pPr>
        <w:adjustRightInd w:val="0"/>
        <w:snapToGrid w:val="0"/>
        <w:spacing w:line="500" w:lineRule="exact"/>
        <w:ind w:firstLine="960" w:firstLineChars="400"/>
        <w:jc w:val="left"/>
        <w:rPr>
          <w:rFonts w:cs="宋体" w:asciiTheme="minorEastAsia" w:hAnsiTheme="minorEastAsia"/>
          <w:color w:val="auto"/>
          <w:sz w:val="24"/>
        </w:rPr>
      </w:pPr>
      <w:r>
        <w:rPr>
          <w:rFonts w:hint="eastAsia" w:cs="宋体" w:asciiTheme="minorEastAsia" w:hAnsiTheme="minorEastAsia"/>
          <w:color w:val="auto"/>
          <w:sz w:val="24"/>
        </w:rPr>
        <w:t xml:space="preserve">账户名称： </w:t>
      </w:r>
    </w:p>
    <w:p w14:paraId="3AF08EC0">
      <w:pPr>
        <w:adjustRightInd w:val="0"/>
        <w:snapToGrid w:val="0"/>
        <w:spacing w:line="500" w:lineRule="exact"/>
        <w:ind w:firstLine="960" w:firstLineChars="400"/>
        <w:jc w:val="left"/>
        <w:rPr>
          <w:rFonts w:cs="宋体" w:asciiTheme="minorEastAsia" w:hAnsiTheme="minorEastAsia"/>
          <w:color w:val="auto"/>
          <w:sz w:val="24"/>
        </w:rPr>
      </w:pPr>
      <w:r>
        <w:rPr>
          <w:rFonts w:hint="eastAsia" w:cs="宋体" w:asciiTheme="minorEastAsia" w:hAnsiTheme="minorEastAsia"/>
          <w:color w:val="auto"/>
          <w:sz w:val="24"/>
        </w:rPr>
        <w:t xml:space="preserve">开户行： </w:t>
      </w:r>
    </w:p>
    <w:p w14:paraId="0CF06962">
      <w:pPr>
        <w:adjustRightInd w:val="0"/>
        <w:snapToGrid w:val="0"/>
        <w:spacing w:line="500" w:lineRule="exact"/>
        <w:ind w:firstLine="960" w:firstLineChars="400"/>
        <w:jc w:val="left"/>
        <w:rPr>
          <w:rFonts w:cs="宋体" w:asciiTheme="minorEastAsia" w:hAnsiTheme="minorEastAsia"/>
          <w:color w:val="auto"/>
          <w:sz w:val="24"/>
        </w:rPr>
      </w:pPr>
      <w:r>
        <w:rPr>
          <w:rFonts w:hint="eastAsia" w:cs="宋体" w:asciiTheme="minorEastAsia" w:hAnsiTheme="minorEastAsia"/>
          <w:color w:val="auto"/>
          <w:sz w:val="24"/>
        </w:rPr>
        <w:t>银行账号：</w:t>
      </w:r>
    </w:p>
    <w:p w14:paraId="11FBAD5C">
      <w:pPr>
        <w:pStyle w:val="6"/>
        <w:adjustRightInd w:val="0"/>
        <w:snapToGrid w:val="0"/>
        <w:spacing w:line="500" w:lineRule="exact"/>
        <w:ind w:firstLine="480" w:firstLineChars="200"/>
        <w:rPr>
          <w:rFonts w:hint="default" w:cs="宋体" w:asciiTheme="minorEastAsia" w:hAnsiTheme="minorEastAsia"/>
          <w:b/>
          <w:color w:val="auto"/>
          <w:sz w:val="24"/>
          <w:szCs w:val="24"/>
        </w:rPr>
      </w:pPr>
      <w:r>
        <w:rPr>
          <w:rFonts w:cs="宋体" w:asciiTheme="minorEastAsia" w:hAnsiTheme="minorEastAsia"/>
          <w:color w:val="auto"/>
          <w:sz w:val="24"/>
          <w:szCs w:val="24"/>
        </w:rPr>
        <w:t>第四条　履约保证金</w:t>
      </w:r>
    </w:p>
    <w:p w14:paraId="5232C2DF">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第一款履约保证金的形式：转帐或者支票、汇票、本票。</w:t>
      </w:r>
    </w:p>
    <w:p w14:paraId="64ABD983">
      <w:pPr>
        <w:adjustRightInd w:val="0"/>
        <w:snapToGrid w:val="0"/>
        <w:spacing w:line="500" w:lineRule="exact"/>
        <w:ind w:firstLine="480" w:firstLineChars="200"/>
        <w:jc w:val="left"/>
        <w:rPr>
          <w:rFonts w:cs="宋体" w:asciiTheme="minorEastAsia" w:hAnsiTheme="minorEastAsia"/>
          <w:bCs/>
          <w:color w:val="auto"/>
          <w:sz w:val="24"/>
        </w:rPr>
      </w:pPr>
      <w:r>
        <w:rPr>
          <w:rFonts w:hint="eastAsia" w:cs="宋体" w:asciiTheme="minorEastAsia" w:hAnsiTheme="minorEastAsia"/>
          <w:color w:val="auto"/>
          <w:sz w:val="24"/>
        </w:rPr>
        <w:t>第二款  中标后七日内，并在签订合同前，乙方将履约保证金以转帐或者支票、汇票、本票向甲方缴纳履约保证金</w:t>
      </w:r>
      <w:r>
        <w:rPr>
          <w:rFonts w:hint="eastAsia" w:cs="宋体" w:asciiTheme="minorEastAsia" w:hAnsiTheme="minorEastAsia"/>
          <w:color w:val="auto"/>
          <w:sz w:val="24"/>
          <w:u w:val="single"/>
        </w:rPr>
        <w:t xml:space="preserve"> 合同金额的</w:t>
      </w:r>
      <w:r>
        <w:rPr>
          <w:rFonts w:cs="宋体" w:asciiTheme="minorEastAsia" w:hAnsiTheme="minorEastAsia"/>
          <w:color w:val="auto"/>
          <w:sz w:val="24"/>
          <w:u w:val="single"/>
        </w:rPr>
        <w:t>5</w:t>
      </w:r>
      <w:r>
        <w:rPr>
          <w:rFonts w:hint="eastAsia" w:cs="宋体" w:asciiTheme="minorEastAsia" w:hAnsiTheme="minorEastAsia"/>
          <w:color w:val="auto"/>
          <w:sz w:val="24"/>
          <w:u w:val="single"/>
        </w:rPr>
        <w:t xml:space="preserve">% </w:t>
      </w:r>
      <w:r>
        <w:rPr>
          <w:rFonts w:hint="eastAsia" w:cs="宋体" w:asciiTheme="minorEastAsia" w:hAnsiTheme="minorEastAsia"/>
          <w:color w:val="auto"/>
          <w:sz w:val="24"/>
        </w:rPr>
        <w:t>或者以金融机构、担保机构出具的保函等非现金形式提交。（鼓励采购人（甲方）对AA评级及以上政府采购供应商（需提供信用管理部门备案的第三方信用报告），降低履约保证金缴纳比例，降低后的履约保证金为</w:t>
      </w:r>
      <w:r>
        <w:rPr>
          <w:rFonts w:hint="eastAsia"/>
          <w:b/>
          <w:bCs/>
          <w:color w:val="auto"/>
          <w:sz w:val="24"/>
          <w:szCs w:val="20"/>
        </w:rPr>
        <w:t>合同价</w:t>
      </w:r>
      <w:r>
        <w:rPr>
          <w:rFonts w:hint="eastAsia" w:cs="宋体" w:asciiTheme="minorEastAsia" w:hAnsiTheme="minorEastAsia"/>
          <w:color w:val="auto"/>
          <w:sz w:val="24"/>
        </w:rPr>
        <w:t>的</w:t>
      </w:r>
      <w:r>
        <w:rPr>
          <w:rFonts w:cs="宋体" w:asciiTheme="minorEastAsia" w:hAnsiTheme="minorEastAsia"/>
          <w:color w:val="auto"/>
          <w:sz w:val="24"/>
        </w:rPr>
        <w:t>2.5</w:t>
      </w:r>
      <w:r>
        <w:rPr>
          <w:rFonts w:hint="eastAsia" w:cs="宋体" w:asciiTheme="minorEastAsia" w:hAnsiTheme="minorEastAsia"/>
          <w:color w:val="auto"/>
          <w:sz w:val="24"/>
        </w:rPr>
        <w:t>%）。乙方应当在签订合同前按照约定提供履约担保。合同须在招标文件规定时间办理和签定。甲方对乙方不能遵守招标文件约定，不能按时办理中标手续和提供履约担保的，影响或者推迟签定合同的，甲方有权宣布该中标人废标，并按照国家现行相关法律、法规和规章的规定，建议行政主管部门予以处罚。</w:t>
      </w:r>
    </w:p>
    <w:p w14:paraId="73DD8D89">
      <w:pPr>
        <w:pStyle w:val="6"/>
        <w:adjustRightInd w:val="0"/>
        <w:snapToGrid w:val="0"/>
        <w:spacing w:line="500" w:lineRule="exact"/>
        <w:ind w:firstLine="480" w:firstLineChars="200"/>
        <w:rPr>
          <w:rFonts w:hint="default" w:cs="宋体" w:asciiTheme="minorEastAsia" w:hAnsiTheme="minorEastAsia"/>
          <w:color w:val="auto"/>
          <w:sz w:val="24"/>
          <w:szCs w:val="24"/>
        </w:rPr>
      </w:pPr>
      <w:r>
        <w:rPr>
          <w:rFonts w:cs="宋体" w:asciiTheme="minorEastAsia" w:hAnsiTheme="minorEastAsia"/>
          <w:color w:val="auto"/>
          <w:sz w:val="24"/>
          <w:szCs w:val="24"/>
        </w:rPr>
        <w:t>履约保证金的退还：</w:t>
      </w:r>
    </w:p>
    <w:p w14:paraId="7B16F797">
      <w:pPr>
        <w:pStyle w:val="6"/>
        <w:adjustRightInd w:val="0"/>
        <w:snapToGrid w:val="0"/>
        <w:spacing w:line="500" w:lineRule="exact"/>
        <w:ind w:firstLine="480" w:firstLineChars="200"/>
        <w:rPr>
          <w:rFonts w:hint="default" w:cs="宋体" w:asciiTheme="minorEastAsia" w:hAnsiTheme="minorEastAsia"/>
          <w:color w:val="auto"/>
          <w:sz w:val="24"/>
          <w:szCs w:val="24"/>
        </w:rPr>
      </w:pPr>
      <w:r>
        <w:rPr>
          <w:rFonts w:cs="宋体" w:asciiTheme="minorEastAsia" w:hAnsiTheme="minorEastAsia"/>
          <w:color w:val="auto"/>
          <w:sz w:val="24"/>
          <w:szCs w:val="24"/>
        </w:rPr>
        <w:t>方式：退还至中标人缴纳履约保证金的账户。如为保函，在到期时自行失效。</w:t>
      </w:r>
    </w:p>
    <w:p w14:paraId="279C1281">
      <w:pPr>
        <w:pStyle w:val="6"/>
        <w:adjustRightInd w:val="0"/>
        <w:snapToGrid w:val="0"/>
        <w:spacing w:line="500" w:lineRule="exact"/>
        <w:ind w:firstLine="480" w:firstLineChars="200"/>
        <w:rPr>
          <w:rFonts w:hint="default" w:cs="宋体" w:asciiTheme="minorEastAsia" w:hAnsiTheme="minorEastAsia"/>
          <w:color w:val="auto"/>
          <w:sz w:val="24"/>
          <w:szCs w:val="24"/>
        </w:rPr>
      </w:pPr>
      <w:r>
        <w:rPr>
          <w:rFonts w:cs="宋体" w:asciiTheme="minorEastAsia" w:hAnsiTheme="minorEastAsia"/>
          <w:color w:val="auto"/>
          <w:sz w:val="24"/>
          <w:szCs w:val="24"/>
        </w:rPr>
        <w:t>时间：验收合格且采购人收到发票后30日内。</w:t>
      </w:r>
    </w:p>
    <w:p w14:paraId="6A96877C">
      <w:pPr>
        <w:pStyle w:val="6"/>
        <w:adjustRightInd w:val="0"/>
        <w:snapToGrid w:val="0"/>
        <w:spacing w:line="500" w:lineRule="exact"/>
        <w:ind w:firstLine="480" w:firstLineChars="200"/>
        <w:rPr>
          <w:rFonts w:hint="default" w:cs="宋体" w:asciiTheme="minorEastAsia" w:hAnsiTheme="minorEastAsia"/>
          <w:color w:val="auto"/>
          <w:sz w:val="24"/>
          <w:szCs w:val="24"/>
        </w:rPr>
      </w:pPr>
      <w:r>
        <w:rPr>
          <w:rFonts w:cs="宋体" w:asciiTheme="minorEastAsia" w:hAnsiTheme="minorEastAsia"/>
          <w:color w:val="auto"/>
          <w:sz w:val="24"/>
          <w:szCs w:val="24"/>
        </w:rPr>
        <w:t>条件：按合同要求全部履约完成并经采购人验收合格，且无未处理的违约事项。</w:t>
      </w:r>
    </w:p>
    <w:p w14:paraId="71E5C03F">
      <w:pPr>
        <w:pStyle w:val="6"/>
        <w:adjustRightInd w:val="0"/>
        <w:snapToGrid w:val="0"/>
        <w:spacing w:line="500" w:lineRule="exact"/>
        <w:ind w:firstLine="480" w:firstLineChars="200"/>
        <w:rPr>
          <w:rFonts w:hint="default" w:cs="宋体" w:asciiTheme="minorEastAsia" w:hAnsiTheme="minorEastAsia"/>
          <w:color w:val="auto"/>
          <w:sz w:val="24"/>
          <w:szCs w:val="24"/>
        </w:rPr>
      </w:pPr>
      <w:r>
        <w:rPr>
          <w:rFonts w:cs="宋体" w:asciiTheme="minorEastAsia" w:hAnsiTheme="minorEastAsia"/>
          <w:color w:val="auto"/>
          <w:sz w:val="24"/>
          <w:szCs w:val="24"/>
        </w:rPr>
        <w:t>不予退还情形：</w:t>
      </w:r>
    </w:p>
    <w:p w14:paraId="6915ACEA">
      <w:pPr>
        <w:pStyle w:val="6"/>
        <w:adjustRightInd w:val="0"/>
        <w:snapToGrid w:val="0"/>
        <w:spacing w:line="500" w:lineRule="exact"/>
        <w:ind w:firstLine="480" w:firstLineChars="200"/>
        <w:rPr>
          <w:rFonts w:hint="default" w:cs="宋体" w:asciiTheme="minorEastAsia" w:hAnsiTheme="minorEastAsia"/>
          <w:color w:val="auto"/>
          <w:sz w:val="24"/>
          <w:szCs w:val="24"/>
        </w:rPr>
      </w:pPr>
      <w:r>
        <w:rPr>
          <w:rFonts w:cs="宋体" w:asciiTheme="minorEastAsia" w:hAnsiTheme="minorEastAsia"/>
          <w:color w:val="auto"/>
          <w:sz w:val="24"/>
          <w:szCs w:val="24"/>
        </w:rPr>
        <w:t>除不可抗力情况外，投标人出现下列情形之一的，其履约保证金，招标人将视情节决定不予退还或部分不予退还。</w:t>
      </w:r>
    </w:p>
    <w:p w14:paraId="7EB0B9C1">
      <w:pPr>
        <w:pStyle w:val="6"/>
        <w:adjustRightInd w:val="0"/>
        <w:snapToGrid w:val="0"/>
        <w:spacing w:line="500" w:lineRule="exact"/>
        <w:ind w:firstLine="480" w:firstLineChars="200"/>
        <w:rPr>
          <w:rFonts w:hint="default" w:cs="宋体" w:asciiTheme="minorEastAsia" w:hAnsiTheme="minorEastAsia"/>
          <w:color w:val="auto"/>
          <w:sz w:val="24"/>
          <w:szCs w:val="24"/>
        </w:rPr>
      </w:pPr>
      <w:r>
        <w:rPr>
          <w:rFonts w:cs="宋体" w:asciiTheme="minorEastAsia" w:hAnsiTheme="minorEastAsia"/>
          <w:color w:val="auto"/>
          <w:sz w:val="24"/>
          <w:szCs w:val="24"/>
        </w:rPr>
        <w:t>（1）乙方无正当理由拒绝签订合同的，或者在签订合同时向甲方提出附加条件或者更改合同实质性内容要求的；</w:t>
      </w:r>
    </w:p>
    <w:p w14:paraId="2893B4BA">
      <w:pPr>
        <w:pStyle w:val="6"/>
        <w:adjustRightInd w:val="0"/>
        <w:snapToGrid w:val="0"/>
        <w:spacing w:line="500" w:lineRule="exact"/>
        <w:ind w:firstLine="480" w:firstLineChars="200"/>
        <w:rPr>
          <w:rFonts w:hint="default" w:cs="宋体" w:asciiTheme="minorEastAsia" w:hAnsiTheme="minorEastAsia"/>
          <w:color w:val="auto"/>
          <w:sz w:val="24"/>
          <w:szCs w:val="24"/>
        </w:rPr>
      </w:pPr>
      <w:r>
        <w:rPr>
          <w:rFonts w:cs="宋体" w:asciiTheme="minorEastAsia" w:hAnsiTheme="minorEastAsia"/>
          <w:color w:val="auto"/>
          <w:sz w:val="24"/>
          <w:szCs w:val="24"/>
        </w:rPr>
        <w:t>（2乙方不履行与采购人订立的合同的；</w:t>
      </w:r>
    </w:p>
    <w:p w14:paraId="299B930C">
      <w:pPr>
        <w:pStyle w:val="6"/>
        <w:adjustRightInd w:val="0"/>
        <w:snapToGrid w:val="0"/>
        <w:spacing w:line="500" w:lineRule="exact"/>
        <w:ind w:firstLine="480" w:firstLineChars="200"/>
        <w:rPr>
          <w:rFonts w:hint="default" w:cs="宋体" w:asciiTheme="minorEastAsia" w:hAnsiTheme="minorEastAsia"/>
          <w:color w:val="auto"/>
          <w:sz w:val="24"/>
          <w:szCs w:val="24"/>
        </w:rPr>
      </w:pPr>
      <w:r>
        <w:rPr>
          <w:rFonts w:cs="宋体" w:asciiTheme="minorEastAsia" w:hAnsiTheme="minorEastAsia"/>
          <w:color w:val="auto"/>
          <w:sz w:val="24"/>
          <w:szCs w:val="24"/>
        </w:rPr>
        <w:t>（3）乙方所供货物或服务不符合招标文件规定要求的；</w:t>
      </w:r>
    </w:p>
    <w:p w14:paraId="27CCC9A8">
      <w:pPr>
        <w:pStyle w:val="6"/>
        <w:adjustRightInd w:val="0"/>
        <w:snapToGrid w:val="0"/>
        <w:spacing w:line="500" w:lineRule="exact"/>
        <w:ind w:firstLine="480" w:firstLineChars="200"/>
        <w:rPr>
          <w:rFonts w:hint="default" w:cs="宋体" w:asciiTheme="minorEastAsia" w:hAnsiTheme="minorEastAsia"/>
          <w:color w:val="auto"/>
          <w:sz w:val="24"/>
          <w:szCs w:val="24"/>
        </w:rPr>
      </w:pPr>
      <w:r>
        <w:rPr>
          <w:rFonts w:cs="宋体" w:asciiTheme="minorEastAsia" w:hAnsiTheme="minorEastAsia"/>
          <w:color w:val="auto"/>
          <w:sz w:val="24"/>
          <w:szCs w:val="24"/>
        </w:rPr>
        <w:t>（4）乙方采取欺骗、弄虚作假方式投标的或与其它投标人串通投标的；</w:t>
      </w:r>
    </w:p>
    <w:p w14:paraId="1CF2E2B8">
      <w:pPr>
        <w:pStyle w:val="6"/>
        <w:adjustRightInd w:val="0"/>
        <w:snapToGrid w:val="0"/>
        <w:spacing w:line="500" w:lineRule="exact"/>
        <w:ind w:firstLine="480" w:firstLineChars="200"/>
        <w:rPr>
          <w:rFonts w:hint="default" w:cs="宋体" w:asciiTheme="minorEastAsia" w:hAnsiTheme="minorEastAsia"/>
          <w:color w:val="auto"/>
          <w:sz w:val="24"/>
          <w:szCs w:val="24"/>
        </w:rPr>
      </w:pPr>
      <w:r>
        <w:rPr>
          <w:rFonts w:cs="宋体" w:asciiTheme="minorEastAsia" w:hAnsiTheme="minorEastAsia"/>
          <w:color w:val="auto"/>
          <w:sz w:val="24"/>
          <w:szCs w:val="24"/>
        </w:rPr>
        <w:t>（5）乙方将合同内容转包、违法分包的；</w:t>
      </w:r>
    </w:p>
    <w:p w14:paraId="0A3ED47D">
      <w:pPr>
        <w:pStyle w:val="6"/>
        <w:adjustRightInd w:val="0"/>
        <w:snapToGrid w:val="0"/>
        <w:spacing w:line="500" w:lineRule="exact"/>
        <w:ind w:left="479" w:leftChars="228"/>
        <w:rPr>
          <w:rFonts w:hint="default" w:cs="宋体" w:asciiTheme="minorEastAsia" w:hAnsiTheme="minorEastAsia"/>
          <w:color w:val="auto"/>
          <w:sz w:val="24"/>
          <w:szCs w:val="24"/>
        </w:rPr>
      </w:pPr>
      <w:r>
        <w:rPr>
          <w:rFonts w:cs="宋体" w:asciiTheme="minorEastAsia" w:hAnsiTheme="minorEastAsia"/>
          <w:color w:val="auto"/>
          <w:sz w:val="24"/>
          <w:szCs w:val="24"/>
        </w:rPr>
        <w:t>（6）乙方故意捏造事实或伪造证明材料，进行虚假恶意投诉或反映的。</w:t>
      </w:r>
      <w:r>
        <w:rPr>
          <w:rFonts w:cs="宋体" w:asciiTheme="minorEastAsia" w:hAnsiTheme="minorEastAsia"/>
          <w:color w:val="auto"/>
          <w:sz w:val="24"/>
          <w:szCs w:val="24"/>
        </w:rPr>
        <w:br w:type="textWrapping"/>
      </w:r>
      <w:r>
        <w:rPr>
          <w:rFonts w:cs="宋体" w:asciiTheme="minorEastAsia" w:hAnsiTheme="minorEastAsia"/>
          <w:color w:val="auto"/>
          <w:sz w:val="24"/>
          <w:szCs w:val="24"/>
        </w:rPr>
        <w:t>（7）其他违约行为</w:t>
      </w:r>
    </w:p>
    <w:p w14:paraId="03AA61A5">
      <w:pPr>
        <w:adjustRightInd w:val="0"/>
        <w:snapToGrid w:val="0"/>
        <w:spacing w:line="500" w:lineRule="exact"/>
        <w:ind w:firstLine="480" w:firstLineChars="200"/>
        <w:rPr>
          <w:rFonts w:cs="宋体" w:asciiTheme="minorEastAsia" w:hAnsiTheme="minorEastAsia"/>
          <w:color w:val="auto"/>
          <w:sz w:val="24"/>
        </w:rPr>
      </w:pPr>
      <w:r>
        <w:rPr>
          <w:rFonts w:hint="eastAsia" w:cs="宋体" w:asciiTheme="minorEastAsia" w:hAnsiTheme="minorEastAsia"/>
          <w:color w:val="auto"/>
          <w:sz w:val="24"/>
        </w:rPr>
        <w:t>逾期退还的违约责任：甲方逾期无故未退还履约保证金的，按中国人民银行同期贷款基准利率上浮20%后的利率支付超期资金占用费，但因乙方自身原因导致无法及时退还的除外。</w:t>
      </w:r>
    </w:p>
    <w:p w14:paraId="42352150">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 xml:space="preserve">第五条  退款规定 </w:t>
      </w:r>
    </w:p>
    <w:p w14:paraId="430F6A99">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第一款  若乙方未能在规定日期前安排约定的海外院校及导师接收学员、未能为学员获取正式邀请函，乙方不收取甲方的任何项目咨询费用，所缴纳的履约保证金不予退还。</w:t>
      </w:r>
    </w:p>
    <w:p w14:paraId="23A43C37">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第二款 乙方未按投标时承诺比例人数和研修国家及机构将学员输送学习的，乙方不得收取甲方的任何项目咨询费用，且甲方有权解除合同并要求乙方支付总合同服务费用20%的违约金。</w:t>
      </w:r>
    </w:p>
    <w:p w14:paraId="12609191">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第三款  如学员因违反项目所在国法律法规和接收医院的规定以及外事纪律被提前结束境外交流学习，或因工作需要及其他原因需要提前回国，造成交流进修项目不能履行的，所支付的费用乙方不退还甲方。</w:t>
      </w:r>
    </w:p>
    <w:p w14:paraId="47FBF140">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第四款  在甲方学员配合乙方完成签证流程并获签后，因乙方原因，未在约定期限内安排甲方学员出行的，超过20个工作日的，甲方有权解除合同并要求乙方支付未出行人员项目服务费用20%的违约金。</w:t>
      </w:r>
    </w:p>
    <w:p w14:paraId="5D0A5FD0">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第五款  乙方在提供进修所需的申请文件制作、院校选择和联系沟通、面试指导、签证指导、行前指导、入住安顿等服务过程中存在失误，给甲方及其学员造成损害或损失的，乙方应根据过错承担相应的赔偿责任，且甲方有权拒绝向乙方支付乙方未履行或未适当履行部分所对应的费用，已经支付的，甲方有权要求乙方退还。</w:t>
      </w:r>
    </w:p>
    <w:p w14:paraId="2D08CAFD">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 xml:space="preserve">第六款 </w:t>
      </w:r>
      <w:r>
        <w:rPr>
          <w:rFonts w:cs="宋体" w:asciiTheme="minorEastAsia" w:hAnsiTheme="minorEastAsia"/>
          <w:color w:val="auto"/>
          <w:sz w:val="24"/>
        </w:rPr>
        <w:t xml:space="preserve"> </w:t>
      </w:r>
      <w:r>
        <w:rPr>
          <w:rFonts w:hint="eastAsia" w:cs="宋体" w:asciiTheme="minorEastAsia" w:hAnsiTheme="minorEastAsia"/>
          <w:color w:val="auto"/>
          <w:sz w:val="24"/>
        </w:rPr>
        <w:t>如因乙方原因致使研修活动不能按时实施，甲方有权不付款，乙方需退回甲方己支付的所有款项，并支付甲方合同总金额百分之五的违约金。</w:t>
      </w:r>
    </w:p>
    <w:p w14:paraId="45D19143">
      <w:pPr>
        <w:adjustRightInd w:val="0"/>
        <w:snapToGrid w:val="0"/>
        <w:spacing w:line="500" w:lineRule="exact"/>
        <w:ind w:firstLine="480" w:firstLineChars="200"/>
        <w:jc w:val="left"/>
        <w:rPr>
          <w:rFonts w:cs="宋体" w:asciiTheme="minorEastAsia" w:hAnsiTheme="minorEastAsia"/>
          <w:color w:val="auto"/>
          <w:sz w:val="24"/>
        </w:rPr>
      </w:pPr>
      <w:r>
        <w:rPr>
          <w:rFonts w:cs="宋体" w:asciiTheme="minorEastAsia" w:hAnsiTheme="minorEastAsia"/>
          <w:color w:val="auto"/>
          <w:sz w:val="24"/>
        </w:rPr>
        <w:t>第</w:t>
      </w:r>
      <w:r>
        <w:rPr>
          <w:rFonts w:hint="eastAsia" w:cs="宋体" w:asciiTheme="minorEastAsia" w:hAnsiTheme="minorEastAsia"/>
          <w:color w:val="auto"/>
          <w:sz w:val="24"/>
        </w:rPr>
        <w:t>七</w:t>
      </w:r>
      <w:r>
        <w:rPr>
          <w:rFonts w:cs="宋体" w:asciiTheme="minorEastAsia" w:hAnsiTheme="minorEastAsia"/>
          <w:color w:val="auto"/>
          <w:sz w:val="24"/>
        </w:rPr>
        <w:t>款</w:t>
      </w:r>
      <w:r>
        <w:rPr>
          <w:rFonts w:hint="eastAsia" w:cs="宋体" w:asciiTheme="minorEastAsia" w:hAnsiTheme="minorEastAsia"/>
          <w:color w:val="auto"/>
          <w:sz w:val="24"/>
        </w:rPr>
        <w:t xml:space="preserve"> </w:t>
      </w:r>
      <w:r>
        <w:rPr>
          <w:rFonts w:cs="宋体" w:asciiTheme="minorEastAsia" w:hAnsiTheme="minorEastAsia"/>
          <w:color w:val="auto"/>
          <w:sz w:val="24"/>
        </w:rPr>
        <w:t xml:space="preserve"> </w:t>
      </w:r>
      <w:r>
        <w:rPr>
          <w:rFonts w:hint="eastAsia" w:cs="宋体" w:asciiTheme="minorEastAsia" w:hAnsiTheme="minorEastAsia"/>
          <w:color w:val="auto"/>
          <w:sz w:val="24"/>
        </w:rPr>
        <w:t>保密条款：对合同履行过程中，双方应对所获得或了解的对方的商业秘密，承担保密义务，未经对方事先的书面许可，不得利用或披露这些信息，否则对方有权追究其法律责任。</w:t>
      </w:r>
    </w:p>
    <w:p w14:paraId="2AAD84F6">
      <w:pPr>
        <w:adjustRightInd w:val="0"/>
        <w:snapToGrid w:val="0"/>
        <w:spacing w:line="500" w:lineRule="exact"/>
        <w:ind w:firstLine="482"/>
        <w:jc w:val="center"/>
        <w:rPr>
          <w:rFonts w:cs="宋体" w:asciiTheme="minorEastAsia" w:hAnsiTheme="minorEastAsia"/>
          <w:b/>
          <w:bCs/>
          <w:color w:val="auto"/>
          <w:sz w:val="24"/>
        </w:rPr>
      </w:pPr>
      <w:r>
        <w:rPr>
          <w:rFonts w:hint="eastAsia" w:cs="宋体" w:asciiTheme="minorEastAsia" w:hAnsiTheme="minorEastAsia"/>
          <w:b/>
          <w:bCs/>
          <w:color w:val="auto"/>
          <w:sz w:val="24"/>
        </w:rPr>
        <w:t>第四章  双方权利义务</w:t>
      </w:r>
    </w:p>
    <w:p w14:paraId="5185E6CB">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第一条  甲方权利义务</w:t>
      </w:r>
    </w:p>
    <w:p w14:paraId="11FFF9BE">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第一款  甲方及学员应在本协议签署后根据研修安排需要向乙方提供出国进修所需的相关文件资料并如实告知相关信息，保证该资料和信息真实、有效、完整。</w:t>
      </w:r>
    </w:p>
    <w:p w14:paraId="086378F3">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第二款  甲方及学员应协助和配合乙方完成出国进修所需手续，如面试、签证等， 因学员原因导致面试不合格、拒签或不能成行的，由甲方自行承担未派出责任，项目服务费用按照未成行人数核减。</w:t>
      </w:r>
    </w:p>
    <w:p w14:paraId="32C9B85E">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第三款  学员应接受乙方的监督管理，服从乙方的安排，进修项目结束后按时回国。若学员未经乙方事先同意，私自延长进修期限或无故逗留的，其责任由学员自行承担。若因此给乙方造成损失或影响乙方声誉的，还应负责消除影响、赔偿损失。</w:t>
      </w:r>
    </w:p>
    <w:p w14:paraId="5563F256">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第二条  乙方权利义务</w:t>
      </w:r>
    </w:p>
    <w:p w14:paraId="7FE97ACC">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第一款  乙方应按本协议约定为学员提供进修所需的申请文件制作、院校选择和联系沟通、面试指导、签证指导、行前指导、入住安顿等服务。</w:t>
      </w:r>
    </w:p>
    <w:p w14:paraId="565F1676">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第二款  乙方有权对甲方及学员提供的文件资料、信息进行核对，如发现与事实不符或为虚假文件，乙方有权拒绝为甲方及学员继续提供服务，已发生的费用不予退还。</w:t>
      </w:r>
    </w:p>
    <w:p w14:paraId="7DB4313A">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第三款  在外管理：</w:t>
      </w:r>
      <w:r>
        <w:rPr>
          <w:rFonts w:cs="宋体" w:asciiTheme="minorEastAsia" w:hAnsiTheme="minorEastAsia"/>
          <w:color w:val="auto"/>
          <w:sz w:val="24"/>
        </w:rPr>
        <w:t>乙方会为甲方指定医务人员提供境外联系邮箱，仅供甲方指定医务人员在项目研修期间使用，乙方有权对甲方指定医务人员境外进修过程（含该邮箱）进行监督管理。乙方应按《江苏省卫生国际交流支撑计划实施办法》（修订稿）协助甲方对医务人员进行执行管理，若乙方发现甲方指定医务人员存在违法违纪之行为，有权要求甲方指定医务人员纠正并及时将情况反馈给甲方；若甲方指定医务人员因上述行为被终止进修项目的 ，乙方不承担任何责任，已收取的费用不予退还。</w:t>
      </w:r>
    </w:p>
    <w:p w14:paraId="77EDB9D9">
      <w:pPr>
        <w:adjustRightInd w:val="0"/>
        <w:snapToGrid w:val="0"/>
        <w:spacing w:line="500" w:lineRule="exact"/>
        <w:ind w:firstLine="480" w:firstLineChars="200"/>
        <w:jc w:val="left"/>
        <w:rPr>
          <w:rFonts w:cs="宋体" w:asciiTheme="minorEastAsia" w:hAnsiTheme="minorEastAsia"/>
          <w:color w:val="auto"/>
          <w:sz w:val="24"/>
        </w:rPr>
      </w:pPr>
      <w:r>
        <w:rPr>
          <w:rFonts w:cs="宋体" w:asciiTheme="minorEastAsia" w:hAnsiTheme="minorEastAsia"/>
          <w:color w:val="auto"/>
          <w:sz w:val="24"/>
        </w:rPr>
        <w:t>乙方应监督</w:t>
      </w:r>
      <w:r>
        <w:rPr>
          <w:rFonts w:hint="eastAsia" w:cs="宋体" w:asciiTheme="minorEastAsia" w:hAnsiTheme="minorEastAsia"/>
          <w:color w:val="auto"/>
          <w:sz w:val="24"/>
        </w:rPr>
        <w:t>项目人员在外期间，应当遵守当地的法律法规和相关规定，不违背公序良俗，不得以任何形式损害国家利益，市卫生健康委有权视情终止研修并要求限期回国。</w:t>
      </w:r>
    </w:p>
    <w:p w14:paraId="1A47BAB7">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合同履行期内，乙方</w:t>
      </w:r>
      <w:r>
        <w:rPr>
          <w:rFonts w:cs="宋体" w:asciiTheme="minorEastAsia" w:hAnsiTheme="minorEastAsia"/>
          <w:color w:val="auto"/>
          <w:sz w:val="24"/>
        </w:rPr>
        <w:t>应为</w:t>
      </w:r>
      <w:r>
        <w:rPr>
          <w:rFonts w:hint="eastAsia" w:cs="宋体" w:asciiTheme="minorEastAsia" w:hAnsiTheme="minorEastAsia"/>
          <w:color w:val="auto"/>
          <w:sz w:val="24"/>
        </w:rPr>
        <w:t>甲方</w:t>
      </w:r>
      <w:r>
        <w:rPr>
          <w:rFonts w:cs="宋体" w:asciiTheme="minorEastAsia" w:hAnsiTheme="minorEastAsia"/>
          <w:color w:val="auto"/>
          <w:sz w:val="24"/>
        </w:rPr>
        <w:t>提供专业、优质的</w:t>
      </w:r>
      <w:r>
        <w:rPr>
          <w:rFonts w:hint="eastAsia" w:cs="宋体" w:asciiTheme="minorEastAsia" w:hAnsiTheme="minorEastAsia"/>
          <w:color w:val="auto"/>
          <w:sz w:val="24"/>
        </w:rPr>
        <w:t>24小时电话及微信咨询</w:t>
      </w:r>
      <w:r>
        <w:rPr>
          <w:rFonts w:cs="宋体" w:asciiTheme="minorEastAsia" w:hAnsiTheme="minorEastAsia"/>
          <w:color w:val="auto"/>
          <w:sz w:val="24"/>
        </w:rPr>
        <w:t>服务</w:t>
      </w:r>
      <w:r>
        <w:rPr>
          <w:rFonts w:hint="eastAsia" w:cs="宋体" w:asciiTheme="minorEastAsia" w:hAnsiTheme="minorEastAsia"/>
          <w:color w:val="auto"/>
          <w:sz w:val="24"/>
        </w:rPr>
        <w:t>【</w:t>
      </w:r>
      <w:r>
        <w:rPr>
          <w:rFonts w:cs="宋体" w:asciiTheme="minorEastAsia" w:hAnsiTheme="minorEastAsia"/>
          <w:color w:val="auto"/>
          <w:sz w:val="24"/>
        </w:rPr>
        <w:t>乙方须分别提供国内及所研修国家固定的联系人（国内及国外联系人均不得少于</w:t>
      </w:r>
      <w:r>
        <w:rPr>
          <w:rFonts w:hint="eastAsia" w:cs="宋体" w:asciiTheme="minorEastAsia" w:hAnsiTheme="minorEastAsia"/>
          <w:color w:val="auto"/>
          <w:sz w:val="24"/>
        </w:rPr>
        <w:t>2人</w:t>
      </w:r>
      <w:r>
        <w:rPr>
          <w:rFonts w:cs="宋体" w:asciiTheme="minorEastAsia" w:hAnsiTheme="minorEastAsia"/>
          <w:color w:val="auto"/>
          <w:sz w:val="24"/>
        </w:rPr>
        <w:t>），且该联系人员不得</w:t>
      </w:r>
      <w:r>
        <w:rPr>
          <w:rFonts w:hint="eastAsia" w:cs="宋体" w:asciiTheme="minorEastAsia" w:hAnsiTheme="minorEastAsia"/>
          <w:color w:val="auto"/>
          <w:sz w:val="24"/>
        </w:rPr>
        <w:t>随意</w:t>
      </w:r>
      <w:r>
        <w:rPr>
          <w:rFonts w:cs="宋体" w:asciiTheme="minorEastAsia" w:hAnsiTheme="minorEastAsia"/>
          <w:color w:val="auto"/>
          <w:sz w:val="24"/>
        </w:rPr>
        <w:t>更换</w:t>
      </w:r>
      <w:r>
        <w:rPr>
          <w:rFonts w:hint="eastAsia" w:cs="宋体" w:asciiTheme="minorEastAsia" w:hAnsiTheme="minorEastAsia"/>
          <w:color w:val="auto"/>
          <w:sz w:val="24"/>
        </w:rPr>
        <w:t>】</w:t>
      </w:r>
      <w:r>
        <w:rPr>
          <w:rFonts w:cs="宋体" w:asciiTheme="minorEastAsia" w:hAnsiTheme="minorEastAsia"/>
          <w:color w:val="auto"/>
          <w:sz w:val="24"/>
        </w:rPr>
        <w:t>，</w:t>
      </w:r>
      <w:r>
        <w:rPr>
          <w:rFonts w:hint="eastAsia" w:cs="宋体" w:asciiTheme="minorEastAsia" w:hAnsiTheme="minorEastAsia"/>
          <w:color w:val="auto"/>
          <w:sz w:val="24"/>
        </w:rPr>
        <w:t>随时解决可能遇到的问题（遇到问题后3小时内须进行响应），</w:t>
      </w:r>
      <w:r>
        <w:rPr>
          <w:rFonts w:cs="宋体" w:asciiTheme="minorEastAsia" w:hAnsiTheme="minorEastAsia"/>
          <w:color w:val="auto"/>
          <w:sz w:val="24"/>
        </w:rPr>
        <w:t>不得拖延或推迟</w:t>
      </w:r>
      <w:r>
        <w:rPr>
          <w:rFonts w:hint="eastAsia" w:cs="宋体" w:asciiTheme="minorEastAsia" w:hAnsiTheme="minorEastAsia"/>
          <w:color w:val="auto"/>
          <w:sz w:val="24"/>
        </w:rPr>
        <w:t>甲方</w:t>
      </w:r>
      <w:r>
        <w:rPr>
          <w:rFonts w:cs="宋体" w:asciiTheme="minorEastAsia" w:hAnsiTheme="minorEastAsia"/>
          <w:color w:val="auto"/>
          <w:sz w:val="24"/>
        </w:rPr>
        <w:t>下达的</w:t>
      </w:r>
      <w:r>
        <w:rPr>
          <w:rFonts w:hint="eastAsia" w:cs="宋体" w:asciiTheme="minorEastAsia" w:hAnsiTheme="minorEastAsia"/>
          <w:color w:val="auto"/>
          <w:sz w:val="24"/>
        </w:rPr>
        <w:t>研修咨询及服务</w:t>
      </w:r>
      <w:r>
        <w:rPr>
          <w:rFonts w:cs="宋体" w:asciiTheme="minorEastAsia" w:hAnsiTheme="minorEastAsia"/>
          <w:color w:val="auto"/>
          <w:sz w:val="24"/>
        </w:rPr>
        <w:t>工作。</w:t>
      </w:r>
      <w:r>
        <w:rPr>
          <w:rFonts w:hint="eastAsia" w:cs="宋体" w:asciiTheme="minorEastAsia" w:hAnsiTheme="minorEastAsia"/>
          <w:color w:val="auto"/>
          <w:sz w:val="24"/>
        </w:rPr>
        <w:t>确保在国（境）外期间的服务质量，不得在服务期间出现任何投诉、安排不合理等情况出现。如出现上述情况的，每发生一次，乙方应承担合同价格1</w:t>
      </w:r>
      <w:r>
        <w:rPr>
          <w:rFonts w:cs="宋体" w:asciiTheme="minorEastAsia" w:hAnsiTheme="minorEastAsia"/>
          <w:color w:val="auto"/>
          <w:sz w:val="24"/>
        </w:rPr>
        <w:t>0%的违约金。</w:t>
      </w:r>
    </w:p>
    <w:p w14:paraId="1BBF81C8">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第四款 乙方对学员在境外进修期间遇到的生活、学习方面的困难应提供帮助，协助学员处理在外期间遇到的各种困难事项。</w:t>
      </w:r>
    </w:p>
    <w:p w14:paraId="21E37C64">
      <w:pPr>
        <w:pStyle w:val="6"/>
        <w:adjustRightInd w:val="0"/>
        <w:snapToGrid w:val="0"/>
        <w:spacing w:line="500" w:lineRule="exact"/>
        <w:rPr>
          <w:rFonts w:hint="default" w:cs="宋体" w:asciiTheme="minorEastAsia" w:hAnsiTheme="minorEastAsia"/>
          <w:color w:val="auto"/>
          <w:sz w:val="24"/>
          <w:szCs w:val="24"/>
        </w:rPr>
      </w:pPr>
    </w:p>
    <w:p w14:paraId="682EA75D">
      <w:pPr>
        <w:adjustRightInd w:val="0"/>
        <w:snapToGrid w:val="0"/>
        <w:spacing w:line="500" w:lineRule="exact"/>
        <w:ind w:firstLine="482"/>
        <w:jc w:val="center"/>
        <w:rPr>
          <w:rFonts w:cs="宋体" w:asciiTheme="minorEastAsia" w:hAnsiTheme="minorEastAsia"/>
          <w:b/>
          <w:bCs/>
          <w:color w:val="auto"/>
          <w:sz w:val="24"/>
        </w:rPr>
      </w:pPr>
      <w:r>
        <w:rPr>
          <w:rFonts w:hint="eastAsia" w:cs="宋体" w:asciiTheme="minorEastAsia" w:hAnsiTheme="minorEastAsia"/>
          <w:b/>
          <w:bCs/>
          <w:color w:val="auto"/>
          <w:sz w:val="24"/>
        </w:rPr>
        <w:t>第五章  不可抗力</w:t>
      </w:r>
    </w:p>
    <w:p w14:paraId="7CB08378">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如果本协议因受到地震、洪水、火灾、传染病爆发、爆炸、意外伤亡、罢工、暴乱、战争等其他任何不可抗力的影响导致无法履行或延期履行，并不视为对本协议的违反。受不可抗力影响的一方应尽快将相关情况告知另一方。根据受影响的程度，双方协商决定是否推迟履行或终止本协议。任何一方都不对另一方因发生不可抗力导致的本协议没有履行或延期履行而受到的损失负责和承担赔偿责任。</w:t>
      </w:r>
    </w:p>
    <w:p w14:paraId="08C2CE68">
      <w:pPr>
        <w:adjustRightInd w:val="0"/>
        <w:snapToGrid w:val="0"/>
        <w:spacing w:line="500" w:lineRule="exact"/>
        <w:jc w:val="left"/>
        <w:rPr>
          <w:rFonts w:cs="宋体" w:asciiTheme="minorEastAsia" w:hAnsiTheme="minorEastAsia"/>
          <w:color w:val="auto"/>
          <w:sz w:val="24"/>
        </w:rPr>
      </w:pPr>
    </w:p>
    <w:p w14:paraId="25432249">
      <w:pPr>
        <w:adjustRightInd w:val="0"/>
        <w:snapToGrid w:val="0"/>
        <w:spacing w:line="500" w:lineRule="exact"/>
        <w:ind w:firstLine="482"/>
        <w:jc w:val="center"/>
        <w:rPr>
          <w:rFonts w:cs="宋体" w:asciiTheme="minorEastAsia" w:hAnsiTheme="minorEastAsia"/>
          <w:b/>
          <w:bCs/>
          <w:color w:val="auto"/>
          <w:sz w:val="24"/>
        </w:rPr>
      </w:pPr>
      <w:r>
        <w:rPr>
          <w:rFonts w:hint="eastAsia" w:cs="宋体" w:asciiTheme="minorEastAsia" w:hAnsiTheme="minorEastAsia"/>
          <w:b/>
          <w:bCs/>
          <w:color w:val="auto"/>
          <w:sz w:val="24"/>
        </w:rPr>
        <w:t>第六章  协议解除或终止</w:t>
      </w:r>
    </w:p>
    <w:p w14:paraId="7D77B337">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第一条  甲乙双方按本协议要求履行完各自的权利和义务后，本协议终止。</w:t>
      </w:r>
    </w:p>
    <w:p w14:paraId="63DECEEC">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第二条  本协议生效后，一方未能按本协议约定履行部分或全部义务或违反本协议中相关条款的，经另一方合理催告后仍不予纠正的，守约方有权解除本协议。</w:t>
      </w:r>
    </w:p>
    <w:p w14:paraId="5C1D22F7">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第三条  本协议生效后，任何一方解除或终止本协议时，须提前一个月通知另一方，经双方协商并以书面形式就解除或终止事宜达成一致意见后，本协议方可解除或终止。</w:t>
      </w:r>
    </w:p>
    <w:p w14:paraId="2F2E37E8">
      <w:pPr>
        <w:pStyle w:val="6"/>
        <w:adjustRightInd w:val="0"/>
        <w:snapToGrid w:val="0"/>
        <w:spacing w:line="500" w:lineRule="exact"/>
        <w:rPr>
          <w:rFonts w:hint="default" w:cs="宋体" w:asciiTheme="minorEastAsia" w:hAnsiTheme="minorEastAsia"/>
          <w:color w:val="auto"/>
          <w:sz w:val="24"/>
          <w:szCs w:val="24"/>
        </w:rPr>
      </w:pPr>
    </w:p>
    <w:p w14:paraId="20CF5271">
      <w:pPr>
        <w:adjustRightInd w:val="0"/>
        <w:snapToGrid w:val="0"/>
        <w:spacing w:line="500" w:lineRule="exact"/>
        <w:ind w:firstLine="482" w:firstLineChars="200"/>
        <w:jc w:val="center"/>
        <w:rPr>
          <w:rFonts w:asciiTheme="minorEastAsia" w:hAnsiTheme="minorEastAsia"/>
          <w:b/>
          <w:color w:val="auto"/>
          <w:sz w:val="24"/>
        </w:rPr>
      </w:pPr>
      <w:r>
        <w:rPr>
          <w:rFonts w:hint="eastAsia" w:cs="宋体" w:asciiTheme="minorEastAsia" w:hAnsiTheme="minorEastAsia"/>
          <w:b/>
          <w:bCs/>
          <w:color w:val="auto"/>
          <w:sz w:val="24"/>
        </w:rPr>
        <w:t xml:space="preserve">第七章 </w:t>
      </w:r>
      <w:r>
        <w:rPr>
          <w:rFonts w:hint="eastAsia" w:asciiTheme="minorEastAsia" w:hAnsiTheme="minorEastAsia"/>
          <w:b/>
          <w:color w:val="auto"/>
          <w:sz w:val="24"/>
        </w:rPr>
        <w:t>验收</w:t>
      </w:r>
    </w:p>
    <w:p w14:paraId="2CC7F946">
      <w:pPr>
        <w:adjustRightInd w:val="0"/>
        <w:snapToGrid w:val="0"/>
        <w:spacing w:line="500" w:lineRule="exact"/>
        <w:ind w:firstLine="480" w:firstLineChars="200"/>
        <w:rPr>
          <w:rFonts w:asciiTheme="minorEastAsia" w:hAnsiTheme="minorEastAsia"/>
          <w:color w:val="auto"/>
          <w:sz w:val="24"/>
        </w:rPr>
      </w:pPr>
      <w:r>
        <w:rPr>
          <w:rFonts w:hint="eastAsia" w:cs="宋体" w:asciiTheme="minorEastAsia" w:hAnsiTheme="minorEastAsia"/>
          <w:color w:val="auto"/>
          <w:sz w:val="24"/>
        </w:rPr>
        <w:t xml:space="preserve">第一条  </w:t>
      </w:r>
      <w:r>
        <w:rPr>
          <w:rFonts w:hint="eastAsia" w:asciiTheme="minorEastAsia" w:hAnsiTheme="minorEastAsia"/>
          <w:color w:val="auto"/>
          <w:sz w:val="24"/>
        </w:rPr>
        <w:t>乙方应当在合同签订后3年内完成服务事项，招标文件有约定的，从其约定。</w:t>
      </w:r>
    </w:p>
    <w:p w14:paraId="2D6E667E">
      <w:pPr>
        <w:adjustRightInd w:val="0"/>
        <w:snapToGrid w:val="0"/>
        <w:spacing w:line="500" w:lineRule="exact"/>
        <w:ind w:firstLine="480" w:firstLineChars="200"/>
        <w:rPr>
          <w:rFonts w:asciiTheme="minorEastAsia" w:hAnsiTheme="minorEastAsia"/>
          <w:color w:val="auto"/>
          <w:sz w:val="24"/>
        </w:rPr>
      </w:pPr>
      <w:r>
        <w:rPr>
          <w:rFonts w:hint="eastAsia" w:cs="宋体" w:asciiTheme="minorEastAsia" w:hAnsiTheme="minorEastAsia"/>
          <w:color w:val="auto"/>
          <w:sz w:val="24"/>
        </w:rPr>
        <w:t xml:space="preserve">第二条  </w:t>
      </w:r>
      <w:r>
        <w:rPr>
          <w:rFonts w:hint="eastAsia" w:asciiTheme="minorEastAsia" w:hAnsiTheme="minorEastAsia"/>
          <w:color w:val="auto"/>
          <w:sz w:val="24"/>
        </w:rPr>
        <w:t>在交付前，乙方应进行全面检查，并对验收文件进行整理，列出清单，作为甲方验收和使用的依据。</w:t>
      </w:r>
    </w:p>
    <w:p w14:paraId="76ED2C3B">
      <w:pPr>
        <w:adjustRightInd w:val="0"/>
        <w:snapToGrid w:val="0"/>
        <w:spacing w:line="500" w:lineRule="exact"/>
        <w:ind w:firstLine="480" w:firstLineChars="200"/>
        <w:rPr>
          <w:rFonts w:asciiTheme="minorEastAsia" w:hAnsiTheme="minorEastAsia"/>
          <w:color w:val="auto"/>
          <w:sz w:val="24"/>
        </w:rPr>
      </w:pPr>
      <w:r>
        <w:rPr>
          <w:rFonts w:hint="eastAsia" w:cs="宋体" w:asciiTheme="minorEastAsia" w:hAnsiTheme="minorEastAsia"/>
          <w:color w:val="auto"/>
          <w:sz w:val="24"/>
        </w:rPr>
        <w:t xml:space="preserve">第三条  </w:t>
      </w:r>
      <w:r>
        <w:rPr>
          <w:rFonts w:hint="eastAsia" w:asciiTheme="minorEastAsia" w:hAnsiTheme="minorEastAsia"/>
          <w:color w:val="auto"/>
          <w:sz w:val="24"/>
        </w:rPr>
        <w:t>验收标准</w:t>
      </w:r>
    </w:p>
    <w:p w14:paraId="3153277A">
      <w:pPr>
        <w:adjustRightInd w:val="0"/>
        <w:snapToGrid w:val="0"/>
        <w:spacing w:line="500" w:lineRule="exact"/>
        <w:ind w:firstLine="480" w:firstLineChars="200"/>
        <w:rPr>
          <w:rFonts w:asciiTheme="minorEastAsia" w:hAnsiTheme="minorEastAsia"/>
          <w:color w:val="auto"/>
          <w:sz w:val="24"/>
        </w:rPr>
      </w:pPr>
      <w:r>
        <w:rPr>
          <w:rFonts w:hint="eastAsia" w:asciiTheme="minorEastAsia" w:hAnsiTheme="minorEastAsia"/>
          <w:color w:val="auto"/>
          <w:sz w:val="24"/>
        </w:rPr>
        <w:t>通过考核成绩、技能水平测试、项目成果展示等方式，检验培养对象能否达到预期的专业能力要求。</w:t>
      </w:r>
    </w:p>
    <w:p w14:paraId="5FCBD3BB">
      <w:pPr>
        <w:adjustRightInd w:val="0"/>
        <w:snapToGrid w:val="0"/>
        <w:spacing w:line="500" w:lineRule="exact"/>
        <w:ind w:firstLine="482" w:firstLineChars="200"/>
        <w:jc w:val="center"/>
        <w:rPr>
          <w:rFonts w:cs="宋体" w:asciiTheme="minorEastAsia" w:hAnsiTheme="minorEastAsia"/>
          <w:b/>
          <w:bCs/>
          <w:color w:val="auto"/>
          <w:sz w:val="24"/>
        </w:rPr>
      </w:pPr>
    </w:p>
    <w:p w14:paraId="3439C922">
      <w:pPr>
        <w:adjustRightInd w:val="0"/>
        <w:snapToGrid w:val="0"/>
        <w:spacing w:line="500" w:lineRule="exact"/>
        <w:ind w:firstLine="482" w:firstLineChars="200"/>
        <w:jc w:val="center"/>
        <w:rPr>
          <w:rFonts w:asciiTheme="minorEastAsia" w:hAnsiTheme="minorEastAsia"/>
          <w:b/>
          <w:color w:val="auto"/>
          <w:sz w:val="24"/>
        </w:rPr>
      </w:pPr>
      <w:r>
        <w:rPr>
          <w:rFonts w:hint="eastAsia" w:cs="宋体" w:asciiTheme="minorEastAsia" w:hAnsiTheme="minorEastAsia"/>
          <w:b/>
          <w:bCs/>
          <w:color w:val="auto"/>
          <w:sz w:val="24"/>
        </w:rPr>
        <w:t xml:space="preserve">第八章 </w:t>
      </w:r>
      <w:r>
        <w:rPr>
          <w:rFonts w:hint="eastAsia" w:asciiTheme="minorEastAsia" w:hAnsiTheme="minorEastAsia"/>
          <w:b/>
          <w:color w:val="auto"/>
          <w:sz w:val="24"/>
        </w:rPr>
        <w:t>违约责任</w:t>
      </w:r>
    </w:p>
    <w:p w14:paraId="1E977D15">
      <w:pPr>
        <w:adjustRightInd w:val="0"/>
        <w:snapToGrid w:val="0"/>
        <w:spacing w:line="500" w:lineRule="exact"/>
        <w:ind w:firstLine="480" w:firstLineChars="200"/>
        <w:rPr>
          <w:rFonts w:asciiTheme="minorEastAsia" w:hAnsiTheme="minorEastAsia"/>
          <w:color w:val="auto"/>
          <w:sz w:val="24"/>
        </w:rPr>
      </w:pPr>
      <w:r>
        <w:rPr>
          <w:rFonts w:hint="eastAsia" w:cs="宋体" w:asciiTheme="minorEastAsia" w:hAnsiTheme="minorEastAsia"/>
          <w:color w:val="auto"/>
          <w:sz w:val="24"/>
        </w:rPr>
        <w:t xml:space="preserve">第一条  </w:t>
      </w:r>
      <w:r>
        <w:rPr>
          <w:rFonts w:hint="eastAsia" w:asciiTheme="minorEastAsia" w:hAnsiTheme="minorEastAsia"/>
          <w:color w:val="auto"/>
          <w:sz w:val="24"/>
        </w:rPr>
        <w:t>乙方提供的服务不符合采购文件、响应文件或本合同规定的、验收不合格的，乙方须向甲方支付本合同总价5%的违约金。</w:t>
      </w:r>
    </w:p>
    <w:p w14:paraId="76D82250">
      <w:pPr>
        <w:adjustRightInd w:val="0"/>
        <w:snapToGrid w:val="0"/>
        <w:spacing w:line="500" w:lineRule="exact"/>
        <w:ind w:firstLine="480" w:firstLineChars="200"/>
        <w:rPr>
          <w:rFonts w:asciiTheme="minorEastAsia" w:hAnsiTheme="minorEastAsia"/>
          <w:color w:val="auto"/>
          <w:sz w:val="24"/>
        </w:rPr>
      </w:pPr>
      <w:r>
        <w:rPr>
          <w:rFonts w:hint="eastAsia" w:cs="宋体" w:asciiTheme="minorEastAsia" w:hAnsiTheme="minorEastAsia"/>
          <w:color w:val="auto"/>
          <w:sz w:val="24"/>
        </w:rPr>
        <w:t xml:space="preserve">第二条  </w:t>
      </w:r>
      <w:r>
        <w:rPr>
          <w:rFonts w:hint="eastAsia" w:asciiTheme="minorEastAsia" w:hAnsiTheme="minorEastAsia"/>
          <w:color w:val="auto"/>
          <w:sz w:val="24"/>
        </w:rPr>
        <w:t>乙方因自身原因未能按合同规定的时间完成医务人员海外研修服务，从逾期之日起每日按合同总价3‰的数额向甲方支付违约金；逾期15天以上（含15天）的，甲方有权终止合同，要求乙方支付本合同总价5%的违约金，如造成甲方损失超过违约金的，超出部分由乙方继续承担赔偿责任。</w:t>
      </w:r>
    </w:p>
    <w:p w14:paraId="21410EB1">
      <w:pPr>
        <w:adjustRightInd w:val="0"/>
        <w:snapToGrid w:val="0"/>
        <w:spacing w:line="500" w:lineRule="exact"/>
        <w:ind w:firstLine="480" w:firstLineChars="200"/>
        <w:rPr>
          <w:rFonts w:asciiTheme="minorEastAsia" w:hAnsiTheme="minorEastAsia"/>
          <w:color w:val="auto"/>
          <w:sz w:val="24"/>
        </w:rPr>
      </w:pPr>
      <w:r>
        <w:rPr>
          <w:rFonts w:hint="eastAsia" w:cs="宋体" w:asciiTheme="minorEastAsia" w:hAnsiTheme="minorEastAsia"/>
          <w:color w:val="auto"/>
          <w:sz w:val="24"/>
        </w:rPr>
        <w:t xml:space="preserve">第三条  </w:t>
      </w:r>
      <w:r>
        <w:rPr>
          <w:rFonts w:hint="eastAsia" w:asciiTheme="minorEastAsia" w:hAnsiTheme="minorEastAsia"/>
          <w:color w:val="auto"/>
          <w:sz w:val="24"/>
        </w:rPr>
        <w:t>其他违约责任按《中华人民共和国民法典》处理。</w:t>
      </w:r>
    </w:p>
    <w:p w14:paraId="3BA1AC98">
      <w:pPr>
        <w:adjustRightInd w:val="0"/>
        <w:snapToGrid w:val="0"/>
        <w:spacing w:line="500" w:lineRule="exact"/>
        <w:ind w:firstLine="482"/>
        <w:jc w:val="center"/>
        <w:rPr>
          <w:rFonts w:cs="宋体" w:asciiTheme="minorEastAsia" w:hAnsiTheme="minorEastAsia"/>
          <w:b/>
          <w:bCs/>
          <w:color w:val="auto"/>
          <w:sz w:val="24"/>
        </w:rPr>
      </w:pPr>
    </w:p>
    <w:p w14:paraId="3FAA2B1C">
      <w:pPr>
        <w:adjustRightInd w:val="0"/>
        <w:snapToGrid w:val="0"/>
        <w:spacing w:line="500" w:lineRule="exact"/>
        <w:ind w:firstLine="482"/>
        <w:jc w:val="center"/>
        <w:rPr>
          <w:rFonts w:cs="宋体" w:asciiTheme="minorEastAsia" w:hAnsiTheme="minorEastAsia"/>
          <w:b/>
          <w:bCs/>
          <w:color w:val="auto"/>
          <w:sz w:val="24"/>
        </w:rPr>
      </w:pPr>
      <w:r>
        <w:rPr>
          <w:rFonts w:hint="eastAsia" w:cs="宋体" w:asciiTheme="minorEastAsia" w:hAnsiTheme="minorEastAsia"/>
          <w:b/>
          <w:bCs/>
          <w:color w:val="auto"/>
          <w:sz w:val="24"/>
        </w:rPr>
        <w:t>第九章 其他事项</w:t>
      </w:r>
    </w:p>
    <w:p w14:paraId="4FDE38A7">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第一条  本协议的补充、修改、变更均应采用书面形式形成《补充协议》。《补充协议》在双方签署后生效，与本协议具有同等法律效力。若《补充协议》与本协议正文部分有冲突条款，以《补充协议》为准。</w:t>
      </w:r>
    </w:p>
    <w:p w14:paraId="1E541B2A">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第二条  本协议的履行、解释及争议解决均适用中华人民共和国有关法律。本协议在签署、履行过程中发生任何争议的，由甲乙双方协商解决。协商不成，由甲方所在地有管辖权的人民法院裁决。</w:t>
      </w:r>
    </w:p>
    <w:p w14:paraId="0C612640">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双方确认本合同载明的通讯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p>
    <w:p w14:paraId="3D67A34B">
      <w:pPr>
        <w:adjustRightInd w:val="0"/>
        <w:snapToGrid w:val="0"/>
        <w:spacing w:line="500" w:lineRule="exact"/>
        <w:ind w:firstLine="480" w:firstLineChars="200"/>
        <w:jc w:val="left"/>
        <w:rPr>
          <w:rFonts w:cs="宋体" w:asciiTheme="minorEastAsia" w:hAnsiTheme="minorEastAsia"/>
          <w:b/>
          <w:color w:val="auto"/>
          <w:sz w:val="24"/>
        </w:rPr>
      </w:pPr>
      <w:r>
        <w:rPr>
          <w:rFonts w:hint="eastAsia" w:cs="宋体" w:asciiTheme="minorEastAsia" w:hAnsiTheme="minorEastAsia"/>
          <w:color w:val="auto"/>
          <w:sz w:val="24"/>
        </w:rPr>
        <w:t>第三条</w:t>
      </w:r>
      <w:r>
        <w:rPr>
          <w:rFonts w:hint="eastAsia" w:cs="宋体" w:asciiTheme="minorEastAsia" w:hAnsiTheme="minorEastAsia"/>
          <w:b/>
          <w:color w:val="auto"/>
          <w:sz w:val="24"/>
        </w:rPr>
        <w:t xml:space="preserve">  </w:t>
      </w:r>
      <w:r>
        <w:rPr>
          <w:rFonts w:hint="eastAsia" w:cs="宋体" w:asciiTheme="minorEastAsia" w:hAnsiTheme="minorEastAsia"/>
          <w:color w:val="auto"/>
          <w:sz w:val="24"/>
        </w:rPr>
        <w:t>本协议自甲、乙双方盖章（公章或合同章）之日起生效。</w:t>
      </w:r>
    </w:p>
    <w:p w14:paraId="679C6480">
      <w:pPr>
        <w:adjustRightInd w:val="0"/>
        <w:snapToGrid w:val="0"/>
        <w:spacing w:line="500" w:lineRule="exact"/>
        <w:ind w:firstLine="480" w:firstLineChars="200"/>
        <w:jc w:val="left"/>
        <w:rPr>
          <w:rFonts w:cs="宋体" w:asciiTheme="minorEastAsia" w:hAnsiTheme="minorEastAsia"/>
          <w:color w:val="auto"/>
          <w:sz w:val="24"/>
        </w:rPr>
      </w:pPr>
      <w:r>
        <w:rPr>
          <w:rFonts w:hint="eastAsia" w:cs="宋体" w:asciiTheme="minorEastAsia" w:hAnsiTheme="minorEastAsia"/>
          <w:color w:val="auto"/>
          <w:sz w:val="24"/>
        </w:rPr>
        <w:t>第四条</w:t>
      </w:r>
      <w:r>
        <w:rPr>
          <w:rFonts w:hint="eastAsia" w:cs="宋体" w:asciiTheme="minorEastAsia" w:hAnsiTheme="minorEastAsia"/>
          <w:b/>
          <w:bCs/>
          <w:color w:val="auto"/>
          <w:sz w:val="24"/>
        </w:rPr>
        <w:t xml:space="preserve">  </w:t>
      </w:r>
      <w:r>
        <w:rPr>
          <w:rFonts w:hint="eastAsia" w:cs="宋体" w:asciiTheme="minorEastAsia" w:hAnsiTheme="minorEastAsia"/>
          <w:color w:val="auto"/>
          <w:sz w:val="24"/>
        </w:rPr>
        <w:t>本协议壹式肆份，双方各执贰份，具有同等法律效力。</w:t>
      </w:r>
    </w:p>
    <w:p w14:paraId="31C3CAE3">
      <w:pPr>
        <w:shd w:val="clear" w:color="auto" w:fill="FFFFFF"/>
        <w:adjustRightInd w:val="0"/>
        <w:snapToGrid w:val="0"/>
        <w:spacing w:line="500" w:lineRule="exact"/>
        <w:ind w:firstLine="241" w:firstLineChars="100"/>
        <w:rPr>
          <w:rFonts w:cs="宋体" w:asciiTheme="minorEastAsia" w:hAnsiTheme="minorEastAsia"/>
          <w:color w:val="auto"/>
          <w:sz w:val="24"/>
        </w:rPr>
      </w:pPr>
      <w:r>
        <w:rPr>
          <w:rFonts w:hint="eastAsia" w:cs="宋体" w:asciiTheme="minorEastAsia" w:hAnsiTheme="minorEastAsia"/>
          <w:b/>
          <w:bCs/>
          <w:color w:val="auto"/>
          <w:sz w:val="24"/>
        </w:rPr>
        <w:t>（以下无正文）</w:t>
      </w:r>
    </w:p>
    <w:p w14:paraId="65DC5E0A">
      <w:pPr>
        <w:shd w:val="clear" w:color="auto" w:fill="FFFFFF"/>
        <w:adjustRightInd w:val="0"/>
        <w:snapToGrid w:val="0"/>
        <w:spacing w:line="500" w:lineRule="exact"/>
        <w:ind w:firstLine="482" w:firstLineChars="200"/>
        <w:rPr>
          <w:rFonts w:cs="宋体" w:asciiTheme="minorEastAsia" w:hAnsiTheme="minorEastAsia"/>
          <w:color w:val="auto"/>
          <w:sz w:val="24"/>
        </w:rPr>
      </w:pPr>
      <w:r>
        <w:rPr>
          <w:rFonts w:hint="eastAsia" w:cs="宋体" w:asciiTheme="minorEastAsia" w:hAnsiTheme="minorEastAsia"/>
          <w:b/>
          <w:bCs/>
          <w:color w:val="auto"/>
          <w:sz w:val="24"/>
        </w:rPr>
        <w:t>甲 方</w:t>
      </w:r>
      <w:r>
        <w:rPr>
          <w:rFonts w:hint="eastAsia" w:cs="宋体" w:asciiTheme="minorEastAsia" w:hAnsiTheme="minorEastAsia"/>
          <w:color w:val="auto"/>
          <w:sz w:val="24"/>
        </w:rPr>
        <w:t xml:space="preserve">：盐城市卫生健康委员会　            </w:t>
      </w:r>
      <w:r>
        <w:rPr>
          <w:rFonts w:hint="eastAsia" w:cs="宋体" w:asciiTheme="minorEastAsia" w:hAnsiTheme="minorEastAsia"/>
          <w:b/>
          <w:bCs/>
          <w:color w:val="auto"/>
          <w:sz w:val="24"/>
        </w:rPr>
        <w:t>乙 方</w:t>
      </w:r>
      <w:r>
        <w:rPr>
          <w:rFonts w:hint="eastAsia" w:cs="宋体" w:asciiTheme="minorEastAsia" w:hAnsiTheme="minorEastAsia"/>
          <w:color w:val="auto"/>
          <w:sz w:val="24"/>
        </w:rPr>
        <w:t>：　</w:t>
      </w:r>
    </w:p>
    <w:p w14:paraId="3125FFAA">
      <w:pPr>
        <w:shd w:val="clear" w:color="auto" w:fill="FFFFFF"/>
        <w:adjustRightInd w:val="0"/>
        <w:snapToGrid w:val="0"/>
        <w:spacing w:line="500" w:lineRule="exact"/>
        <w:ind w:firstLine="1440" w:firstLineChars="600"/>
        <w:rPr>
          <w:rFonts w:cs="宋体" w:asciiTheme="minorEastAsia" w:hAnsiTheme="minorEastAsia"/>
          <w:color w:val="auto"/>
          <w:sz w:val="24"/>
        </w:rPr>
      </w:pPr>
      <w:r>
        <w:rPr>
          <w:rFonts w:hint="eastAsia" w:cs="宋体" w:asciiTheme="minorEastAsia" w:hAnsiTheme="minorEastAsia"/>
          <w:color w:val="auto"/>
          <w:sz w:val="24"/>
        </w:rPr>
        <w:t xml:space="preserve">    （盖  章）                              （盖   章）                                      </w:t>
      </w:r>
    </w:p>
    <w:p w14:paraId="5D7AD5A0">
      <w:pPr>
        <w:shd w:val="clear" w:color="auto" w:fill="FFFFFF"/>
        <w:adjustRightInd w:val="0"/>
        <w:snapToGrid w:val="0"/>
        <w:spacing w:line="500" w:lineRule="exact"/>
        <w:ind w:firstLine="480" w:firstLineChars="200"/>
        <w:rPr>
          <w:rFonts w:cs="宋体" w:asciiTheme="minorEastAsia" w:hAnsiTheme="minorEastAsia"/>
          <w:color w:val="auto"/>
          <w:sz w:val="24"/>
        </w:rPr>
      </w:pPr>
      <w:r>
        <w:rPr>
          <w:rFonts w:hint="eastAsia" w:cs="宋体" w:asciiTheme="minorEastAsia" w:hAnsiTheme="minorEastAsia"/>
          <w:color w:val="auto"/>
          <w:sz w:val="24"/>
        </w:rPr>
        <w:t>法定或授权代表人：                    法定或授权代表人：</w:t>
      </w:r>
    </w:p>
    <w:p w14:paraId="03C7ABE8">
      <w:pPr>
        <w:shd w:val="clear" w:color="auto" w:fill="FFFFFF"/>
        <w:adjustRightInd w:val="0"/>
        <w:snapToGrid w:val="0"/>
        <w:spacing w:line="500" w:lineRule="exact"/>
        <w:ind w:firstLine="1680" w:firstLineChars="700"/>
        <w:rPr>
          <w:rFonts w:cs="宋体" w:asciiTheme="minorEastAsia" w:hAnsiTheme="minorEastAsia"/>
          <w:color w:val="auto"/>
          <w:sz w:val="24"/>
        </w:rPr>
      </w:pPr>
      <w:r>
        <w:rPr>
          <w:rFonts w:hint="eastAsia" w:cs="宋体" w:asciiTheme="minorEastAsia" w:hAnsiTheme="minorEastAsia"/>
          <w:color w:val="auto"/>
          <w:sz w:val="24"/>
        </w:rPr>
        <w:t>（盖章或签字）                           （盖章或签字）</w:t>
      </w:r>
    </w:p>
    <w:p w14:paraId="14A9B119">
      <w:pPr>
        <w:shd w:val="clear" w:color="auto" w:fill="FFFFFF"/>
        <w:adjustRightInd w:val="0"/>
        <w:snapToGrid w:val="0"/>
        <w:spacing w:line="500" w:lineRule="exact"/>
        <w:ind w:firstLine="480" w:firstLineChars="200"/>
        <w:rPr>
          <w:rFonts w:cs="宋体" w:asciiTheme="minorEastAsia" w:hAnsiTheme="minorEastAsia"/>
          <w:color w:val="auto"/>
          <w:sz w:val="24"/>
        </w:rPr>
      </w:pPr>
    </w:p>
    <w:p w14:paraId="3B9175EE">
      <w:pPr>
        <w:shd w:val="clear" w:color="auto" w:fill="FFFFFF"/>
        <w:adjustRightInd w:val="0"/>
        <w:snapToGrid w:val="0"/>
        <w:spacing w:line="500" w:lineRule="exact"/>
        <w:ind w:firstLine="480" w:firstLineChars="200"/>
        <w:rPr>
          <w:rFonts w:cs="宋体" w:asciiTheme="minorEastAsia" w:hAnsiTheme="minorEastAsia"/>
          <w:color w:val="auto"/>
          <w:sz w:val="24"/>
        </w:rPr>
      </w:pPr>
      <w:r>
        <w:rPr>
          <w:rFonts w:hint="eastAsia" w:cs="宋体" w:asciiTheme="minorEastAsia" w:hAnsiTheme="minorEastAsia"/>
          <w:color w:val="auto"/>
          <w:sz w:val="24"/>
        </w:rPr>
        <w:t>签署日期：    年   月   日            签署日期：    年   月   日</w:t>
      </w:r>
    </w:p>
    <w:p w14:paraId="53D76986">
      <w:pPr>
        <w:jc w:val="left"/>
        <w:rPr>
          <w:rFonts w:ascii="宋体" w:hAnsi="宋体" w:cs="宋体"/>
          <w:color w:val="auto"/>
          <w:szCs w:val="21"/>
        </w:rPr>
      </w:pPr>
      <w:r>
        <w:rPr>
          <w:rFonts w:hint="eastAsia" w:ascii="宋体" w:hAnsi="宋体" w:cs="宋体"/>
          <w:color w:val="auto"/>
          <w:szCs w:val="21"/>
        </w:rPr>
        <w:br w:type="page"/>
      </w:r>
    </w:p>
    <w:p w14:paraId="3E04FCAA">
      <w:pPr>
        <w:pStyle w:val="10"/>
        <w:spacing w:before="120" w:beforeAutospacing="0" w:after="120" w:afterAutospacing="0" w:line="500" w:lineRule="exact"/>
        <w:ind w:firstLine="3080" w:firstLineChars="700"/>
        <w:rPr>
          <w:color w:val="auto"/>
        </w:rPr>
      </w:pPr>
      <w:r>
        <w:rPr>
          <w:rFonts w:hint="eastAsia" w:ascii="黑体" w:hAnsi="宋体" w:eastAsia="黑体" w:cs="黑体"/>
          <w:color w:val="auto"/>
          <w:sz w:val="44"/>
          <w:szCs w:val="44"/>
        </w:rPr>
        <w:t>第</w:t>
      </w:r>
      <w:bookmarkEnd w:id="177"/>
      <w:r>
        <w:rPr>
          <w:rFonts w:hint="eastAsia" w:ascii="黑体" w:hAnsi="宋体" w:eastAsia="黑体" w:cs="黑体"/>
          <w:color w:val="auto"/>
          <w:sz w:val="44"/>
          <w:szCs w:val="44"/>
        </w:rPr>
        <w:t>四章 采购需求</w:t>
      </w:r>
      <w:bookmarkEnd w:id="178"/>
      <w:bookmarkEnd w:id="179"/>
      <w:bookmarkEnd w:id="180"/>
      <w:bookmarkEnd w:id="181"/>
      <w:bookmarkEnd w:id="182"/>
    </w:p>
    <w:p w14:paraId="0A699FEC">
      <w:pPr>
        <w:pStyle w:val="10"/>
        <w:spacing w:beforeAutospacing="0" w:afterAutospacing="0" w:line="500" w:lineRule="exact"/>
        <w:ind w:firstLine="482" w:firstLineChars="200"/>
        <w:jc w:val="both"/>
        <w:rPr>
          <w:rFonts w:ascii="宋体" w:hAnsi="宋体" w:eastAsia="宋体" w:cs="宋体"/>
          <w:b/>
          <w:bCs/>
          <w:color w:val="auto"/>
        </w:rPr>
      </w:pPr>
      <w:r>
        <w:rPr>
          <w:rFonts w:hint="eastAsia" w:ascii="宋体" w:hAnsi="宋体" w:eastAsia="宋体" w:cs="宋体"/>
          <w:b/>
          <w:bCs/>
          <w:color w:val="auto"/>
        </w:rPr>
        <w:t>项目属性：服务类项目</w:t>
      </w:r>
    </w:p>
    <w:p w14:paraId="6597E9D2">
      <w:pPr>
        <w:pStyle w:val="10"/>
        <w:spacing w:beforeAutospacing="0" w:afterAutospacing="0" w:line="500" w:lineRule="exact"/>
        <w:jc w:val="both"/>
        <w:rPr>
          <w:rFonts w:ascii="宋体" w:hAnsi="宋体" w:eastAsia="宋体" w:cs="宋体"/>
          <w:color w:val="auto"/>
        </w:rPr>
      </w:pPr>
    </w:p>
    <w:p w14:paraId="26F3FBF4">
      <w:pPr>
        <w:adjustRightInd w:val="0"/>
        <w:snapToGrid w:val="0"/>
        <w:spacing w:line="500" w:lineRule="exact"/>
        <w:ind w:firstLine="482" w:firstLineChars="200"/>
        <w:rPr>
          <w:rFonts w:ascii="宋体" w:hAnsi="宋体"/>
          <w:b/>
          <w:color w:val="auto"/>
          <w:sz w:val="24"/>
        </w:rPr>
      </w:pPr>
      <w:r>
        <w:rPr>
          <w:rFonts w:hint="eastAsia" w:ascii="宋体" w:hAnsi="宋体"/>
          <w:b/>
          <w:color w:val="auto"/>
          <w:sz w:val="24"/>
        </w:rPr>
        <w:t>一、项目概况</w:t>
      </w:r>
    </w:p>
    <w:p w14:paraId="367F7DBC">
      <w:pPr>
        <w:adjustRightInd w:val="0"/>
        <w:snapToGrid w:val="0"/>
        <w:spacing w:line="500" w:lineRule="exact"/>
        <w:ind w:firstLine="480" w:firstLineChars="200"/>
        <w:rPr>
          <w:rFonts w:ascii="宋体" w:hAnsi="宋体" w:eastAsia="宋体" w:cs="宋体"/>
          <w:color w:val="auto"/>
          <w:kern w:val="0"/>
          <w:sz w:val="24"/>
        </w:rPr>
      </w:pPr>
      <w:r>
        <w:rPr>
          <w:rFonts w:hint="eastAsia" w:ascii="宋体" w:hAnsi="宋体" w:eastAsia="宋体" w:cs="宋体"/>
          <w:color w:val="auto"/>
          <w:kern w:val="0"/>
          <w:sz w:val="24"/>
        </w:rPr>
        <w:t>1、项目基本情况：从盐城三级医疗机构选拔一批中青年骨干医疗卫生人才(包括临床、医技、护理、药学、公卫等专业)赴国外一流医疗机构和科研院所开展3个月的研修活动(临床观摩为3个月),拓宽思路，开拓眼界，提高临床诊疗技术，更新科研和管理理念，促进中外医学交流，培育新质生产力，为盐城卫生事业高质量发展提供人才支撑。</w:t>
      </w:r>
    </w:p>
    <w:p w14:paraId="6447773D">
      <w:pPr>
        <w:pStyle w:val="10"/>
        <w:spacing w:beforeAutospacing="0" w:afterAutospacing="0" w:line="500" w:lineRule="exact"/>
        <w:ind w:firstLine="480" w:firstLineChars="200"/>
        <w:jc w:val="both"/>
        <w:rPr>
          <w:rFonts w:cs="宋体" w:asciiTheme="minorEastAsia" w:hAnsiTheme="minorEastAsia"/>
          <w:bCs/>
          <w:color w:val="auto"/>
        </w:rPr>
      </w:pPr>
      <w:r>
        <w:rPr>
          <w:rFonts w:hint="eastAsia" w:ascii="宋体" w:hAnsi="宋体" w:eastAsia="宋体" w:cs="宋体"/>
          <w:color w:val="auto"/>
          <w:shd w:val="clear" w:color="auto" w:fill="FFFFFF"/>
        </w:rPr>
        <w:t>2、预算金</w:t>
      </w:r>
      <w:r>
        <w:rPr>
          <w:rFonts w:hint="eastAsia" w:ascii="宋体" w:hAnsi="宋体" w:eastAsia="宋体" w:cs="宋体"/>
          <w:color w:val="auto"/>
        </w:rPr>
        <w:t>额：赴英国、</w:t>
      </w:r>
      <w:r>
        <w:rPr>
          <w:rFonts w:hint="eastAsia" w:ascii="宋体" w:eastAsia="宋体" w:cs="宋体"/>
          <w:color w:val="auto"/>
        </w:rPr>
        <w:t>意大利研修人员</w:t>
      </w:r>
      <w:r>
        <w:rPr>
          <w:rFonts w:hint="eastAsia" w:cs="宋体" w:asciiTheme="minorEastAsia" w:hAnsiTheme="minorEastAsia"/>
          <w:color w:val="auto"/>
        </w:rPr>
        <w:t>服务费用预算金额为人民币</w:t>
      </w:r>
      <w:r>
        <w:rPr>
          <w:rFonts w:cs="宋体" w:asciiTheme="minorEastAsia" w:hAnsiTheme="minorEastAsia"/>
          <w:bCs/>
          <w:color w:val="auto"/>
          <w:u w:val="single"/>
        </w:rPr>
        <w:t xml:space="preserve"> 9.0 </w:t>
      </w:r>
      <w:r>
        <w:rPr>
          <w:rFonts w:cs="宋体" w:asciiTheme="minorEastAsia" w:hAnsiTheme="minorEastAsia"/>
          <w:bCs/>
          <w:color w:val="auto"/>
        </w:rPr>
        <w:t>万</w:t>
      </w:r>
      <w:r>
        <w:rPr>
          <w:rFonts w:hint="eastAsia" w:cs="宋体" w:asciiTheme="minorEastAsia" w:hAnsiTheme="minorEastAsia"/>
          <w:bCs/>
          <w:color w:val="auto"/>
        </w:rPr>
        <w:t>元/人；</w:t>
      </w:r>
      <w:r>
        <w:rPr>
          <w:rFonts w:hint="eastAsia" w:ascii="宋体" w:hAnsi="宋体" w:eastAsia="宋体" w:cs="宋体"/>
          <w:color w:val="auto"/>
        </w:rPr>
        <w:t>赴</w:t>
      </w:r>
      <w:r>
        <w:rPr>
          <w:rFonts w:hint="eastAsia" w:ascii="宋体" w:eastAsia="宋体" w:cs="宋体"/>
          <w:color w:val="auto"/>
        </w:rPr>
        <w:t>美国研修人员</w:t>
      </w:r>
      <w:r>
        <w:rPr>
          <w:rFonts w:hint="eastAsia" w:cs="宋体" w:asciiTheme="minorEastAsia" w:hAnsiTheme="minorEastAsia"/>
          <w:color w:val="auto"/>
        </w:rPr>
        <w:t>服务费用预算金额为人民币</w:t>
      </w:r>
      <w:r>
        <w:rPr>
          <w:rFonts w:cs="宋体" w:asciiTheme="minorEastAsia" w:hAnsiTheme="minorEastAsia"/>
          <w:bCs/>
          <w:color w:val="auto"/>
          <w:u w:val="single"/>
        </w:rPr>
        <w:t xml:space="preserve"> 9.5</w:t>
      </w:r>
      <w:r>
        <w:rPr>
          <w:rFonts w:cs="宋体" w:asciiTheme="minorEastAsia" w:hAnsiTheme="minorEastAsia"/>
          <w:bCs/>
          <w:color w:val="auto"/>
        </w:rPr>
        <w:t>万</w:t>
      </w:r>
      <w:r>
        <w:rPr>
          <w:rFonts w:hint="eastAsia" w:cs="宋体" w:asciiTheme="minorEastAsia" w:hAnsiTheme="minorEastAsia"/>
          <w:bCs/>
          <w:color w:val="auto"/>
        </w:rPr>
        <w:t>元/人。</w:t>
      </w:r>
    </w:p>
    <w:p w14:paraId="636E53C8">
      <w:pPr>
        <w:pStyle w:val="10"/>
        <w:spacing w:beforeAutospacing="0" w:afterAutospacing="0" w:line="500" w:lineRule="exact"/>
        <w:ind w:firstLine="480" w:firstLineChars="200"/>
        <w:jc w:val="both"/>
        <w:rPr>
          <w:rFonts w:cs="宋体" w:asciiTheme="minorEastAsia" w:hAnsiTheme="minorEastAsia"/>
          <w:bCs/>
          <w:color w:val="auto"/>
        </w:rPr>
      </w:pPr>
      <w:r>
        <w:rPr>
          <w:rFonts w:ascii="宋体" w:hAnsi="宋体" w:eastAsia="宋体" w:cs="宋体"/>
          <w:color w:val="auto"/>
        </w:rPr>
        <w:t>3、</w:t>
      </w:r>
      <w:r>
        <w:rPr>
          <w:rFonts w:hint="eastAsia" w:ascii="宋体" w:hAnsi="宋体" w:eastAsia="宋体" w:cs="宋体"/>
          <w:color w:val="auto"/>
        </w:rPr>
        <w:t>最高限价：</w:t>
      </w:r>
      <w:bookmarkStart w:id="184" w:name="OLE_LINK15"/>
      <w:bookmarkStart w:id="185" w:name="OLE_LINK14"/>
      <w:r>
        <w:rPr>
          <w:rFonts w:hint="eastAsia" w:ascii="宋体" w:hAnsi="宋体" w:eastAsia="宋体" w:cs="宋体"/>
          <w:color w:val="auto"/>
        </w:rPr>
        <w:t>赴英国、</w:t>
      </w:r>
      <w:r>
        <w:rPr>
          <w:rFonts w:hint="eastAsia" w:ascii="宋体" w:eastAsia="宋体" w:cs="宋体"/>
          <w:color w:val="auto"/>
        </w:rPr>
        <w:t>意大利研修人员</w:t>
      </w:r>
      <w:r>
        <w:rPr>
          <w:rFonts w:hint="eastAsia" w:cs="宋体" w:asciiTheme="minorEastAsia" w:hAnsiTheme="minorEastAsia"/>
          <w:color w:val="auto"/>
        </w:rPr>
        <w:t>服务费用最高限价为人民币</w:t>
      </w:r>
      <w:r>
        <w:rPr>
          <w:rFonts w:cs="宋体" w:asciiTheme="minorEastAsia" w:hAnsiTheme="minorEastAsia"/>
          <w:bCs/>
          <w:color w:val="auto"/>
          <w:u w:val="single"/>
        </w:rPr>
        <w:t xml:space="preserve"> 9.0 </w:t>
      </w:r>
      <w:r>
        <w:rPr>
          <w:rFonts w:cs="宋体" w:asciiTheme="minorEastAsia" w:hAnsiTheme="minorEastAsia"/>
          <w:bCs/>
          <w:color w:val="auto"/>
        </w:rPr>
        <w:t>万</w:t>
      </w:r>
      <w:r>
        <w:rPr>
          <w:rFonts w:hint="eastAsia" w:cs="宋体" w:asciiTheme="minorEastAsia" w:hAnsiTheme="minorEastAsia"/>
          <w:bCs/>
          <w:color w:val="auto"/>
        </w:rPr>
        <w:t>元/人；</w:t>
      </w:r>
      <w:r>
        <w:rPr>
          <w:rFonts w:hint="eastAsia" w:ascii="宋体" w:hAnsi="宋体" w:eastAsia="宋体" w:cs="宋体"/>
          <w:color w:val="auto"/>
        </w:rPr>
        <w:t>赴</w:t>
      </w:r>
      <w:bookmarkStart w:id="186" w:name="OLE_LINK23"/>
      <w:r>
        <w:rPr>
          <w:rFonts w:hint="eastAsia" w:ascii="宋体" w:eastAsia="宋体" w:cs="宋体"/>
          <w:color w:val="auto"/>
        </w:rPr>
        <w:t>美国</w:t>
      </w:r>
      <w:bookmarkEnd w:id="186"/>
      <w:r>
        <w:rPr>
          <w:rFonts w:hint="eastAsia" w:ascii="宋体" w:eastAsia="宋体" w:cs="宋体"/>
          <w:color w:val="auto"/>
        </w:rPr>
        <w:t>研修人员</w:t>
      </w:r>
      <w:r>
        <w:rPr>
          <w:rFonts w:hint="eastAsia" w:cs="宋体" w:asciiTheme="minorEastAsia" w:hAnsiTheme="minorEastAsia"/>
          <w:color w:val="auto"/>
        </w:rPr>
        <w:t>服务费用最高限价为人民币</w:t>
      </w:r>
      <w:r>
        <w:rPr>
          <w:rFonts w:cs="宋体" w:asciiTheme="minorEastAsia" w:hAnsiTheme="minorEastAsia"/>
          <w:bCs/>
          <w:color w:val="auto"/>
          <w:u w:val="single"/>
        </w:rPr>
        <w:t xml:space="preserve"> 9.5</w:t>
      </w:r>
      <w:r>
        <w:rPr>
          <w:rFonts w:cs="宋体" w:asciiTheme="minorEastAsia" w:hAnsiTheme="minorEastAsia"/>
          <w:bCs/>
          <w:color w:val="auto"/>
        </w:rPr>
        <w:t>万</w:t>
      </w:r>
      <w:r>
        <w:rPr>
          <w:rFonts w:hint="eastAsia" w:cs="宋体" w:asciiTheme="minorEastAsia" w:hAnsiTheme="minorEastAsia"/>
          <w:bCs/>
          <w:color w:val="auto"/>
        </w:rPr>
        <w:t>元/人。</w:t>
      </w:r>
    </w:p>
    <w:bookmarkEnd w:id="184"/>
    <w:bookmarkEnd w:id="185"/>
    <w:p w14:paraId="6C814553">
      <w:pPr>
        <w:adjustRightInd w:val="0"/>
        <w:snapToGrid w:val="0"/>
        <w:spacing w:line="500" w:lineRule="exact"/>
        <w:ind w:firstLine="480" w:firstLineChars="200"/>
        <w:rPr>
          <w:rFonts w:ascii="宋体" w:hAnsi="宋体" w:eastAsia="宋体" w:cs="宋体"/>
          <w:color w:val="auto"/>
          <w:kern w:val="0"/>
          <w:sz w:val="24"/>
        </w:rPr>
      </w:pPr>
      <w:r>
        <w:rPr>
          <w:rFonts w:hint="eastAsia" w:ascii="宋体" w:hAnsi="宋体" w:eastAsia="宋体" w:cs="宋体"/>
          <w:color w:val="auto"/>
          <w:kern w:val="0"/>
          <w:sz w:val="24"/>
        </w:rPr>
        <w:t>4、拟派研修人数：以实际派遣人员为准。</w:t>
      </w:r>
    </w:p>
    <w:p w14:paraId="661D61F5">
      <w:pPr>
        <w:adjustRightInd w:val="0"/>
        <w:snapToGrid w:val="0"/>
        <w:spacing w:line="500" w:lineRule="exact"/>
        <w:ind w:firstLine="482" w:firstLineChars="200"/>
        <w:rPr>
          <w:rFonts w:ascii="宋体" w:hAnsi="宋体"/>
          <w:b/>
          <w:color w:val="auto"/>
          <w:sz w:val="24"/>
        </w:rPr>
      </w:pPr>
      <w:r>
        <w:rPr>
          <w:rFonts w:hint="eastAsia" w:ascii="宋体" w:hAnsi="宋体"/>
          <w:b/>
          <w:color w:val="auto"/>
          <w:sz w:val="24"/>
        </w:rPr>
        <w:t>二、技术要求</w:t>
      </w:r>
    </w:p>
    <w:p w14:paraId="40015612">
      <w:pPr>
        <w:pStyle w:val="24"/>
        <w:spacing w:before="0" w:beforeLines="0" w:after="0" w:line="500" w:lineRule="exact"/>
        <w:ind w:firstLine="480" w:firstLineChars="200"/>
        <w:jc w:val="left"/>
        <w:rPr>
          <w:rFonts w:ascii="宋体" w:eastAsia="宋体" w:cs="宋体"/>
          <w:color w:val="auto"/>
          <w:szCs w:val="24"/>
        </w:rPr>
      </w:pPr>
      <w:r>
        <w:rPr>
          <w:rFonts w:hint="eastAsia" w:ascii="宋体" w:eastAsia="宋体" w:cs="宋体"/>
          <w:color w:val="auto"/>
          <w:szCs w:val="24"/>
        </w:rPr>
        <w:t>1.研修国家：意大利、美国、英国，具体研修地点及专业须经采购人确认。</w:t>
      </w:r>
    </w:p>
    <w:p w14:paraId="55A9AA92">
      <w:pPr>
        <w:pStyle w:val="24"/>
        <w:spacing w:before="0" w:beforeLines="0" w:after="0" w:line="500" w:lineRule="exact"/>
        <w:ind w:firstLine="480" w:firstLineChars="200"/>
        <w:jc w:val="left"/>
        <w:rPr>
          <w:rFonts w:ascii="宋体" w:eastAsia="宋体" w:cs="宋体"/>
          <w:color w:val="auto"/>
          <w:szCs w:val="24"/>
        </w:rPr>
      </w:pPr>
      <w:r>
        <w:rPr>
          <w:rFonts w:hint="eastAsia" w:ascii="宋体" w:eastAsia="宋体" w:cs="宋体"/>
          <w:color w:val="auto"/>
          <w:szCs w:val="24"/>
        </w:rPr>
        <w:t>2.研修机构要求：国外研修机构世界知名，</w:t>
      </w:r>
      <w:r>
        <w:rPr>
          <w:rFonts w:ascii="宋体" w:eastAsia="宋体" w:cs="宋体"/>
          <w:color w:val="auto"/>
          <w:szCs w:val="24"/>
        </w:rPr>
        <w:t>所在国综合排名</w:t>
      </w:r>
      <w:r>
        <w:rPr>
          <w:rFonts w:hint="eastAsia" w:ascii="宋体" w:eastAsia="宋体" w:cs="宋体"/>
          <w:color w:val="auto"/>
          <w:szCs w:val="24"/>
        </w:rPr>
        <w:t>：</w:t>
      </w:r>
      <w:r>
        <w:rPr>
          <w:rFonts w:ascii="宋体" w:eastAsia="宋体" w:cs="宋体"/>
          <w:color w:val="auto"/>
          <w:szCs w:val="24"/>
        </w:rPr>
        <w:t>美国为综合排名前</w:t>
      </w:r>
      <w:r>
        <w:rPr>
          <w:rFonts w:hint="eastAsia" w:ascii="宋体" w:eastAsia="宋体" w:cs="宋体"/>
          <w:color w:val="auto"/>
          <w:szCs w:val="24"/>
        </w:rPr>
        <w:t>三十名，意大利</w:t>
      </w:r>
      <w:r>
        <w:rPr>
          <w:rFonts w:ascii="宋体" w:eastAsia="宋体" w:cs="宋体"/>
          <w:color w:val="auto"/>
          <w:szCs w:val="24"/>
        </w:rPr>
        <w:t>为综合排名前</w:t>
      </w:r>
      <w:r>
        <w:rPr>
          <w:rFonts w:hint="eastAsia" w:ascii="宋体" w:eastAsia="宋体" w:cs="宋体"/>
          <w:color w:val="auto"/>
          <w:szCs w:val="24"/>
        </w:rPr>
        <w:t>十名</w:t>
      </w:r>
      <w:r>
        <w:rPr>
          <w:rFonts w:ascii="宋体" w:eastAsia="宋体" w:cs="宋体"/>
          <w:color w:val="auto"/>
          <w:szCs w:val="24"/>
        </w:rPr>
        <w:t>，</w:t>
      </w:r>
      <w:r>
        <w:rPr>
          <w:rFonts w:hint="eastAsia" w:ascii="宋体" w:eastAsia="宋体" w:cs="宋体"/>
          <w:color w:val="auto"/>
          <w:szCs w:val="24"/>
        </w:rPr>
        <w:t>英国</w:t>
      </w:r>
      <w:r>
        <w:rPr>
          <w:rFonts w:ascii="宋体" w:eastAsia="宋体" w:cs="宋体"/>
          <w:color w:val="auto"/>
          <w:szCs w:val="24"/>
        </w:rPr>
        <w:t>为综合排名前</w:t>
      </w:r>
      <w:r>
        <w:rPr>
          <w:rFonts w:hint="eastAsia" w:ascii="宋体" w:eastAsia="宋体" w:cs="宋体"/>
          <w:color w:val="auto"/>
          <w:szCs w:val="24"/>
        </w:rPr>
        <w:t>十五名；</w:t>
      </w:r>
      <w:r>
        <w:rPr>
          <w:rFonts w:ascii="宋体" w:eastAsia="宋体" w:cs="宋体"/>
          <w:color w:val="auto"/>
          <w:szCs w:val="24"/>
        </w:rPr>
        <w:t>或专科排名前</w:t>
      </w:r>
      <w:r>
        <w:rPr>
          <w:rFonts w:hint="eastAsia" w:ascii="宋体" w:eastAsia="宋体" w:cs="宋体"/>
          <w:color w:val="auto"/>
          <w:szCs w:val="24"/>
        </w:rPr>
        <w:t>五</w:t>
      </w:r>
      <w:r>
        <w:rPr>
          <w:rFonts w:ascii="宋体" w:eastAsia="宋体" w:cs="宋体"/>
          <w:color w:val="auto"/>
          <w:szCs w:val="24"/>
        </w:rPr>
        <w:t>（美国为专科排名前二十）。</w:t>
      </w:r>
    </w:p>
    <w:p w14:paraId="183505C7">
      <w:pPr>
        <w:pStyle w:val="24"/>
        <w:spacing w:before="0" w:beforeLines="0" w:after="0" w:line="500" w:lineRule="exact"/>
        <w:ind w:firstLine="480" w:firstLineChars="200"/>
        <w:jc w:val="left"/>
        <w:rPr>
          <w:rFonts w:ascii="宋体" w:eastAsia="宋体" w:cs="宋体"/>
          <w:color w:val="auto"/>
          <w:szCs w:val="24"/>
        </w:rPr>
      </w:pPr>
      <w:r>
        <w:rPr>
          <w:rFonts w:ascii="宋体" w:eastAsia="宋体" w:cs="宋体"/>
          <w:color w:val="auto"/>
          <w:szCs w:val="24"/>
        </w:rPr>
        <w:t>注：上述</w:t>
      </w:r>
      <w:bookmarkStart w:id="187" w:name="OLE_LINK2"/>
      <w:bookmarkStart w:id="188" w:name="OLE_LINK1"/>
      <w:r>
        <w:rPr>
          <w:rFonts w:hint="eastAsia" w:ascii="宋体" w:eastAsia="宋体" w:cs="宋体"/>
          <w:color w:val="auto"/>
          <w:szCs w:val="24"/>
        </w:rPr>
        <w:t>研修机构排名最新：新闻周刊全球最佳医院排名、QS世界大学及专业排名、美国新闻报道世界大学及专业排名、美国新闻报道最佳医院排名、软科世界大学学术排名、泰晤士高等教育世界大学及专业排名、英国卫报大学及专业排名、英国NHS 信托绩效排名。</w:t>
      </w:r>
    </w:p>
    <w:bookmarkEnd w:id="187"/>
    <w:bookmarkEnd w:id="188"/>
    <w:p w14:paraId="7905F526">
      <w:pPr>
        <w:pStyle w:val="24"/>
        <w:widowControl w:val="0"/>
        <w:spacing w:before="0" w:beforeLines="0" w:after="0" w:line="500" w:lineRule="exact"/>
        <w:ind w:firstLine="480" w:firstLineChars="200"/>
        <w:jc w:val="left"/>
        <w:rPr>
          <w:rFonts w:ascii="宋体" w:eastAsia="宋体" w:cs="宋体"/>
          <w:color w:val="auto"/>
          <w:szCs w:val="24"/>
        </w:rPr>
      </w:pPr>
      <w:r>
        <w:rPr>
          <w:rFonts w:hint="eastAsia" w:ascii="宋体" w:eastAsia="宋体" w:cs="宋体"/>
          <w:color w:val="auto"/>
          <w:szCs w:val="24"/>
        </w:rPr>
        <w:t>3.带教导师要求：带教导师需为该科室主任或副主任医师及以上级别（部分科室根据实际情况可放宽）及研究员；</w:t>
      </w:r>
    </w:p>
    <w:p w14:paraId="3C62CCF6">
      <w:pPr>
        <w:pStyle w:val="24"/>
        <w:widowControl w:val="0"/>
        <w:spacing w:before="0" w:beforeLines="0" w:after="0" w:line="500" w:lineRule="exact"/>
        <w:ind w:firstLine="480" w:firstLineChars="200"/>
        <w:jc w:val="left"/>
        <w:rPr>
          <w:rFonts w:ascii="宋体" w:eastAsia="宋体" w:cs="宋体"/>
          <w:color w:val="auto"/>
          <w:szCs w:val="24"/>
        </w:rPr>
      </w:pPr>
      <w:r>
        <w:rPr>
          <w:rFonts w:hint="eastAsia" w:ascii="宋体" w:eastAsia="宋体" w:cs="宋体"/>
          <w:color w:val="auto"/>
          <w:szCs w:val="24"/>
        </w:rPr>
        <w:t>4.住宿要求：住宿条件为单人间，套间内或楼层内具备厨房，盥洗室等生活必要设施：</w:t>
      </w:r>
    </w:p>
    <w:p w14:paraId="361E9D00">
      <w:pPr>
        <w:pStyle w:val="24"/>
        <w:spacing w:before="0" w:beforeLines="0" w:after="0" w:line="500" w:lineRule="exact"/>
        <w:ind w:firstLine="480" w:firstLineChars="200"/>
        <w:jc w:val="left"/>
        <w:rPr>
          <w:rFonts w:ascii="宋体" w:eastAsia="宋体" w:cs="宋体"/>
          <w:color w:val="auto"/>
          <w:szCs w:val="24"/>
        </w:rPr>
      </w:pPr>
      <w:r>
        <w:rPr>
          <w:rFonts w:hint="eastAsia" w:ascii="宋体" w:eastAsia="宋体" w:cs="宋体"/>
          <w:color w:val="auto"/>
          <w:szCs w:val="24"/>
        </w:rPr>
        <w:t>5.人员要求：委派至少1名人员负责对接研修安排，协助我委做好团组出国前、在外期间以及回国 后的相关管理工作；</w:t>
      </w:r>
    </w:p>
    <w:p w14:paraId="736CE53D">
      <w:pPr>
        <w:pStyle w:val="24"/>
        <w:spacing w:before="0" w:beforeLines="0" w:after="0" w:line="500" w:lineRule="exact"/>
        <w:ind w:firstLine="480" w:firstLineChars="200"/>
        <w:jc w:val="left"/>
        <w:rPr>
          <w:rFonts w:ascii="宋体" w:eastAsia="宋体" w:cs="宋体"/>
          <w:color w:val="auto"/>
          <w:szCs w:val="24"/>
        </w:rPr>
      </w:pPr>
      <w:r>
        <w:rPr>
          <w:rFonts w:hint="eastAsia" w:ascii="宋体" w:eastAsia="宋体" w:cs="宋体"/>
          <w:color w:val="auto"/>
          <w:szCs w:val="24"/>
        </w:rPr>
        <w:t>6.其他服务：需在商定好出发前至少2个月提供邀请函以及签证相关材料。</w:t>
      </w:r>
    </w:p>
    <w:p w14:paraId="31448D40">
      <w:pPr>
        <w:spacing w:line="520" w:lineRule="exact"/>
        <w:ind w:firstLine="480"/>
        <w:jc w:val="left"/>
        <w:rPr>
          <w:rFonts w:ascii="宋体" w:eastAsia="宋体" w:cs="宋体"/>
          <w:b/>
          <w:bCs/>
          <w:color w:val="auto"/>
          <w:sz w:val="24"/>
        </w:rPr>
      </w:pPr>
      <w:r>
        <w:rPr>
          <w:rFonts w:hint="eastAsia" w:cs="宋体"/>
          <w:b/>
          <w:bCs/>
          <w:color w:val="auto"/>
          <w:sz w:val="24"/>
        </w:rPr>
        <w:t>三</w:t>
      </w:r>
      <w:r>
        <w:rPr>
          <w:rFonts w:hint="eastAsia" w:ascii="宋体" w:cs="宋体"/>
          <w:b/>
          <w:bCs/>
          <w:color w:val="auto"/>
          <w:sz w:val="24"/>
        </w:rPr>
        <w:t>、</w:t>
      </w:r>
      <w:r>
        <w:rPr>
          <w:rFonts w:hint="eastAsia" w:ascii="宋体" w:eastAsia="宋体" w:cs="宋体"/>
          <w:b/>
          <w:bCs/>
          <w:color w:val="auto"/>
          <w:sz w:val="24"/>
        </w:rPr>
        <w:t>供应商综合实力要求</w:t>
      </w:r>
    </w:p>
    <w:p w14:paraId="60F50899">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1. 业绩</w:t>
      </w:r>
    </w:p>
    <w:p w14:paraId="34666FCA">
      <w:pPr>
        <w:pStyle w:val="3"/>
        <w:keepNext w:val="0"/>
        <w:keepLines w:val="0"/>
        <w:numPr>
          <w:ilvl w:val="1"/>
          <w:numId w:val="0"/>
        </w:numPr>
        <w:spacing w:before="0" w:after="0" w:line="500" w:lineRule="exact"/>
        <w:ind w:firstLine="480" w:firstLineChars="200"/>
        <w:rPr>
          <w:rFonts w:ascii="宋体" w:hAnsi="宋体" w:eastAsia="宋体" w:cs="宋体"/>
          <w:bCs/>
          <w:color w:val="auto"/>
          <w:sz w:val="24"/>
          <w:szCs w:val="24"/>
        </w:rPr>
      </w:pPr>
      <w:r>
        <w:rPr>
          <w:rFonts w:hint="eastAsia" w:ascii="宋体" w:hAnsi="宋体" w:eastAsia="宋体" w:cs="宋体"/>
          <w:b w:val="0"/>
          <w:color w:val="auto"/>
          <w:sz w:val="24"/>
          <w:szCs w:val="24"/>
        </w:rPr>
        <w:t>投标人须具备丰富的承接类似医疗机构医务人员海外研修项目经验，供应商自2022年1月1日（合同签订日期）以来承接类似医疗机构医务人员海外研修项目的</w:t>
      </w:r>
      <w:r>
        <w:rPr>
          <w:rFonts w:hint="eastAsia" w:ascii="宋体" w:hAnsi="宋体" w:eastAsia="宋体" w:cs="宋体"/>
          <w:bCs/>
          <w:color w:val="auto"/>
          <w:sz w:val="24"/>
          <w:szCs w:val="24"/>
        </w:rPr>
        <w:t>优先。</w:t>
      </w:r>
    </w:p>
    <w:p w14:paraId="502EB576">
      <w:pPr>
        <w:widowControl/>
        <w:spacing w:line="520" w:lineRule="exact"/>
        <w:ind w:firstLine="482"/>
        <w:rPr>
          <w:rFonts w:ascii="宋体" w:eastAsia="宋体" w:cs="宋体"/>
          <w:color w:val="auto"/>
          <w:sz w:val="24"/>
          <w:lang w:val="zh-CN"/>
        </w:rPr>
      </w:pPr>
      <w:r>
        <w:rPr>
          <w:rFonts w:hint="eastAsia" w:ascii="宋体" w:eastAsia="宋体" w:cs="宋体"/>
          <w:b/>
          <w:bCs/>
          <w:color w:val="auto"/>
          <w:sz w:val="24"/>
        </w:rPr>
        <w:t>四</w:t>
      </w:r>
      <w:r>
        <w:rPr>
          <w:rFonts w:hint="eastAsia" w:ascii="宋体" w:eastAsia="宋体" w:cs="宋体"/>
          <w:b/>
          <w:bCs/>
          <w:color w:val="auto"/>
          <w:sz w:val="24"/>
          <w:lang w:val="zh-CN"/>
        </w:rPr>
        <w:t>、实施方案</w:t>
      </w:r>
    </w:p>
    <w:p w14:paraId="2A3AAAC2">
      <w:pPr>
        <w:pStyle w:val="3"/>
        <w:keepNext w:val="0"/>
        <w:keepLines w:val="0"/>
        <w:numPr>
          <w:ilvl w:val="1"/>
          <w:numId w:val="0"/>
        </w:numPr>
        <w:spacing w:before="0" w:after="0" w:line="500" w:lineRule="exact"/>
        <w:ind w:firstLine="482" w:firstLineChars="200"/>
        <w:rPr>
          <w:rFonts w:ascii="宋体" w:hAnsi="宋体" w:eastAsia="宋体" w:cs="宋体"/>
          <w:bCs/>
          <w:color w:val="auto"/>
          <w:sz w:val="24"/>
          <w:szCs w:val="24"/>
        </w:rPr>
      </w:pPr>
      <w:r>
        <w:rPr>
          <w:rFonts w:hint="eastAsia" w:ascii="宋体" w:hAnsi="宋体" w:eastAsia="宋体" w:cs="宋体"/>
          <w:bCs/>
          <w:color w:val="auto"/>
          <w:sz w:val="24"/>
          <w:szCs w:val="24"/>
        </w:rPr>
        <w:t>投标人应根据采购需求和本项目实际，制订相应的实施方案至少包含以下内容：</w:t>
      </w:r>
    </w:p>
    <w:p w14:paraId="1DC5BE6E">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1.整体服务方案</w:t>
      </w:r>
      <w:r>
        <w:rPr>
          <w:rFonts w:hint="eastAsia" w:ascii="宋体" w:hAnsi="宋体" w:eastAsia="宋体" w:cs="宋体"/>
          <w:b w:val="0"/>
          <w:color w:val="auto"/>
          <w:sz w:val="24"/>
          <w:szCs w:val="24"/>
          <w:lang w:val="zh-CN"/>
        </w:rPr>
        <w:t>，</w:t>
      </w:r>
      <w:r>
        <w:rPr>
          <w:rFonts w:hint="eastAsia" w:ascii="宋体" w:hAnsi="宋体" w:eastAsia="宋体" w:cs="宋体"/>
          <w:b w:val="0"/>
          <w:color w:val="auto"/>
          <w:sz w:val="24"/>
          <w:szCs w:val="24"/>
        </w:rPr>
        <w:t>供应商根据本项目整体服务要求，提供科学合理的项目整体服务方案，提供具有可操作性的医生出国研修项目详细介绍。至少包含以下内容：</w:t>
      </w:r>
    </w:p>
    <w:p w14:paraId="137266FA">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1.1 项目需求、目标与范围认知：本项目面向盐城三级医院五类医疗骨干，提供英美意3个月临床观摩研修，严格执行9.0万/人（英意）、9.5万/人（美国）限价、无隐形收费。项目旨在拓宽人才国际视野、提升临床与科研管理能力，服务覆盖行前、境外、回国全流程，所有研修资源均需采购人审核确认。</w:t>
      </w:r>
    </w:p>
    <w:p w14:paraId="189C34CE">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1.2 整体服务思路与实施原则：本项目采用前置筹备、精准匹配、全程管控的服务思路，提前60天完成出访筹备，一对一匹配顶尖院校及导师。严守合规达标、专业匹配、时效前置、质量可控原则，分三阶段台账化管控，全程无服务空档、无服务差错，保障研修工作有序落地。</w:t>
      </w:r>
    </w:p>
    <w:p w14:paraId="24D81B10">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1.3 量化整体服务目标：确保研修机构、带教师资资质100%达标，符合官方排名及职称要求。提前60天定稿签证材料、30天完成全部筹备，境外响应时长≤15分钟。保障学员出勤率、结业率100%，按要求完成研修成果输出，达成人才培育与学术交流目标。</w:t>
      </w:r>
    </w:p>
    <w:p w14:paraId="03DBF23C">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2.面试指导方案：供应商根据本项目要求，提供科学合理的面试指导方案，至少包含以下内容：</w:t>
      </w:r>
    </w:p>
    <w:p w14:paraId="49B5BA9C">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2.1 签证通过率提升专项措施：实行双人三级材料审核制度，实现签证资料零差错、零遗漏，预审合格率100%。提前45天排查全员签证风险并闭环整改，规避各类拒签隐患。项目承诺整体签证通过率≥98%，我方原因拒签可免费二次申办，保障学员按期出境研修。</w:t>
      </w:r>
    </w:p>
    <w:p w14:paraId="73E39812">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2.2 分国别标准化面试指导：针对美、英、意三国签证审核差异，搭建医疗专属面试题库，开展专项通识和国别培训，规范医护人员面试应答逻辑与礼仪。结合医疗研修场景精准辅导，规避应答模糊、专业不符等问题，全面适配使馆签证审核标准。</w:t>
      </w:r>
    </w:p>
    <w:p w14:paraId="3BAAD27F">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2.3 一对一模拟复盘纠偏机制：为每位学员提供不少于3次、单次40分钟以上全真模拟面试，全程录像多维点评打分，形成整改清单逐项销号。面试前3天开展冲刺模拟，针对性补强薄弱点，消除紧张情绪，固化标准应答话术，提升面试通过率。</w:t>
      </w:r>
    </w:p>
    <w:p w14:paraId="68734677">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3.服务质量保证方案：供应商根据本项目服务质量保证要求，提供科学合理的服务质量保证方案，提供接机、住宿安排。至少包含以下内容：</w:t>
      </w:r>
    </w:p>
    <w:p w14:paraId="29A97D1B">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3.1 量化质量目标与服务承诺：项目服务合规率100%、客户满意度≥98%，零投诉、零安全事故。接机准点率100%，统一提供合规单人间，配套厨房、盥洗室等生活设施。日常咨询15分钟内响应，每日更新研修台账，全程服务可追溯、可核验、可验收。</w:t>
      </w:r>
    </w:p>
    <w:p w14:paraId="2399D6E3">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3.2 质量管理体系与控制流程：建立项目专属质量、管控、后勤三大管理制度，落实岗位追责机制。实行全流程分段质量抽检，覆盖行前、境外、回国全阶段，抽检覆盖率100%。搭建问题闭环机制，2小时响应、24小时办结，所有问题整改闭环率100%。</w:t>
      </w:r>
    </w:p>
    <w:p w14:paraId="2AA15401">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3.3 人员质量保障与违约措施：配备3年以上经验专属项目负责人，境外设置7×24小时值守人员，全员岗前考核上岗。若出现资质、住宿、接送等服务不达标问题，无条件免费整改，减免对应服务费用，按合同承担违约责任及采购人全部损失。</w:t>
      </w:r>
    </w:p>
    <w:p w14:paraId="2E26BA3C">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4.服务承诺：供应商根据供应商依据采购人给定的服务需求内容和成果要求以及服务指标做出的达成目标承诺。至少包含以下内容：</w:t>
      </w:r>
    </w:p>
    <w:p w14:paraId="3469AB34">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4.1 服务内容承诺：100%合规筛选境外研修机构及高级职称带教导师，实现专业精准匹配。免费提供专车接机、合规单人住宿及全套生活配套。全覆盖行前培训、签证办理、课程对接、境外保障、成果归档等全流程服务，不缩减服务内容。</w:t>
      </w:r>
    </w:p>
    <w:p w14:paraId="619A0CC5">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4.2 服务成果承诺：保障全员顺利完成3个月研修并取得官方结业证书，实现临床技术、科研理念、管理能力全方位提升。助力推进中外医学交流，形成完整研修成果台账，项目全程零服务事故，最终验收合格率100%，助力本地医疗人才建设。</w:t>
      </w:r>
    </w:p>
    <w:p w14:paraId="522444B0">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4.3 服务时效与履约保障承诺：严格恪守时效要求，出发前60天定稿签证材料、30天完成全部筹备工作。日常咨询15分钟响应、突发事件2小时出方案。固定专属对接人员，严格执行限价标准，未兑现承诺自愿接受保证金扣罚、整改追责等处置。</w:t>
      </w:r>
    </w:p>
    <w:p w14:paraId="217D17B3">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5.应急预案：供应商根据本项目要求，提供科学合理的应急预案，至少包含以下内容：</w:t>
      </w:r>
    </w:p>
    <w:p w14:paraId="52E7E932">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5.1 日常意外伤害与人员失联应急处置：全员行前完成安全急救培训并购置境外保险，发生意外伤害5分钟到场、10分钟联动就医，24小时内报备。失联30分钟启动排查、2小时同步采购人，常态化开展安全提醒，前置规避各类安全风险。</w:t>
      </w:r>
    </w:p>
    <w:p w14:paraId="6841C9D4">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5.2 境外局势与治安环境突变应急处置：专人实时监测境外安全动态，遇局势动荡、治安风险立即暂停线下研修，启动线上替代方案并报备采购人。联动当地安保、医疗机构应急值守，建立风险分级预警机制，按风险等级落实差异化安全管控措施。</w:t>
      </w:r>
    </w:p>
    <w:p w14:paraId="6F0FEC85">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5.3 重大政策变动与不可抗力应急处置：遇政策突变24小时内完成解读，通过延期、换点位等方式保障研修不中断。针对自然灾害、航班取消等不可抗力，快速落实食宿安置与行程调整。事件结束72小时内制定补修计划，足额补齐3个月研修学时。</w:t>
      </w:r>
    </w:p>
    <w:p w14:paraId="5CCD9764">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6.研修人员境外管理：供应商根据本项目要求，提供科学合理的管理方案，至少包含以下内容：</w:t>
      </w:r>
    </w:p>
    <w:p w14:paraId="1584023F">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6.1 境外纪律与言行规范管理：严格要求学员遵守中外法规及院校制度，杜绝私自离岗、违规外出，保障研修出勤率100%。规范境外职业言行，维护医护良好形象，服从带教工作安排。建立三维管理台账，每日记录、每周复盘，违规问题及时整改报备。</w:t>
      </w:r>
    </w:p>
    <w:p w14:paraId="424B9DB9">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6.2 人身与健康安全管理：严格执行外出报备制度，禁止夜间单独外出，境外人员7×24小时值守巡查。建立学员健康档案，定期摸排身体状况、协助就医。开展专项行前安全培训，境外每周开展安全宣教，全面强化学员境外自我防护能力。</w:t>
      </w:r>
    </w:p>
    <w:p w14:paraId="5F18E4E4">
      <w:pPr>
        <w:pStyle w:val="3"/>
        <w:keepNext w:val="0"/>
        <w:keepLines w:val="0"/>
        <w:numPr>
          <w:ilvl w:val="1"/>
          <w:numId w:val="0"/>
        </w:numPr>
        <w:spacing w:before="0" w:after="0" w:line="500" w:lineRule="exact"/>
        <w:ind w:firstLine="480" w:firstLineChars="200"/>
        <w:rPr>
          <w:rFonts w:ascii="宋体" w:hAnsi="宋体" w:eastAsia="宋体" w:cs="宋体"/>
          <w:b w:val="0"/>
          <w:color w:val="auto"/>
          <w:sz w:val="24"/>
          <w:szCs w:val="24"/>
        </w:rPr>
      </w:pPr>
      <w:r>
        <w:rPr>
          <w:rFonts w:hint="eastAsia" w:ascii="宋体" w:hAnsi="宋体" w:eastAsia="宋体" w:cs="宋体"/>
          <w:b w:val="0"/>
          <w:color w:val="auto"/>
          <w:sz w:val="24"/>
          <w:szCs w:val="24"/>
        </w:rPr>
        <w:t>6.3 证件资料与应急闭环管理：统一规范学员证件保管，留存电子版备份，遗失损坏24小时内协助补办。建立分级应急处置机制，常规问题24小时办结，重大问题立即上报。每日归集研修资料，项目结束后统一整理全套成果归档交付采购人。</w:t>
      </w:r>
    </w:p>
    <w:p w14:paraId="454074A4">
      <w:pPr>
        <w:pStyle w:val="24"/>
        <w:spacing w:before="0" w:beforeLines="0" w:after="0" w:line="500" w:lineRule="exact"/>
        <w:ind w:firstLine="482" w:firstLineChars="200"/>
        <w:jc w:val="left"/>
        <w:rPr>
          <w:rFonts w:ascii="宋体" w:eastAsia="宋体" w:cs="宋体"/>
          <w:b/>
          <w:bCs/>
          <w:color w:val="auto"/>
          <w:szCs w:val="24"/>
        </w:rPr>
      </w:pPr>
      <w:r>
        <w:rPr>
          <w:rFonts w:hint="eastAsia" w:ascii="宋体" w:eastAsia="宋体" w:cs="宋体"/>
          <w:b/>
          <w:bCs/>
          <w:color w:val="auto"/>
          <w:szCs w:val="24"/>
        </w:rPr>
        <w:t>五、商务要求</w:t>
      </w:r>
    </w:p>
    <w:p w14:paraId="593D67CD">
      <w:pPr>
        <w:pStyle w:val="24"/>
        <w:spacing w:before="0" w:beforeLines="0" w:after="0" w:line="500" w:lineRule="exact"/>
        <w:ind w:firstLine="480" w:firstLineChars="200"/>
        <w:jc w:val="left"/>
        <w:rPr>
          <w:rFonts w:ascii="宋体" w:eastAsia="宋体" w:cs="宋体"/>
          <w:color w:val="auto"/>
          <w:szCs w:val="24"/>
        </w:rPr>
      </w:pPr>
      <w:r>
        <w:rPr>
          <w:rFonts w:hint="eastAsia" w:ascii="宋体" w:eastAsia="宋体" w:cs="宋体"/>
          <w:color w:val="auto"/>
          <w:szCs w:val="24"/>
        </w:rPr>
        <w:t>1.履约地点：采购人指定地点。</w:t>
      </w:r>
    </w:p>
    <w:p w14:paraId="6D03A680">
      <w:pPr>
        <w:pStyle w:val="24"/>
        <w:spacing w:before="0" w:beforeLines="0" w:after="0" w:line="500" w:lineRule="exact"/>
        <w:ind w:firstLine="480" w:firstLineChars="200"/>
        <w:jc w:val="left"/>
        <w:rPr>
          <w:rFonts w:ascii="宋体" w:eastAsia="宋体" w:cs="宋体"/>
          <w:color w:val="auto"/>
          <w:szCs w:val="24"/>
        </w:rPr>
      </w:pPr>
      <w:r>
        <w:rPr>
          <w:rFonts w:hint="eastAsia" w:ascii="宋体" w:eastAsia="宋体" w:cs="宋体"/>
          <w:color w:val="auto"/>
          <w:szCs w:val="24"/>
        </w:rPr>
        <w:t>2.履约时间：采购合同签订起至项目结束。</w:t>
      </w:r>
    </w:p>
    <w:p w14:paraId="05C86D87">
      <w:pPr>
        <w:pStyle w:val="24"/>
        <w:spacing w:before="0" w:beforeLines="0" w:after="0" w:line="500" w:lineRule="exact"/>
        <w:ind w:firstLine="480" w:firstLineChars="200"/>
        <w:jc w:val="left"/>
        <w:rPr>
          <w:rFonts w:ascii="宋体" w:eastAsia="宋体" w:cs="宋体"/>
          <w:color w:val="auto"/>
          <w:szCs w:val="24"/>
        </w:rPr>
      </w:pPr>
      <w:r>
        <w:rPr>
          <w:rFonts w:hint="eastAsia" w:ascii="宋体" w:eastAsia="宋体" w:cs="宋体"/>
          <w:color w:val="auto"/>
          <w:szCs w:val="24"/>
        </w:rPr>
        <w:t>3.付款方式：根据协议约定。</w:t>
      </w:r>
    </w:p>
    <w:p w14:paraId="7A291BB1">
      <w:pPr>
        <w:pStyle w:val="24"/>
        <w:spacing w:before="0" w:beforeLines="0" w:after="0" w:line="500" w:lineRule="exact"/>
        <w:ind w:firstLine="480" w:firstLineChars="200"/>
        <w:jc w:val="left"/>
        <w:rPr>
          <w:rFonts w:ascii="宋体" w:eastAsia="宋体" w:cs="宋体"/>
          <w:color w:val="auto"/>
          <w:szCs w:val="24"/>
        </w:rPr>
      </w:pPr>
      <w:r>
        <w:rPr>
          <w:rFonts w:hint="eastAsia" w:ascii="宋体" w:eastAsia="宋体" w:cs="宋体"/>
          <w:color w:val="auto"/>
          <w:szCs w:val="24"/>
        </w:rPr>
        <w:t>4.其他未尽事宜，签订合同时，中选人与采购人就磋商文件未尽事宜可在采购合同中约定。</w:t>
      </w:r>
    </w:p>
    <w:p w14:paraId="2D7B2417">
      <w:pPr>
        <w:pStyle w:val="24"/>
        <w:spacing w:before="0" w:beforeLines="0" w:after="0" w:line="500" w:lineRule="exact"/>
        <w:ind w:firstLine="482" w:firstLineChars="200"/>
        <w:jc w:val="left"/>
        <w:rPr>
          <w:rFonts w:ascii="宋体" w:eastAsia="宋体" w:cs="宋体"/>
          <w:b/>
          <w:bCs/>
          <w:color w:val="auto"/>
          <w:szCs w:val="24"/>
        </w:rPr>
      </w:pPr>
      <w:r>
        <w:rPr>
          <w:rFonts w:hint="eastAsia" w:ascii="宋体" w:eastAsia="宋体" w:cs="宋体"/>
          <w:b/>
          <w:bCs/>
          <w:color w:val="auto"/>
          <w:szCs w:val="24"/>
        </w:rPr>
        <w:t>六、采购标的对应的中小企业划分标准所属行业一览表</w:t>
      </w:r>
    </w:p>
    <w:tbl>
      <w:tblPr>
        <w:tblStyle w:val="12"/>
        <w:tblW w:w="4988" w:type="pct"/>
        <w:jc w:val="center"/>
        <w:tblCellSpacing w:w="0" w:type="dxa"/>
        <w:tblLayout w:type="autofit"/>
        <w:tblCellMar>
          <w:top w:w="0" w:type="dxa"/>
          <w:left w:w="108" w:type="dxa"/>
          <w:bottom w:w="0" w:type="dxa"/>
          <w:right w:w="108" w:type="dxa"/>
        </w:tblCellMar>
      </w:tblPr>
      <w:tblGrid>
        <w:gridCol w:w="750"/>
        <w:gridCol w:w="4548"/>
        <w:gridCol w:w="3942"/>
      </w:tblGrid>
      <w:tr w14:paraId="35266AFB">
        <w:tblPrEx>
          <w:tblCellMar>
            <w:top w:w="0" w:type="dxa"/>
            <w:left w:w="108" w:type="dxa"/>
            <w:bottom w:w="0" w:type="dxa"/>
            <w:right w:w="108" w:type="dxa"/>
          </w:tblCellMar>
        </w:tblPrEx>
        <w:trPr>
          <w:trHeight w:val="761" w:hRule="atLeast"/>
          <w:tblCellSpacing w:w="0" w:type="dxa"/>
          <w:jc w:val="center"/>
        </w:trPr>
        <w:tc>
          <w:tcPr>
            <w:tcW w:w="406" w:type="pct"/>
            <w:tcBorders>
              <w:top w:val="single" w:color="000000" w:sz="4" w:space="0"/>
              <w:left w:val="single" w:color="000000" w:sz="4" w:space="0"/>
              <w:bottom w:val="single" w:color="000000" w:sz="4" w:space="0"/>
              <w:right w:val="single" w:color="000000" w:sz="4" w:space="0"/>
            </w:tcBorders>
            <w:vAlign w:val="center"/>
          </w:tcPr>
          <w:p w14:paraId="57D196DC">
            <w:pPr>
              <w:pStyle w:val="10"/>
              <w:spacing w:beforeAutospacing="0" w:afterAutospacing="0" w:line="500" w:lineRule="exact"/>
              <w:jc w:val="center"/>
              <w:rPr>
                <w:rFonts w:ascii="宋体" w:hAnsi="宋体" w:eastAsia="宋体" w:cs="宋体"/>
                <w:color w:val="auto"/>
              </w:rPr>
            </w:pPr>
            <w:r>
              <w:rPr>
                <w:rFonts w:hint="eastAsia" w:ascii="宋体" w:hAnsi="宋体" w:eastAsia="宋体" w:cs="宋体"/>
                <w:color w:val="auto"/>
              </w:rPr>
              <w:t>序号</w:t>
            </w:r>
          </w:p>
        </w:tc>
        <w:tc>
          <w:tcPr>
            <w:tcW w:w="2460" w:type="pct"/>
            <w:tcBorders>
              <w:top w:val="single" w:color="000000" w:sz="4" w:space="0"/>
              <w:left w:val="single" w:color="000000" w:sz="4" w:space="0"/>
              <w:bottom w:val="single" w:color="000000" w:sz="4" w:space="0"/>
              <w:right w:val="single" w:color="000000" w:sz="4" w:space="0"/>
            </w:tcBorders>
            <w:vAlign w:val="center"/>
          </w:tcPr>
          <w:p w14:paraId="7FEC228F">
            <w:pPr>
              <w:pStyle w:val="10"/>
              <w:spacing w:beforeAutospacing="0" w:afterAutospacing="0" w:line="500" w:lineRule="exact"/>
              <w:jc w:val="center"/>
              <w:rPr>
                <w:rFonts w:ascii="宋体" w:hAnsi="宋体" w:eastAsia="宋体" w:cs="宋体"/>
                <w:color w:val="auto"/>
              </w:rPr>
            </w:pPr>
            <w:r>
              <w:rPr>
                <w:rFonts w:hint="eastAsia" w:ascii="宋体" w:hAnsi="宋体" w:eastAsia="宋体" w:cs="宋体"/>
                <w:color w:val="auto"/>
              </w:rPr>
              <w:t>采购标的</w:t>
            </w:r>
          </w:p>
        </w:tc>
        <w:tc>
          <w:tcPr>
            <w:tcW w:w="2132" w:type="pct"/>
            <w:tcBorders>
              <w:top w:val="single" w:color="000000" w:sz="4" w:space="0"/>
              <w:left w:val="single" w:color="000000" w:sz="4" w:space="0"/>
              <w:bottom w:val="single" w:color="000000" w:sz="4" w:space="0"/>
              <w:right w:val="single" w:color="000000" w:sz="4" w:space="0"/>
            </w:tcBorders>
            <w:vAlign w:val="center"/>
          </w:tcPr>
          <w:p w14:paraId="18B82651">
            <w:pPr>
              <w:pStyle w:val="10"/>
              <w:spacing w:beforeAutospacing="0" w:afterAutospacing="0" w:line="500" w:lineRule="exact"/>
              <w:jc w:val="center"/>
              <w:rPr>
                <w:rFonts w:ascii="宋体" w:hAnsi="宋体" w:eastAsia="宋体" w:cs="宋体"/>
                <w:color w:val="auto"/>
              </w:rPr>
            </w:pPr>
            <w:r>
              <w:rPr>
                <w:rFonts w:hint="eastAsia" w:ascii="宋体" w:hAnsi="宋体" w:eastAsia="宋体" w:cs="宋体"/>
                <w:color w:val="auto"/>
              </w:rPr>
              <w:t>对应中小企业划分标准所属行业</w:t>
            </w:r>
          </w:p>
        </w:tc>
      </w:tr>
      <w:tr w14:paraId="51307DD9">
        <w:tblPrEx>
          <w:tblCellMar>
            <w:top w:w="0" w:type="dxa"/>
            <w:left w:w="108" w:type="dxa"/>
            <w:bottom w:w="0" w:type="dxa"/>
            <w:right w:w="108" w:type="dxa"/>
          </w:tblCellMar>
        </w:tblPrEx>
        <w:trPr>
          <w:trHeight w:val="761" w:hRule="atLeast"/>
          <w:tblCellSpacing w:w="0" w:type="dxa"/>
          <w:jc w:val="center"/>
        </w:trPr>
        <w:tc>
          <w:tcPr>
            <w:tcW w:w="406" w:type="pct"/>
            <w:tcBorders>
              <w:top w:val="single" w:color="000000" w:sz="4" w:space="0"/>
              <w:left w:val="single" w:color="000000" w:sz="4" w:space="0"/>
              <w:bottom w:val="single" w:color="000000" w:sz="4" w:space="0"/>
              <w:right w:val="single" w:color="000000" w:sz="4" w:space="0"/>
            </w:tcBorders>
            <w:vAlign w:val="center"/>
          </w:tcPr>
          <w:p w14:paraId="0B088B0D">
            <w:pPr>
              <w:pStyle w:val="10"/>
              <w:spacing w:beforeAutospacing="0" w:afterAutospacing="0" w:line="500" w:lineRule="exact"/>
              <w:jc w:val="center"/>
              <w:rPr>
                <w:rFonts w:ascii="宋体" w:hAnsi="宋体" w:eastAsia="宋体" w:cs="宋体"/>
                <w:color w:val="auto"/>
              </w:rPr>
            </w:pPr>
            <w:r>
              <w:rPr>
                <w:rFonts w:hint="eastAsia" w:ascii="宋体" w:hAnsi="宋体" w:eastAsia="宋体" w:cs="宋体"/>
                <w:color w:val="auto"/>
              </w:rPr>
              <w:t>1</w:t>
            </w:r>
          </w:p>
        </w:tc>
        <w:tc>
          <w:tcPr>
            <w:tcW w:w="2460" w:type="pct"/>
            <w:tcBorders>
              <w:top w:val="single" w:color="000000" w:sz="4" w:space="0"/>
              <w:left w:val="single" w:color="000000" w:sz="4" w:space="0"/>
              <w:bottom w:val="single" w:color="000000" w:sz="4" w:space="0"/>
              <w:right w:val="single" w:color="000000" w:sz="4" w:space="0"/>
            </w:tcBorders>
            <w:vAlign w:val="center"/>
          </w:tcPr>
          <w:p w14:paraId="0D2A0688">
            <w:pPr>
              <w:pStyle w:val="10"/>
              <w:spacing w:beforeAutospacing="0" w:afterAutospacing="0" w:line="500" w:lineRule="exact"/>
              <w:jc w:val="center"/>
              <w:rPr>
                <w:rFonts w:ascii="宋体" w:hAnsi="宋体" w:eastAsia="宋体" w:cs="宋体"/>
                <w:color w:val="auto"/>
              </w:rPr>
            </w:pPr>
            <w:r>
              <w:rPr>
                <w:rFonts w:hint="eastAsia" w:ascii="宋体" w:hAnsi="宋体" w:eastAsia="宋体" w:cs="宋体"/>
                <w:color w:val="auto"/>
              </w:rPr>
              <w:t> </w:t>
            </w:r>
            <w:r>
              <w:rPr>
                <w:rFonts w:hint="eastAsia" w:ascii="宋体" w:hAnsi="宋体"/>
                <w:color w:val="auto"/>
              </w:rPr>
              <w:t>盐城市卫生健康委员会2026年度医务人员海外研修服务项目</w:t>
            </w:r>
          </w:p>
        </w:tc>
        <w:tc>
          <w:tcPr>
            <w:tcW w:w="2132" w:type="pct"/>
            <w:tcBorders>
              <w:top w:val="single" w:color="000000" w:sz="4" w:space="0"/>
              <w:left w:val="single" w:color="000000" w:sz="4" w:space="0"/>
              <w:bottom w:val="single" w:color="000000" w:sz="4" w:space="0"/>
              <w:right w:val="single" w:color="000000" w:sz="4" w:space="0"/>
            </w:tcBorders>
            <w:vAlign w:val="center"/>
          </w:tcPr>
          <w:p w14:paraId="7A225C56">
            <w:pPr>
              <w:pStyle w:val="10"/>
              <w:spacing w:beforeAutospacing="0" w:afterAutospacing="0" w:line="500" w:lineRule="exact"/>
              <w:jc w:val="center"/>
              <w:rPr>
                <w:rFonts w:ascii="宋体" w:hAnsi="宋体" w:eastAsia="宋体" w:cs="宋体"/>
                <w:color w:val="auto"/>
              </w:rPr>
            </w:pPr>
            <w:r>
              <w:rPr>
                <w:rFonts w:hint="eastAsia" w:ascii="宋体" w:hAnsi="宋体" w:eastAsia="宋体" w:cs="宋体"/>
                <w:color w:val="auto"/>
              </w:rPr>
              <w:t> 其他未列明行业</w:t>
            </w:r>
          </w:p>
        </w:tc>
      </w:tr>
    </w:tbl>
    <w:p w14:paraId="689B40AD">
      <w:pPr>
        <w:pStyle w:val="10"/>
        <w:spacing w:beforeAutospacing="0" w:afterAutospacing="0" w:line="500" w:lineRule="exact"/>
        <w:ind w:firstLine="480"/>
        <w:jc w:val="both"/>
        <w:rPr>
          <w:rFonts w:ascii="宋体" w:hAnsi="宋体" w:eastAsia="宋体" w:cs="宋体"/>
          <w:color w:val="auto"/>
        </w:rPr>
      </w:pPr>
      <w:r>
        <w:rPr>
          <w:rFonts w:hint="eastAsia" w:ascii="宋体" w:hAnsi="宋体" w:eastAsia="宋体" w:cs="宋体"/>
          <w:color w:val="auto"/>
        </w:rPr>
        <w:t> </w:t>
      </w:r>
    </w:p>
    <w:p w14:paraId="766F7583">
      <w:pPr>
        <w:pStyle w:val="10"/>
        <w:spacing w:beforeAutospacing="0" w:afterAutospacing="0" w:line="500" w:lineRule="exact"/>
        <w:ind w:firstLine="480"/>
        <w:jc w:val="both"/>
        <w:rPr>
          <w:rFonts w:ascii="黑体" w:hAnsi="宋体" w:eastAsia="黑体" w:cs="黑体"/>
          <w:color w:val="auto"/>
          <w:sz w:val="44"/>
          <w:szCs w:val="44"/>
        </w:rPr>
      </w:pPr>
      <w:r>
        <w:rPr>
          <w:rFonts w:hint="eastAsia" w:ascii="宋体" w:hAnsi="宋体" w:eastAsia="宋体" w:cs="宋体"/>
          <w:color w:val="auto"/>
        </w:rPr>
        <w:t> </w:t>
      </w:r>
      <w:bookmarkStart w:id="189" w:name="_Toc120614281"/>
    </w:p>
    <w:p w14:paraId="796337F7">
      <w:pPr>
        <w:widowControl/>
        <w:ind w:firstLine="880"/>
        <w:jc w:val="left"/>
        <w:rPr>
          <w:rFonts w:ascii="黑体" w:hAnsi="宋体" w:eastAsia="黑体" w:cs="黑体"/>
          <w:color w:val="auto"/>
          <w:kern w:val="0"/>
          <w:sz w:val="44"/>
          <w:szCs w:val="44"/>
        </w:rPr>
      </w:pPr>
      <w:r>
        <w:rPr>
          <w:rFonts w:ascii="黑体" w:hAnsi="宋体" w:eastAsia="黑体" w:cs="黑体"/>
          <w:color w:val="auto"/>
          <w:sz w:val="44"/>
          <w:szCs w:val="44"/>
        </w:rPr>
        <w:br w:type="page"/>
      </w:r>
    </w:p>
    <w:p w14:paraId="3880A673">
      <w:pPr>
        <w:pStyle w:val="10"/>
        <w:spacing w:beforeAutospacing="0" w:afterAutospacing="0" w:line="500" w:lineRule="exact"/>
        <w:ind w:firstLine="880"/>
        <w:jc w:val="center"/>
        <w:rPr>
          <w:color w:val="auto"/>
        </w:rPr>
      </w:pPr>
      <w:r>
        <w:rPr>
          <w:rFonts w:hint="eastAsia" w:ascii="黑体" w:hAnsi="宋体" w:eastAsia="黑体" w:cs="黑体"/>
          <w:color w:val="auto"/>
          <w:sz w:val="44"/>
          <w:szCs w:val="44"/>
        </w:rPr>
        <w:t xml:space="preserve">第五章  </w:t>
      </w:r>
      <w:r>
        <w:rPr>
          <w:rFonts w:hint="eastAsia" w:ascii="黑体" w:hAnsi="宋体" w:eastAsia="黑体" w:cs="黑体"/>
          <w:b/>
          <w:color w:val="auto"/>
          <w:sz w:val="44"/>
          <w:szCs w:val="44"/>
        </w:rPr>
        <w:t>评标方法与评标标准</w:t>
      </w:r>
    </w:p>
    <w:p w14:paraId="423C8189">
      <w:pPr>
        <w:pStyle w:val="10"/>
        <w:spacing w:beforeAutospacing="0" w:afterAutospacing="0"/>
        <w:jc w:val="both"/>
        <w:rPr>
          <w:color w:val="auto"/>
        </w:rPr>
      </w:pPr>
      <w:r>
        <w:rPr>
          <w:color w:val="auto"/>
        </w:rPr>
        <w:t> </w:t>
      </w:r>
    </w:p>
    <w:p w14:paraId="668FEA9F">
      <w:pPr>
        <w:snapToGrid w:val="0"/>
        <w:spacing w:line="460" w:lineRule="exact"/>
        <w:ind w:firstLine="482" w:firstLineChars="200"/>
        <w:rPr>
          <w:rFonts w:ascii="宋体" w:hAnsi="宋体" w:eastAsia="宋体" w:cs="宋体"/>
          <w:b/>
          <w:bCs/>
          <w:color w:val="auto"/>
          <w:sz w:val="24"/>
        </w:rPr>
      </w:pPr>
      <w:r>
        <w:rPr>
          <w:rFonts w:hint="eastAsia" w:ascii="宋体" w:hAnsi="宋体" w:eastAsia="宋体" w:cs="宋体"/>
          <w:b/>
          <w:bCs/>
          <w:color w:val="auto"/>
          <w:sz w:val="24"/>
        </w:rPr>
        <w:t>一、定标原则</w:t>
      </w:r>
    </w:p>
    <w:p w14:paraId="2C328EAE">
      <w:pPr>
        <w:snapToGrid w:val="0"/>
        <w:spacing w:line="460" w:lineRule="exact"/>
        <w:ind w:firstLine="480" w:firstLineChars="200"/>
        <w:rPr>
          <w:rFonts w:ascii="宋体" w:hAnsi="宋体" w:eastAsia="宋体" w:cs="宋体"/>
          <w:color w:val="auto"/>
          <w:kern w:val="0"/>
          <w:sz w:val="24"/>
        </w:rPr>
      </w:pPr>
      <w:r>
        <w:rPr>
          <w:rFonts w:hint="eastAsia" w:ascii="宋体" w:hAnsi="宋体" w:eastAsia="宋体" w:cs="宋体"/>
          <w:bCs/>
          <w:color w:val="auto"/>
          <w:sz w:val="24"/>
        </w:rPr>
        <w:t>本项目采用</w:t>
      </w:r>
      <w:r>
        <w:rPr>
          <w:rFonts w:hint="eastAsia" w:ascii="宋体" w:hAnsi="宋体" w:eastAsia="宋体" w:cs="宋体"/>
          <w:bCs/>
          <w:color w:val="auto"/>
          <w:sz w:val="24"/>
          <w:u w:val="single"/>
        </w:rPr>
        <w:t xml:space="preserve"> 综合评分 </w:t>
      </w:r>
      <w:r>
        <w:rPr>
          <w:rFonts w:hint="eastAsia" w:ascii="宋体" w:hAnsi="宋体" w:eastAsia="宋体" w:cs="宋体"/>
          <w:bCs/>
          <w:color w:val="auto"/>
          <w:sz w:val="24"/>
        </w:rPr>
        <w:t>法，</w:t>
      </w:r>
      <w:r>
        <w:rPr>
          <w:rFonts w:hint="eastAsia" w:ascii="宋体" w:hAnsi="宋体" w:eastAsia="宋体" w:cs="宋体"/>
          <w:color w:val="auto"/>
          <w:kern w:val="0"/>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7A676DAE">
      <w:pPr>
        <w:pStyle w:val="10"/>
        <w:spacing w:beforeAutospacing="0" w:afterAutospacing="0" w:line="460" w:lineRule="exact"/>
        <w:ind w:firstLine="482" w:firstLineChars="200"/>
        <w:rPr>
          <w:rFonts w:ascii="宋体" w:hAnsi="宋体" w:eastAsia="宋体" w:cs="宋体"/>
          <w:color w:val="auto"/>
        </w:rPr>
      </w:pPr>
      <w:r>
        <w:rPr>
          <w:rFonts w:hint="eastAsia" w:ascii="宋体" w:hAnsi="宋体" w:eastAsia="宋体" w:cs="宋体"/>
          <w:b/>
          <w:color w:val="auto"/>
        </w:rPr>
        <w:t>政府采购政策功能落实</w:t>
      </w:r>
    </w:p>
    <w:p w14:paraId="20E729E2">
      <w:pPr>
        <w:pStyle w:val="10"/>
        <w:spacing w:beforeAutospacing="0" w:afterAutospacing="0" w:line="460" w:lineRule="exact"/>
        <w:ind w:firstLine="480" w:firstLineChars="200"/>
        <w:rPr>
          <w:rFonts w:ascii="宋体" w:hAnsi="宋体" w:eastAsia="宋体" w:cs="宋体"/>
          <w:color w:val="auto"/>
        </w:rPr>
      </w:pPr>
      <w:r>
        <w:rPr>
          <w:rFonts w:hint="eastAsia" w:ascii="宋体" w:hAnsi="宋体" w:eastAsia="宋体" w:cs="宋体"/>
          <w:color w:val="auto"/>
        </w:rPr>
        <w:t>1、小微型企业价格扣除</w:t>
      </w:r>
    </w:p>
    <w:p w14:paraId="5A19E5A0">
      <w:pPr>
        <w:pStyle w:val="21"/>
        <w:spacing w:before="0" w:after="0" w:line="460" w:lineRule="exact"/>
        <w:ind w:firstLineChars="200"/>
        <w:rPr>
          <w:rFonts w:ascii="宋体" w:hAnsi="宋体" w:eastAsia="宋体" w:cs="宋体"/>
          <w:color w:val="auto"/>
        </w:rPr>
      </w:pPr>
      <w:r>
        <w:rPr>
          <w:rFonts w:hint="eastAsia" w:ascii="宋体" w:hAnsi="宋体" w:eastAsia="宋体" w:cs="宋体"/>
          <w:color w:val="auto"/>
        </w:rPr>
        <w:t>（1）本项目专门面向中小企业采购，不再对小型和微型企业报价给予价格扣除。</w:t>
      </w:r>
    </w:p>
    <w:p w14:paraId="73B3C08A">
      <w:pPr>
        <w:pStyle w:val="10"/>
        <w:spacing w:beforeAutospacing="0" w:afterAutospacing="0" w:line="460" w:lineRule="exact"/>
        <w:ind w:firstLine="480" w:firstLineChars="200"/>
        <w:rPr>
          <w:rFonts w:ascii="宋体" w:hAnsi="宋体" w:eastAsia="宋体" w:cs="宋体"/>
          <w:color w:val="auto"/>
        </w:rPr>
      </w:pPr>
      <w:r>
        <w:rPr>
          <w:rFonts w:hint="eastAsia" w:ascii="宋体" w:hAnsi="宋体" w:eastAsia="宋体" w:cs="宋体"/>
          <w:color w:val="auto"/>
        </w:rPr>
        <w:t>（2）供应商需按照采购文件的要求提供相应的《中小企业声明函》。</w:t>
      </w:r>
    </w:p>
    <w:p w14:paraId="73ACDBA4">
      <w:pPr>
        <w:pStyle w:val="10"/>
        <w:spacing w:beforeAutospacing="0" w:afterAutospacing="0" w:line="460" w:lineRule="exact"/>
        <w:ind w:firstLine="480" w:firstLineChars="200"/>
        <w:rPr>
          <w:rFonts w:ascii="宋体" w:hAnsi="宋体" w:eastAsia="宋体" w:cs="宋体"/>
          <w:color w:val="auto"/>
        </w:rPr>
      </w:pPr>
      <w:r>
        <w:rPr>
          <w:rFonts w:hint="eastAsia" w:ascii="宋体" w:hAnsi="宋体" w:eastAsia="宋体" w:cs="宋体"/>
          <w:color w:val="auto"/>
        </w:rPr>
        <w:t>（3）企业标准请参照《关于印发中小企业划型标准规定的通知》（工信部联企业〔2011〕300号）文件规定自行填写。</w:t>
      </w:r>
    </w:p>
    <w:p w14:paraId="123A9836">
      <w:pPr>
        <w:pStyle w:val="10"/>
        <w:spacing w:beforeAutospacing="0" w:afterAutospacing="0" w:line="460" w:lineRule="exact"/>
        <w:ind w:firstLine="480" w:firstLineChars="200"/>
        <w:rPr>
          <w:rFonts w:ascii="宋体" w:hAnsi="宋体" w:eastAsia="宋体" w:cs="宋体"/>
          <w:color w:val="auto"/>
        </w:rPr>
      </w:pPr>
      <w:r>
        <w:rPr>
          <w:rFonts w:hint="eastAsia" w:ascii="宋体" w:hAnsi="宋体" w:eastAsia="宋体" w:cs="宋体"/>
          <w:color w:val="auto"/>
        </w:rPr>
        <w:t>2、残疾人福利单位价格扣除</w:t>
      </w:r>
    </w:p>
    <w:p w14:paraId="48BAD8C1">
      <w:pPr>
        <w:pStyle w:val="10"/>
        <w:spacing w:beforeAutospacing="0" w:afterAutospacing="0" w:line="460" w:lineRule="exact"/>
        <w:ind w:firstLine="480" w:firstLineChars="200"/>
        <w:rPr>
          <w:rFonts w:ascii="宋体" w:hAnsi="宋体" w:eastAsia="宋体" w:cs="宋体"/>
          <w:color w:val="auto"/>
          <w:u w:val="single"/>
        </w:rPr>
      </w:pPr>
      <w:r>
        <w:rPr>
          <w:rFonts w:hint="eastAsia" w:ascii="宋体" w:hAnsi="宋体" w:eastAsia="宋体" w:cs="宋体"/>
          <w:color w:val="auto"/>
        </w:rPr>
        <w:t>（1）本项目对残疾人福利性单位视同小型、微型企业，给予</w:t>
      </w:r>
      <w:r>
        <w:rPr>
          <w:rFonts w:hint="eastAsia" w:ascii="宋体" w:hAnsi="宋体" w:eastAsia="宋体" w:cs="宋体"/>
          <w:color w:val="auto"/>
          <w:u w:val="single"/>
        </w:rPr>
        <w:t>20%的价格扣除。</w:t>
      </w:r>
    </w:p>
    <w:p w14:paraId="6DDC4FB5">
      <w:pPr>
        <w:pStyle w:val="10"/>
        <w:spacing w:beforeAutospacing="0" w:afterAutospacing="0" w:line="460" w:lineRule="exact"/>
        <w:ind w:firstLine="480" w:firstLineChars="200"/>
        <w:rPr>
          <w:rFonts w:ascii="宋体" w:hAnsi="宋体" w:eastAsia="宋体" w:cs="宋体"/>
          <w:color w:val="auto"/>
        </w:rPr>
      </w:pPr>
      <w:r>
        <w:rPr>
          <w:rFonts w:hint="eastAsia" w:ascii="宋体" w:hAnsi="宋体" w:eastAsia="宋体" w:cs="宋体"/>
          <w:color w:val="auto"/>
        </w:rPr>
        <w:t>（2）残疾人福利单位需按照采购文件的要求提供《残疾人福利性单位声明函》。</w:t>
      </w:r>
    </w:p>
    <w:p w14:paraId="05D26FC5">
      <w:pPr>
        <w:pStyle w:val="10"/>
        <w:spacing w:beforeAutospacing="0" w:afterAutospacing="0" w:line="460" w:lineRule="exact"/>
        <w:ind w:firstLine="480" w:firstLineChars="200"/>
        <w:rPr>
          <w:rFonts w:ascii="宋体" w:hAnsi="宋体" w:eastAsia="宋体" w:cs="宋体"/>
          <w:color w:val="auto"/>
        </w:rPr>
      </w:pPr>
      <w:r>
        <w:rPr>
          <w:rFonts w:hint="eastAsia" w:ascii="宋体" w:hAnsi="宋体" w:eastAsia="宋体" w:cs="宋体"/>
          <w:color w:val="auto"/>
        </w:rPr>
        <w:t>（3）残疾人福利单位标准请参照《关于促进残疾人就业政府采购政策的通知》（财库〔2017〕141号）。</w:t>
      </w:r>
    </w:p>
    <w:p w14:paraId="04DB8360">
      <w:pPr>
        <w:pStyle w:val="10"/>
        <w:spacing w:beforeAutospacing="0" w:afterAutospacing="0" w:line="460" w:lineRule="exact"/>
        <w:ind w:firstLine="480" w:firstLineChars="200"/>
        <w:rPr>
          <w:rFonts w:ascii="宋体" w:hAnsi="宋体" w:eastAsia="宋体" w:cs="宋体"/>
          <w:color w:val="auto"/>
        </w:rPr>
      </w:pPr>
      <w:r>
        <w:rPr>
          <w:rFonts w:hint="eastAsia" w:ascii="宋体" w:hAnsi="宋体" w:eastAsia="宋体" w:cs="宋体"/>
          <w:color w:val="auto"/>
        </w:rPr>
        <w:t>3、监狱和戒毒企业价格扣除</w:t>
      </w:r>
    </w:p>
    <w:p w14:paraId="7D3DF823">
      <w:pPr>
        <w:pStyle w:val="10"/>
        <w:spacing w:beforeAutospacing="0" w:afterAutospacing="0" w:line="460" w:lineRule="exact"/>
        <w:ind w:firstLine="480" w:firstLineChars="200"/>
        <w:rPr>
          <w:rFonts w:ascii="宋体" w:hAnsi="宋体" w:eastAsia="宋体" w:cs="宋体"/>
          <w:color w:val="auto"/>
          <w:u w:val="single"/>
        </w:rPr>
      </w:pPr>
      <w:r>
        <w:rPr>
          <w:rFonts w:hint="eastAsia" w:ascii="宋体" w:hAnsi="宋体" w:eastAsia="宋体" w:cs="宋体"/>
          <w:color w:val="auto"/>
        </w:rPr>
        <w:t>（1）本项目对监狱和戒毒企业（简称监狱企业）视同小型、微型企业，给予</w:t>
      </w:r>
      <w:r>
        <w:rPr>
          <w:rFonts w:hint="eastAsia" w:ascii="宋体" w:hAnsi="宋体" w:eastAsia="宋体" w:cs="宋体"/>
          <w:color w:val="auto"/>
          <w:u w:val="single"/>
        </w:rPr>
        <w:t>20%的价格扣除。</w:t>
      </w:r>
    </w:p>
    <w:p w14:paraId="734F155E">
      <w:pPr>
        <w:pStyle w:val="10"/>
        <w:spacing w:beforeAutospacing="0" w:afterAutospacing="0" w:line="460" w:lineRule="exact"/>
        <w:ind w:firstLine="480" w:firstLineChars="200"/>
        <w:rPr>
          <w:rFonts w:ascii="宋体" w:hAnsi="宋体" w:eastAsia="宋体" w:cs="宋体"/>
          <w:color w:val="auto"/>
        </w:rPr>
      </w:pPr>
      <w:r>
        <w:rPr>
          <w:rFonts w:hint="eastAsia" w:ascii="宋体" w:hAnsi="宋体" w:eastAsia="宋体" w:cs="宋体"/>
          <w:color w:val="auto"/>
        </w:rPr>
        <w:t>（2）监狱企业参加政府采购活动时，需提供由省级以上监狱管理局、戒毒管理局(含新疆生产建设兵团)出具的属于监狱企业的证明文件。供应商如不提供上述证明文件，价格将不做相应扣除。</w:t>
      </w:r>
    </w:p>
    <w:p w14:paraId="48706D45">
      <w:pPr>
        <w:pStyle w:val="10"/>
        <w:spacing w:beforeAutospacing="0" w:afterAutospacing="0" w:line="460" w:lineRule="exact"/>
        <w:ind w:firstLine="480" w:firstLineChars="200"/>
        <w:rPr>
          <w:rFonts w:ascii="宋体" w:hAnsi="宋体" w:eastAsia="宋体" w:cs="宋体"/>
          <w:color w:val="auto"/>
        </w:rPr>
      </w:pPr>
      <w:r>
        <w:rPr>
          <w:rFonts w:hint="eastAsia" w:ascii="宋体" w:hAnsi="宋体" w:eastAsia="宋体" w:cs="宋体"/>
          <w:color w:val="auto"/>
        </w:rPr>
        <w:t>（3）监狱企业标准请参照《关于政府采购支持监狱企业发展有关问题的通知》（财库〔2014〕68号）。</w:t>
      </w:r>
    </w:p>
    <w:p w14:paraId="70D78B33">
      <w:pPr>
        <w:pStyle w:val="10"/>
        <w:spacing w:beforeAutospacing="0" w:afterAutospacing="0" w:line="460" w:lineRule="exact"/>
        <w:ind w:firstLine="480" w:firstLineChars="200"/>
        <w:rPr>
          <w:rFonts w:ascii="宋体" w:hAnsi="宋体" w:eastAsia="宋体" w:cs="宋体"/>
          <w:color w:val="auto"/>
        </w:rPr>
      </w:pPr>
      <w:r>
        <w:rPr>
          <w:rFonts w:hint="eastAsia" w:ascii="宋体" w:hAnsi="宋体" w:eastAsia="宋体" w:cs="宋体"/>
          <w:color w:val="auto"/>
        </w:rPr>
        <w:t>4、残疾人福利单位、监狱企业属于小型、微型企业的，不重复享受政策。</w:t>
      </w:r>
    </w:p>
    <w:p w14:paraId="018A8531">
      <w:pPr>
        <w:pStyle w:val="10"/>
        <w:spacing w:beforeAutospacing="0" w:afterAutospacing="0" w:line="460" w:lineRule="exact"/>
        <w:ind w:firstLine="480" w:firstLineChars="200"/>
        <w:rPr>
          <w:rFonts w:ascii="宋体" w:hAnsi="宋体" w:eastAsia="宋体" w:cs="宋体"/>
          <w:color w:val="auto"/>
        </w:rPr>
      </w:pPr>
      <w:r>
        <w:rPr>
          <w:rFonts w:hint="eastAsia" w:ascii="宋体" w:hAnsi="宋体" w:eastAsia="宋体" w:cs="宋体"/>
          <w:color w:val="auto"/>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u w:val="single"/>
        </w:rPr>
        <w:t>6%</w:t>
      </w:r>
      <w:r>
        <w:rPr>
          <w:rFonts w:hint="eastAsia" w:ascii="宋体" w:hAnsi="宋体" w:eastAsia="宋体" w:cs="宋体"/>
          <w:color w:val="auto"/>
        </w:rPr>
        <w:t>的价格扣除，用扣除后的价格参与评审。</w:t>
      </w:r>
    </w:p>
    <w:p w14:paraId="2E3EB1FA">
      <w:pPr>
        <w:pStyle w:val="10"/>
        <w:spacing w:beforeAutospacing="0" w:afterAutospacing="0" w:line="460" w:lineRule="exact"/>
        <w:ind w:firstLine="480" w:firstLineChars="200"/>
        <w:rPr>
          <w:rFonts w:ascii="宋体" w:hAnsi="宋体" w:eastAsia="宋体" w:cs="宋体"/>
          <w:color w:val="auto"/>
          <w:u w:val="single"/>
        </w:rPr>
      </w:pPr>
      <w:r>
        <w:rPr>
          <w:rFonts w:hint="eastAsia" w:ascii="宋体" w:hAnsi="宋体" w:eastAsia="宋体" w:cs="宋体"/>
          <w:color w:val="auto"/>
        </w:rPr>
        <w:t>6、联合体各方均为小型、微型企业（残疾人福利单位、监狱企业）的，联合体享受</w:t>
      </w:r>
      <w:r>
        <w:rPr>
          <w:rFonts w:hint="eastAsia" w:ascii="宋体" w:hAnsi="宋体" w:eastAsia="宋体" w:cs="宋体"/>
          <w:color w:val="auto"/>
          <w:u w:val="single"/>
        </w:rPr>
        <w:t>20%的价格扣除。</w:t>
      </w:r>
    </w:p>
    <w:p w14:paraId="547A6AC6">
      <w:pPr>
        <w:adjustRightInd w:val="0"/>
        <w:spacing w:line="460" w:lineRule="exact"/>
        <w:ind w:firstLine="482" w:firstLineChars="200"/>
        <w:jc w:val="left"/>
        <w:textAlignment w:val="baseline"/>
        <w:rPr>
          <w:rFonts w:ascii="宋体" w:hAnsi="宋体" w:eastAsia="宋体" w:cs="宋体"/>
          <w:b/>
          <w:bCs/>
          <w:color w:val="auto"/>
          <w:sz w:val="24"/>
        </w:rPr>
      </w:pPr>
      <w:r>
        <w:rPr>
          <w:rFonts w:hint="eastAsia" w:ascii="宋体" w:hAnsi="宋体" w:eastAsia="宋体" w:cs="宋体"/>
          <w:b/>
          <w:bCs/>
          <w:color w:val="auto"/>
          <w:sz w:val="24"/>
        </w:rPr>
        <w:t>7、采购本国产品的支持政策</w:t>
      </w:r>
    </w:p>
    <w:p w14:paraId="1B35457D">
      <w:pPr>
        <w:adjustRightInd w:val="0"/>
        <w:spacing w:line="460" w:lineRule="exact"/>
        <w:ind w:firstLine="482" w:firstLineChars="200"/>
        <w:jc w:val="left"/>
        <w:textAlignment w:val="baseline"/>
        <w:rPr>
          <w:rFonts w:ascii="宋体" w:hAnsi="宋体" w:eastAsia="宋体" w:cs="宋体"/>
          <w:b/>
          <w:bCs/>
          <w:color w:val="auto"/>
          <w:sz w:val="24"/>
        </w:rPr>
      </w:pPr>
      <w:r>
        <w:rPr>
          <w:rFonts w:hint="eastAsia" w:ascii="宋体" w:hAnsi="宋体" w:eastAsia="宋体" w:cs="宋体"/>
          <w:b/>
          <w:bCs/>
          <w:color w:val="auto"/>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u w:val="single"/>
        </w:rPr>
        <w:t>20%</w:t>
      </w:r>
      <w:r>
        <w:rPr>
          <w:rFonts w:hint="eastAsia" w:ascii="宋体" w:hAnsi="宋体" w:eastAsia="宋体" w:cs="宋体"/>
          <w:b/>
          <w:bCs/>
          <w:color w:val="auto"/>
          <w:sz w:val="24"/>
        </w:rPr>
        <w:t>的价格扣除，用扣除后的价格参与评审。</w:t>
      </w:r>
    </w:p>
    <w:p w14:paraId="521B83EF">
      <w:pPr>
        <w:adjustRightInd w:val="0"/>
        <w:spacing w:line="460" w:lineRule="exact"/>
        <w:ind w:firstLine="482" w:firstLineChars="200"/>
        <w:jc w:val="left"/>
        <w:textAlignment w:val="baseline"/>
        <w:rPr>
          <w:rFonts w:ascii="宋体" w:hAnsi="宋体" w:eastAsia="宋体" w:cs="宋体"/>
          <w:b/>
          <w:bCs/>
          <w:color w:val="auto"/>
          <w:sz w:val="24"/>
        </w:rPr>
      </w:pPr>
      <w:r>
        <w:rPr>
          <w:rFonts w:hint="eastAsia" w:ascii="宋体" w:hAnsi="宋体" w:eastAsia="宋体" w:cs="宋体"/>
          <w:b/>
          <w:bCs/>
          <w:color w:val="auto"/>
          <w:sz w:val="24"/>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u w:val="single"/>
        </w:rPr>
        <w:t>80%</w:t>
      </w:r>
      <w:r>
        <w:rPr>
          <w:rFonts w:hint="eastAsia" w:ascii="宋体" w:hAnsi="宋体" w:eastAsia="宋体" w:cs="宋体"/>
          <w:b/>
          <w:bCs/>
          <w:color w:val="auto"/>
          <w:sz w:val="24"/>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u w:val="single"/>
        </w:rPr>
        <w:t>20%</w:t>
      </w:r>
      <w:r>
        <w:rPr>
          <w:rFonts w:hint="eastAsia" w:ascii="宋体" w:hAnsi="宋体" w:eastAsia="宋体" w:cs="宋体"/>
          <w:b/>
          <w:bCs/>
          <w:color w:val="auto"/>
          <w:sz w:val="24"/>
        </w:rPr>
        <w:t>的价格扣除，用扣除后的价格参与评审。供应商未填写比例数值，或比例数值未达到80%的，将不享受本国产品价格评审优惠。</w:t>
      </w:r>
    </w:p>
    <w:p w14:paraId="62AAC6DC">
      <w:pPr>
        <w:adjustRightInd w:val="0"/>
        <w:spacing w:line="460" w:lineRule="exact"/>
        <w:ind w:firstLine="482" w:firstLineChars="200"/>
        <w:jc w:val="left"/>
        <w:textAlignment w:val="baseline"/>
        <w:rPr>
          <w:rFonts w:ascii="宋体" w:hAnsi="宋体" w:eastAsia="宋体" w:cs="宋体"/>
          <w:b/>
          <w:bCs/>
          <w:color w:val="auto"/>
          <w:sz w:val="24"/>
        </w:rPr>
      </w:pPr>
      <w:r>
        <w:rPr>
          <w:rFonts w:hint="eastAsia" w:ascii="宋体" w:hAnsi="宋体" w:eastAsia="宋体" w:cs="宋体"/>
          <w:b/>
          <w:bCs/>
          <w:color w:val="auto"/>
          <w:sz w:val="24"/>
        </w:rPr>
        <w:t>7.3 供应商需按照招标文件的要求提供《关于符合本国产品标准的声明函》（以下简称《声明函》），如不提供将不享受本国产品价格评审优惠。</w:t>
      </w:r>
    </w:p>
    <w:p w14:paraId="7BAC137E">
      <w:pPr>
        <w:adjustRightInd w:val="0"/>
        <w:spacing w:line="460" w:lineRule="exact"/>
        <w:ind w:firstLine="482" w:firstLineChars="200"/>
        <w:jc w:val="left"/>
        <w:textAlignment w:val="baseline"/>
        <w:rPr>
          <w:rFonts w:ascii="宋体" w:hAnsi="宋体" w:eastAsia="宋体" w:cs="宋体"/>
          <w:b/>
          <w:bCs/>
          <w:color w:val="auto"/>
          <w:sz w:val="24"/>
        </w:rPr>
      </w:pPr>
      <w:r>
        <w:rPr>
          <w:rFonts w:hint="eastAsia" w:ascii="宋体" w:hAnsi="宋体" w:eastAsia="宋体" w:cs="宋体"/>
          <w:b/>
          <w:bCs/>
          <w:color w:val="auto"/>
          <w:sz w:val="24"/>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142E84B6">
      <w:pPr>
        <w:adjustRightInd w:val="0"/>
        <w:spacing w:line="460" w:lineRule="exact"/>
        <w:ind w:firstLine="482" w:firstLineChars="200"/>
        <w:jc w:val="left"/>
        <w:textAlignment w:val="baseline"/>
        <w:rPr>
          <w:rFonts w:ascii="宋体" w:hAnsi="宋体" w:eastAsia="宋体" w:cs="宋体"/>
          <w:color w:val="auto"/>
          <w:sz w:val="24"/>
          <w:u w:val="single"/>
        </w:rPr>
      </w:pPr>
      <w:r>
        <w:rPr>
          <w:rFonts w:hint="eastAsia" w:ascii="宋体" w:hAnsi="宋体" w:eastAsia="宋体" w:cs="宋体"/>
          <w:b/>
          <w:bCs/>
          <w:color w:val="auto"/>
          <w:sz w:val="24"/>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4"/>
        </w:rPr>
        <w:t>和招标文件规定的，供应商提供的相关产品视为不符合本国产品标准。</w:t>
      </w:r>
    </w:p>
    <w:p w14:paraId="795098B7">
      <w:pPr>
        <w:spacing w:line="460" w:lineRule="exact"/>
        <w:ind w:firstLine="480" w:firstLineChars="200"/>
        <w:rPr>
          <w:rFonts w:ascii="宋体" w:hAnsi="宋体" w:eastAsia="宋体" w:cs="宋体"/>
          <w:color w:val="auto"/>
          <w:kern w:val="0"/>
          <w:sz w:val="24"/>
        </w:rPr>
      </w:pPr>
      <w:r>
        <w:rPr>
          <w:rFonts w:hint="eastAsia" w:ascii="宋体" w:hAnsi="宋体" w:eastAsia="宋体" w:cs="宋体"/>
          <w:color w:val="auto"/>
          <w:kern w:val="0"/>
          <w:sz w:val="24"/>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rPr>
        <w:t>如属政府强制采购产品未提供认证证书的或认证证书提供不全的将视为未实质性响应采购要求</w:t>
      </w:r>
      <w:r>
        <w:rPr>
          <w:rFonts w:hint="eastAsia" w:ascii="宋体" w:hAnsi="宋体" w:eastAsia="宋体" w:cs="宋体"/>
          <w:i/>
          <w:color w:val="auto"/>
          <w:kern w:val="0"/>
          <w:sz w:val="24"/>
        </w:rPr>
        <w:t>。</w:t>
      </w:r>
      <w:r>
        <w:rPr>
          <w:rFonts w:hint="eastAsia" w:ascii="宋体" w:hAnsi="宋体" w:eastAsia="宋体" w:cs="宋体"/>
          <w:color w:val="auto"/>
          <w:kern w:val="0"/>
          <w:sz w:val="24"/>
        </w:rPr>
        <w:t>其他条件相同情况下，应当优先采购节能产品、环境标志产品。</w:t>
      </w:r>
    </w:p>
    <w:p w14:paraId="62176F70">
      <w:pPr>
        <w:pStyle w:val="10"/>
        <w:spacing w:beforeAutospacing="0" w:afterAutospacing="0" w:line="500" w:lineRule="exact"/>
        <w:ind w:firstLine="482" w:firstLineChars="200"/>
        <w:rPr>
          <w:rFonts w:ascii="宋体" w:hAnsi="宋体" w:eastAsia="宋体" w:cs="宋体"/>
          <w:color w:val="auto"/>
        </w:rPr>
      </w:pPr>
      <w:r>
        <w:rPr>
          <w:rFonts w:hint="eastAsia" w:ascii="宋体" w:hAnsi="宋体" w:eastAsia="宋体" w:cs="宋体"/>
          <w:b/>
          <w:color w:val="auto"/>
        </w:rPr>
        <w:t>二、评审方法与评审标准</w:t>
      </w:r>
    </w:p>
    <w:p w14:paraId="183661C7">
      <w:pPr>
        <w:spacing w:line="360" w:lineRule="auto"/>
        <w:ind w:firstLine="480"/>
        <w:rPr>
          <w:rFonts w:ascii="宋体" w:hAnsi="宋体" w:cs="宋体"/>
          <w:color w:val="auto"/>
        </w:rPr>
      </w:pPr>
      <w:r>
        <w:rPr>
          <w:rFonts w:hint="eastAsia" w:ascii="宋体" w:hAnsi="宋体"/>
          <w:color w:val="auto"/>
          <w:sz w:val="24"/>
        </w:rPr>
        <w:t>本项目评分总分值为100分。</w:t>
      </w:r>
    </w:p>
    <w:tbl>
      <w:tblPr>
        <w:tblStyle w:val="12"/>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1100"/>
        <w:gridCol w:w="6738"/>
        <w:gridCol w:w="740"/>
      </w:tblGrid>
      <w:tr w14:paraId="33053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vAlign w:val="center"/>
          </w:tcPr>
          <w:p w14:paraId="37B50242">
            <w:pPr>
              <w:spacing w:line="460" w:lineRule="exact"/>
              <w:rPr>
                <w:rFonts w:ascii="宋体" w:hAnsi="宋体" w:cs="宋体"/>
                <w:color w:val="auto"/>
                <w:szCs w:val="21"/>
              </w:rPr>
            </w:pPr>
            <w:r>
              <w:rPr>
                <w:rFonts w:hint="eastAsia" w:ascii="宋体" w:hAnsi="宋体" w:cs="宋体"/>
                <w:color w:val="auto"/>
                <w:szCs w:val="21"/>
              </w:rPr>
              <w:t>序号</w:t>
            </w:r>
          </w:p>
        </w:tc>
        <w:tc>
          <w:tcPr>
            <w:tcW w:w="596" w:type="pct"/>
            <w:vAlign w:val="center"/>
          </w:tcPr>
          <w:p w14:paraId="12EDBE07">
            <w:pPr>
              <w:spacing w:line="460" w:lineRule="exact"/>
              <w:rPr>
                <w:rFonts w:ascii="宋体" w:hAnsi="宋体" w:cs="宋体"/>
                <w:color w:val="auto"/>
                <w:szCs w:val="21"/>
              </w:rPr>
            </w:pPr>
            <w:r>
              <w:rPr>
                <w:rFonts w:hint="eastAsia" w:ascii="宋体" w:hAnsi="宋体" w:cs="宋体"/>
                <w:color w:val="auto"/>
                <w:szCs w:val="21"/>
              </w:rPr>
              <w:t>内容</w:t>
            </w:r>
          </w:p>
        </w:tc>
        <w:tc>
          <w:tcPr>
            <w:tcW w:w="3651" w:type="pct"/>
            <w:vAlign w:val="center"/>
          </w:tcPr>
          <w:p w14:paraId="11962A67">
            <w:pPr>
              <w:spacing w:line="460" w:lineRule="exact"/>
              <w:rPr>
                <w:rFonts w:ascii="宋体" w:hAnsi="宋体" w:cs="宋体"/>
                <w:color w:val="auto"/>
                <w:szCs w:val="21"/>
              </w:rPr>
            </w:pPr>
            <w:r>
              <w:rPr>
                <w:rFonts w:hint="eastAsia" w:ascii="宋体" w:hAnsi="宋体" w:cs="宋体"/>
                <w:color w:val="auto"/>
                <w:szCs w:val="21"/>
              </w:rPr>
              <w:t>评分细则</w:t>
            </w:r>
          </w:p>
        </w:tc>
        <w:tc>
          <w:tcPr>
            <w:tcW w:w="401" w:type="pct"/>
            <w:vAlign w:val="center"/>
          </w:tcPr>
          <w:p w14:paraId="6492615B">
            <w:pPr>
              <w:spacing w:line="460" w:lineRule="exact"/>
              <w:rPr>
                <w:rFonts w:ascii="宋体" w:hAnsi="宋体" w:cs="宋体"/>
                <w:color w:val="auto"/>
                <w:szCs w:val="21"/>
              </w:rPr>
            </w:pPr>
            <w:r>
              <w:rPr>
                <w:rFonts w:hint="eastAsia" w:ascii="宋体" w:hAnsi="宋体" w:cs="宋体"/>
                <w:color w:val="auto"/>
                <w:szCs w:val="21"/>
              </w:rPr>
              <w:t>分值</w:t>
            </w:r>
          </w:p>
        </w:tc>
      </w:tr>
      <w:tr w14:paraId="3CC34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vAlign w:val="center"/>
          </w:tcPr>
          <w:p w14:paraId="2D1E1E44">
            <w:pPr>
              <w:spacing w:line="460" w:lineRule="exact"/>
              <w:jc w:val="center"/>
              <w:rPr>
                <w:rFonts w:ascii="宋体" w:hAnsi="宋体" w:cs="宋体"/>
                <w:color w:val="auto"/>
                <w:szCs w:val="21"/>
              </w:rPr>
            </w:pPr>
            <w:r>
              <w:rPr>
                <w:rFonts w:hint="eastAsia" w:ascii="宋体" w:hAnsi="宋体" w:cs="宋体"/>
                <w:color w:val="auto"/>
                <w:szCs w:val="21"/>
              </w:rPr>
              <w:t>１</w:t>
            </w:r>
          </w:p>
        </w:tc>
        <w:tc>
          <w:tcPr>
            <w:tcW w:w="596" w:type="pct"/>
            <w:vAlign w:val="center"/>
          </w:tcPr>
          <w:p w14:paraId="522493B7">
            <w:pPr>
              <w:spacing w:line="460" w:lineRule="exact"/>
              <w:jc w:val="center"/>
              <w:rPr>
                <w:rFonts w:ascii="宋体" w:hAnsi="宋体" w:cs="宋体"/>
                <w:color w:val="auto"/>
                <w:szCs w:val="21"/>
              </w:rPr>
            </w:pPr>
            <w:r>
              <w:rPr>
                <w:rFonts w:hint="eastAsia" w:ascii="宋体" w:hAnsi="宋体" w:cs="宋体"/>
                <w:color w:val="auto"/>
                <w:szCs w:val="21"/>
              </w:rPr>
              <w:t>价格</w:t>
            </w:r>
          </w:p>
        </w:tc>
        <w:tc>
          <w:tcPr>
            <w:tcW w:w="3651" w:type="pct"/>
            <w:vAlign w:val="center"/>
          </w:tcPr>
          <w:p w14:paraId="5D2D0522">
            <w:pPr>
              <w:spacing w:line="420" w:lineRule="exact"/>
              <w:rPr>
                <w:rFonts w:ascii="宋体" w:hAnsi="宋体" w:eastAsia="宋体" w:cs="宋体"/>
                <w:color w:val="auto"/>
                <w:szCs w:val="21"/>
                <w:lang w:val="zh-CN"/>
              </w:rPr>
            </w:pPr>
            <w:r>
              <w:rPr>
                <w:rFonts w:hint="eastAsia" w:ascii="宋体" w:hAnsi="宋体" w:eastAsia="宋体" w:cs="宋体"/>
                <w:color w:val="auto"/>
                <w:szCs w:val="21"/>
                <w:lang w:val="zh-CN"/>
              </w:rPr>
              <w:t>1.采用低价优先法，即满足招标文件要求且投标价格最低的有效投标报价为评标基准价，其价格分为满分。</w:t>
            </w:r>
          </w:p>
          <w:p w14:paraId="2C76AC7B">
            <w:pPr>
              <w:spacing w:line="460" w:lineRule="exact"/>
              <w:rPr>
                <w:color w:val="auto"/>
                <w:szCs w:val="21"/>
              </w:rPr>
            </w:pPr>
            <w:r>
              <w:rPr>
                <w:rFonts w:hint="eastAsia" w:ascii="宋体" w:hAnsi="宋体" w:eastAsia="宋体" w:cs="宋体"/>
                <w:color w:val="auto"/>
                <w:szCs w:val="21"/>
                <w:lang w:val="zh-CN"/>
              </w:rPr>
              <w:t>2.其他投标人的价格分统一按下列公式计算：投标报价得分为（评标基准价/投标报价）×</w:t>
            </w:r>
            <w:r>
              <w:rPr>
                <w:rFonts w:ascii="宋体" w:hAnsi="宋体" w:eastAsia="宋体" w:cs="宋体"/>
                <w:color w:val="auto"/>
                <w:szCs w:val="21"/>
              </w:rPr>
              <w:t>40</w:t>
            </w:r>
            <w:r>
              <w:rPr>
                <w:rFonts w:hint="eastAsia" w:ascii="宋体" w:hAnsi="宋体" w:eastAsia="宋体" w:cs="宋体"/>
                <w:color w:val="auto"/>
                <w:szCs w:val="21"/>
                <w:lang w:val="zh-CN"/>
              </w:rPr>
              <w:t>（小数点保留两位）。</w:t>
            </w:r>
          </w:p>
        </w:tc>
        <w:tc>
          <w:tcPr>
            <w:tcW w:w="401" w:type="pct"/>
            <w:vAlign w:val="center"/>
          </w:tcPr>
          <w:p w14:paraId="29276CEB">
            <w:pPr>
              <w:spacing w:line="460" w:lineRule="exact"/>
              <w:rPr>
                <w:rFonts w:ascii="宋体" w:hAnsi="宋体" w:cs="宋体"/>
                <w:color w:val="auto"/>
                <w:szCs w:val="21"/>
              </w:rPr>
            </w:pPr>
            <w:r>
              <w:rPr>
                <w:rFonts w:ascii="宋体" w:hAnsi="宋体" w:cs="宋体"/>
                <w:color w:val="auto"/>
                <w:szCs w:val="21"/>
              </w:rPr>
              <w:t>40</w:t>
            </w:r>
            <w:r>
              <w:rPr>
                <w:rFonts w:hint="eastAsia" w:ascii="宋体" w:hAnsi="宋体" w:cs="宋体"/>
                <w:color w:val="auto"/>
                <w:szCs w:val="21"/>
              </w:rPr>
              <w:t>分</w:t>
            </w:r>
          </w:p>
        </w:tc>
      </w:tr>
      <w:tr w14:paraId="1801D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vAlign w:val="center"/>
          </w:tcPr>
          <w:p w14:paraId="3E77747B">
            <w:pPr>
              <w:spacing w:line="460" w:lineRule="exact"/>
              <w:jc w:val="center"/>
              <w:rPr>
                <w:rFonts w:ascii="宋体" w:hAnsi="宋体" w:cs="宋体"/>
                <w:color w:val="auto"/>
                <w:szCs w:val="21"/>
              </w:rPr>
            </w:pPr>
            <w:r>
              <w:rPr>
                <w:rFonts w:ascii="宋体" w:hAnsi="宋体" w:cs="宋体"/>
                <w:color w:val="auto"/>
                <w:szCs w:val="21"/>
              </w:rPr>
              <w:t>2</w:t>
            </w:r>
          </w:p>
        </w:tc>
        <w:tc>
          <w:tcPr>
            <w:tcW w:w="596" w:type="pct"/>
            <w:vAlign w:val="center"/>
          </w:tcPr>
          <w:p w14:paraId="061725A5">
            <w:pPr>
              <w:spacing w:line="460" w:lineRule="exact"/>
              <w:jc w:val="center"/>
              <w:rPr>
                <w:rFonts w:ascii="宋体" w:hAnsi="宋体" w:cs="宋体"/>
                <w:color w:val="auto"/>
                <w:szCs w:val="21"/>
              </w:rPr>
            </w:pPr>
            <w:r>
              <w:rPr>
                <w:rFonts w:hint="eastAsia" w:ascii="宋体" w:hAnsi="宋体" w:cs="宋体"/>
                <w:color w:val="auto"/>
                <w:szCs w:val="21"/>
              </w:rPr>
              <w:t>供应商</w:t>
            </w:r>
          </w:p>
          <w:p w14:paraId="0A259C82">
            <w:pPr>
              <w:spacing w:line="460" w:lineRule="exact"/>
              <w:jc w:val="center"/>
              <w:rPr>
                <w:rFonts w:ascii="宋体" w:hAnsi="宋体" w:cs="宋体"/>
                <w:color w:val="auto"/>
                <w:szCs w:val="21"/>
              </w:rPr>
            </w:pPr>
            <w:r>
              <w:rPr>
                <w:rFonts w:hint="eastAsia" w:ascii="宋体" w:hAnsi="宋体" w:cs="宋体"/>
                <w:color w:val="auto"/>
                <w:szCs w:val="21"/>
              </w:rPr>
              <w:t>业绩</w:t>
            </w:r>
          </w:p>
        </w:tc>
        <w:tc>
          <w:tcPr>
            <w:tcW w:w="3651" w:type="pct"/>
            <w:vAlign w:val="center"/>
          </w:tcPr>
          <w:p w14:paraId="4BDCAA66">
            <w:pPr>
              <w:spacing w:line="460" w:lineRule="exact"/>
              <w:rPr>
                <w:rFonts w:ascii="宋体" w:hAnsi="宋体" w:cs="宋体"/>
                <w:color w:val="auto"/>
                <w:szCs w:val="21"/>
              </w:rPr>
            </w:pPr>
            <w:r>
              <w:rPr>
                <w:rFonts w:hint="eastAsia" w:ascii="宋体" w:hAnsi="宋体" w:cs="宋体"/>
                <w:color w:val="auto"/>
                <w:szCs w:val="21"/>
              </w:rPr>
              <w:t>1、供应商自2022年1月1日（合同签订日期）以来承接类似医疗机构医务人员海外研修项目，每提供一个得6分，本项最多得</w:t>
            </w:r>
            <w:r>
              <w:rPr>
                <w:rFonts w:ascii="宋体" w:hAnsi="宋体" w:cs="宋体"/>
                <w:color w:val="auto"/>
                <w:szCs w:val="21"/>
              </w:rPr>
              <w:t>30</w:t>
            </w:r>
            <w:r>
              <w:rPr>
                <w:rFonts w:hint="eastAsia" w:ascii="宋体" w:hAnsi="宋体" w:cs="宋体"/>
                <w:color w:val="auto"/>
                <w:szCs w:val="21"/>
              </w:rPr>
              <w:t>分。</w:t>
            </w:r>
          </w:p>
          <w:p w14:paraId="36334C4B">
            <w:pPr>
              <w:spacing w:line="460" w:lineRule="exact"/>
              <w:rPr>
                <w:rFonts w:ascii="宋体" w:hAnsi="宋体" w:cs="宋体"/>
                <w:color w:val="auto"/>
                <w:szCs w:val="21"/>
              </w:rPr>
            </w:pPr>
            <w:r>
              <w:rPr>
                <w:rFonts w:hint="eastAsia" w:ascii="宋体" w:hAnsi="宋体" w:cs="宋体"/>
                <w:color w:val="auto"/>
                <w:szCs w:val="21"/>
              </w:rPr>
              <w:t>注：本项以供应商提供的业绩合同原件扫描件计分，合同中需能够清晰、明确体现合同签订时间、合同内容等主要信息，否则不得分。</w:t>
            </w:r>
          </w:p>
        </w:tc>
        <w:tc>
          <w:tcPr>
            <w:tcW w:w="401" w:type="pct"/>
            <w:vAlign w:val="center"/>
          </w:tcPr>
          <w:p w14:paraId="4D3658D5">
            <w:pPr>
              <w:spacing w:line="460" w:lineRule="exact"/>
              <w:rPr>
                <w:rFonts w:ascii="宋体" w:hAnsi="宋体" w:cs="宋体"/>
                <w:color w:val="auto"/>
                <w:szCs w:val="21"/>
              </w:rPr>
            </w:pPr>
            <w:r>
              <w:rPr>
                <w:rFonts w:ascii="宋体" w:hAnsi="宋体" w:cs="宋体"/>
                <w:color w:val="auto"/>
                <w:szCs w:val="21"/>
              </w:rPr>
              <w:t>30分</w:t>
            </w:r>
          </w:p>
        </w:tc>
      </w:tr>
      <w:tr w14:paraId="30075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vMerge w:val="restart"/>
            <w:vAlign w:val="center"/>
          </w:tcPr>
          <w:p w14:paraId="3FC94802">
            <w:pPr>
              <w:spacing w:line="460" w:lineRule="exact"/>
              <w:ind w:firstLine="210" w:firstLineChars="100"/>
              <w:rPr>
                <w:rFonts w:ascii="宋体" w:hAnsi="宋体" w:cs="宋体"/>
                <w:color w:val="auto"/>
                <w:szCs w:val="21"/>
              </w:rPr>
            </w:pPr>
            <w:r>
              <w:rPr>
                <w:rFonts w:ascii="宋体" w:hAnsi="宋体" w:cs="宋体"/>
                <w:color w:val="auto"/>
                <w:szCs w:val="21"/>
              </w:rPr>
              <w:t>3</w:t>
            </w:r>
          </w:p>
        </w:tc>
        <w:tc>
          <w:tcPr>
            <w:tcW w:w="596" w:type="pct"/>
            <w:vMerge w:val="restart"/>
            <w:vAlign w:val="center"/>
          </w:tcPr>
          <w:p w14:paraId="27C11993">
            <w:pPr>
              <w:spacing w:line="460" w:lineRule="exact"/>
              <w:rPr>
                <w:rFonts w:ascii="宋体" w:hAnsi="宋体" w:cs="宋体"/>
                <w:color w:val="auto"/>
                <w:szCs w:val="21"/>
              </w:rPr>
            </w:pPr>
            <w:r>
              <w:rPr>
                <w:rFonts w:hint="eastAsia" w:ascii="宋体" w:hAnsi="宋体" w:cs="宋体"/>
                <w:color w:val="auto"/>
                <w:szCs w:val="21"/>
              </w:rPr>
              <w:t>实施</w:t>
            </w:r>
            <w:r>
              <w:rPr>
                <w:rFonts w:ascii="宋体" w:hAnsi="宋体" w:cs="宋体"/>
                <w:color w:val="auto"/>
                <w:szCs w:val="21"/>
              </w:rPr>
              <w:t>方案</w:t>
            </w:r>
          </w:p>
        </w:tc>
        <w:tc>
          <w:tcPr>
            <w:tcW w:w="3651" w:type="pct"/>
            <w:vAlign w:val="center"/>
          </w:tcPr>
          <w:p w14:paraId="7EEFC593">
            <w:pPr>
              <w:spacing w:line="460" w:lineRule="exact"/>
              <w:ind w:firstLine="420" w:firstLineChars="200"/>
              <w:rPr>
                <w:rFonts w:ascii="宋体" w:hAnsi="宋体" w:cs="宋体"/>
                <w:color w:val="auto"/>
                <w:szCs w:val="21"/>
              </w:rPr>
            </w:pPr>
            <w:r>
              <w:rPr>
                <w:rFonts w:hint="eastAsia" w:ascii="宋体" w:hAnsi="宋体" w:cs="宋体"/>
                <w:color w:val="auto"/>
                <w:szCs w:val="21"/>
              </w:rPr>
              <w:t>1、整体服务方案</w:t>
            </w:r>
          </w:p>
          <w:p w14:paraId="6189E29E">
            <w:pPr>
              <w:spacing w:line="460" w:lineRule="exact"/>
              <w:ind w:firstLine="420" w:firstLineChars="200"/>
              <w:rPr>
                <w:rFonts w:ascii="宋体" w:hAnsi="宋体" w:cs="宋体"/>
                <w:color w:val="auto"/>
                <w:szCs w:val="21"/>
              </w:rPr>
            </w:pPr>
            <w:r>
              <w:rPr>
                <w:rFonts w:hint="eastAsia" w:ascii="宋体" w:hAnsi="宋体" w:cs="宋体"/>
                <w:color w:val="auto"/>
                <w:szCs w:val="21"/>
              </w:rPr>
              <w:t>供应商应在第四章采购需求“整体服务方案”内容上深化，至少包含：①项目需求、目标与范围认知；②整体服务思路与实施原则；③量化整体服务目标；优于项目需求得5分，满足项目需求得2分，不满足或不提供得0分。</w:t>
            </w:r>
          </w:p>
          <w:p w14:paraId="3AF166C5">
            <w:pPr>
              <w:spacing w:line="460" w:lineRule="exact"/>
              <w:ind w:firstLine="420" w:firstLineChars="200"/>
              <w:rPr>
                <w:rFonts w:ascii="宋体" w:hAnsi="宋体" w:cs="宋体"/>
                <w:color w:val="auto"/>
                <w:szCs w:val="21"/>
              </w:rPr>
            </w:pPr>
            <w:r>
              <w:rPr>
                <w:rFonts w:hint="eastAsia" w:ascii="宋体" w:hAnsi="宋体" w:cs="宋体"/>
                <w:color w:val="auto"/>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p>
        </w:tc>
        <w:tc>
          <w:tcPr>
            <w:tcW w:w="401" w:type="pct"/>
            <w:vAlign w:val="center"/>
          </w:tcPr>
          <w:p w14:paraId="6CF1208D">
            <w:pPr>
              <w:spacing w:line="460" w:lineRule="exact"/>
              <w:rPr>
                <w:rFonts w:ascii="宋体" w:hAnsi="宋体" w:cs="宋体"/>
                <w:color w:val="auto"/>
                <w:szCs w:val="21"/>
              </w:rPr>
            </w:pPr>
            <w:r>
              <w:rPr>
                <w:rFonts w:ascii="宋体" w:hAnsi="宋体" w:cs="宋体"/>
                <w:color w:val="auto"/>
                <w:szCs w:val="21"/>
              </w:rPr>
              <w:t>5分</w:t>
            </w:r>
          </w:p>
        </w:tc>
      </w:tr>
      <w:tr w14:paraId="391DE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vMerge w:val="continue"/>
            <w:vAlign w:val="center"/>
          </w:tcPr>
          <w:p w14:paraId="477B1659">
            <w:pPr>
              <w:spacing w:line="460" w:lineRule="exact"/>
              <w:rPr>
                <w:rFonts w:ascii="宋体" w:hAnsi="宋体" w:cs="宋体"/>
                <w:color w:val="auto"/>
                <w:szCs w:val="21"/>
              </w:rPr>
            </w:pPr>
          </w:p>
        </w:tc>
        <w:tc>
          <w:tcPr>
            <w:tcW w:w="596" w:type="pct"/>
            <w:vMerge w:val="continue"/>
            <w:vAlign w:val="center"/>
          </w:tcPr>
          <w:p w14:paraId="4CF795E6">
            <w:pPr>
              <w:spacing w:line="460" w:lineRule="exact"/>
              <w:rPr>
                <w:rFonts w:ascii="宋体" w:hAnsi="宋体" w:cs="宋体"/>
                <w:color w:val="auto"/>
                <w:szCs w:val="21"/>
              </w:rPr>
            </w:pPr>
          </w:p>
        </w:tc>
        <w:tc>
          <w:tcPr>
            <w:tcW w:w="3651" w:type="pct"/>
            <w:vAlign w:val="center"/>
          </w:tcPr>
          <w:p w14:paraId="678B244D">
            <w:pPr>
              <w:spacing w:line="460" w:lineRule="exact"/>
              <w:ind w:firstLine="420" w:firstLineChars="200"/>
              <w:rPr>
                <w:rFonts w:ascii="宋体" w:hAnsi="宋体" w:cs="宋体"/>
                <w:color w:val="auto"/>
                <w:szCs w:val="21"/>
              </w:rPr>
            </w:pPr>
            <w:r>
              <w:rPr>
                <w:rFonts w:hint="eastAsia" w:ascii="宋体" w:hAnsi="宋体" w:cs="宋体"/>
                <w:color w:val="auto"/>
                <w:szCs w:val="21"/>
              </w:rPr>
              <w:t>2、面试指导方案</w:t>
            </w:r>
          </w:p>
          <w:p w14:paraId="446492C9">
            <w:pPr>
              <w:spacing w:line="460" w:lineRule="exact"/>
              <w:ind w:firstLine="420" w:firstLineChars="200"/>
              <w:rPr>
                <w:rFonts w:ascii="宋体" w:hAnsi="宋体" w:cs="宋体"/>
                <w:color w:val="auto"/>
                <w:szCs w:val="21"/>
              </w:rPr>
            </w:pPr>
            <w:r>
              <w:rPr>
                <w:rFonts w:hint="eastAsia" w:ascii="宋体" w:hAnsi="宋体" w:cs="宋体"/>
                <w:color w:val="auto"/>
                <w:szCs w:val="21"/>
              </w:rPr>
              <w:t>供应商应在第四章采购需求“面试指导方案”内容上深化，至少包含：①签证通过率提升专项措施；②分国别标准化面试指导；③一对一模拟复盘纠偏机制；方案优于要求的得5分，符合要求得2分，不符合要求或未提供的不得分。</w:t>
            </w:r>
          </w:p>
          <w:p w14:paraId="5F3F452E">
            <w:pPr>
              <w:spacing w:line="460" w:lineRule="exact"/>
              <w:ind w:firstLine="420" w:firstLineChars="200"/>
              <w:rPr>
                <w:rFonts w:ascii="宋体" w:hAnsi="宋体" w:cs="宋体"/>
                <w:color w:val="auto"/>
                <w:szCs w:val="21"/>
              </w:rPr>
            </w:pPr>
            <w:r>
              <w:rPr>
                <w:rFonts w:hint="eastAsia" w:ascii="宋体" w:hAnsi="宋体" w:cs="宋体"/>
                <w:color w:val="auto"/>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p>
        </w:tc>
        <w:tc>
          <w:tcPr>
            <w:tcW w:w="401" w:type="pct"/>
            <w:vAlign w:val="center"/>
          </w:tcPr>
          <w:p w14:paraId="515474CA">
            <w:pPr>
              <w:spacing w:line="460" w:lineRule="exact"/>
              <w:rPr>
                <w:rFonts w:ascii="宋体" w:hAnsi="宋体" w:cs="宋体"/>
                <w:color w:val="auto"/>
                <w:szCs w:val="21"/>
              </w:rPr>
            </w:pPr>
            <w:r>
              <w:rPr>
                <w:rFonts w:ascii="宋体" w:hAnsi="宋体" w:cs="宋体"/>
                <w:color w:val="auto"/>
                <w:szCs w:val="21"/>
              </w:rPr>
              <w:t>5分</w:t>
            </w:r>
          </w:p>
        </w:tc>
      </w:tr>
      <w:tr w14:paraId="402D8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vMerge w:val="continue"/>
            <w:vAlign w:val="center"/>
          </w:tcPr>
          <w:p w14:paraId="6E0196CD">
            <w:pPr>
              <w:spacing w:line="460" w:lineRule="exact"/>
              <w:rPr>
                <w:rFonts w:ascii="宋体" w:hAnsi="宋体" w:cs="宋体"/>
                <w:color w:val="auto"/>
                <w:szCs w:val="21"/>
              </w:rPr>
            </w:pPr>
          </w:p>
        </w:tc>
        <w:tc>
          <w:tcPr>
            <w:tcW w:w="596" w:type="pct"/>
            <w:vMerge w:val="continue"/>
            <w:vAlign w:val="center"/>
          </w:tcPr>
          <w:p w14:paraId="7DE60CC0">
            <w:pPr>
              <w:spacing w:line="460" w:lineRule="exact"/>
              <w:rPr>
                <w:rFonts w:ascii="宋体" w:hAnsi="宋体" w:cs="宋体"/>
                <w:color w:val="auto"/>
                <w:szCs w:val="21"/>
              </w:rPr>
            </w:pPr>
          </w:p>
        </w:tc>
        <w:tc>
          <w:tcPr>
            <w:tcW w:w="3651" w:type="pct"/>
            <w:vAlign w:val="center"/>
          </w:tcPr>
          <w:p w14:paraId="25F13A75">
            <w:pPr>
              <w:spacing w:line="460" w:lineRule="exact"/>
              <w:ind w:firstLine="420" w:firstLineChars="200"/>
              <w:rPr>
                <w:rFonts w:ascii="宋体" w:hAnsi="宋体" w:cs="宋体"/>
                <w:color w:val="auto"/>
                <w:szCs w:val="21"/>
              </w:rPr>
            </w:pPr>
            <w:r>
              <w:rPr>
                <w:rFonts w:hint="eastAsia" w:ascii="宋体" w:hAnsi="宋体" w:cs="宋体"/>
                <w:color w:val="auto"/>
                <w:szCs w:val="21"/>
              </w:rPr>
              <w:t>3、服务质量保证方案</w:t>
            </w:r>
          </w:p>
          <w:p w14:paraId="4DBD5A0A">
            <w:pPr>
              <w:spacing w:line="460" w:lineRule="exact"/>
              <w:ind w:firstLine="420" w:firstLineChars="200"/>
              <w:rPr>
                <w:rFonts w:ascii="宋体" w:hAnsi="宋体" w:cs="宋体"/>
                <w:color w:val="auto"/>
                <w:szCs w:val="21"/>
              </w:rPr>
            </w:pPr>
            <w:r>
              <w:rPr>
                <w:rFonts w:hint="eastAsia" w:ascii="宋体" w:hAnsi="宋体" w:cs="宋体"/>
                <w:color w:val="auto"/>
                <w:szCs w:val="21"/>
              </w:rPr>
              <w:t>供应商应在第四章采购需求“服务质量保证方案”内容上深化，至少包含：①量化质量目标与服务承诺；②质量管理体系与控制流程；③人员质量保障与违约措施；方案优于要求的得5分，符合要求得2分，不符合要求或未提供的不得分。</w:t>
            </w:r>
          </w:p>
          <w:p w14:paraId="0F1C59B0">
            <w:pPr>
              <w:spacing w:line="460" w:lineRule="exact"/>
              <w:ind w:firstLine="420" w:firstLineChars="200"/>
              <w:rPr>
                <w:rFonts w:ascii="宋体" w:hAnsi="宋体" w:cs="宋体"/>
                <w:color w:val="auto"/>
                <w:szCs w:val="21"/>
              </w:rPr>
            </w:pPr>
            <w:r>
              <w:rPr>
                <w:rFonts w:hint="eastAsia" w:ascii="宋体" w:hAnsi="宋体" w:cs="宋体"/>
                <w:color w:val="auto"/>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p>
        </w:tc>
        <w:tc>
          <w:tcPr>
            <w:tcW w:w="401" w:type="pct"/>
            <w:vAlign w:val="center"/>
          </w:tcPr>
          <w:p w14:paraId="7D9B79B6">
            <w:pPr>
              <w:spacing w:line="460" w:lineRule="exact"/>
              <w:rPr>
                <w:rFonts w:ascii="宋体" w:hAnsi="宋体" w:cs="宋体"/>
                <w:color w:val="auto"/>
                <w:szCs w:val="21"/>
              </w:rPr>
            </w:pPr>
            <w:r>
              <w:rPr>
                <w:rFonts w:ascii="宋体" w:hAnsi="宋体" w:cs="宋体"/>
                <w:color w:val="auto"/>
                <w:szCs w:val="21"/>
              </w:rPr>
              <w:t>5分</w:t>
            </w:r>
          </w:p>
        </w:tc>
      </w:tr>
      <w:tr w14:paraId="627EC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vMerge w:val="continue"/>
            <w:vAlign w:val="center"/>
          </w:tcPr>
          <w:p w14:paraId="71A6A141">
            <w:pPr>
              <w:spacing w:line="460" w:lineRule="exact"/>
              <w:rPr>
                <w:rFonts w:ascii="宋体" w:hAnsi="宋体" w:cs="宋体"/>
                <w:color w:val="auto"/>
                <w:szCs w:val="21"/>
              </w:rPr>
            </w:pPr>
          </w:p>
        </w:tc>
        <w:tc>
          <w:tcPr>
            <w:tcW w:w="596" w:type="pct"/>
            <w:vMerge w:val="continue"/>
            <w:vAlign w:val="center"/>
          </w:tcPr>
          <w:p w14:paraId="44F33008">
            <w:pPr>
              <w:spacing w:line="460" w:lineRule="exact"/>
              <w:rPr>
                <w:rFonts w:ascii="宋体" w:hAnsi="宋体" w:cs="宋体"/>
                <w:color w:val="auto"/>
                <w:szCs w:val="21"/>
              </w:rPr>
            </w:pPr>
          </w:p>
        </w:tc>
        <w:tc>
          <w:tcPr>
            <w:tcW w:w="3651" w:type="pct"/>
            <w:vAlign w:val="center"/>
          </w:tcPr>
          <w:p w14:paraId="78F19654">
            <w:pPr>
              <w:spacing w:line="460" w:lineRule="exact"/>
              <w:ind w:firstLine="420" w:firstLineChars="200"/>
              <w:rPr>
                <w:rFonts w:ascii="宋体" w:hAnsi="宋体" w:cs="宋体"/>
                <w:color w:val="auto"/>
                <w:szCs w:val="21"/>
              </w:rPr>
            </w:pPr>
            <w:r>
              <w:rPr>
                <w:rFonts w:hint="eastAsia" w:ascii="宋体" w:hAnsi="宋体" w:cs="宋体"/>
                <w:color w:val="auto"/>
                <w:szCs w:val="21"/>
              </w:rPr>
              <w:t>4、服务承诺</w:t>
            </w:r>
          </w:p>
          <w:p w14:paraId="31525A7F">
            <w:pPr>
              <w:spacing w:line="460" w:lineRule="exact"/>
              <w:ind w:firstLine="420" w:firstLineChars="200"/>
              <w:rPr>
                <w:rFonts w:ascii="宋体" w:hAnsi="宋体" w:cs="宋体"/>
                <w:color w:val="auto"/>
                <w:szCs w:val="21"/>
              </w:rPr>
            </w:pPr>
            <w:r>
              <w:rPr>
                <w:rFonts w:hint="eastAsia" w:ascii="宋体" w:hAnsi="宋体" w:cs="宋体"/>
                <w:color w:val="auto"/>
                <w:szCs w:val="21"/>
              </w:rPr>
              <w:t>供应商应在第四章采购需求“服务承诺”内容上深化，至少包含：①服务内容承诺；②服务成果承诺；③服务时效与履约保障承诺；方案优于要求的得5分，符合要求得2分，不符合要求或未提供的不得分。</w:t>
            </w:r>
          </w:p>
          <w:p w14:paraId="5D358C1A">
            <w:pPr>
              <w:spacing w:line="460" w:lineRule="exact"/>
              <w:ind w:firstLine="420" w:firstLineChars="200"/>
              <w:rPr>
                <w:rFonts w:ascii="宋体" w:hAnsi="宋体" w:cs="宋体"/>
                <w:color w:val="auto"/>
                <w:szCs w:val="21"/>
              </w:rPr>
            </w:pPr>
            <w:r>
              <w:rPr>
                <w:rFonts w:hint="eastAsia" w:ascii="宋体" w:hAnsi="宋体" w:cs="宋体"/>
                <w:color w:val="auto"/>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p>
        </w:tc>
        <w:tc>
          <w:tcPr>
            <w:tcW w:w="401" w:type="pct"/>
            <w:vAlign w:val="center"/>
          </w:tcPr>
          <w:p w14:paraId="76EEE88E">
            <w:pPr>
              <w:spacing w:line="460" w:lineRule="exact"/>
              <w:rPr>
                <w:rFonts w:ascii="宋体" w:hAnsi="宋体" w:cs="宋体"/>
                <w:color w:val="auto"/>
                <w:szCs w:val="21"/>
              </w:rPr>
            </w:pPr>
            <w:r>
              <w:rPr>
                <w:rFonts w:ascii="宋体" w:hAnsi="宋体" w:cs="宋体"/>
                <w:color w:val="auto"/>
                <w:szCs w:val="21"/>
              </w:rPr>
              <w:t>5分</w:t>
            </w:r>
          </w:p>
        </w:tc>
      </w:tr>
      <w:tr w14:paraId="5B485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vMerge w:val="continue"/>
            <w:vAlign w:val="center"/>
          </w:tcPr>
          <w:p w14:paraId="5AF84649">
            <w:pPr>
              <w:spacing w:line="460" w:lineRule="exact"/>
              <w:rPr>
                <w:rFonts w:ascii="宋体" w:hAnsi="宋体" w:cs="宋体"/>
                <w:color w:val="auto"/>
                <w:szCs w:val="21"/>
              </w:rPr>
            </w:pPr>
          </w:p>
        </w:tc>
        <w:tc>
          <w:tcPr>
            <w:tcW w:w="596" w:type="pct"/>
            <w:vMerge w:val="continue"/>
            <w:vAlign w:val="center"/>
          </w:tcPr>
          <w:p w14:paraId="20038F6E">
            <w:pPr>
              <w:spacing w:line="460" w:lineRule="exact"/>
              <w:rPr>
                <w:rFonts w:ascii="宋体" w:hAnsi="宋体" w:cs="宋体"/>
                <w:color w:val="auto"/>
                <w:szCs w:val="21"/>
              </w:rPr>
            </w:pPr>
          </w:p>
        </w:tc>
        <w:tc>
          <w:tcPr>
            <w:tcW w:w="3651" w:type="pct"/>
            <w:vAlign w:val="center"/>
          </w:tcPr>
          <w:p w14:paraId="4A5454E0">
            <w:pPr>
              <w:spacing w:line="460" w:lineRule="exact"/>
              <w:ind w:firstLine="420" w:firstLineChars="200"/>
              <w:rPr>
                <w:rFonts w:ascii="宋体" w:hAnsi="宋体" w:cs="宋体"/>
                <w:color w:val="auto"/>
                <w:szCs w:val="21"/>
              </w:rPr>
            </w:pPr>
            <w:r>
              <w:rPr>
                <w:rFonts w:hint="eastAsia" w:ascii="宋体" w:hAnsi="宋体" w:cs="宋体"/>
                <w:color w:val="auto"/>
                <w:szCs w:val="21"/>
              </w:rPr>
              <w:t>5、应急预案</w:t>
            </w:r>
          </w:p>
          <w:p w14:paraId="5EEE08DC">
            <w:pPr>
              <w:spacing w:line="460" w:lineRule="exact"/>
              <w:ind w:firstLine="420" w:firstLineChars="200"/>
              <w:rPr>
                <w:rFonts w:ascii="宋体" w:hAnsi="宋体" w:cs="宋体"/>
                <w:color w:val="auto"/>
                <w:szCs w:val="21"/>
              </w:rPr>
            </w:pPr>
            <w:r>
              <w:rPr>
                <w:rFonts w:hint="eastAsia" w:ascii="宋体" w:hAnsi="宋体" w:cs="宋体"/>
                <w:color w:val="auto"/>
                <w:szCs w:val="21"/>
              </w:rPr>
              <w:t>供应商应在第四章采购需求“应急预案”内容上深化，至少包含：①日常意外伤害与人员失联应急处置；②境外局势与治安环境突变应急处置；③重大政策变动与不可抗力应急处置；方案优于要求的得5分，符合要求得2分，不符合要求或未提供的不得分。</w:t>
            </w:r>
          </w:p>
          <w:p w14:paraId="6D1DB723">
            <w:pPr>
              <w:spacing w:line="460" w:lineRule="exact"/>
              <w:ind w:firstLine="420" w:firstLineChars="200"/>
              <w:rPr>
                <w:rFonts w:hAnsi="宋体" w:cs="宋体"/>
                <w:color w:val="auto"/>
                <w:szCs w:val="21"/>
              </w:rPr>
            </w:pPr>
            <w:r>
              <w:rPr>
                <w:rFonts w:hint="eastAsia" w:ascii="宋体" w:hAnsi="宋体" w:cs="宋体"/>
                <w:color w:val="auto"/>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p>
        </w:tc>
        <w:tc>
          <w:tcPr>
            <w:tcW w:w="401" w:type="pct"/>
            <w:vAlign w:val="center"/>
          </w:tcPr>
          <w:p w14:paraId="72274F95">
            <w:pPr>
              <w:spacing w:line="460" w:lineRule="exact"/>
              <w:rPr>
                <w:rFonts w:ascii="宋体" w:hAnsi="宋体" w:cs="宋体"/>
                <w:color w:val="auto"/>
                <w:szCs w:val="21"/>
              </w:rPr>
            </w:pPr>
            <w:r>
              <w:rPr>
                <w:rFonts w:ascii="宋体" w:hAnsi="宋体" w:cs="宋体"/>
                <w:color w:val="auto"/>
                <w:szCs w:val="21"/>
              </w:rPr>
              <w:t>5分</w:t>
            </w:r>
          </w:p>
        </w:tc>
      </w:tr>
      <w:tr w14:paraId="67DA8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vMerge w:val="continue"/>
            <w:vAlign w:val="center"/>
          </w:tcPr>
          <w:p w14:paraId="00A7E186">
            <w:pPr>
              <w:spacing w:line="460" w:lineRule="exact"/>
              <w:rPr>
                <w:rFonts w:ascii="宋体" w:hAnsi="宋体" w:cs="宋体"/>
                <w:color w:val="auto"/>
                <w:szCs w:val="21"/>
              </w:rPr>
            </w:pPr>
          </w:p>
        </w:tc>
        <w:tc>
          <w:tcPr>
            <w:tcW w:w="596" w:type="pct"/>
            <w:vMerge w:val="continue"/>
            <w:vAlign w:val="center"/>
          </w:tcPr>
          <w:p w14:paraId="4383817C">
            <w:pPr>
              <w:spacing w:line="460" w:lineRule="exact"/>
              <w:rPr>
                <w:rFonts w:ascii="宋体" w:hAnsi="宋体" w:cs="宋体"/>
                <w:color w:val="auto"/>
                <w:szCs w:val="21"/>
              </w:rPr>
            </w:pPr>
          </w:p>
        </w:tc>
        <w:tc>
          <w:tcPr>
            <w:tcW w:w="3651" w:type="pct"/>
            <w:vAlign w:val="center"/>
          </w:tcPr>
          <w:p w14:paraId="31D3494E">
            <w:pPr>
              <w:spacing w:line="460" w:lineRule="exact"/>
              <w:ind w:firstLine="420" w:firstLineChars="200"/>
              <w:rPr>
                <w:rFonts w:ascii="宋体" w:hAnsi="宋体" w:cs="宋体"/>
                <w:color w:val="auto"/>
                <w:szCs w:val="21"/>
              </w:rPr>
            </w:pPr>
            <w:r>
              <w:rPr>
                <w:rFonts w:hint="eastAsia" w:ascii="宋体" w:hAnsi="宋体" w:cs="宋体"/>
                <w:color w:val="auto"/>
                <w:szCs w:val="21"/>
              </w:rPr>
              <w:t>6、研修人员境外管理</w:t>
            </w:r>
          </w:p>
          <w:p w14:paraId="120CF7EF">
            <w:pPr>
              <w:spacing w:line="460" w:lineRule="exact"/>
              <w:ind w:firstLine="420" w:firstLineChars="200"/>
              <w:rPr>
                <w:rFonts w:ascii="宋体" w:hAnsi="宋体" w:cs="宋体"/>
                <w:color w:val="auto"/>
                <w:szCs w:val="21"/>
              </w:rPr>
            </w:pPr>
            <w:r>
              <w:rPr>
                <w:rFonts w:hint="eastAsia" w:ascii="宋体" w:hAnsi="宋体" w:cs="宋体"/>
                <w:color w:val="auto"/>
                <w:szCs w:val="21"/>
              </w:rPr>
              <w:t>供应商应在第四章采购需求“研修人员境外管理”内容上深化，至少包含：①境外纪律与言行规范管理；②人身与健康安全管理；③证件资料与应急闭环管理；方案优于要求的得5分，符合要求得2分，不符合要求或未提供的不得分。</w:t>
            </w:r>
          </w:p>
          <w:p w14:paraId="301187B0">
            <w:pPr>
              <w:spacing w:line="460" w:lineRule="exact"/>
              <w:ind w:firstLine="420" w:firstLineChars="200"/>
              <w:rPr>
                <w:rFonts w:ascii="宋体" w:hAnsi="宋体" w:eastAsia="宋体" w:cs="宋体"/>
                <w:color w:val="auto"/>
                <w:kern w:val="0"/>
                <w:szCs w:val="21"/>
              </w:rPr>
            </w:pPr>
            <w:r>
              <w:rPr>
                <w:rFonts w:hint="eastAsia" w:ascii="宋体" w:hAnsi="宋体" w:cs="宋体"/>
                <w:color w:val="auto"/>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p>
        </w:tc>
        <w:tc>
          <w:tcPr>
            <w:tcW w:w="401" w:type="pct"/>
            <w:vAlign w:val="center"/>
          </w:tcPr>
          <w:p w14:paraId="76C46819">
            <w:pPr>
              <w:spacing w:line="460" w:lineRule="exact"/>
              <w:rPr>
                <w:rFonts w:ascii="宋体" w:hAnsi="宋体" w:cs="宋体"/>
                <w:color w:val="auto"/>
                <w:szCs w:val="21"/>
              </w:rPr>
            </w:pPr>
            <w:r>
              <w:rPr>
                <w:rFonts w:ascii="宋体" w:hAnsi="宋体" w:cs="宋体"/>
                <w:color w:val="auto"/>
                <w:szCs w:val="21"/>
              </w:rPr>
              <w:t>5分</w:t>
            </w:r>
          </w:p>
        </w:tc>
      </w:tr>
    </w:tbl>
    <w:p w14:paraId="729DB182">
      <w:pPr>
        <w:pStyle w:val="10"/>
        <w:spacing w:beforeAutospacing="0" w:afterAutospacing="0"/>
        <w:jc w:val="both"/>
        <w:rPr>
          <w:rFonts w:ascii="宋体" w:hAnsi="宋体" w:eastAsia="宋体" w:cs="宋体"/>
          <w:color w:val="auto"/>
        </w:rPr>
      </w:pPr>
    </w:p>
    <w:p w14:paraId="0BEEBA55">
      <w:pPr>
        <w:pStyle w:val="10"/>
        <w:spacing w:beforeAutospacing="0" w:afterAutospacing="0"/>
        <w:jc w:val="both"/>
        <w:rPr>
          <w:color w:val="auto"/>
        </w:rPr>
      </w:pPr>
      <w:r>
        <w:rPr>
          <w:rFonts w:hint="eastAsia" w:ascii="宋体" w:hAnsi="宋体" w:eastAsia="宋体" w:cs="宋体"/>
          <w:color w:val="auto"/>
        </w:rPr>
        <w:t> </w:t>
      </w:r>
    </w:p>
    <w:p w14:paraId="510655E1">
      <w:pPr>
        <w:pStyle w:val="10"/>
        <w:spacing w:beforeAutospacing="0" w:afterAutospacing="0"/>
        <w:jc w:val="both"/>
        <w:rPr>
          <w:rFonts w:ascii="黑体" w:hAnsi="宋体" w:eastAsia="黑体" w:cs="黑体"/>
          <w:color w:val="auto"/>
          <w:sz w:val="44"/>
          <w:szCs w:val="44"/>
        </w:rPr>
      </w:pPr>
      <w:r>
        <w:rPr>
          <w:color w:val="auto"/>
        </w:rPr>
        <w:t> </w:t>
      </w:r>
    </w:p>
    <w:p w14:paraId="1CAC00FC">
      <w:pPr>
        <w:widowControl/>
        <w:ind w:firstLine="880"/>
        <w:jc w:val="left"/>
        <w:rPr>
          <w:rFonts w:ascii="黑体" w:hAnsi="宋体" w:eastAsia="黑体" w:cs="黑体"/>
          <w:color w:val="auto"/>
          <w:kern w:val="0"/>
          <w:sz w:val="44"/>
          <w:szCs w:val="44"/>
        </w:rPr>
      </w:pPr>
      <w:r>
        <w:rPr>
          <w:rFonts w:ascii="黑体" w:hAnsi="宋体" w:eastAsia="黑体" w:cs="黑体"/>
          <w:color w:val="auto"/>
          <w:sz w:val="44"/>
          <w:szCs w:val="44"/>
        </w:rPr>
        <w:br w:type="page"/>
      </w:r>
    </w:p>
    <w:p w14:paraId="394BDBC7">
      <w:pPr>
        <w:pStyle w:val="10"/>
        <w:keepNext/>
        <w:spacing w:beforeAutospacing="0" w:afterAutospacing="0"/>
        <w:ind w:firstLine="880"/>
        <w:jc w:val="center"/>
        <w:rPr>
          <w:color w:val="auto"/>
        </w:rPr>
      </w:pPr>
      <w:r>
        <w:rPr>
          <w:rFonts w:hint="eastAsia" w:ascii="黑体" w:hAnsi="宋体" w:eastAsia="黑体" w:cs="黑体"/>
          <w:color w:val="auto"/>
          <w:sz w:val="44"/>
          <w:szCs w:val="44"/>
        </w:rPr>
        <w:t xml:space="preserve">第六章  投标文件格式 </w:t>
      </w:r>
    </w:p>
    <w:p w14:paraId="14D7A9D0">
      <w:pPr>
        <w:pStyle w:val="10"/>
        <w:spacing w:beforeAutospacing="0" w:afterAutospacing="0"/>
        <w:ind w:firstLine="1446"/>
        <w:jc w:val="center"/>
        <w:rPr>
          <w:color w:val="auto"/>
        </w:rPr>
      </w:pPr>
      <w:bookmarkStart w:id="190" w:name="_Hlt26671244"/>
      <w:bookmarkEnd w:id="190"/>
      <w:bookmarkStart w:id="191" w:name="_Hlt26955039"/>
      <w:bookmarkEnd w:id="191"/>
      <w:bookmarkStart w:id="192" w:name="_Toc26554094"/>
      <w:bookmarkEnd w:id="192"/>
      <w:bookmarkStart w:id="193" w:name="_Toc120614282"/>
      <w:bookmarkStart w:id="194" w:name="_Toc49090576"/>
      <w:r>
        <w:rPr>
          <w:rFonts w:hint="eastAsia" w:ascii="宋体" w:hAnsi="宋体" w:eastAsia="宋体" w:cs="宋体"/>
          <w:b/>
          <w:color w:val="auto"/>
          <w:sz w:val="72"/>
          <w:szCs w:val="72"/>
        </w:rPr>
        <w:t>投  标  文  件</w:t>
      </w:r>
    </w:p>
    <w:p w14:paraId="22DEB80C">
      <w:pPr>
        <w:pStyle w:val="10"/>
        <w:spacing w:beforeAutospacing="0" w:afterAutospacing="0"/>
        <w:jc w:val="center"/>
        <w:rPr>
          <w:color w:val="auto"/>
        </w:rPr>
      </w:pPr>
      <w:r>
        <w:rPr>
          <w:color w:val="auto"/>
        </w:rPr>
        <w:t> </w:t>
      </w:r>
    </w:p>
    <w:p w14:paraId="71BD0C14">
      <w:pPr>
        <w:pStyle w:val="10"/>
        <w:spacing w:beforeAutospacing="0" w:afterAutospacing="0"/>
        <w:jc w:val="center"/>
        <w:rPr>
          <w:color w:val="auto"/>
        </w:rPr>
      </w:pPr>
      <w:r>
        <w:rPr>
          <w:color w:val="auto"/>
        </w:rPr>
        <w:t> </w:t>
      </w:r>
    </w:p>
    <w:p w14:paraId="14CECC71">
      <w:pPr>
        <w:pStyle w:val="10"/>
        <w:spacing w:beforeAutospacing="0" w:afterAutospacing="0"/>
        <w:jc w:val="center"/>
        <w:rPr>
          <w:color w:val="auto"/>
        </w:rPr>
      </w:pPr>
      <w:r>
        <w:rPr>
          <w:color w:val="auto"/>
        </w:rPr>
        <w:t> </w:t>
      </w:r>
    </w:p>
    <w:p w14:paraId="6CF50948">
      <w:pPr>
        <w:pStyle w:val="10"/>
        <w:spacing w:beforeAutospacing="0" w:afterAutospacing="0"/>
        <w:jc w:val="center"/>
        <w:rPr>
          <w:color w:val="auto"/>
        </w:rPr>
      </w:pPr>
      <w:r>
        <w:rPr>
          <w:color w:val="auto"/>
        </w:rPr>
        <w:t> </w:t>
      </w:r>
    </w:p>
    <w:p w14:paraId="059E7B16">
      <w:pPr>
        <w:pStyle w:val="10"/>
        <w:spacing w:beforeAutospacing="0" w:afterAutospacing="0"/>
        <w:jc w:val="center"/>
        <w:rPr>
          <w:color w:val="auto"/>
        </w:rPr>
      </w:pPr>
      <w:r>
        <w:rPr>
          <w:color w:val="auto"/>
        </w:rPr>
        <w:t> </w:t>
      </w:r>
    </w:p>
    <w:p w14:paraId="47A79981">
      <w:pPr>
        <w:pStyle w:val="10"/>
        <w:spacing w:beforeAutospacing="0" w:afterAutospacing="0"/>
        <w:ind w:firstLine="723"/>
        <w:jc w:val="both"/>
        <w:rPr>
          <w:color w:val="auto"/>
        </w:rPr>
      </w:pPr>
      <w:r>
        <w:rPr>
          <w:rFonts w:hint="eastAsia" w:ascii="宋体" w:hAnsi="宋体" w:eastAsia="宋体" w:cs="宋体"/>
          <w:b/>
          <w:color w:val="auto"/>
          <w:sz w:val="36"/>
          <w:szCs w:val="36"/>
        </w:rPr>
        <w:t>项目 名 称：</w:t>
      </w:r>
      <w:r>
        <w:rPr>
          <w:rFonts w:hint="eastAsia" w:ascii="宋体" w:hAnsi="宋体" w:eastAsia="宋体" w:cs="宋体"/>
          <w:b/>
          <w:color w:val="auto"/>
          <w:sz w:val="36"/>
          <w:szCs w:val="36"/>
          <w:u w:val="single"/>
        </w:rPr>
        <w:t xml:space="preserve">               </w:t>
      </w:r>
    </w:p>
    <w:p w14:paraId="45010DBF">
      <w:pPr>
        <w:pStyle w:val="10"/>
        <w:spacing w:beforeAutospacing="0" w:afterAutospacing="0"/>
        <w:ind w:firstLine="723"/>
        <w:jc w:val="both"/>
        <w:rPr>
          <w:color w:val="auto"/>
        </w:rPr>
      </w:pPr>
      <w:r>
        <w:rPr>
          <w:rFonts w:hint="eastAsia" w:ascii="宋体" w:hAnsi="宋体" w:eastAsia="宋体" w:cs="宋体"/>
          <w:b/>
          <w:color w:val="auto"/>
          <w:sz w:val="36"/>
          <w:szCs w:val="36"/>
        </w:rPr>
        <w:t>项目 编 号：</w:t>
      </w:r>
      <w:r>
        <w:rPr>
          <w:rFonts w:hint="eastAsia" w:ascii="宋体" w:hAnsi="宋体" w:eastAsia="宋体" w:cs="宋体"/>
          <w:b/>
          <w:color w:val="auto"/>
          <w:sz w:val="36"/>
          <w:szCs w:val="36"/>
          <w:u w:val="single"/>
        </w:rPr>
        <w:t xml:space="preserve">               </w:t>
      </w:r>
    </w:p>
    <w:p w14:paraId="736DE0D4">
      <w:pPr>
        <w:pStyle w:val="10"/>
        <w:spacing w:beforeAutospacing="0" w:afterAutospacing="0"/>
        <w:ind w:firstLine="723"/>
        <w:jc w:val="both"/>
        <w:rPr>
          <w:color w:val="auto"/>
        </w:rPr>
      </w:pPr>
      <w:r>
        <w:rPr>
          <w:rFonts w:hint="eastAsia" w:ascii="宋体" w:hAnsi="宋体" w:eastAsia="宋体" w:cs="宋体"/>
          <w:b/>
          <w:color w:val="auto"/>
          <w:sz w:val="36"/>
          <w:szCs w:val="36"/>
        </w:rPr>
        <w:t>投标人名称 ：</w:t>
      </w:r>
      <w:r>
        <w:rPr>
          <w:rFonts w:hint="eastAsia" w:ascii="宋体" w:hAnsi="宋体" w:eastAsia="宋体" w:cs="宋体"/>
          <w:b/>
          <w:color w:val="auto"/>
          <w:sz w:val="36"/>
          <w:szCs w:val="36"/>
          <w:u w:val="single"/>
        </w:rPr>
        <w:t xml:space="preserve">（加盖CA电子公章）        </w:t>
      </w:r>
    </w:p>
    <w:p w14:paraId="3947E53D">
      <w:pPr>
        <w:pStyle w:val="10"/>
        <w:spacing w:beforeAutospacing="0" w:afterAutospacing="0"/>
        <w:ind w:firstLine="723"/>
        <w:jc w:val="both"/>
        <w:rPr>
          <w:color w:val="auto"/>
        </w:rPr>
      </w:pPr>
      <w:r>
        <w:rPr>
          <w:rFonts w:hint="eastAsia" w:ascii="宋体" w:hAnsi="宋体" w:eastAsia="宋体" w:cs="宋体"/>
          <w:b/>
          <w:color w:val="auto"/>
          <w:sz w:val="36"/>
          <w:szCs w:val="36"/>
        </w:rPr>
        <w:t>日   期 ：</w:t>
      </w:r>
      <w:r>
        <w:rPr>
          <w:rFonts w:hint="eastAsia" w:ascii="宋体" w:hAnsi="宋体" w:eastAsia="宋体" w:cs="宋体"/>
          <w:b/>
          <w:color w:val="auto"/>
          <w:sz w:val="36"/>
          <w:szCs w:val="36"/>
          <w:u w:val="single"/>
        </w:rPr>
        <w:t>                     </w:t>
      </w:r>
    </w:p>
    <w:p w14:paraId="008F6786">
      <w:pPr>
        <w:pStyle w:val="10"/>
        <w:spacing w:beforeAutospacing="0" w:afterAutospacing="0" w:line="0" w:lineRule="atLeast"/>
        <w:jc w:val="center"/>
        <w:rPr>
          <w:color w:val="auto"/>
        </w:rPr>
      </w:pPr>
      <w:r>
        <w:rPr>
          <w:color w:val="auto"/>
        </w:rPr>
        <w:t> </w:t>
      </w:r>
    </w:p>
    <w:p w14:paraId="0004A50C">
      <w:pPr>
        <w:pStyle w:val="10"/>
        <w:spacing w:beforeAutospacing="0" w:afterAutospacing="0" w:line="0" w:lineRule="atLeast"/>
        <w:jc w:val="both"/>
        <w:rPr>
          <w:color w:val="auto"/>
        </w:rPr>
      </w:pPr>
      <w:r>
        <w:rPr>
          <w:color w:val="auto"/>
        </w:rPr>
        <w:t> </w:t>
      </w:r>
    </w:p>
    <w:p w14:paraId="79EF6E88">
      <w:pPr>
        <w:pStyle w:val="10"/>
        <w:spacing w:beforeAutospacing="0" w:afterAutospacing="0" w:line="0" w:lineRule="atLeast"/>
        <w:ind w:firstLine="723"/>
        <w:jc w:val="center"/>
        <w:rPr>
          <w:rFonts w:ascii="宋体" w:hAnsi="宋体" w:eastAsia="宋体" w:cs="宋体"/>
          <w:b/>
          <w:color w:val="auto"/>
          <w:sz w:val="36"/>
          <w:szCs w:val="36"/>
          <w:u w:val="single"/>
        </w:rPr>
      </w:pPr>
    </w:p>
    <w:p w14:paraId="7FDB23BC">
      <w:pPr>
        <w:pStyle w:val="10"/>
        <w:spacing w:beforeAutospacing="0" w:afterAutospacing="0" w:line="0" w:lineRule="atLeast"/>
        <w:ind w:firstLine="723"/>
        <w:jc w:val="center"/>
        <w:rPr>
          <w:rFonts w:ascii="宋体" w:hAnsi="宋体" w:eastAsia="宋体" w:cs="宋体"/>
          <w:b/>
          <w:color w:val="auto"/>
          <w:sz w:val="36"/>
          <w:szCs w:val="36"/>
          <w:u w:val="single"/>
        </w:rPr>
      </w:pPr>
    </w:p>
    <w:p w14:paraId="535972F9">
      <w:pPr>
        <w:pStyle w:val="10"/>
        <w:spacing w:beforeAutospacing="0" w:afterAutospacing="0" w:line="0" w:lineRule="atLeast"/>
        <w:ind w:firstLine="723"/>
        <w:jc w:val="center"/>
        <w:rPr>
          <w:rFonts w:ascii="宋体" w:hAnsi="宋体" w:eastAsia="宋体" w:cs="宋体"/>
          <w:b/>
          <w:color w:val="auto"/>
          <w:sz w:val="36"/>
          <w:szCs w:val="36"/>
          <w:u w:val="single"/>
        </w:rPr>
      </w:pPr>
    </w:p>
    <w:p w14:paraId="3B5B4E47">
      <w:pPr>
        <w:pStyle w:val="10"/>
        <w:spacing w:beforeAutospacing="0" w:afterAutospacing="0" w:line="0" w:lineRule="atLeast"/>
        <w:ind w:firstLine="723"/>
        <w:jc w:val="center"/>
        <w:rPr>
          <w:rFonts w:ascii="宋体" w:hAnsi="宋体" w:eastAsia="宋体" w:cs="宋体"/>
          <w:b/>
          <w:color w:val="auto"/>
          <w:sz w:val="36"/>
          <w:szCs w:val="36"/>
          <w:u w:val="single"/>
        </w:rPr>
      </w:pPr>
    </w:p>
    <w:p w14:paraId="4F4FD738">
      <w:pPr>
        <w:pStyle w:val="10"/>
        <w:spacing w:beforeAutospacing="0" w:afterAutospacing="0" w:line="0" w:lineRule="atLeast"/>
        <w:ind w:firstLine="723"/>
        <w:jc w:val="center"/>
        <w:rPr>
          <w:rFonts w:ascii="宋体" w:hAnsi="宋体" w:eastAsia="宋体" w:cs="宋体"/>
          <w:b/>
          <w:color w:val="auto"/>
          <w:sz w:val="36"/>
          <w:szCs w:val="36"/>
          <w:u w:val="single"/>
        </w:rPr>
      </w:pPr>
    </w:p>
    <w:p w14:paraId="24537143">
      <w:pPr>
        <w:pStyle w:val="10"/>
        <w:spacing w:beforeAutospacing="0" w:afterAutospacing="0" w:line="0" w:lineRule="atLeast"/>
        <w:ind w:firstLine="723"/>
        <w:jc w:val="center"/>
        <w:rPr>
          <w:rFonts w:ascii="宋体" w:hAnsi="宋体" w:eastAsia="宋体" w:cs="宋体"/>
          <w:b/>
          <w:color w:val="auto"/>
          <w:sz w:val="36"/>
          <w:szCs w:val="36"/>
          <w:u w:val="single"/>
        </w:rPr>
      </w:pPr>
    </w:p>
    <w:p w14:paraId="6D5EFAD9">
      <w:pPr>
        <w:pStyle w:val="10"/>
        <w:spacing w:beforeAutospacing="0" w:afterAutospacing="0" w:line="0" w:lineRule="atLeast"/>
        <w:ind w:firstLine="723"/>
        <w:jc w:val="center"/>
        <w:rPr>
          <w:rFonts w:ascii="宋体" w:hAnsi="宋体" w:eastAsia="宋体" w:cs="宋体"/>
          <w:b/>
          <w:color w:val="auto"/>
          <w:sz w:val="36"/>
          <w:szCs w:val="36"/>
          <w:u w:val="single"/>
        </w:rPr>
      </w:pPr>
    </w:p>
    <w:p w14:paraId="7FF98956">
      <w:pPr>
        <w:pStyle w:val="10"/>
        <w:spacing w:beforeAutospacing="0" w:afterAutospacing="0" w:line="0" w:lineRule="atLeast"/>
        <w:ind w:firstLine="723"/>
        <w:jc w:val="center"/>
        <w:rPr>
          <w:rFonts w:ascii="宋体" w:hAnsi="宋体" w:eastAsia="宋体" w:cs="宋体"/>
          <w:b/>
          <w:color w:val="auto"/>
          <w:sz w:val="36"/>
          <w:szCs w:val="36"/>
          <w:u w:val="single"/>
        </w:rPr>
      </w:pPr>
    </w:p>
    <w:p w14:paraId="161FDDC3">
      <w:pPr>
        <w:pStyle w:val="10"/>
        <w:spacing w:beforeAutospacing="0" w:afterAutospacing="0" w:line="0" w:lineRule="atLeast"/>
        <w:ind w:firstLine="723"/>
        <w:jc w:val="center"/>
        <w:rPr>
          <w:rFonts w:ascii="宋体" w:hAnsi="宋体" w:eastAsia="宋体" w:cs="宋体"/>
          <w:b/>
          <w:color w:val="auto"/>
          <w:sz w:val="36"/>
          <w:szCs w:val="36"/>
          <w:u w:val="single"/>
        </w:rPr>
      </w:pPr>
    </w:p>
    <w:p w14:paraId="67ECDF75">
      <w:pPr>
        <w:pStyle w:val="10"/>
        <w:spacing w:beforeAutospacing="0" w:afterAutospacing="0" w:line="0" w:lineRule="atLeast"/>
        <w:ind w:firstLine="723"/>
        <w:jc w:val="center"/>
        <w:rPr>
          <w:rFonts w:ascii="宋体" w:hAnsi="宋体" w:eastAsia="宋体" w:cs="宋体"/>
          <w:b/>
          <w:color w:val="auto"/>
          <w:sz w:val="36"/>
          <w:szCs w:val="36"/>
          <w:u w:val="single"/>
        </w:rPr>
      </w:pPr>
    </w:p>
    <w:p w14:paraId="3B8F9A49">
      <w:pPr>
        <w:widowControl/>
        <w:ind w:firstLine="643"/>
        <w:jc w:val="left"/>
        <w:rPr>
          <w:rFonts w:ascii="宋体" w:hAnsi="宋体" w:eastAsia="宋体" w:cs="宋体"/>
          <w:b/>
          <w:color w:val="auto"/>
          <w:kern w:val="0"/>
          <w:sz w:val="32"/>
          <w:szCs w:val="32"/>
        </w:rPr>
      </w:pPr>
      <w:r>
        <w:rPr>
          <w:rFonts w:ascii="宋体" w:hAnsi="宋体" w:eastAsia="宋体" w:cs="宋体"/>
          <w:b/>
          <w:color w:val="auto"/>
          <w:sz w:val="32"/>
          <w:szCs w:val="32"/>
        </w:rPr>
        <w:br w:type="page"/>
      </w:r>
    </w:p>
    <w:p w14:paraId="06EE6D93">
      <w:pPr>
        <w:pStyle w:val="10"/>
        <w:spacing w:beforeAutospacing="0" w:afterAutospacing="0" w:line="0" w:lineRule="atLeast"/>
        <w:ind w:firstLine="643"/>
        <w:jc w:val="center"/>
        <w:rPr>
          <w:color w:val="auto"/>
        </w:rPr>
      </w:pPr>
      <w:r>
        <w:rPr>
          <w:rFonts w:hint="eastAsia" w:ascii="宋体" w:hAnsi="宋体" w:eastAsia="宋体" w:cs="宋体"/>
          <w:b/>
          <w:color w:val="auto"/>
          <w:sz w:val="32"/>
          <w:szCs w:val="32"/>
        </w:rPr>
        <w:t>投标文件目录</w:t>
      </w:r>
    </w:p>
    <w:p w14:paraId="30EA27C7">
      <w:pPr>
        <w:pStyle w:val="10"/>
        <w:spacing w:beforeAutospacing="0" w:afterAutospacing="0" w:line="0" w:lineRule="atLeast"/>
        <w:jc w:val="center"/>
        <w:rPr>
          <w:color w:val="auto"/>
        </w:rPr>
      </w:pPr>
      <w:r>
        <w:rPr>
          <w:color w:val="auto"/>
        </w:rPr>
        <w:t> </w:t>
      </w:r>
    </w:p>
    <w:p w14:paraId="5713C76E">
      <w:pPr>
        <w:pStyle w:val="10"/>
        <w:spacing w:beforeAutospacing="0" w:afterAutospacing="0"/>
        <w:ind w:left="480"/>
        <w:jc w:val="both"/>
        <w:rPr>
          <w:rFonts w:ascii="宋体" w:hAnsi="宋体" w:eastAsia="宋体" w:cs="宋体"/>
          <w:iCs/>
          <w:color w:val="auto"/>
        </w:rPr>
      </w:pPr>
      <w:r>
        <w:rPr>
          <w:rFonts w:hint="eastAsia" w:ascii="宋体" w:hAnsi="宋体" w:eastAsia="宋体" w:cs="宋体"/>
          <w:iCs/>
          <w:color w:val="auto"/>
        </w:rPr>
        <w:t>一、法人或者其他组织的营业执照等证明文件，自然人的身份证明</w:t>
      </w:r>
    </w:p>
    <w:p w14:paraId="0631C9D2">
      <w:pPr>
        <w:tabs>
          <w:tab w:val="left" w:pos="1331"/>
        </w:tabs>
        <w:ind w:firstLine="480" w:firstLineChars="200"/>
        <w:jc w:val="left"/>
        <w:rPr>
          <w:rFonts w:ascii="宋体" w:hAnsi="宋体" w:eastAsia="宋体" w:cs="宋体"/>
          <w:iCs/>
          <w:color w:val="auto"/>
          <w:kern w:val="0"/>
          <w:sz w:val="24"/>
        </w:rPr>
      </w:pPr>
      <w:r>
        <w:rPr>
          <w:rFonts w:hint="eastAsia" w:ascii="宋体" w:hAnsi="宋体" w:eastAsia="宋体" w:cs="宋体"/>
          <w:iCs/>
          <w:color w:val="auto"/>
          <w:kern w:val="0"/>
          <w:sz w:val="24"/>
        </w:rPr>
        <w:t>二、上一年度的财务状况报告（至少提供资产负债表、利润表、现金流量表，</w:t>
      </w:r>
    </w:p>
    <w:p w14:paraId="0C60B884">
      <w:pPr>
        <w:pStyle w:val="10"/>
        <w:spacing w:beforeAutospacing="0" w:afterAutospacing="0"/>
        <w:ind w:left="480"/>
        <w:jc w:val="both"/>
        <w:rPr>
          <w:rFonts w:ascii="宋体" w:hAnsi="宋体" w:eastAsia="宋体" w:cs="宋体"/>
          <w:iCs/>
          <w:color w:val="auto"/>
        </w:rPr>
      </w:pPr>
      <w:r>
        <w:rPr>
          <w:rFonts w:hint="eastAsia" w:ascii="宋体" w:hAnsi="宋体" w:eastAsia="宋体" w:cs="宋体"/>
          <w:iCs/>
          <w:color w:val="auto"/>
        </w:rPr>
        <w:t>投标人成立不满一年无需提供）</w:t>
      </w:r>
    </w:p>
    <w:p w14:paraId="42ACAE88">
      <w:pPr>
        <w:pStyle w:val="10"/>
        <w:spacing w:beforeAutospacing="0" w:afterAutospacing="0"/>
        <w:ind w:left="480"/>
        <w:jc w:val="both"/>
        <w:rPr>
          <w:rFonts w:ascii="宋体" w:hAnsi="宋体" w:eastAsia="宋体" w:cs="宋体"/>
          <w:iCs/>
          <w:color w:val="auto"/>
        </w:rPr>
      </w:pPr>
      <w:r>
        <w:rPr>
          <w:rFonts w:hint="eastAsia" w:ascii="宋体" w:hAnsi="宋体" w:eastAsia="宋体" w:cs="宋体"/>
          <w:iCs/>
          <w:color w:val="auto"/>
        </w:rPr>
        <w:t>三、具备履行合同所必需的设备和专业技术能力的书面声明</w:t>
      </w:r>
    </w:p>
    <w:p w14:paraId="3F988CBE">
      <w:pPr>
        <w:pStyle w:val="10"/>
        <w:spacing w:beforeAutospacing="0" w:afterAutospacing="0"/>
        <w:ind w:left="480"/>
        <w:jc w:val="both"/>
        <w:rPr>
          <w:rFonts w:ascii="宋体" w:hAnsi="宋体" w:eastAsia="宋体" w:cs="宋体"/>
          <w:iCs/>
          <w:color w:val="auto"/>
        </w:rPr>
      </w:pPr>
      <w:r>
        <w:rPr>
          <w:rFonts w:hint="eastAsia" w:ascii="宋体" w:hAnsi="宋体" w:eastAsia="宋体" w:cs="宋体"/>
          <w:iCs/>
          <w:color w:val="auto"/>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pStyle w:val="10"/>
        <w:spacing w:beforeAutospacing="0" w:afterAutospacing="0"/>
        <w:ind w:left="480"/>
        <w:jc w:val="both"/>
        <w:rPr>
          <w:rFonts w:ascii="宋体" w:hAnsi="宋体" w:eastAsia="宋体" w:cs="宋体"/>
          <w:iCs/>
          <w:color w:val="auto"/>
        </w:rPr>
      </w:pPr>
      <w:r>
        <w:rPr>
          <w:rFonts w:hint="eastAsia" w:ascii="宋体" w:hAnsi="宋体" w:eastAsia="宋体" w:cs="宋体"/>
          <w:iCs/>
          <w:color w:val="auto"/>
        </w:rPr>
        <w:t>五、参加政府采购活动前 3 年内在经营活动中没有重大违法记录的书面声明</w:t>
      </w:r>
    </w:p>
    <w:p w14:paraId="6CFBDE60">
      <w:pPr>
        <w:pStyle w:val="10"/>
        <w:spacing w:beforeAutospacing="0" w:afterAutospacing="0"/>
        <w:ind w:left="480"/>
        <w:jc w:val="both"/>
        <w:rPr>
          <w:rFonts w:ascii="宋体" w:hAnsi="宋体" w:eastAsia="宋体" w:cs="宋体"/>
          <w:iCs/>
          <w:color w:val="auto"/>
        </w:rPr>
      </w:pPr>
      <w:r>
        <w:rPr>
          <w:rFonts w:hint="eastAsia" w:ascii="宋体" w:hAnsi="宋体" w:eastAsia="宋体" w:cs="宋体"/>
          <w:iCs/>
          <w:color w:val="auto"/>
        </w:rPr>
        <w:t>六、特定资格要求的证明文件（如果本项目设置特定资格要求，则需要提供）</w:t>
      </w:r>
    </w:p>
    <w:p w14:paraId="3E3E3867">
      <w:pPr>
        <w:pStyle w:val="10"/>
        <w:spacing w:beforeAutospacing="0" w:afterAutospacing="0"/>
        <w:ind w:left="480"/>
        <w:jc w:val="both"/>
        <w:rPr>
          <w:rFonts w:ascii="宋体" w:hAnsi="宋体" w:eastAsia="宋体" w:cs="宋体"/>
          <w:iCs/>
          <w:color w:val="auto"/>
        </w:rPr>
      </w:pPr>
      <w:r>
        <w:rPr>
          <w:rFonts w:hint="eastAsia" w:ascii="宋体" w:hAnsi="宋体" w:eastAsia="宋体" w:cs="宋体"/>
          <w:iCs/>
          <w:color w:val="auto"/>
        </w:rPr>
        <w:t>七、法人授权书</w:t>
      </w:r>
    </w:p>
    <w:p w14:paraId="3BDE6B94">
      <w:pPr>
        <w:pStyle w:val="10"/>
        <w:spacing w:beforeAutospacing="0" w:afterAutospacing="0"/>
        <w:ind w:left="480"/>
        <w:jc w:val="both"/>
        <w:rPr>
          <w:rFonts w:ascii="宋体" w:hAnsi="宋体" w:eastAsia="宋体" w:cs="宋体"/>
          <w:iCs/>
          <w:color w:val="auto"/>
        </w:rPr>
      </w:pPr>
      <w:r>
        <w:rPr>
          <w:rFonts w:hint="eastAsia" w:ascii="宋体" w:hAnsi="宋体" w:eastAsia="宋体" w:cs="宋体"/>
          <w:iCs/>
          <w:color w:val="auto"/>
        </w:rPr>
        <w:t>八、投标函</w:t>
      </w:r>
    </w:p>
    <w:p w14:paraId="5FEA8D1E">
      <w:pPr>
        <w:pStyle w:val="10"/>
        <w:spacing w:beforeAutospacing="0" w:afterAutospacing="0" w:line="0" w:lineRule="atLeast"/>
        <w:ind w:firstLine="480"/>
        <w:jc w:val="both"/>
        <w:rPr>
          <w:rFonts w:ascii="宋体" w:hAnsi="宋体" w:eastAsia="宋体" w:cs="宋体"/>
          <w:iCs/>
          <w:color w:val="auto"/>
        </w:rPr>
      </w:pPr>
      <w:r>
        <w:rPr>
          <w:rFonts w:hint="eastAsia" w:ascii="宋体" w:hAnsi="宋体" w:eastAsia="宋体" w:cs="宋体"/>
          <w:iCs/>
          <w:color w:val="auto"/>
        </w:rPr>
        <w:t>九、中小企业声明函</w:t>
      </w:r>
    </w:p>
    <w:p w14:paraId="4D58AB9A">
      <w:pPr>
        <w:pStyle w:val="10"/>
        <w:spacing w:beforeAutospacing="0" w:afterAutospacing="0" w:line="0" w:lineRule="atLeast"/>
        <w:ind w:firstLine="480"/>
        <w:jc w:val="both"/>
        <w:rPr>
          <w:rFonts w:ascii="宋体" w:hAnsi="宋体" w:eastAsia="宋体" w:cs="宋体"/>
          <w:iCs/>
          <w:color w:val="auto"/>
        </w:rPr>
      </w:pPr>
      <w:r>
        <w:rPr>
          <w:rFonts w:hint="eastAsia" w:ascii="宋体" w:hAnsi="宋体" w:eastAsia="宋体" w:cs="宋体"/>
          <w:iCs/>
          <w:color w:val="auto"/>
        </w:rPr>
        <w:t>十、残疾人福利性单位声明函</w:t>
      </w:r>
    </w:p>
    <w:p w14:paraId="36EABC97">
      <w:pPr>
        <w:pStyle w:val="10"/>
        <w:spacing w:beforeAutospacing="0" w:afterAutospacing="0" w:line="0" w:lineRule="atLeast"/>
        <w:ind w:firstLine="480"/>
        <w:jc w:val="both"/>
        <w:rPr>
          <w:rFonts w:ascii="宋体" w:hAnsi="宋体" w:eastAsia="宋体" w:cs="宋体"/>
          <w:iCs/>
          <w:color w:val="auto"/>
        </w:rPr>
      </w:pPr>
      <w:r>
        <w:rPr>
          <w:rFonts w:hint="eastAsia" w:ascii="宋体" w:hAnsi="宋体" w:eastAsia="宋体" w:cs="宋体"/>
          <w:iCs/>
          <w:color w:val="auto"/>
        </w:rPr>
        <w:t>十一、投标分项报价表</w:t>
      </w:r>
    </w:p>
    <w:p w14:paraId="260078DA">
      <w:pPr>
        <w:pStyle w:val="10"/>
        <w:spacing w:beforeAutospacing="0" w:afterAutospacing="0" w:line="0" w:lineRule="atLeast"/>
        <w:ind w:firstLine="480"/>
        <w:jc w:val="both"/>
        <w:rPr>
          <w:rFonts w:ascii="宋体" w:hAnsi="宋体" w:eastAsia="宋体" w:cs="宋体"/>
          <w:iCs/>
          <w:color w:val="auto"/>
        </w:rPr>
      </w:pPr>
      <w:r>
        <w:rPr>
          <w:rFonts w:hint="eastAsia" w:ascii="宋体" w:hAnsi="宋体" w:eastAsia="宋体" w:cs="宋体"/>
          <w:iCs/>
          <w:color w:val="auto"/>
        </w:rPr>
        <w:t>十二、技术要求响应及偏离表</w:t>
      </w:r>
    </w:p>
    <w:p w14:paraId="7D69B72A">
      <w:pPr>
        <w:pStyle w:val="10"/>
        <w:spacing w:beforeAutospacing="0" w:afterAutospacing="0" w:line="0" w:lineRule="atLeast"/>
        <w:ind w:firstLine="480"/>
        <w:jc w:val="both"/>
        <w:rPr>
          <w:rFonts w:ascii="宋体" w:hAnsi="宋体" w:eastAsia="宋体" w:cs="宋体"/>
          <w:iCs/>
          <w:color w:val="auto"/>
        </w:rPr>
      </w:pPr>
      <w:r>
        <w:rPr>
          <w:rFonts w:hint="eastAsia" w:ascii="宋体" w:hAnsi="宋体" w:eastAsia="宋体" w:cs="宋体"/>
          <w:iCs/>
          <w:color w:val="auto"/>
        </w:rPr>
        <w:t>十三、商务要求响应及偏离表</w:t>
      </w:r>
    </w:p>
    <w:p w14:paraId="48EFFF5A">
      <w:pPr>
        <w:pStyle w:val="10"/>
        <w:spacing w:beforeAutospacing="0" w:afterAutospacing="0"/>
        <w:ind w:left="480"/>
        <w:jc w:val="both"/>
        <w:rPr>
          <w:rFonts w:ascii="宋体" w:hAnsi="宋体" w:eastAsia="宋体" w:cs="宋体"/>
          <w:iCs/>
          <w:color w:val="auto"/>
        </w:rPr>
      </w:pPr>
      <w:r>
        <w:rPr>
          <w:rFonts w:hint="eastAsia" w:ascii="宋体" w:hAnsi="宋体" w:eastAsia="宋体" w:cs="宋体"/>
          <w:iCs/>
          <w:color w:val="auto"/>
        </w:rPr>
        <w:t>十四、开标一览表</w:t>
      </w:r>
    </w:p>
    <w:p w14:paraId="161CCAB1">
      <w:pPr>
        <w:widowControl/>
        <w:spacing w:before="50" w:after="50"/>
        <w:ind w:firstLine="480" w:firstLineChars="200"/>
        <w:rPr>
          <w:rFonts w:ascii="宋体" w:hAnsi="宋体" w:eastAsia="宋体" w:cs="宋体"/>
          <w:iCs/>
          <w:color w:val="auto"/>
          <w:kern w:val="0"/>
          <w:sz w:val="24"/>
        </w:rPr>
      </w:pPr>
      <w:r>
        <w:rPr>
          <w:rFonts w:hint="eastAsia" w:ascii="宋体" w:hAnsi="宋体" w:eastAsia="宋体" w:cs="宋体"/>
          <w:iCs/>
          <w:color w:val="auto"/>
          <w:kern w:val="0"/>
          <w:sz w:val="24"/>
        </w:rPr>
        <w:t>十五、技术方案、服务承诺、培训承诺等</w:t>
      </w:r>
    </w:p>
    <w:p w14:paraId="138E25DE">
      <w:pPr>
        <w:pStyle w:val="10"/>
        <w:spacing w:beforeAutospacing="0" w:afterAutospacing="0" w:line="360" w:lineRule="auto"/>
        <w:ind w:firstLine="480"/>
        <w:jc w:val="both"/>
        <w:rPr>
          <w:rFonts w:ascii="宋体" w:hAnsi="宋体" w:eastAsia="宋体" w:cs="宋体"/>
          <w:iCs/>
          <w:color w:val="auto"/>
        </w:rPr>
      </w:pPr>
      <w:r>
        <w:rPr>
          <w:rFonts w:hint="eastAsia" w:ascii="宋体" w:hAnsi="宋体" w:eastAsia="宋体" w:cs="宋体"/>
          <w:iCs/>
          <w:color w:val="auto"/>
        </w:rPr>
        <w:t>十六、盐城市政府采购事前信用承诺书</w:t>
      </w:r>
    </w:p>
    <w:p w14:paraId="2B4328CE">
      <w:pPr>
        <w:pStyle w:val="10"/>
        <w:spacing w:beforeAutospacing="0" w:afterAutospacing="0" w:line="0" w:lineRule="atLeast"/>
        <w:ind w:firstLine="480"/>
        <w:jc w:val="both"/>
        <w:rPr>
          <w:rFonts w:ascii="宋体" w:hAnsi="宋体" w:eastAsia="宋体" w:cs="宋体"/>
          <w:color w:val="auto"/>
        </w:rPr>
      </w:pPr>
    </w:p>
    <w:p w14:paraId="77C0513D">
      <w:pPr>
        <w:pStyle w:val="10"/>
        <w:spacing w:beforeAutospacing="0" w:afterAutospacing="0" w:line="0" w:lineRule="atLeast"/>
        <w:ind w:firstLine="480"/>
        <w:jc w:val="both"/>
        <w:rPr>
          <w:rFonts w:ascii="宋体" w:hAnsi="宋体" w:eastAsia="宋体" w:cs="宋体"/>
          <w:color w:val="auto"/>
        </w:rPr>
      </w:pPr>
    </w:p>
    <w:p w14:paraId="28A2EEB9">
      <w:pPr>
        <w:pStyle w:val="10"/>
        <w:spacing w:beforeAutospacing="0" w:afterAutospacing="0" w:line="0" w:lineRule="atLeast"/>
        <w:ind w:firstLine="480"/>
        <w:jc w:val="both"/>
        <w:rPr>
          <w:color w:val="auto"/>
        </w:rPr>
      </w:pPr>
      <w:r>
        <w:rPr>
          <w:color w:val="auto"/>
        </w:rPr>
        <w:t> </w:t>
      </w:r>
    </w:p>
    <w:p w14:paraId="400734C6">
      <w:pPr>
        <w:pStyle w:val="10"/>
        <w:spacing w:beforeAutospacing="0" w:afterAutospacing="0" w:line="0" w:lineRule="atLeast"/>
        <w:ind w:firstLine="480"/>
        <w:jc w:val="both"/>
        <w:rPr>
          <w:color w:val="auto"/>
        </w:rPr>
      </w:pPr>
      <w:r>
        <w:rPr>
          <w:color w:val="auto"/>
        </w:rPr>
        <w:t> </w:t>
      </w:r>
    </w:p>
    <w:p w14:paraId="41206A44">
      <w:pPr>
        <w:pStyle w:val="10"/>
        <w:spacing w:beforeAutospacing="0" w:afterAutospacing="0" w:line="0" w:lineRule="atLeast"/>
        <w:ind w:firstLine="480"/>
        <w:jc w:val="both"/>
        <w:rPr>
          <w:color w:val="auto"/>
        </w:rPr>
      </w:pPr>
      <w:r>
        <w:rPr>
          <w:color w:val="auto"/>
        </w:rPr>
        <w:t> </w:t>
      </w:r>
    </w:p>
    <w:p w14:paraId="7E08E7EC">
      <w:pPr>
        <w:pStyle w:val="10"/>
        <w:spacing w:beforeAutospacing="0" w:afterAutospacing="0" w:line="0" w:lineRule="atLeast"/>
        <w:ind w:firstLine="480"/>
        <w:jc w:val="both"/>
        <w:rPr>
          <w:color w:val="auto"/>
        </w:rPr>
      </w:pPr>
      <w:r>
        <w:rPr>
          <w:color w:val="auto"/>
        </w:rPr>
        <w:t> </w:t>
      </w:r>
    </w:p>
    <w:p w14:paraId="22FD2207">
      <w:pPr>
        <w:pStyle w:val="10"/>
        <w:spacing w:beforeAutospacing="0" w:afterAutospacing="0" w:line="0" w:lineRule="atLeast"/>
        <w:ind w:firstLine="480"/>
        <w:jc w:val="both"/>
        <w:rPr>
          <w:color w:val="auto"/>
        </w:rPr>
      </w:pPr>
    </w:p>
    <w:p w14:paraId="5C7EF343">
      <w:pPr>
        <w:pStyle w:val="10"/>
        <w:spacing w:beforeAutospacing="0" w:afterAutospacing="0" w:line="0" w:lineRule="atLeast"/>
        <w:ind w:firstLine="480"/>
        <w:jc w:val="both"/>
        <w:rPr>
          <w:color w:val="auto"/>
        </w:rPr>
      </w:pPr>
    </w:p>
    <w:p w14:paraId="36B01A60">
      <w:pPr>
        <w:pStyle w:val="10"/>
        <w:spacing w:beforeAutospacing="0" w:afterAutospacing="0" w:line="0" w:lineRule="atLeast"/>
        <w:ind w:firstLine="480"/>
        <w:jc w:val="both"/>
        <w:rPr>
          <w:color w:val="auto"/>
        </w:rPr>
      </w:pPr>
    </w:p>
    <w:p w14:paraId="02254F24">
      <w:pPr>
        <w:pStyle w:val="10"/>
        <w:spacing w:beforeAutospacing="0" w:afterAutospacing="0" w:line="0" w:lineRule="atLeast"/>
        <w:ind w:firstLine="480"/>
        <w:jc w:val="both"/>
        <w:rPr>
          <w:color w:val="auto"/>
        </w:rPr>
      </w:pPr>
    </w:p>
    <w:p w14:paraId="4AB0D669">
      <w:pPr>
        <w:pStyle w:val="10"/>
        <w:spacing w:beforeAutospacing="0" w:afterAutospacing="0" w:line="0" w:lineRule="atLeast"/>
        <w:ind w:firstLine="480"/>
        <w:jc w:val="both"/>
        <w:rPr>
          <w:color w:val="auto"/>
        </w:rPr>
      </w:pPr>
    </w:p>
    <w:p w14:paraId="083788F3">
      <w:pPr>
        <w:pStyle w:val="10"/>
        <w:spacing w:beforeAutospacing="0" w:afterAutospacing="0" w:line="0" w:lineRule="atLeast"/>
        <w:ind w:firstLine="480"/>
        <w:jc w:val="both"/>
        <w:rPr>
          <w:color w:val="auto"/>
        </w:rPr>
      </w:pPr>
    </w:p>
    <w:p w14:paraId="1EC8B59E">
      <w:pPr>
        <w:pStyle w:val="10"/>
        <w:spacing w:beforeAutospacing="0" w:afterAutospacing="0" w:line="0" w:lineRule="atLeast"/>
        <w:ind w:firstLine="480"/>
        <w:jc w:val="both"/>
        <w:rPr>
          <w:color w:val="auto"/>
        </w:rPr>
      </w:pPr>
    </w:p>
    <w:p w14:paraId="02056A74">
      <w:pPr>
        <w:pStyle w:val="10"/>
        <w:spacing w:beforeAutospacing="0" w:afterAutospacing="0" w:line="0" w:lineRule="atLeast"/>
        <w:ind w:firstLine="480"/>
        <w:jc w:val="both"/>
        <w:rPr>
          <w:color w:val="auto"/>
        </w:rPr>
      </w:pPr>
    </w:p>
    <w:p w14:paraId="220C742C">
      <w:pPr>
        <w:pStyle w:val="10"/>
        <w:spacing w:beforeAutospacing="0" w:afterAutospacing="0" w:line="0" w:lineRule="atLeast"/>
        <w:ind w:firstLine="480"/>
        <w:jc w:val="both"/>
        <w:rPr>
          <w:color w:val="auto"/>
        </w:rPr>
      </w:pPr>
    </w:p>
    <w:p w14:paraId="19D49FFD">
      <w:pPr>
        <w:pStyle w:val="10"/>
        <w:spacing w:beforeAutospacing="0" w:afterAutospacing="0" w:line="0" w:lineRule="atLeast"/>
        <w:ind w:firstLine="480"/>
        <w:jc w:val="both"/>
        <w:rPr>
          <w:color w:val="auto"/>
        </w:rPr>
      </w:pPr>
    </w:p>
    <w:p w14:paraId="5593769B">
      <w:pPr>
        <w:pStyle w:val="10"/>
        <w:spacing w:beforeAutospacing="0" w:afterAutospacing="0" w:line="0" w:lineRule="atLeast"/>
        <w:ind w:firstLine="480"/>
        <w:jc w:val="both"/>
        <w:rPr>
          <w:color w:val="auto"/>
        </w:rPr>
      </w:pPr>
    </w:p>
    <w:p w14:paraId="75F6EE61">
      <w:pPr>
        <w:pStyle w:val="10"/>
        <w:spacing w:beforeAutospacing="0" w:afterAutospacing="0" w:line="0" w:lineRule="atLeast"/>
        <w:ind w:firstLine="480"/>
        <w:jc w:val="both"/>
        <w:rPr>
          <w:color w:val="auto"/>
        </w:rPr>
      </w:pPr>
    </w:p>
    <w:p w14:paraId="31558438">
      <w:pPr>
        <w:pStyle w:val="10"/>
        <w:spacing w:beforeAutospacing="0" w:afterAutospacing="0" w:line="0" w:lineRule="atLeast"/>
        <w:ind w:firstLine="480"/>
        <w:jc w:val="both"/>
        <w:rPr>
          <w:color w:val="auto"/>
        </w:rPr>
      </w:pPr>
    </w:p>
    <w:p w14:paraId="28CCB0B1">
      <w:pPr>
        <w:pStyle w:val="10"/>
        <w:spacing w:beforeAutospacing="0" w:afterAutospacing="0" w:line="0" w:lineRule="atLeast"/>
        <w:ind w:firstLine="480"/>
        <w:jc w:val="both"/>
        <w:rPr>
          <w:color w:val="auto"/>
        </w:rPr>
      </w:pPr>
    </w:p>
    <w:p w14:paraId="69E86489">
      <w:pPr>
        <w:pStyle w:val="10"/>
        <w:spacing w:beforeAutospacing="0" w:afterAutospacing="0" w:line="0" w:lineRule="atLeast"/>
        <w:ind w:firstLine="480"/>
        <w:jc w:val="both"/>
        <w:rPr>
          <w:color w:val="auto"/>
        </w:rPr>
      </w:pPr>
      <w:r>
        <w:rPr>
          <w:color w:val="auto"/>
        </w:rPr>
        <w:t> </w:t>
      </w:r>
    </w:p>
    <w:p w14:paraId="583B5796">
      <w:pPr>
        <w:pStyle w:val="10"/>
        <w:spacing w:beforeAutospacing="0" w:afterAutospacing="0" w:line="0" w:lineRule="atLeast"/>
        <w:ind w:firstLine="480"/>
        <w:jc w:val="both"/>
        <w:rPr>
          <w:color w:val="auto"/>
        </w:rPr>
      </w:pPr>
      <w:r>
        <w:rPr>
          <w:color w:val="auto"/>
        </w:rPr>
        <w:t> </w:t>
      </w:r>
    </w:p>
    <w:p w14:paraId="65A71E3F">
      <w:pPr>
        <w:pStyle w:val="10"/>
        <w:spacing w:beforeAutospacing="0" w:afterAutospacing="0" w:line="0" w:lineRule="atLeast"/>
        <w:ind w:firstLine="480"/>
        <w:jc w:val="both"/>
        <w:rPr>
          <w:color w:val="auto"/>
        </w:rPr>
      </w:pPr>
      <w:r>
        <w:rPr>
          <w:color w:val="auto"/>
        </w:rPr>
        <w:t> </w:t>
      </w:r>
    </w:p>
    <w:p w14:paraId="4A7AD10E">
      <w:pPr>
        <w:pStyle w:val="10"/>
        <w:spacing w:beforeAutospacing="0" w:afterAutospacing="0" w:line="0" w:lineRule="atLeast"/>
        <w:ind w:firstLine="480"/>
        <w:jc w:val="both"/>
        <w:rPr>
          <w:color w:val="auto"/>
        </w:rPr>
      </w:pPr>
      <w:r>
        <w:rPr>
          <w:color w:val="auto"/>
        </w:rPr>
        <w:t> </w:t>
      </w:r>
    </w:p>
    <w:p w14:paraId="3AFD48EA">
      <w:pPr>
        <w:pStyle w:val="10"/>
        <w:spacing w:beforeAutospacing="0" w:afterAutospacing="0"/>
        <w:ind w:firstLine="640"/>
        <w:jc w:val="both"/>
        <w:rPr>
          <w:color w:val="auto"/>
        </w:rPr>
      </w:pPr>
      <w:r>
        <w:rPr>
          <w:rFonts w:hint="eastAsia" w:ascii="黑体" w:hAnsi="宋体" w:eastAsia="黑体" w:cs="黑体"/>
          <w:i/>
          <w:color w:val="auto"/>
          <w:sz w:val="32"/>
          <w:szCs w:val="32"/>
          <w:u w:val="single"/>
        </w:rPr>
        <w:t>一、法人或者其他组织的营业执照等证明文件，自然人的身份证明</w:t>
      </w:r>
    </w:p>
    <w:p w14:paraId="20683007">
      <w:pPr>
        <w:pStyle w:val="10"/>
        <w:spacing w:beforeAutospacing="0" w:afterAutospacing="0" w:line="0" w:lineRule="atLeast"/>
        <w:ind w:firstLine="480"/>
        <w:jc w:val="both"/>
        <w:rPr>
          <w:color w:val="auto"/>
        </w:rPr>
      </w:pPr>
      <w:r>
        <w:rPr>
          <w:color w:val="auto"/>
        </w:rPr>
        <w:t> </w:t>
      </w:r>
    </w:p>
    <w:p w14:paraId="31F29E3F">
      <w:pPr>
        <w:pStyle w:val="10"/>
        <w:spacing w:beforeAutospacing="0" w:afterAutospacing="0"/>
        <w:ind w:firstLine="640"/>
        <w:jc w:val="both"/>
        <w:rPr>
          <w:rFonts w:eastAsia="黑体"/>
          <w:color w:val="auto"/>
        </w:rPr>
      </w:pPr>
      <w:r>
        <w:rPr>
          <w:rFonts w:hint="eastAsia" w:ascii="黑体" w:hAnsi="宋体" w:eastAsia="黑体" w:cs="黑体"/>
          <w:i/>
          <w:color w:val="auto"/>
          <w:sz w:val="32"/>
          <w:szCs w:val="32"/>
          <w:u w:val="single"/>
        </w:rPr>
        <w:t>二、上一年度的财务状况报告</w:t>
      </w:r>
    </w:p>
    <w:p w14:paraId="057FE733">
      <w:pPr>
        <w:tabs>
          <w:tab w:val="left" w:pos="1331"/>
        </w:tabs>
        <w:jc w:val="left"/>
        <w:rPr>
          <w:rFonts w:ascii="宋体" w:hAnsi="宋体" w:eastAsia="宋体" w:cs="宋体"/>
          <w:iCs/>
          <w:color w:val="auto"/>
          <w:kern w:val="0"/>
          <w:sz w:val="24"/>
        </w:rPr>
      </w:pPr>
      <w:r>
        <w:rPr>
          <w:rFonts w:hint="eastAsia" w:ascii="宋体" w:hAnsi="宋体" w:eastAsia="宋体" w:cs="宋体"/>
          <w:iCs/>
          <w:color w:val="auto"/>
          <w:kern w:val="0"/>
          <w:sz w:val="24"/>
        </w:rPr>
        <w:t>（至少提供资产负债表、利润表、现金流量表，投标人成立不满一年无需提供）</w:t>
      </w:r>
    </w:p>
    <w:p w14:paraId="4778C699">
      <w:pPr>
        <w:pStyle w:val="10"/>
        <w:spacing w:beforeAutospacing="0" w:afterAutospacing="0" w:line="0" w:lineRule="atLeast"/>
        <w:ind w:firstLine="480"/>
        <w:jc w:val="both"/>
        <w:rPr>
          <w:color w:val="auto"/>
        </w:rPr>
      </w:pPr>
    </w:p>
    <w:p w14:paraId="25FFB547">
      <w:pPr>
        <w:pStyle w:val="10"/>
        <w:spacing w:beforeAutospacing="0" w:afterAutospacing="0"/>
        <w:jc w:val="both"/>
        <w:rPr>
          <w:color w:val="auto"/>
        </w:rPr>
      </w:pPr>
      <w:r>
        <w:rPr>
          <w:color w:val="auto"/>
        </w:rPr>
        <w:t> </w:t>
      </w:r>
    </w:p>
    <w:p w14:paraId="63180049">
      <w:pPr>
        <w:pStyle w:val="10"/>
        <w:spacing w:beforeAutospacing="0" w:afterAutospacing="0"/>
        <w:jc w:val="both"/>
        <w:rPr>
          <w:color w:val="auto"/>
        </w:rPr>
      </w:pPr>
      <w:r>
        <w:rPr>
          <w:color w:val="auto"/>
        </w:rPr>
        <w:t> </w:t>
      </w:r>
    </w:p>
    <w:p w14:paraId="7F1E7E29">
      <w:pPr>
        <w:pStyle w:val="10"/>
        <w:spacing w:beforeAutospacing="0" w:afterAutospacing="0"/>
        <w:ind w:firstLine="640"/>
        <w:jc w:val="both"/>
        <w:rPr>
          <w:color w:val="auto"/>
        </w:rPr>
      </w:pPr>
      <w:r>
        <w:rPr>
          <w:rFonts w:hint="eastAsia" w:ascii="黑体" w:hAnsi="宋体" w:eastAsia="黑体" w:cs="黑体"/>
          <w:i/>
          <w:color w:val="auto"/>
          <w:sz w:val="32"/>
          <w:szCs w:val="32"/>
          <w:u w:val="single"/>
        </w:rPr>
        <w:t>三、具备履行合同所必需的设备和专业技术能力的书面声明</w:t>
      </w:r>
    </w:p>
    <w:p w14:paraId="472E9ABD">
      <w:pPr>
        <w:pStyle w:val="10"/>
        <w:spacing w:beforeAutospacing="0" w:afterAutospacing="0" w:line="0" w:lineRule="atLeast"/>
        <w:ind w:firstLine="480"/>
        <w:jc w:val="both"/>
        <w:rPr>
          <w:color w:val="auto"/>
        </w:rPr>
      </w:pPr>
      <w:r>
        <w:rPr>
          <w:rFonts w:hint="eastAsia" w:ascii="宋体" w:hAnsi="宋体" w:eastAsia="宋体" w:cs="宋体"/>
          <w:color w:val="auto"/>
        </w:rPr>
        <w:t>我单位郑重声明：我单位具备履行本项采购合同所必需的设备和专业技术能力，为履行本项采购合同我公司具备如下主要设备和主要专业技术能力：</w:t>
      </w:r>
    </w:p>
    <w:p w14:paraId="2987A767">
      <w:pPr>
        <w:pStyle w:val="10"/>
        <w:spacing w:beforeAutospacing="0" w:afterAutospacing="0" w:line="0" w:lineRule="atLeast"/>
        <w:ind w:firstLine="480"/>
        <w:jc w:val="both"/>
        <w:rPr>
          <w:color w:val="auto"/>
        </w:rPr>
      </w:pPr>
      <w:r>
        <w:rPr>
          <w:rFonts w:hint="eastAsia" w:ascii="宋体" w:hAnsi="宋体" w:eastAsia="宋体" w:cs="宋体"/>
          <w:color w:val="auto"/>
        </w:rPr>
        <w:t>主要设备有：</w:t>
      </w:r>
      <w:r>
        <w:rPr>
          <w:rFonts w:hint="eastAsia" w:ascii="宋体" w:hAnsi="宋体" w:eastAsia="宋体" w:cs="宋体"/>
          <w:color w:val="auto"/>
          <w:u w:val="single"/>
        </w:rPr>
        <w:t xml:space="preserve">  </w:t>
      </w:r>
      <w:r>
        <w:rPr>
          <w:rFonts w:hint="eastAsia" w:ascii="宋体" w:hAnsi="宋体" w:eastAsia="宋体" w:cs="宋体"/>
          <w:color w:val="auto"/>
        </w:rPr>
        <w:t>。</w:t>
      </w:r>
    </w:p>
    <w:p w14:paraId="3BCA7677">
      <w:pPr>
        <w:pStyle w:val="10"/>
        <w:spacing w:beforeAutospacing="0" w:afterAutospacing="0"/>
        <w:jc w:val="both"/>
        <w:rPr>
          <w:rFonts w:ascii="宋体" w:hAnsi="宋体" w:eastAsia="宋体" w:cs="宋体"/>
          <w:color w:val="auto"/>
        </w:rPr>
      </w:pPr>
      <w:r>
        <w:rPr>
          <w:rFonts w:hint="eastAsia" w:ascii="宋体" w:hAnsi="宋体" w:eastAsia="宋体" w:cs="宋体"/>
          <w:color w:val="auto"/>
        </w:rPr>
        <w:t>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w:t>
      </w:r>
    </w:p>
    <w:p w14:paraId="7E763E7C">
      <w:pPr>
        <w:pStyle w:val="10"/>
        <w:spacing w:beforeAutospacing="0" w:afterAutospacing="0"/>
        <w:ind w:firstLine="640"/>
        <w:jc w:val="both"/>
        <w:rPr>
          <w:color w:val="auto"/>
        </w:rPr>
      </w:pPr>
      <w:r>
        <w:rPr>
          <w:rFonts w:hint="eastAsia" w:ascii="黑体" w:hAnsi="宋体" w:eastAsia="黑体" w:cs="黑体"/>
          <w:i/>
          <w:color w:val="auto"/>
          <w:sz w:val="32"/>
          <w:szCs w:val="32"/>
          <w:u w:val="single"/>
        </w:rPr>
        <w:t>四、依法缴纳税收和社会保障资金的相关材料</w:t>
      </w:r>
    </w:p>
    <w:p w14:paraId="573B755F">
      <w:pPr>
        <w:pStyle w:val="10"/>
        <w:spacing w:beforeAutospacing="0" w:afterAutospacing="0"/>
        <w:ind w:firstLine="480"/>
        <w:jc w:val="both"/>
        <w:rPr>
          <w:color w:val="auto"/>
        </w:rPr>
      </w:pPr>
      <w:bookmarkStart w:id="195" w:name="_Toc120614284"/>
      <w:r>
        <w:rPr>
          <w:rFonts w:hint="eastAsia" w:ascii="宋体" w:hAnsi="宋体" w:eastAsia="宋体" w:cs="宋体"/>
          <w:color w:val="auto"/>
        </w:rPr>
        <w:t>提供提交投标文件截止时间前一年内至少一个月依法缴纳税收及缴纳社会保障资金的证明材料。投标人依法享受缓缴、免缴税收、社会保障资金的提供证明材料。</w:t>
      </w:r>
      <w:bookmarkEnd w:id="195"/>
    </w:p>
    <w:p w14:paraId="363F6DD6">
      <w:pPr>
        <w:pStyle w:val="10"/>
        <w:spacing w:beforeAutospacing="0" w:afterAutospacing="0"/>
        <w:ind w:firstLine="640"/>
        <w:jc w:val="both"/>
        <w:rPr>
          <w:color w:val="auto"/>
        </w:rPr>
      </w:pPr>
      <w:r>
        <w:rPr>
          <w:rFonts w:hint="eastAsia" w:ascii="黑体" w:hAnsi="宋体" w:eastAsia="黑体" w:cs="黑体"/>
          <w:i/>
          <w:color w:val="auto"/>
          <w:sz w:val="32"/>
          <w:szCs w:val="32"/>
          <w:u w:val="single"/>
        </w:rPr>
        <w:t>五、参加政府采购活动前 3 年内在经营活动中没有重大违法记录的书面声明</w:t>
      </w:r>
    </w:p>
    <w:p w14:paraId="493AC879">
      <w:pPr>
        <w:pStyle w:val="10"/>
        <w:spacing w:beforeAutospacing="0" w:afterAutospacing="0" w:line="0" w:lineRule="atLeast"/>
        <w:ind w:firstLine="883"/>
        <w:jc w:val="both"/>
        <w:rPr>
          <w:color w:val="auto"/>
        </w:rPr>
      </w:pPr>
      <w:r>
        <w:rPr>
          <w:rFonts w:hint="eastAsia" w:ascii="宋体" w:hAnsi="宋体" w:eastAsia="宋体" w:cs="宋体"/>
          <w:b/>
          <w:color w:val="auto"/>
          <w:sz w:val="44"/>
          <w:szCs w:val="44"/>
        </w:rPr>
        <w:t>       声  明</w:t>
      </w:r>
    </w:p>
    <w:p w14:paraId="41791563">
      <w:pPr>
        <w:pStyle w:val="10"/>
        <w:spacing w:beforeAutospacing="0" w:afterAutospacing="0" w:line="0" w:lineRule="atLeast"/>
        <w:ind w:firstLine="482"/>
        <w:jc w:val="both"/>
        <w:rPr>
          <w:color w:val="auto"/>
        </w:rPr>
      </w:pPr>
      <w:r>
        <w:rPr>
          <w:rFonts w:hint="eastAsia" w:ascii="宋体" w:hAnsi="宋体" w:eastAsia="宋体" w:cs="宋体"/>
          <w:b/>
          <w:color w:val="auto"/>
        </w:rPr>
        <w:t xml:space="preserve">    </w:t>
      </w:r>
      <w:r>
        <w:rPr>
          <w:rFonts w:hint="eastAsia" w:ascii="宋体" w:hAnsi="宋体" w:eastAsia="宋体" w:cs="宋体"/>
          <w:color w:val="auto"/>
        </w:rPr>
        <w:t>我单位郑重声明：参加本次政府采购活动前 3 年内，我单位在经营活动中没有因违法经营受到刑事处罚或者责令停产停业、吊销许可证或者执照、较大数额罚款等行政处罚。</w:t>
      </w:r>
    </w:p>
    <w:p w14:paraId="6119E2AF">
      <w:pPr>
        <w:pStyle w:val="10"/>
        <w:spacing w:beforeAutospacing="0" w:afterAutospacing="0"/>
        <w:jc w:val="both"/>
        <w:rPr>
          <w:color w:val="auto"/>
        </w:rPr>
      </w:pPr>
      <w:r>
        <w:rPr>
          <w:color w:val="auto"/>
        </w:rPr>
        <w:t> </w:t>
      </w:r>
    </w:p>
    <w:p w14:paraId="03822A78">
      <w:pPr>
        <w:pStyle w:val="10"/>
        <w:spacing w:beforeAutospacing="0" w:afterAutospacing="0"/>
        <w:ind w:firstLine="640"/>
        <w:jc w:val="both"/>
        <w:rPr>
          <w:color w:val="auto"/>
        </w:rPr>
      </w:pPr>
      <w:r>
        <w:rPr>
          <w:rFonts w:hint="eastAsia" w:ascii="黑体" w:hAnsi="宋体" w:eastAsia="黑体" w:cs="黑体"/>
          <w:i/>
          <w:color w:val="auto"/>
          <w:sz w:val="32"/>
          <w:szCs w:val="32"/>
          <w:u w:val="single"/>
        </w:rPr>
        <w:t>六、特定资格要求的证明文件</w:t>
      </w:r>
    </w:p>
    <w:p w14:paraId="4C7AE4BB">
      <w:pPr>
        <w:pStyle w:val="10"/>
        <w:spacing w:beforeAutospacing="0" w:afterAutospacing="0" w:line="0" w:lineRule="atLeast"/>
        <w:jc w:val="both"/>
        <w:rPr>
          <w:color w:val="auto"/>
        </w:rPr>
      </w:pPr>
      <w:r>
        <w:rPr>
          <w:rFonts w:hint="eastAsia" w:ascii="宋体" w:hAnsi="宋体" w:eastAsia="宋体" w:cs="宋体"/>
          <w:color w:val="auto"/>
        </w:rPr>
        <w:t>    如果本项目申请人的特定资格要求中要求提供的，必须提供。</w:t>
      </w:r>
    </w:p>
    <w:p w14:paraId="4F82CDD6">
      <w:pPr>
        <w:pStyle w:val="10"/>
        <w:spacing w:beforeAutospacing="0" w:afterAutospacing="0" w:line="0" w:lineRule="atLeast"/>
        <w:jc w:val="both"/>
        <w:rPr>
          <w:color w:val="auto"/>
        </w:rPr>
      </w:pPr>
      <w:r>
        <w:rPr>
          <w:color w:val="auto"/>
        </w:rPr>
        <w:t> </w:t>
      </w:r>
    </w:p>
    <w:p w14:paraId="18734FE7">
      <w:pPr>
        <w:pStyle w:val="10"/>
        <w:spacing w:beforeAutospacing="0" w:afterAutospacing="0"/>
        <w:ind w:firstLine="640"/>
        <w:jc w:val="center"/>
        <w:rPr>
          <w:rFonts w:ascii="黑体" w:hAnsi="宋体" w:eastAsia="黑体" w:cs="黑体"/>
          <w:i/>
          <w:color w:val="auto"/>
          <w:sz w:val="32"/>
          <w:szCs w:val="32"/>
          <w:u w:val="single"/>
        </w:rPr>
      </w:pPr>
    </w:p>
    <w:p w14:paraId="3819BF7B">
      <w:pPr>
        <w:pStyle w:val="10"/>
        <w:spacing w:beforeAutospacing="0" w:afterAutospacing="0"/>
        <w:ind w:firstLine="640"/>
        <w:jc w:val="center"/>
        <w:rPr>
          <w:rFonts w:ascii="黑体" w:hAnsi="宋体" w:eastAsia="黑体" w:cs="黑体"/>
          <w:i/>
          <w:color w:val="auto"/>
          <w:sz w:val="32"/>
          <w:szCs w:val="32"/>
          <w:u w:val="single"/>
        </w:rPr>
      </w:pPr>
    </w:p>
    <w:p w14:paraId="1A8D4131">
      <w:pPr>
        <w:widowControl/>
        <w:ind w:firstLine="640"/>
        <w:jc w:val="left"/>
        <w:rPr>
          <w:rFonts w:ascii="黑体" w:hAnsi="宋体" w:eastAsia="黑体" w:cs="黑体"/>
          <w:i/>
          <w:color w:val="auto"/>
          <w:kern w:val="0"/>
          <w:sz w:val="32"/>
          <w:szCs w:val="32"/>
          <w:u w:val="single"/>
        </w:rPr>
      </w:pPr>
      <w:r>
        <w:rPr>
          <w:rFonts w:ascii="黑体" w:hAnsi="宋体" w:eastAsia="黑体" w:cs="黑体"/>
          <w:i/>
          <w:color w:val="auto"/>
          <w:sz w:val="32"/>
          <w:szCs w:val="32"/>
          <w:u w:val="single"/>
        </w:rPr>
        <w:br w:type="page"/>
      </w:r>
    </w:p>
    <w:p w14:paraId="429D58A5">
      <w:pPr>
        <w:pStyle w:val="10"/>
        <w:spacing w:beforeAutospacing="0" w:afterAutospacing="0"/>
        <w:ind w:firstLine="640"/>
        <w:jc w:val="center"/>
        <w:rPr>
          <w:color w:val="auto"/>
        </w:rPr>
      </w:pPr>
      <w:r>
        <w:rPr>
          <w:rFonts w:hint="eastAsia" w:ascii="黑体" w:hAnsi="宋体" w:eastAsia="黑体" w:cs="黑体"/>
          <w:i/>
          <w:color w:val="auto"/>
          <w:sz w:val="32"/>
          <w:szCs w:val="32"/>
          <w:u w:val="single"/>
        </w:rPr>
        <w:t>七、法人授权书</w:t>
      </w:r>
    </w:p>
    <w:p w14:paraId="75371E96">
      <w:pPr>
        <w:pStyle w:val="10"/>
        <w:tabs>
          <w:tab w:val="left" w:pos="360"/>
        </w:tabs>
        <w:spacing w:beforeAutospacing="0" w:afterAutospacing="0"/>
        <w:ind w:firstLine="480"/>
        <w:jc w:val="both"/>
        <w:rPr>
          <w:color w:val="auto"/>
        </w:rPr>
      </w:pPr>
      <w:r>
        <w:rPr>
          <w:rFonts w:ascii="Times New Roman" w:hAnsi="Times New Roman"/>
          <w:color w:val="auto"/>
        </w:rPr>
        <w:t>本授权书声明：____________（投标人名称）授权________________（被授权人的姓名）为我方就JSZC-</w:t>
      </w:r>
      <w:r>
        <w:rPr>
          <w:rFonts w:ascii="Times New Roman" w:hAnsi="Times New Roman"/>
          <w:color w:val="auto"/>
          <w:u w:val="single"/>
        </w:rPr>
        <w:t xml:space="preserve">        </w:t>
      </w:r>
      <w:r>
        <w:rPr>
          <w:rFonts w:ascii="Times New Roman" w:hAnsi="Times New Roman"/>
          <w:color w:val="auto"/>
        </w:rPr>
        <w:t>号项目采购活动的合法代理人，以本单位名义全权处理一切与该项目采购有关的事务。</w:t>
      </w:r>
    </w:p>
    <w:p w14:paraId="3AC9EC25">
      <w:pPr>
        <w:pStyle w:val="10"/>
        <w:tabs>
          <w:tab w:val="left" w:pos="360"/>
        </w:tabs>
        <w:spacing w:beforeAutospacing="0" w:afterAutospacing="0"/>
        <w:ind w:firstLine="480"/>
        <w:jc w:val="both"/>
        <w:rPr>
          <w:color w:val="auto"/>
        </w:rPr>
      </w:pPr>
      <w:r>
        <w:rPr>
          <w:rFonts w:ascii="Times New Roman" w:hAnsi="Times New Roman"/>
          <w:color w:val="auto"/>
        </w:rPr>
        <w:t>本授权书于______年____月____日起生效，特此声明。</w:t>
      </w:r>
    </w:p>
    <w:p w14:paraId="2DC53DE8">
      <w:pPr>
        <w:pStyle w:val="10"/>
        <w:tabs>
          <w:tab w:val="left" w:pos="360"/>
        </w:tabs>
        <w:spacing w:beforeAutospacing="0" w:afterAutospacing="0"/>
        <w:jc w:val="both"/>
        <w:rPr>
          <w:color w:val="auto"/>
        </w:rPr>
      </w:pPr>
      <w:r>
        <w:rPr>
          <w:rFonts w:ascii="Times New Roman" w:hAnsi="Times New Roman"/>
          <w:color w:val="auto"/>
        </w:rPr>
        <w:t>          被授权人身份证号码：</w:t>
      </w:r>
      <w:r>
        <w:rPr>
          <w:rFonts w:ascii="Times New Roman" w:hAnsi="Times New Roman"/>
          <w:color w:val="auto"/>
          <w:u w:val="single"/>
        </w:rPr>
        <w:t xml:space="preserve">                              </w:t>
      </w:r>
    </w:p>
    <w:p w14:paraId="75D0F0B5">
      <w:pPr>
        <w:pStyle w:val="10"/>
        <w:tabs>
          <w:tab w:val="left" w:pos="360"/>
        </w:tabs>
        <w:spacing w:beforeAutospacing="0" w:afterAutospacing="0"/>
        <w:jc w:val="both"/>
        <w:rPr>
          <w:color w:val="auto"/>
        </w:rPr>
      </w:pPr>
      <w:r>
        <w:rPr>
          <w:rFonts w:ascii="Times New Roman" w:hAnsi="Times New Roman"/>
          <w:color w:val="auto"/>
        </w:rPr>
        <w:t>          被授权人联系电话：（手机）</w:t>
      </w:r>
      <w:r>
        <w:rPr>
          <w:rFonts w:ascii="Times New Roman" w:hAnsi="Times New Roman"/>
          <w:color w:val="auto"/>
          <w:u w:val="single"/>
        </w:rPr>
        <w:t xml:space="preserve">                          </w:t>
      </w:r>
    </w:p>
    <w:p w14:paraId="4FE26A2D">
      <w:pPr>
        <w:pStyle w:val="10"/>
        <w:tabs>
          <w:tab w:val="left" w:pos="360"/>
        </w:tabs>
        <w:spacing w:beforeAutospacing="0" w:afterAutospacing="0"/>
        <w:ind w:firstLine="480"/>
        <w:jc w:val="both"/>
        <w:rPr>
          <w:color w:val="auto"/>
        </w:rPr>
      </w:pPr>
      <w:r>
        <w:rPr>
          <w:rFonts w:ascii="Times New Roman" w:hAnsi="Times New Roman"/>
          <w:color w:val="auto"/>
        </w:rPr>
        <w:t>授权单位名称：</w:t>
      </w:r>
      <w:r>
        <w:rPr>
          <w:rFonts w:ascii="Times New Roman" w:hAnsi="Times New Roman"/>
          <w:color w:val="auto"/>
          <w:u w:val="single"/>
        </w:rPr>
        <w:t>（加盖CA电子公章）</w:t>
      </w:r>
    </w:p>
    <w:p w14:paraId="659A81C5">
      <w:pPr>
        <w:pStyle w:val="10"/>
        <w:tabs>
          <w:tab w:val="left" w:pos="360"/>
        </w:tabs>
        <w:spacing w:beforeAutospacing="0" w:afterAutospacing="0"/>
        <w:ind w:firstLine="480"/>
        <w:jc w:val="both"/>
        <w:rPr>
          <w:color w:val="auto"/>
        </w:rPr>
      </w:pPr>
      <w:r>
        <w:rPr>
          <w:rFonts w:ascii="Times New Roman" w:hAnsi="Times New Roman"/>
          <w:color w:val="auto"/>
        </w:rPr>
        <w:t>      单位地址：</w:t>
      </w:r>
      <w:r>
        <w:rPr>
          <w:rFonts w:ascii="Times New Roman" w:hAnsi="Times New Roman"/>
          <w:color w:val="auto"/>
          <w:u w:val="single"/>
        </w:rPr>
        <w:t xml:space="preserve">                                         </w:t>
      </w:r>
    </w:p>
    <w:p w14:paraId="747B88F2">
      <w:pPr>
        <w:pStyle w:val="10"/>
        <w:tabs>
          <w:tab w:val="left" w:pos="360"/>
        </w:tabs>
        <w:spacing w:beforeAutospacing="0" w:afterAutospacing="0"/>
        <w:ind w:firstLine="480"/>
        <w:jc w:val="both"/>
        <w:rPr>
          <w:color w:val="auto"/>
        </w:rPr>
      </w:pPr>
      <w:r>
        <w:rPr>
          <w:rFonts w:ascii="Times New Roman" w:hAnsi="Times New Roman"/>
          <w:color w:val="auto"/>
        </w:rPr>
        <w:t>      日期：</w:t>
      </w:r>
      <w:bookmarkStart w:id="196" w:name="_格式3__银行出具的资信证明"/>
      <w:bookmarkStart w:id="197" w:name="_Hlt26671380"/>
      <w:bookmarkStart w:id="198" w:name="_Hlt26955070"/>
      <w:r>
        <w:rPr>
          <w:rFonts w:ascii="Times New Roman" w:hAnsi="Times New Roman"/>
          <w:color w:val="auto"/>
          <w:u w:val="single"/>
        </w:rPr>
        <w:t xml:space="preserve">                                         </w:t>
      </w:r>
    </w:p>
    <w:p w14:paraId="4434C07B">
      <w:pPr>
        <w:pStyle w:val="10"/>
        <w:spacing w:beforeAutospacing="0" w:afterAutospacing="0"/>
        <w:ind w:firstLine="480"/>
        <w:jc w:val="both"/>
        <w:rPr>
          <w:color w:val="auto"/>
        </w:rPr>
      </w:pPr>
      <w:r>
        <w:rPr>
          <w:color w:val="auto"/>
        </w:rPr>
        <w:t> </w:t>
      </w:r>
    </w:p>
    <w:p w14:paraId="54380AE8">
      <w:pPr>
        <w:pStyle w:val="10"/>
        <w:spacing w:beforeAutospacing="0" w:afterAutospacing="0"/>
        <w:jc w:val="both"/>
        <w:rPr>
          <w:color w:val="auto"/>
        </w:rPr>
      </w:pPr>
      <w:r>
        <w:rPr>
          <w:color w:val="auto"/>
        </w:rPr>
        <w:t> </w:t>
      </w:r>
    </w:p>
    <w:p w14:paraId="35C87C39">
      <w:pPr>
        <w:pStyle w:val="10"/>
        <w:spacing w:beforeAutospacing="0" w:afterAutospacing="0" w:line="0" w:lineRule="atLeast"/>
        <w:jc w:val="both"/>
        <w:rPr>
          <w:color w:val="auto"/>
        </w:rPr>
      </w:pPr>
      <w:r>
        <w:rPr>
          <w:color w:val="auto"/>
        </w:rPr>
        <w:t> </w:t>
      </w:r>
    </w:p>
    <w:p w14:paraId="7B45CD78">
      <w:pPr>
        <w:pStyle w:val="10"/>
        <w:keepNext/>
        <w:keepLines/>
        <w:spacing w:before="260" w:beforeAutospacing="0" w:after="260" w:afterAutospacing="0" w:line="415" w:lineRule="auto"/>
        <w:ind w:firstLine="482"/>
        <w:jc w:val="both"/>
        <w:rPr>
          <w:rFonts w:ascii="宋体" w:hAnsi="宋体" w:eastAsia="宋体" w:cs="宋体"/>
          <w:b/>
          <w:color w:val="auto"/>
        </w:rPr>
      </w:pPr>
      <w:r>
        <w:rPr>
          <w:rFonts w:hint="eastAsia" w:ascii="宋体" w:hAnsi="宋体" w:eastAsia="宋体" w:cs="宋体"/>
          <w:b/>
          <w:color w:val="auto"/>
        </w:rPr>
        <w:t> </w:t>
      </w:r>
    </w:p>
    <w:p w14:paraId="5137C610">
      <w:pPr>
        <w:pStyle w:val="5"/>
        <w:ind w:firstLine="620"/>
        <w:rPr>
          <w:color w:val="auto"/>
          <w:kern w:val="0"/>
          <w:sz w:val="24"/>
          <w:lang w:eastAsia="zh-CN"/>
        </w:rPr>
      </w:pPr>
      <w:r>
        <w:rPr>
          <w:color w:val="auto"/>
          <w:lang w:eastAsia="zh-CN"/>
        </w:rPr>
        <w:br w:type="page"/>
      </w:r>
    </w:p>
    <w:p w14:paraId="0F02C396">
      <w:pPr>
        <w:pStyle w:val="10"/>
        <w:keepNext/>
        <w:keepLines/>
        <w:spacing w:before="260" w:beforeAutospacing="0" w:after="260" w:afterAutospacing="0" w:line="415" w:lineRule="auto"/>
        <w:ind w:firstLine="3534" w:firstLineChars="1100"/>
        <w:jc w:val="both"/>
        <w:rPr>
          <w:rFonts w:ascii="黑体" w:hAnsi="宋体" w:eastAsia="黑体" w:cs="黑体"/>
          <w:b/>
          <w:color w:val="auto"/>
          <w:sz w:val="32"/>
          <w:szCs w:val="32"/>
        </w:rPr>
      </w:pPr>
      <w:r>
        <w:rPr>
          <w:rFonts w:hint="eastAsia" w:ascii="黑体" w:hAnsi="宋体" w:eastAsia="黑体" w:cs="黑体"/>
          <w:b/>
          <w:color w:val="auto"/>
          <w:sz w:val="32"/>
          <w:szCs w:val="32"/>
        </w:rPr>
        <w:t>八、投标函</w:t>
      </w:r>
    </w:p>
    <w:p w14:paraId="26D1CCB0">
      <w:pPr>
        <w:pStyle w:val="10"/>
        <w:spacing w:beforeAutospacing="0" w:afterAutospacing="0" w:line="0" w:lineRule="atLeast"/>
        <w:rPr>
          <w:rFonts w:eastAsia="宋体"/>
          <w:color w:val="auto"/>
        </w:rPr>
      </w:pPr>
      <w:r>
        <w:rPr>
          <w:rFonts w:hint="eastAsia" w:ascii="宋体" w:hAnsi="宋体" w:eastAsia="宋体" w:cs="宋体"/>
          <w:color w:val="auto"/>
        </w:rPr>
        <w:t>致：盐城市政府采购代理机构</w:t>
      </w:r>
    </w:p>
    <w:p w14:paraId="2DE50441">
      <w:pPr>
        <w:pStyle w:val="10"/>
        <w:spacing w:beforeAutospacing="0" w:afterAutospacing="0" w:line="0" w:lineRule="atLeast"/>
        <w:ind w:firstLine="480"/>
        <w:rPr>
          <w:color w:val="auto"/>
        </w:rPr>
      </w:pPr>
      <w:r>
        <w:rPr>
          <w:rFonts w:hint="eastAsia" w:ascii="宋体" w:hAnsi="宋体" w:eastAsia="宋体" w:cs="宋体"/>
          <w:color w:val="auto"/>
        </w:rPr>
        <w:t>根据贵方的JSZC-320000-***号招标文件，正式授权下述签字人______(姓名)代表我方______________（投标人的名称），全权处理本次项目投标的有关事宜。</w:t>
      </w:r>
    </w:p>
    <w:p w14:paraId="64F87FD4">
      <w:pPr>
        <w:pStyle w:val="10"/>
        <w:spacing w:beforeAutospacing="0" w:afterAutospacing="0" w:line="0" w:lineRule="atLeast"/>
        <w:ind w:firstLine="480"/>
        <w:rPr>
          <w:color w:val="auto"/>
        </w:rPr>
      </w:pPr>
      <w:r>
        <w:rPr>
          <w:rFonts w:hint="eastAsia" w:ascii="宋体" w:hAnsi="宋体" w:eastAsia="宋体" w:cs="宋体"/>
          <w:color w:val="auto"/>
        </w:rPr>
        <w:t>据此函，__________签字人兹宣布同意如下：</w:t>
      </w:r>
    </w:p>
    <w:p w14:paraId="313F2607">
      <w:pPr>
        <w:pStyle w:val="10"/>
        <w:spacing w:beforeAutospacing="0" w:afterAutospacing="0" w:line="0" w:lineRule="atLeast"/>
        <w:ind w:firstLine="480"/>
        <w:rPr>
          <w:color w:val="auto"/>
        </w:rPr>
      </w:pPr>
      <w:r>
        <w:rPr>
          <w:rFonts w:hint="eastAsia" w:ascii="宋体" w:hAnsi="宋体" w:eastAsia="宋体" w:cs="宋体"/>
          <w:color w:val="auto"/>
        </w:rPr>
        <w:t>1.按招标文件规定的各项要求，向买方提供所需服务（包含与服务相关的货物）。</w:t>
      </w:r>
    </w:p>
    <w:p w14:paraId="473EF1FB">
      <w:pPr>
        <w:pStyle w:val="10"/>
        <w:spacing w:beforeAutospacing="0" w:afterAutospacing="0" w:line="0" w:lineRule="atLeast"/>
        <w:ind w:firstLine="480"/>
        <w:rPr>
          <w:color w:val="auto"/>
        </w:rPr>
      </w:pPr>
      <w:r>
        <w:rPr>
          <w:rFonts w:hint="eastAsia" w:ascii="宋体" w:hAnsi="宋体" w:eastAsia="宋体" w:cs="宋体"/>
          <w:color w:val="auto"/>
        </w:rPr>
        <w:t>2.我们完全理解贵方不一定将合同授予最低报价的投标人。</w:t>
      </w:r>
    </w:p>
    <w:p w14:paraId="58062D8A">
      <w:pPr>
        <w:pStyle w:val="10"/>
        <w:spacing w:beforeAutospacing="0" w:afterAutospacing="0" w:line="0" w:lineRule="atLeast"/>
        <w:ind w:firstLine="480"/>
        <w:rPr>
          <w:color w:val="auto"/>
        </w:rPr>
      </w:pPr>
      <w:r>
        <w:rPr>
          <w:rFonts w:hint="eastAsia" w:ascii="宋体" w:hAnsi="宋体" w:eastAsia="宋体" w:cs="宋体"/>
          <w:color w:val="auto"/>
        </w:rPr>
        <w:t>3.我们已详细审核全部招标文件及其有效补充文件，我们知道必须放弃提出含糊不清或误解问题的权利。</w:t>
      </w:r>
    </w:p>
    <w:p w14:paraId="08CB0CD4">
      <w:pPr>
        <w:pStyle w:val="10"/>
        <w:spacing w:beforeAutospacing="0" w:afterAutospacing="0" w:line="0" w:lineRule="atLeast"/>
        <w:ind w:firstLine="480"/>
        <w:rPr>
          <w:color w:val="auto"/>
        </w:rPr>
      </w:pPr>
      <w:r>
        <w:rPr>
          <w:rFonts w:hint="eastAsia" w:ascii="宋体" w:hAnsi="宋体" w:eastAsia="宋体" w:cs="宋体"/>
          <w:color w:val="auto"/>
        </w:rPr>
        <w:t>4.我们同意从规定的开标日期起遵循本投标文件，并在规定的投标有效期期满之前均具有约束力。</w:t>
      </w:r>
    </w:p>
    <w:p w14:paraId="209DD427">
      <w:pPr>
        <w:pStyle w:val="10"/>
        <w:spacing w:beforeAutospacing="0" w:afterAutospacing="0" w:line="0" w:lineRule="atLeast"/>
        <w:ind w:firstLine="480"/>
        <w:rPr>
          <w:color w:val="auto"/>
        </w:rPr>
      </w:pPr>
      <w:r>
        <w:rPr>
          <w:rFonts w:hint="eastAsia" w:ascii="宋体" w:hAnsi="宋体" w:eastAsia="宋体" w:cs="宋体"/>
          <w:color w:val="auto"/>
        </w:rPr>
        <w:t>5.同意向贵方提供贵方可能另外要求的与投标有关的任何证据或资料，并保证我方已提供和将要提供的文件是真实的、准确的。</w:t>
      </w:r>
    </w:p>
    <w:p w14:paraId="1F9BB1C3">
      <w:pPr>
        <w:pStyle w:val="10"/>
        <w:spacing w:beforeAutospacing="0" w:afterAutospacing="0" w:line="0" w:lineRule="atLeast"/>
        <w:ind w:firstLine="480"/>
        <w:rPr>
          <w:color w:val="auto"/>
        </w:rPr>
      </w:pPr>
      <w:r>
        <w:rPr>
          <w:rFonts w:hint="eastAsia" w:ascii="宋体" w:hAnsi="宋体" w:eastAsia="宋体" w:cs="宋体"/>
          <w:color w:val="auto"/>
        </w:rPr>
        <w:t>6.一旦我方中标,我方将根据招标文件的规定，严格履行合同的责任和义务,并保证在招标文件规定的时间完成项目，交付买方验收、使用。</w:t>
      </w:r>
    </w:p>
    <w:p w14:paraId="33641869">
      <w:pPr>
        <w:pStyle w:val="10"/>
        <w:spacing w:beforeAutospacing="0" w:afterAutospacing="0" w:line="0" w:lineRule="atLeast"/>
        <w:ind w:firstLine="480"/>
        <w:rPr>
          <w:color w:val="auto"/>
        </w:rPr>
      </w:pPr>
      <w:r>
        <w:rPr>
          <w:rFonts w:hint="eastAsia" w:ascii="宋体" w:hAnsi="宋体" w:eastAsia="宋体" w:cs="宋体"/>
          <w:color w:val="auto"/>
        </w:rPr>
        <w:t>7.与本投标有关的正式通讯地址为：</w:t>
      </w:r>
    </w:p>
    <w:p w14:paraId="63F512FF">
      <w:pPr>
        <w:pStyle w:val="10"/>
        <w:spacing w:beforeAutospacing="0" w:afterAutospacing="0" w:line="0" w:lineRule="atLeast"/>
        <w:ind w:left="420" w:firstLine="480"/>
        <w:rPr>
          <w:color w:val="auto"/>
        </w:rPr>
      </w:pPr>
      <w:r>
        <w:rPr>
          <w:rFonts w:hint="eastAsia" w:ascii="宋体" w:hAnsi="宋体" w:eastAsia="宋体" w:cs="宋体"/>
          <w:color w:val="auto"/>
        </w:rPr>
        <w:t>地          址：</w:t>
      </w:r>
    </w:p>
    <w:p w14:paraId="40615D05">
      <w:pPr>
        <w:pStyle w:val="10"/>
        <w:spacing w:beforeAutospacing="0" w:afterAutospacing="0" w:line="0" w:lineRule="atLeast"/>
        <w:ind w:left="420" w:firstLine="480"/>
        <w:rPr>
          <w:color w:val="auto"/>
        </w:rPr>
      </w:pPr>
      <w:r>
        <w:rPr>
          <w:rFonts w:hint="eastAsia" w:ascii="宋体" w:hAnsi="宋体" w:eastAsia="宋体" w:cs="宋体"/>
          <w:color w:val="auto"/>
        </w:rPr>
        <w:t>邮          编：</w:t>
      </w:r>
    </w:p>
    <w:p w14:paraId="6828345E">
      <w:pPr>
        <w:pStyle w:val="10"/>
        <w:spacing w:beforeAutospacing="0" w:afterAutospacing="0" w:line="0" w:lineRule="atLeast"/>
        <w:ind w:left="420" w:firstLine="480"/>
        <w:rPr>
          <w:color w:val="auto"/>
        </w:rPr>
      </w:pPr>
      <w:r>
        <w:rPr>
          <w:rFonts w:hint="eastAsia" w:ascii="宋体" w:hAnsi="宋体" w:eastAsia="宋体" w:cs="宋体"/>
          <w:color w:val="auto"/>
        </w:rPr>
        <w:t>电          话：</w:t>
      </w:r>
    </w:p>
    <w:p w14:paraId="3AB5B37A">
      <w:pPr>
        <w:pStyle w:val="10"/>
        <w:spacing w:beforeAutospacing="0" w:afterAutospacing="0" w:line="0" w:lineRule="atLeast"/>
        <w:ind w:left="420" w:firstLine="480"/>
        <w:rPr>
          <w:color w:val="auto"/>
        </w:rPr>
      </w:pPr>
      <w:r>
        <w:rPr>
          <w:rFonts w:hint="eastAsia" w:ascii="宋体" w:hAnsi="宋体" w:eastAsia="宋体" w:cs="宋体"/>
          <w:color w:val="auto"/>
        </w:rPr>
        <w:t>传          真：</w:t>
      </w:r>
    </w:p>
    <w:p w14:paraId="3DA45C60">
      <w:pPr>
        <w:pStyle w:val="10"/>
        <w:spacing w:beforeAutospacing="0" w:afterAutospacing="0" w:line="0" w:lineRule="atLeast"/>
        <w:ind w:left="420" w:firstLine="480"/>
        <w:rPr>
          <w:color w:val="auto"/>
        </w:rPr>
      </w:pPr>
      <w:r>
        <w:rPr>
          <w:rFonts w:hint="eastAsia" w:ascii="宋体" w:hAnsi="宋体" w:eastAsia="宋体" w:cs="宋体"/>
          <w:color w:val="auto"/>
        </w:rPr>
        <w:t>投标人开户行：</w:t>
      </w:r>
    </w:p>
    <w:p w14:paraId="19B2C12A">
      <w:pPr>
        <w:pStyle w:val="10"/>
        <w:spacing w:beforeAutospacing="0" w:afterAutospacing="0" w:line="0" w:lineRule="atLeast"/>
        <w:ind w:left="420" w:firstLine="480"/>
        <w:rPr>
          <w:color w:val="auto"/>
        </w:rPr>
      </w:pPr>
      <w:r>
        <w:rPr>
          <w:rFonts w:hint="eastAsia" w:ascii="宋体" w:hAnsi="宋体" w:eastAsia="宋体" w:cs="宋体"/>
          <w:color w:val="auto"/>
        </w:rPr>
        <w:t xml:space="preserve">账          号： </w:t>
      </w:r>
    </w:p>
    <w:p w14:paraId="4B904C99">
      <w:pPr>
        <w:pStyle w:val="10"/>
        <w:spacing w:beforeAutospacing="0" w:afterAutospacing="0" w:line="0" w:lineRule="atLeast"/>
        <w:ind w:left="420" w:firstLine="480"/>
        <w:rPr>
          <w:color w:val="auto"/>
        </w:rPr>
      </w:pPr>
      <w:r>
        <w:rPr>
          <w:rFonts w:hint="eastAsia" w:ascii="宋体" w:hAnsi="宋体" w:eastAsia="宋体" w:cs="宋体"/>
          <w:color w:val="auto"/>
        </w:rPr>
        <w:t>日           期：________年____月____日</w:t>
      </w:r>
    </w:p>
    <w:p w14:paraId="517D30F4">
      <w:pPr>
        <w:pStyle w:val="10"/>
        <w:spacing w:beforeAutospacing="0" w:afterAutospacing="0" w:line="0" w:lineRule="atLeast"/>
        <w:ind w:firstLine="480"/>
        <w:jc w:val="center"/>
        <w:rPr>
          <w:color w:val="auto"/>
        </w:rPr>
      </w:pPr>
      <w:r>
        <w:rPr>
          <w:color w:val="auto"/>
        </w:rPr>
        <w:t> </w:t>
      </w:r>
    </w:p>
    <w:p w14:paraId="2B93E367">
      <w:pPr>
        <w:pStyle w:val="10"/>
        <w:spacing w:beforeAutospacing="0" w:afterAutospacing="0" w:line="0" w:lineRule="atLeast"/>
        <w:ind w:firstLine="480"/>
        <w:jc w:val="center"/>
        <w:rPr>
          <w:color w:val="auto"/>
        </w:rPr>
      </w:pPr>
    </w:p>
    <w:p w14:paraId="757DE681">
      <w:pPr>
        <w:pStyle w:val="10"/>
        <w:spacing w:beforeAutospacing="0" w:afterAutospacing="0" w:line="0" w:lineRule="atLeast"/>
        <w:jc w:val="center"/>
        <w:rPr>
          <w:color w:val="auto"/>
        </w:rPr>
      </w:pPr>
      <w:r>
        <w:rPr>
          <w:color w:val="auto"/>
        </w:rPr>
        <w:t> </w:t>
      </w:r>
    </w:p>
    <w:p w14:paraId="6132B81F">
      <w:pPr>
        <w:widowControl/>
        <w:ind w:firstLine="643"/>
        <w:jc w:val="left"/>
        <w:rPr>
          <w:rFonts w:ascii="黑体" w:hAnsi="宋体" w:eastAsia="黑体" w:cs="黑体"/>
          <w:b/>
          <w:color w:val="auto"/>
          <w:kern w:val="0"/>
          <w:sz w:val="32"/>
          <w:szCs w:val="32"/>
        </w:rPr>
      </w:pPr>
      <w:r>
        <w:rPr>
          <w:rFonts w:ascii="黑体" w:hAnsi="宋体" w:eastAsia="黑体" w:cs="黑体"/>
          <w:b/>
          <w:color w:val="auto"/>
          <w:sz w:val="32"/>
          <w:szCs w:val="32"/>
        </w:rPr>
        <w:br w:type="page"/>
      </w:r>
    </w:p>
    <w:p w14:paraId="76E9D5C9">
      <w:pPr>
        <w:pStyle w:val="10"/>
        <w:spacing w:beforeAutospacing="0" w:afterAutospacing="0" w:line="0" w:lineRule="atLeast"/>
        <w:ind w:firstLine="643"/>
        <w:jc w:val="center"/>
        <w:rPr>
          <w:color w:val="auto"/>
        </w:rPr>
      </w:pPr>
      <w:r>
        <w:rPr>
          <w:rFonts w:hint="eastAsia" w:ascii="黑体" w:hAnsi="宋体" w:eastAsia="黑体" w:cs="黑体"/>
          <w:b/>
          <w:color w:val="auto"/>
          <w:sz w:val="32"/>
          <w:szCs w:val="32"/>
        </w:rPr>
        <w:t>九、中小企业声明函（服务）</w:t>
      </w:r>
    </w:p>
    <w:p w14:paraId="1DCF832C">
      <w:pPr>
        <w:spacing w:line="500" w:lineRule="exact"/>
        <w:ind w:firstLine="480"/>
        <w:rPr>
          <w:color w:val="auto"/>
          <w:sz w:val="24"/>
        </w:rPr>
      </w:pPr>
      <w:r>
        <w:rPr>
          <w:rFonts w:hint="eastAsia"/>
          <w:color w:val="auto"/>
          <w:sz w:val="24"/>
        </w:rPr>
        <w:t>本公司（联合体）郑重声明，根据《政府采购促进中小企业发展管理办法》（财库﹝2020﹞46 号）的规定，本公司（联合体）参加盐城市政府采购代理机构组织的</w:t>
      </w:r>
      <w:r>
        <w:rPr>
          <w:rFonts w:hint="eastAsia"/>
          <w:i/>
          <w:iCs/>
          <w:color w:val="auto"/>
          <w:sz w:val="24"/>
          <w:u w:val="single"/>
        </w:rPr>
        <w:t>（单位名称）</w:t>
      </w:r>
      <w:r>
        <w:rPr>
          <w:rFonts w:hint="eastAsia"/>
          <w:color w:val="auto"/>
          <w:sz w:val="24"/>
          <w:szCs w:val="20"/>
        </w:rPr>
        <w:t>，</w:t>
      </w:r>
      <w:r>
        <w:rPr>
          <w:rFonts w:hint="eastAsia"/>
          <w:color w:val="auto"/>
          <w:sz w:val="24"/>
        </w:rPr>
        <w:t>采购编号为</w:t>
      </w:r>
      <w:r>
        <w:rPr>
          <w:rFonts w:hint="eastAsia"/>
          <w:color w:val="auto"/>
          <w:sz w:val="24"/>
          <w:u w:val="single"/>
        </w:rPr>
        <w:t xml:space="preserve">     </w:t>
      </w:r>
      <w:r>
        <w:rPr>
          <w:rFonts w:hint="eastAsia"/>
          <w:color w:val="auto"/>
          <w:sz w:val="24"/>
        </w:rPr>
        <w:t>的</w:t>
      </w:r>
      <w:r>
        <w:rPr>
          <w:rFonts w:hint="eastAsia"/>
          <w:i/>
          <w:iCs/>
          <w:color w:val="auto"/>
          <w:sz w:val="24"/>
          <w:u w:val="single"/>
        </w:rPr>
        <w:t>（项目名称）</w:t>
      </w:r>
      <w:r>
        <w:rPr>
          <w:rFonts w:hint="eastAsia"/>
          <w:color w:val="auto"/>
          <w:sz w:val="24"/>
        </w:rPr>
        <w:t>的采购活动，服务全部由符合政策要求的中小企业承接。相关企业（含联合体中的中小企业、签订分包意向协议的中小企业）的具体情况如下：</w:t>
      </w:r>
    </w:p>
    <w:p w14:paraId="32604D9A">
      <w:pPr>
        <w:numPr>
          <w:ilvl w:val="0"/>
          <w:numId w:val="1"/>
        </w:numPr>
        <w:spacing w:line="500" w:lineRule="exact"/>
        <w:ind w:firstLine="480"/>
        <w:rPr>
          <w:color w:val="auto"/>
          <w:sz w:val="24"/>
        </w:rPr>
      </w:pPr>
      <w:r>
        <w:rPr>
          <w:rFonts w:hint="eastAsia"/>
          <w:i/>
          <w:iCs/>
          <w:color w:val="auto"/>
          <w:sz w:val="24"/>
          <w:u w:val="single"/>
        </w:rPr>
        <w:t>（标的名称）</w:t>
      </w:r>
      <w:r>
        <w:rPr>
          <w:rFonts w:hint="eastAsia"/>
          <w:color w:val="auto"/>
          <w:sz w:val="24"/>
        </w:rPr>
        <w:t xml:space="preserve"> ，属于</w:t>
      </w:r>
      <w:r>
        <w:rPr>
          <w:rFonts w:hint="eastAsia"/>
          <w:i/>
          <w:iCs/>
          <w:color w:val="auto"/>
          <w:sz w:val="24"/>
          <w:u w:val="single"/>
        </w:rPr>
        <w:t>（采购文件中明确的所属行业）</w:t>
      </w:r>
      <w:r>
        <w:rPr>
          <w:rFonts w:hint="eastAsia"/>
          <w:color w:val="auto"/>
          <w:sz w:val="24"/>
        </w:rPr>
        <w:t>；承建（承接）企业为</w:t>
      </w:r>
      <w:r>
        <w:rPr>
          <w:rFonts w:hint="eastAsia"/>
          <w:i/>
          <w:iCs/>
          <w:color w:val="auto"/>
          <w:sz w:val="24"/>
          <w:u w:val="single"/>
        </w:rPr>
        <w:t>（企业名称）</w:t>
      </w:r>
      <w:r>
        <w:rPr>
          <w:rFonts w:hint="eastAsia"/>
          <w:color w:val="auto"/>
          <w:sz w:val="24"/>
        </w:rPr>
        <w:t>，从业人员</w:t>
      </w:r>
      <w:r>
        <w:rPr>
          <w:rFonts w:hint="eastAsia"/>
          <w:color w:val="auto"/>
          <w:sz w:val="24"/>
          <w:u w:val="single"/>
        </w:rPr>
        <w:t xml:space="preserve">    </w:t>
      </w:r>
      <w:r>
        <w:rPr>
          <w:rFonts w:hint="eastAsia"/>
          <w:color w:val="auto"/>
          <w:sz w:val="24"/>
        </w:rPr>
        <w:t>人，营业收入为</w:t>
      </w:r>
      <w:r>
        <w:rPr>
          <w:rFonts w:hint="eastAsia"/>
          <w:color w:val="auto"/>
          <w:sz w:val="24"/>
          <w:u w:val="single"/>
        </w:rPr>
        <w:t xml:space="preserve">    </w:t>
      </w:r>
      <w:r>
        <w:rPr>
          <w:rFonts w:hint="eastAsia"/>
          <w:color w:val="auto"/>
          <w:sz w:val="24"/>
        </w:rPr>
        <w:t>万元，资产总额为</w:t>
      </w:r>
      <w:r>
        <w:rPr>
          <w:rFonts w:hint="eastAsia"/>
          <w:color w:val="auto"/>
          <w:sz w:val="24"/>
          <w:u w:val="single"/>
        </w:rPr>
        <w:t xml:space="preserve">    </w:t>
      </w:r>
      <w:r>
        <w:rPr>
          <w:rFonts w:hint="eastAsia"/>
          <w:color w:val="auto"/>
          <w:sz w:val="24"/>
        </w:rPr>
        <w:t>万元，属于（</w:t>
      </w:r>
      <w:r>
        <w:rPr>
          <w:rFonts w:hint="eastAsia"/>
          <w:i/>
          <w:iCs/>
          <w:color w:val="auto"/>
          <w:sz w:val="24"/>
          <w:u w:val="single"/>
        </w:rPr>
        <w:t>中型企业、小型企业、微型企业</w:t>
      </w:r>
      <w:r>
        <w:rPr>
          <w:rFonts w:hint="eastAsia"/>
          <w:color w:val="auto"/>
          <w:sz w:val="24"/>
        </w:rPr>
        <w:t>）；</w:t>
      </w:r>
    </w:p>
    <w:p w14:paraId="139DC9F7">
      <w:pPr>
        <w:numPr>
          <w:ilvl w:val="0"/>
          <w:numId w:val="1"/>
        </w:numPr>
        <w:spacing w:line="500" w:lineRule="exact"/>
        <w:ind w:firstLine="480"/>
        <w:rPr>
          <w:color w:val="auto"/>
          <w:sz w:val="24"/>
        </w:rPr>
      </w:pPr>
      <w:r>
        <w:rPr>
          <w:rFonts w:hint="eastAsia"/>
          <w:i/>
          <w:iCs/>
          <w:color w:val="auto"/>
          <w:sz w:val="24"/>
          <w:u w:val="single"/>
        </w:rPr>
        <w:t>（标的名称）</w:t>
      </w:r>
      <w:r>
        <w:rPr>
          <w:rFonts w:hint="eastAsia"/>
          <w:color w:val="auto"/>
          <w:sz w:val="24"/>
        </w:rPr>
        <w:t xml:space="preserve"> ，属于</w:t>
      </w:r>
      <w:r>
        <w:rPr>
          <w:rFonts w:hint="eastAsia"/>
          <w:i/>
          <w:iCs/>
          <w:color w:val="auto"/>
          <w:sz w:val="24"/>
          <w:u w:val="single"/>
        </w:rPr>
        <w:t>（采购文件中明确的所属行业）</w:t>
      </w:r>
      <w:r>
        <w:rPr>
          <w:rFonts w:hint="eastAsia"/>
          <w:color w:val="auto"/>
          <w:sz w:val="24"/>
        </w:rPr>
        <w:t>；承建（承接）企业为</w:t>
      </w:r>
      <w:r>
        <w:rPr>
          <w:rFonts w:hint="eastAsia"/>
          <w:i/>
          <w:iCs/>
          <w:color w:val="auto"/>
          <w:sz w:val="24"/>
          <w:u w:val="single"/>
        </w:rPr>
        <w:t>（企业名称）</w:t>
      </w:r>
      <w:r>
        <w:rPr>
          <w:rFonts w:hint="eastAsia"/>
          <w:color w:val="auto"/>
          <w:sz w:val="24"/>
        </w:rPr>
        <w:t>，从业人员</w:t>
      </w:r>
      <w:r>
        <w:rPr>
          <w:rFonts w:hint="eastAsia"/>
          <w:color w:val="auto"/>
          <w:sz w:val="24"/>
          <w:u w:val="single"/>
        </w:rPr>
        <w:t xml:space="preserve">    </w:t>
      </w:r>
      <w:r>
        <w:rPr>
          <w:rFonts w:hint="eastAsia"/>
          <w:color w:val="auto"/>
          <w:sz w:val="24"/>
        </w:rPr>
        <w:t>人，营业收入为</w:t>
      </w:r>
      <w:r>
        <w:rPr>
          <w:rFonts w:hint="eastAsia"/>
          <w:color w:val="auto"/>
          <w:sz w:val="24"/>
          <w:u w:val="single"/>
        </w:rPr>
        <w:t xml:space="preserve">    </w:t>
      </w:r>
      <w:r>
        <w:rPr>
          <w:rFonts w:hint="eastAsia"/>
          <w:color w:val="auto"/>
          <w:sz w:val="24"/>
        </w:rPr>
        <w:t>万元，资产总额为</w:t>
      </w:r>
      <w:r>
        <w:rPr>
          <w:rFonts w:hint="eastAsia"/>
          <w:color w:val="auto"/>
          <w:sz w:val="24"/>
          <w:u w:val="single"/>
        </w:rPr>
        <w:t xml:space="preserve">    </w:t>
      </w:r>
      <w:r>
        <w:rPr>
          <w:rFonts w:hint="eastAsia"/>
          <w:color w:val="auto"/>
          <w:sz w:val="24"/>
        </w:rPr>
        <w:t>万元，属于</w:t>
      </w:r>
      <w:r>
        <w:rPr>
          <w:rFonts w:hint="eastAsia"/>
          <w:i/>
          <w:iCs/>
          <w:color w:val="auto"/>
          <w:sz w:val="24"/>
          <w:u w:val="single"/>
        </w:rPr>
        <w:t>（中型企业、小型企业、微型企业）</w:t>
      </w:r>
      <w:r>
        <w:rPr>
          <w:rFonts w:hint="eastAsia"/>
          <w:color w:val="auto"/>
          <w:sz w:val="24"/>
        </w:rPr>
        <w:t>；</w:t>
      </w:r>
    </w:p>
    <w:p w14:paraId="768A76BA">
      <w:pPr>
        <w:spacing w:line="500" w:lineRule="exact"/>
        <w:ind w:firstLine="480" w:firstLineChars="200"/>
        <w:rPr>
          <w:color w:val="auto"/>
          <w:sz w:val="24"/>
        </w:rPr>
      </w:pPr>
      <w:r>
        <w:rPr>
          <w:rFonts w:hint="eastAsia"/>
          <w:color w:val="auto"/>
          <w:sz w:val="24"/>
        </w:rPr>
        <w:t>……</w:t>
      </w:r>
    </w:p>
    <w:p w14:paraId="34FA3AC3">
      <w:pPr>
        <w:spacing w:line="500" w:lineRule="exact"/>
        <w:ind w:firstLine="480" w:firstLineChars="200"/>
        <w:rPr>
          <w:color w:val="auto"/>
          <w:sz w:val="24"/>
        </w:rPr>
      </w:pPr>
      <w:r>
        <w:rPr>
          <w:rFonts w:hint="eastAsia"/>
          <w:color w:val="auto"/>
          <w:sz w:val="24"/>
        </w:rPr>
        <w:t>以上企业，不属于大企业的分支机构，不存在控股股东为大企业的情形，也不存在与大企业的负责人为同一人的情形。</w:t>
      </w:r>
    </w:p>
    <w:p w14:paraId="2479C3CA">
      <w:pPr>
        <w:spacing w:line="500" w:lineRule="exact"/>
        <w:ind w:firstLine="480" w:firstLineChars="200"/>
        <w:rPr>
          <w:color w:val="auto"/>
          <w:sz w:val="24"/>
        </w:rPr>
      </w:pPr>
      <w:r>
        <w:rPr>
          <w:rFonts w:hint="eastAsia"/>
          <w:color w:val="auto"/>
          <w:sz w:val="24"/>
        </w:rPr>
        <w:t>本企业对上述声明内容的真实性负责。如有虚假，将依法承担相应责任。</w:t>
      </w:r>
    </w:p>
    <w:p w14:paraId="0FE19C0D">
      <w:pPr>
        <w:pStyle w:val="10"/>
        <w:spacing w:beforeAutospacing="0" w:afterAutospacing="0" w:line="0" w:lineRule="atLeast"/>
        <w:ind w:right="720"/>
        <w:jc w:val="both"/>
        <w:rPr>
          <w:color w:val="auto"/>
        </w:rPr>
      </w:pPr>
      <w:r>
        <w:rPr>
          <w:color w:val="auto"/>
        </w:rPr>
        <w:t> </w:t>
      </w:r>
    </w:p>
    <w:p w14:paraId="6CD49601">
      <w:pPr>
        <w:pStyle w:val="10"/>
        <w:spacing w:beforeAutospacing="0" w:afterAutospacing="0" w:line="0" w:lineRule="atLeast"/>
        <w:ind w:right="180" w:firstLine="480"/>
        <w:jc w:val="right"/>
        <w:rPr>
          <w:color w:val="auto"/>
        </w:rPr>
      </w:pPr>
      <w:r>
        <w:rPr>
          <w:rFonts w:hint="eastAsia" w:ascii="宋体" w:hAnsi="宋体" w:eastAsia="宋体" w:cs="宋体"/>
          <w:color w:val="auto"/>
        </w:rPr>
        <w:t>企业名称（加盖CA电子公章）：</w:t>
      </w:r>
    </w:p>
    <w:p w14:paraId="19405A62">
      <w:pPr>
        <w:pStyle w:val="10"/>
        <w:spacing w:beforeAutospacing="0" w:afterAutospacing="0" w:line="0" w:lineRule="atLeast"/>
        <w:ind w:right="480" w:firstLine="480"/>
        <w:jc w:val="both"/>
        <w:rPr>
          <w:color w:val="auto"/>
        </w:rPr>
      </w:pPr>
      <w:r>
        <w:rPr>
          <w:rFonts w:hint="eastAsia" w:ascii="宋体" w:hAnsi="宋体" w:eastAsia="宋体" w:cs="宋体"/>
          <w:color w:val="auto"/>
        </w:rPr>
        <w:t>日  期：</w:t>
      </w:r>
    </w:p>
    <w:p w14:paraId="09B20EFD">
      <w:pPr>
        <w:pStyle w:val="10"/>
        <w:spacing w:beforeAutospacing="0" w:afterAutospacing="0" w:line="0" w:lineRule="atLeast"/>
        <w:ind w:firstLine="480"/>
        <w:jc w:val="both"/>
        <w:rPr>
          <w:color w:val="auto"/>
        </w:rPr>
      </w:pPr>
      <w:r>
        <w:rPr>
          <w:color w:val="auto"/>
        </w:rPr>
        <w:t> </w:t>
      </w:r>
    </w:p>
    <w:p w14:paraId="5FD8B9FE">
      <w:pPr>
        <w:pStyle w:val="10"/>
        <w:spacing w:beforeAutospacing="0" w:afterAutospacing="0" w:line="0" w:lineRule="atLeast"/>
        <w:ind w:firstLine="480"/>
        <w:jc w:val="both"/>
        <w:rPr>
          <w:color w:val="auto"/>
        </w:rPr>
      </w:pPr>
      <w:r>
        <w:rPr>
          <w:rFonts w:hint="eastAsia" w:ascii="宋体" w:hAnsi="宋体" w:eastAsia="宋体" w:cs="宋体"/>
          <w:color w:val="auto"/>
        </w:rPr>
        <w:t>备注1：从业人员、营业收入、资产总额填报上一年度数据，无上一年度数据的新成立企业可不填报。</w:t>
      </w:r>
    </w:p>
    <w:p w14:paraId="4181A3D1">
      <w:pPr>
        <w:pStyle w:val="10"/>
        <w:spacing w:beforeAutospacing="0" w:afterAutospacing="0" w:line="0" w:lineRule="atLeast"/>
        <w:ind w:firstLine="480"/>
        <w:jc w:val="both"/>
        <w:rPr>
          <w:color w:val="auto"/>
        </w:rPr>
      </w:pPr>
      <w:r>
        <w:rPr>
          <w:rFonts w:hint="eastAsia" w:ascii="宋体" w:hAnsi="宋体" w:eastAsia="宋体" w:cs="宋体"/>
          <w:color w:val="auto"/>
        </w:rPr>
        <w:t>备注2：供应商如不提供此声明函，价格将不做相应扣除（如项目全面面向中小企业，则资格审查不通过）。</w:t>
      </w:r>
    </w:p>
    <w:p w14:paraId="3C438E2C">
      <w:pPr>
        <w:pStyle w:val="10"/>
        <w:spacing w:beforeAutospacing="0" w:afterAutospacing="0" w:line="0" w:lineRule="atLeast"/>
        <w:ind w:firstLine="643"/>
        <w:jc w:val="center"/>
        <w:rPr>
          <w:color w:val="auto"/>
        </w:rPr>
      </w:pPr>
      <w:r>
        <w:rPr>
          <w:rFonts w:hint="eastAsia" w:ascii="黑体" w:hAnsi="宋体" w:eastAsia="黑体" w:cs="黑体"/>
          <w:b/>
          <w:color w:val="auto"/>
          <w:sz w:val="32"/>
          <w:szCs w:val="32"/>
        </w:rPr>
        <w:br w:type="page"/>
      </w:r>
      <w:r>
        <w:rPr>
          <w:rFonts w:hint="eastAsia" w:ascii="黑体" w:hAnsi="宋体" w:eastAsia="黑体" w:cs="黑体"/>
          <w:b/>
          <w:color w:val="auto"/>
          <w:sz w:val="32"/>
          <w:szCs w:val="32"/>
        </w:rPr>
        <w:t> 十、残疾人福利性单位声明函</w:t>
      </w:r>
    </w:p>
    <w:p w14:paraId="40AD2CD4">
      <w:pPr>
        <w:pStyle w:val="10"/>
        <w:spacing w:beforeAutospacing="0" w:afterAutospacing="0" w:line="0" w:lineRule="atLeast"/>
        <w:ind w:firstLine="480"/>
        <w:jc w:val="both"/>
        <w:rPr>
          <w:color w:val="auto"/>
        </w:rPr>
      </w:pPr>
      <w:r>
        <w:rPr>
          <w:rFonts w:hint="eastAsia" w:ascii="宋体" w:hAnsi="宋体" w:eastAsia="宋体" w:cs="宋体"/>
          <w:color w:val="auto"/>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u w:val="single"/>
        </w:rPr>
        <w:t xml:space="preserve">       </w:t>
      </w:r>
      <w:r>
        <w:rPr>
          <w:rFonts w:hint="eastAsia" w:ascii="宋体" w:hAnsi="宋体" w:eastAsia="宋体" w:cs="宋体"/>
          <w:color w:val="auto"/>
        </w:rPr>
        <w:t>项目采购活动由本单位提供服务。</w:t>
      </w:r>
    </w:p>
    <w:p w14:paraId="7214428A">
      <w:pPr>
        <w:pStyle w:val="10"/>
        <w:spacing w:beforeAutospacing="0" w:afterAutospacing="0" w:line="0" w:lineRule="atLeast"/>
        <w:ind w:firstLine="480"/>
        <w:jc w:val="both"/>
        <w:rPr>
          <w:color w:val="auto"/>
        </w:rPr>
      </w:pPr>
      <w:r>
        <w:rPr>
          <w:rFonts w:hint="eastAsia" w:ascii="宋体" w:hAnsi="宋体" w:eastAsia="宋体" w:cs="宋体"/>
          <w:color w:val="auto"/>
        </w:rPr>
        <w:t>本单位对上述声明的真实性负责。如有虚假，将依法承担相应责任。</w:t>
      </w:r>
    </w:p>
    <w:p w14:paraId="13451427">
      <w:pPr>
        <w:pStyle w:val="10"/>
        <w:spacing w:beforeAutospacing="0" w:afterAutospacing="0" w:line="0" w:lineRule="atLeast"/>
        <w:ind w:firstLine="480"/>
        <w:jc w:val="both"/>
        <w:rPr>
          <w:color w:val="auto"/>
        </w:rPr>
      </w:pPr>
      <w:r>
        <w:rPr>
          <w:color w:val="auto"/>
        </w:rPr>
        <w:t> </w:t>
      </w:r>
    </w:p>
    <w:p w14:paraId="2FAF371E">
      <w:pPr>
        <w:pStyle w:val="10"/>
        <w:spacing w:beforeAutospacing="0" w:afterAutospacing="0" w:line="0" w:lineRule="atLeast"/>
        <w:ind w:firstLine="480"/>
        <w:jc w:val="both"/>
        <w:rPr>
          <w:rFonts w:eastAsia="宋体"/>
          <w:color w:val="auto"/>
        </w:rPr>
      </w:pPr>
      <w:r>
        <w:rPr>
          <w:rFonts w:hint="eastAsia" w:ascii="宋体" w:hAnsi="宋体" w:eastAsia="宋体" w:cs="宋体"/>
          <w:color w:val="auto"/>
        </w:rPr>
        <w:t>备注：1、供应商如不提供此声明函，价格将不做相应扣除（如项目全面面向中小企业，则资格审查不通过）。</w:t>
      </w:r>
    </w:p>
    <w:p w14:paraId="29CEDC66">
      <w:pPr>
        <w:pStyle w:val="10"/>
        <w:spacing w:beforeAutospacing="0" w:afterAutospacing="0" w:line="0" w:lineRule="atLeast"/>
        <w:ind w:firstLine="480"/>
        <w:jc w:val="both"/>
        <w:rPr>
          <w:color w:val="auto"/>
        </w:rPr>
      </w:pPr>
      <w:r>
        <w:rPr>
          <w:rFonts w:hint="eastAsia" w:ascii="宋体" w:hAnsi="宋体" w:eastAsia="宋体" w:cs="宋体"/>
          <w:color w:val="auto"/>
        </w:rPr>
        <w:t>2、中标人为残疾人福利单位的，此声明函将随中标结果同时公告，接受社会监督</w:t>
      </w:r>
    </w:p>
    <w:p w14:paraId="756ED4E7">
      <w:pPr>
        <w:pStyle w:val="10"/>
        <w:spacing w:beforeAutospacing="0" w:afterAutospacing="0" w:line="0" w:lineRule="atLeast"/>
        <w:ind w:firstLine="480"/>
        <w:jc w:val="both"/>
        <w:rPr>
          <w:color w:val="auto"/>
        </w:rPr>
      </w:pPr>
      <w:r>
        <w:rPr>
          <w:color w:val="auto"/>
        </w:rPr>
        <w:t> </w:t>
      </w:r>
    </w:p>
    <w:p w14:paraId="0A80BD48">
      <w:pPr>
        <w:pStyle w:val="10"/>
        <w:tabs>
          <w:tab w:val="left" w:pos="4864"/>
        </w:tabs>
        <w:spacing w:beforeAutospacing="0" w:afterAutospacing="0" w:line="0" w:lineRule="atLeast"/>
        <w:ind w:right="1560" w:firstLine="600"/>
        <w:jc w:val="center"/>
        <w:rPr>
          <w:color w:val="auto"/>
        </w:rPr>
      </w:pPr>
      <w:r>
        <w:rPr>
          <w:rFonts w:ascii="仿宋_GB2312" w:eastAsia="仿宋_GB2312" w:cs="仿宋_GB2312"/>
          <w:color w:val="auto"/>
          <w:sz w:val="30"/>
          <w:szCs w:val="30"/>
        </w:rPr>
        <w:t xml:space="preserve">             </w:t>
      </w:r>
      <w:r>
        <w:rPr>
          <w:rFonts w:hint="eastAsia" w:ascii="宋体" w:hAnsi="宋体" w:eastAsia="宋体" w:cs="宋体"/>
          <w:color w:val="auto"/>
        </w:rPr>
        <w:t>         供应商全称（加盖CA电子公章）：</w:t>
      </w:r>
    </w:p>
    <w:p w14:paraId="26FB6E74">
      <w:pPr>
        <w:pStyle w:val="10"/>
        <w:tabs>
          <w:tab w:val="left" w:pos="4864"/>
        </w:tabs>
        <w:spacing w:beforeAutospacing="0" w:afterAutospacing="0" w:line="0" w:lineRule="atLeast"/>
        <w:ind w:right="1560" w:firstLine="480"/>
        <w:jc w:val="center"/>
        <w:rPr>
          <w:color w:val="auto"/>
        </w:rPr>
      </w:pPr>
      <w:r>
        <w:rPr>
          <w:rFonts w:hint="eastAsia" w:ascii="宋体" w:hAnsi="宋体" w:eastAsia="宋体" w:cs="宋体"/>
          <w:color w:val="auto"/>
        </w:rPr>
        <w:t>        日  期：</w:t>
      </w:r>
    </w:p>
    <w:p w14:paraId="2B15E9CD">
      <w:pPr>
        <w:pStyle w:val="10"/>
        <w:spacing w:beforeAutospacing="0" w:afterAutospacing="0" w:line="0" w:lineRule="atLeast"/>
        <w:jc w:val="center"/>
        <w:rPr>
          <w:color w:val="auto"/>
        </w:rPr>
      </w:pPr>
      <w:r>
        <w:rPr>
          <w:color w:val="auto"/>
        </w:rPr>
        <w:t> </w:t>
      </w:r>
    </w:p>
    <w:p w14:paraId="5B4F30B6">
      <w:pPr>
        <w:pStyle w:val="10"/>
        <w:spacing w:beforeAutospacing="0" w:afterAutospacing="0" w:line="0" w:lineRule="atLeast"/>
        <w:jc w:val="center"/>
        <w:rPr>
          <w:color w:val="auto"/>
        </w:rPr>
      </w:pPr>
      <w:r>
        <w:rPr>
          <w:color w:val="auto"/>
        </w:rPr>
        <w:t> </w:t>
      </w:r>
    </w:p>
    <w:p w14:paraId="0BFA54F0">
      <w:pPr>
        <w:pStyle w:val="10"/>
        <w:spacing w:beforeAutospacing="0" w:afterAutospacing="0" w:line="0" w:lineRule="atLeast"/>
        <w:jc w:val="center"/>
        <w:rPr>
          <w:color w:val="auto"/>
        </w:rPr>
      </w:pPr>
      <w:r>
        <w:rPr>
          <w:color w:val="auto"/>
        </w:rPr>
        <w:t> </w:t>
      </w:r>
    </w:p>
    <w:p w14:paraId="23548FC4">
      <w:pPr>
        <w:pStyle w:val="10"/>
        <w:spacing w:beforeAutospacing="0" w:afterAutospacing="0" w:line="0" w:lineRule="atLeast"/>
        <w:jc w:val="center"/>
        <w:rPr>
          <w:color w:val="auto"/>
        </w:rPr>
      </w:pPr>
      <w:r>
        <w:rPr>
          <w:color w:val="auto"/>
        </w:rPr>
        <w:t> </w:t>
      </w:r>
    </w:p>
    <w:p w14:paraId="7CC18ADA">
      <w:pPr>
        <w:pStyle w:val="10"/>
        <w:spacing w:beforeAutospacing="0" w:afterAutospacing="0" w:line="0" w:lineRule="atLeast"/>
        <w:jc w:val="center"/>
        <w:rPr>
          <w:color w:val="auto"/>
        </w:rPr>
      </w:pPr>
      <w:r>
        <w:rPr>
          <w:color w:val="auto"/>
        </w:rPr>
        <w:t> </w:t>
      </w:r>
    </w:p>
    <w:p w14:paraId="3620AEDE">
      <w:pPr>
        <w:pStyle w:val="10"/>
        <w:spacing w:beforeAutospacing="0" w:afterAutospacing="0" w:line="0" w:lineRule="atLeast"/>
        <w:jc w:val="center"/>
        <w:rPr>
          <w:color w:val="auto"/>
        </w:rPr>
      </w:pPr>
      <w:r>
        <w:rPr>
          <w:color w:val="auto"/>
        </w:rPr>
        <w:t> </w:t>
      </w:r>
    </w:p>
    <w:p w14:paraId="45D5FEAA">
      <w:pPr>
        <w:pStyle w:val="10"/>
        <w:spacing w:beforeAutospacing="0" w:afterAutospacing="0" w:line="0" w:lineRule="atLeast"/>
        <w:jc w:val="center"/>
        <w:rPr>
          <w:color w:val="auto"/>
        </w:rPr>
      </w:pPr>
      <w:r>
        <w:rPr>
          <w:color w:val="auto"/>
        </w:rPr>
        <w:t> </w:t>
      </w:r>
    </w:p>
    <w:p w14:paraId="02551D98">
      <w:pPr>
        <w:pStyle w:val="10"/>
        <w:spacing w:beforeAutospacing="0" w:afterAutospacing="0" w:line="0" w:lineRule="atLeast"/>
        <w:jc w:val="center"/>
        <w:rPr>
          <w:color w:val="auto"/>
        </w:rPr>
      </w:pPr>
      <w:r>
        <w:rPr>
          <w:color w:val="auto"/>
        </w:rPr>
        <w:t> </w:t>
      </w:r>
    </w:p>
    <w:p w14:paraId="2E201E66">
      <w:pPr>
        <w:pStyle w:val="10"/>
        <w:spacing w:beforeAutospacing="0" w:afterAutospacing="0" w:line="0" w:lineRule="atLeast"/>
        <w:jc w:val="center"/>
        <w:rPr>
          <w:color w:val="auto"/>
        </w:rPr>
      </w:pPr>
    </w:p>
    <w:p w14:paraId="26480510">
      <w:pPr>
        <w:pStyle w:val="10"/>
        <w:spacing w:beforeAutospacing="0" w:afterAutospacing="0" w:line="0" w:lineRule="atLeast"/>
        <w:jc w:val="center"/>
        <w:rPr>
          <w:color w:val="auto"/>
        </w:rPr>
      </w:pPr>
    </w:p>
    <w:p w14:paraId="040A5ABB">
      <w:pPr>
        <w:pStyle w:val="10"/>
        <w:spacing w:beforeAutospacing="0" w:afterAutospacing="0" w:line="0" w:lineRule="atLeast"/>
        <w:jc w:val="center"/>
        <w:rPr>
          <w:color w:val="auto"/>
        </w:rPr>
      </w:pPr>
    </w:p>
    <w:p w14:paraId="0E4F8989">
      <w:pPr>
        <w:pStyle w:val="10"/>
        <w:spacing w:beforeAutospacing="0" w:afterAutospacing="0" w:line="0" w:lineRule="atLeast"/>
        <w:jc w:val="center"/>
        <w:rPr>
          <w:color w:val="auto"/>
        </w:rPr>
      </w:pPr>
    </w:p>
    <w:p w14:paraId="33B3D7CE">
      <w:pPr>
        <w:pStyle w:val="10"/>
        <w:spacing w:beforeAutospacing="0" w:afterAutospacing="0" w:line="0" w:lineRule="atLeast"/>
        <w:jc w:val="center"/>
        <w:rPr>
          <w:color w:val="auto"/>
        </w:rPr>
      </w:pPr>
    </w:p>
    <w:p w14:paraId="47822C90">
      <w:pPr>
        <w:pStyle w:val="10"/>
        <w:spacing w:beforeAutospacing="0" w:afterAutospacing="0" w:line="0" w:lineRule="atLeast"/>
        <w:jc w:val="center"/>
        <w:rPr>
          <w:color w:val="auto"/>
        </w:rPr>
      </w:pPr>
    </w:p>
    <w:p w14:paraId="09A39851">
      <w:pPr>
        <w:pStyle w:val="10"/>
        <w:spacing w:beforeAutospacing="0" w:afterAutospacing="0" w:line="0" w:lineRule="atLeast"/>
        <w:jc w:val="center"/>
        <w:rPr>
          <w:color w:val="auto"/>
        </w:rPr>
      </w:pPr>
    </w:p>
    <w:p w14:paraId="7FD1136E">
      <w:pPr>
        <w:pStyle w:val="10"/>
        <w:spacing w:beforeAutospacing="0" w:afterAutospacing="0" w:line="0" w:lineRule="atLeast"/>
        <w:jc w:val="center"/>
        <w:rPr>
          <w:color w:val="auto"/>
        </w:rPr>
      </w:pPr>
    </w:p>
    <w:p w14:paraId="5BEB7273">
      <w:pPr>
        <w:pStyle w:val="10"/>
        <w:spacing w:beforeAutospacing="0" w:afterAutospacing="0" w:line="0" w:lineRule="atLeast"/>
        <w:jc w:val="center"/>
        <w:rPr>
          <w:color w:val="auto"/>
        </w:rPr>
      </w:pPr>
    </w:p>
    <w:p w14:paraId="033ACD42">
      <w:pPr>
        <w:pStyle w:val="10"/>
        <w:spacing w:beforeAutospacing="0" w:afterAutospacing="0" w:line="0" w:lineRule="atLeast"/>
        <w:jc w:val="center"/>
        <w:rPr>
          <w:color w:val="auto"/>
        </w:rPr>
      </w:pPr>
    </w:p>
    <w:p w14:paraId="0E7A7A07">
      <w:pPr>
        <w:pStyle w:val="10"/>
        <w:spacing w:beforeAutospacing="0" w:afterAutospacing="0" w:line="0" w:lineRule="atLeast"/>
        <w:jc w:val="center"/>
        <w:rPr>
          <w:color w:val="auto"/>
        </w:rPr>
      </w:pPr>
    </w:p>
    <w:p w14:paraId="290ED4BC">
      <w:pPr>
        <w:pStyle w:val="10"/>
        <w:spacing w:beforeAutospacing="0" w:afterAutospacing="0" w:line="0" w:lineRule="atLeast"/>
        <w:jc w:val="center"/>
        <w:rPr>
          <w:color w:val="auto"/>
        </w:rPr>
      </w:pPr>
    </w:p>
    <w:p w14:paraId="2DE28D43">
      <w:pPr>
        <w:pStyle w:val="10"/>
        <w:spacing w:beforeAutospacing="0" w:afterAutospacing="0" w:line="0" w:lineRule="atLeast"/>
        <w:jc w:val="center"/>
        <w:rPr>
          <w:color w:val="auto"/>
        </w:rPr>
      </w:pPr>
    </w:p>
    <w:p w14:paraId="4C188FB5">
      <w:pPr>
        <w:pStyle w:val="10"/>
        <w:spacing w:beforeAutospacing="0" w:afterAutospacing="0" w:line="0" w:lineRule="atLeast"/>
        <w:jc w:val="center"/>
        <w:rPr>
          <w:color w:val="auto"/>
        </w:rPr>
      </w:pPr>
    </w:p>
    <w:p w14:paraId="44A213E5">
      <w:pPr>
        <w:pStyle w:val="10"/>
        <w:spacing w:beforeAutospacing="0" w:afterAutospacing="0" w:line="0" w:lineRule="atLeast"/>
        <w:jc w:val="center"/>
        <w:rPr>
          <w:color w:val="auto"/>
        </w:rPr>
      </w:pPr>
    </w:p>
    <w:p w14:paraId="3B49ABBC">
      <w:pPr>
        <w:pStyle w:val="10"/>
        <w:spacing w:beforeAutospacing="0" w:afterAutospacing="0" w:line="0" w:lineRule="atLeast"/>
        <w:jc w:val="center"/>
        <w:rPr>
          <w:color w:val="auto"/>
        </w:rPr>
      </w:pPr>
    </w:p>
    <w:p w14:paraId="6B3C584E">
      <w:pPr>
        <w:pStyle w:val="10"/>
        <w:spacing w:beforeAutospacing="0" w:afterAutospacing="0" w:line="0" w:lineRule="atLeast"/>
        <w:jc w:val="center"/>
        <w:rPr>
          <w:color w:val="auto"/>
        </w:rPr>
      </w:pPr>
    </w:p>
    <w:p w14:paraId="61D08AC6">
      <w:pPr>
        <w:pStyle w:val="10"/>
        <w:spacing w:beforeAutospacing="0" w:afterAutospacing="0" w:line="0" w:lineRule="atLeast"/>
        <w:jc w:val="center"/>
        <w:rPr>
          <w:color w:val="auto"/>
        </w:rPr>
      </w:pPr>
    </w:p>
    <w:p w14:paraId="0251136B">
      <w:pPr>
        <w:pStyle w:val="10"/>
        <w:spacing w:beforeAutospacing="0" w:afterAutospacing="0" w:line="0" w:lineRule="atLeast"/>
        <w:jc w:val="center"/>
        <w:rPr>
          <w:color w:val="auto"/>
        </w:rPr>
      </w:pPr>
    </w:p>
    <w:p w14:paraId="2F312E3D">
      <w:pPr>
        <w:pStyle w:val="10"/>
        <w:spacing w:beforeAutospacing="0" w:afterAutospacing="0" w:line="0" w:lineRule="atLeast"/>
        <w:jc w:val="center"/>
        <w:rPr>
          <w:color w:val="auto"/>
        </w:rPr>
      </w:pPr>
    </w:p>
    <w:p w14:paraId="42557233">
      <w:pPr>
        <w:pStyle w:val="10"/>
        <w:spacing w:beforeAutospacing="0" w:afterAutospacing="0" w:line="0" w:lineRule="atLeast"/>
        <w:jc w:val="center"/>
        <w:rPr>
          <w:color w:val="auto"/>
        </w:rPr>
      </w:pPr>
      <w:r>
        <w:rPr>
          <w:color w:val="auto"/>
        </w:rPr>
        <w:t> </w:t>
      </w:r>
    </w:p>
    <w:p w14:paraId="5915A32A">
      <w:pPr>
        <w:pStyle w:val="10"/>
        <w:spacing w:beforeAutospacing="0" w:afterAutospacing="0" w:line="0" w:lineRule="atLeast"/>
        <w:jc w:val="center"/>
        <w:rPr>
          <w:color w:val="auto"/>
        </w:rPr>
      </w:pPr>
      <w:r>
        <w:rPr>
          <w:color w:val="auto"/>
        </w:rPr>
        <w:t> </w:t>
      </w:r>
    </w:p>
    <w:p w14:paraId="752EB775">
      <w:pPr>
        <w:pStyle w:val="10"/>
        <w:spacing w:beforeAutospacing="0" w:afterAutospacing="0" w:line="0" w:lineRule="atLeast"/>
        <w:jc w:val="center"/>
        <w:rPr>
          <w:color w:val="auto"/>
        </w:rPr>
      </w:pPr>
      <w:r>
        <w:rPr>
          <w:color w:val="auto"/>
        </w:rPr>
        <w:t> </w:t>
      </w:r>
    </w:p>
    <w:p w14:paraId="047D93AE">
      <w:pPr>
        <w:pStyle w:val="10"/>
        <w:spacing w:beforeAutospacing="0" w:afterAutospacing="0"/>
        <w:jc w:val="both"/>
        <w:rPr>
          <w:color w:val="auto"/>
        </w:rPr>
      </w:pPr>
      <w:r>
        <w:rPr>
          <w:color w:val="auto"/>
        </w:rPr>
        <w:t> </w:t>
      </w:r>
    </w:p>
    <w:p w14:paraId="0F9D6EE9">
      <w:pPr>
        <w:pStyle w:val="10"/>
        <w:spacing w:beforeAutospacing="0" w:afterAutospacing="0"/>
        <w:ind w:firstLine="643"/>
        <w:jc w:val="center"/>
        <w:rPr>
          <w:color w:val="auto"/>
        </w:rPr>
      </w:pPr>
      <w:r>
        <w:rPr>
          <w:rFonts w:hint="eastAsia" w:ascii="黑体" w:hAnsi="宋体" w:eastAsia="黑体" w:cs="黑体"/>
          <w:b/>
          <w:color w:val="auto"/>
          <w:sz w:val="32"/>
          <w:szCs w:val="32"/>
        </w:rPr>
        <w:t>十一、投标分项报价表</w:t>
      </w:r>
    </w:p>
    <w:p w14:paraId="4862E070">
      <w:pPr>
        <w:pStyle w:val="10"/>
        <w:spacing w:beforeAutospacing="0" w:afterAutospacing="0"/>
        <w:ind w:firstLine="480"/>
        <w:jc w:val="both"/>
        <w:rPr>
          <w:color w:val="auto"/>
        </w:rPr>
      </w:pPr>
      <w:r>
        <w:rPr>
          <w:rFonts w:hint="eastAsia" w:ascii="宋体" w:hAnsi="宋体" w:eastAsia="宋体" w:cs="宋体"/>
          <w:color w:val="auto"/>
        </w:rPr>
        <w:t>投标人全称（加盖CA电子签章）：</w:t>
      </w:r>
    </w:p>
    <w:p w14:paraId="1BF051AB">
      <w:pPr>
        <w:pStyle w:val="10"/>
        <w:spacing w:beforeAutospacing="0" w:afterAutospacing="0"/>
        <w:ind w:firstLine="480"/>
        <w:jc w:val="both"/>
        <w:rPr>
          <w:color w:val="auto"/>
        </w:rPr>
      </w:pPr>
      <w:r>
        <w:rPr>
          <w:rFonts w:hint="eastAsia" w:ascii="宋体" w:hAnsi="宋体" w:eastAsia="宋体" w:cs="宋体"/>
          <w:color w:val="auto"/>
        </w:rPr>
        <w:t>项目名称：</w:t>
      </w:r>
    </w:p>
    <w:p w14:paraId="0074AC7E">
      <w:pPr>
        <w:pStyle w:val="10"/>
        <w:spacing w:beforeAutospacing="0" w:afterAutospacing="0"/>
        <w:ind w:firstLine="480"/>
        <w:jc w:val="both"/>
        <w:rPr>
          <w:rFonts w:ascii="宋体" w:hAnsi="宋体" w:eastAsia="宋体" w:cs="宋体"/>
          <w:color w:val="auto"/>
        </w:rPr>
      </w:pPr>
      <w:r>
        <w:rPr>
          <w:rFonts w:hint="eastAsia" w:ascii="宋体" w:hAnsi="宋体" w:eastAsia="宋体" w:cs="宋体"/>
          <w:color w:val="auto"/>
        </w:rPr>
        <w:t>项目编号：</w:t>
      </w:r>
    </w:p>
    <w:tbl>
      <w:tblPr>
        <w:tblStyle w:val="13"/>
        <w:tblW w:w="9356"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1845"/>
        <w:gridCol w:w="1985"/>
        <w:gridCol w:w="1701"/>
        <w:gridCol w:w="2976"/>
      </w:tblGrid>
      <w:tr w14:paraId="365B1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14:paraId="56D45DDF">
            <w:pPr>
              <w:pStyle w:val="10"/>
              <w:spacing w:beforeAutospacing="0" w:afterAutospacing="0"/>
              <w:ind w:firstLine="422"/>
              <w:rPr>
                <w:rFonts w:cs="宋体" w:asciiTheme="minorEastAsia" w:hAnsiTheme="minorEastAsia"/>
                <w:b/>
                <w:bCs/>
                <w:color w:val="auto"/>
                <w:sz w:val="21"/>
                <w:szCs w:val="21"/>
              </w:rPr>
            </w:pPr>
            <w:r>
              <w:rPr>
                <w:rFonts w:hint="eastAsia" w:cs="宋体" w:asciiTheme="minorEastAsia" w:hAnsiTheme="minorEastAsia"/>
                <w:b/>
                <w:bCs/>
                <w:color w:val="auto"/>
                <w:sz w:val="21"/>
                <w:szCs w:val="21"/>
              </w:rPr>
              <w:t>序号</w:t>
            </w:r>
          </w:p>
        </w:tc>
        <w:tc>
          <w:tcPr>
            <w:tcW w:w="1845" w:type="dxa"/>
            <w:vAlign w:val="center"/>
          </w:tcPr>
          <w:p w14:paraId="2C22175F">
            <w:pPr>
              <w:pStyle w:val="10"/>
              <w:spacing w:beforeAutospacing="0" w:afterAutospacing="0"/>
              <w:ind w:firstLine="422" w:firstLineChars="200"/>
              <w:rPr>
                <w:rFonts w:cs="宋体" w:asciiTheme="minorEastAsia" w:hAnsiTheme="minorEastAsia"/>
                <w:b/>
                <w:bCs/>
                <w:color w:val="auto"/>
                <w:sz w:val="21"/>
                <w:szCs w:val="21"/>
              </w:rPr>
            </w:pPr>
            <w:r>
              <w:rPr>
                <w:rFonts w:hint="eastAsia" w:asciiTheme="minorEastAsia" w:hAnsiTheme="minorEastAsia"/>
                <w:b/>
                <w:bCs/>
                <w:color w:val="auto"/>
                <w:sz w:val="21"/>
                <w:szCs w:val="21"/>
              </w:rPr>
              <w:t>研修国家</w:t>
            </w:r>
          </w:p>
        </w:tc>
        <w:tc>
          <w:tcPr>
            <w:tcW w:w="1985" w:type="dxa"/>
            <w:vAlign w:val="center"/>
          </w:tcPr>
          <w:p w14:paraId="32E750E8">
            <w:pPr>
              <w:pStyle w:val="10"/>
              <w:spacing w:beforeAutospacing="0" w:afterAutospacing="0"/>
              <w:ind w:firstLine="211" w:firstLineChars="100"/>
              <w:rPr>
                <w:rFonts w:hint="eastAsia" w:asciiTheme="minorEastAsia" w:hAnsiTheme="minorEastAsia"/>
                <w:b/>
                <w:bCs/>
                <w:color w:val="auto"/>
                <w:sz w:val="21"/>
                <w:szCs w:val="21"/>
              </w:rPr>
            </w:pPr>
            <w:r>
              <w:rPr>
                <w:rFonts w:hint="eastAsia" w:asciiTheme="minorEastAsia" w:hAnsiTheme="minorEastAsia"/>
                <w:b/>
                <w:bCs/>
                <w:color w:val="auto"/>
                <w:sz w:val="21"/>
                <w:szCs w:val="21"/>
              </w:rPr>
              <w:t>暂定研修人数</w:t>
            </w:r>
          </w:p>
        </w:tc>
        <w:tc>
          <w:tcPr>
            <w:tcW w:w="1701" w:type="dxa"/>
            <w:vAlign w:val="center"/>
          </w:tcPr>
          <w:p w14:paraId="08E3CF91">
            <w:pPr>
              <w:pStyle w:val="10"/>
              <w:spacing w:beforeAutospacing="0" w:afterAutospacing="0"/>
              <w:rPr>
                <w:rFonts w:cs="宋体" w:asciiTheme="minorEastAsia" w:hAnsiTheme="minorEastAsia"/>
                <w:b/>
                <w:bCs/>
                <w:color w:val="auto"/>
                <w:sz w:val="21"/>
                <w:szCs w:val="21"/>
              </w:rPr>
            </w:pPr>
            <w:r>
              <w:rPr>
                <w:rFonts w:cs="宋体" w:asciiTheme="minorEastAsia" w:hAnsiTheme="minorEastAsia"/>
                <w:b/>
                <w:bCs/>
                <w:color w:val="auto"/>
                <w:sz w:val="21"/>
                <w:szCs w:val="21"/>
              </w:rPr>
              <w:t>投标报价单价</w:t>
            </w:r>
          </w:p>
          <w:p w14:paraId="7B48E3E1">
            <w:pPr>
              <w:pStyle w:val="10"/>
              <w:spacing w:beforeAutospacing="0" w:afterAutospacing="0"/>
              <w:ind w:firstLine="211" w:firstLineChars="100"/>
              <w:rPr>
                <w:rFonts w:cs="宋体" w:asciiTheme="minorEastAsia" w:hAnsiTheme="minorEastAsia"/>
                <w:b/>
                <w:bCs/>
                <w:color w:val="auto"/>
                <w:sz w:val="21"/>
                <w:szCs w:val="21"/>
              </w:rPr>
            </w:pPr>
            <w:r>
              <w:rPr>
                <w:rFonts w:cs="宋体" w:asciiTheme="minorEastAsia" w:hAnsiTheme="minorEastAsia"/>
                <w:b/>
                <w:bCs/>
                <w:color w:val="auto"/>
                <w:sz w:val="21"/>
                <w:szCs w:val="21"/>
              </w:rPr>
              <w:t>（元</w:t>
            </w:r>
            <w:r>
              <w:rPr>
                <w:rFonts w:hint="eastAsia" w:cs="宋体" w:asciiTheme="minorEastAsia" w:hAnsiTheme="minorEastAsia"/>
                <w:b/>
                <w:bCs/>
                <w:color w:val="auto"/>
                <w:sz w:val="21"/>
                <w:szCs w:val="21"/>
              </w:rPr>
              <w:t>/人</w:t>
            </w:r>
            <w:r>
              <w:rPr>
                <w:rFonts w:cs="宋体" w:asciiTheme="minorEastAsia" w:hAnsiTheme="minorEastAsia"/>
                <w:b/>
                <w:bCs/>
                <w:color w:val="auto"/>
                <w:sz w:val="21"/>
                <w:szCs w:val="21"/>
              </w:rPr>
              <w:t>）</w:t>
            </w:r>
          </w:p>
        </w:tc>
        <w:tc>
          <w:tcPr>
            <w:tcW w:w="2976" w:type="dxa"/>
            <w:vAlign w:val="center"/>
          </w:tcPr>
          <w:p w14:paraId="759DC2AD">
            <w:pPr>
              <w:pStyle w:val="10"/>
              <w:spacing w:beforeAutospacing="0" w:afterAutospacing="0"/>
              <w:rPr>
                <w:rFonts w:hint="eastAsia" w:cs="宋体" w:asciiTheme="minorEastAsia" w:hAnsiTheme="minorEastAsia"/>
                <w:color w:val="auto"/>
                <w:szCs w:val="21"/>
              </w:rPr>
            </w:pPr>
            <w:bookmarkStart w:id="199" w:name="OLE_LINK6"/>
            <w:bookmarkStart w:id="200" w:name="OLE_LINK7"/>
            <w:r>
              <w:rPr>
                <w:rFonts w:hint="eastAsia" w:cs="宋体" w:asciiTheme="minorEastAsia" w:hAnsiTheme="minorEastAsia"/>
                <w:color w:val="auto"/>
                <w:szCs w:val="21"/>
              </w:rPr>
              <w:t>暂定拟派去往研修国家研修人员比例</w:t>
            </w:r>
            <w:bookmarkEnd w:id="199"/>
            <w:bookmarkEnd w:id="200"/>
          </w:p>
        </w:tc>
      </w:tr>
      <w:tr w14:paraId="76232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14:paraId="0C75A10D">
            <w:pPr>
              <w:pStyle w:val="10"/>
              <w:spacing w:beforeAutospacing="0" w:afterAutospacing="0" w:line="500" w:lineRule="exact"/>
              <w:ind w:firstLine="420"/>
              <w:rPr>
                <w:rFonts w:cs="宋体" w:asciiTheme="minorEastAsia" w:hAnsiTheme="minorEastAsia"/>
                <w:bCs/>
                <w:color w:val="auto"/>
                <w:sz w:val="21"/>
                <w:szCs w:val="21"/>
              </w:rPr>
            </w:pPr>
            <w:r>
              <w:rPr>
                <w:rFonts w:hint="eastAsia" w:cs="宋体" w:asciiTheme="minorEastAsia" w:hAnsiTheme="minorEastAsia"/>
                <w:bCs/>
                <w:color w:val="auto"/>
                <w:sz w:val="21"/>
                <w:szCs w:val="21"/>
              </w:rPr>
              <w:t>1</w:t>
            </w:r>
          </w:p>
        </w:tc>
        <w:tc>
          <w:tcPr>
            <w:tcW w:w="1845" w:type="dxa"/>
            <w:vAlign w:val="center"/>
          </w:tcPr>
          <w:p w14:paraId="17B0144A">
            <w:pPr>
              <w:pStyle w:val="10"/>
              <w:spacing w:beforeAutospacing="0" w:afterAutospacing="0" w:line="500" w:lineRule="exact"/>
              <w:ind w:firstLine="420" w:firstLineChars="200"/>
              <w:rPr>
                <w:rFonts w:cs="宋体" w:asciiTheme="minorEastAsia" w:hAnsiTheme="minorEastAsia"/>
                <w:bCs/>
                <w:color w:val="auto"/>
                <w:sz w:val="21"/>
                <w:szCs w:val="21"/>
              </w:rPr>
            </w:pPr>
            <w:r>
              <w:rPr>
                <w:rFonts w:hint="eastAsia" w:cs="宋体" w:asciiTheme="minorEastAsia" w:hAnsiTheme="minorEastAsia"/>
                <w:bCs/>
                <w:color w:val="auto"/>
                <w:sz w:val="21"/>
                <w:szCs w:val="21"/>
              </w:rPr>
              <w:t>意大利</w:t>
            </w:r>
          </w:p>
        </w:tc>
        <w:tc>
          <w:tcPr>
            <w:tcW w:w="1985" w:type="dxa"/>
            <w:vAlign w:val="center"/>
          </w:tcPr>
          <w:p w14:paraId="590726EF">
            <w:pPr>
              <w:pStyle w:val="10"/>
              <w:spacing w:beforeAutospacing="0" w:afterAutospacing="0" w:line="500" w:lineRule="exact"/>
              <w:ind w:firstLine="630" w:firstLineChars="300"/>
              <w:rPr>
                <w:rFonts w:cs="宋体" w:asciiTheme="minorEastAsia" w:hAnsiTheme="minorEastAsia"/>
                <w:bCs/>
                <w:color w:val="auto"/>
                <w:sz w:val="21"/>
                <w:szCs w:val="21"/>
              </w:rPr>
            </w:pPr>
            <w:r>
              <w:rPr>
                <w:rFonts w:cs="宋体" w:asciiTheme="minorEastAsia" w:hAnsiTheme="minorEastAsia"/>
                <w:bCs/>
                <w:color w:val="auto"/>
                <w:sz w:val="21"/>
                <w:szCs w:val="21"/>
              </w:rPr>
              <w:t>2</w:t>
            </w:r>
          </w:p>
        </w:tc>
        <w:tc>
          <w:tcPr>
            <w:tcW w:w="1701" w:type="dxa"/>
            <w:vAlign w:val="center"/>
          </w:tcPr>
          <w:p w14:paraId="3ED46B3F">
            <w:pPr>
              <w:pStyle w:val="10"/>
              <w:spacing w:beforeAutospacing="0" w:afterAutospacing="0" w:line="500" w:lineRule="exact"/>
              <w:ind w:firstLine="420"/>
              <w:jc w:val="center"/>
              <w:rPr>
                <w:rFonts w:cs="宋体" w:asciiTheme="minorEastAsia" w:hAnsiTheme="minorEastAsia"/>
                <w:bCs/>
                <w:color w:val="auto"/>
                <w:sz w:val="21"/>
                <w:szCs w:val="21"/>
              </w:rPr>
            </w:pPr>
          </w:p>
        </w:tc>
        <w:tc>
          <w:tcPr>
            <w:tcW w:w="2976" w:type="dxa"/>
            <w:vAlign w:val="center"/>
          </w:tcPr>
          <w:p w14:paraId="7E9DE284">
            <w:pPr>
              <w:pStyle w:val="10"/>
              <w:spacing w:beforeAutospacing="0" w:afterAutospacing="0" w:line="500" w:lineRule="exact"/>
              <w:ind w:firstLine="1260" w:firstLineChars="600"/>
              <w:rPr>
                <w:rFonts w:cs="宋体" w:asciiTheme="minorEastAsia" w:hAnsiTheme="minorEastAsia"/>
                <w:bCs/>
                <w:color w:val="auto"/>
                <w:sz w:val="21"/>
                <w:szCs w:val="21"/>
              </w:rPr>
            </w:pPr>
            <w:r>
              <w:rPr>
                <w:rFonts w:hint="eastAsia" w:cs="宋体" w:asciiTheme="minorEastAsia" w:hAnsiTheme="minorEastAsia"/>
                <w:bCs/>
                <w:color w:val="auto"/>
                <w:sz w:val="21"/>
                <w:szCs w:val="21"/>
              </w:rPr>
              <w:t>2</w:t>
            </w:r>
            <w:r>
              <w:rPr>
                <w:rFonts w:cs="宋体" w:asciiTheme="minorEastAsia" w:hAnsiTheme="minorEastAsia"/>
                <w:bCs/>
                <w:color w:val="auto"/>
                <w:sz w:val="21"/>
                <w:szCs w:val="21"/>
              </w:rPr>
              <w:t>0%</w:t>
            </w:r>
          </w:p>
        </w:tc>
      </w:tr>
      <w:tr w14:paraId="078C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14:paraId="3D7213D7">
            <w:pPr>
              <w:pStyle w:val="10"/>
              <w:spacing w:beforeAutospacing="0" w:afterAutospacing="0" w:line="500" w:lineRule="exact"/>
              <w:ind w:firstLine="420"/>
              <w:rPr>
                <w:rFonts w:cs="宋体" w:asciiTheme="minorEastAsia" w:hAnsiTheme="minorEastAsia"/>
                <w:bCs/>
                <w:color w:val="auto"/>
                <w:sz w:val="21"/>
                <w:szCs w:val="21"/>
              </w:rPr>
            </w:pPr>
            <w:r>
              <w:rPr>
                <w:rFonts w:hint="eastAsia" w:cs="宋体" w:asciiTheme="minorEastAsia" w:hAnsiTheme="minorEastAsia"/>
                <w:bCs/>
                <w:color w:val="auto"/>
                <w:sz w:val="21"/>
                <w:szCs w:val="21"/>
              </w:rPr>
              <w:t>2</w:t>
            </w:r>
          </w:p>
        </w:tc>
        <w:tc>
          <w:tcPr>
            <w:tcW w:w="1845" w:type="dxa"/>
            <w:vAlign w:val="center"/>
          </w:tcPr>
          <w:p w14:paraId="5C7001EF">
            <w:pPr>
              <w:pStyle w:val="10"/>
              <w:spacing w:beforeAutospacing="0" w:afterAutospacing="0" w:line="500" w:lineRule="exact"/>
              <w:ind w:firstLine="630" w:firstLineChars="300"/>
              <w:rPr>
                <w:rFonts w:cs="宋体" w:asciiTheme="minorEastAsia" w:hAnsiTheme="minorEastAsia"/>
                <w:bCs/>
                <w:color w:val="auto"/>
                <w:sz w:val="21"/>
                <w:szCs w:val="21"/>
              </w:rPr>
            </w:pPr>
            <w:r>
              <w:rPr>
                <w:rFonts w:hint="eastAsia" w:cs="宋体" w:asciiTheme="minorEastAsia" w:hAnsiTheme="minorEastAsia"/>
                <w:color w:val="auto"/>
                <w:sz w:val="21"/>
                <w:szCs w:val="21"/>
              </w:rPr>
              <w:t>英国</w:t>
            </w:r>
          </w:p>
        </w:tc>
        <w:tc>
          <w:tcPr>
            <w:tcW w:w="1985" w:type="dxa"/>
            <w:vAlign w:val="center"/>
          </w:tcPr>
          <w:p w14:paraId="50071E11">
            <w:pPr>
              <w:pStyle w:val="10"/>
              <w:spacing w:beforeAutospacing="0" w:afterAutospacing="0" w:line="500" w:lineRule="exact"/>
              <w:ind w:firstLine="630" w:firstLineChars="300"/>
              <w:rPr>
                <w:rFonts w:cs="宋体" w:asciiTheme="minorEastAsia" w:hAnsiTheme="minorEastAsia"/>
                <w:bCs/>
                <w:color w:val="auto"/>
                <w:sz w:val="21"/>
                <w:szCs w:val="21"/>
              </w:rPr>
            </w:pPr>
            <w:r>
              <w:rPr>
                <w:rFonts w:cs="宋体" w:asciiTheme="minorEastAsia" w:hAnsiTheme="minorEastAsia"/>
                <w:bCs/>
                <w:color w:val="auto"/>
                <w:sz w:val="21"/>
                <w:szCs w:val="21"/>
              </w:rPr>
              <w:t>2</w:t>
            </w:r>
          </w:p>
        </w:tc>
        <w:tc>
          <w:tcPr>
            <w:tcW w:w="1701" w:type="dxa"/>
            <w:vAlign w:val="center"/>
          </w:tcPr>
          <w:p w14:paraId="3215C0A9">
            <w:pPr>
              <w:pStyle w:val="10"/>
              <w:spacing w:beforeAutospacing="0" w:afterAutospacing="0" w:line="500" w:lineRule="exact"/>
              <w:ind w:firstLine="420"/>
              <w:jc w:val="center"/>
              <w:rPr>
                <w:rFonts w:cs="宋体" w:asciiTheme="minorEastAsia" w:hAnsiTheme="minorEastAsia"/>
                <w:bCs/>
                <w:color w:val="auto"/>
                <w:sz w:val="21"/>
                <w:szCs w:val="21"/>
              </w:rPr>
            </w:pPr>
          </w:p>
        </w:tc>
        <w:tc>
          <w:tcPr>
            <w:tcW w:w="2976" w:type="dxa"/>
            <w:vAlign w:val="center"/>
          </w:tcPr>
          <w:p w14:paraId="26530255">
            <w:pPr>
              <w:pStyle w:val="10"/>
              <w:spacing w:beforeAutospacing="0" w:afterAutospacing="0" w:line="500" w:lineRule="exact"/>
              <w:ind w:firstLine="1260" w:firstLineChars="600"/>
              <w:rPr>
                <w:rFonts w:cs="宋体" w:asciiTheme="minorEastAsia" w:hAnsiTheme="minorEastAsia"/>
                <w:bCs/>
                <w:color w:val="auto"/>
                <w:sz w:val="21"/>
                <w:szCs w:val="21"/>
              </w:rPr>
            </w:pPr>
            <w:r>
              <w:rPr>
                <w:rFonts w:hint="eastAsia" w:cs="宋体" w:asciiTheme="minorEastAsia" w:hAnsiTheme="minorEastAsia"/>
                <w:bCs/>
                <w:color w:val="auto"/>
                <w:sz w:val="21"/>
                <w:szCs w:val="21"/>
              </w:rPr>
              <w:t>2</w:t>
            </w:r>
            <w:r>
              <w:rPr>
                <w:rFonts w:cs="宋体" w:asciiTheme="minorEastAsia" w:hAnsiTheme="minorEastAsia"/>
                <w:bCs/>
                <w:color w:val="auto"/>
                <w:sz w:val="21"/>
                <w:szCs w:val="21"/>
              </w:rPr>
              <w:t>0%</w:t>
            </w:r>
          </w:p>
        </w:tc>
      </w:tr>
      <w:tr w14:paraId="3D9FD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14:paraId="424281D1">
            <w:pPr>
              <w:pStyle w:val="10"/>
              <w:spacing w:beforeAutospacing="0" w:afterAutospacing="0" w:line="500" w:lineRule="exact"/>
              <w:ind w:firstLine="420"/>
              <w:rPr>
                <w:rFonts w:cs="宋体" w:asciiTheme="minorEastAsia" w:hAnsiTheme="minorEastAsia"/>
                <w:bCs/>
                <w:color w:val="auto"/>
                <w:sz w:val="21"/>
                <w:szCs w:val="21"/>
              </w:rPr>
            </w:pPr>
            <w:r>
              <w:rPr>
                <w:rFonts w:hint="eastAsia" w:cs="宋体" w:asciiTheme="minorEastAsia" w:hAnsiTheme="minorEastAsia"/>
                <w:bCs/>
                <w:color w:val="auto"/>
                <w:sz w:val="21"/>
                <w:szCs w:val="21"/>
              </w:rPr>
              <w:t>3</w:t>
            </w:r>
          </w:p>
        </w:tc>
        <w:tc>
          <w:tcPr>
            <w:tcW w:w="1845" w:type="dxa"/>
            <w:vAlign w:val="center"/>
          </w:tcPr>
          <w:p w14:paraId="0C7B0A6B">
            <w:pPr>
              <w:pStyle w:val="10"/>
              <w:spacing w:beforeAutospacing="0" w:afterAutospacing="0" w:line="500" w:lineRule="exact"/>
              <w:ind w:firstLine="630" w:firstLineChars="300"/>
              <w:rPr>
                <w:rFonts w:cs="宋体" w:asciiTheme="minorEastAsia" w:hAnsiTheme="minorEastAsia"/>
                <w:bCs/>
                <w:color w:val="auto"/>
                <w:sz w:val="21"/>
                <w:szCs w:val="21"/>
              </w:rPr>
            </w:pPr>
            <w:r>
              <w:rPr>
                <w:rFonts w:cs="宋体" w:asciiTheme="minorEastAsia" w:hAnsiTheme="minorEastAsia"/>
                <w:bCs/>
                <w:color w:val="auto"/>
                <w:sz w:val="21"/>
                <w:szCs w:val="21"/>
              </w:rPr>
              <w:t>美国</w:t>
            </w:r>
          </w:p>
        </w:tc>
        <w:tc>
          <w:tcPr>
            <w:tcW w:w="1985" w:type="dxa"/>
            <w:vAlign w:val="center"/>
          </w:tcPr>
          <w:p w14:paraId="674B5607">
            <w:pPr>
              <w:pStyle w:val="10"/>
              <w:spacing w:beforeAutospacing="0" w:afterAutospacing="0" w:line="500" w:lineRule="exact"/>
              <w:ind w:firstLine="630" w:firstLineChars="300"/>
              <w:rPr>
                <w:rFonts w:cs="宋体" w:asciiTheme="minorEastAsia" w:hAnsiTheme="minorEastAsia"/>
                <w:bCs/>
                <w:color w:val="auto"/>
                <w:sz w:val="21"/>
                <w:szCs w:val="21"/>
              </w:rPr>
            </w:pPr>
            <w:r>
              <w:rPr>
                <w:rFonts w:cs="宋体" w:asciiTheme="minorEastAsia" w:hAnsiTheme="minorEastAsia"/>
                <w:bCs/>
                <w:color w:val="auto"/>
                <w:sz w:val="21"/>
                <w:szCs w:val="21"/>
              </w:rPr>
              <w:t>6</w:t>
            </w:r>
          </w:p>
        </w:tc>
        <w:tc>
          <w:tcPr>
            <w:tcW w:w="1701" w:type="dxa"/>
            <w:vAlign w:val="center"/>
          </w:tcPr>
          <w:p w14:paraId="65886BE3">
            <w:pPr>
              <w:pStyle w:val="10"/>
              <w:spacing w:beforeAutospacing="0" w:afterAutospacing="0" w:line="500" w:lineRule="exact"/>
              <w:ind w:firstLine="420"/>
              <w:jc w:val="center"/>
              <w:rPr>
                <w:rFonts w:cs="宋体" w:asciiTheme="minorEastAsia" w:hAnsiTheme="minorEastAsia"/>
                <w:bCs/>
                <w:color w:val="auto"/>
                <w:sz w:val="21"/>
                <w:szCs w:val="21"/>
              </w:rPr>
            </w:pPr>
          </w:p>
        </w:tc>
        <w:tc>
          <w:tcPr>
            <w:tcW w:w="2976" w:type="dxa"/>
            <w:vAlign w:val="center"/>
          </w:tcPr>
          <w:p w14:paraId="6C7975E3">
            <w:pPr>
              <w:pStyle w:val="10"/>
              <w:spacing w:beforeAutospacing="0" w:afterAutospacing="0" w:line="500" w:lineRule="exact"/>
              <w:ind w:firstLine="1260" w:firstLineChars="600"/>
              <w:rPr>
                <w:rFonts w:cs="宋体" w:asciiTheme="minorEastAsia" w:hAnsiTheme="minorEastAsia"/>
                <w:bCs/>
                <w:color w:val="auto"/>
                <w:sz w:val="21"/>
                <w:szCs w:val="21"/>
              </w:rPr>
            </w:pPr>
            <w:r>
              <w:rPr>
                <w:rFonts w:hint="eastAsia" w:cs="宋体" w:asciiTheme="minorEastAsia" w:hAnsiTheme="minorEastAsia"/>
                <w:bCs/>
                <w:color w:val="auto"/>
                <w:sz w:val="21"/>
                <w:szCs w:val="21"/>
              </w:rPr>
              <w:t>6</w:t>
            </w:r>
            <w:r>
              <w:rPr>
                <w:rFonts w:cs="宋体" w:asciiTheme="minorEastAsia" w:hAnsiTheme="minorEastAsia"/>
                <w:bCs/>
                <w:color w:val="auto"/>
                <w:sz w:val="21"/>
                <w:szCs w:val="21"/>
              </w:rPr>
              <w:t>0%</w:t>
            </w:r>
          </w:p>
        </w:tc>
      </w:tr>
      <w:tr w14:paraId="7973F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vAlign w:val="center"/>
          </w:tcPr>
          <w:p w14:paraId="244752A1">
            <w:pPr>
              <w:pStyle w:val="10"/>
              <w:spacing w:beforeAutospacing="0" w:afterAutospacing="0" w:line="500" w:lineRule="exact"/>
              <w:ind w:firstLine="420"/>
              <w:rPr>
                <w:rFonts w:cs="宋体" w:asciiTheme="minorEastAsia" w:hAnsiTheme="minorEastAsia"/>
                <w:bCs/>
                <w:color w:val="auto"/>
                <w:sz w:val="21"/>
                <w:szCs w:val="21"/>
              </w:rPr>
            </w:pPr>
            <w:r>
              <w:rPr>
                <w:rFonts w:cs="宋体" w:asciiTheme="minorEastAsia" w:hAnsiTheme="minorEastAsia"/>
                <w:bCs/>
                <w:color w:val="auto"/>
                <w:sz w:val="21"/>
                <w:szCs w:val="21"/>
              </w:rPr>
              <w:t>4</w:t>
            </w:r>
          </w:p>
        </w:tc>
        <w:tc>
          <w:tcPr>
            <w:tcW w:w="1845" w:type="dxa"/>
            <w:vAlign w:val="center"/>
          </w:tcPr>
          <w:p w14:paraId="5F39AF59">
            <w:pPr>
              <w:pStyle w:val="10"/>
              <w:spacing w:beforeAutospacing="0" w:afterAutospacing="0" w:line="500" w:lineRule="exact"/>
              <w:ind w:firstLine="420"/>
              <w:rPr>
                <w:rFonts w:asciiTheme="minorEastAsia" w:hAnsiTheme="minorEastAsia"/>
                <w:color w:val="auto"/>
                <w:sz w:val="21"/>
                <w:szCs w:val="21"/>
              </w:rPr>
            </w:pPr>
            <w:r>
              <w:rPr>
                <w:rFonts w:hint="eastAsia" w:asciiTheme="minorEastAsia" w:hAnsiTheme="minorEastAsia"/>
                <w:color w:val="auto"/>
                <w:sz w:val="21"/>
                <w:szCs w:val="21"/>
              </w:rPr>
              <w:t>合</w:t>
            </w:r>
            <w:r>
              <w:rPr>
                <w:rFonts w:asciiTheme="minorEastAsia" w:hAnsiTheme="minorEastAsia"/>
                <w:color w:val="auto"/>
                <w:sz w:val="21"/>
                <w:szCs w:val="21"/>
              </w:rPr>
              <w:t>计（元）</w:t>
            </w:r>
          </w:p>
        </w:tc>
        <w:tc>
          <w:tcPr>
            <w:tcW w:w="6662" w:type="dxa"/>
            <w:gridSpan w:val="3"/>
            <w:vAlign w:val="center"/>
          </w:tcPr>
          <w:p w14:paraId="41C9E571">
            <w:pPr>
              <w:pStyle w:val="10"/>
              <w:spacing w:beforeAutospacing="0" w:afterAutospacing="0" w:line="500" w:lineRule="exact"/>
              <w:ind w:firstLine="420"/>
              <w:jc w:val="center"/>
              <w:rPr>
                <w:rFonts w:cs="宋体" w:asciiTheme="minorEastAsia" w:hAnsiTheme="minorEastAsia"/>
                <w:bCs/>
                <w:color w:val="auto"/>
                <w:sz w:val="21"/>
                <w:szCs w:val="21"/>
              </w:rPr>
            </w:pPr>
          </w:p>
        </w:tc>
      </w:tr>
    </w:tbl>
    <w:p w14:paraId="009E5FF8">
      <w:pPr>
        <w:pStyle w:val="10"/>
        <w:spacing w:beforeAutospacing="0" w:afterAutospacing="0"/>
        <w:jc w:val="both"/>
        <w:rPr>
          <w:rFonts w:ascii="宋体" w:hAnsi="宋体" w:eastAsia="宋体" w:cs="宋体"/>
          <w:color w:val="auto"/>
        </w:rPr>
      </w:pPr>
    </w:p>
    <w:p w14:paraId="31A5876E">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注：上述研修人数为暂定，最终数量按甲方实际确认的委派研修人员数量进行结算，结算时按投标报价中的单价执行。其中，拟派去美国研修人员比例不得低于上述报价表中的比例要求。</w:t>
      </w:r>
    </w:p>
    <w:p w14:paraId="0D48C5C8">
      <w:pPr>
        <w:pStyle w:val="10"/>
        <w:spacing w:beforeAutospacing="0" w:afterAutospacing="0" w:line="460" w:lineRule="exact"/>
        <w:ind w:firstLine="480" w:firstLineChars="200"/>
        <w:jc w:val="both"/>
        <w:rPr>
          <w:rFonts w:ascii="宋体" w:hAnsi="宋体" w:eastAsia="宋体" w:cs="宋体"/>
          <w:color w:val="auto"/>
        </w:rPr>
      </w:pPr>
      <w:r>
        <w:rPr>
          <w:rFonts w:hint="eastAsia" w:ascii="宋体" w:hAnsi="宋体" w:eastAsia="宋体" w:cs="宋体"/>
          <w:color w:val="auto"/>
        </w:rPr>
        <w:t>投标分项报价表中的投标总报价应与开标一览表中的投标总报价一致，如不一致，不作为无效投标处理，但评标时按开标一览表中价格为准</w:t>
      </w:r>
      <w:r>
        <w:rPr>
          <w:rFonts w:hint="eastAsia" w:ascii="宋体" w:hAnsi="宋体" w:eastAsia="宋体" w:cs="宋体"/>
          <w:b/>
          <w:color w:val="auto"/>
        </w:rPr>
        <w:t>。</w:t>
      </w:r>
    </w:p>
    <w:p w14:paraId="51DFBD5E">
      <w:pPr>
        <w:pStyle w:val="10"/>
        <w:tabs>
          <w:tab w:val="left" w:pos="4864"/>
        </w:tabs>
        <w:spacing w:beforeAutospacing="0" w:afterAutospacing="0" w:line="0" w:lineRule="atLeast"/>
        <w:ind w:right="1560"/>
        <w:rPr>
          <w:rFonts w:ascii="宋体" w:hAnsi="宋体" w:eastAsia="宋体" w:cs="宋体"/>
          <w:color w:val="auto"/>
        </w:rPr>
      </w:pPr>
    </w:p>
    <w:p w14:paraId="03D2C604">
      <w:pPr>
        <w:pStyle w:val="10"/>
        <w:tabs>
          <w:tab w:val="left" w:pos="4864"/>
        </w:tabs>
        <w:spacing w:beforeAutospacing="0" w:afterAutospacing="0" w:line="0" w:lineRule="atLeast"/>
        <w:ind w:right="1560"/>
        <w:rPr>
          <w:color w:val="auto"/>
        </w:rPr>
      </w:pPr>
      <w:r>
        <w:rPr>
          <w:rFonts w:hint="eastAsia" w:ascii="宋体" w:hAnsi="宋体" w:eastAsia="宋体" w:cs="宋体"/>
          <w:color w:val="auto"/>
        </w:rPr>
        <w:t>供应商全称（加盖CA电子公章）：</w:t>
      </w:r>
    </w:p>
    <w:p w14:paraId="07A22DAA">
      <w:pPr>
        <w:pStyle w:val="10"/>
        <w:tabs>
          <w:tab w:val="left" w:pos="4864"/>
        </w:tabs>
        <w:spacing w:beforeAutospacing="0" w:afterAutospacing="0" w:line="0" w:lineRule="atLeast"/>
        <w:ind w:right="1560"/>
        <w:rPr>
          <w:rFonts w:ascii="宋体" w:hAnsi="宋体" w:eastAsia="宋体" w:cs="宋体"/>
          <w:color w:val="auto"/>
        </w:rPr>
      </w:pPr>
    </w:p>
    <w:p w14:paraId="480334DC">
      <w:pPr>
        <w:pStyle w:val="10"/>
        <w:tabs>
          <w:tab w:val="left" w:pos="4864"/>
        </w:tabs>
        <w:spacing w:beforeAutospacing="0" w:afterAutospacing="0" w:line="0" w:lineRule="atLeast"/>
        <w:ind w:right="1560"/>
        <w:rPr>
          <w:color w:val="auto"/>
        </w:rPr>
      </w:pPr>
      <w:r>
        <w:rPr>
          <w:rFonts w:hint="eastAsia" w:ascii="宋体" w:hAnsi="宋体" w:eastAsia="宋体" w:cs="宋体"/>
          <w:color w:val="auto"/>
        </w:rPr>
        <w:t>日  期：</w:t>
      </w:r>
    </w:p>
    <w:p w14:paraId="5C3CDF56">
      <w:pPr>
        <w:pStyle w:val="10"/>
        <w:spacing w:beforeAutospacing="0" w:afterAutospacing="0"/>
        <w:jc w:val="both"/>
        <w:rPr>
          <w:color w:val="auto"/>
        </w:rPr>
      </w:pPr>
    </w:p>
    <w:p w14:paraId="05F298F1">
      <w:pPr>
        <w:pStyle w:val="10"/>
        <w:spacing w:beforeAutospacing="0" w:afterAutospacing="0"/>
        <w:jc w:val="center"/>
        <w:rPr>
          <w:color w:val="auto"/>
        </w:rPr>
      </w:pPr>
      <w:r>
        <w:rPr>
          <w:color w:val="auto"/>
        </w:rPr>
        <w:t> </w:t>
      </w:r>
    </w:p>
    <w:p w14:paraId="39706C2B">
      <w:pPr>
        <w:pStyle w:val="10"/>
        <w:spacing w:beforeAutospacing="0" w:afterAutospacing="0"/>
        <w:jc w:val="center"/>
        <w:rPr>
          <w:color w:val="auto"/>
        </w:rPr>
      </w:pPr>
      <w:r>
        <w:rPr>
          <w:color w:val="auto"/>
        </w:rPr>
        <w:t> </w:t>
      </w:r>
    </w:p>
    <w:p w14:paraId="4A94BB85">
      <w:pPr>
        <w:pStyle w:val="10"/>
        <w:spacing w:beforeAutospacing="0" w:afterAutospacing="0"/>
        <w:jc w:val="center"/>
        <w:rPr>
          <w:color w:val="auto"/>
        </w:rPr>
      </w:pPr>
      <w:r>
        <w:rPr>
          <w:color w:val="auto"/>
        </w:rPr>
        <w:t> </w:t>
      </w:r>
    </w:p>
    <w:p w14:paraId="1D975631">
      <w:pPr>
        <w:widowControl/>
        <w:ind w:firstLine="643"/>
        <w:jc w:val="left"/>
        <w:rPr>
          <w:rFonts w:ascii="黑体" w:hAnsi="宋体" w:eastAsia="黑体" w:cs="黑体"/>
          <w:b/>
          <w:color w:val="auto"/>
          <w:kern w:val="0"/>
          <w:sz w:val="32"/>
          <w:szCs w:val="32"/>
        </w:rPr>
      </w:pPr>
      <w:r>
        <w:rPr>
          <w:rFonts w:ascii="黑体" w:hAnsi="宋体" w:eastAsia="黑体" w:cs="黑体"/>
          <w:b/>
          <w:color w:val="auto"/>
          <w:sz w:val="32"/>
          <w:szCs w:val="32"/>
        </w:rPr>
        <w:br w:type="page"/>
      </w:r>
    </w:p>
    <w:p w14:paraId="4C665761">
      <w:pPr>
        <w:pStyle w:val="10"/>
        <w:spacing w:beforeAutospacing="0" w:afterAutospacing="0"/>
        <w:ind w:firstLine="643"/>
        <w:jc w:val="center"/>
        <w:rPr>
          <w:color w:val="auto"/>
        </w:rPr>
      </w:pPr>
      <w:r>
        <w:rPr>
          <w:rFonts w:hint="eastAsia" w:ascii="黑体" w:hAnsi="宋体" w:eastAsia="黑体" w:cs="黑体"/>
          <w:b/>
          <w:color w:val="auto"/>
          <w:sz w:val="32"/>
          <w:szCs w:val="32"/>
        </w:rPr>
        <w:t>十二、技术要求响应及偏离表</w:t>
      </w:r>
    </w:p>
    <w:tbl>
      <w:tblPr>
        <w:tblStyle w:val="1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8C67D6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5DDE08D">
            <w:pPr>
              <w:pStyle w:val="10"/>
              <w:spacing w:beforeAutospacing="0" w:afterAutospacing="0"/>
              <w:jc w:val="center"/>
              <w:rPr>
                <w:color w:val="auto"/>
              </w:rPr>
            </w:pPr>
            <w:r>
              <w:rPr>
                <w:rFonts w:hint="eastAsia" w:ascii="宋体" w:hAnsi="宋体" w:eastAsia="宋体" w:cs="宋体"/>
                <w:color w:val="auto"/>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4FD1E111">
            <w:pPr>
              <w:pStyle w:val="10"/>
              <w:spacing w:beforeAutospacing="0" w:afterAutospacing="0"/>
              <w:jc w:val="center"/>
              <w:rPr>
                <w:color w:val="auto"/>
              </w:rPr>
            </w:pPr>
            <w:r>
              <w:rPr>
                <w:rFonts w:hint="eastAsia" w:ascii="宋体" w:hAnsi="宋体" w:eastAsia="宋体" w:cs="宋体"/>
                <w:color w:val="auto"/>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2DD6C2EF">
            <w:pPr>
              <w:pStyle w:val="10"/>
              <w:spacing w:beforeAutospacing="0" w:afterAutospacing="0"/>
              <w:jc w:val="center"/>
              <w:rPr>
                <w:color w:val="auto"/>
              </w:rPr>
            </w:pPr>
            <w:r>
              <w:rPr>
                <w:rFonts w:hint="eastAsia" w:ascii="宋体" w:hAnsi="宋体" w:eastAsia="宋体" w:cs="宋体"/>
                <w:color w:val="auto"/>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6B9F4F6C">
            <w:pPr>
              <w:pStyle w:val="10"/>
              <w:spacing w:beforeAutospacing="0" w:afterAutospacing="0"/>
              <w:jc w:val="center"/>
              <w:rPr>
                <w:color w:val="auto"/>
              </w:rPr>
            </w:pPr>
            <w:r>
              <w:rPr>
                <w:rFonts w:hint="eastAsia" w:ascii="宋体" w:hAnsi="宋体" w:eastAsia="宋体" w:cs="宋体"/>
                <w:color w:val="auto"/>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19E50C9B">
            <w:pPr>
              <w:pStyle w:val="10"/>
              <w:spacing w:beforeAutospacing="0" w:afterAutospacing="0"/>
              <w:jc w:val="center"/>
              <w:rPr>
                <w:color w:val="auto"/>
              </w:rPr>
            </w:pPr>
            <w:r>
              <w:rPr>
                <w:rFonts w:hint="eastAsia" w:ascii="宋体" w:hAnsi="宋体" w:eastAsia="宋体" w:cs="宋体"/>
                <w:color w:val="auto"/>
              </w:rPr>
              <w:t>证明</w:t>
            </w:r>
          </w:p>
          <w:p w14:paraId="0AA567DE">
            <w:pPr>
              <w:pStyle w:val="10"/>
              <w:spacing w:beforeAutospacing="0" w:afterAutospacing="0"/>
              <w:jc w:val="center"/>
              <w:rPr>
                <w:color w:val="auto"/>
              </w:rPr>
            </w:pPr>
            <w:r>
              <w:rPr>
                <w:rFonts w:hint="eastAsia" w:ascii="宋体" w:hAnsi="宋体" w:eastAsia="宋体" w:cs="宋体"/>
                <w:color w:val="auto"/>
              </w:rPr>
              <w:t>材料</w:t>
            </w:r>
          </w:p>
        </w:tc>
      </w:tr>
      <w:tr w14:paraId="2D55E8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E913A6D">
            <w:pPr>
              <w:pStyle w:val="10"/>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4693F98">
            <w:pPr>
              <w:pStyle w:val="10"/>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63E1D89">
            <w:pPr>
              <w:pStyle w:val="10"/>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CD87EF9">
            <w:pPr>
              <w:pStyle w:val="10"/>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BA5079C">
            <w:pPr>
              <w:pStyle w:val="10"/>
              <w:spacing w:beforeAutospacing="0" w:afterAutospacing="0"/>
              <w:jc w:val="center"/>
              <w:rPr>
                <w:color w:val="auto"/>
              </w:rPr>
            </w:pPr>
            <w:r>
              <w:rPr>
                <w:color w:val="auto"/>
              </w:rPr>
              <w:t> </w:t>
            </w:r>
          </w:p>
        </w:tc>
      </w:tr>
      <w:tr w14:paraId="6A22AA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109958B">
            <w:pPr>
              <w:pStyle w:val="10"/>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FFE19D3">
            <w:pPr>
              <w:pStyle w:val="10"/>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D7B75A1">
            <w:pPr>
              <w:pStyle w:val="10"/>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87FC8BB">
            <w:pPr>
              <w:pStyle w:val="10"/>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A5BFCA8">
            <w:pPr>
              <w:pStyle w:val="10"/>
              <w:spacing w:beforeAutospacing="0" w:afterAutospacing="0"/>
              <w:jc w:val="center"/>
              <w:rPr>
                <w:color w:val="auto"/>
              </w:rPr>
            </w:pPr>
            <w:r>
              <w:rPr>
                <w:color w:val="auto"/>
              </w:rPr>
              <w:t> </w:t>
            </w:r>
          </w:p>
        </w:tc>
      </w:tr>
      <w:tr w14:paraId="0A96D9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91845D8">
            <w:pPr>
              <w:pStyle w:val="10"/>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BEF83CE">
            <w:pPr>
              <w:pStyle w:val="10"/>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805206A">
            <w:pPr>
              <w:pStyle w:val="10"/>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C664FE1">
            <w:pPr>
              <w:pStyle w:val="10"/>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47581DA">
            <w:pPr>
              <w:pStyle w:val="10"/>
              <w:spacing w:beforeAutospacing="0" w:afterAutospacing="0"/>
              <w:jc w:val="center"/>
              <w:rPr>
                <w:color w:val="auto"/>
              </w:rPr>
            </w:pPr>
            <w:r>
              <w:rPr>
                <w:color w:val="auto"/>
              </w:rPr>
              <w:t> </w:t>
            </w:r>
          </w:p>
        </w:tc>
      </w:tr>
      <w:tr w14:paraId="6A3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A1F5B2F">
            <w:pPr>
              <w:pStyle w:val="10"/>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6FDB8D7">
            <w:pPr>
              <w:pStyle w:val="10"/>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9FEDA57">
            <w:pPr>
              <w:pStyle w:val="10"/>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7CCB6AD">
            <w:pPr>
              <w:pStyle w:val="10"/>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03D1883">
            <w:pPr>
              <w:pStyle w:val="10"/>
              <w:spacing w:beforeAutospacing="0" w:afterAutospacing="0"/>
              <w:jc w:val="center"/>
              <w:rPr>
                <w:color w:val="auto"/>
              </w:rPr>
            </w:pPr>
            <w:r>
              <w:rPr>
                <w:color w:val="auto"/>
              </w:rPr>
              <w:t> </w:t>
            </w:r>
          </w:p>
        </w:tc>
      </w:tr>
      <w:tr w14:paraId="1FD103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A28B157">
            <w:pPr>
              <w:pStyle w:val="10"/>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227CAED">
            <w:pPr>
              <w:pStyle w:val="10"/>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EC8D6B9">
            <w:pPr>
              <w:pStyle w:val="10"/>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3FBF19F">
            <w:pPr>
              <w:pStyle w:val="10"/>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CC55CDD">
            <w:pPr>
              <w:pStyle w:val="10"/>
              <w:spacing w:beforeAutospacing="0" w:afterAutospacing="0"/>
              <w:jc w:val="center"/>
              <w:rPr>
                <w:color w:val="auto"/>
              </w:rPr>
            </w:pPr>
            <w:r>
              <w:rPr>
                <w:color w:val="auto"/>
              </w:rPr>
              <w:t> </w:t>
            </w:r>
          </w:p>
        </w:tc>
      </w:tr>
      <w:tr w14:paraId="7E7BEB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79AE6E8">
            <w:pPr>
              <w:pStyle w:val="10"/>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4622274">
            <w:pPr>
              <w:pStyle w:val="10"/>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919B729">
            <w:pPr>
              <w:pStyle w:val="10"/>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FF035ED">
            <w:pPr>
              <w:pStyle w:val="10"/>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5C023FA">
            <w:pPr>
              <w:pStyle w:val="10"/>
              <w:spacing w:beforeAutospacing="0" w:afterAutospacing="0"/>
              <w:jc w:val="center"/>
              <w:rPr>
                <w:color w:val="auto"/>
              </w:rPr>
            </w:pPr>
            <w:r>
              <w:rPr>
                <w:color w:val="auto"/>
              </w:rPr>
              <w:t> </w:t>
            </w:r>
          </w:p>
        </w:tc>
      </w:tr>
      <w:tr w14:paraId="04CD8F2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3E2F401">
            <w:pPr>
              <w:pStyle w:val="10"/>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724C446">
            <w:pPr>
              <w:pStyle w:val="10"/>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6332FF0">
            <w:pPr>
              <w:pStyle w:val="10"/>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7E46148">
            <w:pPr>
              <w:pStyle w:val="10"/>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F8A4035">
            <w:pPr>
              <w:pStyle w:val="10"/>
              <w:spacing w:beforeAutospacing="0" w:afterAutospacing="0"/>
              <w:jc w:val="center"/>
              <w:rPr>
                <w:color w:val="auto"/>
              </w:rPr>
            </w:pPr>
            <w:r>
              <w:rPr>
                <w:color w:val="auto"/>
              </w:rPr>
              <w:t> </w:t>
            </w:r>
          </w:p>
        </w:tc>
      </w:tr>
      <w:tr w14:paraId="42CC7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608F694">
            <w:pPr>
              <w:pStyle w:val="10"/>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BC9BBC6">
            <w:pPr>
              <w:pStyle w:val="10"/>
              <w:spacing w:beforeAutospacing="0" w:afterAutospacing="0"/>
              <w:jc w:val="center"/>
              <w:rPr>
                <w:color w:val="auto"/>
              </w:rPr>
            </w:pPr>
            <w:r>
              <w:rPr>
                <w:rFonts w:hint="eastAsia" w:ascii="宋体" w:hAnsi="宋体" w:eastAsia="宋体" w:cs="宋体"/>
                <w:color w:val="auto"/>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3C5054F4">
            <w:pPr>
              <w:pStyle w:val="10"/>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D3B8EFF">
            <w:pPr>
              <w:pStyle w:val="10"/>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6F890D4">
            <w:pPr>
              <w:pStyle w:val="10"/>
              <w:spacing w:beforeAutospacing="0" w:afterAutospacing="0"/>
              <w:jc w:val="center"/>
              <w:rPr>
                <w:color w:val="auto"/>
              </w:rPr>
            </w:pPr>
            <w:r>
              <w:rPr>
                <w:color w:val="auto"/>
              </w:rPr>
              <w:t> </w:t>
            </w:r>
          </w:p>
        </w:tc>
      </w:tr>
    </w:tbl>
    <w:p w14:paraId="039DC209">
      <w:pPr>
        <w:pStyle w:val="10"/>
        <w:spacing w:beforeAutospacing="0" w:afterAutospacing="0"/>
        <w:jc w:val="both"/>
        <w:rPr>
          <w:color w:val="auto"/>
        </w:rPr>
      </w:pPr>
      <w:r>
        <w:rPr>
          <w:rFonts w:hint="eastAsia" w:ascii="宋体" w:hAnsi="宋体" w:eastAsia="宋体" w:cs="宋体"/>
          <w:color w:val="auto"/>
        </w:rPr>
        <w:t>注： 行数不够，可自行添加。</w:t>
      </w:r>
    </w:p>
    <w:p w14:paraId="15AA5ABF">
      <w:pPr>
        <w:pStyle w:val="10"/>
        <w:spacing w:beforeAutospacing="0" w:afterAutospacing="0"/>
        <w:jc w:val="center"/>
        <w:rPr>
          <w:color w:val="auto"/>
        </w:rPr>
      </w:pPr>
      <w:r>
        <w:rPr>
          <w:color w:val="auto"/>
        </w:rPr>
        <w:t> </w:t>
      </w:r>
    </w:p>
    <w:p w14:paraId="3DE57A72">
      <w:pPr>
        <w:pStyle w:val="10"/>
        <w:spacing w:beforeAutospacing="0" w:afterAutospacing="0"/>
        <w:jc w:val="center"/>
        <w:rPr>
          <w:color w:val="auto"/>
        </w:rPr>
      </w:pPr>
      <w:r>
        <w:rPr>
          <w:color w:val="auto"/>
        </w:rPr>
        <w:t> </w:t>
      </w:r>
    </w:p>
    <w:p w14:paraId="5D8A6DEA">
      <w:pPr>
        <w:pStyle w:val="10"/>
        <w:spacing w:beforeAutospacing="0" w:afterAutospacing="0"/>
        <w:jc w:val="center"/>
        <w:rPr>
          <w:color w:val="auto"/>
        </w:rPr>
      </w:pPr>
      <w:r>
        <w:rPr>
          <w:color w:val="auto"/>
        </w:rPr>
        <w:t> </w:t>
      </w:r>
    </w:p>
    <w:p w14:paraId="4F7E03C8">
      <w:pPr>
        <w:pStyle w:val="10"/>
        <w:spacing w:beforeAutospacing="0" w:afterAutospacing="0"/>
        <w:jc w:val="center"/>
        <w:rPr>
          <w:color w:val="auto"/>
        </w:rPr>
      </w:pPr>
      <w:r>
        <w:rPr>
          <w:color w:val="auto"/>
        </w:rPr>
        <w:t> </w:t>
      </w:r>
    </w:p>
    <w:p w14:paraId="068A4565">
      <w:pPr>
        <w:pStyle w:val="10"/>
        <w:spacing w:beforeAutospacing="0" w:afterAutospacing="0"/>
        <w:jc w:val="both"/>
        <w:rPr>
          <w:color w:val="auto"/>
        </w:rPr>
      </w:pPr>
      <w:r>
        <w:rPr>
          <w:color w:val="auto"/>
        </w:rPr>
        <w:t> </w:t>
      </w:r>
    </w:p>
    <w:p w14:paraId="6EC5A847">
      <w:pPr>
        <w:pStyle w:val="10"/>
        <w:spacing w:beforeAutospacing="0" w:afterAutospacing="0"/>
        <w:jc w:val="both"/>
        <w:rPr>
          <w:color w:val="auto"/>
        </w:rPr>
      </w:pPr>
      <w:r>
        <w:rPr>
          <w:color w:val="auto"/>
        </w:rPr>
        <w:t> </w:t>
      </w:r>
    </w:p>
    <w:p w14:paraId="78FCBE0B">
      <w:pPr>
        <w:pStyle w:val="10"/>
        <w:spacing w:beforeAutospacing="0" w:afterAutospacing="0"/>
        <w:jc w:val="both"/>
        <w:rPr>
          <w:color w:val="auto"/>
        </w:rPr>
      </w:pPr>
      <w:r>
        <w:rPr>
          <w:color w:val="auto"/>
        </w:rPr>
        <w:t> </w:t>
      </w:r>
    </w:p>
    <w:p w14:paraId="174ABED4">
      <w:pPr>
        <w:pStyle w:val="10"/>
        <w:spacing w:beforeAutospacing="0" w:afterAutospacing="0"/>
        <w:jc w:val="both"/>
        <w:rPr>
          <w:color w:val="auto"/>
        </w:rPr>
      </w:pPr>
      <w:r>
        <w:rPr>
          <w:color w:val="auto"/>
        </w:rPr>
        <w:t> </w:t>
      </w:r>
    </w:p>
    <w:p w14:paraId="79285A37">
      <w:pPr>
        <w:pStyle w:val="10"/>
        <w:spacing w:beforeAutospacing="0" w:afterAutospacing="0"/>
        <w:jc w:val="both"/>
        <w:rPr>
          <w:color w:val="auto"/>
        </w:rPr>
      </w:pPr>
    </w:p>
    <w:p w14:paraId="1F8896A9">
      <w:pPr>
        <w:pStyle w:val="10"/>
        <w:spacing w:beforeAutospacing="0" w:afterAutospacing="0"/>
        <w:jc w:val="both"/>
        <w:rPr>
          <w:color w:val="auto"/>
        </w:rPr>
      </w:pPr>
    </w:p>
    <w:p w14:paraId="33FE263D">
      <w:pPr>
        <w:pStyle w:val="10"/>
        <w:spacing w:beforeAutospacing="0" w:afterAutospacing="0"/>
        <w:jc w:val="both"/>
        <w:rPr>
          <w:color w:val="auto"/>
        </w:rPr>
      </w:pPr>
    </w:p>
    <w:p w14:paraId="6377BA79">
      <w:pPr>
        <w:pStyle w:val="10"/>
        <w:spacing w:beforeAutospacing="0" w:afterAutospacing="0"/>
        <w:jc w:val="both"/>
        <w:rPr>
          <w:color w:val="auto"/>
        </w:rPr>
      </w:pPr>
    </w:p>
    <w:p w14:paraId="7251072B">
      <w:pPr>
        <w:pStyle w:val="10"/>
        <w:spacing w:beforeAutospacing="0" w:afterAutospacing="0"/>
        <w:jc w:val="both"/>
        <w:rPr>
          <w:color w:val="auto"/>
        </w:rPr>
      </w:pPr>
    </w:p>
    <w:p w14:paraId="1B25334D">
      <w:pPr>
        <w:pStyle w:val="10"/>
        <w:spacing w:beforeAutospacing="0" w:afterAutospacing="0"/>
        <w:jc w:val="both"/>
        <w:rPr>
          <w:color w:val="auto"/>
        </w:rPr>
      </w:pPr>
    </w:p>
    <w:p w14:paraId="5D154BA8">
      <w:pPr>
        <w:pStyle w:val="10"/>
        <w:spacing w:beforeAutospacing="0" w:afterAutospacing="0"/>
        <w:jc w:val="both"/>
        <w:rPr>
          <w:color w:val="auto"/>
        </w:rPr>
      </w:pPr>
    </w:p>
    <w:p w14:paraId="50B76237">
      <w:pPr>
        <w:pStyle w:val="10"/>
        <w:spacing w:beforeAutospacing="0" w:afterAutospacing="0"/>
        <w:jc w:val="both"/>
        <w:rPr>
          <w:color w:val="auto"/>
        </w:rPr>
      </w:pPr>
    </w:p>
    <w:p w14:paraId="3C29FEC0">
      <w:pPr>
        <w:pStyle w:val="10"/>
        <w:spacing w:beforeAutospacing="0" w:afterAutospacing="0"/>
        <w:jc w:val="both"/>
        <w:rPr>
          <w:color w:val="auto"/>
        </w:rPr>
      </w:pPr>
    </w:p>
    <w:p w14:paraId="341FB04E">
      <w:pPr>
        <w:pStyle w:val="10"/>
        <w:spacing w:beforeAutospacing="0" w:afterAutospacing="0"/>
        <w:jc w:val="both"/>
        <w:rPr>
          <w:color w:val="auto"/>
        </w:rPr>
      </w:pPr>
    </w:p>
    <w:p w14:paraId="388B35FD">
      <w:pPr>
        <w:pStyle w:val="10"/>
        <w:spacing w:beforeAutospacing="0" w:afterAutospacing="0"/>
        <w:jc w:val="both"/>
        <w:rPr>
          <w:color w:val="auto"/>
        </w:rPr>
      </w:pPr>
    </w:p>
    <w:p w14:paraId="07E2D191">
      <w:pPr>
        <w:pStyle w:val="10"/>
        <w:spacing w:beforeAutospacing="0" w:afterAutospacing="0"/>
        <w:jc w:val="both"/>
        <w:rPr>
          <w:color w:val="auto"/>
        </w:rPr>
      </w:pPr>
    </w:p>
    <w:p w14:paraId="40F74D23">
      <w:pPr>
        <w:pStyle w:val="10"/>
        <w:spacing w:beforeAutospacing="0" w:afterAutospacing="0"/>
        <w:jc w:val="both"/>
        <w:rPr>
          <w:color w:val="auto"/>
        </w:rPr>
      </w:pPr>
    </w:p>
    <w:p w14:paraId="22A00EBC">
      <w:pPr>
        <w:pStyle w:val="10"/>
        <w:spacing w:beforeAutospacing="0" w:afterAutospacing="0"/>
        <w:jc w:val="both"/>
        <w:rPr>
          <w:color w:val="auto"/>
        </w:rPr>
      </w:pPr>
      <w:r>
        <w:rPr>
          <w:color w:val="auto"/>
        </w:rPr>
        <w:t> </w:t>
      </w:r>
    </w:p>
    <w:p w14:paraId="450607F9">
      <w:pPr>
        <w:pStyle w:val="10"/>
        <w:spacing w:beforeAutospacing="0" w:afterAutospacing="0"/>
        <w:jc w:val="both"/>
        <w:rPr>
          <w:color w:val="auto"/>
        </w:rPr>
      </w:pPr>
      <w:r>
        <w:rPr>
          <w:color w:val="auto"/>
        </w:rPr>
        <w:t> </w:t>
      </w:r>
    </w:p>
    <w:p w14:paraId="2937E1C6">
      <w:pPr>
        <w:pStyle w:val="10"/>
        <w:spacing w:beforeAutospacing="0" w:afterAutospacing="0"/>
        <w:ind w:firstLine="643"/>
        <w:jc w:val="center"/>
        <w:rPr>
          <w:color w:val="auto"/>
        </w:rPr>
      </w:pPr>
      <w:bookmarkStart w:id="201" w:name="_Hlt26955054"/>
      <w:r>
        <w:rPr>
          <w:rFonts w:hint="eastAsia" w:ascii="黑体" w:hAnsi="宋体" w:eastAsia="黑体" w:cs="黑体"/>
          <w:b/>
          <w:color w:val="auto"/>
          <w:sz w:val="32"/>
          <w:szCs w:val="32"/>
        </w:rPr>
        <w:t>十三、商务要求响应及偏离表</w:t>
      </w:r>
    </w:p>
    <w:tbl>
      <w:tblPr>
        <w:tblStyle w:val="12"/>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41669174">
            <w:pPr>
              <w:pStyle w:val="10"/>
              <w:spacing w:beforeAutospacing="0" w:afterAutospacing="0"/>
              <w:jc w:val="center"/>
              <w:rPr>
                <w:color w:val="auto"/>
              </w:rPr>
            </w:pPr>
            <w:bookmarkStart w:id="202" w:name="_Hlt26671372"/>
            <w:bookmarkStart w:id="203" w:name="_Hlt24879081"/>
            <w:bookmarkStart w:id="204" w:name="_Hlt26580838"/>
            <w:bookmarkStart w:id="205" w:name="_Hlt26955064"/>
            <w:bookmarkStart w:id="206" w:name="_Hlt26609391"/>
            <w:bookmarkStart w:id="207" w:name="_Hlt26782999"/>
            <w:bookmarkStart w:id="208" w:name="_Hlt26955056"/>
            <w:bookmarkStart w:id="209" w:name="_Hlt26671343"/>
            <w:r>
              <w:rPr>
                <w:rFonts w:hint="eastAsia" w:ascii="宋体" w:hAnsi="宋体" w:eastAsia="宋体" w:cs="宋体"/>
                <w:color w:val="auto"/>
              </w:rPr>
              <w:t>序号</w:t>
            </w:r>
          </w:p>
          <w:bookmarkEnd w:id="202"/>
          <w:bookmarkEnd w:id="203"/>
          <w:bookmarkEnd w:id="204"/>
          <w:bookmarkEnd w:id="205"/>
          <w:bookmarkEnd w:id="206"/>
          <w:bookmarkEnd w:id="207"/>
          <w:bookmarkEnd w:id="208"/>
          <w:bookmarkEnd w:id="209"/>
        </w:tc>
        <w:tc>
          <w:tcPr>
            <w:tcW w:w="2469" w:type="dxa"/>
            <w:tcBorders>
              <w:top w:val="single" w:color="000000" w:sz="4" w:space="0"/>
              <w:left w:val="single" w:color="000000" w:sz="4" w:space="0"/>
              <w:bottom w:val="single" w:color="000000" w:sz="4" w:space="0"/>
              <w:right w:val="single" w:color="000000" w:sz="4" w:space="0"/>
            </w:tcBorders>
            <w:vAlign w:val="center"/>
          </w:tcPr>
          <w:p w14:paraId="08966234">
            <w:pPr>
              <w:pStyle w:val="10"/>
              <w:spacing w:beforeAutospacing="0" w:afterAutospacing="0"/>
              <w:jc w:val="center"/>
              <w:rPr>
                <w:color w:val="auto"/>
              </w:rPr>
            </w:pPr>
            <w:r>
              <w:rPr>
                <w:rFonts w:hint="eastAsia" w:ascii="宋体" w:hAnsi="宋体" w:eastAsia="宋体" w:cs="宋体"/>
                <w:color w:val="auto"/>
              </w:rPr>
              <w:t>招标文件要求</w:t>
            </w:r>
          </w:p>
        </w:tc>
        <w:tc>
          <w:tcPr>
            <w:tcW w:w="2645" w:type="dxa"/>
            <w:tcBorders>
              <w:top w:val="single" w:color="000000" w:sz="4" w:space="0"/>
              <w:left w:val="single" w:color="000000" w:sz="4" w:space="0"/>
              <w:bottom w:val="single" w:color="000000" w:sz="4" w:space="0"/>
              <w:right w:val="single" w:color="000000" w:sz="4" w:space="0"/>
            </w:tcBorders>
            <w:vAlign w:val="center"/>
          </w:tcPr>
          <w:p w14:paraId="125DE2C3">
            <w:pPr>
              <w:pStyle w:val="10"/>
              <w:spacing w:beforeAutospacing="0" w:afterAutospacing="0"/>
              <w:jc w:val="center"/>
              <w:rPr>
                <w:color w:val="auto"/>
              </w:rPr>
            </w:pPr>
            <w:r>
              <w:rPr>
                <w:rFonts w:hint="eastAsia" w:ascii="宋体" w:hAnsi="宋体" w:eastAsia="宋体" w:cs="宋体"/>
                <w:color w:val="auto"/>
              </w:rPr>
              <w:t>投标响应情况</w:t>
            </w:r>
          </w:p>
        </w:tc>
        <w:tc>
          <w:tcPr>
            <w:tcW w:w="1244" w:type="dxa"/>
            <w:tcBorders>
              <w:top w:val="single" w:color="000000" w:sz="4" w:space="0"/>
              <w:left w:val="single" w:color="000000" w:sz="4" w:space="0"/>
              <w:bottom w:val="single" w:color="000000" w:sz="4" w:space="0"/>
              <w:right w:val="single" w:color="000000" w:sz="4" w:space="0"/>
            </w:tcBorders>
            <w:vAlign w:val="center"/>
          </w:tcPr>
          <w:p w14:paraId="23A3B165">
            <w:pPr>
              <w:pStyle w:val="10"/>
              <w:spacing w:beforeAutospacing="0" w:afterAutospacing="0"/>
              <w:jc w:val="center"/>
              <w:rPr>
                <w:color w:val="auto"/>
              </w:rPr>
            </w:pPr>
            <w:r>
              <w:rPr>
                <w:rFonts w:hint="eastAsia" w:ascii="宋体" w:hAnsi="宋体" w:eastAsia="宋体" w:cs="宋体"/>
                <w:color w:val="auto"/>
              </w:rPr>
              <w:t>超出、符合或偏离</w:t>
            </w:r>
          </w:p>
        </w:tc>
        <w:tc>
          <w:tcPr>
            <w:tcW w:w="1501" w:type="dxa"/>
            <w:tcBorders>
              <w:top w:val="single" w:color="000000" w:sz="4" w:space="0"/>
              <w:left w:val="single" w:color="000000" w:sz="4" w:space="0"/>
              <w:bottom w:val="single" w:color="000000" w:sz="4" w:space="0"/>
              <w:right w:val="single" w:color="000000" w:sz="4" w:space="0"/>
            </w:tcBorders>
            <w:vAlign w:val="center"/>
          </w:tcPr>
          <w:p w14:paraId="6F05564C">
            <w:pPr>
              <w:pStyle w:val="10"/>
              <w:spacing w:beforeAutospacing="0" w:afterAutospacing="0"/>
              <w:jc w:val="center"/>
              <w:rPr>
                <w:color w:val="auto"/>
              </w:rPr>
            </w:pPr>
            <w:r>
              <w:rPr>
                <w:rFonts w:hint="eastAsia" w:ascii="宋体" w:hAnsi="宋体" w:eastAsia="宋体" w:cs="宋体"/>
                <w:color w:val="auto"/>
              </w:rPr>
              <w:t>证明</w:t>
            </w:r>
          </w:p>
          <w:p w14:paraId="07127613">
            <w:pPr>
              <w:pStyle w:val="10"/>
              <w:spacing w:beforeAutospacing="0" w:afterAutospacing="0"/>
              <w:jc w:val="center"/>
              <w:rPr>
                <w:color w:val="auto"/>
              </w:rPr>
            </w:pPr>
            <w:r>
              <w:rPr>
                <w:rFonts w:hint="eastAsia" w:ascii="宋体" w:hAnsi="宋体" w:eastAsia="宋体" w:cs="宋体"/>
                <w:color w:val="auto"/>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363B7343">
            <w:pPr>
              <w:pStyle w:val="10"/>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47A00662">
            <w:pPr>
              <w:pStyle w:val="10"/>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67DBBD93">
            <w:pPr>
              <w:pStyle w:val="10"/>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5A5EE4BC">
            <w:pPr>
              <w:pStyle w:val="10"/>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F540B98">
            <w:pPr>
              <w:pStyle w:val="10"/>
              <w:spacing w:beforeAutospacing="0" w:afterAutospacing="0"/>
              <w:jc w:val="center"/>
              <w:rPr>
                <w:color w:val="auto"/>
              </w:rPr>
            </w:pPr>
            <w:r>
              <w:rPr>
                <w:color w:val="auto"/>
              </w:rPr>
              <w:t> </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46BD40B7">
            <w:pPr>
              <w:pStyle w:val="10"/>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0A2E3336">
            <w:pPr>
              <w:pStyle w:val="10"/>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296CF03">
            <w:pPr>
              <w:pStyle w:val="10"/>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64C7E368">
            <w:pPr>
              <w:pStyle w:val="10"/>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6797859">
            <w:pPr>
              <w:pStyle w:val="10"/>
              <w:spacing w:beforeAutospacing="0" w:afterAutospacing="0"/>
              <w:jc w:val="center"/>
              <w:rPr>
                <w:color w:val="auto"/>
              </w:rPr>
            </w:pPr>
            <w:r>
              <w:rPr>
                <w:color w:val="auto"/>
              </w:rPr>
              <w:t> </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6DA9B7D">
            <w:pPr>
              <w:pStyle w:val="10"/>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465D99A5">
            <w:pPr>
              <w:pStyle w:val="10"/>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1954C122">
            <w:pPr>
              <w:pStyle w:val="10"/>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E589354">
            <w:pPr>
              <w:pStyle w:val="10"/>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26B3AF76">
            <w:pPr>
              <w:pStyle w:val="10"/>
              <w:spacing w:beforeAutospacing="0" w:afterAutospacing="0"/>
              <w:jc w:val="center"/>
              <w:rPr>
                <w:color w:val="auto"/>
              </w:rPr>
            </w:pPr>
            <w:r>
              <w:rPr>
                <w:color w:val="auto"/>
              </w:rP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4807472">
            <w:pPr>
              <w:pStyle w:val="10"/>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0FAC8784">
            <w:pPr>
              <w:pStyle w:val="10"/>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2F562DCF">
            <w:pPr>
              <w:pStyle w:val="10"/>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41874011">
            <w:pPr>
              <w:pStyle w:val="10"/>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0291310">
            <w:pPr>
              <w:pStyle w:val="10"/>
              <w:spacing w:beforeAutospacing="0" w:afterAutospacing="0"/>
              <w:jc w:val="center"/>
              <w:rPr>
                <w:color w:val="auto"/>
              </w:rPr>
            </w:pPr>
            <w:r>
              <w:rPr>
                <w:color w:val="auto"/>
              </w:rPr>
              <w:t> </w:t>
            </w: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77612B5E">
            <w:pPr>
              <w:pStyle w:val="10"/>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5EF250D">
            <w:pPr>
              <w:pStyle w:val="10"/>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13E60118">
            <w:pPr>
              <w:pStyle w:val="10"/>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22510CD6">
            <w:pPr>
              <w:pStyle w:val="10"/>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1A7CDC2">
            <w:pPr>
              <w:pStyle w:val="10"/>
              <w:spacing w:beforeAutospacing="0" w:afterAutospacing="0"/>
              <w:jc w:val="center"/>
              <w:rPr>
                <w:color w:val="auto"/>
              </w:rPr>
            </w:pPr>
            <w:r>
              <w:rPr>
                <w:color w:val="auto"/>
              </w:rP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D7C2130">
            <w:pPr>
              <w:pStyle w:val="10"/>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41352399">
            <w:pPr>
              <w:pStyle w:val="10"/>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1F3BE612">
            <w:pPr>
              <w:pStyle w:val="10"/>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5D02BB81">
            <w:pPr>
              <w:pStyle w:val="10"/>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3A72123">
            <w:pPr>
              <w:pStyle w:val="10"/>
              <w:spacing w:beforeAutospacing="0" w:afterAutospacing="0"/>
              <w:jc w:val="center"/>
              <w:rPr>
                <w:color w:val="auto"/>
              </w:rPr>
            </w:pPr>
            <w:r>
              <w:rPr>
                <w:color w:val="auto"/>
              </w:rP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2EF8B3F">
            <w:pPr>
              <w:pStyle w:val="10"/>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3ACCDC77">
            <w:pPr>
              <w:pStyle w:val="10"/>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6BD05B54">
            <w:pPr>
              <w:pStyle w:val="10"/>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4EF4CE64">
            <w:pPr>
              <w:pStyle w:val="10"/>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64AC395F">
            <w:pPr>
              <w:pStyle w:val="10"/>
              <w:spacing w:beforeAutospacing="0" w:afterAutospacing="0"/>
              <w:jc w:val="center"/>
              <w:rPr>
                <w:color w:val="auto"/>
              </w:rPr>
            </w:pPr>
            <w:r>
              <w:rPr>
                <w:color w:val="auto"/>
              </w:rP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0995AB7">
            <w:pPr>
              <w:pStyle w:val="10"/>
              <w:spacing w:beforeAutospacing="0" w:afterAutospacing="0"/>
              <w:jc w:val="center"/>
              <w:rPr>
                <w:color w:val="auto"/>
              </w:rPr>
            </w:pPr>
            <w:r>
              <w:rPr>
                <w:color w:val="auto"/>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0E8CCEF1">
            <w:pPr>
              <w:pStyle w:val="10"/>
              <w:spacing w:beforeAutospacing="0" w:afterAutospacing="0"/>
              <w:jc w:val="center"/>
              <w:rPr>
                <w:color w:val="auto"/>
              </w:rPr>
            </w:pPr>
            <w:r>
              <w:rPr>
                <w:color w:val="auto"/>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16E25450">
            <w:pPr>
              <w:pStyle w:val="10"/>
              <w:spacing w:beforeAutospacing="0" w:afterAutospacing="0"/>
              <w:jc w:val="center"/>
              <w:rPr>
                <w:color w:val="auto"/>
              </w:rPr>
            </w:pPr>
            <w:r>
              <w:rPr>
                <w:color w:val="auto"/>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50C159AF">
            <w:pPr>
              <w:pStyle w:val="10"/>
              <w:spacing w:beforeAutospacing="0" w:afterAutospacing="0"/>
              <w:jc w:val="center"/>
              <w:rPr>
                <w:color w:val="auto"/>
              </w:rPr>
            </w:pPr>
            <w:r>
              <w:rPr>
                <w:color w:val="auto"/>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0DBCB8C6">
            <w:pPr>
              <w:pStyle w:val="10"/>
              <w:spacing w:beforeAutospacing="0" w:afterAutospacing="0"/>
              <w:jc w:val="center"/>
              <w:rPr>
                <w:color w:val="auto"/>
              </w:rPr>
            </w:pPr>
            <w:r>
              <w:rPr>
                <w:color w:val="auto"/>
              </w:rPr>
              <w:t> </w:t>
            </w:r>
          </w:p>
        </w:tc>
      </w:tr>
    </w:tbl>
    <w:p w14:paraId="0515F675">
      <w:pPr>
        <w:pStyle w:val="10"/>
        <w:spacing w:beforeAutospacing="0" w:afterAutospacing="0"/>
        <w:jc w:val="both"/>
        <w:rPr>
          <w:color w:val="auto"/>
        </w:rPr>
      </w:pPr>
      <w:r>
        <w:rPr>
          <w:rFonts w:hint="eastAsia" w:ascii="宋体" w:hAnsi="宋体" w:eastAsia="宋体" w:cs="宋体"/>
          <w:color w:val="auto"/>
        </w:rPr>
        <w:t>注： 行数不够，可自行添加。</w:t>
      </w:r>
    </w:p>
    <w:p w14:paraId="4F9477BB">
      <w:pPr>
        <w:pStyle w:val="10"/>
        <w:spacing w:beforeAutospacing="0" w:afterAutospacing="0" w:line="480" w:lineRule="auto"/>
        <w:jc w:val="both"/>
        <w:rPr>
          <w:color w:val="auto"/>
        </w:rPr>
      </w:pPr>
      <w:r>
        <w:rPr>
          <w:color w:val="auto"/>
        </w:rPr>
        <w:t> </w:t>
      </w:r>
    </w:p>
    <w:p w14:paraId="771A2ABD">
      <w:pPr>
        <w:pStyle w:val="10"/>
        <w:spacing w:beforeAutospacing="0" w:afterAutospacing="0" w:line="480" w:lineRule="auto"/>
        <w:jc w:val="both"/>
        <w:rPr>
          <w:color w:val="auto"/>
        </w:rPr>
      </w:pPr>
      <w:r>
        <w:rPr>
          <w:color w:val="auto"/>
        </w:rPr>
        <w:t> </w:t>
      </w:r>
    </w:p>
    <w:p w14:paraId="6564921F">
      <w:pPr>
        <w:pStyle w:val="10"/>
        <w:spacing w:beforeAutospacing="0" w:afterAutospacing="0"/>
        <w:jc w:val="center"/>
        <w:rPr>
          <w:color w:val="auto"/>
        </w:rPr>
      </w:pPr>
      <w:bookmarkStart w:id="210" w:name="_Hlt26609389"/>
      <w:bookmarkStart w:id="211" w:name="_Toc462564146"/>
      <w:bookmarkStart w:id="212" w:name="_格式2__法定代表人授权书"/>
      <w:bookmarkStart w:id="213" w:name="_Hlt26671374"/>
      <w:bookmarkStart w:id="214" w:name="_Hlt26955066"/>
      <w:r>
        <w:rPr>
          <w:color w:val="auto"/>
        </w:rPr>
        <w:t> </w:t>
      </w:r>
    </w:p>
    <w:p w14:paraId="43E033E8">
      <w:pPr>
        <w:pStyle w:val="10"/>
        <w:spacing w:beforeAutospacing="0" w:afterAutospacing="0"/>
        <w:jc w:val="both"/>
        <w:rPr>
          <w:color w:val="auto"/>
        </w:rPr>
      </w:pPr>
      <w:r>
        <w:rPr>
          <w:color w:val="auto"/>
        </w:rPr>
        <w:t> </w:t>
      </w:r>
    </w:p>
    <w:p w14:paraId="34DD36AA">
      <w:pPr>
        <w:pStyle w:val="10"/>
        <w:spacing w:beforeAutospacing="0" w:afterAutospacing="0"/>
        <w:jc w:val="both"/>
        <w:rPr>
          <w:color w:val="auto"/>
        </w:rPr>
      </w:pPr>
      <w:r>
        <w:rPr>
          <w:color w:val="auto"/>
        </w:rPr>
        <w:t> </w:t>
      </w:r>
    </w:p>
    <w:p w14:paraId="0B59FED3">
      <w:pPr>
        <w:pStyle w:val="10"/>
        <w:spacing w:beforeAutospacing="0" w:afterAutospacing="0"/>
        <w:jc w:val="both"/>
        <w:rPr>
          <w:color w:val="auto"/>
        </w:rPr>
      </w:pPr>
    </w:p>
    <w:p w14:paraId="674A53C6">
      <w:pPr>
        <w:pStyle w:val="10"/>
        <w:spacing w:beforeAutospacing="0" w:afterAutospacing="0"/>
        <w:jc w:val="both"/>
        <w:rPr>
          <w:color w:val="auto"/>
        </w:rPr>
      </w:pPr>
    </w:p>
    <w:p w14:paraId="7646B14A">
      <w:pPr>
        <w:pStyle w:val="10"/>
        <w:spacing w:beforeAutospacing="0" w:afterAutospacing="0"/>
        <w:jc w:val="both"/>
        <w:rPr>
          <w:color w:val="auto"/>
        </w:rPr>
      </w:pPr>
    </w:p>
    <w:p w14:paraId="18437834">
      <w:pPr>
        <w:pStyle w:val="10"/>
        <w:spacing w:beforeAutospacing="0" w:afterAutospacing="0"/>
        <w:jc w:val="both"/>
        <w:rPr>
          <w:color w:val="auto"/>
        </w:rPr>
      </w:pPr>
    </w:p>
    <w:p w14:paraId="6AC5CF75">
      <w:pPr>
        <w:pStyle w:val="10"/>
        <w:spacing w:beforeAutospacing="0" w:afterAutospacing="0"/>
        <w:jc w:val="both"/>
        <w:rPr>
          <w:color w:val="auto"/>
        </w:rPr>
      </w:pPr>
    </w:p>
    <w:p w14:paraId="4402A329">
      <w:pPr>
        <w:pStyle w:val="10"/>
        <w:spacing w:beforeAutospacing="0" w:afterAutospacing="0"/>
        <w:jc w:val="both"/>
        <w:rPr>
          <w:color w:val="auto"/>
        </w:rPr>
      </w:pPr>
    </w:p>
    <w:p w14:paraId="433415F5">
      <w:pPr>
        <w:pStyle w:val="10"/>
        <w:spacing w:beforeAutospacing="0" w:afterAutospacing="0"/>
        <w:jc w:val="both"/>
        <w:rPr>
          <w:color w:val="auto"/>
        </w:rPr>
      </w:pPr>
    </w:p>
    <w:p w14:paraId="664A23CF">
      <w:pPr>
        <w:pStyle w:val="10"/>
        <w:spacing w:beforeAutospacing="0" w:afterAutospacing="0"/>
        <w:jc w:val="both"/>
        <w:rPr>
          <w:color w:val="auto"/>
        </w:rPr>
      </w:pPr>
    </w:p>
    <w:p w14:paraId="577CDDA2">
      <w:pPr>
        <w:pStyle w:val="10"/>
        <w:spacing w:beforeAutospacing="0" w:afterAutospacing="0"/>
        <w:jc w:val="both"/>
        <w:rPr>
          <w:color w:val="auto"/>
        </w:rPr>
      </w:pPr>
    </w:p>
    <w:p w14:paraId="2C30742F">
      <w:pPr>
        <w:pStyle w:val="10"/>
        <w:spacing w:beforeAutospacing="0" w:afterAutospacing="0"/>
        <w:jc w:val="both"/>
        <w:rPr>
          <w:color w:val="auto"/>
        </w:rPr>
      </w:pPr>
    </w:p>
    <w:p w14:paraId="53A5D0DD">
      <w:pPr>
        <w:pStyle w:val="10"/>
        <w:spacing w:beforeAutospacing="0" w:afterAutospacing="0"/>
        <w:jc w:val="both"/>
        <w:rPr>
          <w:color w:val="auto"/>
        </w:rPr>
      </w:pPr>
    </w:p>
    <w:p w14:paraId="0E8FBED1">
      <w:pPr>
        <w:widowControl/>
        <w:ind w:firstLine="643"/>
        <w:jc w:val="left"/>
        <w:rPr>
          <w:rFonts w:ascii="黑体" w:hAnsi="宋体" w:eastAsia="黑体" w:cs="黑体"/>
          <w:b/>
          <w:i/>
          <w:color w:val="auto"/>
          <w:kern w:val="0"/>
          <w:sz w:val="32"/>
          <w:szCs w:val="32"/>
        </w:rPr>
      </w:pPr>
      <w:r>
        <w:rPr>
          <w:rFonts w:ascii="黑体" w:hAnsi="宋体" w:eastAsia="黑体" w:cs="黑体"/>
          <w:b/>
          <w:i/>
          <w:color w:val="auto"/>
          <w:sz w:val="32"/>
          <w:szCs w:val="32"/>
        </w:rPr>
        <w:br w:type="page"/>
      </w:r>
    </w:p>
    <w:p w14:paraId="72CA5A2B">
      <w:pPr>
        <w:pStyle w:val="10"/>
        <w:spacing w:beforeAutospacing="0" w:afterAutospacing="0"/>
        <w:ind w:firstLine="643"/>
        <w:jc w:val="both"/>
        <w:rPr>
          <w:color w:val="auto"/>
        </w:rPr>
      </w:pPr>
      <w:r>
        <w:rPr>
          <w:rFonts w:hint="eastAsia" w:ascii="黑体" w:hAnsi="宋体" w:eastAsia="黑体" w:cs="黑体"/>
          <w:b/>
          <w:i/>
          <w:color w:val="auto"/>
          <w:sz w:val="32"/>
          <w:szCs w:val="32"/>
          <w:u w:val="single"/>
        </w:rPr>
        <w:t>十四、开标一览表</w:t>
      </w:r>
    </w:p>
    <w:p w14:paraId="49AD4A11">
      <w:pPr>
        <w:pStyle w:val="10"/>
        <w:widowControl/>
        <w:rPr>
          <w:color w:val="auto"/>
        </w:rPr>
      </w:pPr>
      <w:r>
        <w:rPr>
          <w:color w:val="auto"/>
        </w:rPr>
        <w:t>项目编号：项目编号 </w:t>
      </w:r>
    </w:p>
    <w:p w14:paraId="7DB50918">
      <w:pPr>
        <w:pStyle w:val="10"/>
        <w:widowControl/>
        <w:rPr>
          <w:color w:val="auto"/>
        </w:rPr>
      </w:pPr>
      <w:r>
        <w:rPr>
          <w:color w:val="auto"/>
        </w:rPr>
        <w:t>货币单位：人民币元</w:t>
      </w:r>
    </w:p>
    <w:tbl>
      <w:tblPr>
        <w:tblStyle w:val="13"/>
        <w:tblW w:w="9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25"/>
        <w:gridCol w:w="3227"/>
        <w:gridCol w:w="3227"/>
      </w:tblGrid>
      <w:tr w14:paraId="0AEA0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3225" w:type="dxa"/>
          </w:tcPr>
          <w:p w14:paraId="12D4AFD4">
            <w:pPr>
              <w:pStyle w:val="10"/>
              <w:widowControl/>
              <w:spacing w:beforeAutospacing="0" w:afterAutospacing="0"/>
              <w:jc w:val="both"/>
              <w:rPr>
                <w:color w:val="auto"/>
              </w:rPr>
            </w:pPr>
            <w:r>
              <w:rPr>
                <w:color w:val="auto"/>
              </w:rPr>
              <w:t>项目名称</w:t>
            </w:r>
          </w:p>
        </w:tc>
        <w:tc>
          <w:tcPr>
            <w:tcW w:w="3227" w:type="dxa"/>
          </w:tcPr>
          <w:p w14:paraId="5B008F6F">
            <w:pPr>
              <w:pStyle w:val="10"/>
              <w:widowControl/>
              <w:spacing w:beforeAutospacing="0" w:afterAutospacing="0"/>
              <w:jc w:val="both"/>
              <w:rPr>
                <w:color w:val="auto"/>
              </w:rPr>
            </w:pPr>
            <w:r>
              <w:rPr>
                <w:rFonts w:ascii="宋体" w:hAnsi="宋体" w:eastAsia="宋体" w:cs="宋体"/>
                <w:color w:val="auto"/>
              </w:rPr>
              <w:t>项目内容</w:t>
            </w:r>
          </w:p>
        </w:tc>
        <w:tc>
          <w:tcPr>
            <w:tcW w:w="3227" w:type="dxa"/>
          </w:tcPr>
          <w:p w14:paraId="69E82F61">
            <w:pPr>
              <w:pStyle w:val="10"/>
              <w:widowControl/>
              <w:spacing w:beforeAutospacing="0" w:afterAutospacing="0"/>
              <w:jc w:val="both"/>
              <w:rPr>
                <w:color w:val="auto"/>
              </w:rPr>
            </w:pPr>
            <w:r>
              <w:rPr>
                <w:rFonts w:ascii="宋体" w:hAnsi="宋体" w:eastAsia="宋体" w:cs="宋体"/>
                <w:color w:val="auto"/>
              </w:rPr>
              <w:t>总价（小写）</w:t>
            </w:r>
          </w:p>
        </w:tc>
      </w:tr>
      <w:tr w14:paraId="4B1D6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8" w:hRule="atLeast"/>
        </w:trPr>
        <w:tc>
          <w:tcPr>
            <w:tcW w:w="3225" w:type="dxa"/>
          </w:tcPr>
          <w:p w14:paraId="283060BB">
            <w:pPr>
              <w:widowControl/>
              <w:jc w:val="left"/>
              <w:rPr>
                <w:color w:val="auto"/>
              </w:rPr>
            </w:pPr>
            <w:r>
              <w:rPr>
                <w:rFonts w:ascii="宋体" w:hAnsi="宋体" w:eastAsia="宋体" w:cs="宋体"/>
                <w:color w:val="auto"/>
                <w:kern w:val="0"/>
                <w:sz w:val="24"/>
                <w:lang w:bidi="ar"/>
              </w:rPr>
              <w:t xml:space="preserve">项目名称  </w:t>
            </w:r>
          </w:p>
        </w:tc>
        <w:tc>
          <w:tcPr>
            <w:tcW w:w="3227" w:type="dxa"/>
          </w:tcPr>
          <w:p w14:paraId="0AFF0980">
            <w:pPr>
              <w:widowControl/>
              <w:jc w:val="left"/>
              <w:rPr>
                <w:color w:val="auto"/>
              </w:rPr>
            </w:pPr>
            <w:r>
              <w:rPr>
                <w:rFonts w:ascii="宋体" w:hAnsi="宋体" w:eastAsia="宋体" w:cs="宋体"/>
                <w:color w:val="auto"/>
                <w:sz w:val="24"/>
              </w:rPr>
              <w:t>详见投标文件</w:t>
            </w:r>
          </w:p>
        </w:tc>
        <w:tc>
          <w:tcPr>
            <w:tcW w:w="3227" w:type="dxa"/>
            <w:vAlign w:val="center"/>
          </w:tcPr>
          <w:p w14:paraId="3BA66268">
            <w:pPr>
              <w:widowControl/>
              <w:ind w:firstLine="720" w:firstLineChars="300"/>
              <w:jc w:val="center"/>
              <w:rPr>
                <w:rFonts w:ascii="宋体" w:hAnsi="宋体" w:eastAsia="宋体" w:cs="宋体"/>
                <w:color w:val="auto"/>
                <w:kern w:val="0"/>
                <w:sz w:val="24"/>
                <w:lang w:bidi="ar"/>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5"/>
            </w:tblGrid>
            <w:tr w14:paraId="57903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5" w:type="dxa"/>
                  <w:vAlign w:val="center"/>
                </w:tcPr>
                <w:p w14:paraId="2936B23B">
                  <w:pPr>
                    <w:widowControl/>
                    <w:jc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 xml:space="preserve"> </w:t>
                  </w:r>
                  <w:r>
                    <w:rPr>
                      <w:rFonts w:ascii="宋体" w:hAnsi="宋体" w:eastAsia="宋体" w:cs="宋体"/>
                      <w:color w:val="auto"/>
                      <w:kern w:val="0"/>
                      <w:sz w:val="24"/>
                      <w:lang w:bidi="ar"/>
                    </w:rPr>
                    <w:t xml:space="preserve">    </w:t>
                  </w:r>
                </w:p>
              </w:tc>
            </w:tr>
          </w:tbl>
          <w:p w14:paraId="3A57F440">
            <w:pPr>
              <w:widowControl/>
              <w:rPr>
                <w:color w:val="auto"/>
              </w:rPr>
            </w:pPr>
            <w:r>
              <w:rPr>
                <w:rFonts w:hint="eastAsia" w:ascii="宋体" w:hAnsi="宋体" w:eastAsia="宋体" w:cs="宋体"/>
                <w:color w:val="auto"/>
                <w:kern w:val="0"/>
                <w:sz w:val="24"/>
                <w:lang w:bidi="ar"/>
              </w:rPr>
              <w:t>元</w:t>
            </w:r>
          </w:p>
        </w:tc>
      </w:tr>
      <w:tr w14:paraId="57A68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3225" w:type="dxa"/>
          </w:tcPr>
          <w:p w14:paraId="172447CA">
            <w:pPr>
              <w:pStyle w:val="10"/>
              <w:spacing w:beforeAutospacing="0" w:afterAutospacing="0"/>
              <w:jc w:val="both"/>
              <w:rPr>
                <w:color w:val="auto"/>
              </w:rPr>
            </w:pPr>
            <w:r>
              <w:rPr>
                <w:rFonts w:ascii="宋体" w:hAnsi="宋体" w:eastAsia="宋体" w:cs="宋体"/>
                <w:color w:val="auto"/>
              </w:rPr>
              <w:t>总价（大写）：</w:t>
            </w:r>
          </w:p>
        </w:tc>
        <w:tc>
          <w:tcPr>
            <w:tcW w:w="6454" w:type="dxa"/>
            <w:gridSpan w:val="2"/>
          </w:tcPr>
          <w:p w14:paraId="24684601">
            <w:pPr>
              <w:pStyle w:val="10"/>
              <w:spacing w:beforeAutospacing="0" w:afterAutospacing="0"/>
              <w:jc w:val="both"/>
              <w:rPr>
                <w:color w:val="auto"/>
              </w:rPr>
            </w:pPr>
            <w:r>
              <w:rPr>
                <w:rFonts w:ascii="宋体" w:hAnsi="宋体" w:eastAsia="宋体" w:cs="宋体"/>
                <w:color w:val="auto"/>
              </w:rPr>
              <w:t>金额大写 </w:t>
            </w:r>
          </w:p>
        </w:tc>
      </w:tr>
    </w:tbl>
    <w:p w14:paraId="4D16446B">
      <w:pPr>
        <w:pStyle w:val="10"/>
        <w:spacing w:beforeAutospacing="0" w:afterAutospacing="0"/>
        <w:jc w:val="both"/>
        <w:rPr>
          <w:color w:val="auto"/>
        </w:rPr>
      </w:pPr>
      <w:r>
        <w:rPr>
          <w:color w:val="auto"/>
        </w:rPr>
        <w:t> </w:t>
      </w:r>
    </w:p>
    <w:p w14:paraId="0700FA78">
      <w:pPr>
        <w:pStyle w:val="10"/>
        <w:spacing w:beforeAutospacing="0" w:afterAutospacing="0"/>
        <w:rPr>
          <w:color w:val="auto"/>
        </w:rPr>
      </w:pPr>
    </w:p>
    <w:p w14:paraId="17E9328D">
      <w:pPr>
        <w:pStyle w:val="10"/>
        <w:spacing w:beforeAutospacing="0" w:afterAutospacing="0"/>
        <w:rPr>
          <w:color w:val="auto"/>
        </w:rPr>
      </w:pPr>
    </w:p>
    <w:p w14:paraId="2E187EF8">
      <w:pPr>
        <w:pStyle w:val="10"/>
        <w:spacing w:beforeAutospacing="0" w:afterAutospacing="0"/>
        <w:rPr>
          <w:color w:val="auto"/>
        </w:rPr>
      </w:pPr>
      <w:r>
        <w:rPr>
          <w:color w:val="auto"/>
        </w:rPr>
        <w:t>投标人公章： （电子签章）</w:t>
      </w:r>
      <w:r>
        <w:rPr>
          <w:rFonts w:hint="eastAsia"/>
          <w:color w:val="auto"/>
        </w:rPr>
        <w:t> </w:t>
      </w:r>
    </w:p>
    <w:p w14:paraId="4009E2D8">
      <w:pPr>
        <w:pStyle w:val="10"/>
        <w:spacing w:beforeAutospacing="0" w:afterAutospacing="0"/>
        <w:rPr>
          <w:rFonts w:ascii="宋体" w:hAnsi="宋体" w:eastAsia="宋体" w:cs="宋体"/>
          <w:color w:val="auto"/>
        </w:rPr>
      </w:pPr>
    </w:p>
    <w:p w14:paraId="6C5101B7">
      <w:pPr>
        <w:pStyle w:val="10"/>
        <w:spacing w:beforeAutospacing="0" w:afterAutospacing="0"/>
        <w:rPr>
          <w:rFonts w:ascii="宋体" w:hAnsi="宋体" w:eastAsia="宋体" w:cs="宋体"/>
          <w:color w:val="auto"/>
        </w:rPr>
      </w:pPr>
    </w:p>
    <w:p w14:paraId="29994D39">
      <w:pPr>
        <w:pStyle w:val="10"/>
        <w:spacing w:beforeAutospacing="0" w:afterAutospacing="0"/>
        <w:rPr>
          <w:color w:val="auto"/>
        </w:rPr>
      </w:pPr>
      <w:r>
        <w:rPr>
          <w:rFonts w:hint="eastAsia" w:ascii="宋体" w:hAnsi="宋体" w:eastAsia="宋体" w:cs="宋体"/>
          <w:color w:val="auto"/>
        </w:rPr>
        <w:t xml:space="preserve"> 日期：  </w:t>
      </w:r>
      <w:r>
        <w:rPr>
          <w:rFonts w:hint="eastAsia" w:ascii="宋体" w:hAnsi="宋体" w:eastAsia="宋体" w:cs="宋体"/>
          <w:color w:val="auto"/>
          <w:u w:val="single"/>
        </w:rPr>
        <w:t xml:space="preserve">     </w:t>
      </w:r>
      <w:r>
        <w:rPr>
          <w:rFonts w:hint="eastAsia" w:ascii="宋体" w:hAnsi="宋体" w:eastAsia="宋体" w:cs="宋体"/>
          <w:color w:val="auto"/>
        </w:rPr>
        <w:t>年</w:t>
      </w:r>
      <w:r>
        <w:rPr>
          <w:rFonts w:hint="eastAsia" w:ascii="宋体" w:hAnsi="宋体" w:eastAsia="宋体" w:cs="宋体"/>
          <w:color w:val="auto"/>
          <w:u w:val="single"/>
        </w:rPr>
        <w:t xml:space="preserve">   </w:t>
      </w:r>
      <w:r>
        <w:rPr>
          <w:rFonts w:hint="eastAsia" w:ascii="宋体" w:hAnsi="宋体" w:eastAsia="宋体" w:cs="宋体"/>
          <w:color w:val="auto"/>
        </w:rPr>
        <w:t>月</w:t>
      </w:r>
      <w:r>
        <w:rPr>
          <w:rFonts w:hint="eastAsia" w:ascii="宋体" w:hAnsi="宋体" w:eastAsia="宋体" w:cs="宋体"/>
          <w:color w:val="auto"/>
          <w:u w:val="single"/>
        </w:rPr>
        <w:t xml:space="preserve">   </w:t>
      </w:r>
      <w:r>
        <w:rPr>
          <w:rFonts w:hint="eastAsia" w:ascii="宋体" w:hAnsi="宋体" w:eastAsia="宋体" w:cs="宋体"/>
          <w:color w:val="auto"/>
        </w:rPr>
        <w:t>日</w:t>
      </w:r>
    </w:p>
    <w:p w14:paraId="504924F3">
      <w:pPr>
        <w:pStyle w:val="18"/>
        <w:rPr>
          <w:color w:val="auto"/>
        </w:rPr>
      </w:pPr>
    </w:p>
    <w:p w14:paraId="5F92FAE4">
      <w:pPr>
        <w:widowControl/>
        <w:spacing w:before="50" w:after="50"/>
        <w:jc w:val="center"/>
        <w:rPr>
          <w:color w:val="auto"/>
        </w:rPr>
      </w:pPr>
    </w:p>
    <w:p w14:paraId="74EF0818">
      <w:pPr>
        <w:widowControl/>
        <w:spacing w:before="50" w:after="50"/>
        <w:jc w:val="center"/>
        <w:rPr>
          <w:color w:val="auto"/>
        </w:rPr>
      </w:pPr>
    </w:p>
    <w:p w14:paraId="04B573BD">
      <w:pPr>
        <w:widowControl/>
        <w:spacing w:before="50" w:after="50"/>
        <w:jc w:val="center"/>
        <w:rPr>
          <w:color w:val="auto"/>
        </w:rPr>
      </w:pPr>
    </w:p>
    <w:p w14:paraId="7004870A">
      <w:pPr>
        <w:widowControl/>
        <w:spacing w:before="50" w:after="50"/>
        <w:ind w:firstLine="643"/>
        <w:jc w:val="center"/>
        <w:rPr>
          <w:rFonts w:ascii="宋体" w:hAnsi="宋体" w:eastAsia="宋体" w:cs="宋体"/>
          <w:b/>
          <w:bCs/>
          <w:color w:val="auto"/>
          <w:sz w:val="24"/>
        </w:rPr>
      </w:pPr>
      <w:r>
        <w:rPr>
          <w:rFonts w:hint="eastAsia" w:ascii="宋体" w:hAnsi="宋体" w:eastAsia="宋体" w:cs="宋体"/>
          <w:b/>
          <w:bCs/>
          <w:color w:val="auto"/>
          <w:sz w:val="32"/>
          <w:szCs w:val="32"/>
        </w:rPr>
        <w:t>十五、技术方案、服务承诺、培训承诺等</w:t>
      </w:r>
    </w:p>
    <w:p w14:paraId="7B35C616">
      <w:pPr>
        <w:pStyle w:val="10"/>
        <w:tabs>
          <w:tab w:val="left" w:pos="2160"/>
        </w:tabs>
        <w:spacing w:beforeAutospacing="0" w:afterAutospacing="0"/>
        <w:jc w:val="both"/>
        <w:rPr>
          <w:color w:val="auto"/>
        </w:rPr>
      </w:pPr>
    </w:p>
    <w:p w14:paraId="2E05F151">
      <w:pPr>
        <w:widowControl/>
        <w:spacing w:line="499" w:lineRule="atLeast"/>
        <w:ind w:firstLine="640"/>
        <w:rPr>
          <w:rFonts w:ascii="宋体" w:hAnsi="宋体" w:eastAsia="宋体" w:cs="宋体"/>
          <w:color w:val="auto"/>
          <w:sz w:val="32"/>
          <w:szCs w:val="32"/>
        </w:rPr>
      </w:pPr>
    </w:p>
    <w:p w14:paraId="4A600B49">
      <w:pPr>
        <w:widowControl/>
        <w:spacing w:line="499" w:lineRule="atLeast"/>
        <w:ind w:firstLine="640"/>
        <w:rPr>
          <w:rFonts w:ascii="宋体" w:hAnsi="宋体" w:eastAsia="宋体" w:cs="宋体"/>
          <w:color w:val="auto"/>
          <w:sz w:val="32"/>
          <w:szCs w:val="32"/>
        </w:rPr>
      </w:pPr>
    </w:p>
    <w:p w14:paraId="1FF3DE71">
      <w:pPr>
        <w:widowControl/>
        <w:spacing w:line="499" w:lineRule="atLeast"/>
        <w:ind w:firstLine="640"/>
        <w:rPr>
          <w:rFonts w:ascii="宋体" w:hAnsi="宋体" w:eastAsia="宋体" w:cs="宋体"/>
          <w:color w:val="auto"/>
          <w:sz w:val="32"/>
          <w:szCs w:val="32"/>
        </w:rPr>
      </w:pPr>
    </w:p>
    <w:p w14:paraId="5078FCFC">
      <w:pPr>
        <w:widowControl/>
        <w:spacing w:line="499" w:lineRule="atLeast"/>
        <w:ind w:firstLine="640"/>
        <w:rPr>
          <w:rFonts w:ascii="宋体" w:hAnsi="宋体" w:eastAsia="宋体" w:cs="宋体"/>
          <w:color w:val="auto"/>
          <w:sz w:val="32"/>
          <w:szCs w:val="32"/>
        </w:rPr>
      </w:pPr>
    </w:p>
    <w:p w14:paraId="685824D5">
      <w:pPr>
        <w:widowControl/>
        <w:spacing w:line="499" w:lineRule="atLeast"/>
        <w:ind w:firstLine="640"/>
        <w:rPr>
          <w:rFonts w:ascii="宋体" w:hAnsi="宋体" w:eastAsia="宋体" w:cs="宋体"/>
          <w:color w:val="auto"/>
          <w:sz w:val="32"/>
          <w:szCs w:val="32"/>
        </w:rPr>
      </w:pPr>
    </w:p>
    <w:p w14:paraId="6075A9B9">
      <w:pPr>
        <w:widowControl/>
        <w:spacing w:line="499" w:lineRule="atLeast"/>
        <w:ind w:firstLine="640"/>
        <w:rPr>
          <w:rFonts w:ascii="宋体" w:hAnsi="宋体" w:eastAsia="宋体" w:cs="宋体"/>
          <w:color w:val="auto"/>
          <w:sz w:val="32"/>
          <w:szCs w:val="32"/>
        </w:rPr>
      </w:pPr>
    </w:p>
    <w:p w14:paraId="2947B088">
      <w:pPr>
        <w:widowControl/>
        <w:spacing w:line="499" w:lineRule="atLeast"/>
        <w:ind w:firstLine="640"/>
        <w:rPr>
          <w:rFonts w:ascii="宋体" w:hAnsi="宋体" w:eastAsia="宋体" w:cs="宋体"/>
          <w:color w:val="auto"/>
          <w:sz w:val="32"/>
          <w:szCs w:val="32"/>
        </w:rPr>
      </w:pPr>
    </w:p>
    <w:p w14:paraId="4CFD966F">
      <w:pPr>
        <w:widowControl/>
        <w:spacing w:line="499" w:lineRule="atLeast"/>
        <w:ind w:firstLine="643"/>
        <w:rPr>
          <w:rFonts w:ascii="宋体" w:hAnsi="宋体" w:eastAsia="宋体" w:cs="宋体"/>
          <w:b/>
          <w:bCs/>
          <w:color w:val="auto"/>
          <w:sz w:val="24"/>
        </w:rPr>
      </w:pPr>
      <w:r>
        <w:rPr>
          <w:rFonts w:hint="eastAsia" w:ascii="宋体" w:hAnsi="宋体" w:eastAsia="宋体" w:cs="宋体"/>
          <w:b/>
          <w:bCs/>
          <w:color w:val="auto"/>
          <w:sz w:val="32"/>
          <w:szCs w:val="32"/>
        </w:rPr>
        <w:t>十六、盐城市政府采购事前信用承诺书</w:t>
      </w:r>
    </w:p>
    <w:p w14:paraId="12DBF935">
      <w:pPr>
        <w:widowControl/>
        <w:spacing w:line="499" w:lineRule="atLeast"/>
        <w:ind w:firstLine="640"/>
        <w:jc w:val="left"/>
        <w:rPr>
          <w:rFonts w:ascii="宋体" w:hAnsi="宋体" w:eastAsia="宋体" w:cs="宋体"/>
          <w:color w:val="auto"/>
          <w:sz w:val="24"/>
        </w:rPr>
      </w:pPr>
      <w:r>
        <w:rPr>
          <w:rFonts w:hint="eastAsia" w:ascii="宋体" w:hAnsi="宋体" w:eastAsia="宋体" w:cs="宋体"/>
          <w:color w:val="auto"/>
          <w:sz w:val="32"/>
          <w:szCs w:val="32"/>
        </w:rPr>
        <w:t> </w:t>
      </w:r>
    </w:p>
    <w:p w14:paraId="518FF601">
      <w:pPr>
        <w:widowControl/>
        <w:spacing w:line="499" w:lineRule="atLeast"/>
        <w:ind w:firstLine="480"/>
        <w:jc w:val="left"/>
        <w:rPr>
          <w:rFonts w:ascii="宋体" w:hAnsi="宋体" w:eastAsia="宋体" w:cs="宋体"/>
          <w:color w:val="auto"/>
          <w:sz w:val="24"/>
        </w:rPr>
      </w:pPr>
      <w:r>
        <w:rPr>
          <w:rFonts w:hint="eastAsia" w:ascii="宋体" w:hAnsi="宋体" w:eastAsia="宋体" w:cs="宋体"/>
          <w:color w:val="auto"/>
          <w:sz w:val="24"/>
        </w:rPr>
        <w:t>为营造我市公开、公平、公正、诚实守信的政府采购交易环境，树立诚信守法的投标人形象，本人代表本单位作出以下承诺：</w:t>
      </w:r>
    </w:p>
    <w:p w14:paraId="41DD4ED3">
      <w:pPr>
        <w:widowControl/>
        <w:spacing w:line="499" w:lineRule="atLeast"/>
        <w:jc w:val="left"/>
        <w:rPr>
          <w:rFonts w:ascii="宋体" w:hAnsi="宋体" w:eastAsia="宋体" w:cs="宋体"/>
          <w:color w:val="auto"/>
          <w:sz w:val="24"/>
        </w:rPr>
      </w:pPr>
      <w:r>
        <w:rPr>
          <w:rFonts w:hint="eastAsia" w:ascii="宋体" w:hAnsi="宋体" w:eastAsia="宋体" w:cs="宋体"/>
          <w:color w:val="auto"/>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2646A310">
      <w:pPr>
        <w:widowControl/>
        <w:spacing w:line="499" w:lineRule="atLeast"/>
        <w:ind w:firstLine="480"/>
        <w:jc w:val="left"/>
        <w:rPr>
          <w:rFonts w:ascii="宋体" w:hAnsi="宋体" w:eastAsia="宋体" w:cs="宋体"/>
          <w:color w:val="auto"/>
          <w:sz w:val="24"/>
        </w:rPr>
      </w:pPr>
      <w:r>
        <w:rPr>
          <w:rFonts w:hint="eastAsia" w:ascii="宋体" w:hAnsi="宋体" w:eastAsia="宋体" w:cs="宋体"/>
          <w:color w:val="auto"/>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jc w:val="left"/>
        <w:rPr>
          <w:rFonts w:ascii="宋体" w:hAnsi="宋体" w:eastAsia="宋体" w:cs="宋体"/>
          <w:color w:val="auto"/>
          <w:sz w:val="24"/>
        </w:rPr>
      </w:pPr>
      <w:r>
        <w:rPr>
          <w:rFonts w:hint="eastAsia" w:ascii="宋体" w:hAnsi="宋体" w:eastAsia="宋体" w:cs="宋体"/>
          <w:color w:val="auto"/>
          <w:sz w:val="24"/>
        </w:rPr>
        <w:t xml:space="preserve">   （三）严格依照国家和省、市关于政府采购的法律、法规、规章、规范性文件，参加政府采购投标活动；积极履行社会责任，促进廉政建设； </w:t>
      </w:r>
    </w:p>
    <w:p w14:paraId="46DCE0D7">
      <w:pPr>
        <w:widowControl/>
        <w:spacing w:line="499" w:lineRule="atLeast"/>
        <w:jc w:val="left"/>
        <w:rPr>
          <w:rFonts w:ascii="宋体" w:hAnsi="宋体" w:eastAsia="宋体" w:cs="宋体"/>
          <w:color w:val="auto"/>
          <w:sz w:val="24"/>
        </w:rPr>
      </w:pPr>
      <w:r>
        <w:rPr>
          <w:rFonts w:hint="eastAsia" w:ascii="宋体" w:hAnsi="宋体" w:eastAsia="宋体" w:cs="宋体"/>
          <w:color w:val="auto"/>
          <w:sz w:val="24"/>
        </w:rPr>
        <w:t>   （四）严格遵守即时信息公示规定，及时维护和更新盐城市政府采购网中与本单位相关的信息；</w:t>
      </w:r>
    </w:p>
    <w:p w14:paraId="5BFC43D2">
      <w:pPr>
        <w:widowControl/>
        <w:spacing w:line="499" w:lineRule="atLeast"/>
        <w:jc w:val="left"/>
        <w:rPr>
          <w:rFonts w:ascii="宋体" w:hAnsi="宋体" w:eastAsia="宋体" w:cs="宋体"/>
          <w:color w:val="auto"/>
          <w:sz w:val="24"/>
        </w:rPr>
      </w:pPr>
      <w:r>
        <w:rPr>
          <w:rFonts w:hint="eastAsia" w:ascii="宋体" w:hAnsi="宋体" w:eastAsia="宋体" w:cs="宋体"/>
          <w:color w:val="auto"/>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jc w:val="left"/>
        <w:rPr>
          <w:rFonts w:ascii="宋体" w:hAnsi="宋体" w:eastAsia="宋体" w:cs="宋体"/>
          <w:color w:val="auto"/>
          <w:sz w:val="24"/>
        </w:rPr>
      </w:pPr>
      <w:r>
        <w:rPr>
          <w:rFonts w:hint="eastAsia" w:ascii="宋体" w:hAnsi="宋体" w:eastAsia="宋体" w:cs="宋体"/>
          <w:color w:val="auto"/>
          <w:sz w:val="24"/>
        </w:rPr>
        <w:t>   （六）自觉接受政府、行业组织、社会公众、新闻舆论的监督；</w:t>
      </w:r>
    </w:p>
    <w:p w14:paraId="7B51C052">
      <w:pPr>
        <w:widowControl/>
        <w:spacing w:line="499" w:lineRule="atLeast"/>
        <w:ind w:firstLine="480"/>
        <w:jc w:val="left"/>
        <w:rPr>
          <w:rFonts w:ascii="宋体" w:hAnsi="宋体" w:eastAsia="宋体" w:cs="宋体"/>
          <w:color w:val="auto"/>
          <w:sz w:val="24"/>
        </w:rPr>
      </w:pPr>
      <w:r>
        <w:rPr>
          <w:rFonts w:hint="eastAsia" w:ascii="宋体" w:hAnsi="宋体" w:eastAsia="宋体" w:cs="宋体"/>
          <w:color w:val="auto"/>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jc w:val="left"/>
        <w:rPr>
          <w:rFonts w:ascii="宋体" w:hAnsi="宋体" w:eastAsia="宋体" w:cs="宋体"/>
          <w:color w:val="auto"/>
          <w:sz w:val="24"/>
        </w:rPr>
      </w:pPr>
      <w:r>
        <w:rPr>
          <w:rFonts w:hint="eastAsia" w:ascii="宋体" w:hAnsi="宋体" w:eastAsia="宋体" w:cs="宋体"/>
          <w:color w:val="auto"/>
          <w:sz w:val="24"/>
        </w:rPr>
        <w:t>   （八）本人已认真阅读了上述承诺，并向本单位员工作了宣传教育。</w:t>
      </w:r>
    </w:p>
    <w:p w14:paraId="413A0F2D">
      <w:pPr>
        <w:widowControl/>
        <w:spacing w:line="499" w:lineRule="atLeast"/>
        <w:jc w:val="left"/>
        <w:rPr>
          <w:rFonts w:ascii="宋体" w:hAnsi="宋体" w:eastAsia="宋体" w:cs="宋体"/>
          <w:color w:val="auto"/>
          <w:sz w:val="24"/>
        </w:rPr>
      </w:pPr>
      <w:r>
        <w:rPr>
          <w:rFonts w:hint="eastAsia" w:ascii="宋体" w:hAnsi="宋体" w:eastAsia="宋体" w:cs="宋体"/>
          <w:color w:val="auto"/>
          <w:sz w:val="24"/>
        </w:rPr>
        <w:t>                  法定代表人签名：</w:t>
      </w:r>
    </w:p>
    <w:p w14:paraId="3C5185D7">
      <w:pPr>
        <w:widowControl/>
        <w:spacing w:line="499" w:lineRule="atLeast"/>
        <w:jc w:val="center"/>
        <w:rPr>
          <w:rFonts w:ascii="宋体" w:hAnsi="宋体" w:eastAsia="宋体" w:cs="宋体"/>
          <w:color w:val="auto"/>
          <w:sz w:val="24"/>
        </w:rPr>
      </w:pPr>
      <w:r>
        <w:rPr>
          <w:rFonts w:hint="eastAsia" w:ascii="宋体" w:hAnsi="宋体" w:eastAsia="宋体" w:cs="宋体"/>
          <w:color w:val="auto"/>
          <w:sz w:val="24"/>
        </w:rPr>
        <w:t>                   单位名称（盖章）：</w:t>
      </w:r>
    </w:p>
    <w:p w14:paraId="031CFD2D">
      <w:pPr>
        <w:widowControl/>
        <w:spacing w:line="499" w:lineRule="atLeast"/>
        <w:jc w:val="center"/>
        <w:rPr>
          <w:rFonts w:ascii="宋体" w:hAnsi="宋体" w:eastAsia="宋体" w:cs="宋体"/>
          <w:color w:val="auto"/>
          <w:sz w:val="24"/>
        </w:rPr>
      </w:pPr>
      <w:r>
        <w:rPr>
          <w:rFonts w:hint="eastAsia" w:ascii="宋体" w:hAnsi="宋体" w:eastAsia="宋体" w:cs="宋体"/>
          <w:color w:val="auto"/>
          <w:sz w:val="24"/>
        </w:rPr>
        <w:t>                      年月日</w:t>
      </w:r>
    </w:p>
    <w:p w14:paraId="5D8529CE">
      <w:pPr>
        <w:pStyle w:val="10"/>
        <w:spacing w:beforeAutospacing="0" w:afterAutospacing="0"/>
        <w:jc w:val="center"/>
        <w:rPr>
          <w:color w:val="auto"/>
        </w:rPr>
      </w:pPr>
    </w:p>
    <w:bookmarkEnd w:id="37"/>
    <w:bookmarkEnd w:id="54"/>
    <w:bookmarkEnd w:id="99"/>
    <w:bookmarkEnd w:id="100"/>
    <w:bookmarkEnd w:id="101"/>
    <w:bookmarkEnd w:id="104"/>
    <w:bookmarkEnd w:id="105"/>
    <w:bookmarkEnd w:id="106"/>
    <w:bookmarkEnd w:id="107"/>
    <w:bookmarkEnd w:id="108"/>
    <w:bookmarkEnd w:id="109"/>
    <w:bookmarkEnd w:id="110"/>
    <w:bookmarkEnd w:id="111"/>
    <w:bookmarkEnd w:id="112"/>
    <w:bookmarkEnd w:id="113"/>
    <w:bookmarkEnd w:id="114"/>
    <w:bookmarkEnd w:id="115"/>
    <w:bookmarkEnd w:id="116"/>
    <w:bookmarkEnd w:id="121"/>
    <w:bookmarkEnd w:id="122"/>
    <w:bookmarkEnd w:id="123"/>
    <w:bookmarkEnd w:id="128"/>
    <w:bookmarkEnd w:id="129"/>
    <w:bookmarkEnd w:id="136"/>
    <w:bookmarkEnd w:id="183"/>
    <w:bookmarkEnd w:id="189"/>
    <w:bookmarkEnd w:id="193"/>
    <w:bookmarkEnd w:id="194"/>
    <w:bookmarkEnd w:id="196"/>
    <w:bookmarkEnd w:id="197"/>
    <w:bookmarkEnd w:id="198"/>
    <w:bookmarkEnd w:id="201"/>
    <w:bookmarkEnd w:id="210"/>
    <w:bookmarkEnd w:id="211"/>
    <w:bookmarkEnd w:id="212"/>
    <w:bookmarkEnd w:id="213"/>
    <w:bookmarkEnd w:id="214"/>
    <w:p w14:paraId="3D2A7919">
      <w:pPr>
        <w:rPr>
          <w:color w:val="auto"/>
        </w:rPr>
      </w:pPr>
    </w:p>
    <w:p w14:paraId="4D3B41D8">
      <w:pPr>
        <w:pStyle w:val="10"/>
        <w:spacing w:beforeAutospacing="0" w:afterAutospacing="0"/>
        <w:ind w:firstLine="643"/>
        <w:jc w:val="center"/>
        <w:rPr>
          <w:rFonts w:ascii="宋体" w:hAnsi="宋体" w:eastAsia="宋体" w:cs="宋体"/>
          <w:b/>
          <w:color w:val="auto"/>
          <w:sz w:val="32"/>
          <w:szCs w:val="32"/>
        </w:rPr>
      </w:pPr>
      <w:r>
        <w:rPr>
          <w:rFonts w:hint="eastAsia" w:ascii="宋体" w:hAnsi="宋体" w:eastAsia="宋体" w:cs="宋体"/>
          <w:b/>
          <w:color w:val="auto"/>
          <w:sz w:val="32"/>
          <w:szCs w:val="32"/>
        </w:rPr>
        <w:t>质疑函范本</w:t>
      </w:r>
    </w:p>
    <w:p w14:paraId="09EC660E">
      <w:pPr>
        <w:pStyle w:val="10"/>
        <w:spacing w:before="290" w:beforeAutospacing="0" w:afterAutospacing="0" w:line="360" w:lineRule="auto"/>
        <w:jc w:val="both"/>
        <w:rPr>
          <w:rFonts w:ascii="宋体" w:hAnsi="宋体" w:eastAsia="宋体" w:cs="宋体"/>
          <w:color w:val="auto"/>
        </w:rPr>
      </w:pPr>
      <w:r>
        <w:rPr>
          <w:rFonts w:hint="eastAsia" w:ascii="宋体" w:hAnsi="宋体" w:eastAsia="宋体" w:cs="宋体"/>
          <w:color w:val="auto"/>
        </w:rPr>
        <w:t>一、质疑供应商基本信息</w:t>
      </w:r>
    </w:p>
    <w:p w14:paraId="1BBEA404">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质疑供应商：</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0683C323">
      <w:pPr>
        <w:pStyle w:val="10"/>
        <w:spacing w:beforeAutospacing="0" w:afterAutospacing="0" w:line="360" w:lineRule="auto"/>
        <w:jc w:val="both"/>
        <w:rPr>
          <w:rFonts w:ascii="宋体" w:hAnsi="宋体" w:eastAsia="宋体" w:cs="宋体"/>
          <w:color w:val="auto"/>
          <w:u w:val="single"/>
        </w:rPr>
      </w:pPr>
      <w:r>
        <w:rPr>
          <w:rFonts w:hint="eastAsia" w:ascii="宋体" w:hAnsi="宋体" w:eastAsia="宋体" w:cs="宋体"/>
          <w:color w:val="auto"/>
        </w:rPr>
        <w:t>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w:t>
      </w:r>
    </w:p>
    <w:p w14:paraId="4FD10787">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邮编：</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51269EB1">
      <w:pPr>
        <w:pStyle w:val="10"/>
        <w:spacing w:beforeAutospacing="0" w:afterAutospacing="0" w:line="360" w:lineRule="auto"/>
        <w:jc w:val="both"/>
        <w:rPr>
          <w:rFonts w:ascii="宋体" w:hAnsi="宋体" w:eastAsia="宋体" w:cs="宋体"/>
          <w:color w:val="auto"/>
          <w:u w:val="single"/>
        </w:rPr>
      </w:pPr>
      <w:r>
        <w:rPr>
          <w:rFonts w:hint="eastAsia" w:ascii="宋体" w:hAnsi="宋体" w:eastAsia="宋体" w:cs="宋体"/>
          <w:color w:val="auto"/>
        </w:rPr>
        <w:t>联系人：</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68A79C72">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联系电话：</w:t>
      </w:r>
      <w:r>
        <w:rPr>
          <w:rFonts w:hint="eastAsia" w:ascii="宋体" w:hAnsi="宋体" w:eastAsia="宋体" w:cs="宋体"/>
          <w:color w:val="auto"/>
          <w:u w:val="single"/>
        </w:rPr>
        <w:t xml:space="preserve">                                           </w:t>
      </w:r>
    </w:p>
    <w:p w14:paraId="5B63D208">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授权代表：</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3C1857D9">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联系电话：</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28C266A2">
      <w:pPr>
        <w:pStyle w:val="10"/>
        <w:spacing w:beforeAutospacing="0" w:afterAutospacing="0" w:line="360" w:lineRule="auto"/>
        <w:jc w:val="both"/>
        <w:rPr>
          <w:rFonts w:ascii="宋体" w:hAnsi="宋体" w:eastAsia="宋体" w:cs="宋体"/>
          <w:color w:val="auto"/>
          <w:u w:val="single"/>
        </w:rPr>
      </w:pPr>
      <w:r>
        <w:rPr>
          <w:rFonts w:hint="eastAsia" w:ascii="宋体" w:hAnsi="宋体" w:eastAsia="宋体" w:cs="宋体"/>
          <w:color w:val="auto"/>
        </w:rPr>
        <w:t>地址： </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3855B596">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邮编：</w:t>
      </w:r>
      <w:r>
        <w:rPr>
          <w:rFonts w:hint="eastAsia" w:ascii="宋体" w:hAnsi="宋体" w:eastAsia="宋体" w:cs="宋体"/>
          <w:color w:val="auto"/>
          <w:u w:val="single"/>
        </w:rPr>
        <w:t xml:space="preserve">                                </w:t>
      </w:r>
    </w:p>
    <w:p w14:paraId="25856014">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二、质疑项目基本情况</w:t>
      </w:r>
    </w:p>
    <w:p w14:paraId="3DF26DCD">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质疑项目的名称：</w:t>
      </w:r>
      <w:r>
        <w:rPr>
          <w:rFonts w:hint="eastAsia" w:ascii="宋体" w:hAnsi="宋体" w:eastAsia="宋体" w:cs="宋体"/>
          <w:color w:val="auto"/>
          <w:u w:val="single"/>
        </w:rPr>
        <w:t xml:space="preserve">                            </w:t>
      </w:r>
    </w:p>
    <w:p w14:paraId="05D9AAAA">
      <w:pPr>
        <w:pStyle w:val="10"/>
        <w:spacing w:beforeAutospacing="0" w:afterAutospacing="0" w:line="360" w:lineRule="auto"/>
        <w:jc w:val="both"/>
        <w:rPr>
          <w:rFonts w:ascii="宋体" w:hAnsi="宋体" w:eastAsia="宋体" w:cs="宋体"/>
          <w:color w:val="auto"/>
          <w:u w:val="single"/>
        </w:rPr>
      </w:pPr>
      <w:r>
        <w:rPr>
          <w:rFonts w:hint="eastAsia" w:ascii="宋体" w:hAnsi="宋体" w:eastAsia="宋体" w:cs="宋体"/>
          <w:color w:val="auto"/>
        </w:rPr>
        <w:t>质疑项目的编号：</w:t>
      </w:r>
      <w:r>
        <w:rPr>
          <w:rFonts w:hint="eastAsia" w:ascii="宋体" w:hAnsi="宋体" w:eastAsia="宋体" w:cs="宋体"/>
          <w:color w:val="auto"/>
          <w:u w:val="single"/>
        </w:rPr>
        <w:t xml:space="preserve">                          </w:t>
      </w:r>
    </w:p>
    <w:p w14:paraId="6C45C6E4">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002EE101">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采购人名称：</w:t>
      </w:r>
      <w:r>
        <w:rPr>
          <w:rFonts w:hint="eastAsia" w:ascii="宋体" w:hAnsi="宋体" w:eastAsia="宋体" w:cs="宋体"/>
          <w:color w:val="auto"/>
          <w:u w:val="single"/>
        </w:rPr>
        <w:t xml:space="preserve">                            </w:t>
      </w:r>
    </w:p>
    <w:p w14:paraId="0C3EA93A">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采购文件获取日期：</w:t>
      </w:r>
      <w:r>
        <w:rPr>
          <w:rFonts w:hint="eastAsia" w:ascii="宋体" w:hAnsi="宋体" w:eastAsia="宋体" w:cs="宋体"/>
          <w:color w:val="auto"/>
          <w:u w:val="single"/>
        </w:rPr>
        <w:t xml:space="preserve">                             </w:t>
      </w:r>
    </w:p>
    <w:p w14:paraId="454C489F">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三、质疑事项具体内容</w:t>
      </w:r>
    </w:p>
    <w:p w14:paraId="5B0C3A09">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质疑事项1：</w:t>
      </w:r>
      <w:r>
        <w:rPr>
          <w:rFonts w:hint="eastAsia" w:ascii="宋体" w:hAnsi="宋体" w:eastAsia="宋体" w:cs="宋体"/>
          <w:color w:val="auto"/>
          <w:u w:val="single"/>
        </w:rPr>
        <w:t xml:space="preserve">                             </w:t>
      </w:r>
    </w:p>
    <w:p w14:paraId="65F6B2B9">
      <w:pPr>
        <w:pStyle w:val="10"/>
        <w:spacing w:beforeAutospacing="0" w:afterAutospacing="0" w:line="360" w:lineRule="auto"/>
        <w:rPr>
          <w:rFonts w:ascii="宋体" w:hAnsi="宋体" w:eastAsia="宋体" w:cs="宋体"/>
          <w:color w:val="auto"/>
        </w:rPr>
      </w:pPr>
      <w:r>
        <w:rPr>
          <w:rFonts w:hint="eastAsia" w:ascii="宋体" w:hAnsi="宋体" w:eastAsia="宋体" w:cs="宋体"/>
          <w:color w:val="auto"/>
        </w:rPr>
        <w:t>事实依据：</w:t>
      </w:r>
      <w:r>
        <w:rPr>
          <w:rFonts w:hint="eastAsia" w:ascii="宋体" w:hAnsi="宋体" w:eastAsia="宋体" w:cs="宋体"/>
          <w:color w:val="auto"/>
          <w:u w:val="single"/>
        </w:rPr>
        <w:t xml:space="preserve">                                                   </w:t>
      </w:r>
    </w:p>
    <w:p w14:paraId="78A4C18D">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法律依据：</w:t>
      </w:r>
      <w:r>
        <w:rPr>
          <w:rFonts w:hint="eastAsia" w:ascii="宋体" w:hAnsi="宋体" w:eastAsia="宋体" w:cs="宋体"/>
          <w:color w:val="auto"/>
          <w:u w:val="single"/>
        </w:rPr>
        <w:t xml:space="preserve">                                                    </w:t>
      </w:r>
    </w:p>
    <w:p w14:paraId="32398CFA">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质疑事项2</w:t>
      </w:r>
    </w:p>
    <w:p w14:paraId="7481B690">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w:t>
      </w:r>
    </w:p>
    <w:p w14:paraId="4BFC85F6">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四、与质疑事项相关的质疑请求</w:t>
      </w:r>
    </w:p>
    <w:p w14:paraId="4142A576">
      <w:pPr>
        <w:pStyle w:val="10"/>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请求：</w:t>
      </w:r>
      <w:r>
        <w:rPr>
          <w:rFonts w:hint="eastAsia" w:ascii="宋体" w:hAnsi="宋体" w:eastAsia="宋体" w:cs="宋体"/>
          <w:color w:val="auto"/>
          <w:u w:val="single"/>
        </w:rPr>
        <w:t xml:space="preserve">                                                          </w:t>
      </w:r>
    </w:p>
    <w:p w14:paraId="0E62018D">
      <w:pPr>
        <w:pStyle w:val="10"/>
        <w:spacing w:beforeAutospacing="0" w:afterAutospacing="0"/>
        <w:jc w:val="both"/>
        <w:rPr>
          <w:rFonts w:ascii="宋体" w:hAnsi="宋体" w:eastAsia="宋体" w:cs="宋体"/>
          <w:color w:val="auto"/>
        </w:rPr>
      </w:pPr>
      <w:r>
        <w:rPr>
          <w:rFonts w:hint="eastAsia" w:ascii="宋体" w:hAnsi="宋体" w:eastAsia="宋体" w:cs="宋体"/>
          <w:color w:val="auto"/>
        </w:rPr>
        <w:t xml:space="preserve">签字(签章)：                 公章：               日期：    </w:t>
      </w:r>
    </w:p>
    <w:p w14:paraId="2BD1128B">
      <w:pPr>
        <w:pStyle w:val="10"/>
        <w:spacing w:beforeAutospacing="0" w:afterAutospacing="0" w:line="0" w:lineRule="atLeast"/>
        <w:ind w:firstLine="482"/>
        <w:jc w:val="both"/>
        <w:rPr>
          <w:rFonts w:ascii="宋体" w:hAnsi="宋体" w:eastAsia="宋体" w:cs="宋体"/>
          <w:color w:val="auto"/>
        </w:rPr>
      </w:pPr>
      <w:r>
        <w:rPr>
          <w:rFonts w:hint="eastAsia" w:ascii="宋体" w:hAnsi="宋体" w:eastAsia="宋体" w:cs="宋体"/>
          <w:b/>
          <w:color w:val="auto"/>
        </w:rPr>
        <w:t>质疑函制作说明：</w:t>
      </w:r>
    </w:p>
    <w:p w14:paraId="366B4F23">
      <w:pPr>
        <w:pStyle w:val="10"/>
        <w:widowControl/>
        <w:spacing w:beforeAutospacing="0" w:afterAutospacing="0" w:line="0" w:lineRule="atLeast"/>
        <w:ind w:firstLine="480"/>
        <w:rPr>
          <w:rFonts w:ascii="宋体" w:hAnsi="宋体" w:eastAsia="宋体" w:cs="宋体"/>
          <w:color w:val="auto"/>
        </w:rPr>
      </w:pPr>
      <w:r>
        <w:rPr>
          <w:rFonts w:hint="eastAsia" w:ascii="宋体" w:hAnsi="宋体" w:eastAsia="宋体" w:cs="宋体"/>
          <w:color w:val="auto"/>
        </w:rPr>
        <w:t>1.供应商提出质疑时，应提交质疑函和必要的证明材料。</w:t>
      </w:r>
    </w:p>
    <w:p w14:paraId="4477C1A6">
      <w:pPr>
        <w:pStyle w:val="10"/>
        <w:widowControl/>
        <w:spacing w:beforeAutospacing="0" w:afterAutospacing="0" w:line="0" w:lineRule="atLeast"/>
        <w:ind w:firstLine="480"/>
        <w:rPr>
          <w:rFonts w:ascii="宋体" w:hAnsi="宋体" w:eastAsia="宋体" w:cs="宋体"/>
          <w:color w:val="auto"/>
        </w:rPr>
      </w:pPr>
      <w:r>
        <w:rPr>
          <w:rFonts w:hint="eastAsia" w:ascii="宋体" w:hAnsi="宋体" w:eastAsia="宋体" w:cs="宋体"/>
          <w:color w:va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10"/>
        <w:widowControl/>
        <w:spacing w:beforeAutospacing="0" w:afterAutospacing="0" w:line="0" w:lineRule="atLeast"/>
        <w:ind w:firstLine="480"/>
        <w:rPr>
          <w:rFonts w:ascii="宋体" w:hAnsi="宋体" w:eastAsia="宋体" w:cs="宋体"/>
          <w:color w:val="auto"/>
        </w:rPr>
      </w:pPr>
      <w:r>
        <w:rPr>
          <w:rFonts w:hint="eastAsia" w:ascii="宋体" w:hAnsi="宋体" w:eastAsia="宋体" w:cs="宋体"/>
          <w:color w:val="auto"/>
        </w:rPr>
        <w:t>3.质疑供应商若对项目的某一分包进行质疑，质疑函中应列明具体分包号。</w:t>
      </w:r>
    </w:p>
    <w:p w14:paraId="61B2EC12">
      <w:pPr>
        <w:pStyle w:val="10"/>
        <w:widowControl/>
        <w:spacing w:beforeAutospacing="0" w:afterAutospacing="0" w:line="0" w:lineRule="atLeast"/>
        <w:ind w:firstLine="480"/>
        <w:rPr>
          <w:rFonts w:ascii="宋体" w:hAnsi="宋体" w:eastAsia="宋体" w:cs="宋体"/>
          <w:color w:val="auto"/>
        </w:rPr>
      </w:pPr>
      <w:r>
        <w:rPr>
          <w:rFonts w:hint="eastAsia" w:ascii="宋体" w:hAnsi="宋体" w:eastAsia="宋体" w:cs="宋体"/>
          <w:color w:val="auto"/>
        </w:rPr>
        <w:t>4.质疑函的质疑事项应具体、明确，并有必要的事实依据和法律依据。</w:t>
      </w:r>
    </w:p>
    <w:p w14:paraId="00DA2770">
      <w:pPr>
        <w:pStyle w:val="10"/>
        <w:widowControl/>
        <w:spacing w:beforeAutospacing="0" w:afterAutospacing="0" w:line="0" w:lineRule="atLeast"/>
        <w:ind w:firstLine="480"/>
        <w:rPr>
          <w:rFonts w:ascii="宋体" w:hAnsi="宋体" w:eastAsia="宋体" w:cs="宋体"/>
          <w:color w:val="auto"/>
        </w:rPr>
      </w:pPr>
      <w:r>
        <w:rPr>
          <w:rFonts w:hint="eastAsia" w:ascii="宋体" w:hAnsi="宋体" w:eastAsia="宋体" w:cs="宋体"/>
          <w:color w:val="auto"/>
        </w:rPr>
        <w:t>5.质疑函的质疑请求应与质疑事项相关。</w:t>
      </w:r>
    </w:p>
    <w:p w14:paraId="7B96CA49">
      <w:pPr>
        <w:pStyle w:val="10"/>
        <w:widowControl/>
        <w:spacing w:beforeAutospacing="0" w:afterAutospacing="0" w:line="0" w:lineRule="atLeast"/>
        <w:ind w:firstLine="480"/>
        <w:rPr>
          <w:rFonts w:ascii="宋体" w:hAnsi="宋体" w:eastAsia="宋体" w:cs="宋体"/>
          <w:color w:val="auto"/>
        </w:rPr>
      </w:pPr>
      <w:r>
        <w:rPr>
          <w:rFonts w:hint="eastAsia" w:ascii="宋体" w:hAnsi="宋体" w:eastAsia="宋体" w:cs="宋体"/>
          <w:color w:val="auto"/>
        </w:rPr>
        <w:t>6.质疑供应商为自然人的，质疑函应由本人签字；质疑供应商为法人或者其他组织的，质疑函应由法定代表人、主要负责人，或者其授权代表签字或者盖章，并加盖公章。</w:t>
      </w:r>
    </w:p>
    <w:p w14:paraId="2A8F5BDA">
      <w:pPr>
        <w:pStyle w:val="10"/>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5C2BD028">
      <w:pPr>
        <w:rPr>
          <w:color w:val="auto"/>
        </w:rPr>
      </w:pPr>
    </w:p>
    <w:bookmarkEnd w:id="215"/>
    <w:sectPr>
      <w:footerReference r:id="rId3" w:type="default"/>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方正魏碑_GBK">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84123493"/>
    </w:sdtPr>
    <w:sdtContent>
      <w:p w14:paraId="3F090F55">
        <w:pPr>
          <w:pStyle w:val="8"/>
          <w:ind w:firstLine="360"/>
          <w:jc w:val="center"/>
        </w:pPr>
        <w:r>
          <w:fldChar w:fldCharType="begin"/>
        </w:r>
        <w:r>
          <w:instrText xml:space="preserve">PAGE   \* MERGEFORMAT</w:instrText>
        </w:r>
        <w:r>
          <w:fldChar w:fldCharType="separate"/>
        </w:r>
        <w:r>
          <w:rPr>
            <w:lang w:val="zh-CN"/>
          </w:rPr>
          <w:t>1</w:t>
        </w:r>
        <w: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3"/>
  <w:displayBackgroundShape w:val="1"/>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M5NjQ4MDViNzI1OGY2YzE4MzhiZmY5ZTY1YTkxNGYifQ=="/>
  </w:docVars>
  <w:rsids>
    <w:rsidRoot w:val="00172A27"/>
    <w:rsid w:val="0001517E"/>
    <w:rsid w:val="000236EB"/>
    <w:rsid w:val="00044B72"/>
    <w:rsid w:val="000652DF"/>
    <w:rsid w:val="00067DD7"/>
    <w:rsid w:val="00075369"/>
    <w:rsid w:val="00077137"/>
    <w:rsid w:val="00093DD2"/>
    <w:rsid w:val="000E199C"/>
    <w:rsid w:val="00100CC0"/>
    <w:rsid w:val="00114939"/>
    <w:rsid w:val="00114C3E"/>
    <w:rsid w:val="00131CB1"/>
    <w:rsid w:val="00134651"/>
    <w:rsid w:val="00172A27"/>
    <w:rsid w:val="00177F0B"/>
    <w:rsid w:val="001A3225"/>
    <w:rsid w:val="001A3598"/>
    <w:rsid w:val="001E38B5"/>
    <w:rsid w:val="001F21B5"/>
    <w:rsid w:val="001F3B8C"/>
    <w:rsid w:val="001F4115"/>
    <w:rsid w:val="00215AA4"/>
    <w:rsid w:val="002227AC"/>
    <w:rsid w:val="00237622"/>
    <w:rsid w:val="00251125"/>
    <w:rsid w:val="00251A7E"/>
    <w:rsid w:val="0026658A"/>
    <w:rsid w:val="002C31FF"/>
    <w:rsid w:val="002E61F3"/>
    <w:rsid w:val="002F0CFF"/>
    <w:rsid w:val="002F12F8"/>
    <w:rsid w:val="00304B97"/>
    <w:rsid w:val="00395EBC"/>
    <w:rsid w:val="003A4A92"/>
    <w:rsid w:val="003C1A89"/>
    <w:rsid w:val="003C6894"/>
    <w:rsid w:val="003D1C68"/>
    <w:rsid w:val="003D7DAD"/>
    <w:rsid w:val="00420352"/>
    <w:rsid w:val="0043276E"/>
    <w:rsid w:val="004529E6"/>
    <w:rsid w:val="00455E51"/>
    <w:rsid w:val="004670D5"/>
    <w:rsid w:val="00474047"/>
    <w:rsid w:val="004806D5"/>
    <w:rsid w:val="00491F6E"/>
    <w:rsid w:val="004B611F"/>
    <w:rsid w:val="004D3110"/>
    <w:rsid w:val="00502ACB"/>
    <w:rsid w:val="00520AC5"/>
    <w:rsid w:val="00543AA5"/>
    <w:rsid w:val="00552DFB"/>
    <w:rsid w:val="00562385"/>
    <w:rsid w:val="0057751E"/>
    <w:rsid w:val="005A6F39"/>
    <w:rsid w:val="005B6131"/>
    <w:rsid w:val="005E57E9"/>
    <w:rsid w:val="005F19A5"/>
    <w:rsid w:val="005F3727"/>
    <w:rsid w:val="006123FE"/>
    <w:rsid w:val="006415BF"/>
    <w:rsid w:val="00665B5C"/>
    <w:rsid w:val="0067332F"/>
    <w:rsid w:val="00675100"/>
    <w:rsid w:val="006774AB"/>
    <w:rsid w:val="00690283"/>
    <w:rsid w:val="006932C0"/>
    <w:rsid w:val="006B6F15"/>
    <w:rsid w:val="006C6EF2"/>
    <w:rsid w:val="006D0B27"/>
    <w:rsid w:val="006E7B9B"/>
    <w:rsid w:val="0072140E"/>
    <w:rsid w:val="00724AF5"/>
    <w:rsid w:val="007345CE"/>
    <w:rsid w:val="007477B3"/>
    <w:rsid w:val="007546ED"/>
    <w:rsid w:val="007871B9"/>
    <w:rsid w:val="007A209F"/>
    <w:rsid w:val="007A220C"/>
    <w:rsid w:val="007A7B98"/>
    <w:rsid w:val="007B1CF4"/>
    <w:rsid w:val="007B227F"/>
    <w:rsid w:val="007C3158"/>
    <w:rsid w:val="007F2245"/>
    <w:rsid w:val="00817A96"/>
    <w:rsid w:val="008250CF"/>
    <w:rsid w:val="0085196C"/>
    <w:rsid w:val="00857FA6"/>
    <w:rsid w:val="0088127E"/>
    <w:rsid w:val="00891BD2"/>
    <w:rsid w:val="008A70C5"/>
    <w:rsid w:val="008B090D"/>
    <w:rsid w:val="008E1727"/>
    <w:rsid w:val="008E3728"/>
    <w:rsid w:val="008E4636"/>
    <w:rsid w:val="00905812"/>
    <w:rsid w:val="00935693"/>
    <w:rsid w:val="00942329"/>
    <w:rsid w:val="009435D9"/>
    <w:rsid w:val="0099159A"/>
    <w:rsid w:val="009A63AA"/>
    <w:rsid w:val="009E76A7"/>
    <w:rsid w:val="00A17713"/>
    <w:rsid w:val="00A25411"/>
    <w:rsid w:val="00A4304F"/>
    <w:rsid w:val="00A51C47"/>
    <w:rsid w:val="00A62079"/>
    <w:rsid w:val="00A678D9"/>
    <w:rsid w:val="00A70028"/>
    <w:rsid w:val="00A80AB0"/>
    <w:rsid w:val="00A85029"/>
    <w:rsid w:val="00AA2A8E"/>
    <w:rsid w:val="00AC1BB0"/>
    <w:rsid w:val="00AC1D36"/>
    <w:rsid w:val="00AD2FF4"/>
    <w:rsid w:val="00AE6B58"/>
    <w:rsid w:val="00B07FD4"/>
    <w:rsid w:val="00B413EF"/>
    <w:rsid w:val="00B454C4"/>
    <w:rsid w:val="00B662FA"/>
    <w:rsid w:val="00B90E4C"/>
    <w:rsid w:val="00B94729"/>
    <w:rsid w:val="00B95C00"/>
    <w:rsid w:val="00B97B78"/>
    <w:rsid w:val="00BA3CCE"/>
    <w:rsid w:val="00BC383D"/>
    <w:rsid w:val="00BE692E"/>
    <w:rsid w:val="00BE787D"/>
    <w:rsid w:val="00C30C78"/>
    <w:rsid w:val="00C36D58"/>
    <w:rsid w:val="00C52EAF"/>
    <w:rsid w:val="00C83D22"/>
    <w:rsid w:val="00C86C58"/>
    <w:rsid w:val="00CB578B"/>
    <w:rsid w:val="00CC0E8C"/>
    <w:rsid w:val="00CC6AE6"/>
    <w:rsid w:val="00D0628C"/>
    <w:rsid w:val="00D1282F"/>
    <w:rsid w:val="00D31935"/>
    <w:rsid w:val="00D550E3"/>
    <w:rsid w:val="00D63F4B"/>
    <w:rsid w:val="00D93FCD"/>
    <w:rsid w:val="00D97644"/>
    <w:rsid w:val="00DA3238"/>
    <w:rsid w:val="00DB37D7"/>
    <w:rsid w:val="00DC1F8B"/>
    <w:rsid w:val="00DC2707"/>
    <w:rsid w:val="00DF38AC"/>
    <w:rsid w:val="00E301FF"/>
    <w:rsid w:val="00E50D8E"/>
    <w:rsid w:val="00E57898"/>
    <w:rsid w:val="00E6087B"/>
    <w:rsid w:val="00E60FA4"/>
    <w:rsid w:val="00EB38D8"/>
    <w:rsid w:val="00EE0352"/>
    <w:rsid w:val="00EF4DE2"/>
    <w:rsid w:val="00EF7157"/>
    <w:rsid w:val="00F130C8"/>
    <w:rsid w:val="00F264FD"/>
    <w:rsid w:val="00F316B3"/>
    <w:rsid w:val="00F33192"/>
    <w:rsid w:val="00F50207"/>
    <w:rsid w:val="00F83266"/>
    <w:rsid w:val="00F8669E"/>
    <w:rsid w:val="00F957B2"/>
    <w:rsid w:val="00F96B32"/>
    <w:rsid w:val="00FA77F2"/>
    <w:rsid w:val="00FB0117"/>
    <w:rsid w:val="00FC60A9"/>
    <w:rsid w:val="00FC6132"/>
    <w:rsid w:val="00FC6CC1"/>
    <w:rsid w:val="00FE3C91"/>
    <w:rsid w:val="014036E0"/>
    <w:rsid w:val="01416DF2"/>
    <w:rsid w:val="015C3D17"/>
    <w:rsid w:val="01C209CB"/>
    <w:rsid w:val="02357688"/>
    <w:rsid w:val="024602C2"/>
    <w:rsid w:val="02851591"/>
    <w:rsid w:val="02BD5381"/>
    <w:rsid w:val="02D505AD"/>
    <w:rsid w:val="03365B5E"/>
    <w:rsid w:val="034E4AD1"/>
    <w:rsid w:val="037E0789"/>
    <w:rsid w:val="03913FFC"/>
    <w:rsid w:val="04CF1FA6"/>
    <w:rsid w:val="056E5657"/>
    <w:rsid w:val="05AD05DE"/>
    <w:rsid w:val="05BD3D79"/>
    <w:rsid w:val="05D1541D"/>
    <w:rsid w:val="0621639E"/>
    <w:rsid w:val="062C42CE"/>
    <w:rsid w:val="06764670"/>
    <w:rsid w:val="06867FD2"/>
    <w:rsid w:val="068A6E34"/>
    <w:rsid w:val="06B12B65"/>
    <w:rsid w:val="06BD3726"/>
    <w:rsid w:val="071D689A"/>
    <w:rsid w:val="07887E6F"/>
    <w:rsid w:val="07994E3B"/>
    <w:rsid w:val="07A02A3F"/>
    <w:rsid w:val="07A40F48"/>
    <w:rsid w:val="07F651C7"/>
    <w:rsid w:val="080A468F"/>
    <w:rsid w:val="0854758E"/>
    <w:rsid w:val="08992D34"/>
    <w:rsid w:val="08C86899"/>
    <w:rsid w:val="09132265"/>
    <w:rsid w:val="09514639"/>
    <w:rsid w:val="09D92A42"/>
    <w:rsid w:val="09FE79EC"/>
    <w:rsid w:val="0AB319EF"/>
    <w:rsid w:val="0ABC363A"/>
    <w:rsid w:val="0AD8294B"/>
    <w:rsid w:val="0B4B3B00"/>
    <w:rsid w:val="0B8A23C1"/>
    <w:rsid w:val="0BA111B6"/>
    <w:rsid w:val="0BAE3813"/>
    <w:rsid w:val="0BFF003E"/>
    <w:rsid w:val="0C9413AC"/>
    <w:rsid w:val="0CFF0F1B"/>
    <w:rsid w:val="0D4D2FC1"/>
    <w:rsid w:val="0E0362D5"/>
    <w:rsid w:val="0E966A8C"/>
    <w:rsid w:val="0E9C279A"/>
    <w:rsid w:val="0EB36461"/>
    <w:rsid w:val="0EE61CD2"/>
    <w:rsid w:val="0F0A004B"/>
    <w:rsid w:val="0F655282"/>
    <w:rsid w:val="0F6D24BC"/>
    <w:rsid w:val="0F7D537E"/>
    <w:rsid w:val="0FBC4A1F"/>
    <w:rsid w:val="0FE97C61"/>
    <w:rsid w:val="10007707"/>
    <w:rsid w:val="10B2533E"/>
    <w:rsid w:val="11072A94"/>
    <w:rsid w:val="11AB711C"/>
    <w:rsid w:val="11EB7CC0"/>
    <w:rsid w:val="12A21019"/>
    <w:rsid w:val="12D9220E"/>
    <w:rsid w:val="12F015A0"/>
    <w:rsid w:val="132711CC"/>
    <w:rsid w:val="13D157F4"/>
    <w:rsid w:val="143E4A1F"/>
    <w:rsid w:val="14477BA7"/>
    <w:rsid w:val="157923E7"/>
    <w:rsid w:val="162C6AF9"/>
    <w:rsid w:val="163E3563"/>
    <w:rsid w:val="169263C8"/>
    <w:rsid w:val="16A61788"/>
    <w:rsid w:val="16AF4856"/>
    <w:rsid w:val="16FC471D"/>
    <w:rsid w:val="170045BA"/>
    <w:rsid w:val="174D6D27"/>
    <w:rsid w:val="174D7871"/>
    <w:rsid w:val="17666D47"/>
    <w:rsid w:val="176F0FD8"/>
    <w:rsid w:val="17732C32"/>
    <w:rsid w:val="178521C3"/>
    <w:rsid w:val="17884203"/>
    <w:rsid w:val="18BC4109"/>
    <w:rsid w:val="18D23988"/>
    <w:rsid w:val="193260E4"/>
    <w:rsid w:val="19835197"/>
    <w:rsid w:val="19A11C2E"/>
    <w:rsid w:val="1A1C3150"/>
    <w:rsid w:val="1A4F2C83"/>
    <w:rsid w:val="1AA839EE"/>
    <w:rsid w:val="1AD2708F"/>
    <w:rsid w:val="1AD75285"/>
    <w:rsid w:val="1AE6196C"/>
    <w:rsid w:val="1B193AF0"/>
    <w:rsid w:val="1B5508A0"/>
    <w:rsid w:val="1B5F5046"/>
    <w:rsid w:val="1B9509DF"/>
    <w:rsid w:val="1BA002D8"/>
    <w:rsid w:val="1C493F61"/>
    <w:rsid w:val="1CAC4347"/>
    <w:rsid w:val="1D1C1092"/>
    <w:rsid w:val="1D605A5A"/>
    <w:rsid w:val="1D812873"/>
    <w:rsid w:val="1DDF4451"/>
    <w:rsid w:val="1DE2466D"/>
    <w:rsid w:val="1DFD1285"/>
    <w:rsid w:val="1E4E1D03"/>
    <w:rsid w:val="1EC70509"/>
    <w:rsid w:val="1EE6018D"/>
    <w:rsid w:val="1F4A0271"/>
    <w:rsid w:val="1FA5245A"/>
    <w:rsid w:val="1FC7762D"/>
    <w:rsid w:val="2000702C"/>
    <w:rsid w:val="205C376D"/>
    <w:rsid w:val="20607ACB"/>
    <w:rsid w:val="20677E3C"/>
    <w:rsid w:val="20733730"/>
    <w:rsid w:val="209429D0"/>
    <w:rsid w:val="20A83FAF"/>
    <w:rsid w:val="20CE42A1"/>
    <w:rsid w:val="215025DE"/>
    <w:rsid w:val="21827A71"/>
    <w:rsid w:val="21CC717D"/>
    <w:rsid w:val="22424AA4"/>
    <w:rsid w:val="228C104B"/>
    <w:rsid w:val="22934188"/>
    <w:rsid w:val="22F62B8A"/>
    <w:rsid w:val="23151041"/>
    <w:rsid w:val="23254D08"/>
    <w:rsid w:val="23534E2B"/>
    <w:rsid w:val="23A924A0"/>
    <w:rsid w:val="242C02D7"/>
    <w:rsid w:val="24533DC2"/>
    <w:rsid w:val="24BE643D"/>
    <w:rsid w:val="2532334D"/>
    <w:rsid w:val="25664C69"/>
    <w:rsid w:val="259B3353"/>
    <w:rsid w:val="26364296"/>
    <w:rsid w:val="26750FF7"/>
    <w:rsid w:val="27194423"/>
    <w:rsid w:val="27206206"/>
    <w:rsid w:val="27290FC5"/>
    <w:rsid w:val="280F2F92"/>
    <w:rsid w:val="28BC3D0D"/>
    <w:rsid w:val="28FE41FC"/>
    <w:rsid w:val="29345C52"/>
    <w:rsid w:val="2996274E"/>
    <w:rsid w:val="29BD7D3C"/>
    <w:rsid w:val="2A4648B7"/>
    <w:rsid w:val="2A9A62D0"/>
    <w:rsid w:val="2B005440"/>
    <w:rsid w:val="2BCA6741"/>
    <w:rsid w:val="2C03574A"/>
    <w:rsid w:val="2C0A4EA8"/>
    <w:rsid w:val="2C1125C1"/>
    <w:rsid w:val="2C7B3B05"/>
    <w:rsid w:val="2CC277F5"/>
    <w:rsid w:val="2CEA709A"/>
    <w:rsid w:val="2D39592C"/>
    <w:rsid w:val="2E0C4DEE"/>
    <w:rsid w:val="2E382087"/>
    <w:rsid w:val="2E5E7AF7"/>
    <w:rsid w:val="2E9F2106"/>
    <w:rsid w:val="2EE73822"/>
    <w:rsid w:val="2FA80D19"/>
    <w:rsid w:val="2FAD4FD9"/>
    <w:rsid w:val="2FB346FB"/>
    <w:rsid w:val="2FD45DE0"/>
    <w:rsid w:val="2FFA5778"/>
    <w:rsid w:val="30495C84"/>
    <w:rsid w:val="30650005"/>
    <w:rsid w:val="310333AD"/>
    <w:rsid w:val="3126266B"/>
    <w:rsid w:val="31522189"/>
    <w:rsid w:val="318E0F10"/>
    <w:rsid w:val="31DB0550"/>
    <w:rsid w:val="32531113"/>
    <w:rsid w:val="329E6CD8"/>
    <w:rsid w:val="32AE0B6A"/>
    <w:rsid w:val="32E77BD8"/>
    <w:rsid w:val="33440753"/>
    <w:rsid w:val="334B4AB3"/>
    <w:rsid w:val="33773E42"/>
    <w:rsid w:val="34367069"/>
    <w:rsid w:val="34E14EA2"/>
    <w:rsid w:val="34E346A0"/>
    <w:rsid w:val="359B1151"/>
    <w:rsid w:val="35A41DB0"/>
    <w:rsid w:val="35AD49A2"/>
    <w:rsid w:val="35BC534C"/>
    <w:rsid w:val="36172BC3"/>
    <w:rsid w:val="36721EAF"/>
    <w:rsid w:val="36CC7C95"/>
    <w:rsid w:val="36E076F0"/>
    <w:rsid w:val="36EB650A"/>
    <w:rsid w:val="375B1FDF"/>
    <w:rsid w:val="378133A9"/>
    <w:rsid w:val="383A233E"/>
    <w:rsid w:val="39101F1B"/>
    <w:rsid w:val="392D7EB3"/>
    <w:rsid w:val="39643D30"/>
    <w:rsid w:val="39720FC7"/>
    <w:rsid w:val="39987E7E"/>
    <w:rsid w:val="39A84137"/>
    <w:rsid w:val="39CD52E9"/>
    <w:rsid w:val="39E87557"/>
    <w:rsid w:val="3A1C0AAF"/>
    <w:rsid w:val="3A575643"/>
    <w:rsid w:val="3A64388F"/>
    <w:rsid w:val="3AB02FA5"/>
    <w:rsid w:val="3B0B043D"/>
    <w:rsid w:val="3B702E61"/>
    <w:rsid w:val="3B9710EF"/>
    <w:rsid w:val="3BDF2457"/>
    <w:rsid w:val="3BDF7FE6"/>
    <w:rsid w:val="3CC36DCD"/>
    <w:rsid w:val="3D23372C"/>
    <w:rsid w:val="3D2823FA"/>
    <w:rsid w:val="3D581DFE"/>
    <w:rsid w:val="3D6A4AAA"/>
    <w:rsid w:val="3DF80C94"/>
    <w:rsid w:val="3DFD4754"/>
    <w:rsid w:val="3E064F5A"/>
    <w:rsid w:val="3E161B6B"/>
    <w:rsid w:val="3E496B6B"/>
    <w:rsid w:val="3E7F5998"/>
    <w:rsid w:val="3EED6576"/>
    <w:rsid w:val="3F0056DB"/>
    <w:rsid w:val="3F0156C1"/>
    <w:rsid w:val="3F1A3023"/>
    <w:rsid w:val="3F243A9D"/>
    <w:rsid w:val="3FC26720"/>
    <w:rsid w:val="40260F22"/>
    <w:rsid w:val="402B33C8"/>
    <w:rsid w:val="40350295"/>
    <w:rsid w:val="406E1D8D"/>
    <w:rsid w:val="42053C57"/>
    <w:rsid w:val="42214BD9"/>
    <w:rsid w:val="42324DFA"/>
    <w:rsid w:val="42AF59D8"/>
    <w:rsid w:val="431353F3"/>
    <w:rsid w:val="43455446"/>
    <w:rsid w:val="4450382F"/>
    <w:rsid w:val="44DA072F"/>
    <w:rsid w:val="454D0F8E"/>
    <w:rsid w:val="457957B5"/>
    <w:rsid w:val="45890E3A"/>
    <w:rsid w:val="45FC0A54"/>
    <w:rsid w:val="461D469A"/>
    <w:rsid w:val="466976E6"/>
    <w:rsid w:val="46D32596"/>
    <w:rsid w:val="46EA0CE7"/>
    <w:rsid w:val="470D4256"/>
    <w:rsid w:val="472208AE"/>
    <w:rsid w:val="47631ACB"/>
    <w:rsid w:val="47704C41"/>
    <w:rsid w:val="47755C7D"/>
    <w:rsid w:val="477F6C5D"/>
    <w:rsid w:val="47B925F3"/>
    <w:rsid w:val="47E744AA"/>
    <w:rsid w:val="48771F96"/>
    <w:rsid w:val="48910AEC"/>
    <w:rsid w:val="48913E27"/>
    <w:rsid w:val="489D725F"/>
    <w:rsid w:val="48B3170D"/>
    <w:rsid w:val="493C7DE9"/>
    <w:rsid w:val="49D62B33"/>
    <w:rsid w:val="4A1E13B4"/>
    <w:rsid w:val="4A2C49B0"/>
    <w:rsid w:val="4A490A3B"/>
    <w:rsid w:val="4A7D1B0F"/>
    <w:rsid w:val="4AAC50D1"/>
    <w:rsid w:val="4AF64A04"/>
    <w:rsid w:val="4AFA44F5"/>
    <w:rsid w:val="4B0C37B9"/>
    <w:rsid w:val="4B944949"/>
    <w:rsid w:val="4BC33B49"/>
    <w:rsid w:val="4BD12EAB"/>
    <w:rsid w:val="4C0C6ECB"/>
    <w:rsid w:val="4C5A2B74"/>
    <w:rsid w:val="4D2D20D9"/>
    <w:rsid w:val="4D317F76"/>
    <w:rsid w:val="4D3C69F8"/>
    <w:rsid w:val="4D784E5B"/>
    <w:rsid w:val="4DA074F7"/>
    <w:rsid w:val="4DA33F07"/>
    <w:rsid w:val="4DDE52C0"/>
    <w:rsid w:val="4E7740AE"/>
    <w:rsid w:val="4EDD03B5"/>
    <w:rsid w:val="4F2D34E6"/>
    <w:rsid w:val="4F337FD5"/>
    <w:rsid w:val="4F526BF1"/>
    <w:rsid w:val="4FC2427A"/>
    <w:rsid w:val="50A0169A"/>
    <w:rsid w:val="50A1397F"/>
    <w:rsid w:val="51C75DFE"/>
    <w:rsid w:val="52741FCB"/>
    <w:rsid w:val="52B05F40"/>
    <w:rsid w:val="52CA1464"/>
    <w:rsid w:val="52D06B10"/>
    <w:rsid w:val="52D52291"/>
    <w:rsid w:val="53112879"/>
    <w:rsid w:val="533D58C6"/>
    <w:rsid w:val="53536515"/>
    <w:rsid w:val="536B21BA"/>
    <w:rsid w:val="53A862CC"/>
    <w:rsid w:val="542645AC"/>
    <w:rsid w:val="542A0FDA"/>
    <w:rsid w:val="545729B8"/>
    <w:rsid w:val="546C11F4"/>
    <w:rsid w:val="546E1AAF"/>
    <w:rsid w:val="54857525"/>
    <w:rsid w:val="54ED53D0"/>
    <w:rsid w:val="55091CCC"/>
    <w:rsid w:val="55AC37E9"/>
    <w:rsid w:val="55C67DF5"/>
    <w:rsid w:val="55FA184D"/>
    <w:rsid w:val="56307253"/>
    <w:rsid w:val="56453199"/>
    <w:rsid w:val="582F6DAB"/>
    <w:rsid w:val="58366D88"/>
    <w:rsid w:val="588910E4"/>
    <w:rsid w:val="58977827"/>
    <w:rsid w:val="58AD45AF"/>
    <w:rsid w:val="58D4718C"/>
    <w:rsid w:val="59274DA4"/>
    <w:rsid w:val="597131E7"/>
    <w:rsid w:val="599211F9"/>
    <w:rsid w:val="59A82CA5"/>
    <w:rsid w:val="5ABD109B"/>
    <w:rsid w:val="5AD514E8"/>
    <w:rsid w:val="5AD536B4"/>
    <w:rsid w:val="5AEA4CCC"/>
    <w:rsid w:val="5B031B11"/>
    <w:rsid w:val="5B2C4517"/>
    <w:rsid w:val="5B96574B"/>
    <w:rsid w:val="5C2A4141"/>
    <w:rsid w:val="5C5A652B"/>
    <w:rsid w:val="5CE305DA"/>
    <w:rsid w:val="5D3E5EBD"/>
    <w:rsid w:val="5DDD75C3"/>
    <w:rsid w:val="5DE138D8"/>
    <w:rsid w:val="5E1921ED"/>
    <w:rsid w:val="5EF07A1A"/>
    <w:rsid w:val="5F7D5E8E"/>
    <w:rsid w:val="5F7F522A"/>
    <w:rsid w:val="5FD72BFF"/>
    <w:rsid w:val="5FFC4413"/>
    <w:rsid w:val="601337BB"/>
    <w:rsid w:val="60762DC3"/>
    <w:rsid w:val="60CA4511"/>
    <w:rsid w:val="60D51B2B"/>
    <w:rsid w:val="617F2D1C"/>
    <w:rsid w:val="61891CD7"/>
    <w:rsid w:val="62312A9A"/>
    <w:rsid w:val="6283706E"/>
    <w:rsid w:val="62A87E16"/>
    <w:rsid w:val="62C43294"/>
    <w:rsid w:val="62CA561A"/>
    <w:rsid w:val="62F64762"/>
    <w:rsid w:val="6313315F"/>
    <w:rsid w:val="637172BE"/>
    <w:rsid w:val="63AD43A2"/>
    <w:rsid w:val="63CD6C1F"/>
    <w:rsid w:val="64813139"/>
    <w:rsid w:val="64A56430"/>
    <w:rsid w:val="65BB2793"/>
    <w:rsid w:val="65DD5A8E"/>
    <w:rsid w:val="65FB46E7"/>
    <w:rsid w:val="667027CF"/>
    <w:rsid w:val="6688694C"/>
    <w:rsid w:val="66B22301"/>
    <w:rsid w:val="66D41C46"/>
    <w:rsid w:val="670D4A21"/>
    <w:rsid w:val="67B6759E"/>
    <w:rsid w:val="68076E78"/>
    <w:rsid w:val="68245589"/>
    <w:rsid w:val="68777DD2"/>
    <w:rsid w:val="68CF442F"/>
    <w:rsid w:val="69605A13"/>
    <w:rsid w:val="69983CE0"/>
    <w:rsid w:val="6A1C1694"/>
    <w:rsid w:val="6A221F57"/>
    <w:rsid w:val="6A303461"/>
    <w:rsid w:val="6A751DB0"/>
    <w:rsid w:val="6AB95533"/>
    <w:rsid w:val="6B037E0E"/>
    <w:rsid w:val="6BDD2B0A"/>
    <w:rsid w:val="6BDE41BB"/>
    <w:rsid w:val="6BF40AC7"/>
    <w:rsid w:val="6C5462A8"/>
    <w:rsid w:val="6C7041BF"/>
    <w:rsid w:val="6C917FD7"/>
    <w:rsid w:val="6DEE183F"/>
    <w:rsid w:val="6E401402"/>
    <w:rsid w:val="6F3574FF"/>
    <w:rsid w:val="6F6F7A6D"/>
    <w:rsid w:val="6F711F0A"/>
    <w:rsid w:val="6FBB0862"/>
    <w:rsid w:val="70106954"/>
    <w:rsid w:val="70A37760"/>
    <w:rsid w:val="71BB7860"/>
    <w:rsid w:val="71C1726B"/>
    <w:rsid w:val="72440385"/>
    <w:rsid w:val="72CC236B"/>
    <w:rsid w:val="73761484"/>
    <w:rsid w:val="73EA0CFB"/>
    <w:rsid w:val="743F3C99"/>
    <w:rsid w:val="74835482"/>
    <w:rsid w:val="74877DC7"/>
    <w:rsid w:val="74DB35C2"/>
    <w:rsid w:val="75890D8F"/>
    <w:rsid w:val="75B043EA"/>
    <w:rsid w:val="76D90F68"/>
    <w:rsid w:val="77280C7C"/>
    <w:rsid w:val="77660E93"/>
    <w:rsid w:val="77A613DD"/>
    <w:rsid w:val="77BB58EB"/>
    <w:rsid w:val="77C1540B"/>
    <w:rsid w:val="783E7320"/>
    <w:rsid w:val="78C43643"/>
    <w:rsid w:val="78CB19C0"/>
    <w:rsid w:val="78F35EFE"/>
    <w:rsid w:val="78FF5669"/>
    <w:rsid w:val="793275BA"/>
    <w:rsid w:val="79A724F1"/>
    <w:rsid w:val="79B53B59"/>
    <w:rsid w:val="79C1605A"/>
    <w:rsid w:val="7A4B7878"/>
    <w:rsid w:val="7A6D100D"/>
    <w:rsid w:val="7B4231CA"/>
    <w:rsid w:val="7B825670"/>
    <w:rsid w:val="7B946370"/>
    <w:rsid w:val="7C3F1529"/>
    <w:rsid w:val="7C5F16F8"/>
    <w:rsid w:val="7C6929D9"/>
    <w:rsid w:val="7C9D3E10"/>
    <w:rsid w:val="7CA82FB1"/>
    <w:rsid w:val="7CAF2E48"/>
    <w:rsid w:val="7CB122FF"/>
    <w:rsid w:val="7DA05FAF"/>
    <w:rsid w:val="7DBA67DE"/>
    <w:rsid w:val="7DF53ACA"/>
    <w:rsid w:val="7DF7159A"/>
    <w:rsid w:val="7E7C50A3"/>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3">
    <w:name w:val="heading 3"/>
    <w:basedOn w:val="1"/>
    <w:next w:val="1"/>
    <w:qFormat/>
    <w:uiPriority w:val="0"/>
    <w:pPr>
      <w:keepNext/>
      <w:keepLines/>
      <w:spacing w:before="260" w:after="260" w:line="416" w:lineRule="auto"/>
      <w:outlineLvl w:val="2"/>
    </w:pPr>
    <w:rPr>
      <w:b/>
      <w:sz w:val="32"/>
      <w:szCs w:val="20"/>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6"/>
    <w:autoRedefine/>
    <w:qFormat/>
    <w:uiPriority w:val="0"/>
    <w:pPr>
      <w:jc w:val="left"/>
    </w:pPr>
  </w:style>
  <w:style w:type="paragraph" w:styleId="5">
    <w:name w:val="Body Text"/>
    <w:basedOn w:val="1"/>
    <w:next w:val="1"/>
    <w:link w:val="29"/>
    <w:semiHidden/>
    <w:qFormat/>
    <w:uiPriority w:val="0"/>
    <w:rPr>
      <w:rFonts w:ascii="仿宋" w:hAnsi="仿宋" w:eastAsia="仿宋" w:cs="仿宋"/>
      <w:sz w:val="31"/>
      <w:szCs w:val="31"/>
      <w:lang w:eastAsia="en-US"/>
    </w:rPr>
  </w:style>
  <w:style w:type="paragraph" w:styleId="6">
    <w:name w:val="Plain Text"/>
    <w:basedOn w:val="1"/>
    <w:qFormat/>
    <w:uiPriority w:val="0"/>
    <w:rPr>
      <w:rFonts w:hint="eastAsia" w:ascii="宋体" w:hAnsi="Courier New"/>
      <w:szCs w:val="20"/>
    </w:rPr>
  </w:style>
  <w:style w:type="paragraph" w:styleId="7">
    <w:name w:val="Balloon Text"/>
    <w:basedOn w:val="1"/>
    <w:link w:val="28"/>
    <w:qFormat/>
    <w:uiPriority w:val="0"/>
    <w:rPr>
      <w:sz w:val="18"/>
      <w:szCs w:val="18"/>
    </w:rPr>
  </w:style>
  <w:style w:type="paragraph" w:styleId="8">
    <w:name w:val="footer"/>
    <w:basedOn w:val="1"/>
    <w:link w:val="20"/>
    <w:autoRedefine/>
    <w:qFormat/>
    <w:uiPriority w:val="99"/>
    <w:pPr>
      <w:tabs>
        <w:tab w:val="center" w:pos="4153"/>
        <w:tab w:val="right" w:pos="8306"/>
      </w:tabs>
      <w:snapToGrid w:val="0"/>
      <w:jc w:val="left"/>
    </w:pPr>
    <w:rPr>
      <w:sz w:val="18"/>
      <w:szCs w:val="18"/>
    </w:rPr>
  </w:style>
  <w:style w:type="paragraph" w:styleId="9">
    <w:name w:val="header"/>
    <w:basedOn w:val="1"/>
    <w:link w:val="19"/>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autoRedefine/>
    <w:qFormat/>
    <w:uiPriority w:val="0"/>
    <w:pPr>
      <w:spacing w:beforeAutospacing="1" w:afterAutospacing="1"/>
      <w:jc w:val="left"/>
    </w:pPr>
    <w:rPr>
      <w:rFonts w:cs="Times New Roman"/>
      <w:kern w:val="0"/>
      <w:sz w:val="24"/>
    </w:rPr>
  </w:style>
  <w:style w:type="paragraph" w:styleId="11">
    <w:name w:val="annotation subject"/>
    <w:basedOn w:val="4"/>
    <w:next w:val="4"/>
    <w:link w:val="27"/>
    <w:qFormat/>
    <w:uiPriority w:val="0"/>
    <w:rPr>
      <w:b/>
      <w:bCs/>
    </w:rPr>
  </w:style>
  <w:style w:type="table" w:styleId="13">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0"/>
    <w:rPr>
      <w:b/>
    </w:rPr>
  </w:style>
  <w:style w:type="character" w:styleId="16">
    <w:name w:val="Emphasis"/>
    <w:qFormat/>
    <w:uiPriority w:val="0"/>
    <w:rPr>
      <w:i/>
    </w:rPr>
  </w:style>
  <w:style w:type="character" w:styleId="17">
    <w:name w:val="annotation reference"/>
    <w:basedOn w:val="14"/>
    <w:qFormat/>
    <w:uiPriority w:val="0"/>
    <w:rPr>
      <w:sz w:val="21"/>
      <w:szCs w:val="21"/>
    </w:rPr>
  </w:style>
  <w:style w:type="paragraph" w:customStyle="1" w:styleId="18">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9">
    <w:name w:val="页眉 Char"/>
    <w:basedOn w:val="14"/>
    <w:link w:val="9"/>
    <w:autoRedefine/>
    <w:qFormat/>
    <w:uiPriority w:val="0"/>
    <w:rPr>
      <w:rFonts w:asciiTheme="minorHAnsi" w:hAnsiTheme="minorHAnsi" w:eastAsiaTheme="minorEastAsia" w:cstheme="minorBidi"/>
      <w:kern w:val="2"/>
      <w:sz w:val="18"/>
      <w:szCs w:val="18"/>
    </w:rPr>
  </w:style>
  <w:style w:type="character" w:customStyle="1" w:styleId="20">
    <w:name w:val="页脚 Char"/>
    <w:basedOn w:val="14"/>
    <w:link w:val="8"/>
    <w:autoRedefine/>
    <w:qFormat/>
    <w:uiPriority w:val="99"/>
    <w:rPr>
      <w:rFonts w:asciiTheme="minorHAnsi" w:hAnsiTheme="minorHAnsi" w:eastAsiaTheme="minorEastAsia" w:cstheme="minorBidi"/>
      <w:kern w:val="2"/>
      <w:sz w:val="18"/>
      <w:szCs w:val="18"/>
    </w:rPr>
  </w:style>
  <w:style w:type="paragraph" w:customStyle="1" w:styleId="21">
    <w:name w:val="普通正文"/>
    <w:basedOn w:val="1"/>
    <w:autoRedefine/>
    <w:qFormat/>
    <w:uiPriority w:val="0"/>
    <w:pPr>
      <w:adjustRightInd w:val="0"/>
      <w:spacing w:before="120" w:after="120" w:line="360" w:lineRule="auto"/>
      <w:ind w:firstLine="480"/>
      <w:jc w:val="left"/>
    </w:pPr>
    <w:rPr>
      <w:rFonts w:ascii="Arial" w:hAnsi="Arial" w:eastAsia="等线" w:cs="Arial"/>
      <w:sz w:val="24"/>
    </w:rPr>
  </w:style>
  <w:style w:type="paragraph" w:customStyle="1" w:styleId="22">
    <w:name w:val="正文首行缩进 21"/>
    <w:basedOn w:val="23"/>
    <w:qFormat/>
    <w:uiPriority w:val="0"/>
    <w:pPr>
      <w:ind w:firstLine="420"/>
    </w:pPr>
  </w:style>
  <w:style w:type="paragraph" w:customStyle="1" w:styleId="23">
    <w:name w:val="正文文本缩进1"/>
    <w:basedOn w:val="1"/>
    <w:qFormat/>
    <w:uiPriority w:val="0"/>
    <w:pPr>
      <w:spacing w:after="120"/>
      <w:ind w:left="420"/>
    </w:pPr>
  </w:style>
  <w:style w:type="paragraph" w:customStyle="1" w:styleId="24">
    <w:name w:val="Table Text"/>
    <w:qFormat/>
    <w:uiPriority w:val="0"/>
    <w:pPr>
      <w:snapToGrid w:val="0"/>
      <w:spacing w:before="143" w:beforeLines="50" w:after="80"/>
      <w:jc w:val="center"/>
    </w:pPr>
    <w:rPr>
      <w:rFonts w:ascii="仿宋_GB2312" w:hAnsi="宋体" w:eastAsia="仿宋_GB2312" w:cs="Times New Roman"/>
      <w:sz w:val="24"/>
      <w:lang w:val="en-US" w:eastAsia="zh-CN" w:bidi="ar-SA"/>
    </w:rPr>
  </w:style>
  <w:style w:type="paragraph" w:customStyle="1" w:styleId="25">
    <w:name w:val="修订1"/>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6">
    <w:name w:val="批注文字 Char"/>
    <w:basedOn w:val="14"/>
    <w:link w:val="4"/>
    <w:qFormat/>
    <w:uiPriority w:val="0"/>
    <w:rPr>
      <w:rFonts w:asciiTheme="minorHAnsi" w:hAnsiTheme="minorHAnsi" w:eastAsiaTheme="minorEastAsia" w:cstheme="minorBidi"/>
      <w:kern w:val="2"/>
      <w:sz w:val="21"/>
      <w:szCs w:val="24"/>
    </w:rPr>
  </w:style>
  <w:style w:type="character" w:customStyle="1" w:styleId="27">
    <w:name w:val="批注主题 Char"/>
    <w:basedOn w:val="26"/>
    <w:link w:val="11"/>
    <w:qFormat/>
    <w:uiPriority w:val="0"/>
    <w:rPr>
      <w:rFonts w:asciiTheme="minorHAnsi" w:hAnsiTheme="minorHAnsi" w:eastAsiaTheme="minorEastAsia" w:cstheme="minorBidi"/>
      <w:b/>
      <w:bCs/>
      <w:kern w:val="2"/>
      <w:sz w:val="21"/>
      <w:szCs w:val="24"/>
    </w:rPr>
  </w:style>
  <w:style w:type="character" w:customStyle="1" w:styleId="28">
    <w:name w:val="批注框文本 Char"/>
    <w:basedOn w:val="14"/>
    <w:link w:val="7"/>
    <w:qFormat/>
    <w:uiPriority w:val="0"/>
    <w:rPr>
      <w:rFonts w:asciiTheme="minorHAnsi" w:hAnsiTheme="minorHAnsi" w:eastAsiaTheme="minorEastAsia" w:cstheme="minorBidi"/>
      <w:kern w:val="2"/>
      <w:sz w:val="18"/>
      <w:szCs w:val="18"/>
    </w:rPr>
  </w:style>
  <w:style w:type="character" w:customStyle="1" w:styleId="29">
    <w:name w:val="正文文本 Char"/>
    <w:basedOn w:val="14"/>
    <w:link w:val="5"/>
    <w:semiHidden/>
    <w:qFormat/>
    <w:uiPriority w:val="0"/>
    <w:rPr>
      <w:rFonts w:ascii="仿宋" w:hAnsi="仿宋" w:eastAsia="仿宋" w:cs="仿宋"/>
      <w:kern w:val="2"/>
      <w:sz w:val="31"/>
      <w:szCs w:val="31"/>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52</Pages>
  <Words>21441</Words>
  <Characters>22646</Characters>
  <Lines>233</Lines>
  <Paragraphs>65</Paragraphs>
  <TotalTime>4</TotalTime>
  <ScaleCrop>false</ScaleCrop>
  <LinksUpToDate>false</LinksUpToDate>
  <CharactersWithSpaces>23261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2026-07-14T01:47:00Z</dcterms:created>
  <dc:creator>正式环境陈艳测试账号</dc:creator>
  <cp:lastModifiedBy>红星的光芒</cp:lastModifiedBy>
  <dcterms:modified xsi:type="dcterms:W3CDTF">2026-07-15T01:36:33Z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65759699444F44BBBFCCC89CEABA8F49_13</vt:lpwstr>
  </property>
  <property fmtid="{D5CDD505-2E9C-101B-9397-08002B2CF9AE}" pid="4" name="KSOTemplateDocerSaveRecord">
    <vt:lpwstr>eyJoZGlkIjoiZTUwZjUxMTMyNDc5YWQ4ZWJlMThhMGZlNTA3YWEyYTciLCJ1c2VySWQiOiI0MjQ2NTM5OTcifQ==</vt:lpwstr>
  </property>
</Properties>
</file>