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eastAsia="方正仿宋_GBK"/>
          <w:b/>
          <w:bCs/>
          <w:sz w:val="36"/>
          <w:szCs w:val="36"/>
        </w:rPr>
      </w:pPr>
      <w:r>
        <w:rPr>
          <w:rFonts w:eastAsia="方正仿宋_GBK"/>
          <w:b/>
          <w:bCs/>
          <w:sz w:val="36"/>
          <w:szCs w:val="36"/>
        </w:rPr>
      </w:r>
      <w:r/>
    </w:p>
    <w:p>
      <w:pPr>
        <w:jc w:val="center"/>
        <w:spacing w:line="360" w:lineRule="auto"/>
        <w:widowControl/>
        <w:rPr>
          <w:rFonts w:eastAsia="方正仿宋_GBK"/>
          <w:b/>
          <w:bCs/>
          <w:sz w:val="36"/>
          <w:szCs w:val="36"/>
        </w:rPr>
      </w:pPr>
      <w:r>
        <w:rPr>
          <w:rFonts w:eastAsia="方正仿宋_GBK"/>
          <w:b/>
          <w:bCs/>
          <w:sz w:val="36"/>
          <w:szCs w:val="36"/>
        </w:rPr>
      </w:r>
      <w:r/>
    </w:p>
    <w:p>
      <w:pPr>
        <w:jc w:val="center"/>
        <w:spacing w:line="360" w:lineRule="auto"/>
        <w:widowControl/>
        <w:rPr>
          <w:rFonts w:hint="eastAsia" w:ascii="方正仿宋_GB2312" w:hAnsi="方正仿宋_GB2312" w:eastAsia="方正仿宋_GB2312" w:cs="方正仿宋_GB2312"/>
          <w:b/>
          <w:sz w:val="36"/>
          <w:szCs w:val="36"/>
          <w:lang w:val="zh-CN" w:eastAsia="zh-CN"/>
        </w:rPr>
      </w:pPr>
      <w:r>
        <w:rPr>
          <w:rFonts w:hint="eastAsia" w:ascii="方正仿宋_GB2312" w:hAnsi="方正仿宋_GB2312" w:eastAsia="方正仿宋_GB2312" w:cs="方正仿宋_GB2312"/>
          <w:b/>
          <w:sz w:val="36"/>
          <w:szCs w:val="36"/>
          <w:lang w:eastAsia="zh-CN"/>
        </w:rPr>
        <w:t xml:space="preserve">生态环境监测监控能力提升项目（二次招标）</w:t>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t xml:space="preserve">公开招标文件</w:t>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lang w:eastAsia="zh-CN"/>
        </w:rPr>
      </w:pPr>
      <w:r>
        <w:rPr>
          <w:rFonts w:hint="eastAsia" w:ascii="方正仿宋_GB2312" w:hAnsi="方正仿宋_GB2312" w:eastAsia="方正仿宋_GB2312" w:cs="方正仿宋_GB2312"/>
          <w:b/>
          <w:sz w:val="36"/>
          <w:szCs w:val="36"/>
        </w:rPr>
        <w:t xml:space="preserve">项目编号：</w:t>
      </w:r>
      <w:r>
        <w:rPr>
          <w:rFonts w:hint="eastAsia" w:ascii="方正仿宋_GB2312" w:hAnsi="方正仿宋_GB2312" w:eastAsia="方正仿宋_GB2312" w:cs="方正仿宋_GB2312"/>
          <w:b/>
          <w:sz w:val="36"/>
          <w:szCs w:val="36"/>
          <w:lang w:eastAsia="zh-CN"/>
        </w:rPr>
        <w:t xml:space="preserve">JSZC-320100-JSGC-G2026-0035</w:t>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bCs/>
          <w:sz w:val="36"/>
          <w:szCs w:val="36"/>
        </w:rPr>
      </w:pPr>
      <w:r>
        <w:rPr>
          <w:rFonts w:hint="eastAsia" w:ascii="方正仿宋_GB2312" w:hAnsi="方正仿宋_GB2312" w:eastAsia="方正仿宋_GB2312" w:cs="方正仿宋_GB2312"/>
          <w:b/>
          <w:bCs/>
          <w:sz w:val="36"/>
          <w:szCs w:val="36"/>
        </w:rPr>
        <w:t xml:space="preserve">采购人：南京市生态环境监测监控中心</w:t>
      </w:r>
      <w:r/>
    </w:p>
    <w:p>
      <w:pPr>
        <w:jc w:val="center"/>
        <w:spacing w:line="360" w:lineRule="auto"/>
        <w:widowControl/>
        <w:rPr>
          <w:rFonts w:hint="eastAsia" w:ascii="方正仿宋_GB2312" w:hAnsi="方正仿宋_GB2312" w:eastAsia="方正仿宋_GB2312" w:cs="方正仿宋_GB2312"/>
          <w:b/>
          <w:bCs/>
          <w:sz w:val="36"/>
          <w:szCs w:val="36"/>
        </w:rPr>
      </w:pPr>
      <w:r>
        <w:rPr>
          <w:rFonts w:hint="eastAsia" w:ascii="方正仿宋_GB2312" w:hAnsi="方正仿宋_GB2312" w:eastAsia="方正仿宋_GB2312" w:cs="方正仿宋_GB2312"/>
          <w:b/>
          <w:bCs/>
          <w:sz w:val="36"/>
          <w:szCs w:val="36"/>
        </w:rPr>
        <w:t xml:space="preserve">采购代理机构：江苏国采工程咨询有限公司</w:t>
      </w:r>
      <w:r/>
    </w:p>
    <w:p>
      <w:pPr>
        <w:jc w:val="center"/>
        <w:spacing w:line="360" w:lineRule="auto"/>
        <w:widowControl/>
        <w:rPr>
          <w:rFonts w:hint="eastAsia" w:ascii="方正仿宋_GB2312" w:hAnsi="方正仿宋_GB2312" w:eastAsia="方正仿宋_GB2312" w:cs="方正仿宋_GB2312"/>
          <w:b/>
          <w:bCs/>
          <w:color w:val="ff0000"/>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方正仿宋_GB2312" w:hAnsi="方正仿宋_GB2312" w:eastAsia="方正仿宋_GB2312" w:cs="方正仿宋_GB2312"/>
          <w:b/>
          <w:bCs/>
          <w:sz w:val="36"/>
          <w:szCs w:val="36"/>
        </w:rPr>
        <w:t xml:space="preserve">2026年</w:t>
      </w:r>
      <w:r>
        <w:rPr>
          <w:rFonts w:hint="eastAsia" w:ascii="方正仿宋_GB2312" w:hAnsi="方正仿宋_GB2312" w:eastAsia="方正仿宋_GB2312" w:cs="方正仿宋_GB2312"/>
          <w:b/>
          <w:bCs/>
          <w:sz w:val="36"/>
          <w:szCs w:val="36"/>
          <w:lang w:val="en-US" w:eastAsia="zh-CN"/>
        </w:rPr>
        <w:t xml:space="preserve">7</w:t>
      </w:r>
      <w:r>
        <w:rPr>
          <w:rFonts w:hint="eastAsia" w:ascii="方正仿宋_GB2312" w:hAnsi="方正仿宋_GB2312" w:eastAsia="方正仿宋_GB2312" w:cs="方正仿宋_GB2312"/>
          <w:b/>
          <w:bCs/>
          <w:sz w:val="36"/>
          <w:szCs w:val="36"/>
        </w:rPr>
        <w:t xml:space="preserve">月</w:t>
      </w:r>
      <w:r>
        <w:rPr>
          <w:rFonts w:hint="eastAsia" w:ascii="方正仿宋_GB2312" w:hAnsi="方正仿宋_GB2312" w:eastAsia="方正仿宋_GB2312" w:cs="方正仿宋_GB2312"/>
          <w:b/>
          <w:bCs/>
          <w:color w:val="ff0000"/>
          <w:sz w:val="36"/>
          <w:szCs w:val="36"/>
        </w:rPr>
        <w:t xml:space="preserve"> </w:t>
      </w:r>
      <w:r/>
    </w:p>
    <w:sdt>
      <w:sdtPr>
        <w15:appearance w15:val="boundingBox"/>
        <w:id w:val="-1426032923"/>
        <w:docPartObj>
          <w:docPartGallery w:val="Table of Contents"/>
          <w:docPartUnique w:val="true"/>
        </w:docPartObj>
        <w:rPr>
          <w:rFonts w:hint="eastAsia" w:ascii="方正仿宋_GB2312" w:hAnsi="方正仿宋_GB2312" w:eastAsia="方正仿宋_GB2312" w:cs="方正仿宋_GB2312"/>
          <w:color w:val="auto"/>
          <w:sz w:val="21"/>
          <w:szCs w:val="24"/>
          <w:lang w:val="zh-CN"/>
        </w:rPr>
      </w:sdtPr>
      <w:sdtContent>
        <w:p>
          <w:pPr>
            <w:pStyle w:val="913"/>
            <w:jc w:val="center"/>
            <w:rPr>
              <w:rFonts w:hint="eastAsia" w:ascii="方正仿宋_GB2312" w:hAnsi="方正仿宋_GB2312" w:eastAsia="方正仿宋_GB2312" w:cs="方正仿宋_GB2312"/>
              <w:color w:val="auto"/>
            </w:rPr>
          </w:pPr>
          <w:r/>
          <w:bookmarkStart w:id="0" w:name="OLE_LINK23"/>
          <w:r>
            <w:rPr>
              <w:rFonts w:hint="eastAsia" w:ascii="方正仿宋_GB2312" w:hAnsi="方正仿宋_GB2312" w:eastAsia="方正仿宋_GB2312" w:cs="方正仿宋_GB2312"/>
              <w:color w:val="auto"/>
              <w:lang w:val="zh-CN"/>
            </w:rPr>
            <w:t xml:space="preserve">目 录</w:t>
          </w:r>
          <w:bookmarkEnd w:id="0"/>
          <w:r/>
        </w:p>
        <w:p>
          <w:pPr>
            <w:pStyle w:val="751"/>
            <w:tabs>
              <w:tab w:val="right" w:pos="9016" w:leader="dot"/>
            </w:tabs>
            <w:rPr>
              <w:rFonts w:hint="eastAsia" w:ascii="方正仿宋_GB2312" w:hAnsi="方正仿宋_GB2312" w:eastAsia="方正仿宋_GB2312" w:cs="方正仿宋_GB2312"/>
              <w:b/>
              <w:bCs/>
              <w:sz w:val="30"/>
              <w:szCs w:val="30"/>
              <w14:ligatures w14:val="standardContextual"/>
            </w:rPr>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TOC \o "1-1" \h \z \u </w:instrText>
          </w:r>
          <w:r>
            <w:rPr>
              <w:rFonts w:hint="eastAsia" w:ascii="方正仿宋_GB2312" w:hAnsi="方正仿宋_GB2312" w:eastAsia="方正仿宋_GB2312" w:cs="方正仿宋_GB2312"/>
              <w:sz w:val="28"/>
              <w:szCs w:val="28"/>
            </w:rPr>
            <w:fldChar w:fldCharType="separate"/>
          </w:r>
          <w:r>
            <w:fldChar w:fldCharType="begin"/>
          </w:r>
          <w:r>
            <w:instrText xml:space="preserve"> HYPERLINK \l "_Toc176529667" </w:instrText>
          </w:r>
          <w:r>
            <w:fldChar w:fldCharType="separate"/>
          </w:r>
          <w:r>
            <w:rPr>
              <w:rStyle w:val="770"/>
              <w:rFonts w:hint="eastAsia" w:ascii="方正仿宋_GB2312" w:hAnsi="方正仿宋_GB2312" w:eastAsia="方正仿宋_GB2312" w:cs="方正仿宋_GB2312"/>
              <w:b/>
              <w:bCs/>
              <w:sz w:val="30"/>
              <w:szCs w:val="30"/>
            </w:rPr>
            <w:t xml:space="preserve">第一章 招标公告</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_Toc176529667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1</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751"/>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"_Toc176529668" </w:instrText>
          </w:r>
          <w:r>
            <w:fldChar w:fldCharType="separate"/>
          </w:r>
          <w:r>
            <w:rPr>
              <w:rStyle w:val="770"/>
              <w:rFonts w:hint="eastAsia" w:ascii="方正仿宋_GB2312" w:hAnsi="方正仿宋_GB2312" w:eastAsia="方正仿宋_GB2312" w:cs="方正仿宋_GB2312"/>
              <w:b/>
              <w:bCs/>
              <w:sz w:val="30"/>
              <w:szCs w:val="30"/>
            </w:rPr>
            <w:t xml:space="preserve">第二章 投标人须知</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_Toc176529668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5</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751"/>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"_Toc176529669" </w:instrText>
          </w:r>
          <w:r>
            <w:fldChar w:fldCharType="separate"/>
          </w:r>
          <w:r>
            <w:rPr>
              <w:rStyle w:val="770"/>
              <w:rFonts w:hint="eastAsia" w:ascii="方正仿宋_GB2312" w:hAnsi="方正仿宋_GB2312" w:eastAsia="方正仿宋_GB2312" w:cs="方正仿宋_GB2312"/>
              <w:b/>
              <w:bCs/>
              <w:sz w:val="30"/>
              <w:szCs w:val="30"/>
            </w:rPr>
            <w:t xml:space="preserve">第三章 评标标准</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_Toc176529669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20</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751"/>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"_Toc176529670" </w:instrText>
          </w:r>
          <w:r>
            <w:fldChar w:fldCharType="separate"/>
          </w:r>
          <w:r>
            <w:rPr>
              <w:rStyle w:val="770"/>
              <w:rFonts w:hint="eastAsia" w:ascii="方正仿宋_GB2312" w:hAnsi="方正仿宋_GB2312" w:eastAsia="方正仿宋_GB2312" w:cs="方正仿宋_GB2312"/>
              <w:b/>
              <w:bCs/>
              <w:sz w:val="30"/>
              <w:szCs w:val="30"/>
            </w:rPr>
            <w:t xml:space="preserve">第四章 采购项目的内容和相关技术要求等</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_Toc176529670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23</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751"/>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"_Toc176529671" </w:instrText>
          </w:r>
          <w:r>
            <w:fldChar w:fldCharType="separate"/>
          </w:r>
          <w:r>
            <w:rPr>
              <w:rStyle w:val="770"/>
              <w:rFonts w:hint="eastAsia" w:ascii="方正仿宋_GB2312" w:hAnsi="方正仿宋_GB2312" w:eastAsia="方正仿宋_GB2312" w:cs="方正仿宋_GB2312"/>
              <w:b/>
              <w:bCs/>
              <w:sz w:val="30"/>
              <w:szCs w:val="30"/>
            </w:rPr>
            <w:t xml:space="preserve">第五章 合同主要条款及格式</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_Toc176529671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26</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751"/>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"_Toc176529672" </w:instrText>
          </w:r>
          <w:r>
            <w:fldChar w:fldCharType="separate"/>
          </w:r>
          <w:r>
            <w:rPr>
              <w:rStyle w:val="770"/>
              <w:rFonts w:hint="eastAsia" w:ascii="方正仿宋_GB2312" w:hAnsi="方正仿宋_GB2312" w:eastAsia="方正仿宋_GB2312" w:cs="方正仿宋_GB2312"/>
              <w:b/>
              <w:bCs/>
              <w:sz w:val="30"/>
              <w:szCs w:val="30"/>
            </w:rPr>
            <w:t xml:space="preserve">第六章 投标文件格式</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_Toc176529672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31</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8"/>
              <w:szCs w:val="28"/>
            </w:rPr>
            <w:fldChar w:fldCharType="end"/>
          </w:r>
          <w:r/>
        </w:p>
      </w:sdtContent>
    </w:sdt>
    <w:p>
      <w:pPr>
        <w:pStyle w:val="751"/>
        <w:tabs>
          <w:tab w:val="right" w:pos="8296" w:leader="dot"/>
        </w:tabs>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pStyle w:val="751"/>
        <w:spacing w:line="480" w:lineRule="auto"/>
        <w:tabs>
          <w:tab w:val="right" w:pos="8306" w:leader="dot"/>
        </w:tabs>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fldChar w:fldCharType="begin"/>
      </w:r>
      <w:r>
        <w:rPr>
          <w:rFonts w:hint="eastAsia" w:ascii="方正仿宋_GB2312" w:hAnsi="方正仿宋_GB2312" w:eastAsia="方正仿宋_GB2312" w:cs="方正仿宋_GB2312"/>
          <w:b/>
          <w:sz w:val="28"/>
          <w:szCs w:val="28"/>
        </w:rPr>
        <w:instrText xml:space="preserve">TOC \o "1-1" \h \u </w:instrText>
      </w:r>
      <w:r>
        <w:rPr>
          <w:rFonts w:hint="eastAsia" w:ascii="方正仿宋_GB2312" w:hAnsi="方正仿宋_GB2312" w:eastAsia="方正仿宋_GB2312" w:cs="方正仿宋_GB2312"/>
          <w:b/>
          <w:sz w:val="28"/>
          <w:szCs w:val="28"/>
        </w:rPr>
        <w:fldChar w:fldCharType="separate"/>
      </w:r>
      <w:r/>
    </w:p>
    <w:p>
      <w:pPr>
        <w:spacing w:line="48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28"/>
          <w:szCs w:val="28"/>
        </w:rPr>
        <w:fldChar w:fldCharType="end"/>
      </w:r>
      <w:r/>
    </w:p>
    <w:p>
      <w:pPr>
        <w:jc w:val="left"/>
        <w:spacing w:line="360" w:lineRule="auto"/>
        <w:shd w:val="clear" w:color="auto" w:fill="ffffff"/>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pStyle w:val="720"/>
        <w:numPr>
          <w:ilvl w:val="0"/>
          <w:numId w:val="0"/>
        </w:numPr>
        <w:ind w:left="567"/>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szCs w:val="36"/>
          <w:shd w:val="clear" w:color="auto" w:fill="ffffff"/>
        </w:rPr>
        <w:br w:type="page" w:clear="all"/>
      </w:r>
      <w:bookmarkStart w:id="1" w:name="_Toc29007"/>
      <w:r/>
      <w:bookmarkStart w:id="2" w:name="_Toc481057143"/>
      <w:r/>
      <w:bookmarkStart w:id="3" w:name="_Toc176529667"/>
      <w:r/>
      <w:bookmarkStart w:id="4" w:name="_Hlk43897905"/>
      <w:r>
        <w:rPr>
          <w:rFonts w:hint="eastAsia" w:ascii="方正仿宋_GB2312" w:hAnsi="方正仿宋_GB2312" w:eastAsia="方正仿宋_GB2312" w:cs="方正仿宋_GB2312"/>
          <w:szCs w:val="36"/>
          <w:shd w:val="clear" w:color="auto" w:fill="ffffff"/>
        </w:rPr>
        <w:t xml:space="preserve">第一章 </w:t>
      </w:r>
      <w:r>
        <w:rPr>
          <w:rFonts w:hint="eastAsia" w:ascii="方正仿宋_GB2312" w:hAnsi="方正仿宋_GB2312" w:eastAsia="方正仿宋_GB2312" w:cs="方正仿宋_GB2312"/>
          <w:b w:val="0"/>
          <w:bCs w:val="0"/>
        </w:rPr>
        <w:t xml:space="preserve">招标公告</w:t>
      </w:r>
      <w:bookmarkEnd w:id="1"/>
      <w:r/>
      <w:bookmarkEnd w:id="2"/>
      <w:r/>
      <w:bookmarkEnd w:id="3"/>
      <w:r/>
      <w:r/>
    </w:p>
    <w:p>
      <w:pPr>
        <w:ind w:firstLine="452"/>
        <w:spacing w:line="360" w:lineRule="auto"/>
        <w:widowControl/>
        <w:rPr>
          <w:rFonts w:hint="eastAsia" w:ascii="方正仿宋_GB2312" w:hAnsi="方正仿宋_GB2312" w:eastAsia="方正仿宋_GB2312" w:cs="方正仿宋_GB2312"/>
          <w:spacing w:val="8"/>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spacing w:val="8"/>
        </w:rPr>
        <w:t xml:space="preserve">项目概况</w:t>
      </w:r>
      <w:r/>
    </w:p>
    <w:p>
      <w:pPr>
        <w:ind w:firstLine="452"/>
        <w:spacing w:line="360" w:lineRule="auto"/>
        <w:widowControl/>
        <w:rPr>
          <w:rFonts w:hint="eastAsia" w:ascii="方正仿宋_GB2312" w:hAnsi="方正仿宋_GB2312" w:eastAsia="方正仿宋_GB2312" w:cs="方正仿宋_GB2312"/>
          <w:spacing w:val="8"/>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spacing w:val="8"/>
          <w:lang w:eastAsia="zh-CN"/>
        </w:rPr>
        <w:t xml:space="preserve">生态环境监测监控能力提升项目（二次招标）</w:t>
      </w:r>
      <w:r>
        <w:rPr>
          <w:rFonts w:hint="eastAsia" w:ascii="方正仿宋_GB2312" w:hAnsi="方正仿宋_GB2312" w:eastAsia="方正仿宋_GB2312" w:cs="方正仿宋_GB2312"/>
          <w:spacing w:val="8"/>
        </w:rPr>
        <w:t xml:space="preserve"> </w:t>
      </w:r>
      <w:r>
        <w:rPr>
          <w:rFonts w:hint="eastAsia" w:ascii="方正仿宋_GB2312" w:hAnsi="方正仿宋_GB2312" w:eastAsia="方正仿宋_GB2312" w:cs="方正仿宋_GB2312"/>
          <w:spacing w:val="8"/>
          <w:lang w:eastAsia="zh-CN"/>
        </w:rPr>
        <w:t xml:space="preserve">JSZC-320100-JSGC-G2026-0035</w:t>
      </w:r>
      <w:r>
        <w:rPr>
          <w:rFonts w:hint="eastAsia" w:ascii="方正仿宋_GB2312" w:hAnsi="方正仿宋_GB2312" w:eastAsia="方正仿宋_GB2312" w:cs="方正仿宋_GB2312"/>
          <w:spacing w:val="8"/>
        </w:rPr>
        <w:t xml:space="preserve">招标项目的潜在投标人应在</w:t>
      </w:r>
      <w:r>
        <w:rPr>
          <w:rFonts w:hint="eastAsia" w:ascii="方正仿宋_GB2312" w:hAnsi="方正仿宋_GB2312" w:eastAsia="方正仿宋_GB2312" w:cs="方正仿宋_GB2312"/>
          <w:spacing w:val="8"/>
          <w:szCs w:val="21"/>
        </w:rPr>
        <w:t xml:space="preserve">江苏政府采购网“</w:t>
      </w:r>
      <w:r>
        <w:rPr>
          <w:rFonts w:hint="eastAsia" w:ascii="方正仿宋_GB2312" w:hAnsi="方正仿宋_GB2312" w:eastAsia="方正仿宋_GB2312" w:cs="方正仿宋_GB2312"/>
          <w:szCs w:val="21"/>
        </w:rPr>
        <w:t xml:space="preserve">苏采云”系统</w:t>
      </w:r>
      <w:r>
        <w:rPr>
          <w:rFonts w:hint="eastAsia" w:ascii="方正仿宋_GB2312" w:hAnsi="方正仿宋_GB2312" w:eastAsia="方正仿宋_GB2312" w:cs="方正仿宋_GB2312"/>
          <w:spacing w:val="8"/>
        </w:rPr>
        <w:t xml:space="preserve">获取招标文件，并于2026年</w:t>
      </w:r>
      <w:r>
        <w:rPr>
          <w:rFonts w:hint="eastAsia" w:ascii="方正仿宋_GB2312" w:hAnsi="方正仿宋_GB2312" w:eastAsia="方正仿宋_GB2312" w:cs="方正仿宋_GB2312"/>
          <w:spacing w:val="8"/>
          <w:lang w:val="en-US" w:eastAsia="zh-CN"/>
        </w:rPr>
        <w:t xml:space="preserve">8</w:t>
      </w:r>
      <w:r>
        <w:rPr>
          <w:rFonts w:hint="eastAsia" w:ascii="方正仿宋_GB2312" w:hAnsi="方正仿宋_GB2312" w:eastAsia="方正仿宋_GB2312" w:cs="方正仿宋_GB2312"/>
          <w:spacing w:val="8"/>
        </w:rPr>
        <w:t xml:space="preserve">月</w:t>
      </w:r>
      <w:r>
        <w:rPr>
          <w:rFonts w:hint="eastAsia" w:ascii="方正仿宋_GB2312" w:hAnsi="方正仿宋_GB2312" w:eastAsia="方正仿宋_GB2312" w:cs="方正仿宋_GB2312"/>
          <w:spacing w:val="8"/>
          <w:lang w:val="en-US" w:eastAsia="zh-CN"/>
        </w:rPr>
        <w:t xml:space="preserve">17</w:t>
      </w:r>
      <w:r>
        <w:rPr>
          <w:rFonts w:hint="eastAsia" w:ascii="方正仿宋_GB2312" w:hAnsi="方正仿宋_GB2312" w:eastAsia="方正仿宋_GB2312" w:cs="方正仿宋_GB2312"/>
          <w:spacing w:val="8"/>
        </w:rPr>
        <w:t xml:space="preserve">日</w:t>
      </w:r>
      <w:r>
        <w:rPr>
          <w:rFonts w:hint="eastAsia" w:ascii="方正仿宋_GB2312" w:hAnsi="方正仿宋_GB2312" w:eastAsia="方正仿宋_GB2312" w:cs="方正仿宋_GB2312"/>
          <w:spacing w:val="8"/>
          <w:lang w:val="en-US" w:eastAsia="zh-CN"/>
        </w:rPr>
        <w:t xml:space="preserve">9</w:t>
      </w:r>
      <w:r>
        <w:rPr>
          <w:rFonts w:hint="eastAsia" w:ascii="方正仿宋_GB2312" w:hAnsi="方正仿宋_GB2312" w:eastAsia="方正仿宋_GB2312" w:cs="方正仿宋_GB2312"/>
          <w:spacing w:val="8"/>
        </w:rPr>
        <w:t xml:space="preserve">:</w:t>
      </w:r>
      <w:r>
        <w:rPr>
          <w:rFonts w:hint="eastAsia" w:ascii="方正仿宋_GB2312" w:hAnsi="方正仿宋_GB2312" w:eastAsia="方正仿宋_GB2312" w:cs="方正仿宋_GB2312"/>
          <w:spacing w:val="8"/>
          <w:lang w:val="en-US" w:eastAsia="zh-CN"/>
        </w:rPr>
        <w:t xml:space="preserve">3</w:t>
      </w:r>
      <w:r>
        <w:rPr>
          <w:rFonts w:hint="eastAsia" w:ascii="方正仿宋_GB2312" w:hAnsi="方正仿宋_GB2312" w:eastAsia="方正仿宋_GB2312" w:cs="方正仿宋_GB2312"/>
          <w:spacing w:val="8"/>
        </w:rPr>
        <w:t xml:space="preserve">0（北京时间）前提交投标文件。</w:t>
      </w:r>
      <w:r/>
    </w:p>
    <w:p>
      <w:pPr>
        <w:ind w:firstLine="45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spacing w:val="8"/>
        </w:rPr>
        <w:t xml:space="preserve">一、项目基本情况 </w:t>
      </w:r>
      <w:r>
        <w:rPr>
          <w:rFonts w:hint="eastAsia" w:ascii="方正仿宋_GB2312" w:hAnsi="方正仿宋_GB2312" w:eastAsia="方正仿宋_GB2312" w:cs="方正仿宋_GB2312"/>
          <w:b/>
          <w:szCs w:val="21"/>
        </w:rPr>
        <w:t xml:space="preserve">  </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项目编号：</w:t>
      </w:r>
      <w:r>
        <w:rPr>
          <w:rFonts w:hint="eastAsia" w:ascii="方正仿宋_GB2312" w:hAnsi="方正仿宋_GB2312" w:eastAsia="方正仿宋_GB2312" w:cs="方正仿宋_GB2312"/>
          <w:bCs/>
          <w:szCs w:val="21"/>
          <w:lang w:eastAsia="zh-CN"/>
        </w:rPr>
        <w:t xml:space="preserve">JSZC-320100-JSGC-G2026-0035</w:t>
      </w:r>
      <w:r>
        <w:rPr>
          <w:rFonts w:hint="eastAsia" w:ascii="方正仿宋_GB2312" w:hAnsi="方正仿宋_GB2312" w:eastAsia="方正仿宋_GB2312" w:cs="方正仿宋_GB2312"/>
          <w:bCs/>
          <w:szCs w:val="21"/>
        </w:rPr>
        <w:t xml:space="preserve"> </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eastAsia="zh-CN"/>
        </w:rPr>
      </w:pPr>
      <w:r>
        <w:rPr>
          <w:rFonts w:hint="eastAsia" w:ascii="方正仿宋_GB2312" w:hAnsi="方正仿宋_GB2312" w:eastAsia="方正仿宋_GB2312" w:cs="方正仿宋_GB2312"/>
          <w:bCs/>
          <w:szCs w:val="21"/>
        </w:rPr>
        <w:t xml:space="preserve">项目名称：</w:t>
      </w:r>
      <w:r>
        <w:rPr>
          <w:rFonts w:hint="eastAsia" w:ascii="方正仿宋_GB2312" w:hAnsi="方正仿宋_GB2312" w:eastAsia="方正仿宋_GB2312" w:cs="方正仿宋_GB2312"/>
          <w:bCs/>
          <w:szCs w:val="21"/>
          <w:lang w:eastAsia="zh-CN"/>
        </w:rPr>
        <w:t xml:space="preserve">生态环境监测监控能力提升项目（二次招标）</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highlight w:val="none"/>
        </w:rPr>
        <w:t xml:space="preserve">预算金额</w:t>
      </w:r>
      <w:r>
        <w:rPr>
          <w:rFonts w:hint="eastAsia" w:ascii="方正仿宋_GB2312" w:hAnsi="方正仿宋_GB2312" w:eastAsia="方正仿宋_GB2312" w:cs="方正仿宋_GB2312"/>
          <w:bCs/>
          <w:szCs w:val="21"/>
          <w:highlight w:val="none"/>
        </w:rPr>
        <w:t xml:space="preserve">：</w:t>
      </w:r>
      <w:r>
        <w:rPr>
          <w:rFonts w:hint="eastAsia" w:ascii="方正仿宋_GB2312" w:hAnsi="方正仿宋_GB2312" w:eastAsia="方正仿宋_GB2312" w:cs="方正仿宋_GB2312"/>
          <w:bCs/>
          <w:szCs w:val="21"/>
          <w:highlight w:val="none"/>
          <w:lang w:val="en-US" w:eastAsia="zh-CN"/>
        </w:rPr>
        <w:t xml:space="preserve">20</w:t>
      </w:r>
      <w:r>
        <w:rPr>
          <w:rFonts w:hint="eastAsia" w:ascii="方正仿宋_GB2312" w:hAnsi="方正仿宋_GB2312" w:eastAsia="方正仿宋_GB2312" w:cs="方正仿宋_GB2312"/>
          <w:bCs/>
          <w:szCs w:val="21"/>
          <w:highlight w:val="none"/>
        </w:rPr>
        <w:t xml:space="preserve">万元</w:t>
      </w:r>
      <w:r/>
    </w:p>
    <w:p>
      <w:pPr>
        <w:ind w:firstLine="420"/>
        <w:jc w:val="left"/>
        <w:spacing w:line="360" w:lineRule="auto"/>
        <w:shd w:val="clear" w:color="auto" w:fill="ffffff"/>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Cs/>
          <w:szCs w:val="21"/>
          <w:highlight w:val="none"/>
        </w:rPr>
        <w:t xml:space="preserve">最高限价（如有）：19.</w:t>
      </w:r>
      <w:r>
        <w:rPr>
          <w:rFonts w:hint="eastAsia" w:ascii="方正仿宋_GB2312" w:hAnsi="方正仿宋_GB2312" w:eastAsia="方正仿宋_GB2312" w:cs="方正仿宋_GB2312"/>
          <w:bCs/>
          <w:szCs w:val="21"/>
          <w:highlight w:val="none"/>
          <w:lang w:val="en-US" w:eastAsia="zh-CN"/>
        </w:rPr>
        <w:t xml:space="preserve">3</w:t>
      </w:r>
      <w:r>
        <w:rPr>
          <w:rFonts w:hint="eastAsia" w:ascii="方正仿宋_GB2312" w:hAnsi="方正仿宋_GB2312" w:eastAsia="方正仿宋_GB2312" w:cs="方正仿宋_GB2312"/>
          <w:bCs/>
          <w:szCs w:val="21"/>
          <w:highlight w:val="none"/>
        </w:rPr>
        <w:t xml:space="preserve">万元</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采购需求：</w:t>
      </w:r>
      <w:r>
        <w:rPr>
          <w:rFonts w:hint="eastAsia" w:ascii="方正仿宋_GB2312" w:hAnsi="方正仿宋_GB2312" w:eastAsia="方正仿宋_GB2312" w:cs="方正仿宋_GB2312"/>
          <w:bCs/>
          <w:color w:val="000000"/>
          <w:szCs w:val="21"/>
        </w:rPr>
        <w:t xml:space="preserve">对栖霞龙潭港赛默飞 PAMS5900 型 VOCs 在线监测设备（2</w:t>
      </w:r>
      <w:r>
        <w:rPr>
          <w:rStyle w:val="766"/>
          <w:rFonts w:hint="eastAsia" w:ascii="方正仿宋_GB2312" w:hAnsi="方正仿宋_GB2312" w:eastAsia="方正仿宋_GB2312" w:cs="方正仿宋_GB2312"/>
          <w:b w:val="0"/>
          <w:color w:val="000000"/>
          <w:szCs w:val="21"/>
        </w:rPr>
        <w:t xml:space="preserve">019年生产使用，该设备采用 GC-FID 气相色谱技术）</w:t>
      </w:r>
      <w:r>
        <w:rPr>
          <w:rFonts w:hint="eastAsia" w:ascii="方正仿宋_GB2312" w:hAnsi="方正仿宋_GB2312" w:eastAsia="方正仿宋_GB2312" w:cs="方正仿宋_GB2312"/>
          <w:bCs/>
          <w:color w:val="000000"/>
          <w:szCs w:val="21"/>
        </w:rPr>
        <w:t xml:space="preserve">开展专项故障诊断、原厂部件更换、管路系统清理、色谱柱老化、标准气体标定及整机调试等</w:t>
      </w:r>
      <w:r>
        <w:rPr>
          <w:rFonts w:hint="eastAsia" w:ascii="方正仿宋_GB2312" w:hAnsi="方正仿宋_GB2312" w:eastAsia="方正仿宋_GB2312" w:cs="方正仿宋_GB2312"/>
          <w:bCs/>
          <w:color w:val="000000"/>
          <w:szCs w:val="21"/>
          <w:highlight w:val="none"/>
        </w:rPr>
        <w:t xml:space="preserve">维修工作。</w:t>
      </w:r>
      <w:r>
        <w:rPr>
          <w:rFonts w:hint="eastAsia" w:ascii="方正仿宋_GB2312" w:hAnsi="方正仿宋_GB2312" w:eastAsia="方正仿宋_GB2312" w:cs="方正仿宋_GB2312"/>
          <w:bCs/>
          <w:szCs w:val="21"/>
        </w:rPr>
        <w:t xml:space="preserve">具体内容详见招标文件第四章。</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rPr>
        <w:t xml:space="preserve">合同履行期限：自</w:t>
      </w:r>
      <w:r>
        <w:rPr>
          <w:rFonts w:hint="eastAsia" w:ascii="方正仿宋_GB2312" w:hAnsi="方正仿宋_GB2312" w:eastAsia="方正仿宋_GB2312" w:cs="方正仿宋_GB2312"/>
          <w:bCs/>
          <w:color w:val="000000"/>
          <w:szCs w:val="21"/>
        </w:rPr>
        <w:t xml:space="preserve">合同签订后90日内完成仪器</w:t>
      </w:r>
      <w:r>
        <w:rPr>
          <w:rFonts w:hint="eastAsia" w:ascii="方正仿宋_GB2312" w:hAnsi="方正仿宋_GB2312" w:eastAsia="方正仿宋_GB2312" w:cs="方正仿宋_GB2312"/>
          <w:bCs/>
          <w:color w:val="000000"/>
          <w:szCs w:val="21"/>
          <w:highlight w:val="none"/>
        </w:rPr>
        <w:t xml:space="preserve">维修及验收，</w:t>
      </w:r>
      <w:r>
        <w:rPr>
          <w:rFonts w:hint="eastAsia" w:ascii="方正仿宋_GB2312" w:hAnsi="方正仿宋_GB2312" w:eastAsia="方正仿宋_GB2312" w:cs="方正仿宋_GB2312"/>
          <w:bCs/>
          <w:szCs w:val="21"/>
          <w:highlight w:val="none"/>
        </w:rPr>
        <w:t xml:space="preserve">具体根据采购人要求</w:t>
      </w:r>
      <w:r>
        <w:rPr>
          <w:rFonts w:hint="eastAsia" w:ascii="方正仿宋_GB2312" w:hAnsi="方正仿宋_GB2312" w:eastAsia="方正仿宋_GB2312" w:cs="方正仿宋_GB2312"/>
          <w:bCs/>
          <w:szCs w:val="21"/>
          <w:highlight w:val="none"/>
        </w:rPr>
        <w:t xml:space="preserve">为准</w:t>
      </w:r>
      <w:r>
        <w:rPr>
          <w:rFonts w:hint="eastAsia" w:ascii="方正仿宋_GB2312" w:hAnsi="方正仿宋_GB2312" w:eastAsia="方正仿宋_GB2312" w:cs="方正仿宋_GB2312"/>
          <w:bCs/>
          <w:szCs w:val="21"/>
          <w:highlight w:val="none"/>
        </w:rPr>
        <w:t xml:space="preserve">。</w:t>
      </w:r>
      <w:r>
        <w:rPr>
          <w:rFonts w:hint="eastAsia" w:ascii="方正仿宋_GB2312" w:hAnsi="方正仿宋_GB2312" w:eastAsia="方正仿宋_GB2312" w:cs="方正仿宋_GB2312"/>
          <w:bCs/>
          <w:szCs w:val="21"/>
          <w:highlight w:val="none"/>
        </w:rPr>
        <w:t xml:space="preserve">免费维修期为自仪器维修及验收完毕后6个月。</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bookmarkStart w:id="5" w:name="_Hlk128055931"/>
      <w:r/>
      <w:bookmarkStart w:id="6" w:name="_Hlk77845455"/>
      <w:r>
        <w:rPr>
          <w:rFonts w:hint="eastAsia" w:ascii="方正仿宋_GB2312" w:hAnsi="方正仿宋_GB2312" w:eastAsia="方正仿宋_GB2312" w:cs="方正仿宋_GB2312"/>
          <w:bCs/>
          <w:szCs w:val="21"/>
          <w:highlight w:val="none"/>
        </w:rPr>
        <w:t xml:space="preserve">本项目</w:t>
      </w:r>
      <w:bookmarkStart w:id="7" w:name="_Hlk84582886"/>
      <w:r>
        <w:rPr>
          <w:rFonts w:hint="eastAsia" w:ascii="方正仿宋_GB2312" w:hAnsi="方正仿宋_GB2312" w:eastAsia="方正仿宋_GB2312" w:cs="方正仿宋_GB2312"/>
          <w:bCs/>
          <w:szCs w:val="21"/>
          <w:highlight w:val="none"/>
        </w:rPr>
        <w:t xml:space="preserve">（是/否）接受</w:t>
      </w:r>
      <w:bookmarkEnd w:id="7"/>
      <w:r>
        <w:rPr>
          <w:rFonts w:hint="eastAsia" w:ascii="方正仿宋_GB2312" w:hAnsi="方正仿宋_GB2312" w:eastAsia="方正仿宋_GB2312" w:cs="方正仿宋_GB2312"/>
          <w:bCs/>
          <w:szCs w:val="21"/>
          <w:highlight w:val="none"/>
        </w:rPr>
        <w:t xml:space="preserve">联合体投标：否。</w:t>
      </w:r>
      <w:bookmarkEnd w:id="5"/>
      <w:bookmarkEnd w:id="6"/>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二、申请人的资格要求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（一）满足《中华人民共和国政府采购法》第二十二条规定：</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具有良好的商业信誉和健全的财务会计制度（提供距开标时间六个月内任意一月份的财务状况报告或上一年度财务审计报告或开标截止时间前六个月内银行出具的资信证明，成立未满一年若无上述证明材料的可不提供）；</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3.具有履行合同所必需的设备和专业技术能力（根据项目需求提供履行合同所必需的设备和专业技术能力的声明</w:t>
      </w:r>
      <w:bookmarkStart w:id="8" w:name="_Hlk128041996"/>
      <w:r>
        <w:rPr>
          <w:rFonts w:hint="eastAsia" w:ascii="方正仿宋_GB2312" w:hAnsi="方正仿宋_GB2312" w:eastAsia="方正仿宋_GB2312" w:cs="方正仿宋_GB2312"/>
          <w:bCs/>
          <w:szCs w:val="21"/>
        </w:rPr>
        <w:t xml:space="preserve">或证明材料</w:t>
      </w:r>
      <w:bookmarkEnd w:id="8"/>
      <w:r>
        <w:rPr>
          <w:rFonts w:hint="eastAsia" w:ascii="方正仿宋_GB2312" w:hAnsi="方正仿宋_GB2312" w:eastAsia="方正仿宋_GB2312" w:cs="方正仿宋_GB2312"/>
          <w:bCs/>
          <w:szCs w:val="21"/>
        </w:rPr>
        <w:t xml:space="preserve">）；</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4. </w:t>
      </w:r>
      <w:bookmarkStart w:id="9" w:name="_Hlk169006514"/>
      <w:r>
        <w:rPr>
          <w:rFonts w:hint="eastAsia" w:ascii="方正仿宋_GB2312" w:hAnsi="方正仿宋_GB2312" w:eastAsia="方正仿宋_GB2312" w:cs="方正仿宋_GB2312"/>
          <w:bCs/>
          <w:szCs w:val="21"/>
        </w:rPr>
        <w:t xml:space="preserve">具有依法缴纳税收和社会保障资金的良好记录</w:t>
      </w:r>
      <w:bookmarkStart w:id="10" w:name="_Hlk168994408"/>
      <w:r>
        <w:rPr>
          <w:rFonts w:hint="eastAsia" w:ascii="方正仿宋_GB2312" w:hAnsi="方正仿宋_GB2312" w:eastAsia="方正仿宋_GB2312" w:cs="方正仿宋_GB2312"/>
          <w:bCs/>
          <w:szCs w:val="21"/>
        </w:rPr>
        <w:t xml:space="preserve">（提供参加本次政府采购活动前一年内至少一个月缴纳社会保险的凭据及缴纳税收凭据，依法享受免缴、缓缴的，提供证明材料）</w:t>
      </w:r>
      <w:bookmarkEnd w:id="10"/>
      <w:r>
        <w:rPr>
          <w:rFonts w:hint="eastAsia" w:ascii="方正仿宋_GB2312" w:hAnsi="方正仿宋_GB2312" w:eastAsia="方正仿宋_GB2312" w:cs="方正仿宋_GB2312"/>
          <w:bCs/>
          <w:szCs w:val="21"/>
        </w:rPr>
        <w:t xml:space="preserve">；</w:t>
      </w:r>
      <w:bookmarkEnd w:id="9"/>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5.参加政府采购活动前三年内，在经营活动中没有重大违法记录（提供承诺书）；</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6.法律、行政法规规定的其他条件：无。</w:t>
      </w:r>
      <w:r/>
    </w:p>
    <w:p>
      <w:pPr>
        <w:ind w:firstLine="420"/>
        <w:spacing w:line="360" w:lineRule="auto"/>
        <w:rPr>
          <w:rFonts w:hint="eastAsia" w:ascii="方正仿宋_GB2312" w:hAnsi="方正仿宋_GB2312" w:eastAsia="方正仿宋_GB2312" w:cs="方正仿宋_GB2312"/>
          <w:bCs/>
          <w:color w:val="ed0000"/>
          <w:szCs w:val="21"/>
        </w:rPr>
      </w:pPr>
      <w:r>
        <w:rPr>
          <w:rFonts w:hint="eastAsia" w:ascii="方正仿宋_GB2312" w:hAnsi="方正仿宋_GB2312" w:eastAsia="方正仿宋_GB2312" w:cs="方正仿宋_GB2312"/>
          <w:bCs/>
          <w:szCs w:val="21"/>
        </w:rPr>
        <w:t xml:space="preserve">（二）落实政府采购政策需满足的资格要求：</w:t>
      </w:r>
      <w:bookmarkStart w:id="11" w:name="_Hlk128042064"/>
      <w:r>
        <w:rPr>
          <w:rFonts w:hint="eastAsia" w:ascii="方正仿宋_GB2312" w:hAnsi="方正仿宋_GB2312" w:eastAsia="方正仿宋_GB2312" w:cs="方正仿宋_GB2312"/>
          <w:bCs/>
          <w:szCs w:val="21"/>
        </w:rPr>
        <w:t xml:space="preserve">无。</w:t>
      </w:r>
      <w:bookmarkEnd w:id="11"/>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bookmarkStart w:id="12" w:name="_Hlk67996638"/>
      <w:r/>
      <w:bookmarkStart w:id="13" w:name="_Hlk67648547"/>
      <w:r>
        <w:rPr>
          <w:rFonts w:hint="eastAsia" w:ascii="方正仿宋_GB2312" w:hAnsi="方正仿宋_GB2312" w:eastAsia="方正仿宋_GB2312" w:cs="方正仿宋_GB2312"/>
          <w:bCs/>
          <w:szCs w:val="21"/>
        </w:rPr>
        <w:t xml:space="preserve">（三）本项目特定资格要求</w:t>
      </w:r>
      <w:bookmarkEnd w:id="12"/>
      <w:r>
        <w:rPr>
          <w:rFonts w:hint="eastAsia" w:ascii="方正仿宋_GB2312" w:hAnsi="方正仿宋_GB2312" w:eastAsia="方正仿宋_GB2312" w:cs="方正仿宋_GB2312"/>
          <w:bCs/>
          <w:szCs w:val="21"/>
        </w:rPr>
        <w:t xml:space="preserve">：</w:t>
      </w:r>
      <w:bookmarkEnd w:id="13"/>
      <w:r>
        <w:rPr>
          <w:rFonts w:hint="eastAsia" w:ascii="方正仿宋_GB2312" w:hAnsi="方正仿宋_GB2312" w:eastAsia="方正仿宋_GB2312" w:cs="方正仿宋_GB2312"/>
          <w:bCs/>
          <w:szCs w:val="21"/>
        </w:rPr>
        <w:t xml:space="preserve">无。</w:t>
      </w:r>
      <w:bookmarkStart w:id="14" w:name="_Hlk77845490"/>
      <w:r/>
      <w:bookmarkStart w:id="15" w:name="_Hlk77846375"/>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三、获取招标文件</w:t>
      </w:r>
      <w:r/>
    </w:p>
    <w:p>
      <w:pPr>
        <w:ind w:firstLine="420"/>
        <w:spacing w:line="360" w:lineRule="auto"/>
        <w:rPr>
          <w:rFonts w:hint="eastAsia" w:ascii="方正仿宋_GB2312" w:hAnsi="方正仿宋_GB2312" w:eastAsia="方正仿宋_GB2312" w:cs="方正仿宋_GB2312"/>
          <w:bCs/>
          <w:szCs w:val="21"/>
        </w:rPr>
      </w:pPr>
      <w:r/>
      <w:bookmarkStart w:id="16" w:name="_Hlk165968429"/>
      <w:r>
        <w:rPr>
          <w:rFonts w:hint="eastAsia" w:ascii="方正仿宋_GB2312" w:hAnsi="方正仿宋_GB2312" w:eastAsia="方正仿宋_GB2312" w:cs="方正仿宋_GB2312"/>
          <w:bCs/>
          <w:szCs w:val="21"/>
        </w:rPr>
        <w:t xml:space="preserve">时间：自招标文件公告发布之日起5个工作日</w:t>
      </w:r>
      <w:bookmarkEnd w:id="14"/>
      <w:r/>
    </w:p>
    <w:p>
      <w:pPr>
        <w:ind w:firstLine="420"/>
        <w:spacing w:line="360" w:lineRule="auto"/>
        <w:rPr>
          <w:rFonts w:hint="eastAsia" w:ascii="方正仿宋_GB2312" w:hAnsi="方正仿宋_GB2312" w:eastAsia="方正仿宋_GB2312" w:cs="方正仿宋_GB2312"/>
          <w:bCs/>
          <w:szCs w:val="21"/>
        </w:rPr>
      </w:pPr>
      <w:r/>
      <w:bookmarkStart w:id="17" w:name="_Hlk77845475"/>
      <w:r>
        <w:rPr>
          <w:rFonts w:hint="eastAsia" w:ascii="方正仿宋_GB2312" w:hAnsi="方正仿宋_GB2312" w:eastAsia="方正仿宋_GB2312" w:cs="方正仿宋_GB2312"/>
          <w:bCs/>
          <w:szCs w:val="21"/>
        </w:rPr>
        <w:t xml:space="preserve">地点：</w:t>
      </w:r>
      <w:bookmarkStart w:id="18" w:name="OLE_LINK20"/>
      <w:r>
        <w:rPr>
          <w:rFonts w:hint="eastAsia" w:ascii="方正仿宋_GB2312" w:hAnsi="方正仿宋_GB2312" w:eastAsia="方正仿宋_GB2312" w:cs="方正仿宋_GB2312"/>
          <w:bCs/>
          <w:szCs w:val="21"/>
        </w:rPr>
        <w:t xml:space="preserve">江苏政府采购网</w:t>
      </w:r>
      <w:bookmarkStart w:id="19" w:name="OLE_LINK21"/>
      <w:r>
        <w:rPr>
          <w:rFonts w:hint="eastAsia" w:ascii="方正仿宋_GB2312" w:hAnsi="方正仿宋_GB2312" w:eastAsia="方正仿宋_GB2312" w:cs="方正仿宋_GB2312"/>
          <w:bCs/>
          <w:szCs w:val="21"/>
        </w:rPr>
        <w:t xml:space="preserve">“苏采云”系统</w:t>
      </w:r>
      <w:bookmarkEnd w:id="18"/>
      <w:r/>
      <w:bookmarkEnd w:id="19"/>
      <w:r/>
      <w:r/>
    </w:p>
    <w:p>
      <w:pPr>
        <w:ind w:firstLine="420"/>
        <w:spacing w:line="360" w:lineRule="auto"/>
        <w:rPr>
          <w:rFonts w:hint="eastAsia" w:ascii="方正仿宋_GB2312" w:hAnsi="方正仿宋_GB2312" w:eastAsia="方正仿宋_GB2312" w:cs="方正仿宋_GB2312"/>
          <w:bCs/>
          <w:szCs w:val="21"/>
        </w:rPr>
      </w:pPr>
      <w:r/>
      <w:bookmarkStart w:id="20" w:name="_Hlk75168366"/>
      <w:r/>
      <w:bookmarkStart w:id="21" w:name="_Hlk168491149"/>
      <w:r/>
      <w:bookmarkStart w:id="22" w:name="_Hlk164960028"/>
      <w:r/>
      <w:bookmarkStart w:id="23" w:name="_Hlk168491228"/>
      <w:r>
        <w:rPr>
          <w:rFonts w:hint="eastAsia" w:ascii="方正仿宋_GB2312" w:hAnsi="方正仿宋_GB2312" w:eastAsia="方正仿宋_GB2312" w:cs="方正仿宋_GB2312"/>
          <w:bCs/>
          <w:szCs w:val="21"/>
        </w:rPr>
        <w:t xml:space="preserve">方式：</w:t>
      </w:r>
      <w:bookmarkEnd w:id="20"/>
      <w:r/>
      <w:bookmarkStart w:id="24" w:name="_Hlk168492824"/>
      <w:r/>
      <w:bookmarkStart w:id="25" w:name="_Hlk163662034"/>
      <w:r/>
      <w:bookmarkStart w:id="26" w:name="_Hlk95487722"/>
      <w:r>
        <w:rPr>
          <w:rFonts w:hint="eastAsia" w:ascii="方正仿宋_GB2312" w:hAnsi="方正仿宋_GB2312" w:eastAsia="方正仿宋_GB2312" w:cs="方正仿宋_GB2312"/>
          <w:bCs/>
          <w:szCs w:val="21"/>
        </w:rPr>
        <w:t xml:space="preserve">投标人登录江苏政府采购网，在网站首页点击“苏采云”系统自行免费下载</w:t>
      </w:r>
      <w:bookmarkEnd w:id="16"/>
      <w:bookmarkEnd w:id="21"/>
      <w:bookmarkEnd w:id="22"/>
      <w:bookmarkEnd w:id="23"/>
      <w:bookmarkEnd w:id="24"/>
      <w:bookmarkEnd w:id="25"/>
      <w:r/>
    </w:p>
    <w:p>
      <w:pPr>
        <w:ind w:firstLine="420"/>
        <w:spacing w:line="360" w:lineRule="auto"/>
        <w:rPr>
          <w:rFonts w:hint="eastAsia" w:ascii="方正仿宋_GB2312" w:hAnsi="方正仿宋_GB2312" w:eastAsia="方正仿宋_GB2312" w:cs="方正仿宋_GB2312"/>
          <w:bCs/>
          <w:szCs w:val="21"/>
        </w:rPr>
      </w:pPr>
      <w:r/>
      <w:bookmarkStart w:id="27" w:name="_Hlk128043211"/>
      <w:r>
        <w:rPr>
          <w:rFonts w:hint="eastAsia" w:ascii="方正仿宋_GB2312" w:hAnsi="方正仿宋_GB2312" w:eastAsia="方正仿宋_GB2312" w:cs="方正仿宋_GB2312"/>
          <w:bCs/>
          <w:szCs w:val="21"/>
        </w:rPr>
        <w:t xml:space="preserve">售价：0元</w:t>
      </w:r>
      <w:bookmarkEnd w:id="15"/>
      <w:bookmarkEnd w:id="17"/>
      <w:bookmarkEnd w:id="26"/>
      <w:bookmarkEnd w:id="27"/>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四、</w:t>
      </w:r>
      <w:bookmarkStart w:id="28" w:name="_Hlk44579106"/>
      <w:r>
        <w:rPr>
          <w:rFonts w:hint="eastAsia" w:ascii="方正仿宋_GB2312" w:hAnsi="方正仿宋_GB2312" w:eastAsia="方正仿宋_GB2312" w:cs="方正仿宋_GB2312"/>
          <w:bCs/>
          <w:szCs w:val="21"/>
        </w:rPr>
        <w:t xml:space="preserve">提交投标文件截止时间、开标时间和地点</w:t>
      </w:r>
      <w:bookmarkEnd w:id="28"/>
      <w:r/>
      <w:r/>
    </w:p>
    <w:p>
      <w:pPr>
        <w:ind w:firstLine="452"/>
        <w:jc w:val="left"/>
        <w:spacing w:line="360" w:lineRule="auto"/>
        <w:shd w:val="clear" w:color="auto" w:fill="ffffff"/>
        <w:widowControl/>
        <w:rPr>
          <w:rFonts w:hint="eastAsia" w:ascii="方正仿宋_GB2312" w:hAnsi="方正仿宋_GB2312" w:eastAsia="方正仿宋_GB2312" w:cs="方正仿宋_GB2312"/>
          <w:szCs w:val="21"/>
        </w:rPr>
      </w:pPr>
      <w:r/>
      <w:bookmarkStart w:id="29" w:name="_Hlk44575721"/>
      <w:r>
        <w:rPr>
          <w:rFonts w:hint="eastAsia" w:ascii="方正仿宋_GB2312" w:hAnsi="方正仿宋_GB2312" w:eastAsia="方正仿宋_GB2312" w:cs="方正仿宋_GB2312"/>
          <w:spacing w:val="8"/>
          <w:szCs w:val="21"/>
        </w:rPr>
        <w:t xml:space="preserve">2026年</w:t>
      </w:r>
      <w:r>
        <w:rPr>
          <w:rFonts w:hint="eastAsia" w:ascii="方正仿宋_GB2312" w:hAnsi="方正仿宋_GB2312" w:eastAsia="方正仿宋_GB2312" w:cs="方正仿宋_GB2312"/>
          <w:spacing w:val="8"/>
          <w:szCs w:val="21"/>
          <w:lang w:val="en-US" w:eastAsia="zh-CN"/>
        </w:rPr>
        <w:t xml:space="preserve">8</w:t>
      </w:r>
      <w:r>
        <w:rPr>
          <w:rFonts w:hint="eastAsia" w:ascii="方正仿宋_GB2312" w:hAnsi="方正仿宋_GB2312" w:eastAsia="方正仿宋_GB2312" w:cs="方正仿宋_GB2312"/>
          <w:spacing w:val="8"/>
          <w:szCs w:val="21"/>
        </w:rPr>
        <w:t xml:space="preserve">月</w:t>
      </w:r>
      <w:r>
        <w:rPr>
          <w:rFonts w:hint="eastAsia" w:ascii="方正仿宋_GB2312" w:hAnsi="方正仿宋_GB2312" w:eastAsia="方正仿宋_GB2312" w:cs="方正仿宋_GB2312"/>
          <w:spacing w:val="8"/>
          <w:szCs w:val="21"/>
          <w:lang w:val="en-US" w:eastAsia="zh-CN"/>
        </w:rPr>
        <w:t xml:space="preserve">17</w:t>
      </w:r>
      <w:r>
        <w:rPr>
          <w:rFonts w:hint="eastAsia" w:ascii="方正仿宋_GB2312" w:hAnsi="方正仿宋_GB2312" w:eastAsia="方正仿宋_GB2312" w:cs="方正仿宋_GB2312"/>
          <w:spacing w:val="8"/>
          <w:szCs w:val="21"/>
        </w:rPr>
        <w:t xml:space="preserve">日 </w:t>
      </w:r>
      <w:r>
        <w:rPr>
          <w:rFonts w:hint="eastAsia" w:ascii="方正仿宋_GB2312" w:hAnsi="方正仿宋_GB2312" w:eastAsia="方正仿宋_GB2312" w:cs="方正仿宋_GB2312"/>
          <w:spacing w:val="8"/>
          <w:szCs w:val="21"/>
          <w:lang w:val="en-US" w:eastAsia="zh-CN"/>
        </w:rPr>
        <w:t xml:space="preserve">9</w:t>
      </w:r>
      <w:r>
        <w:rPr>
          <w:rFonts w:hint="eastAsia" w:ascii="方正仿宋_GB2312" w:hAnsi="方正仿宋_GB2312" w:eastAsia="方正仿宋_GB2312" w:cs="方正仿宋_GB2312"/>
          <w:spacing w:val="8"/>
          <w:szCs w:val="21"/>
        </w:rPr>
        <w:t xml:space="preserve">:</w:t>
      </w:r>
      <w:r>
        <w:rPr>
          <w:rFonts w:hint="eastAsia" w:ascii="方正仿宋_GB2312" w:hAnsi="方正仿宋_GB2312" w:eastAsia="方正仿宋_GB2312" w:cs="方正仿宋_GB2312"/>
          <w:spacing w:val="8"/>
          <w:szCs w:val="21"/>
          <w:lang w:val="en-US" w:eastAsia="zh-CN"/>
        </w:rPr>
        <w:t xml:space="preserve">3</w:t>
      </w:r>
      <w:r>
        <w:rPr>
          <w:rFonts w:hint="eastAsia" w:ascii="方正仿宋_GB2312" w:hAnsi="方正仿宋_GB2312" w:eastAsia="方正仿宋_GB2312" w:cs="方正仿宋_GB2312"/>
          <w:spacing w:val="8"/>
          <w:szCs w:val="21"/>
        </w:rPr>
        <w:t xml:space="preserve">0</w:t>
      </w:r>
      <w:bookmarkEnd w:id="29"/>
      <w:r>
        <w:rPr>
          <w:rFonts w:hint="eastAsia" w:ascii="方正仿宋_GB2312" w:hAnsi="方正仿宋_GB2312" w:eastAsia="方正仿宋_GB2312" w:cs="方正仿宋_GB2312"/>
          <w:szCs w:val="21"/>
        </w:rPr>
        <w:t xml:space="preserve">  （北京时间）</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地点</w:t>
      </w:r>
      <w:bookmarkStart w:id="30" w:name="_Hlk176530129"/>
      <w:r>
        <w:rPr>
          <w:rFonts w:hint="eastAsia" w:ascii="方正仿宋_GB2312" w:hAnsi="方正仿宋_GB2312" w:eastAsia="方正仿宋_GB2312" w:cs="方正仿宋_GB2312"/>
          <w:szCs w:val="21"/>
        </w:rPr>
        <w:t xml:space="preserve">：</w:t>
      </w:r>
      <w:r>
        <w:rPr>
          <w:rFonts w:hint="eastAsia" w:ascii="方正仿宋_GB2312" w:hAnsi="方正仿宋_GB2312" w:eastAsia="方正仿宋_GB2312" w:cs="方正仿宋_GB2312"/>
          <w:spacing w:val="8"/>
          <w:szCs w:val="21"/>
        </w:rPr>
        <w:t xml:space="preserve">“</w:t>
      </w:r>
      <w:r>
        <w:rPr>
          <w:rFonts w:hint="eastAsia" w:ascii="方正仿宋_GB2312" w:hAnsi="方正仿宋_GB2312" w:eastAsia="方正仿宋_GB2312" w:cs="方正仿宋_GB2312"/>
          <w:szCs w:val="21"/>
        </w:rPr>
        <w:t xml:space="preserve">苏采云”系统</w:t>
      </w:r>
      <w:r>
        <w:rPr>
          <w:rFonts w:hint="eastAsia" w:ascii="方正仿宋_GB2312" w:hAnsi="方正仿宋_GB2312" w:eastAsia="方正仿宋_GB2312" w:cs="方正仿宋_GB2312"/>
          <w:szCs w:val="21"/>
        </w:rPr>
        <w:t xml:space="preserve">开标大厅</w:t>
      </w:r>
      <w:bookmarkEnd w:id="30"/>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五、公告期限</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自本公告发布之日起5个工作日。</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lang w:val="zh-CN"/>
        </w:rPr>
        <w:t xml:space="preserve">六</w:t>
      </w:r>
      <w:r>
        <w:rPr>
          <w:rFonts w:hint="eastAsia" w:ascii="方正仿宋_GB2312" w:hAnsi="方正仿宋_GB2312" w:eastAsia="方正仿宋_GB2312" w:cs="方正仿宋_GB2312"/>
          <w:bCs/>
          <w:szCs w:val="21"/>
        </w:rPr>
        <w:t xml:space="preserve">、其他补充事宜</w:t>
      </w:r>
      <w:r/>
    </w:p>
    <w:p>
      <w:pPr>
        <w:ind w:firstLine="420"/>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1.本项目在</w:t>
      </w:r>
      <w:r>
        <w:rPr>
          <w:rFonts w:hint="eastAsia" w:ascii="方正仿宋_GB2312" w:hAnsi="方正仿宋_GB2312" w:eastAsia="方正仿宋_GB2312" w:cs="方正仿宋_GB2312"/>
          <w:b/>
          <w:szCs w:val="21"/>
        </w:rPr>
        <w:t xml:space="preserve">南京公共采购信息网、江苏政府采购网、中国政府采购网、南京市生态环境局网站</w:t>
      </w:r>
      <w:r>
        <w:rPr>
          <w:rFonts w:hint="eastAsia" w:ascii="方正仿宋_GB2312" w:hAnsi="方正仿宋_GB2312" w:eastAsia="方正仿宋_GB2312" w:cs="方正仿宋_GB2312"/>
          <w:bCs/>
          <w:szCs w:val="21"/>
        </w:rPr>
        <w:t xml:space="preserve">发布公告（其他媒体转载无效）。</w:t>
      </w:r>
      <w:r/>
    </w:p>
    <w:p>
      <w:pPr>
        <w:ind w:firstLine="420"/>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w:t>
      </w:r>
      <w:r>
        <w:rPr>
          <w:rFonts w:hint="eastAsia" w:ascii="方正仿宋_GB2312" w:hAnsi="方正仿宋_GB2312" w:eastAsia="方正仿宋_GB2312" w:cs="方正仿宋_GB2312"/>
          <w:bCs/>
          <w:szCs w:val="21"/>
        </w:rPr>
        <w:t xml:space="preserve"> 本项目不专门面向中小微企业采购，执行价格扣除优惠政策，</w:t>
      </w:r>
      <w:r>
        <w:rPr>
          <w:rFonts w:hint="eastAsia" w:ascii="方正仿宋_GB2312" w:hAnsi="方正仿宋_GB2312" w:eastAsia="方正仿宋_GB2312" w:cs="方正仿宋_GB2312"/>
          <w:szCs w:val="21"/>
        </w:rPr>
        <w:t xml:space="preserve">具体内容详见招标文件第二章政策功能。</w:t>
      </w:r>
      <w:r/>
    </w:p>
    <w:p>
      <w:pPr>
        <w:ind w:firstLine="420"/>
        <w:jc w:val="left"/>
        <w:spacing w:line="360" w:lineRule="auto"/>
        <w:rPr>
          <w:rFonts w:hint="eastAsia" w:ascii="方正仿宋_GB2312" w:hAnsi="方正仿宋_GB2312" w:eastAsia="方正仿宋_GB2312" w:cs="方正仿宋_GB2312"/>
          <w:color w:val="ff0000"/>
          <w:szCs w:val="21"/>
          <w:u w:val="single"/>
        </w:rPr>
      </w:pPr>
      <w:r>
        <w:rPr>
          <w:rFonts w:hint="eastAsia" w:ascii="方正仿宋_GB2312" w:hAnsi="方正仿宋_GB2312" w:eastAsia="方正仿宋_GB2312" w:cs="方正仿宋_GB2312"/>
          <w:bCs/>
          <w:szCs w:val="21"/>
        </w:rPr>
        <w:t xml:space="preserve">3. 勘查现场或答疑：采购人不统一组织，有需要的投标人可自行勘察。</w:t>
      </w:r>
      <w:r/>
    </w:p>
    <w:p>
      <w:pPr>
        <w:ind w:firstLine="422"/>
        <w:jc w:val="left"/>
        <w:spacing w:line="360" w:lineRule="auto"/>
        <w:shd w:val="clear" w:color="auto" w:fill="ffffff"/>
        <w:widowControl/>
        <w:rPr>
          <w:rFonts w:hint="eastAsia" w:ascii="方正仿宋_GB2312" w:hAnsi="方正仿宋_GB2312" w:eastAsia="方正仿宋_GB2312" w:cs="方正仿宋_GB2312"/>
          <w:b/>
          <w:bCs/>
          <w:szCs w:val="21"/>
          <w:lang w:val="zh-CN"/>
        </w:rPr>
      </w:pPr>
      <w:r/>
      <w:bookmarkStart w:id="31" w:name="_Hlk163569423"/>
      <w:r>
        <w:rPr>
          <w:rFonts w:hint="eastAsia" w:ascii="方正仿宋_GB2312" w:hAnsi="方正仿宋_GB2312" w:eastAsia="方正仿宋_GB2312" w:cs="方正仿宋_GB2312"/>
          <w:b/>
          <w:bCs/>
          <w:szCs w:val="21"/>
        </w:rPr>
        <w:t xml:space="preserve">4</w:t>
      </w:r>
      <w:r>
        <w:rPr>
          <w:rFonts w:hint="eastAsia" w:ascii="方正仿宋_GB2312" w:hAnsi="方正仿宋_GB2312" w:eastAsia="方正仿宋_GB2312" w:cs="方正仿宋_GB2312"/>
          <w:b/>
          <w:bCs/>
          <w:szCs w:val="21"/>
          <w:lang w:val="zh-CN"/>
        </w:rPr>
        <w:t xml:space="preserve">. 拒绝下述投标人参加本次采购活动</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（2）为采购项目提供整体设计、规范编制或者项目管理、监理、检测等服务的投标人，不得参加本项目的采购活动。</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（4）投标人未提供《南京市政府采购供应商信用记录表暨信用承诺书》。</w:t>
      </w:r>
      <w:r/>
    </w:p>
    <w:p>
      <w:pPr>
        <w:ind w:firstLine="422"/>
        <w:jc w:val="left"/>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5.</w:t>
      </w:r>
      <w:r>
        <w:rPr>
          <w:rFonts w:hint="eastAsia" w:ascii="方正仿宋_GB2312" w:hAnsi="方正仿宋_GB2312" w:eastAsia="方正仿宋_GB2312" w:cs="方正仿宋_GB2312"/>
          <w:b/>
          <w:color w:val="000000"/>
          <w:sz w:val="28"/>
          <w:szCs w:val="28"/>
        </w:rPr>
        <w:t xml:space="preserve"> </w:t>
      </w:r>
      <w:bookmarkStart w:id="32" w:name="OLE_LINK17"/>
      <w:r>
        <w:rPr>
          <w:rFonts w:hint="eastAsia" w:ascii="方正仿宋_GB2312" w:hAnsi="方正仿宋_GB2312" w:eastAsia="方正仿宋_GB2312" w:cs="方正仿宋_GB2312"/>
          <w:b/>
          <w:szCs w:val="21"/>
        </w:rPr>
        <w:t xml:space="preserve">投标人</w:t>
      </w:r>
      <w:bookmarkEnd w:id="32"/>
      <w:r>
        <w:rPr>
          <w:rFonts w:hint="eastAsia" w:ascii="方正仿宋_GB2312" w:hAnsi="方正仿宋_GB2312" w:eastAsia="方正仿宋_GB2312" w:cs="方正仿宋_GB2312"/>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770"/>
          <w:rFonts w:hint="eastAsia" w:ascii="方正仿宋_GB2312" w:hAnsi="方正仿宋_GB2312" w:eastAsia="方正仿宋_GB2312" w:cs="方正仿宋_GB2312"/>
          <w:b/>
          <w:szCs w:val="21"/>
        </w:rPr>
        <w:t xml:space="preserve">下载地址</w:t>
      </w:r>
      <w:r>
        <w:rPr>
          <w:rStyle w:val="770"/>
          <w:rFonts w:hint="eastAsia" w:ascii="方正仿宋_GB2312" w:hAnsi="方正仿宋_GB2312" w:eastAsia="方正仿宋_GB2312" w:cs="方正仿宋_GB2312"/>
          <w:b/>
          <w:szCs w:val="21"/>
        </w:rPr>
        <w:fldChar w:fldCharType="end"/>
      </w:r>
      <w:r>
        <w:rPr>
          <w:rFonts w:hint="eastAsia" w:ascii="方正仿宋_GB2312" w:hAnsi="方正仿宋_GB2312" w:eastAsia="方正仿宋_GB2312" w:cs="方正仿宋_GB2312"/>
          <w:b/>
          <w:szCs w:val="21"/>
        </w:rPr>
        <w:t xml:space="preserve">（http://www.ccgp-jiangsu.gov.cn/jiangsu/zlxz/ee/ee3a4bc5a3454aa2b0d9312230633ce9.html）。</w:t>
      </w:r>
      <w:bookmarkStart w:id="33" w:name="OLE_LINK2"/>
      <w:r>
        <w:rPr>
          <w:rFonts w:hint="eastAsia" w:ascii="方正仿宋_GB2312" w:hAnsi="方正仿宋_GB2312" w:eastAsia="方正仿宋_GB2312" w:cs="方正仿宋_GB2312"/>
          <w:b/>
          <w:szCs w:val="21"/>
        </w:rPr>
        <w:t xml:space="preserve">“苏采云”南京地区客服热线025-83633744、025-83633743。</w:t>
      </w:r>
      <w:bookmarkEnd w:id="33"/>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6.有关本次招标的事项若存在变动或修改，请及时关注“江苏政府采购网”（www.ccgp-jiangsu.gov.cn）更正公告。</w:t>
      </w:r>
      <w:r/>
    </w:p>
    <w:p>
      <w:pPr>
        <w:ind w:firstLine="422"/>
        <w:jc w:val="left"/>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7.</w:t>
      </w:r>
      <w:r>
        <w:rPr>
          <w:rFonts w:hint="eastAsia" w:ascii="方正仿宋_GB2312" w:hAnsi="方正仿宋_GB2312" w:eastAsia="方正仿宋_GB2312" w:cs="方正仿宋_GB2312"/>
          <w:b/>
        </w:rPr>
        <w:t xml:space="preserve"> </w:t>
      </w:r>
      <w:bookmarkStart w:id="34" w:name="_Hlk167286560"/>
      <w:r>
        <w:rPr>
          <w:rFonts w:hint="eastAsia" w:ascii="方正仿宋_GB2312" w:hAnsi="方正仿宋_GB2312" w:eastAsia="方正仿宋_GB2312" w:cs="方正仿宋_GB2312"/>
          <w:b/>
          <w:szCs w:val="21"/>
        </w:rPr>
        <w:t xml:space="preserve">政府采购信用承诺</w:t>
      </w:r>
      <w:bookmarkEnd w:id="34"/>
      <w:r/>
      <w:r/>
    </w:p>
    <w:p>
      <w:pPr>
        <w:ind w:firstLine="420"/>
        <w:jc w:val="left"/>
        <w:spacing w:line="360" w:lineRule="auto"/>
        <w:rPr>
          <w:rFonts w:hint="eastAsia" w:ascii="方正仿宋_GB2312" w:hAnsi="方正仿宋_GB2312" w:eastAsia="方正仿宋_GB2312" w:cs="方正仿宋_GB2312"/>
          <w:szCs w:val="21"/>
        </w:rPr>
      </w:pPr>
      <w:r/>
      <w:bookmarkStart w:id="35" w:name="_Hlk167286571"/>
      <w:r>
        <w:rPr>
          <w:rFonts w:hint="eastAsia" w:ascii="方正仿宋_GB2312" w:hAnsi="方正仿宋_GB2312" w:eastAsia="方正仿宋_GB2312" w:cs="方正仿宋_GB2312"/>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点击“南京公共采购信息网”首页（https://njgc.jfh.com/)“南京市政府采购供应商诚信档案”系统链接，打开系统页面</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（1）符合国家相关规定的财务状况报告；</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（2）依法缴纳税收的证明材料；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（3）依法缴纳社会保障资金的证明材料；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（4）具备履行政府采购合同所必需的设备和专业技术能力的证明材料；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（5）参加政府采购活动前三年内在经营活动中没有重大违法记录的证明材料；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（6）未被列入失信被执行人、重大税收违法失信主体、政府采购严重违法失信行为记录名单的证明材料。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供应商在中标后，应按招标文件要求，将上述由信用承诺书替代的证明材料（一式两份）加盖公章，提交采购人或采购代理机构核验。经核验无误后，由采购人或采购代理机构发出中标通知书。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供应商涉及以下情形的，不适用信用承诺：</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（1）供应商被列入严重失信主体名单；</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（2）被相关监管部门作出行政处罚且尚在处罚有效期内；</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（3）其他法律、行政法规规定的不适用信用承诺的情形；</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供应商对信用承诺内容的真实性、合法性、有效性负责。如作出虚假信用承诺，视同为“提供虚假材料谋取中标、成交”的违法行为。</w:t>
      </w:r>
      <w:bookmarkEnd w:id="35"/>
      <w:r/>
      <w:bookmarkStart w:id="36" w:name="_Hlk84583042"/>
      <w:r/>
      <w:bookmarkStart w:id="37" w:name="_Hlk81573766"/>
      <w:r/>
      <w:bookmarkStart w:id="38" w:name="_Hlk81314222"/>
      <w:r/>
      <w:bookmarkEnd w:id="31"/>
      <w:bookmarkEnd w:id="36"/>
      <w:bookmarkEnd w:id="37"/>
      <w:bookmarkEnd w:id="38"/>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七、对本次招标提出询问，请按以下方式联系</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1.采购人信息</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名  称：南京市生态环境监测监控中心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地  址：南京市建邺区中和路98号</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lang w:val="zh-CN"/>
        </w:rPr>
        <w:t xml:space="preserve">联系人：</w:t>
      </w:r>
      <w:r>
        <w:rPr>
          <w:rFonts w:hint="eastAsia" w:ascii="方正仿宋_GB2312" w:hAnsi="方正仿宋_GB2312" w:eastAsia="方正仿宋_GB2312" w:cs="方正仿宋_GB2312"/>
          <w:bCs/>
          <w:szCs w:val="21"/>
        </w:rPr>
        <w:t xml:space="preserve">俞工</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联系电话：025-83630532</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2.采购代理机构信息（如有）</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单位名称：江苏国采工程咨询有限公司</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单位地址：南京市山西路8号金山大厦A座28层2810室</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邮箱：jsgczb@sina.com</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联系人：</w:t>
      </w:r>
      <w:r>
        <w:rPr>
          <w:rFonts w:hint="eastAsia" w:ascii="方正仿宋_GB2312" w:hAnsi="方正仿宋_GB2312" w:eastAsia="方正仿宋_GB2312" w:cs="方正仿宋_GB2312"/>
          <w:bCs/>
          <w:szCs w:val="21"/>
        </w:rPr>
        <w:t xml:space="preserve">张近 高捷</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lang w:val="zh-CN"/>
        </w:rPr>
        <w:t xml:space="preserve">联系电话：</w:t>
      </w:r>
      <w:r>
        <w:rPr>
          <w:rFonts w:hint="eastAsia" w:ascii="方正仿宋_GB2312" w:hAnsi="方正仿宋_GB2312" w:eastAsia="方正仿宋_GB2312" w:cs="方正仿宋_GB2312"/>
          <w:bCs/>
          <w:szCs w:val="21"/>
        </w:rPr>
        <w:t xml:space="preserve">025-83690878</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3.项目联系方式</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rPr>
        <w:t xml:space="preserve">项目联系人：张近 高捷</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lang w:val="zh-CN"/>
        </w:rPr>
        <w:t xml:space="preserve">联系电话：</w:t>
      </w:r>
      <w:r>
        <w:rPr>
          <w:rFonts w:hint="eastAsia" w:ascii="方正仿宋_GB2312" w:hAnsi="方正仿宋_GB2312" w:eastAsia="方正仿宋_GB2312" w:cs="方正仿宋_GB2312"/>
          <w:bCs/>
          <w:szCs w:val="21"/>
        </w:rPr>
        <w:t xml:space="preserve">025-83690878</w:t>
      </w:r>
      <w:bookmarkEnd w:id="4"/>
      <w:r/>
    </w:p>
    <w:p>
      <w:pPr>
        <w:pStyle w:val="720"/>
        <w:numPr>
          <w:ilvl w:val="0"/>
          <w:numId w:val="0"/>
        </w:numP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1"/>
          <w:szCs w:val="21"/>
        </w:rPr>
        <w:br w:type="page" w:clear="all"/>
      </w:r>
      <w:bookmarkStart w:id="39" w:name="_Toc7511"/>
      <w:r/>
      <w:bookmarkStart w:id="40" w:name="_Toc176529668"/>
      <w:r>
        <w:rPr>
          <w:rFonts w:hint="eastAsia" w:ascii="方正仿宋_GB2312" w:hAnsi="方正仿宋_GB2312" w:eastAsia="方正仿宋_GB2312" w:cs="方正仿宋_GB2312"/>
          <w:b w:val="0"/>
          <w:bCs w:val="0"/>
        </w:rPr>
        <w:t xml:space="preserve">第二章</w:t>
      </w:r>
      <w:bookmarkStart w:id="41" w:name="_Toc452625218"/>
      <w:r>
        <w:rPr>
          <w:rFonts w:hint="eastAsia" w:ascii="方正仿宋_GB2312" w:hAnsi="方正仿宋_GB2312" w:eastAsia="方正仿宋_GB2312" w:cs="方正仿宋_GB2312"/>
          <w:b w:val="0"/>
          <w:bCs w:val="0"/>
        </w:rPr>
        <w:t xml:space="preserve"> 投标人须知</w:t>
      </w:r>
      <w:bookmarkEnd w:id="39"/>
      <w:r/>
      <w:bookmarkEnd w:id="40"/>
      <w:r/>
      <w:bookmarkEnd w:id="41"/>
      <w:r/>
      <w:r/>
    </w:p>
    <w:p>
      <w:pPr>
        <w:ind w:firstLine="424"/>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一、总 则</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1.适用法律</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2.定义</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42" w:name="_Hlk44576213"/>
      <w:r>
        <w:rPr>
          <w:rFonts w:hint="eastAsia" w:ascii="方正仿宋_GB2312" w:hAnsi="方正仿宋_GB2312" w:eastAsia="方正仿宋_GB2312" w:cs="方正仿宋_GB2312"/>
          <w:szCs w:val="21"/>
        </w:rPr>
        <w:t xml:space="preserve">2.1“采购人”是指南京市生态环境监测监控中心。</w:t>
      </w:r>
      <w:bookmarkEnd w:id="42"/>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hint="eastAsia" w:ascii="方正仿宋_GB2312" w:hAnsi="方正仿宋_GB2312" w:eastAsia="方正仿宋_GB2312" w:cs="方正仿宋_GB2312"/>
          <w:color w:val="000000" w:themeColor="text1"/>
          <w:szCs w:val="21"/>
          <w14:textFill>
            <w14:solidFill>
              <w14:schemeClr w14:val="tx1"/>
            </w14:solidFill>
          </w14:textFill>
        </w:rPr>
      </w:pPr>
      <w:r/>
      <w:bookmarkStart w:id="43" w:name="_Hlk44576222"/>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2.3“采购代理机构”是指江苏国采工程咨询有限公司。</w:t>
      </w:r>
      <w:bookmarkEnd w:id="43"/>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44" w:name="_Hlk118723819"/>
      <w:r/>
      <w:bookmarkStart w:id="45" w:name="_Hlk84583107"/>
      <w:r>
        <w:rPr>
          <w:rFonts w:hint="eastAsia" w:ascii="方正仿宋_GB2312" w:hAnsi="方正仿宋_GB2312" w:eastAsia="方正仿宋_GB2312" w:cs="方正仿宋_GB2312"/>
          <w:szCs w:val="21"/>
        </w:rPr>
        <w:t xml:space="preserve">2.4“货物和服务”指本招标文件中所述</w:t>
      </w:r>
      <w:r>
        <w:rPr>
          <w:rFonts w:hint="eastAsia" w:ascii="方正仿宋_GB2312" w:hAnsi="方正仿宋_GB2312" w:eastAsia="方正仿宋_GB2312" w:cs="方正仿宋_GB2312"/>
          <w:bCs/>
          <w:szCs w:val="21"/>
        </w:rPr>
        <w:t xml:space="preserve">产品及配套服务</w:t>
      </w:r>
      <w:r>
        <w:rPr>
          <w:rFonts w:hint="eastAsia" w:ascii="方正仿宋_GB2312" w:hAnsi="方正仿宋_GB2312" w:eastAsia="方正仿宋_GB2312" w:cs="方正仿宋_GB2312"/>
          <w:szCs w:val="21"/>
        </w:rPr>
        <w:t xml:space="preserve">。</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3.政策功能</w:t>
      </w:r>
      <w:bookmarkEnd w:id="44"/>
      <w:r/>
    </w:p>
    <w:p>
      <w:pPr>
        <w:ind w:firstLine="420"/>
        <w:spacing w:line="360" w:lineRule="auto"/>
        <w:shd w:val="clear" w:color="auto" w:fill="ffffff"/>
        <w:widowControl/>
        <w:rPr>
          <w:rFonts w:hint="eastAsia" w:ascii="方正仿宋_GB2312" w:hAnsi="方正仿宋_GB2312" w:eastAsia="方正仿宋_GB2312" w:cs="方正仿宋_GB2312"/>
          <w:b/>
          <w:szCs w:val="21"/>
        </w:rPr>
      </w:pPr>
      <w:r/>
      <w:bookmarkStart w:id="46" w:name="_Hlk75345706"/>
      <w:r>
        <w:rPr>
          <w:rFonts w:hint="eastAsia" w:ascii="方正仿宋_GB2312" w:hAnsi="方正仿宋_GB2312" w:eastAsia="方正仿宋_GB2312" w:cs="方正仿宋_GB2312"/>
          <w:b/>
          <w:szCs w:val="21"/>
        </w:rPr>
        <w:t xml:space="preserve">3.1 中小企业政策</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47" w:name="_Hlk77845870"/>
      <w:r/>
      <w:bookmarkStart w:id="48" w:name="_Hlk84580649"/>
      <w:r>
        <w:rPr>
          <w:rFonts w:hint="eastAsia" w:ascii="方正仿宋_GB2312" w:hAnsi="方正仿宋_GB2312" w:eastAsia="方正仿宋_GB2312" w:cs="方正仿宋_GB2312"/>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6"/>
      <w:bookmarkEnd w:id="47"/>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8"/>
      <w:r/>
    </w:p>
    <w:p>
      <w:pPr>
        <w:ind w:firstLine="422"/>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3.</w:t>
      </w:r>
      <w:bookmarkStart w:id="49" w:name="_Hlk66802840"/>
      <w:r>
        <w:rPr>
          <w:rFonts w:hint="eastAsia" w:ascii="方正仿宋_GB2312" w:hAnsi="方正仿宋_GB2312" w:eastAsia="方正仿宋_GB2312" w:cs="方正仿宋_GB2312"/>
          <w:b/>
          <w:bCs/>
          <w:szCs w:val="21"/>
        </w:rPr>
        <w:t xml:space="preserve">2支持监狱企业（含监狱和戒毒企业）发展政策</w:t>
      </w:r>
      <w:bookmarkEnd w:id="49"/>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50" w:name="_Hlk77845906"/>
      <w:r>
        <w:rPr>
          <w:rFonts w:hint="eastAsia" w:ascii="方正仿宋_GB2312" w:hAnsi="方正仿宋_GB2312" w:eastAsia="方正仿宋_GB2312" w:cs="方正仿宋_GB2312"/>
          <w:szCs w:val="21"/>
        </w:rPr>
        <w:t xml:space="preserve">（2）参加政府采购活动的监狱企业提供由省级以上</w:t>
      </w:r>
      <w:bookmarkStart w:id="51" w:name="_Hlk163033106"/>
      <w:r>
        <w:rPr>
          <w:rFonts w:hint="eastAsia" w:ascii="方正仿宋_GB2312" w:hAnsi="方正仿宋_GB2312" w:eastAsia="方正仿宋_GB2312" w:cs="方正仿宋_GB2312"/>
          <w:szCs w:val="21"/>
        </w:rPr>
        <w:t xml:space="preserve">监狱管理局、戒毒管理局</w:t>
      </w:r>
      <w:bookmarkEnd w:id="51"/>
      <w:r>
        <w:rPr>
          <w:rFonts w:hint="eastAsia" w:ascii="方正仿宋_GB2312" w:hAnsi="方正仿宋_GB2312" w:eastAsia="方正仿宋_GB2312" w:cs="方正仿宋_GB2312"/>
          <w:szCs w:val="21"/>
        </w:rPr>
        <w:t xml:space="preserve">（含新疆生产建设兵团）出具的属于监狱企业的证明文件，监狱和戒毒企业享受政府采购支持政策的要求详见《关于政府采购支持监狱企业发展有关问题的通知》（财库〔2014〕68号）。</w:t>
      </w:r>
      <w:bookmarkEnd w:id="50"/>
      <w:r/>
    </w:p>
    <w:p>
      <w:pPr>
        <w:ind w:firstLine="422"/>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3.3促进残疾人就业政策</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52" w:name="_Hlk77845921"/>
      <w:r>
        <w:rPr>
          <w:rFonts w:hint="eastAsia" w:ascii="方正仿宋_GB2312" w:hAnsi="方正仿宋_GB2312" w:eastAsia="方正仿宋_GB2312" w:cs="方正仿宋_GB2312"/>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45"/>
      <w:bookmarkEnd w:id="52"/>
      <w:r/>
    </w:p>
    <w:p>
      <w:pPr>
        <w:ind w:firstLine="412"/>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二、招标文件构成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4.招标文件组成</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4.1 招标文件由以下部分组成：</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（1）招标公告</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（2）投标人须知</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（3）评标标准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（4）采购项目的内容和相关技术要求等</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（5）合同主要条款及格式</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（6）投标文件格式</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4.4 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5.招标文件的澄清或者修改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5.3 采购代理机构有权按照法律法规的要求推迟投标截止日期和开标日期，并在原公告媒体发布更正公告。</w:t>
      </w:r>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三、投标文件的编制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6.投标文件的语言、计量单位</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7.投标文件的组成</w:t>
      </w:r>
      <w:r/>
    </w:p>
    <w:p>
      <w:pPr>
        <w:ind w:right="210"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方正仿宋_GB2312" w:hAnsi="方正仿宋_GB2312" w:eastAsia="方正仿宋_GB2312" w:cs="方正仿宋_GB2312"/>
          <w:szCs w:val="21"/>
        </w:rPr>
      </w:pPr>
      <w:r/>
      <w:bookmarkStart w:id="53" w:name="_Toc49090509"/>
      <w:r/>
      <w:bookmarkStart w:id="54" w:name="_Toc513029219"/>
      <w:r/>
      <w:bookmarkStart w:id="55" w:name="_Toc14577357"/>
      <w:r/>
      <w:bookmarkStart w:id="56" w:name="_Toc14577354"/>
      <w:r/>
      <w:bookmarkStart w:id="57" w:name="_Toc49090507"/>
      <w:r/>
      <w:bookmarkStart w:id="58" w:name="_Toc513029216"/>
      <w:r/>
      <w:bookmarkStart w:id="59" w:name="_Hlk176530273"/>
      <w:r>
        <w:rPr>
          <w:rFonts w:hint="eastAsia" w:ascii="方正仿宋_GB2312" w:hAnsi="方正仿宋_GB2312" w:eastAsia="方正仿宋_GB2312" w:cs="方正仿宋_GB2312"/>
          <w:b/>
          <w:bCs/>
          <w:szCs w:val="21"/>
        </w:rPr>
        <w:t xml:space="preserve">8.证明投标人及投标标的符合招标文件规定的文件</w:t>
      </w:r>
      <w:bookmarkEnd w:id="53"/>
      <w:r/>
      <w:bookmarkEnd w:id="54"/>
      <w:r/>
      <w:bookmarkEnd w:id="55"/>
      <w:r/>
      <w:bookmarkEnd w:id="56"/>
      <w:bookmarkEnd w:id="57"/>
      <w:bookmarkEnd w:id="58"/>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bookmarkStart w:id="60" w:name="_Toc14577355"/>
      <w:r/>
      <w:bookmarkStart w:id="61" w:name="_Toc49090508"/>
      <w:r>
        <w:rPr>
          <w:rFonts w:hint="eastAsia" w:ascii="方正仿宋_GB2312" w:hAnsi="方正仿宋_GB2312" w:eastAsia="方正仿宋_GB2312" w:cs="方正仿宋_GB2312"/>
          <w:szCs w:val="21"/>
        </w:rPr>
        <w:t xml:space="preserve">8.1 投标人应按照法律法规、规章和规范性文件以及招标文件要求提交证明文件，证明其投标标的符合招标文件规定。</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8.2 招标文件对证明文件无明确形式要求的，证明文件可以以文字资料、图纸和数据等形式提交。</w:t>
      </w:r>
      <w:bookmarkEnd w:id="59"/>
      <w:bookmarkEnd w:id="60"/>
      <w:bookmarkEnd w:id="61"/>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62" w:name="_Hlt26668983"/>
      <w:r/>
      <w:bookmarkEnd w:id="62"/>
      <w:r/>
      <w:bookmarkStart w:id="63" w:name="_Hlt26954848"/>
      <w:r/>
      <w:bookmarkEnd w:id="63"/>
      <w:r/>
      <w:bookmarkStart w:id="64" w:name="_Hlt26954842"/>
      <w:r/>
      <w:bookmarkEnd w:id="64"/>
      <w:r/>
      <w:bookmarkStart w:id="65" w:name="_Hlt26670486"/>
      <w:r/>
      <w:bookmarkEnd w:id="65"/>
      <w:r/>
      <w:bookmarkStart w:id="66" w:name="_Hlt26954731"/>
      <w:r/>
      <w:bookmarkEnd w:id="66"/>
      <w:r/>
      <w:bookmarkStart w:id="67" w:name="_Hlt26670403"/>
      <w:r/>
      <w:bookmarkEnd w:id="67"/>
      <w:r/>
      <w:bookmarkStart w:id="68" w:name="_Hlt26670482"/>
      <w:r/>
      <w:bookmarkEnd w:id="68"/>
      <w:r/>
      <w:bookmarkStart w:id="69" w:name="_Hlt26954844"/>
      <w:r/>
      <w:bookmarkEnd w:id="69"/>
      <w:r/>
      <w:bookmarkStart w:id="70" w:name="_Hlt26954846"/>
      <w:r/>
      <w:bookmarkEnd w:id="70"/>
      <w:r/>
      <w:bookmarkStart w:id="71" w:name="_Hlt26670425"/>
      <w:r/>
      <w:bookmarkEnd w:id="71"/>
      <w:r>
        <w:rPr>
          <w:rFonts w:hint="eastAsia" w:ascii="方正仿宋_GB2312" w:hAnsi="方正仿宋_GB2312" w:eastAsia="方正仿宋_GB2312" w:cs="方正仿宋_GB2312"/>
          <w:szCs w:val="21"/>
        </w:rPr>
        <w:t xml:space="preserve">9. 投标货币</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9.1投标文件中的单价和总价无特殊规定的采用人民币报价，以元为单位标注。招标文件中另有规定的按规定执行。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10.响应及偏离表</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bookmarkStart w:id="72" w:name="_Toc49090510"/>
      <w:r/>
      <w:bookmarkStart w:id="73" w:name="_Toc14577359"/>
      <w:r>
        <w:rPr>
          <w:rFonts w:hint="eastAsia" w:ascii="方正仿宋_GB2312" w:hAnsi="方正仿宋_GB2312" w:eastAsia="方正仿宋_GB2312" w:cs="方正仿宋_GB2312"/>
          <w:szCs w:val="21"/>
        </w:rPr>
        <w:t xml:space="preserve">10.1投标人须对招标文件中的</w:t>
      </w:r>
      <w:bookmarkStart w:id="74" w:name="OLE_LINK57"/>
      <w:r>
        <w:rPr>
          <w:rFonts w:hint="eastAsia" w:ascii="方正仿宋_GB2312" w:hAnsi="方正仿宋_GB2312" w:eastAsia="方正仿宋_GB2312" w:cs="方正仿宋_GB2312"/>
          <w:szCs w:val="21"/>
        </w:rPr>
        <w:t xml:space="preserve">技术要求与商务要求的</w:t>
      </w:r>
      <w:bookmarkStart w:id="75" w:name="OLE_LINK58"/>
      <w:r>
        <w:rPr>
          <w:rFonts w:hint="eastAsia" w:ascii="方正仿宋_GB2312" w:hAnsi="方正仿宋_GB2312" w:eastAsia="方正仿宋_GB2312" w:cs="方正仿宋_GB2312"/>
          <w:szCs w:val="21"/>
        </w:rPr>
        <w:t xml:space="preserve">实质性要求</w:t>
      </w:r>
      <w:bookmarkEnd w:id="74"/>
      <w:r/>
      <w:bookmarkEnd w:id="75"/>
      <w:r>
        <w:rPr>
          <w:rFonts w:hint="eastAsia" w:ascii="方正仿宋_GB2312" w:hAnsi="方正仿宋_GB2312" w:eastAsia="方正仿宋_GB2312" w:cs="方正仿宋_GB2312"/>
          <w:szCs w:val="21"/>
        </w:rPr>
        <w:t xml:space="preserve">（斜体下划线内容或打“★”“*”内容）作出明确响应，投标人未对实质性要求作出明确响应或有负偏离的，视为无效投标。</w:t>
      </w:r>
      <w:r/>
    </w:p>
    <w:p>
      <w:pPr>
        <w:ind w:right="210"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10.2 招标文件中除了实质性要求外的</w:t>
      </w:r>
      <w:bookmarkStart w:id="76" w:name="OLE_LINK52"/>
      <w:r>
        <w:rPr>
          <w:rFonts w:hint="eastAsia" w:ascii="方正仿宋_GB2312" w:hAnsi="方正仿宋_GB2312" w:eastAsia="方正仿宋_GB2312" w:cs="方正仿宋_GB2312"/>
          <w:szCs w:val="21"/>
        </w:rPr>
        <w:t xml:space="preserve">技术要求与商务要求，投标人未明确列明的，则视为全部响应、无偏离。</w:t>
      </w:r>
      <w:bookmarkEnd w:id="76"/>
      <w:r/>
    </w:p>
    <w:p>
      <w:pPr>
        <w:ind w:right="210"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10.3 投标人可以在投标文件中提供认为需要的其他技术文件或说明。</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11.</w:t>
      </w:r>
      <w:bookmarkStart w:id="77" w:name="OLE_LINK27"/>
      <w:r>
        <w:rPr>
          <w:rFonts w:hint="eastAsia" w:ascii="方正仿宋_GB2312" w:hAnsi="方正仿宋_GB2312" w:eastAsia="方正仿宋_GB2312" w:cs="方正仿宋_GB2312"/>
          <w:szCs w:val="21"/>
        </w:rPr>
        <w:t xml:space="preserve">投标函</w:t>
      </w:r>
      <w:bookmarkEnd w:id="77"/>
      <w:r>
        <w:rPr>
          <w:rFonts w:hint="eastAsia" w:ascii="方正仿宋_GB2312" w:hAnsi="方正仿宋_GB2312" w:eastAsia="方正仿宋_GB2312" w:cs="方正仿宋_GB2312"/>
          <w:szCs w:val="21"/>
        </w:rPr>
        <w:t xml:space="preserve">和开标一览表</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11.1 投标人应按照招标文件规定格式完整、正确填报投标函、开标一览表。</w:t>
      </w:r>
      <w:bookmarkEnd w:id="72"/>
      <w:bookmarkEnd w:id="73"/>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78" w:name="_Hlk176879442"/>
      <w:r>
        <w:rPr>
          <w:rFonts w:hint="eastAsia" w:ascii="方正仿宋_GB2312" w:hAnsi="方正仿宋_GB2312" w:eastAsia="方正仿宋_GB2312" w:cs="方正仿宋_GB2312"/>
          <w:szCs w:val="21"/>
        </w:rPr>
        <w:t xml:space="preserve">11.2 </w:t>
      </w:r>
      <w:bookmarkStart w:id="79" w:name="OLE_LINK61"/>
      <w:r/>
      <w:bookmarkStart w:id="80" w:name="_Hlk175667315"/>
      <w:r>
        <w:rPr>
          <w:rFonts w:hint="eastAsia" w:ascii="方正仿宋_GB2312" w:hAnsi="方正仿宋_GB2312" w:eastAsia="方正仿宋_GB2312" w:cs="方正仿宋_GB2312"/>
          <w:szCs w:val="21"/>
        </w:rPr>
        <w:t xml:space="preserve">对于采用货币报价的项目，开标一览表中的投标总价应与分项报价表中的投标总价一致</w:t>
      </w:r>
      <w:bookmarkEnd w:id="79"/>
      <w:r>
        <w:rPr>
          <w:rFonts w:hint="eastAsia" w:ascii="方正仿宋_GB2312" w:hAnsi="方正仿宋_GB2312" w:eastAsia="方正仿宋_GB2312" w:cs="方正仿宋_GB2312"/>
          <w:szCs w:val="21"/>
        </w:rPr>
        <w:t xml:space="preserve">，如不一致评标时以开标一览表中价格为准。</w:t>
      </w:r>
      <w:bookmarkEnd w:id="78"/>
      <w:bookmarkEnd w:id="80"/>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12.投标保证金</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szCs w:val="21"/>
        </w:rPr>
        <w:t xml:space="preserve">12.1</w:t>
      </w:r>
      <w:bookmarkStart w:id="81" w:name="_Hlk68014334"/>
      <w:r>
        <w:rPr>
          <w:rFonts w:hint="eastAsia" w:ascii="方正仿宋_GB2312" w:hAnsi="方正仿宋_GB2312" w:eastAsia="方正仿宋_GB2312" w:cs="方正仿宋_GB2312"/>
          <w:bCs/>
          <w:szCs w:val="21"/>
        </w:rPr>
        <w:t xml:space="preserve">本项目不收取投标保证金。</w:t>
      </w:r>
      <w:bookmarkEnd w:id="81"/>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82" w:name="_Hlk176182487"/>
      <w:r>
        <w:rPr>
          <w:rFonts w:hint="eastAsia" w:ascii="方正仿宋_GB2312" w:hAnsi="方正仿宋_GB2312" w:eastAsia="方正仿宋_GB2312" w:cs="方正仿宋_GB2312"/>
          <w:szCs w:val="21"/>
        </w:rPr>
        <w:t xml:space="preserve">13.投标有效期</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13.1 自开标之日起90天内投标有效</w:t>
      </w:r>
      <w:r>
        <w:rPr>
          <w:rFonts w:hint="eastAsia" w:ascii="方正仿宋_GB2312" w:hAnsi="方正仿宋_GB2312" w:eastAsia="方正仿宋_GB2312" w:cs="方正仿宋_GB2312"/>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82"/>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14.投标费用</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14.1 投标人应承担所有与准备和参加投标有关的费用，无论采购结果如何，采购代理机构和采购人在任何情况下均无义务和责任承担这些费用。</w:t>
      </w:r>
      <w:r/>
    </w:p>
    <w:p>
      <w:pPr>
        <w:ind w:firstLine="422"/>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14.2</w:t>
      </w:r>
      <w:bookmarkStart w:id="83" w:name="_Hlk75346033"/>
      <w:r>
        <w:rPr>
          <w:rFonts w:hint="eastAsia" w:ascii="方正仿宋_GB2312" w:hAnsi="方正仿宋_GB2312" w:eastAsia="方正仿宋_GB2312" w:cs="方正仿宋_GB2312"/>
          <w:b/>
          <w:szCs w:val="21"/>
        </w:rPr>
        <w:t xml:space="preserve"> </w:t>
      </w:r>
      <w:bookmarkStart w:id="84" w:name="_Hlk75346060"/>
      <w:r>
        <w:rPr>
          <w:rFonts w:hint="eastAsia" w:ascii="方正仿宋_GB2312" w:hAnsi="方正仿宋_GB2312" w:eastAsia="方正仿宋_GB2312" w:cs="方正仿宋_GB2312"/>
          <w:b/>
          <w:szCs w:val="21"/>
        </w:rPr>
        <w:t xml:space="preserve">采购代理服务费</w:t>
      </w:r>
      <w:bookmarkEnd w:id="83"/>
      <w:r/>
      <w:bookmarkEnd w:id="84"/>
      <w:r>
        <w:rPr>
          <w:rFonts w:hint="eastAsia" w:ascii="方正仿宋_GB2312" w:hAnsi="方正仿宋_GB2312" w:eastAsia="方正仿宋_GB2312" w:cs="方正仿宋_GB2312"/>
          <w:b/>
          <w:szCs w:val="21"/>
        </w:rPr>
        <w:t xml:space="preserve">及专家评审费</w:t>
      </w:r>
      <w:r/>
    </w:p>
    <w:p>
      <w:pPr>
        <w:ind w:firstLine="420"/>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szCs w:val="21"/>
        </w:rPr>
        <w:t xml:space="preserve">本次采购，采购代理服务费及专家评审费由采购人支付。</w:t>
      </w:r>
      <w:bookmarkStart w:id="85" w:name="_Hlk77845966"/>
      <w:r/>
      <w:bookmarkStart w:id="86" w:name="OLE_LINK24"/>
      <w:r/>
      <w:bookmarkEnd w:id="85"/>
      <w:bookmarkEnd w:id="86"/>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四、投标文件的提交</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15.投标文件的提交</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87" w:name="OLE_LINK1"/>
      <w:r>
        <w:rPr>
          <w:rFonts w:hint="eastAsia" w:ascii="方正仿宋_GB2312" w:hAnsi="方正仿宋_GB2312" w:eastAsia="方正仿宋_GB2312" w:cs="方正仿宋_GB2312"/>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15.2 投标人应充分考虑网络环境、网络带宽等因素可能对投标产生的影响，如因投标人自身原因造成的电子投标文件上传不成功的，按照本招标文件第二章第20.2.3.1条规定作无效投标处理。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15.3 采购代理机构可以按照规定，通过修改招标文件酌情延长投标截止时间，在此情况下，投标人的所有权利和义务均以延长后新的截止时间为准。</w:t>
      </w:r>
      <w:bookmarkEnd w:id="87"/>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16.投标文件的拒收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16.1 采购代理机构拒绝接收投标截止时间后上传的任何投标文件。</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17.投标文件的撤回和修改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17.1 投标文件的撤回</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17.1.2 投标人撤回电子投标文件，则认为其不再参与本项目投标活动。</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17.2 投标文件的修改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17.2.2 投标截止时间之后，投标人不得对其电子投标文件作任何修改。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18.诚实信用</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18.2在评标过程中发现投标人有上述情形的，评标委员会应当认定其投标无效，并书面报告本级财政部门。</w:t>
      </w:r>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五、开标、评标与定标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19.开标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19.2 投标人在开标过程中涉及的投标文件解密、开标结果确认等工作，应按照《操作手册》规定执行。</w:t>
      </w:r>
      <w:r/>
    </w:p>
    <w:p>
      <w:pPr>
        <w:ind w:firstLine="424"/>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szCs w:val="21"/>
        </w:rPr>
        <w:t xml:space="preserve">19.3 投标人如果对开标过程和开标结果有疑义，应当根据《操作手册》规定提出，苏采云系统中《开标一览表》公布后5分钟内未提出的，视同认可开标结果。</w:t>
      </w:r>
      <w:bookmarkStart w:id="88" w:name="_Hlk44576482"/>
      <w:r/>
      <w:bookmarkEnd w:id="88"/>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20.评标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20.1 评标委员会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20.1.1评标委员会负责具体评标事务，并独立履行下列职责：</w:t>
      </w:r>
      <w:r/>
    </w:p>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（1）审查、评价投标文件是否符合招标文件的商务、技术等实质性要求；</w:t>
      </w:r>
      <w:r/>
    </w:p>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（2）要求投标人对投标文件有关事项作出澄清或者说明；</w:t>
      </w:r>
      <w:r/>
    </w:p>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（3）对投标文件进行比较和评价；</w:t>
      </w:r>
      <w:r/>
    </w:p>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（4）确定中标候选人名单，以及根据采购人委托直接确定中标人；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rPr>
        <w:t xml:space="preserve">（5）向采购人、采购代理机构或者有关部门报告评标中发现的违法行为。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20.1.2 评标委员会由采购人代表和有关技术、经济等方面的专家组成，独立开展评审工作。</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20.2  评标程序</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w:t>
      </w:r>
      <w:r>
        <w:rPr>
          <w:rFonts w:hint="eastAsia" w:ascii="方正仿宋_GB2312" w:hAnsi="方正仿宋_GB2312" w:eastAsia="方正仿宋_GB2312" w:cs="方正仿宋_GB2312"/>
          <w:szCs w:val="21"/>
        </w:rPr>
        <w:t xml:space="preserve">2.1</w:t>
      </w:r>
      <w:r>
        <w:rPr>
          <w:rFonts w:hint="eastAsia" w:ascii="方正仿宋_GB2312" w:hAnsi="方正仿宋_GB2312" w:eastAsia="方正仿宋_GB2312" w:cs="方正仿宋_GB2312"/>
          <w:szCs w:val="21"/>
        </w:rPr>
        <w:t xml:space="preserve">投标文件审查分为资格审查和符合性审查。</w:t>
      </w:r>
      <w:r/>
    </w:p>
    <w:p>
      <w:pPr>
        <w:ind w:firstLine="422"/>
        <w:jc w:val="left"/>
        <w:spacing w:line="360" w:lineRule="auto"/>
        <w:tabs>
          <w:tab w:val="left" w:pos="4825" w:leader="none"/>
        </w:tabs>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w:t>
      </w:r>
      <w:r>
        <w:rPr>
          <w:rFonts w:hint="eastAsia" w:ascii="方正仿宋_GB2312" w:hAnsi="方正仿宋_GB2312" w:eastAsia="方正仿宋_GB2312" w:cs="方正仿宋_GB2312"/>
          <w:b/>
          <w:bCs/>
          <w:szCs w:val="21"/>
        </w:rPr>
        <w:t xml:space="preserve">2.2投标文件的资格审查</w:t>
      </w:r>
      <w:r/>
    </w:p>
    <w:p>
      <w:pPr>
        <w:ind w:firstLine="420"/>
        <w:jc w:val="left"/>
        <w:spacing w:line="360" w:lineRule="auto"/>
        <w:tabs>
          <w:tab w:val="left" w:pos="4825" w:leader="none"/>
        </w:tabs>
        <w:rPr>
          <w:rFonts w:hint="eastAsia" w:ascii="方正仿宋_GB2312" w:hAnsi="方正仿宋_GB2312" w:eastAsia="方正仿宋_GB2312" w:cs="方正仿宋_GB2312"/>
          <w:szCs w:val="21"/>
        </w:rPr>
      </w:pPr>
      <w:r/>
      <w:bookmarkStart w:id="89" w:name="_Hlk81573923"/>
      <w:r/>
      <w:bookmarkStart w:id="90" w:name="_Hlk84583325"/>
      <w:r>
        <w:rPr>
          <w:rFonts w:hint="eastAsia" w:ascii="方正仿宋_GB2312" w:hAnsi="方正仿宋_GB2312" w:eastAsia="方正仿宋_GB2312" w:cs="方正仿宋_GB2312"/>
          <w:szCs w:val="21"/>
        </w:rPr>
        <w:t xml:space="preserve">资格审查：依据法律法规和招标文件规定，由</w:t>
      </w:r>
      <w:bookmarkStart w:id="91" w:name="OLE_LINK6"/>
      <w:r>
        <w:rPr>
          <w:rFonts w:hint="eastAsia" w:ascii="方正仿宋_GB2312" w:hAnsi="方正仿宋_GB2312" w:eastAsia="方正仿宋_GB2312" w:cs="方正仿宋_GB2312"/>
          <w:szCs w:val="21"/>
        </w:rPr>
        <w:t xml:space="preserve">采购人或采购代理机构</w:t>
      </w:r>
      <w:bookmarkEnd w:id="91"/>
      <w:r>
        <w:rPr>
          <w:rFonts w:hint="eastAsia" w:ascii="方正仿宋_GB2312" w:hAnsi="方正仿宋_GB2312" w:eastAsia="方正仿宋_GB2312" w:cs="方正仿宋_GB2312"/>
          <w:szCs w:val="21"/>
        </w:rPr>
        <w:t xml:space="preserve">对投标文件中的资格证明文件进行审查，并向评标委员会反馈审查结论。</w:t>
      </w:r>
      <w:bookmarkEnd w:id="89"/>
      <w:r/>
    </w:p>
    <w:p>
      <w:pPr>
        <w:ind w:firstLine="422"/>
        <w:jc w:val="left"/>
        <w:spacing w:line="360" w:lineRule="auto"/>
        <w:tabs>
          <w:tab w:val="left" w:pos="4825" w:leader="none"/>
        </w:tabs>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20.2.2.1投标文件有下列情况之一的，在资格性审查时按照无效投标处理：</w:t>
      </w:r>
      <w:r/>
    </w:p>
    <w:p>
      <w:pPr>
        <w:numPr>
          <w:ilvl w:val="0"/>
          <w:numId w:val="4"/>
        </w:numPr>
        <w:ind w:firstLine="420"/>
        <w:jc w:val="left"/>
        <w:spacing w:line="360" w:lineRule="auto"/>
        <w:tabs>
          <w:tab w:val="left" w:pos="4825" w:leader="none"/>
        </w:tabs>
        <w:rPr>
          <w:rFonts w:hint="eastAsia" w:ascii="方正仿宋_GB2312" w:hAnsi="方正仿宋_GB2312" w:eastAsia="方正仿宋_GB2312" w:cs="方正仿宋_GB2312"/>
          <w:szCs w:val="21"/>
        </w:rPr>
      </w:pPr>
      <w:r/>
      <w:bookmarkStart w:id="92" w:name="_Hlk81314966"/>
      <w:r/>
      <w:bookmarkStart w:id="93" w:name="_Hlk81573945"/>
      <w:r>
        <w:rPr>
          <w:rFonts w:hint="eastAsia" w:ascii="方正仿宋_GB2312" w:hAnsi="方正仿宋_GB2312" w:eastAsia="方正仿宋_GB2312" w:cs="方正仿宋_GB2312"/>
          <w:szCs w:val="21"/>
        </w:rPr>
        <w:t xml:space="preserve">不具备招标文件中规定资格条件的；</w:t>
      </w:r>
      <w:bookmarkEnd w:id="92"/>
      <w:r/>
    </w:p>
    <w:p>
      <w:pPr>
        <w:ind w:firstLine="420"/>
        <w:jc w:val="left"/>
        <w:spacing w:line="360" w:lineRule="auto"/>
        <w:tabs>
          <w:tab w:val="left" w:pos="4825" w:leader="none"/>
        </w:tabs>
        <w:rPr>
          <w:rFonts w:hint="eastAsia" w:ascii="方正仿宋_GB2312" w:hAnsi="方正仿宋_GB2312" w:eastAsia="方正仿宋_GB2312" w:cs="方正仿宋_GB2312"/>
          <w:szCs w:val="21"/>
        </w:rPr>
      </w:pPr>
      <w:r/>
      <w:bookmarkStart w:id="94" w:name="_Hlk77845984"/>
      <w:r>
        <w:rPr>
          <w:rFonts w:hint="eastAsia" w:ascii="方正仿宋_GB2312" w:hAnsi="方正仿宋_GB2312" w:eastAsia="方正仿宋_GB2312" w:cs="方正仿宋_GB2312"/>
          <w:szCs w:val="21"/>
        </w:rPr>
        <w:t xml:space="preserve">（2）未提供《南京市政府采购供应商信用记录表暨信用承诺书》。</w:t>
      </w:r>
      <w:bookmarkEnd w:id="90"/>
      <w:bookmarkEnd w:id="93"/>
      <w:bookmarkEnd w:id="94"/>
      <w:r/>
    </w:p>
    <w:p>
      <w:pPr>
        <w:ind w:firstLine="422"/>
        <w:jc w:val="left"/>
        <w:spacing w:line="360" w:lineRule="auto"/>
        <w:tabs>
          <w:tab w:val="left" w:pos="4825" w:leader="none"/>
        </w:tabs>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20.2.3投标文件的</w:t>
      </w:r>
      <w:bookmarkStart w:id="95" w:name="OLE_LINK18"/>
      <w:r>
        <w:rPr>
          <w:rFonts w:hint="eastAsia" w:ascii="方正仿宋_GB2312" w:hAnsi="方正仿宋_GB2312" w:eastAsia="方正仿宋_GB2312" w:cs="方正仿宋_GB2312"/>
          <w:b/>
          <w:szCs w:val="21"/>
        </w:rPr>
        <w:t xml:space="preserve">符合性检查</w:t>
      </w:r>
      <w:bookmarkEnd w:id="95"/>
      <w:r/>
      <w:r/>
    </w:p>
    <w:p>
      <w:p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w:t>
      </w:r>
      <w:bookmarkStart w:id="96" w:name="_Hlk176530503"/>
      <w:r>
        <w:rPr>
          <w:rFonts w:hint="eastAsia" w:ascii="方正仿宋_GB2312" w:hAnsi="方正仿宋_GB2312" w:eastAsia="方正仿宋_GB2312" w:cs="方正仿宋_GB2312"/>
          <w:b/>
          <w:bCs/>
          <w:szCs w:val="21"/>
        </w:rPr>
        <w:t xml:space="preserve">实质性要求是指本</w:t>
      </w:r>
      <w:bookmarkStart w:id="97" w:name="OLE_LINK36"/>
      <w:r>
        <w:rPr>
          <w:rFonts w:hint="eastAsia" w:ascii="方正仿宋_GB2312" w:hAnsi="方正仿宋_GB2312" w:eastAsia="方正仿宋_GB2312" w:cs="方正仿宋_GB2312"/>
          <w:b/>
          <w:bCs/>
          <w:szCs w:val="21"/>
        </w:rPr>
        <w:t xml:space="preserve">招标文件中斜体且有下划线部分，或者打“★”“*”等其他文字说明的商务和技术要求。</w:t>
      </w:r>
      <w:bookmarkEnd w:id="96"/>
      <w:r/>
      <w:r/>
    </w:p>
    <w:p>
      <w:pPr>
        <w:ind w:firstLine="420"/>
        <w:jc w:val="left"/>
        <w:spacing w:line="360" w:lineRule="auto"/>
        <w:tabs>
          <w:tab w:val="left" w:pos="4825" w:leader="none"/>
        </w:tabs>
        <w:rPr>
          <w:rFonts w:hint="eastAsia" w:ascii="方正仿宋_GB2312" w:hAnsi="方正仿宋_GB2312" w:eastAsia="方正仿宋_GB2312" w:cs="方正仿宋_GB2312"/>
          <w:szCs w:val="21"/>
        </w:rPr>
      </w:pPr>
      <w:r/>
      <w:bookmarkStart w:id="98" w:name="OLE_LINK7"/>
      <w:r>
        <w:rPr>
          <w:rFonts w:hint="eastAsia" w:ascii="方正仿宋_GB2312" w:hAnsi="方正仿宋_GB2312" w:eastAsia="方正仿宋_GB2312" w:cs="方正仿宋_GB2312"/>
          <w:szCs w:val="21"/>
        </w:rPr>
        <w:t xml:space="preserve">（3）如果投标文件实质上没有响应招标文件的要求，评标委员会将予以拒绝，投标人不得通过修改或撤销不符合要求的偏离或保留而使其投标成为实质性响应的投标。</w:t>
      </w:r>
      <w:bookmarkEnd w:id="97"/>
      <w:bookmarkEnd w:id="98"/>
      <w:r/>
    </w:p>
    <w:p>
      <w:pPr>
        <w:ind w:firstLine="422"/>
        <w:jc w:val="left"/>
        <w:spacing w:line="360" w:lineRule="auto"/>
        <w:tabs>
          <w:tab w:val="left" w:pos="4825" w:leader="none"/>
          <w:tab w:val="left" w:pos="7092" w:leader="none"/>
        </w:tabs>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20.2.3.1投标文件属于下列情形之一的，在符合性审查时按照无效投标处理：</w:t>
      </w:r>
      <w:r>
        <w:rPr>
          <w:rFonts w:hint="eastAsia" w:ascii="方正仿宋_GB2312" w:hAnsi="方正仿宋_GB2312" w:eastAsia="方正仿宋_GB2312" w:cs="方正仿宋_GB2312"/>
          <w:b/>
          <w:szCs w:val="21"/>
        </w:rPr>
        <w:tab/>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不具备招标文件中规定的实质性要求；</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不同投标人的投标文件由同一单位或者个人编制的；</w:t>
      </w:r>
      <w:r/>
    </w:p>
    <w:p>
      <w:pPr>
        <w:numPr>
          <w:ilvl w:val="0"/>
          <w:numId w:val="5"/>
        </w:num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不同投标人委托同一单位或者个人办理投标事宜；</w:t>
      </w:r>
      <w:r/>
    </w:p>
    <w:p>
      <w:pPr>
        <w:pStyle w:val="773"/>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不同投标人的投标文件载明的项目管理成员</w:t>
      </w:r>
      <w:bookmarkStart w:id="99" w:name="_Hlk176185278"/>
      <w:r>
        <w:rPr>
          <w:rFonts w:hint="eastAsia" w:ascii="方正仿宋_GB2312" w:hAnsi="方正仿宋_GB2312" w:eastAsia="方正仿宋_GB2312" w:cs="方正仿宋_GB2312"/>
          <w:szCs w:val="21"/>
        </w:rPr>
        <w:t xml:space="preserve">或者联系人员为同一人</w:t>
      </w:r>
      <w:bookmarkEnd w:id="99"/>
      <w:r>
        <w:rPr>
          <w:rFonts w:hint="eastAsia" w:ascii="方正仿宋_GB2312" w:hAnsi="方正仿宋_GB2312" w:eastAsia="方正仿宋_GB2312" w:cs="方正仿宋_GB2312"/>
          <w:szCs w:val="21"/>
        </w:rPr>
        <w:t xml:space="preserve">；</w:t>
      </w:r>
      <w:r/>
    </w:p>
    <w:p>
      <w:pPr>
        <w:pStyle w:val="773"/>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不同投标人的投标文件异常一致或者投标报价呈规律性差异；</w:t>
      </w:r>
      <w:r/>
    </w:p>
    <w:p>
      <w:pPr>
        <w:pStyle w:val="773"/>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773"/>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投标文件含有采购人不能接受的附加条件的；</w:t>
      </w:r>
      <w:r/>
    </w:p>
    <w:p>
      <w:pPr>
        <w:pStyle w:val="773"/>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采购产品被财政部、国家发改委、生态环境部等列入“节能产品品目清单”强制采购范围，而投标人提供的产品不在强制采购范围内。</w:t>
      </w:r>
      <w:r/>
    </w:p>
    <w:p>
      <w:pPr>
        <w:pStyle w:val="773"/>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投标人被</w:t>
      </w:r>
      <w:bookmarkStart w:id="100" w:name="OLE_LINK42"/>
      <w:r>
        <w:rPr>
          <w:rFonts w:hint="eastAsia" w:ascii="方正仿宋_GB2312" w:hAnsi="方正仿宋_GB2312" w:eastAsia="方正仿宋_GB2312" w:cs="方正仿宋_GB2312"/>
          <w:szCs w:val="21"/>
        </w:rPr>
        <w:t xml:space="preserve">“信用中国”网站（www.creditchina.gov.cn）列入失信被执行人或重大税收违法案件当事人名单或政府采购严重失信行为记录名单</w:t>
      </w:r>
      <w:bookmarkEnd w:id="100"/>
      <w:r>
        <w:rPr>
          <w:rFonts w:hint="eastAsia" w:ascii="方正仿宋_GB2312" w:hAnsi="方正仿宋_GB2312" w:eastAsia="方正仿宋_GB2312" w:cs="方正仿宋_GB2312"/>
          <w:szCs w:val="21"/>
        </w:rPr>
        <w:t xml:space="preserve">；</w:t>
      </w:r>
      <w:r/>
    </w:p>
    <w:p>
      <w:pPr>
        <w:pStyle w:val="773"/>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不符合法律法规和招标文件规定的其他实质性要求的。</w:t>
      </w:r>
      <w:r/>
    </w:p>
    <w:p>
      <w:pPr>
        <w:ind w:firstLine="422"/>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w:t>
      </w:r>
      <w:r>
        <w:rPr>
          <w:rFonts w:hint="eastAsia" w:ascii="方正仿宋_GB2312" w:hAnsi="方正仿宋_GB2312" w:eastAsia="方正仿宋_GB2312" w:cs="方正仿宋_GB2312"/>
          <w:b/>
          <w:bCs/>
          <w:szCs w:val="21"/>
        </w:rPr>
        <w:t xml:space="preserve">2.4</w:t>
      </w:r>
      <w:r>
        <w:rPr>
          <w:rFonts w:hint="eastAsia" w:ascii="方正仿宋_GB2312" w:hAnsi="方正仿宋_GB2312" w:eastAsia="方正仿宋_GB2312" w:cs="方正仿宋_GB2312"/>
          <w:b/>
          <w:bCs/>
          <w:szCs w:val="21"/>
        </w:rPr>
        <w:t xml:space="preserve">有下列情形之一的予以废标：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（2）出现影响采购公正的违法、违规行为的；</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（3）因重大变故，采购任务取消的；</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（4）因苏采云系统故障造成开标不成功。</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w:t>
      </w:r>
      <w:r>
        <w:rPr>
          <w:rFonts w:hint="eastAsia" w:ascii="方正仿宋_GB2312" w:hAnsi="方正仿宋_GB2312" w:eastAsia="方正仿宋_GB2312" w:cs="方正仿宋_GB2312"/>
          <w:szCs w:val="21"/>
        </w:rPr>
        <w:t xml:space="preserve">2.5</w:t>
      </w:r>
      <w:r>
        <w:rPr>
          <w:rFonts w:hint="eastAsia" w:ascii="方正仿宋_GB2312" w:hAnsi="方正仿宋_GB2312" w:eastAsia="方正仿宋_GB2312" w:cs="方正仿宋_GB2312"/>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w:t>
      </w:r>
      <w:r>
        <w:rPr>
          <w:rFonts w:hint="eastAsia" w:ascii="方正仿宋_GB2312" w:hAnsi="方正仿宋_GB2312" w:eastAsia="方正仿宋_GB2312" w:cs="方正仿宋_GB2312"/>
          <w:szCs w:val="21"/>
        </w:rPr>
        <w:t xml:space="preserve">2.6</w:t>
      </w:r>
      <w:r>
        <w:rPr>
          <w:rFonts w:hint="eastAsia" w:ascii="方正仿宋_GB2312" w:hAnsi="方正仿宋_GB2312" w:eastAsia="方正仿宋_GB2312" w:cs="方正仿宋_GB2312"/>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20.3 评标过程中的澄清</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bookmarkStart w:id="101" w:name="OLE_LINK4"/>
      <w:r>
        <w:rPr>
          <w:rFonts w:hint="eastAsia" w:ascii="方正仿宋_GB2312" w:hAnsi="方正仿宋_GB2312" w:eastAsia="方正仿宋_GB2312" w:cs="方正仿宋_GB2312"/>
          <w:szCs w:val="21"/>
        </w:rPr>
        <w:t xml:space="preserve">投标人的澄清、说明或者补正不得超出投标文件的范围或者改变投标文件的实质性内容</w:t>
      </w:r>
      <w:bookmarkEnd w:id="101"/>
      <w:r>
        <w:rPr>
          <w:rFonts w:hint="eastAsia" w:ascii="方正仿宋_GB2312" w:hAnsi="方正仿宋_GB2312" w:eastAsia="方正仿宋_GB2312" w:cs="方正仿宋_GB2312"/>
          <w:szCs w:val="21"/>
        </w:rPr>
        <w:t xml:space="preserve">。</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评标委员会并非对每个投标人都作出澄清要求。</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20.3.3接到评标委员会澄清、说明和补正要求的，投标人如未按规定作出澄清、说明和补正，其风险由投标人自行承担。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（2）大写金额和小写金额不一致的，以大写金额为准；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（4）总价金额与按单价汇总金额不一致的，以单价金额计算结果为准。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同时出现两种以上不一致的，按照前款规定的顺序修正。</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102" w:name="_Hlk176184375"/>
      <w:r>
        <w:rPr>
          <w:rFonts w:hint="eastAsia" w:ascii="方正仿宋_GB2312" w:hAnsi="方正仿宋_GB2312" w:eastAsia="方正仿宋_GB2312" w:cs="方正仿宋_GB2312"/>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20.3.5投标人在开、评标全过程中应保持通信畅通，</w:t>
      </w:r>
      <w:bookmarkStart w:id="103" w:name="OLE_LINK25"/>
      <w:r>
        <w:rPr>
          <w:rFonts w:hint="eastAsia" w:ascii="方正仿宋_GB2312" w:hAnsi="方正仿宋_GB2312" w:eastAsia="方正仿宋_GB2312" w:cs="方正仿宋_GB2312"/>
          <w:b/>
          <w:bCs/>
          <w:szCs w:val="21"/>
        </w:rPr>
        <w:t xml:space="preserve">及时登录苏采云系统查阅</w:t>
      </w:r>
      <w:bookmarkEnd w:id="103"/>
      <w:r>
        <w:rPr>
          <w:rFonts w:hint="eastAsia" w:ascii="方正仿宋_GB2312" w:hAnsi="方正仿宋_GB2312" w:eastAsia="方正仿宋_GB2312" w:cs="方正仿宋_GB2312"/>
          <w:b/>
          <w:bCs/>
          <w:szCs w:val="21"/>
        </w:rPr>
        <w:t xml:space="preserve">、答复相关信息，并安排专人与采购代理机构及评标委员会联系。</w:t>
      </w:r>
      <w:bookmarkEnd w:id="102"/>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20.4比较与评价</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20.5 </w:t>
      </w:r>
      <w:bookmarkStart w:id="104" w:name="OLE_LINK8"/>
      <w:r>
        <w:rPr>
          <w:rFonts w:hint="eastAsia" w:ascii="方正仿宋_GB2312" w:hAnsi="方正仿宋_GB2312" w:eastAsia="方正仿宋_GB2312" w:cs="方正仿宋_GB2312"/>
          <w:b/>
          <w:bCs/>
          <w:szCs w:val="21"/>
        </w:rPr>
        <w:t xml:space="preserve">评标委员会</w:t>
      </w:r>
      <w:bookmarkEnd w:id="104"/>
      <w:r>
        <w:rPr>
          <w:rFonts w:hint="eastAsia" w:ascii="方正仿宋_GB2312" w:hAnsi="方正仿宋_GB2312" w:eastAsia="方正仿宋_GB2312" w:cs="方正仿宋_GB2312"/>
          <w:b/>
          <w:bCs/>
          <w:szCs w:val="21"/>
        </w:rPr>
        <w:t xml:space="preserve">启动异常低价投标审查的情形和具体要求</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（1）投标报价低于全部通过符合性审查投标人投标报价平均值50%的，即投标报价〈全部通过符合性审查投标人投标报价平均值×50%；</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（2）投标报价低于通过符合性审查的次低报价投标人投标报价50%的，即投标报价〈通过符合性审查的次低报价投标人投标报价×50%；</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（3）投标报价低于采购项目最高限价50%的，即投标报价〈采购项目最高限价×50%；</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20.5.2 </w:t>
      </w:r>
      <w:bookmarkStart w:id="105" w:name="OLE_LINK33"/>
      <w:r>
        <w:rPr>
          <w:rFonts w:hint="eastAsia" w:ascii="方正仿宋_GB2312" w:hAnsi="方正仿宋_GB2312" w:eastAsia="方正仿宋_GB2312" w:cs="方正仿宋_GB2312"/>
          <w:szCs w:val="21"/>
        </w:rPr>
        <w:t xml:space="preserve">评标委员会</w:t>
      </w:r>
      <w:bookmarkEnd w:id="105"/>
      <w:r>
        <w:rPr>
          <w:rFonts w:hint="eastAsia" w:ascii="方正仿宋_GB2312" w:hAnsi="方正仿宋_GB2312" w:eastAsia="方正仿宋_GB2312" w:cs="方正仿宋_GB2312"/>
          <w:szCs w:val="21"/>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w:t>
      </w:r>
      <w:bookmarkStart w:id="106" w:name="_Hlk176875986"/>
      <w:r>
        <w:rPr>
          <w:rFonts w:hint="eastAsia" w:ascii="方正仿宋_GB2312" w:hAnsi="方正仿宋_GB2312" w:eastAsia="方正仿宋_GB2312" w:cs="方正仿宋_GB2312"/>
          <w:b/>
          <w:bCs/>
          <w:szCs w:val="21"/>
        </w:rPr>
        <w:t xml:space="preserve">6</w:t>
      </w:r>
      <w:r>
        <w:rPr>
          <w:rFonts w:hint="eastAsia" w:ascii="方正仿宋_GB2312" w:hAnsi="方正仿宋_GB2312" w:eastAsia="方正仿宋_GB2312" w:cs="方正仿宋_GB2312"/>
          <w:b/>
          <w:bCs/>
          <w:szCs w:val="21"/>
        </w:rPr>
        <w:t xml:space="preserve">相同品牌产品的投标</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非</w:t>
      </w:r>
      <w:bookmarkStart w:id="107" w:name="OLE_LINK11"/>
      <w:r>
        <w:rPr>
          <w:rFonts w:hint="eastAsia" w:ascii="方正仿宋_GB2312" w:hAnsi="方正仿宋_GB2312" w:eastAsia="方正仿宋_GB2312" w:cs="方正仿宋_GB2312"/>
          <w:szCs w:val="21"/>
        </w:rPr>
        <w:t xml:space="preserve">单一产品采购项目</w:t>
      </w:r>
      <w:bookmarkEnd w:id="107"/>
      <w:r>
        <w:rPr>
          <w:rFonts w:hint="eastAsia" w:ascii="方正仿宋_GB2312" w:hAnsi="方正仿宋_GB2312" w:eastAsia="方正仿宋_GB2312" w:cs="方正仿宋_GB2312"/>
          <w:szCs w:val="21"/>
        </w:rPr>
        <w:t xml:space="preserve">，核心产品在招标文件技术需求中载明。多家投标人提供的核心产品品牌相同的，按前款规定处理。</w:t>
      </w:r>
      <w:bookmarkEnd w:id="106"/>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21.评标方法和标准</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21.1本次</w:t>
      </w:r>
      <w:r>
        <w:rPr>
          <w:rFonts w:hint="eastAsia" w:ascii="方正仿宋_GB2312" w:hAnsi="方正仿宋_GB2312" w:eastAsia="方正仿宋_GB2312" w:cs="方正仿宋_GB2312"/>
          <w:szCs w:val="21"/>
        </w:rPr>
        <w:t xml:space="preserve">采购</w:t>
      </w:r>
      <w:r>
        <w:rPr>
          <w:rFonts w:hint="eastAsia" w:ascii="方正仿宋_GB2312" w:hAnsi="方正仿宋_GB2312" w:eastAsia="方正仿宋_GB2312" w:cs="方正仿宋_GB2312"/>
          <w:szCs w:val="21"/>
        </w:rPr>
        <w:t xml:space="preserve">采用综合评分法，评标方法和标准，详见本招标文件第三章。</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22.确定中标人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22.1</w:t>
      </w: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采用综合评分法的，评标结果按评审后得分由高到低顺序排列。得分相同的，按投标报价由低到高顺序排列。得分且投标报价相同的，按技术指标优劣顺序排列。</w:t>
      </w:r>
      <w:bookmarkStart w:id="108" w:name="_Hlk44576646"/>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投标文件满足招标文件全部实质性要求，</w:t>
      </w:r>
      <w:bookmarkStart w:id="109" w:name="_Hlk128053036"/>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且按照评审因素的量化指标评审得分最高的投标人为排名第一的中标候选人，经采购人授权，</w:t>
      </w:r>
      <w:bookmarkEnd w:id="108"/>
      <w:r>
        <w:rPr>
          <w:rFonts w:hint="eastAsia" w:ascii="方正仿宋_GB2312" w:hAnsi="方正仿宋_GB2312" w:eastAsia="方正仿宋_GB2312" w:cs="方正仿宋_GB2312"/>
          <w:szCs w:val="21"/>
        </w:rPr>
        <w:t xml:space="preserve">评标委员会将综合排名第一的中标候选人确定为中标人。</w:t>
      </w:r>
      <w:r/>
    </w:p>
    <w:p>
      <w:pPr>
        <w:ind w:firstLine="420"/>
        <w:spacing w:line="360" w:lineRule="auto"/>
        <w:shd w:val="clear" w:color="auto" w:fill="ffffff"/>
        <w:widowControl/>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b/>
          <w:bCs w:val="0"/>
          <w:szCs w:val="21"/>
          <w:highlight w:val="none"/>
          <w:lang w:val="zh-CN"/>
        </w:rPr>
        <w:t xml:space="preserve">如投标人在</w:t>
      </w:r>
      <w:r>
        <w:rPr>
          <w:rFonts w:hint="eastAsia" w:ascii="方正仿宋_GB2312" w:hAnsi="方正仿宋_GB2312" w:eastAsia="方正仿宋_GB2312" w:cs="方正仿宋_GB2312"/>
          <w:b/>
          <w:bCs w:val="0"/>
          <w:szCs w:val="21"/>
          <w:highlight w:val="none"/>
          <w:lang w:val="en-US" w:eastAsia="zh-CN"/>
        </w:rPr>
        <w:t xml:space="preserve">本项目</w:t>
      </w:r>
      <w:r>
        <w:rPr>
          <w:rFonts w:hint="eastAsia" w:ascii="方正仿宋_GB2312" w:hAnsi="方正仿宋_GB2312" w:eastAsia="方正仿宋_GB2312" w:cs="方正仿宋_GB2312"/>
          <w:b/>
          <w:bCs w:val="0"/>
          <w:szCs w:val="21"/>
          <w:highlight w:val="none"/>
          <w:lang w:val="zh-CN"/>
        </w:rPr>
        <w:t xml:space="preserve">其他采购包</w:t>
      </w:r>
      <w:r>
        <w:rPr>
          <w:rFonts w:hint="eastAsia" w:ascii="方正仿宋_GB2312" w:hAnsi="方正仿宋_GB2312" w:eastAsia="方正仿宋_GB2312" w:cs="方正仿宋_GB2312"/>
          <w:b/>
          <w:bCs w:val="0"/>
          <w:szCs w:val="21"/>
          <w:highlight w:val="none"/>
        </w:rPr>
        <w:t xml:space="preserve">中</w:t>
      </w:r>
      <w:r>
        <w:rPr>
          <w:rFonts w:hint="eastAsia" w:ascii="方正仿宋_GB2312" w:hAnsi="方正仿宋_GB2312" w:eastAsia="方正仿宋_GB2312" w:cs="方正仿宋_GB2312"/>
          <w:b/>
          <w:bCs w:val="0"/>
          <w:szCs w:val="21"/>
          <w:highlight w:val="none"/>
          <w:lang w:val="zh-CN"/>
        </w:rPr>
        <w:t xml:space="preserve">中标，</w:t>
      </w:r>
      <w:r>
        <w:rPr>
          <w:rFonts w:hint="eastAsia" w:ascii="方正仿宋_GB2312" w:hAnsi="方正仿宋_GB2312" w:eastAsia="方正仿宋_GB2312" w:cs="方正仿宋_GB2312"/>
          <w:b/>
          <w:bCs w:val="0"/>
          <w:szCs w:val="21"/>
          <w:highlight w:val="none"/>
          <w:lang w:val="en-US" w:eastAsia="zh-CN"/>
        </w:rPr>
        <w:t xml:space="preserve">可以继续参与“</w:t>
      </w:r>
      <w:r>
        <w:rPr>
          <w:rFonts w:hint="eastAsia" w:ascii="方正仿宋_GB2312" w:hAnsi="方正仿宋_GB2312" w:eastAsia="方正仿宋_GB2312" w:cs="方正仿宋_GB2312"/>
          <w:b/>
          <w:bCs w:val="0"/>
          <w:spacing w:val="8"/>
          <w:highlight w:val="none"/>
          <w:lang w:eastAsia="zh-CN"/>
        </w:rPr>
        <w:t xml:space="preserve">生态环境监测监控能力提升项目（二次招标）”</w:t>
      </w:r>
      <w:r>
        <w:rPr>
          <w:rFonts w:hint="eastAsia" w:ascii="方正仿宋_GB2312" w:hAnsi="方正仿宋_GB2312" w:eastAsia="方正仿宋_GB2312" w:cs="方正仿宋_GB2312"/>
          <w:b/>
          <w:bCs w:val="0"/>
          <w:spacing w:val="8"/>
          <w:highlight w:val="none"/>
          <w:lang w:val="en-US" w:eastAsia="zh-CN"/>
        </w:rPr>
        <w:t xml:space="preserve">的投标及评审</w:t>
      </w:r>
      <w:r>
        <w:rPr>
          <w:rFonts w:hint="eastAsia" w:ascii="方正仿宋_GB2312" w:hAnsi="方正仿宋_GB2312" w:eastAsia="方正仿宋_GB2312" w:cs="方正仿宋_GB2312"/>
          <w:b/>
          <w:bCs w:val="0"/>
          <w:szCs w:val="21"/>
          <w:highlight w:val="none"/>
          <w:lang w:val="zh-CN"/>
        </w:rPr>
        <w:t xml:space="preserve">，但不再推荐为</w:t>
      </w:r>
      <w:r>
        <w:rPr>
          <w:rFonts w:hint="eastAsia" w:ascii="方正仿宋_GB2312" w:hAnsi="方正仿宋_GB2312" w:eastAsia="方正仿宋_GB2312" w:cs="方正仿宋_GB2312"/>
          <w:b/>
          <w:bCs w:val="0"/>
          <w:szCs w:val="21"/>
          <w:highlight w:val="none"/>
          <w:lang w:val="en-US" w:eastAsia="zh-CN"/>
        </w:rPr>
        <w:t xml:space="preserve">“</w:t>
      </w:r>
      <w:r>
        <w:rPr>
          <w:rFonts w:hint="eastAsia" w:ascii="方正仿宋_GB2312" w:hAnsi="方正仿宋_GB2312" w:eastAsia="方正仿宋_GB2312" w:cs="方正仿宋_GB2312"/>
          <w:b/>
          <w:bCs w:val="0"/>
          <w:spacing w:val="8"/>
          <w:highlight w:val="none"/>
          <w:lang w:eastAsia="zh-CN"/>
        </w:rPr>
        <w:t xml:space="preserve">生态环境监测监控能力提升项目（二次招标）”</w:t>
      </w:r>
      <w:r>
        <w:rPr>
          <w:rFonts w:hint="eastAsia" w:ascii="方正仿宋_GB2312" w:hAnsi="方正仿宋_GB2312" w:eastAsia="方正仿宋_GB2312" w:cs="方正仿宋_GB2312"/>
          <w:b/>
          <w:bCs w:val="0"/>
          <w:szCs w:val="21"/>
          <w:highlight w:val="none"/>
          <w:lang w:val="zh-CN"/>
        </w:rPr>
        <w:t xml:space="preserve">的中标人。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22.2中标人确定后，采购代理机构在</w:t>
      </w:r>
      <w:r>
        <w:rPr>
          <w:rFonts w:hint="eastAsia" w:ascii="方正仿宋_GB2312" w:hAnsi="方正仿宋_GB2312" w:eastAsia="方正仿宋_GB2312" w:cs="方正仿宋_GB2312"/>
          <w:color w:val="000000"/>
          <w:szCs w:val="21"/>
          <w:lang w:val="zh-CN"/>
        </w:rPr>
        <w:t xml:space="preserve">“江苏政府采购网”发布</w:t>
      </w:r>
      <w:r>
        <w:rPr>
          <w:rFonts w:hint="eastAsia" w:ascii="方正仿宋_GB2312" w:hAnsi="方正仿宋_GB2312" w:eastAsia="方正仿宋_GB2312" w:cs="方正仿宋_GB2312"/>
          <w:szCs w:val="21"/>
        </w:rPr>
        <w:t xml:space="preserve">中标公告，公告期限为1个工作日。</w:t>
      </w:r>
      <w:bookmarkEnd w:id="109"/>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23. 中标通知书</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23.1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24.评标过程的保密性</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24.4采购代理机构和评标委员会不向未中标的投标人解释未中标原因，也不公布评标过程中的相关细节。</w:t>
      </w:r>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bookmarkStart w:id="110" w:name="_Hlk176188663"/>
      <w:r>
        <w:rPr>
          <w:rFonts w:hint="eastAsia" w:ascii="方正仿宋_GB2312" w:hAnsi="方正仿宋_GB2312" w:eastAsia="方正仿宋_GB2312" w:cs="方正仿宋_GB2312"/>
          <w:b/>
          <w:bCs/>
          <w:szCs w:val="21"/>
        </w:rPr>
        <w:t xml:space="preserve">六、签订合同</w:t>
      </w:r>
      <w:bookmarkEnd w:id="110"/>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25.签订合同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25.1采购人与中标人应当自中标通知书发出之日起30日内，按照招标文件和中标人投标文件的规定，签订书面合同，采购人于合同签订后2个工作日内通过苏采云系统进行公示。所签订的合同不得对招标文件确定的事项和中标人投标文件作实质性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111" w:name="_Hlk128053131"/>
      <w:r>
        <w:rPr>
          <w:rFonts w:hint="eastAsia" w:ascii="方正仿宋_GB2312" w:hAnsi="方正仿宋_GB2312" w:eastAsia="方正仿宋_GB2312" w:cs="方正仿宋_GB2312"/>
          <w:szCs w:val="21"/>
        </w:rPr>
        <w:t xml:space="preserve">25.3</w:t>
      </w:r>
      <w:bookmarkStart w:id="112" w:name="_Hlk134712780"/>
      <w:r>
        <w:rPr>
          <w:rFonts w:hint="eastAsia" w:ascii="方正仿宋_GB2312" w:hAnsi="方正仿宋_GB2312" w:eastAsia="方正仿宋_GB2312" w:cs="方正仿宋_GB2312"/>
          <w:szCs w:val="21"/>
        </w:rPr>
        <w:t xml:space="preserve">中标人拒绝与采购人签订合同的，采购人可以按照评标报告推荐的中标候选人名单排序，确定下一候选人为中标人，也可以重新开展政府采购活动。</w:t>
      </w:r>
      <w:bookmarkEnd w:id="111"/>
      <w:bookmarkEnd w:id="112"/>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25.4 政府采购合同履行中，采购人需追加与合同标的相同的货物（包含与货物相关的服务），在不改变合同其他条款的前提下，可以与中标人协商签订补充合同，但所有补充合同的采购金额不得超过原合同采购金额的百分之十。</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25.6采购人与中标人应当根据合同的约定依法履行合同义务。</w:t>
      </w:r>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七、质疑和投诉</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26.质疑</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113" w:name="_Hlk135041925"/>
      <w:r>
        <w:rPr>
          <w:rFonts w:hint="eastAsia" w:ascii="方正仿宋_GB2312" w:hAnsi="方正仿宋_GB2312" w:eastAsia="方正仿宋_GB2312" w:cs="方正仿宋_GB2312"/>
          <w:szCs w:val="21"/>
        </w:rPr>
        <w:t xml:space="preserve">26.1投标人对</w:t>
      </w:r>
      <w:r>
        <w:rPr>
          <w:rFonts w:hint="eastAsia" w:ascii="方正仿宋_GB2312" w:hAnsi="方正仿宋_GB2312" w:eastAsia="方正仿宋_GB2312" w:cs="方正仿宋_GB2312"/>
          <w:szCs w:val="21"/>
        </w:rPr>
        <w:t xml:space="preserve">采购</w:t>
      </w:r>
      <w:r>
        <w:rPr>
          <w:rFonts w:hint="eastAsia" w:ascii="方正仿宋_GB2312" w:hAnsi="方正仿宋_GB2312" w:eastAsia="方正仿宋_GB2312" w:cs="方正仿宋_GB2312"/>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26.2提出质疑的投标人应当是参与所质疑项目采购活动的投标人。潜在投标人已依法获取其可质疑的招标文件的，可以对该文件提出质疑。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26.4 投标人提出质疑应当按照《政府采购质疑和投诉办法》的规定提交质疑函和必要的证明材料。质疑函应当包括下列内容：</w:t>
      </w:r>
      <w:r/>
    </w:p>
    <w:p>
      <w:pPr>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（1）投标人的姓名或者名称、地址、邮编、联系人及联系电话；</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（2）质疑项目的名称、编号；</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（3）具体、明确的质疑事项和与质疑事项相关的请求（具体条款）；</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（4）事实依据（具体条款）；</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（5）必要的法律依据（具体条款）；</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（6）提出质疑的日期。</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26.6 投标人不得虚假质疑和恶意质疑，并对质疑内容的真实性承担责任。投标人或者其他利害关系人通过捏造事实、伪造证明材料等方式提出异议或投诉，干扰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26.7 采购代理机构在收到投标人的书面质疑后将及时组织调查核实，在</w:t>
      </w:r>
      <w:r>
        <w:rPr>
          <w:rFonts w:hint="eastAsia" w:ascii="方正仿宋_GB2312" w:hAnsi="方正仿宋_GB2312" w:eastAsia="方正仿宋_GB2312" w:cs="方正仿宋_GB2312"/>
          <w:b/>
          <w:bCs/>
          <w:szCs w:val="21"/>
        </w:rPr>
        <w:t xml:space="preserve">七个工作日内</w:t>
      </w:r>
      <w:r>
        <w:rPr>
          <w:rFonts w:hint="eastAsia" w:ascii="方正仿宋_GB2312" w:hAnsi="方正仿宋_GB2312" w:eastAsia="方正仿宋_GB2312" w:cs="方正仿宋_GB2312"/>
          <w:szCs w:val="21"/>
        </w:rPr>
        <w:t xml:space="preserve">作出答复，并以书面或在网站公告形式通知质疑投标人和其他有关投标人，答复的内容不涉及商业秘密。</w:t>
      </w:r>
      <w:bookmarkEnd w:id="113"/>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27.投诉</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27.2 投标人投诉应当有明确的请求和必要的证明材料。投标人投诉的事项不得超出已质疑事项的范围。</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27.3 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27.4 投诉人在全国范围12个月内3次以上投诉查无实据的，由财政部门列入不良行为记录名单。</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27.5投诉人有下列行为之一的，属于虚假、恶意投诉，由财政部门列入不良行为记录名单，禁止其1至3年内参加政府采购活动：</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（1）捏造事实；</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（2）提供虚假材料；</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（3）以非法手段取得证明材料。证据来源的合法性存在明显疑问，投诉人无法证明其取得方式合法的，视为以非法手段取得证明材料。</w:t>
      </w:r>
      <w:r/>
    </w:p>
    <w:p>
      <w:pPr>
        <w:rPr>
          <w:rFonts w:hint="eastAsia" w:ascii="方正仿宋_GB2312" w:hAnsi="方正仿宋_GB2312" w:eastAsia="方正仿宋_GB2312" w:cs="方正仿宋_GB2312"/>
        </w:rPr>
      </w:pPr>
      <w:r/>
      <w:bookmarkStart w:id="114" w:name="_Toc176529669"/>
      <w:r/>
      <w:bookmarkStart w:id="115" w:name="_Toc481057145"/>
      <w:r/>
      <w:bookmarkStart w:id="116" w:name="_Toc2754"/>
      <w:r>
        <w:rPr>
          <w:rFonts w:hint="eastAsia" w:ascii="方正仿宋_GB2312" w:hAnsi="方正仿宋_GB2312" w:eastAsia="方正仿宋_GB2312" w:cs="方正仿宋_GB2312"/>
        </w:rPr>
        <w:br w:type="page" w:clear="all"/>
      </w:r>
      <w:r/>
    </w:p>
    <w:p>
      <w:pPr>
        <w:pStyle w:val="720"/>
        <w:numPr>
          <w:ilvl w:val="0"/>
          <w:numId w:val="0"/>
        </w:numPr>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第三章 评标标准</w:t>
      </w:r>
      <w:bookmarkEnd w:id="114"/>
      <w:r/>
      <w:bookmarkEnd w:id="115"/>
      <w:bookmarkEnd w:id="116"/>
      <w:r/>
    </w:p>
    <w:p>
      <w:pPr>
        <w:ind w:firstLine="420"/>
        <w:spacing w:line="360" w:lineRule="auto"/>
        <w:rPr>
          <w:rFonts w:hint="eastAsia" w:ascii="方正仿宋_GB2312" w:hAnsi="方正仿宋_GB2312" w:eastAsia="方正仿宋_GB2312" w:cs="方正仿宋_GB2312"/>
          <w:szCs w:val="21"/>
        </w:rPr>
      </w:pPr>
      <w:r/>
      <w:bookmarkStart w:id="117" w:name="_Hlk44577066"/>
      <w:r>
        <w:rPr>
          <w:rFonts w:hint="eastAsia" w:ascii="方正仿宋_GB2312" w:hAnsi="方正仿宋_GB2312" w:eastAsia="方正仿宋_GB2312" w:cs="方正仿宋_GB2312"/>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18" w:name="_Hlk176529455"/>
      <w:r/>
      <w:r/>
    </w:p>
    <w:tbl>
      <w:tblPr>
        <w:tblStyle w:val="730"/>
        <w:tblpPr w:horzAnchor="page" w:tblpX="1337" w:vertAnchor="text" w:tblpY="305" w:leftFromText="180" w:topFromText="0" w:rightFromText="180" w:bottomFromText="0"/>
        <w:tblW w:w="50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02"/>
        <w:gridCol w:w="5820"/>
        <w:gridCol w:w="732"/>
        <w:gridCol w:w="906"/>
      </w:tblGrid>
      <w:tr>
        <w:trPr>
          <w:trHeight w:val="90"/>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序号</w:t>
            </w:r>
            <w:r/>
          </w:p>
        </w:tc>
        <w:tc>
          <w:tcPr>
            <w:tcW w:w="63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评审因素</w:t>
            </w:r>
            <w:r/>
          </w:p>
        </w:tc>
        <w:tc>
          <w:tcPr>
            <w:tcW w:w="3094"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评审标准</w:t>
            </w:r>
            <w:r/>
          </w:p>
        </w:tc>
        <w:tc>
          <w:tcPr>
            <w:tcW w:w="38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分值</w:t>
            </w:r>
            <w:r/>
          </w:p>
        </w:tc>
        <w:tc>
          <w:tcPr>
            <w:tcW w:w="48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类型</w:t>
            </w:r>
            <w:r/>
          </w:p>
        </w:tc>
      </w:tr>
      <w:tr>
        <w:trPr>
          <w:trHeight w:val="90"/>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一、价格 15分</w:t>
            </w:r>
            <w:r/>
          </w:p>
        </w:tc>
      </w:tr>
      <w:tr>
        <w:trPr>
          <w:trHeight w:val="1953"/>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63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w:t>
            </w:r>
            <w:r/>
          </w:p>
        </w:tc>
        <w:tc>
          <w:tcPr>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用低价优先法计算，即满足采购文件要求且投标报价最低价为评标基准价，其价格分得满分15分。其他供应商的价格分统一按照以下公式计算：供应商价格得分=（评标基准价／该供应商报价）×15（小数点后保留两位）。</w:t>
            </w:r>
            <w:r/>
          </w:p>
        </w:tc>
        <w:tc>
          <w:tcPr>
            <w:tcW w:w="38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w:t>
            </w:r>
            <w:r/>
          </w:p>
        </w:tc>
        <w:tc>
          <w:tcPr>
            <w:tcW w:w="48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价格分</w:t>
            </w:r>
            <w:r/>
          </w:p>
        </w:tc>
      </w:tr>
      <w:tr>
        <w:trPr>
          <w:trHeight w:val="90"/>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二、商务25分</w:t>
            </w:r>
            <w:r/>
          </w:p>
        </w:tc>
      </w:tr>
      <w:tr>
        <w:trPr>
          <w:trHeight w:val="1989"/>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zCs w:val="21"/>
              </w:rPr>
              <w:t xml:space="preserve">项目组成员</w:t>
            </w:r>
            <w:r/>
          </w:p>
        </w:tc>
        <w:tc>
          <w:tcPr>
            <w:tcW w:w="3094" w:type="pct"/>
            <w:vAlign w:val="center"/>
            <w:textDirection w:val="lrTb"/>
            <w:noWrap w:val="false"/>
          </w:tcPr>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拟派项目组成员：</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（1）具有中国环境监测总站大气中挥发性有机物监测技术培训班合格证的得4分；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（2）具有</w:t>
            </w:r>
            <w:r>
              <w:rPr>
                <w:rFonts w:hint="eastAsia" w:ascii="方正仿宋_GB2312" w:hAnsi="方正仿宋_GB2312" w:eastAsia="方正仿宋_GB2312" w:cs="方正仿宋_GB2312"/>
                <w:spacing w:val="-1"/>
                <w:szCs w:val="21"/>
              </w:rPr>
              <w:t xml:space="preserve">生态环境类</w:t>
            </w:r>
            <w:r>
              <w:rPr>
                <w:rFonts w:hint="eastAsia" w:ascii="方正仿宋_GB2312" w:hAnsi="方正仿宋_GB2312" w:eastAsia="方正仿宋_GB2312" w:cs="方正仿宋_GB2312"/>
                <w:szCs w:val="21"/>
              </w:rPr>
              <w:t xml:space="preserve">高级及以上技术职称的得4分，具有生态环境类中级技术职称的得2分；该项最多得4分；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注：同一人员不重复得分。以上人员须提供有效证书复印件以及供应商为其在投标截止时间前三个月内任一月份缴纳的社保证明并加盖投标人公章，未提供不得分。</w:t>
            </w:r>
            <w:r/>
          </w:p>
        </w:tc>
        <w:tc>
          <w:tcPr>
            <w:tcW w:w="38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8</w:t>
            </w:r>
            <w:r/>
          </w:p>
        </w:tc>
        <w:tc>
          <w:tcPr>
            <w:tcW w:w="48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客观分</w:t>
            </w:r>
            <w:r/>
          </w:p>
        </w:tc>
      </w:tr>
      <w:tr>
        <w:trPr>
          <w:trHeight w:val="1989"/>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w:t>
            </w:r>
            <w:r/>
          </w:p>
        </w:tc>
        <w:tc>
          <w:tcPr>
            <w:tcW w:w="639" w:type="pct"/>
            <w:vAlign w:val="center"/>
            <w:textDirection w:val="lrTb"/>
            <w:noWrap w:val="false"/>
          </w:tcPr>
          <w:p>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rPr>
              <w:t xml:space="preserve">业绩</w:t>
            </w:r>
            <w:r/>
          </w:p>
        </w:tc>
        <w:tc>
          <w:tcPr>
            <w:tcW w:w="3094" w:type="pct"/>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投标人自2021年1月1日（含）以来承接过类似设备维修或维护服务项目的，每提供1个业绩得3分，最高得9分。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（提供合同证明材料并加盖公章，合同需能明确反映出合同内容，项目名称、双方签字盖章齐全，证明材料提供不符合要求或未提供不得分）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rPr>
              <w:t xml:space="preserve">9</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spacing w:val="-6"/>
              </w:rPr>
              <w:t xml:space="preserve">客观分</w:t>
            </w:r>
            <w:r/>
          </w:p>
        </w:tc>
      </w:tr>
      <w:tr>
        <w:trPr>
          <w:trHeight w:val="1571"/>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639" w:type="pct"/>
            <w:vAlign w:val="center"/>
            <w:textDirection w:val="lrTb"/>
            <w:noWrap w:val="false"/>
          </w:tcPr>
          <w:p>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rPr>
              <w:t xml:space="preserve">业绩评价</w:t>
            </w:r>
            <w:r/>
          </w:p>
        </w:tc>
        <w:tc>
          <w:tcPr>
            <w:tcW w:w="3094" w:type="pct"/>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以上业绩得到用户评价优秀（好评或满意等同等级评价），每提供一份用户评价的得1分，最多得3分。本项最多得3分。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（提供用户评价证明材料并加盖公章</w:t>
            </w:r>
            <w:r>
              <w:rPr>
                <w:rFonts w:hint="eastAsia" w:ascii="方正仿宋_GB2312" w:hAnsi="方正仿宋_GB2312" w:eastAsia="方正仿宋_GB2312" w:cs="方正仿宋_GB2312"/>
              </w:rPr>
              <w:t xml:space="preserve">，未提供不得分</w:t>
            </w:r>
            <w:r>
              <w:rPr>
                <w:rFonts w:hint="eastAsia" w:ascii="方正仿宋_GB2312" w:hAnsi="方正仿宋_GB2312" w:eastAsia="方正仿宋_GB2312" w:cs="方正仿宋_GB2312"/>
                <w:szCs w:val="21"/>
              </w:rPr>
              <w:t xml:space="preserve">）</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rPr>
              <w:t xml:space="preserve">3</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spacing w:val="-6"/>
              </w:rPr>
              <w:t xml:space="preserve">客观分</w:t>
            </w:r>
            <w:r/>
          </w:p>
        </w:tc>
      </w:tr>
      <w:tr>
        <w:trPr>
          <w:trHeight w:val="90"/>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4</w:t>
            </w:r>
            <w:r/>
          </w:p>
        </w:tc>
        <w:tc>
          <w:tcPr>
            <w:tcW w:w="639" w:type="pct"/>
            <w:vAlign w:val="center"/>
            <w:textDirection w:val="lrTb"/>
            <w:noWrap w:val="false"/>
          </w:tcPr>
          <w:p>
            <w:pPr>
              <w:jc w:val="center"/>
              <w:rPr>
                <w:rFonts w:hint="eastAsia" w:ascii="方正仿宋_GB2312" w:hAnsi="方正仿宋_GB2312" w:eastAsia="方正仿宋_GB2312" w:cs="方正仿宋_GB2312"/>
                <w:spacing w:val="-2"/>
              </w:rPr>
            </w:pPr>
            <w:r>
              <w:rPr>
                <w:rFonts w:hint="eastAsia" w:ascii="方正仿宋_GB2312" w:hAnsi="方正仿宋_GB2312" w:eastAsia="方正仿宋_GB2312" w:cs="方正仿宋_GB2312"/>
                <w:spacing w:val="-2"/>
              </w:rPr>
              <w:t xml:space="preserve">履约能力</w:t>
            </w:r>
            <w:r/>
          </w:p>
        </w:tc>
        <w:tc>
          <w:tcPr>
            <w:tcW w:w="3094" w:type="pct"/>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投标人承诺验收合格后提供1年免费维修期，免费维修期内更换备件全免费；且明确出现设备故障时能够4小时内响应、48小时内到达现场的得5分。</w:t>
            </w:r>
            <w:r/>
          </w:p>
          <w:p>
            <w:pPr>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（以上</w:t>
            </w:r>
            <w:r>
              <w:rPr>
                <w:rFonts w:hint="eastAsia" w:ascii="方正仿宋_GB2312" w:hAnsi="方正仿宋_GB2312" w:eastAsia="方正仿宋_GB2312" w:cs="方正仿宋_GB2312"/>
              </w:rPr>
              <w:t xml:space="preserve">须提供承诺书并加盖公章，未提供或未按照要求提供不得分</w:t>
            </w:r>
            <w:r>
              <w:rPr>
                <w:rFonts w:hint="eastAsia" w:ascii="方正仿宋_GB2312" w:hAnsi="方正仿宋_GB2312" w:eastAsia="方正仿宋_GB2312" w:cs="方正仿宋_GB2312"/>
                <w:bCs/>
                <w:szCs w:val="21"/>
              </w:rPr>
              <w:t xml:space="preserve">）</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 xml:space="preserve">5</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spacing w:val="-6"/>
              </w:rPr>
            </w:pPr>
            <w:r>
              <w:rPr>
                <w:rFonts w:hint="eastAsia" w:ascii="方正仿宋_GB2312" w:hAnsi="方正仿宋_GB2312" w:eastAsia="方正仿宋_GB2312" w:cs="方正仿宋_GB2312"/>
                <w:spacing w:val="-6"/>
                <w:szCs w:val="21"/>
              </w:rPr>
              <w:t xml:space="preserve">客观分</w:t>
            </w:r>
            <w:r/>
          </w:p>
        </w:tc>
      </w:tr>
      <w:tr>
        <w:trPr>
          <w:trHeight w:val="90"/>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三、技术60分</w:t>
            </w:r>
            <w:r/>
          </w:p>
        </w:tc>
      </w:tr>
      <w:tr>
        <w:trPr>
          <w:trHeight w:val="90"/>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szCs w:val="21"/>
              </w:rPr>
              <w:t xml:space="preserve">1</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1"/>
                <w:szCs w:val="21"/>
              </w:rPr>
              <w:t xml:space="preserve">故障诊断与维修方案</w:t>
            </w:r>
            <w:r/>
          </w:p>
        </w:tc>
        <w:tc>
          <w:tcPr>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评委根据投标人提供的故障诊断与维修方案进行打分：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包括设备故障（采样/色谱异常、停机报警、备件老化等）（5分）、对应故障给出原厂备件更换、管路清理、色谱柱老化、气体标定、整机调试等详细措施（5分）、覆盖全部故障点及备件清单（5分）：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（1）内容完整，科学合理、思路清晰、操作性强，能把握重点、难点的，得5分； </w:t>
            </w:r>
            <w:r/>
          </w:p>
          <w:p>
            <w:pPr>
              <w:pStyle w:val="774"/>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（2）方案有明显漏洞，可行性低的，得2分；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w:t>
            </w:r>
            <w:r>
              <w:rPr>
                <w:rFonts w:hint="eastAsia" w:ascii="方正仿宋_GB2312" w:hAnsi="方正仿宋_GB2312" w:eastAsia="方正仿宋_GB2312" w:cs="方正仿宋_GB2312"/>
                <w:szCs w:val="21"/>
                <w:lang w:val="en-US" w:eastAsia="zh-CN"/>
              </w:rPr>
              <w:t xml:space="preserve">三</w:t>
            </w:r>
            <w:r>
              <w:rPr>
                <w:rFonts w:hint="eastAsia" w:ascii="方正仿宋_GB2312" w:hAnsi="方正仿宋_GB2312" w:eastAsia="方正仿宋_GB2312" w:cs="方正仿宋_GB2312"/>
                <w:szCs w:val="21"/>
              </w:rPr>
              <w:t xml:space="preserve">项中缺少对应方案的，该项不得分。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每项内容最高5分，累计得分不超过15分。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6"/>
                <w:szCs w:val="21"/>
              </w:rPr>
              <w:t xml:space="preserve">主观分</w:t>
            </w:r>
            <w:r/>
          </w:p>
        </w:tc>
      </w:tr>
      <w:tr>
        <w:trPr>
          <w:trHeight w:val="90"/>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2</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pacing w:val="-1"/>
                <w:szCs w:val="21"/>
              </w:rPr>
              <w:t xml:space="preserve">测试方法</w:t>
            </w:r>
            <w:r/>
          </w:p>
        </w:tc>
        <w:tc>
          <w:tcPr>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评委根据投标人提供的设备测试方法进行打分：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逐项对标单点/多点质控、空白浓度、分离度、检出限、准确度、精密度、残留浓度等全部验收要求，提供详细测试方法：</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（1）测试方法完善、内容完整的，得9分； </w:t>
            </w:r>
            <w:r/>
          </w:p>
          <w:p>
            <w:pPr>
              <w:pStyle w:val="774"/>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（2）测试方法简略、有欠缺的，得6分；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（3）测试方法差，得3分；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（4）未提供测试方法的不得分。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spacing w:val="-6"/>
                <w:szCs w:val="21"/>
              </w:rPr>
            </w:pPr>
            <w:r>
              <w:rPr>
                <w:rFonts w:hint="eastAsia" w:ascii="方正仿宋_GB2312" w:hAnsi="方正仿宋_GB2312" w:eastAsia="方正仿宋_GB2312" w:cs="方正仿宋_GB2312"/>
                <w:spacing w:val="-6"/>
                <w:szCs w:val="21"/>
              </w:rPr>
              <w:t xml:space="preserve">主观分</w:t>
            </w:r>
            <w:r/>
          </w:p>
        </w:tc>
      </w:tr>
      <w:tr>
        <w:trPr>
          <w:trHeight w:val="465"/>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rPr>
              <w:t xml:space="preserve">项目实施进度计划</w:t>
            </w:r>
            <w:r/>
          </w:p>
        </w:tc>
        <w:tc>
          <w:tcPr>
            <w:shd w:val="clear" w:color="auto" w:fill="ffffff"/>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评委根据投标人提供的进度计划方案进行打分：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包括拆解故障诊断、备件采购、现场维修、调试标定、性能测试、验收交付等关键节点进度计划（4分）、进度保障措施（4分）、进度风险分析（4分）：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（1）内容完整，科学合理、思路清晰、操作性强，能把握重点、难点的，得4分； </w:t>
            </w:r>
            <w:r/>
          </w:p>
          <w:p>
            <w:pPr>
              <w:pStyle w:val="774"/>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每项内容最高4分，累计得分不超过12分。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12</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6"/>
                <w:szCs w:val="21"/>
              </w:rPr>
              <w:t xml:space="preserve">主观分</w:t>
            </w:r>
            <w:r/>
          </w:p>
        </w:tc>
      </w:tr>
      <w:tr>
        <w:trPr>
          <w:trHeight w:val="465"/>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szCs w:val="21"/>
              </w:rPr>
              <w:t xml:space="preserve">4</w:t>
            </w:r>
            <w:r/>
          </w:p>
        </w:tc>
        <w:tc>
          <w:tcPr>
            <w:tcW w:w="639" w:type="pct"/>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售后维保方案</w:t>
            </w:r>
            <w:r/>
          </w:p>
        </w:tc>
        <w:tc>
          <w:tcPr>
            <w:shd w:val="clear" w:color="auto" w:fill="ffffff"/>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评委根据投标人提供的售后维保服务方案进行打分：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包括服务体系及响应时间（4分）、上门服务内容（4分）、故障解决方案（4分）：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（1）内容完整，科学合理、思路清晰、操作性强，能把握重点、难点的，得4分； </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每项内容最高4分，累计得分不超过12分。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6"/>
                <w:szCs w:val="21"/>
              </w:rPr>
              <w:t xml:space="preserve">12</w:t>
            </w:r>
            <w:r/>
          </w:p>
        </w:tc>
        <w:tc>
          <w:tcPr>
            <w:tcW w:w="481" w:type="pct"/>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trHeight w:val="465"/>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1"/>
              </w:rPr>
              <w:t xml:space="preserve">设备故障应急方案</w:t>
            </w:r>
            <w:r/>
          </w:p>
        </w:tc>
        <w:tc>
          <w:tcPr>
            <w:shd w:val="clear" w:color="auto" w:fill="ffffff"/>
            <w:tcW w:w="3094" w:type="pct"/>
            <w:vAlign w:val="center"/>
            <w:textDirection w:val="lrTb"/>
            <w:noWrap w:val="false"/>
          </w:tcPr>
          <w:p>
            <w:pPr>
              <w:jc w:val="left"/>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评委根据投标人提供的设备故障应急方案进行打分：</w:t>
            </w:r>
            <w:r/>
          </w:p>
          <w:p>
            <w:pPr>
              <w:jc w:val="left"/>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包括职责分工（4分）、安全责任（4分）、应急预案（4分）：</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上述具体评分标准如下：</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（1）内容完整、科学合理、思路清晰、操作性强，能把握重点、难点的，得4分； </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（2）方案有明显漏洞，可行性低的，得1分；</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（3）上述3项中缺少对应方案的，该项不得分。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每项内容最高4分，累计得分不超过12分。</w:t>
            </w:r>
            <w:r/>
          </w:p>
        </w:tc>
        <w:tc>
          <w:tcPr>
            <w:tcW w:w="389" w:type="pct"/>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12</w:t>
            </w:r>
            <w:r/>
          </w:p>
        </w:tc>
        <w:tc>
          <w:tcPr>
            <w:tcW w:w="481" w:type="pct"/>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trHeight w:val="592"/>
        </w:trPr>
        <w:tc>
          <w:tcPr>
            <w:gridSpan w:val="3"/>
            <w:tcW w:w="412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合计</w:t>
            </w:r>
            <w:r/>
          </w:p>
        </w:tc>
        <w:tc>
          <w:tcPr>
            <w:tcW w:w="38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100</w:t>
            </w:r>
            <w:r/>
          </w:p>
        </w:tc>
        <w:tc>
          <w:tcPr>
            <w:tcW w:w="48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r>
    </w:tbl>
    <w:p>
      <w:pPr>
        <w:pStyle w:val="739"/>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bookmarkEnd w:id="117"/>
      <w:bookmarkEnd w:id="118"/>
      <w:r/>
    </w:p>
    <w:p>
      <w:pPr>
        <w:rPr>
          <w:rFonts w:hint="eastAsia" w:ascii="方正仿宋_GB2312" w:hAnsi="方正仿宋_GB2312" w:eastAsia="方正仿宋_GB2312" w:cs="方正仿宋_GB2312"/>
        </w:rPr>
      </w:pPr>
      <w:r/>
      <w:bookmarkStart w:id="119" w:name="_Toc14826"/>
      <w:r/>
      <w:bookmarkStart w:id="120" w:name="_Toc176529670"/>
      <w:r>
        <w:rPr>
          <w:rFonts w:hint="eastAsia" w:ascii="方正仿宋_GB2312" w:hAnsi="方正仿宋_GB2312" w:eastAsia="方正仿宋_GB2312" w:cs="方正仿宋_GB2312"/>
        </w:rPr>
        <w:br w:type="page" w:clear="all"/>
      </w:r>
      <w:r/>
    </w:p>
    <w:p>
      <w:pPr>
        <w:pStyle w:val="720"/>
        <w:numPr>
          <w:ilvl w:val="0"/>
          <w:numId w:val="0"/>
        </w:numPr>
        <w:ind w:left="567"/>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第四章 </w:t>
      </w:r>
      <w:bookmarkEnd w:id="119"/>
      <w:r/>
      <w:bookmarkStart w:id="121" w:name="_Toc481057147"/>
      <w:r/>
      <w:bookmarkStart w:id="122" w:name="_Toc8808"/>
      <w:r>
        <w:rPr>
          <w:rFonts w:hint="eastAsia" w:ascii="方正仿宋_GB2312" w:hAnsi="方正仿宋_GB2312" w:eastAsia="方正仿宋_GB2312" w:cs="方正仿宋_GB2312"/>
          <w:b w:val="0"/>
          <w:bCs w:val="0"/>
        </w:rPr>
        <w:t xml:space="preserve">采购项目的内容和相关技术要求等</w:t>
      </w:r>
      <w:bookmarkEnd w:id="120"/>
      <w:r/>
      <w:r/>
    </w:p>
    <w:p>
      <w:pPr>
        <w:ind w:firstLine="482"/>
        <w:jc w:val="left"/>
        <w:spacing w:line="360" w:lineRule="auto"/>
        <w:shd w:val="clear" w:color="auto" w:fill="ffffff"/>
        <w:rPr>
          <w:rFonts w:hint="eastAsia" w:ascii="方正仿宋_GB2312" w:hAnsi="方正仿宋_GB2312" w:eastAsia="方正仿宋_GB2312" w:cs="方正仿宋_GB2312"/>
          <w:b/>
          <w:color w:val="000000"/>
          <w:szCs w:val="21"/>
        </w:rPr>
      </w:pPr>
      <w:r/>
      <w:bookmarkStart w:id="123" w:name="_Hlk176529481"/>
      <w:r/>
      <w:bookmarkStart w:id="124" w:name="_Hlk66377641"/>
      <w:r>
        <w:rPr>
          <w:rFonts w:hint="eastAsia" w:ascii="方正仿宋_GB2312" w:hAnsi="方正仿宋_GB2312" w:eastAsia="方正仿宋_GB2312" w:cs="方正仿宋_GB2312"/>
          <w:b/>
          <w:color w:val="000000"/>
          <w:szCs w:val="21"/>
        </w:rPr>
        <w:t xml:space="preserve">一、项目概况</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lang w:val="en-US" w:eastAsia="zh-CN"/>
        </w:rPr>
        <w:t xml:space="preserve">项目内容</w:t>
      </w:r>
      <w:r>
        <w:rPr>
          <w:rFonts w:hint="eastAsia" w:ascii="方正仿宋_GB2312" w:hAnsi="方正仿宋_GB2312" w:eastAsia="方正仿宋_GB2312" w:cs="方正仿宋_GB2312"/>
          <w:bCs/>
          <w:color w:val="000000"/>
          <w:szCs w:val="21"/>
        </w:rPr>
        <w:t xml:space="preserve">：龙潭港VOCs设备维修</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预算金额：20万</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最高限价：</w:t>
      </w:r>
      <w:r>
        <w:rPr>
          <w:rFonts w:hint="eastAsia" w:ascii="方正仿宋_GB2312" w:hAnsi="方正仿宋_GB2312" w:eastAsia="方正仿宋_GB2312" w:cs="方正仿宋_GB2312"/>
          <w:bCs/>
          <w:szCs w:val="21"/>
        </w:rPr>
        <w:t xml:space="preserve">19.3</w:t>
      </w:r>
      <w:r>
        <w:rPr>
          <w:rFonts w:hint="eastAsia" w:ascii="方正仿宋_GB2312" w:hAnsi="方正仿宋_GB2312" w:eastAsia="方正仿宋_GB2312" w:cs="方正仿宋_GB2312"/>
          <w:bCs/>
          <w:color w:val="000000"/>
          <w:szCs w:val="21"/>
        </w:rPr>
        <w:t xml:space="preserve">万</w:t>
      </w:r>
      <w:r/>
    </w:p>
    <w:p>
      <w:pPr>
        <w:ind w:firstLine="420"/>
        <w:jc w:val="left"/>
        <w:spacing w:line="360" w:lineRule="auto"/>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rPr>
        <w:t xml:space="preserve">采购需求：对栖霞龙潭港赛默飞 PAMS5900 型 VOCs 在线监测设备（2</w:t>
      </w:r>
      <w:r>
        <w:rPr>
          <w:rStyle w:val="766"/>
          <w:rFonts w:hint="eastAsia" w:ascii="方正仿宋_GB2312" w:hAnsi="方正仿宋_GB2312" w:eastAsia="方正仿宋_GB2312" w:cs="方正仿宋_GB2312"/>
          <w:b w:val="0"/>
          <w:color w:val="000000"/>
          <w:szCs w:val="21"/>
        </w:rPr>
        <w:t xml:space="preserve">019年生产使用，该设备采用 GC-FID 气相色谱技术）</w:t>
      </w:r>
      <w:r>
        <w:rPr>
          <w:rFonts w:hint="eastAsia" w:ascii="方正仿宋_GB2312" w:hAnsi="方正仿宋_GB2312" w:eastAsia="方正仿宋_GB2312" w:cs="方正仿宋_GB2312"/>
          <w:bCs/>
          <w:color w:val="000000"/>
          <w:szCs w:val="21"/>
        </w:rPr>
        <w:t xml:space="preserve">开展专项故障诊断、原厂部件更换、管路系统清理、色谱柱老化、标准气体标定及整机调试等</w:t>
      </w:r>
      <w:r>
        <w:rPr>
          <w:rFonts w:hint="eastAsia" w:ascii="方正仿宋_GB2312" w:hAnsi="方正仿宋_GB2312" w:eastAsia="方正仿宋_GB2312" w:cs="方正仿宋_GB2312"/>
          <w:bCs/>
          <w:color w:val="000000"/>
          <w:szCs w:val="21"/>
          <w:highlight w:val="none"/>
        </w:rPr>
        <w:t xml:space="preserve">维修工作。</w:t>
      </w:r>
      <w:r/>
    </w:p>
    <w:p>
      <w:pPr>
        <w:ind w:firstLine="420"/>
        <w:jc w:val="left"/>
        <w:spacing w:line="360" w:lineRule="auto"/>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szCs w:val="21"/>
          <w:highlight w:val="none"/>
        </w:rPr>
        <w:t xml:space="preserve">合同履行期限：</w:t>
      </w:r>
      <w:r>
        <w:rPr>
          <w:rFonts w:hint="eastAsia" w:ascii="方正仿宋_GB2312" w:hAnsi="方正仿宋_GB2312" w:eastAsia="方正仿宋_GB2312" w:cs="方正仿宋_GB2312"/>
          <w:bCs/>
          <w:color w:val="000000"/>
          <w:szCs w:val="21"/>
          <w:highlight w:val="none"/>
        </w:rPr>
        <w:t xml:space="preserve">合同签订后90日内完成仪器维修及验收，</w:t>
      </w:r>
      <w:r>
        <w:rPr>
          <w:rFonts w:hint="eastAsia" w:ascii="方正仿宋_GB2312" w:hAnsi="方正仿宋_GB2312" w:eastAsia="方正仿宋_GB2312" w:cs="方正仿宋_GB2312"/>
          <w:bCs/>
          <w:szCs w:val="21"/>
          <w:highlight w:val="none"/>
        </w:rPr>
        <w:t xml:space="preserve">具体根据采购人要求为准。</w:t>
      </w:r>
      <w:r>
        <w:rPr>
          <w:rFonts w:hint="eastAsia" w:ascii="方正仿宋_GB2312" w:hAnsi="方正仿宋_GB2312" w:eastAsia="方正仿宋_GB2312" w:cs="方正仿宋_GB2312"/>
          <w:bCs/>
          <w:szCs w:val="21"/>
          <w:highlight w:val="none"/>
        </w:rPr>
        <w:t xml:space="preserve">免费维修期为自仪器维修及验收完毕后6个月。</w:t>
      </w:r>
      <w:r/>
    </w:p>
    <w:p>
      <w:pPr>
        <w:ind w:firstLine="422"/>
        <w:spacing w:line="360" w:lineRule="auto"/>
        <w:rPr>
          <w:rFonts w:hint="eastAsia" w:ascii="方正仿宋_GB2312" w:hAnsi="方正仿宋_GB2312" w:eastAsia="方正仿宋_GB2312" w:cs="方正仿宋_GB2312"/>
          <w:b/>
          <w:bCs/>
          <w:color w:val="ff0000"/>
          <w:szCs w:val="21"/>
          <w:highlight w:val="none"/>
        </w:rPr>
      </w:pPr>
      <w:r>
        <w:rPr>
          <w:rFonts w:hint="eastAsia" w:ascii="方正仿宋_GB2312" w:hAnsi="方正仿宋_GB2312" w:eastAsia="方正仿宋_GB2312" w:cs="方正仿宋_GB2312"/>
          <w:b/>
          <w:bCs/>
          <w:szCs w:val="21"/>
          <w:highlight w:val="none"/>
        </w:rPr>
        <w:t xml:space="preserve">二、拟采购标的需要满足的技术要求</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（一）维修内容</w:t>
      </w:r>
      <w:r/>
    </w:p>
    <w:tbl>
      <w:tblPr>
        <w:tblStyle w:val="73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69"/>
        <w:gridCol w:w="1751"/>
        <w:gridCol w:w="7122"/>
      </w:tblGrid>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维修备件清单</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spacing w:line="360" w:lineRule="auto"/>
              <w:rPr>
                <w:rFonts w:hint="eastAsia" w:ascii="方正仿宋_GB2312" w:hAnsi="方正仿宋_GB2312" w:eastAsia="方正仿宋_GB2312" w:cs="方正仿宋_GB2312"/>
                <w:b/>
                <w:bCs/>
                <w:color w:val="000000"/>
                <w:szCs w:val="21"/>
              </w:rPr>
            </w:pPr>
            <w:r>
              <w:rPr>
                <w:rFonts w:hint="eastAsia" w:ascii="方正仿宋_GB2312" w:hAnsi="方正仿宋_GB2312" w:eastAsia="方正仿宋_GB2312" w:cs="方正仿宋_GB2312"/>
                <w:b/>
                <w:bCs/>
                <w:color w:val="000000"/>
                <w:szCs w:val="21"/>
                <w:lang w:bidi="ar"/>
              </w:rPr>
              <w:t xml:space="preserve">备件名称</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spacing w:line="360" w:lineRule="auto"/>
              <w:rPr>
                <w:rFonts w:hint="eastAsia" w:ascii="方正仿宋_GB2312" w:hAnsi="方正仿宋_GB2312" w:eastAsia="方正仿宋_GB2312" w:cs="方正仿宋_GB2312"/>
                <w:b/>
                <w:bCs/>
                <w:color w:val="000000"/>
                <w:szCs w:val="21"/>
              </w:rPr>
            </w:pPr>
            <w:r>
              <w:rPr>
                <w:rFonts w:hint="eastAsia" w:ascii="方正仿宋_GB2312" w:hAnsi="方正仿宋_GB2312" w:eastAsia="方正仿宋_GB2312" w:cs="方正仿宋_GB2312"/>
                <w:b/>
                <w:bCs/>
                <w:color w:val="000000"/>
                <w:szCs w:val="21"/>
                <w:lang w:bidi="ar"/>
              </w:rPr>
              <w:t xml:space="preserve">更换说明</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样品进样阀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负责样品的富集和进样；阀体漏气导致阀切换不到位，影响样品的流量和富集，致使响应偏低，需更换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气缸驱动组件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通过驱动气来驱动六通进样阀切换；现已故障，导致六通阀无法正常切换，和六通阀匹配使用，需更换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内置真空泵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采集样品和管路预抽作用，现已故障，导致无法正常采样，需更换</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螺纹管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阀箱内管路，经过钝化处理以减少VOC组分吸附；长时间钝化层破坏，导致VOC容易吸附管路，影响响应，需更换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TD管接头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富集管和聚焦管两端接头，钝化处理，减少VOC组分吸附；钝化层损坏，影响响应，需更换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伴热管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伴热管故障，需更换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FID点火线圈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FID点火线圈老化，需更换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主板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分析仪系统软件故障，无法打开正常运行，需更换</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加装N2捕集阱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谱图基线不稳定，出现杂峰干扰，需更换</w:t>
            </w:r>
            <w:r>
              <w:rPr>
                <w:rFonts w:hint="eastAsia" w:ascii="方正仿宋_GB2312" w:hAnsi="方正仿宋_GB2312" w:eastAsia="方正仿宋_GB2312" w:cs="方正仿宋_GB2312"/>
                <w:color w:val="000000"/>
                <w:szCs w:val="21"/>
                <w:lang w:bidi="ar"/>
              </w:rPr>
              <w:t xml:space="preserve">捕集阱</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采样泵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分析仪流量报错，无法正常采集样品，更换采样泵</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更换富集管和聚焦管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TD管，样品VOC组分的富集吸附，和二次吸附解析，需更换</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更换高碳、低碳色谱柱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现已老化，需更换，提高高低碳组分响应和分离度</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更换信号放大板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基线噪声过大，需更换信号放大版，降低噪声，减少干扰，提高分析准确度</w:t>
            </w:r>
            <w:r/>
          </w:p>
        </w:tc>
      </w:tr>
    </w:tbl>
    <w:p>
      <w:pPr>
        <w:ind w:firstLine="482"/>
        <w:jc w:val="left"/>
        <w:spacing w:line="360" w:lineRule="auto"/>
        <w:shd w:val="clear" w:color="auto" w:fill="ffffff"/>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（二）服务需求</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1.服务内容：由成交供应商安排工程师对该设备进行维修；保证仪器正常运行，维修期间产生的一切费用（安装、人工、运输搬运、交通、打孔、安全防护设施、打孔后防水恢复等）由成交供应商负责。</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2.服务使用的所有仪器、设备均由成交供应商自行提供，因使用或者故障发生的维修、维护保养、配件更换等费用，均由成交供应商自行承担，采购人不提供任何费用补助。</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3.与本次采购项目有关的所有质量、安全问题均由成交供应商负责，如因上述原因造成的一切后果均由成交供应商自行全部承担，与他人无涉。</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4.投标报价包括：全部服务所需的人工、材料耗材、机械设备、管理、维护、保险、利润、税金、及合同包含的所有风险、责任等各项应有费用。</w:t>
      </w:r>
      <w:r/>
    </w:p>
    <w:p>
      <w:pPr>
        <w:ind w:firstLine="422"/>
        <w:spacing w:line="360" w:lineRule="auto"/>
        <w:rPr>
          <w:rFonts w:hint="eastAsia" w:ascii="方正仿宋_GB2312" w:hAnsi="方正仿宋_GB2312" w:eastAsia="方正仿宋_GB2312" w:cs="方正仿宋_GB2312"/>
          <w:b/>
          <w:bCs/>
          <w:color w:val="ff0000"/>
          <w:szCs w:val="21"/>
        </w:rPr>
      </w:pPr>
      <w:r>
        <w:rPr>
          <w:rFonts w:hint="eastAsia" w:ascii="方正仿宋_GB2312" w:hAnsi="方正仿宋_GB2312" w:eastAsia="方正仿宋_GB2312" w:cs="方正仿宋_GB2312"/>
          <w:b/>
          <w:bCs/>
          <w:szCs w:val="21"/>
        </w:rPr>
        <w:t xml:space="preserve">三、拟采购标的需要满足的</w:t>
      </w:r>
      <w:r>
        <w:rPr>
          <w:rFonts w:hint="eastAsia" w:ascii="方正仿宋_GB2312" w:hAnsi="方正仿宋_GB2312" w:eastAsia="方正仿宋_GB2312" w:cs="方正仿宋_GB2312"/>
          <w:b/>
          <w:szCs w:val="21"/>
        </w:rPr>
        <w:t xml:space="preserve">商务</w:t>
      </w:r>
      <w:r>
        <w:rPr>
          <w:rFonts w:hint="eastAsia" w:ascii="方正仿宋_GB2312" w:hAnsi="方正仿宋_GB2312" w:eastAsia="方正仿宋_GB2312" w:cs="方正仿宋_GB2312"/>
          <w:b/>
          <w:bCs/>
          <w:szCs w:val="21"/>
        </w:rPr>
        <w:t xml:space="preserve">要求</w:t>
      </w:r>
      <w:r/>
    </w:p>
    <w:p>
      <w:pPr>
        <w:ind w:firstLine="482"/>
        <w:jc w:val="left"/>
        <w:spacing w:line="360" w:lineRule="auto"/>
        <w:shd w:val="clear" w:color="auto" w:fill="ffffff"/>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（一）验收要求</w:t>
      </w:r>
      <w:r/>
    </w:p>
    <w:p>
      <w:pPr>
        <w:pStyle w:val="733"/>
        <w:spacing w:line="360" w:lineRule="auto"/>
        <w:rPr>
          <w:rFonts w:hint="eastAsia" w:ascii="方正仿宋_GB2312" w:hAnsi="方正仿宋_GB2312" w:eastAsia="方正仿宋_GB2312" w:cs="方正仿宋_GB2312"/>
          <w:b w:val="0"/>
          <w:bCs/>
          <w:sz w:val="21"/>
          <w:szCs w:val="21"/>
        </w:rPr>
      </w:pPr>
      <w:r>
        <w:rPr>
          <w:rFonts w:hint="eastAsia" w:ascii="方正仿宋_GB2312" w:hAnsi="方正仿宋_GB2312" w:eastAsia="方正仿宋_GB2312" w:cs="方正仿宋_GB2312"/>
          <w:b w:val="0"/>
          <w:bCs/>
          <w:sz w:val="21"/>
          <w:szCs w:val="21"/>
        </w:rPr>
        <w:t xml:space="preserve">维修完毕后，仪器需连续稳定运行正常，满足相关规范要求的试运行时长，出具试运行及验收报告，性能指标能满足《HJ 1010-2018》和《国家光化学监测网自动监测数据审核技术指南》等相关技术规范及采购人要求，主要性能指标要求见下表。如不能通过验收，采购人有权拒绝验收，并追究成交供应商的法律责任。</w:t>
      </w:r>
      <w:r/>
    </w:p>
    <w:tbl>
      <w:tblPr>
        <w:tblStyle w:val="73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2103"/>
        <w:gridCol w:w="5982"/>
      </w:tblGrid>
      <w:tr>
        <w:trPr>
          <w:trHeight w:val="555"/>
          <w:tblHeader/>
        </w:trPr>
        <w:tc>
          <w:tcPr>
            <w:tcW w:w="625" w:type="pct"/>
            <w:vAlign w:val="center"/>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序号</w:t>
            </w:r>
            <w:r/>
          </w:p>
        </w:tc>
        <w:tc>
          <w:tcPr>
            <w:tcW w:w="1138" w:type="pct"/>
            <w:vAlign w:val="center"/>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仪器名称</w:t>
            </w:r>
            <w:r/>
          </w:p>
        </w:tc>
        <w:tc>
          <w:tcPr>
            <w:tcW w:w="3237" w:type="pct"/>
            <w:vAlign w:val="center"/>
            <w:textDirection w:val="lrTb"/>
            <w:noWrap w:val="false"/>
          </w:tcPr>
          <w:p>
            <w:pPr>
              <w:ind w:firstLine="42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维修后仪器性能指标</w:t>
            </w:r>
            <w:r/>
          </w:p>
        </w:tc>
      </w:tr>
      <w:tr>
        <w:trPr>
          <w:trHeight w:val="615"/>
        </w:trPr>
        <w:tc>
          <w:tcPr>
            <w:tcW w:w="625"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1138"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赛默飞5900</w:t>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单点质控要求，以20%偏差为限，要求90%以上组分满足质控要求。</w:t>
            </w:r>
            <w:r/>
          </w:p>
        </w:tc>
      </w:tr>
      <w:tr>
        <w:trPr>
          <w:trHeight w:val="701"/>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多点质控要求，以20%偏差为限，要求所有组分满足质控要求。（R²≥0.98）。</w:t>
            </w:r>
            <w:r/>
          </w:p>
        </w:tc>
      </w:tr>
      <w:tr>
        <w:trPr>
          <w:trHeight w:val="707"/>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空白结果审核：空白质控要求所有组分数据浓度低于 0.1 nmol/mol。</w:t>
            </w:r>
            <w:r/>
          </w:p>
        </w:tc>
      </w:tr>
      <w:tr>
        <w:trPr>
          <w:trHeight w:val="643"/>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环戊烷和异戊烷的分离度、2,3-二甲基戊烷和 2-甲基己烷的分离度及邻-二甲苯和苯乙烯的分离度达到 1.0 以上。</w:t>
            </w:r>
            <w:r/>
          </w:p>
        </w:tc>
      </w:tr>
      <w:tr>
        <w:trPr>
          <w:trHeight w:val="643"/>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方法检出限，90%组分（至少包括乙烷和乙烯）的方法检出限≤0.1nmol/mol。</w:t>
            </w:r>
            <w:r/>
          </w:p>
        </w:tc>
      </w:tr>
      <w:tr>
        <w:trPr>
          <w:trHeight w:val="643"/>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各组分准确度：±20%、各组分精密度度：±15%。</w:t>
            </w:r>
            <w:r/>
          </w:p>
        </w:tc>
      </w:tr>
      <w:tr>
        <w:trPr>
          <w:trHeight w:val="643"/>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高浓度残留，90%组分的系统残留浓度≤0.1nmol/mol。</w:t>
            </w:r>
            <w:r/>
          </w:p>
        </w:tc>
      </w:tr>
    </w:tbl>
    <w:p>
      <w:pPr>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p>
      <w:pPr>
        <w:ind w:firstLine="422"/>
        <w:spacing w:line="360" w:lineRule="auto"/>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t xml:space="preserve">（二）付款方式</w:t>
      </w:r>
      <w:r/>
    </w:p>
    <w:p>
      <w:pPr>
        <w:numPr>
          <w:ilvl w:val="255"/>
          <w:numId w:val="0"/>
        </w:numPr>
        <w:ind w:firstLine="420"/>
        <w:jc w:val="left"/>
        <w:spacing w:line="360" w:lineRule="auto"/>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（1）合同签订且服务团队人员到位后，支付合同金额的30%，采购人在收到发票后20个工作日内支付该笔款项；</w:t>
      </w:r>
      <w:r/>
    </w:p>
    <w:p>
      <w:pPr>
        <w:numPr>
          <w:ilvl w:val="255"/>
          <w:numId w:val="0"/>
        </w:numPr>
        <w:ind w:firstLine="420"/>
        <w:jc w:val="left"/>
        <w:spacing w:line="360" w:lineRule="auto"/>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（2）维修完毕后，仪器需连续稳定运行正常，满足相关规范要求的试运行时长，出具试运行及验收报告后，支付不超过合同金额的60%，采购人在收到发票后20个工作日内支付该笔款项。</w:t>
      </w:r>
      <w:r/>
    </w:p>
    <w:p>
      <w:pPr>
        <w:ind w:firstLine="420"/>
        <w:jc w:val="left"/>
        <w:spacing w:line="360" w:lineRule="auto"/>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Cs w:val="21"/>
          <w:highlight w:val="none"/>
        </w:rPr>
        <w:t xml:space="preserve">（3）免费维修期限结束后，采购人在收到发票后20个工作日内支付该笔款项。</w:t>
      </w:r>
      <w:r/>
    </w:p>
    <w:p>
      <w:pPr>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bookmarkEnd w:id="123"/>
      <w:bookmarkEnd w:id="124"/>
      <w:r/>
    </w:p>
    <w:p>
      <w:pPr>
        <w:rPr>
          <w:rFonts w:hint="eastAsia" w:ascii="方正仿宋_GB2312" w:hAnsi="方正仿宋_GB2312" w:eastAsia="方正仿宋_GB2312" w:cs="方正仿宋_GB2312"/>
        </w:rPr>
      </w:pPr>
      <w:r/>
      <w:bookmarkStart w:id="125" w:name="_Toc176529671"/>
      <w:r>
        <w:rPr>
          <w:rFonts w:hint="eastAsia" w:ascii="方正仿宋_GB2312" w:hAnsi="方正仿宋_GB2312" w:eastAsia="方正仿宋_GB2312" w:cs="方正仿宋_GB2312"/>
        </w:rPr>
        <w:br w:type="page" w:clear="all"/>
      </w:r>
      <w:r/>
    </w:p>
    <w:p>
      <w:pPr>
        <w:pStyle w:val="720"/>
        <w:numPr>
          <w:ilvl w:val="0"/>
          <w:numId w:val="0"/>
        </w:numPr>
        <w:ind w:left="567"/>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第五章 合同主要条款及格式</w:t>
      </w:r>
      <w:bookmarkEnd w:id="121"/>
      <w:r/>
      <w:bookmarkEnd w:id="122"/>
      <w:r/>
      <w:bookmarkEnd w:id="125"/>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jc w:val="center"/>
        <w:keepNext/>
        <w:spacing w:line="480" w:lineRule="auto"/>
        <w:rPr>
          <w:rFonts w:hint="eastAsia" w:ascii="方正仿宋_GB2312" w:hAnsi="方正仿宋_GB2312" w:eastAsia="方正仿宋_GB2312" w:cs="方正仿宋_GB2312"/>
          <w:sz w:val="40"/>
          <w:szCs w:val="32"/>
        </w:rPr>
        <w:outlineLvl w:val="0"/>
      </w:pPr>
      <w:r/>
      <w:bookmarkStart w:id="126" w:name="_Hlk66377681"/>
      <w:r/>
      <w:bookmarkStart w:id="127" w:name="_Toc12929"/>
      <w:r>
        <w:rPr>
          <w:rFonts w:hint="eastAsia" w:ascii="方正仿宋_GB2312" w:hAnsi="方正仿宋_GB2312" w:eastAsia="方正仿宋_GB2312" w:cs="方正仿宋_GB2312"/>
          <w:sz w:val="40"/>
          <w:szCs w:val="32"/>
        </w:rPr>
        <w:t xml:space="preserve">南京市政府采购合同</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合同编号 ：</w:t>
      </w:r>
      <w:r>
        <w:rPr>
          <w:rFonts w:hint="eastAsia" w:ascii="方正仿宋_GB2312" w:hAnsi="方正仿宋_GB2312" w:eastAsia="方正仿宋_GB2312" w:cs="方正仿宋_GB2312"/>
          <w:b/>
          <w:sz w:val="28"/>
          <w:szCs w:val="28"/>
          <w:u w:val="single"/>
        </w:rPr>
        <w:t xml:space="preserve">〔**科〕合同〔**〕**号</w:t>
      </w:r>
      <w:r/>
    </w:p>
    <w:p>
      <w:pPr>
        <w:ind w:firstLine="1918"/>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项目名称 ：</w:t>
      </w:r>
      <w:r>
        <w:rPr>
          <w:rFonts w:hint="eastAsia" w:ascii="方正仿宋_GB2312" w:hAnsi="方正仿宋_GB2312" w:eastAsia="方正仿宋_GB2312" w:cs="方正仿宋_GB2312"/>
          <w:b/>
          <w:sz w:val="28"/>
          <w:szCs w:val="28"/>
          <w:u w:val="single"/>
        </w:rPr>
        <w:t xml:space="preserve">                    </w:t>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u w:val="single"/>
        </w:rPr>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采购人：</w:t>
      </w:r>
      <w:r>
        <w:rPr>
          <w:rFonts w:hint="eastAsia" w:ascii="方正仿宋_GB2312" w:hAnsi="方正仿宋_GB2312" w:eastAsia="方正仿宋_GB2312" w:cs="方正仿宋_GB2312"/>
          <w:b/>
          <w:sz w:val="28"/>
          <w:szCs w:val="28"/>
          <w:u w:val="single"/>
        </w:rPr>
        <w:t xml:space="preserve">                       </w:t>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u w:val="single"/>
        </w:rPr>
      </w:r>
      <w:r/>
    </w:p>
    <w:p>
      <w:pPr>
        <w:ind w:firstLine="1916"/>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供应商：</w:t>
      </w:r>
      <w:r>
        <w:rPr>
          <w:rFonts w:hint="eastAsia" w:ascii="方正仿宋_GB2312" w:hAnsi="方正仿宋_GB2312" w:eastAsia="方正仿宋_GB2312" w:cs="方正仿宋_GB2312"/>
          <w:b/>
          <w:sz w:val="28"/>
          <w:szCs w:val="28"/>
          <w:u w:val="single"/>
        </w:rPr>
        <w:t xml:space="preserve">                      </w:t>
      </w:r>
      <w:r/>
    </w:p>
    <w:p>
      <w:pPr>
        <w:ind w:firstLine="1916"/>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firstLine="1916"/>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签订日期 ：</w:t>
      </w:r>
      <w:r>
        <w:rPr>
          <w:rFonts w:hint="eastAsia" w:ascii="方正仿宋_GB2312" w:hAnsi="方正仿宋_GB2312" w:eastAsia="方正仿宋_GB2312" w:cs="方正仿宋_GB2312"/>
          <w:b/>
          <w:sz w:val="28"/>
          <w:szCs w:val="28"/>
          <w:u w:val="single"/>
        </w:rPr>
        <w:t xml:space="preserve">                    </w:t>
      </w:r>
      <w:r/>
    </w:p>
    <w:p>
      <w:pPr>
        <w:ind w:firstLine="44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ind w:firstLine="420"/>
        <w:jc w:val="center"/>
        <w:keepNext/>
        <w:spacing w:line="360" w:lineRule="auto"/>
        <w:rPr>
          <w:rFonts w:hint="eastAsia" w:ascii="方正仿宋_GB2312" w:hAnsi="方正仿宋_GB2312" w:eastAsia="方正仿宋_GB2312" w:cs="方正仿宋_GB2312"/>
          <w:szCs w:val="21"/>
        </w:rPr>
        <w:outlineLvl w:val="0"/>
      </w:pPr>
      <w:r>
        <w:rPr>
          <w:rFonts w:hint="eastAsia" w:ascii="方正仿宋_GB2312" w:hAnsi="方正仿宋_GB2312" w:eastAsia="方正仿宋_GB2312" w:cs="方正仿宋_GB2312"/>
          <w:szCs w:val="21"/>
        </w:rPr>
        <w:t xml:space="preserve">南京市政府采购合同</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项目名称：                            合同编号：〔**科〕合同〔**〕**号</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甲方（买方）： </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法定代表人：</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rPr>
        <w:t xml:space="preserve">地址：</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乙方（卖方）：</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统一社会信用代码：</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法定代表人：</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地址： </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乙方户名：</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开户银行：</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银行账户：</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2"/>
        <w:spacing w:line="360" w:lineRule="auto"/>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    </w:t>
      </w:r>
      <w:r>
        <w:rPr>
          <w:rFonts w:hint="eastAsia" w:ascii="方正仿宋_GB2312" w:hAnsi="方正仿宋_GB2312" w:eastAsia="方正仿宋_GB2312" w:cs="方正仿宋_GB2312"/>
          <w:color w:val="000000"/>
          <w:szCs w:val="21"/>
        </w:rPr>
        <w:t xml:space="preserve">甲、乙双方根据</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项目公开招标的结果，依据《中华人民共和国政府采购法》《中华人民共和国民法典》等法律法规的规定，依据自愿、平等、公平、诚实信用原则签署本合同。本项目招标文件、供应商响应文件/报价文件及服务承诺、中标通知书、履约保函等均为本合同不可分割的组成部分，与本合同具有同等法律效力。</w:t>
      </w:r>
      <w:r/>
    </w:p>
    <w:p>
      <w:pPr>
        <w:ind w:firstLine="422"/>
        <w:spacing w:line="360" w:lineRule="auto"/>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一、合同标的</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 项目名称：</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1.2 服务内容或要求：</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 履行时间（期限）：</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1.4 履行地点：</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1.5 履行方式：</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1.6 交付的项目成果：</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二、合同金额</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rPr>
        <w:t xml:space="preserve">2.1 本合同金额为（大写）：_______元</w:t>
      </w:r>
      <w:r>
        <w:rPr>
          <w:rFonts w:hint="eastAsia" w:ascii="方正仿宋_GB2312" w:hAnsi="方正仿宋_GB2312" w:eastAsia="方正仿宋_GB2312" w:cs="方正仿宋_GB2312"/>
          <w:color w:val="000000"/>
          <w:szCs w:val="21"/>
          <w:highlight w:val="none"/>
        </w:rPr>
        <w:t xml:space="preserve">（___元）人民币（含税）。</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三、技术资料及保密条款</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3.1 乙方应按招标文件规定的时间、方式、要求向甲方提供本项目服务内容的全部有关技术资料。</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3.2 未经甲方事先书面同意，乙方不得将由甲方提供的有关合同或任何合同条文、规格、计划、图纸、样品或资料、服务内容或信息等提供给与履行本合同无关的任何其他人。即使向履行本合同有关的人员提供，也应注意保密并限于履行合同的必要范围。</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3.3 本合同项下与合同及其履行相关的全部信息、资料、技术等，除法律法规有明确规定需要披露或者根据公开招标等程序依法需要披露外，乙方应严格履行保密义务。未经甲方事先书面同意，乙方不得向第三方提供、透露、泄露、披露，否则应承担违约责任。</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3.4 乙方在履行本合同过程中知悉的与甲方相关的国家秘密、商业秘密、个人隐私等信息、资料，应严格履行保密义务，不得向任何第三方非法透露、泄露、披露，否则应承担全部法律责任。</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3.5 本合同项下约定的3.3及3.4条保密义务不因本合同未生效、无效、被撤销、履行完毕或者发生诉讼、仲裁而终止或无效；合同解除或终止的，除非有法律法规明确规定，否则有关保密义务仍应遵守。</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四、知识产权</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4.1 乙方应保证甲方在使用、接受本合同项下的全部服务、成果或其任何一部分时，不受第三方提出侵犯其专利权、版权、商标权和工业设计权等知识产权的起诉或投诉。一旦出现侵权，由乙方负全部责任。</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五、产权担保</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5.1 乙方保证在本合同项下向甲方所交付的全部服务（含技术）及其成果的所有权完全属于乙方，且无任何抵押、查封等产权瑕疵或权利限制。</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六、合同转包或分包</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6.1 乙方不得将合同标的转包给他人履行。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6.2 乙方不得将合同标的分包给他人履行。</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6.3 乙方如有转包或未经甲方同意的分包行为，甲方有权终止合同。</w:t>
      </w:r>
      <w:r/>
    </w:p>
    <w:p>
      <w:pPr>
        <w:ind w:firstLine="420"/>
        <w:spacing w:line="360" w:lineRule="auto"/>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七、合同款项支付</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7.1 合同款项的支付方式及进度安排：</w:t>
      </w:r>
      <w:r/>
    </w:p>
    <w:p>
      <w:pPr>
        <w:ind w:firstLine="420"/>
        <w:spacing w:line="360" w:lineRule="auto"/>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八、税费</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8.1 本合同执行中相关的一切税费均由乙方负担。</w:t>
      </w:r>
      <w:r/>
    </w:p>
    <w:p>
      <w:pPr>
        <w:ind w:firstLine="420"/>
        <w:spacing w:line="360" w:lineRule="auto"/>
        <w:rPr>
          <w:rFonts w:hint="default" w:ascii="方正仿宋_GB2312" w:hAnsi="方正仿宋_GB2312" w:eastAsia="方正仿宋_GB2312" w:cs="方正仿宋_GB2312"/>
          <w:b w:val="0"/>
          <w:bCs/>
          <w:color w:val="000000"/>
          <w:szCs w:val="21"/>
          <w:highlight w:val="none"/>
          <w:lang w:val="en-US" w:eastAsia="zh-CN"/>
        </w:rPr>
      </w:pPr>
      <w:r>
        <w:rPr>
          <w:rFonts w:hint="eastAsia" w:ascii="方正仿宋_GB2312" w:hAnsi="方正仿宋_GB2312" w:eastAsia="方正仿宋_GB2312" w:cs="方正仿宋_GB2312"/>
          <w:b w:val="0"/>
          <w:bCs/>
          <w:color w:val="000000"/>
          <w:szCs w:val="21"/>
          <w:highlight w:val="none"/>
        </w:rPr>
        <w:t xml:space="preserve">九、项目考核</w:t>
      </w:r>
      <w:r>
        <w:rPr>
          <w:rFonts w:hint="eastAsia" w:ascii="方正仿宋_GB2312" w:hAnsi="方正仿宋_GB2312" w:eastAsia="方正仿宋_GB2312" w:cs="方正仿宋_GB2312"/>
          <w:b w:val="0"/>
          <w:bCs/>
          <w:color w:val="000000"/>
          <w:szCs w:val="21"/>
          <w:highlight w:val="none"/>
          <w:lang w:eastAsia="zh-CN"/>
        </w:rPr>
        <w:t xml:space="preserve">：</w:t>
      </w:r>
      <w:r>
        <w:rPr>
          <w:rFonts w:hint="eastAsia" w:ascii="方正仿宋_GB2312" w:hAnsi="方正仿宋_GB2312" w:eastAsia="方正仿宋_GB2312" w:cs="方正仿宋_GB2312"/>
          <w:b w:val="0"/>
          <w:bCs/>
          <w:color w:val="000000"/>
          <w:szCs w:val="21"/>
          <w:highlight w:val="none"/>
          <w:lang w:val="en-US" w:eastAsia="zh-CN"/>
        </w:rPr>
        <w:t xml:space="preserve">无</w:t>
      </w:r>
      <w:r>
        <w:rPr>
          <w:rFonts w:hint="eastAsia" w:ascii="方正仿宋_GB2312" w:hAnsi="方正仿宋_GB2312" w:eastAsia="方正仿宋_GB2312" w:cs="方正仿宋_GB2312"/>
          <w:color w:val="000000"/>
          <w:szCs w:val="21"/>
          <w:highlight w:val="none"/>
        </w:rPr>
        <w:t xml:space="preserve">。</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十、违约责任</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10.1 乙方逾期提供服务的，应按逾期提供服务合同总额每日</w:t>
      </w:r>
      <w:r>
        <w:rPr>
          <w:rFonts w:hint="eastAsia" w:ascii="方正仿宋_GB2312" w:hAnsi="方正仿宋_GB2312" w:eastAsia="方正仿宋_GB2312" w:cs="方正仿宋_GB2312"/>
          <w:color w:val="000000"/>
          <w:szCs w:val="21"/>
          <w:u w:val="single"/>
        </w:rPr>
        <w:t xml:space="preserve">1‰向</w:t>
      </w:r>
      <w:r>
        <w:rPr>
          <w:rFonts w:hint="eastAsia" w:ascii="方正仿宋_GB2312" w:hAnsi="方正仿宋_GB2312" w:eastAsia="方正仿宋_GB2312" w:cs="方正仿宋_GB2312"/>
          <w:color w:val="000000"/>
          <w:szCs w:val="21"/>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方正仿宋_GB2312" w:hAnsi="方正仿宋_GB2312" w:eastAsia="方正仿宋_GB2312" w:cs="方正仿宋_GB2312"/>
          <w:color w:val="000000"/>
          <w:szCs w:val="21"/>
          <w:u w:val="single"/>
        </w:rPr>
        <w:t xml:space="preserve">10</w:t>
      </w:r>
      <w:r>
        <w:rPr>
          <w:rFonts w:hint="eastAsia" w:ascii="方正仿宋_GB2312" w:hAnsi="方正仿宋_GB2312" w:eastAsia="方正仿宋_GB2312" w:cs="方正仿宋_GB2312"/>
          <w:color w:val="000000"/>
          <w:szCs w:val="21"/>
        </w:rPr>
        <w:t xml:space="preserve">%的违约金。</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10.2 乙方所提供服务的标准不符合合同规定及招标文件规定标准的，甲方有权拒绝接受服务，并可单方面解除合同。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10.3 乙方签署本合同系根据招标采购结果，乙方履约除应遵守本合同的约定之外，还应当遵守招标文件、乙方投标或响应文件或磋商文件及其附件（如有）的约定。否则，乙方违反其投标或响应文件及其附件（如有）的约定，构成违约，亦应根据本合同承担违约责任。</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10.4 甲乙双方任何一方违反本合同约定的，除应承担上述违约责任外，违约方还应当赔偿因此给守约方造成的一切经济损失，包括但不限于守约方的实际损失、预期可得利益损失以及为实现权益而产生的费用（包括但不限于利息、本金、诉讼费、保全费、保全担保费、律师费、公证费、鉴定费、差旅费）。</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十一、不可抗力事件处理</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11.1 在合同有效期内，任何一方因不可抗力事件导致不能履行合同，则合同履行期可延长，其延长期与不可抗力影响期相同。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11.2 不可抗力事件发生后，应立即通知对方，并在不可抗力发生后15日内寄送有关权威机构出具的证明。</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11.3 不可抗力事件延续120天以上，双方应通过友好协商，确定是否继续履行合同。</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十二、解决争议的方法</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rPr>
        <w:t xml:space="preserve">12.1 甲乙双方因合同签订、履行而发生的一切争议，应通过友好协商解决。如协商不成，向甲方住所地有管辖权的人民法院</w:t>
      </w:r>
      <w:r>
        <w:rPr>
          <w:rFonts w:hint="eastAsia" w:ascii="方正仿宋_GB2312" w:hAnsi="方正仿宋_GB2312" w:eastAsia="方正仿宋_GB2312" w:cs="方正仿宋_GB2312"/>
          <w:color w:val="000000"/>
          <w:szCs w:val="21"/>
          <w:highlight w:val="none"/>
        </w:rPr>
        <w:t xml:space="preserve">提起诉讼。</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十三、合同生效及其它</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13.1 合同经双方法定代表人或授权委托代表人签字并加盖单位公章后生效。</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13.2 本合同未尽事宜，遵照《中华人民共和国政府采购法》《中华人民共和国民法典》有关条文执行。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13.3 本合同正本一式</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份，具有同等法律效力，甲方执</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份、乙方执</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份。</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甲方（盖章）：                        乙方（盖章）：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法定代表人或授权代表（签章）：        法定代表人或授权代表（签章）：</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联系电话：                           联系电话：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签订日期：   年    月   日           签订日期：   年    月   日</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pStyle w:val="773"/>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lang w:val="zh-CN"/>
        </w:rPr>
      </w:r>
      <w:r/>
    </w:p>
    <w:p>
      <w:pPr>
        <w:jc w:val="left"/>
        <w:widowControl/>
        <w:rPr>
          <w:rFonts w:hint="eastAsia" w:ascii="方正仿宋_GB2312" w:hAnsi="方正仿宋_GB2312" w:eastAsia="方正仿宋_GB2312" w:cs="方正仿宋_GB2312"/>
          <w:b/>
          <w:bCs/>
          <w:szCs w:val="21"/>
          <w:lang w:val="zh-CN"/>
        </w:rPr>
      </w:pPr>
      <w:r>
        <w:rPr>
          <w:rFonts w:hint="eastAsia" w:ascii="方正仿宋_GB2312" w:hAnsi="方正仿宋_GB2312" w:eastAsia="方正仿宋_GB2312" w:cs="方正仿宋_GB2312"/>
          <w:b/>
          <w:bCs/>
          <w:szCs w:val="21"/>
          <w:lang w:val="zh-CN"/>
        </w:rPr>
      </w:r>
      <w:bookmarkEnd w:id="126"/>
      <w:r/>
    </w:p>
    <w:p>
      <w:pPr>
        <w:rPr>
          <w:rFonts w:hint="eastAsia" w:ascii="方正仿宋_GB2312" w:hAnsi="方正仿宋_GB2312" w:eastAsia="方正仿宋_GB2312" w:cs="方正仿宋_GB2312"/>
        </w:rPr>
      </w:pPr>
      <w:r/>
      <w:bookmarkStart w:id="128" w:name="_Toc176529672"/>
      <w:r>
        <w:rPr>
          <w:rFonts w:hint="eastAsia" w:ascii="方正仿宋_GB2312" w:hAnsi="方正仿宋_GB2312" w:eastAsia="方正仿宋_GB2312" w:cs="方正仿宋_GB2312"/>
        </w:rPr>
        <w:br w:type="page" w:clear="all"/>
      </w:r>
      <w:r/>
    </w:p>
    <w:p>
      <w:pPr>
        <w:pStyle w:val="720"/>
        <w:numPr>
          <w:ilvl w:val="0"/>
          <w:numId w:val="0"/>
        </w:numPr>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第六章 投标文件格式</w:t>
      </w:r>
      <w:bookmarkEnd w:id="127"/>
      <w:r/>
      <w:bookmarkEnd w:id="128"/>
      <w:r/>
      <w:r/>
    </w:p>
    <w:p>
      <w:pPr>
        <w:jc w:val="left"/>
        <w:spacing w:line="240" w:lineRule="atLeast"/>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r>
      <w:r/>
    </w:p>
    <w:p>
      <w:pPr>
        <w:spacing w:line="440" w:lineRule="exact"/>
        <w:rPr>
          <w:rFonts w:hint="eastAsia" w:ascii="方正仿宋_GB2312" w:hAnsi="方正仿宋_GB2312" w:eastAsia="方正仿宋_GB2312" w:cs="方正仿宋_GB2312"/>
          <w:sz w:val="20"/>
          <w:szCs w:val="20"/>
        </w:rPr>
      </w:pPr>
      <w:r>
        <w:rPr>
          <w:rFonts w:hint="eastAsia" w:ascii="方正仿宋_GB2312" w:hAnsi="方正仿宋_GB2312" w:eastAsia="方正仿宋_GB2312" w:cs="方正仿宋_GB2312"/>
          <w:sz w:val="20"/>
          <w:szCs w:val="20"/>
        </w:rPr>
      </w:r>
      <w:r/>
    </w:p>
    <w:p>
      <w:pPr>
        <w:spacing w:line="440" w:lineRule="exact"/>
        <w:rPr>
          <w:rFonts w:hint="eastAsia" w:ascii="方正仿宋_GB2312" w:hAnsi="方正仿宋_GB2312" w:eastAsia="方正仿宋_GB2312" w:cs="方正仿宋_GB2312"/>
          <w:sz w:val="20"/>
          <w:szCs w:val="20"/>
        </w:rPr>
      </w:pPr>
      <w:r>
        <w:rPr>
          <w:rFonts w:hint="eastAsia" w:ascii="方正仿宋_GB2312" w:hAnsi="方正仿宋_GB2312" w:eastAsia="方正仿宋_GB2312" w:cs="方正仿宋_GB2312"/>
          <w:sz w:val="20"/>
          <w:szCs w:val="20"/>
        </w:rPr>
      </w:r>
      <w:r/>
    </w:p>
    <w:p>
      <w:pPr>
        <w:spacing w:line="440" w:lineRule="exact"/>
        <w:rPr>
          <w:rFonts w:hint="eastAsia" w:ascii="方正仿宋_GB2312" w:hAnsi="方正仿宋_GB2312" w:eastAsia="方正仿宋_GB2312" w:cs="方正仿宋_GB2312"/>
          <w:sz w:val="20"/>
          <w:szCs w:val="20"/>
        </w:rPr>
      </w:pPr>
      <w:r>
        <w:rPr>
          <w:rFonts w:hint="eastAsia" w:ascii="方正仿宋_GB2312" w:hAnsi="方正仿宋_GB2312" w:eastAsia="方正仿宋_GB2312" w:cs="方正仿宋_GB2312"/>
          <w:sz w:val="20"/>
          <w:szCs w:val="20"/>
        </w:rPr>
      </w:r>
      <w:r/>
    </w:p>
    <w:p>
      <w:pPr>
        <w:spacing w:line="440" w:lineRule="exact"/>
        <w:rPr>
          <w:rFonts w:hint="eastAsia" w:ascii="方正仿宋_GB2312" w:hAnsi="方正仿宋_GB2312" w:eastAsia="方正仿宋_GB2312" w:cs="方正仿宋_GB2312"/>
          <w:sz w:val="20"/>
          <w:szCs w:val="20"/>
        </w:rPr>
      </w:pPr>
      <w:r>
        <w:rPr>
          <w:rFonts w:hint="eastAsia" w:ascii="方正仿宋_GB2312" w:hAnsi="方正仿宋_GB2312" w:eastAsia="方正仿宋_GB2312" w:cs="方正仿宋_GB2312"/>
          <w:sz w:val="20"/>
          <w:szCs w:val="20"/>
        </w:rPr>
      </w:r>
      <w:r/>
    </w:p>
    <w:p>
      <w:pPr>
        <w:spacing w:line="44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jc w:val="center"/>
        <w:rPr>
          <w:rFonts w:hint="eastAsia" w:ascii="方正仿宋_GB2312" w:hAnsi="方正仿宋_GB2312" w:eastAsia="方正仿宋_GB2312" w:cs="方正仿宋_GB2312"/>
          <w:sz w:val="52"/>
          <w:szCs w:val="52"/>
        </w:rPr>
      </w:pPr>
      <w:r>
        <w:rPr>
          <w:rFonts w:hint="eastAsia" w:ascii="方正仿宋_GB2312" w:hAnsi="方正仿宋_GB2312" w:eastAsia="方正仿宋_GB2312" w:cs="方正仿宋_GB2312"/>
          <w:sz w:val="52"/>
          <w:szCs w:val="52"/>
        </w:rPr>
        <w:t xml:space="preserve">投标文件</w:t>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ind w:firstLine="1084"/>
        <w:rPr>
          <w:rFonts w:hint="eastAsia" w:ascii="方正仿宋_GB2312" w:hAnsi="方正仿宋_GB2312" w:eastAsia="方正仿宋_GB2312" w:cs="方正仿宋_GB2312"/>
          <w:b/>
          <w:sz w:val="36"/>
          <w:szCs w:val="21"/>
        </w:rPr>
      </w:pPr>
      <w:r>
        <w:rPr>
          <w:rFonts w:hint="eastAsia" w:ascii="方正仿宋_GB2312" w:hAnsi="方正仿宋_GB2312" w:eastAsia="方正仿宋_GB2312" w:cs="方正仿宋_GB2312"/>
          <w:b/>
          <w:sz w:val="36"/>
          <w:szCs w:val="21"/>
        </w:rPr>
        <w:t xml:space="preserve">项 目 名 称：</w:t>
      </w:r>
      <w:r>
        <w:rPr>
          <w:rFonts w:hint="eastAsia" w:ascii="方正仿宋_GB2312" w:hAnsi="方正仿宋_GB2312" w:eastAsia="方正仿宋_GB2312" w:cs="方正仿宋_GB2312"/>
          <w:b/>
          <w:sz w:val="36"/>
          <w:szCs w:val="21"/>
          <w:u w:val="single"/>
        </w:rPr>
        <w:t xml:space="preserve">                   </w:t>
      </w:r>
      <w:r/>
    </w:p>
    <w:p>
      <w:pPr>
        <w:ind w:firstLine="1084"/>
        <w:rPr>
          <w:rFonts w:hint="eastAsia" w:ascii="方正仿宋_GB2312" w:hAnsi="方正仿宋_GB2312" w:eastAsia="方正仿宋_GB2312" w:cs="方正仿宋_GB2312"/>
          <w:b/>
          <w:sz w:val="36"/>
          <w:szCs w:val="21"/>
          <w:u w:val="single"/>
        </w:rPr>
      </w:pPr>
      <w:r>
        <w:rPr>
          <w:rFonts w:hint="eastAsia" w:ascii="方正仿宋_GB2312" w:hAnsi="方正仿宋_GB2312" w:eastAsia="方正仿宋_GB2312" w:cs="方正仿宋_GB2312"/>
          <w:b/>
          <w:sz w:val="36"/>
          <w:szCs w:val="21"/>
        </w:rPr>
        <w:t xml:space="preserve">项 目 编 号：</w:t>
      </w:r>
      <w:r>
        <w:rPr>
          <w:rFonts w:hint="eastAsia" w:ascii="方正仿宋_GB2312" w:hAnsi="方正仿宋_GB2312" w:eastAsia="方正仿宋_GB2312" w:cs="方正仿宋_GB2312"/>
          <w:b/>
          <w:sz w:val="36"/>
          <w:szCs w:val="21"/>
          <w:u w:val="single"/>
        </w:rPr>
        <w:t xml:space="preserve">                   </w:t>
      </w:r>
      <w:r/>
    </w:p>
    <w:p>
      <w:pPr>
        <w:rPr>
          <w:rFonts w:hint="eastAsia" w:ascii="方正仿宋_GB2312" w:hAnsi="方正仿宋_GB2312" w:eastAsia="方正仿宋_GB2312" w:cs="方正仿宋_GB2312"/>
          <w:b/>
          <w:sz w:val="36"/>
          <w:szCs w:val="21"/>
          <w:u w:val="single"/>
        </w:rPr>
      </w:pPr>
      <w:r>
        <w:rPr>
          <w:rFonts w:hint="eastAsia" w:ascii="方正仿宋_GB2312" w:hAnsi="方正仿宋_GB2312" w:eastAsia="方正仿宋_GB2312" w:cs="方正仿宋_GB2312"/>
          <w:b/>
          <w:sz w:val="36"/>
          <w:szCs w:val="21"/>
        </w:rPr>
        <w:t xml:space="preserve">      投标人名称 ：</w:t>
      </w:r>
      <w:r>
        <w:rPr>
          <w:rFonts w:hint="eastAsia" w:ascii="方正仿宋_GB2312" w:hAnsi="方正仿宋_GB2312" w:eastAsia="方正仿宋_GB2312" w:cs="方正仿宋_GB2312"/>
          <w:b/>
          <w:sz w:val="36"/>
          <w:szCs w:val="21"/>
          <w:u w:val="single"/>
        </w:rPr>
        <w:t xml:space="preserve">（加盖电子公章）   </w:t>
      </w:r>
      <w:r/>
    </w:p>
    <w:p>
      <w:pPr>
        <w:rPr>
          <w:rFonts w:hint="eastAsia" w:ascii="方正仿宋_GB2312" w:hAnsi="方正仿宋_GB2312" w:eastAsia="方正仿宋_GB2312" w:cs="方正仿宋_GB2312"/>
          <w:b/>
          <w:sz w:val="36"/>
          <w:szCs w:val="21"/>
          <w:u w:val="single"/>
        </w:rPr>
      </w:pPr>
      <w:r>
        <w:rPr>
          <w:rFonts w:hint="eastAsia" w:ascii="方正仿宋_GB2312" w:hAnsi="方正仿宋_GB2312" w:eastAsia="方正仿宋_GB2312" w:cs="方正仿宋_GB2312"/>
          <w:b/>
          <w:sz w:val="36"/>
          <w:szCs w:val="21"/>
        </w:rPr>
        <w:t xml:space="preserve">      日      期 ：</w:t>
      </w:r>
      <w:r>
        <w:rPr>
          <w:rFonts w:hint="eastAsia" w:ascii="方正仿宋_GB2312" w:hAnsi="方正仿宋_GB2312" w:eastAsia="方正仿宋_GB2312" w:cs="方正仿宋_GB2312"/>
          <w:b/>
          <w:sz w:val="36"/>
          <w:szCs w:val="21"/>
          <w:u w:val="single"/>
        </w:rPr>
        <w:t xml:space="preserve">                   </w:t>
      </w:r>
      <w:r/>
    </w:p>
    <w:p>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br/>
      </w:r>
      <w:r/>
    </w:p>
    <w:p>
      <w:pPr>
        <w:pStyle w:val="721"/>
        <w:numPr>
          <w:ilvl w:val="1"/>
          <w:numId w:val="0"/>
        </w:numPr>
        <w:rPr>
          <w:rFonts w:hint="eastAsia" w:ascii="方正仿宋_GB2312" w:hAnsi="方正仿宋_GB2312" w:eastAsia="方正仿宋_GB2312" w:cs="方正仿宋_GB2312"/>
          <w:b w:val="0"/>
          <w:bCs w:val="0"/>
        </w:rPr>
      </w:pPr>
      <w:r/>
      <w:bookmarkStart w:id="129" w:name="_Toc66375424"/>
      <w:r/>
      <w:bookmarkStart w:id="130" w:name="_Toc43917771"/>
      <w:r>
        <w:rPr>
          <w:rFonts w:hint="eastAsia" w:ascii="方正仿宋_GB2312" w:hAnsi="方正仿宋_GB2312" w:eastAsia="方正仿宋_GB2312" w:cs="方正仿宋_GB2312"/>
          <w:b w:val="0"/>
          <w:bCs w:val="0"/>
        </w:rPr>
        <w:t xml:space="preserve">附件一：投标函</w:t>
      </w:r>
      <w:bookmarkEnd w:id="129"/>
      <w:r/>
      <w:bookmarkEnd w:id="130"/>
      <w:r/>
      <w:r/>
    </w:p>
    <w:p>
      <w:pPr>
        <w:ind w:firstLine="720"/>
        <w:jc w:val="center"/>
        <w:spacing w:line="360" w:lineRule="auto"/>
        <w:shd w:val="clear" w:color="auto" w:fill="ffffff"/>
        <w:widowControl/>
        <w:rPr>
          <w:rFonts w:hint="eastAsia" w:ascii="方正仿宋_GB2312" w:hAnsi="方正仿宋_GB2312" w:eastAsia="方正仿宋_GB2312" w:cs="方正仿宋_GB2312"/>
          <w:bCs/>
          <w:sz w:val="36"/>
          <w:szCs w:val="36"/>
        </w:rPr>
      </w:pPr>
      <w:r>
        <w:rPr>
          <w:rFonts w:hint="eastAsia" w:ascii="方正仿宋_GB2312" w:hAnsi="方正仿宋_GB2312" w:eastAsia="方正仿宋_GB2312" w:cs="方正仿宋_GB2312"/>
          <w:bCs/>
          <w:sz w:val="36"/>
          <w:szCs w:val="36"/>
        </w:rPr>
        <w:t xml:space="preserve">投标函</w:t>
      </w:r>
      <w:r/>
    </w:p>
    <w:p>
      <w:pPr>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致：南京市生态环境监测监控中心</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根据贵方</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bCs/>
          <w:szCs w:val="21"/>
          <w:u w:val="single"/>
        </w:rPr>
        <w:t xml:space="preserve">（</w:t>
      </w:r>
      <w:r>
        <w:rPr>
          <w:rFonts w:hint="eastAsia" w:ascii="方正仿宋_GB2312" w:hAnsi="方正仿宋_GB2312" w:eastAsia="方正仿宋_GB2312" w:cs="方正仿宋_GB2312"/>
          <w:szCs w:val="21"/>
        </w:rPr>
        <w:t xml:space="preserve">项目名称） </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（项目编号）投标邀请，正式授权</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姓名和职务）代表投标人</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（投标人名称），提交投标文件并宣布同意如下内容：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据此函，我公司兹声明和承诺如下：</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1.按招标文件规定的各项要求，向采购人提供所需货物（包含与货物相关的服务）。</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2.我们已详细审核全部招标文件及其有效补充文件。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5.一旦我方中标，我方将根据招标文件的规定，严格履行合同的责任和义务，并保证在招标文件规定的时间内完成项目，交付采购人验收、使用。</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7.与本次投标有关的正式联系方式为：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地   址：</w:t>
      </w:r>
      <w:r>
        <w:rPr>
          <w:rFonts w:hint="eastAsia" w:ascii="方正仿宋_GB2312" w:hAnsi="方正仿宋_GB2312" w:eastAsia="方正仿宋_GB2312" w:cs="方正仿宋_GB2312"/>
          <w:szCs w:val="21"/>
          <w:u w:val="single"/>
        </w:rPr>
        <w:t xml:space="preserve">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电   话：</w:t>
      </w:r>
      <w:r>
        <w:rPr>
          <w:rFonts w:hint="eastAsia" w:ascii="方正仿宋_GB2312" w:hAnsi="方正仿宋_GB2312" w:eastAsia="方正仿宋_GB2312" w:cs="方正仿宋_GB2312"/>
          <w:szCs w:val="21"/>
          <w:u w:val="single"/>
        </w:rPr>
        <w:t xml:space="preserve">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传   真：</w:t>
      </w:r>
      <w:r>
        <w:rPr>
          <w:rFonts w:hint="eastAsia" w:ascii="方正仿宋_GB2312" w:hAnsi="方正仿宋_GB2312" w:eastAsia="方正仿宋_GB2312" w:cs="方正仿宋_GB2312"/>
          <w:szCs w:val="21"/>
          <w:u w:val="single"/>
        </w:rPr>
        <w:t xml:space="preserve">                       </w:t>
      </w:r>
      <w:r/>
    </w:p>
    <w:p>
      <w:pPr>
        <w:ind w:firstLine="420"/>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rPr>
        <w:t xml:space="preserve">开户银行：</w:t>
      </w:r>
      <w:r>
        <w:rPr>
          <w:rFonts w:hint="eastAsia" w:ascii="方正仿宋_GB2312" w:hAnsi="方正仿宋_GB2312" w:eastAsia="方正仿宋_GB2312" w:cs="方正仿宋_GB2312"/>
          <w:szCs w:val="21"/>
          <w:u w:val="single"/>
        </w:rPr>
        <w:t xml:space="preserve">                                               </w:t>
      </w:r>
      <w:r/>
    </w:p>
    <w:p>
      <w:pPr>
        <w:ind w:firstLine="420"/>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rPr>
        <w:t xml:space="preserve">银行账号：</w:t>
      </w:r>
      <w:r>
        <w:rPr>
          <w:rFonts w:hint="eastAsia" w:ascii="方正仿宋_GB2312" w:hAnsi="方正仿宋_GB2312" w:eastAsia="方正仿宋_GB2312" w:cs="方正仿宋_GB2312"/>
          <w:szCs w:val="21"/>
          <w:u w:val="single"/>
        </w:rPr>
        <w:t xml:space="preserve">                                               </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szCs w:val="21"/>
        </w:rPr>
        <w:t xml:space="preserve">8.</w:t>
      </w:r>
      <w:r>
        <w:rPr>
          <w:rFonts w:hint="eastAsia" w:ascii="方正仿宋_GB2312" w:hAnsi="方正仿宋_GB2312" w:eastAsia="方正仿宋_GB2312" w:cs="方正仿宋_GB2312"/>
          <w:bCs/>
          <w:szCs w:val="21"/>
        </w:rPr>
        <w:t xml:space="preserve">我方具有独立承担民事责任的能力（法人或其他组织提供营业执照，自然人提供身份证明）。</w:t>
      </w:r>
      <w:r/>
    </w:p>
    <w:p>
      <w:pPr>
        <w:ind w:firstLine="422"/>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422"/>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422"/>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营业执照</w:t>
      </w:r>
      <w:r>
        <w:rPr>
          <w:rFonts w:hint="eastAsia" w:ascii="方正仿宋_GB2312" w:hAnsi="方正仿宋_GB2312" w:eastAsia="方正仿宋_GB2312" w:cs="方正仿宋_GB2312"/>
          <w:b/>
          <w:szCs w:val="21"/>
        </w:rPr>
        <w:t xml:space="preserve">扫描件：</w:t>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投标人名称：</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w:t>
      </w:r>
      <w:bookmarkStart w:id="131" w:name="_Hlk176254267"/>
      <w:r>
        <w:rPr>
          <w:rFonts w:hint="eastAsia" w:ascii="方正仿宋_GB2312" w:hAnsi="方正仿宋_GB2312" w:eastAsia="方正仿宋_GB2312" w:cs="方正仿宋_GB2312"/>
          <w:szCs w:val="21"/>
        </w:rPr>
        <w:t xml:space="preserve">加盖电子公章</w:t>
      </w:r>
      <w:bookmarkEnd w:id="131"/>
      <w:r>
        <w:rPr>
          <w:rFonts w:hint="eastAsia" w:ascii="方正仿宋_GB2312" w:hAnsi="方正仿宋_GB2312" w:eastAsia="方正仿宋_GB2312" w:cs="方正仿宋_GB2312"/>
          <w:szCs w:val="21"/>
        </w:rPr>
        <w:t xml:space="preserve">）</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    期：</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年</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月</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日</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pStyle w:val="721"/>
        <w:numPr>
          <w:ilvl w:val="1"/>
          <w:numId w:val="0"/>
        </w:numPr>
        <w:rPr>
          <w:rFonts w:hint="eastAsia" w:ascii="方正仿宋_GB2312" w:hAnsi="方正仿宋_GB2312" w:eastAsia="方正仿宋_GB2312" w:cs="方正仿宋_GB2312"/>
          <w:b w:val="0"/>
          <w:bCs w:val="0"/>
        </w:rPr>
      </w:pPr>
      <w:r/>
      <w:bookmarkStart w:id="132" w:name="_Toc43917772"/>
      <w:r/>
      <w:bookmarkStart w:id="133" w:name="_Toc66375425"/>
      <w:r>
        <w:rPr>
          <w:rFonts w:hint="eastAsia" w:ascii="方正仿宋_GB2312" w:hAnsi="方正仿宋_GB2312" w:eastAsia="方正仿宋_GB2312" w:cs="方正仿宋_GB2312"/>
          <w:b w:val="0"/>
          <w:bCs w:val="0"/>
        </w:rPr>
        <w:t xml:space="preserve">附件二：法定代表人授权委托书</w:t>
      </w:r>
      <w:bookmarkEnd w:id="132"/>
      <w:r/>
      <w:bookmarkEnd w:id="133"/>
      <w:r/>
      <w:r/>
    </w:p>
    <w:p>
      <w:pPr>
        <w:ind w:firstLine="720"/>
        <w:jc w:val="center"/>
        <w:spacing w:line="360" w:lineRule="auto"/>
        <w:shd w:val="clear" w:color="auto" w:fill="ffffff"/>
        <w:widowControl/>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r>
      <w:r/>
    </w:p>
    <w:p>
      <w:pPr>
        <w:ind w:firstLine="720"/>
        <w:jc w:val="center"/>
        <w:spacing w:line="360" w:lineRule="auto"/>
        <w:shd w:val="clear" w:color="auto" w:fill="ffffff"/>
        <w:widowControl/>
        <w:rPr>
          <w:rFonts w:hint="eastAsia" w:ascii="方正仿宋_GB2312" w:hAnsi="方正仿宋_GB2312" w:eastAsia="方正仿宋_GB2312" w:cs="方正仿宋_GB2312"/>
          <w:bCs/>
          <w:sz w:val="36"/>
          <w:szCs w:val="36"/>
        </w:rPr>
      </w:pPr>
      <w:r>
        <w:rPr>
          <w:rFonts w:hint="eastAsia" w:ascii="方正仿宋_GB2312" w:hAnsi="方正仿宋_GB2312" w:eastAsia="方正仿宋_GB2312" w:cs="方正仿宋_GB2312"/>
          <w:bCs/>
          <w:sz w:val="36"/>
          <w:szCs w:val="36"/>
        </w:rPr>
        <w:t xml:space="preserve">法定代表人授权委托书</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致：南京市生态环境监测监控中心</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本授权书声明：注册于</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（投标人住址）的</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（投标人名称）法定代表人</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（法定代表人姓名、职务）代表本公司授权</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（投标人代表姓名、职务）为本公司的合法代理人，就贵方组织的</w:t>
      </w:r>
      <w:r>
        <w:rPr>
          <w:rFonts w:hint="eastAsia" w:ascii="方正仿宋_GB2312" w:hAnsi="方正仿宋_GB2312" w:eastAsia="方正仿宋_GB2312" w:cs="方正仿宋_GB2312"/>
          <w:b/>
          <w:bCs/>
          <w:szCs w:val="21"/>
          <w:u w:val="single"/>
        </w:rPr>
        <w:t xml:space="preserve">          </w:t>
      </w: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（项目编号）投标，以本公司名义处理一切与之有关的事务。</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本授权书于    年  月  </w:t>
      </w:r>
      <w:bookmarkStart w:id="134" w:name="_Hlk176528397"/>
      <w:r>
        <w:rPr>
          <w:rFonts w:hint="eastAsia" w:ascii="方正仿宋_GB2312" w:hAnsi="方正仿宋_GB2312" w:eastAsia="方正仿宋_GB2312" w:cs="方正仿宋_GB2312"/>
          <w:szCs w:val="21"/>
        </w:rPr>
        <w:t xml:space="preserve">日加盖电子公章</w:t>
      </w:r>
      <w:bookmarkEnd w:id="134"/>
      <w:r>
        <w:rPr>
          <w:rFonts w:hint="eastAsia" w:ascii="方正仿宋_GB2312" w:hAnsi="方正仿宋_GB2312" w:eastAsia="方正仿宋_GB2312" w:cs="方正仿宋_GB2312"/>
          <w:szCs w:val="21"/>
        </w:rPr>
        <w:t xml:space="preserve">生效，特此声明。</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25"/>
        <w:jc w:val="left"/>
        <w:spacing w:line="360" w:lineRule="auto"/>
        <w:shd w:val="clear" w:color="auto" w:fill="ffffff"/>
        <w:widowControl/>
        <w:rPr>
          <w:rFonts w:hint="eastAsia" w:ascii="方正仿宋_GB2312" w:hAnsi="方正仿宋_GB2312" w:eastAsia="方正仿宋_GB2312" w:cs="方正仿宋_GB2312"/>
          <w:szCs w:val="21"/>
        </w:rPr>
      </w:pPr>
      <w:r/>
      <w:bookmarkStart w:id="135" w:name="_Hlk176254280"/>
      <w:r>
        <w:rPr>
          <w:rFonts w:hint="eastAsia" w:ascii="方正仿宋_GB2312" w:hAnsi="方正仿宋_GB2312" w:eastAsia="方正仿宋_GB2312" w:cs="方正仿宋_GB2312"/>
          <w:szCs w:val="21"/>
        </w:rPr>
        <w:t xml:space="preserve">投标人（</w:t>
      </w:r>
      <w:bookmarkStart w:id="136" w:name="OLE_LINK3"/>
      <w:r>
        <w:rPr>
          <w:rFonts w:hint="eastAsia" w:ascii="方正仿宋_GB2312" w:hAnsi="方正仿宋_GB2312" w:eastAsia="方正仿宋_GB2312" w:cs="方正仿宋_GB2312"/>
          <w:szCs w:val="21"/>
        </w:rPr>
        <w:t xml:space="preserve">加盖电子公章</w:t>
      </w:r>
      <w:bookmarkEnd w:id="136"/>
      <w:r>
        <w:rPr>
          <w:rFonts w:hint="eastAsia" w:ascii="方正仿宋_GB2312" w:hAnsi="方正仿宋_GB2312" w:eastAsia="方正仿宋_GB2312" w:cs="方正仿宋_GB2312"/>
          <w:szCs w:val="21"/>
        </w:rPr>
        <w:t xml:space="preserve">）： </w:t>
      </w:r>
      <w:bookmarkEnd w:id="135"/>
      <w:r>
        <w:rPr>
          <w:rFonts w:hint="eastAsia" w:ascii="方正仿宋_GB2312" w:hAnsi="方正仿宋_GB2312" w:eastAsia="方正仿宋_GB2312" w:cs="方正仿宋_GB2312"/>
          <w:szCs w:val="21"/>
        </w:rPr>
        <w:t xml:space="preserve">                 </w:t>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     期：        年    月    日</w:t>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bookmarkStart w:id="137" w:name="_Hlk45291991"/>
      <w:r>
        <w:rPr>
          <w:rFonts w:hint="eastAsia" w:ascii="方正仿宋_GB2312" w:hAnsi="方正仿宋_GB2312" w:eastAsia="方正仿宋_GB2312" w:cs="方正仿宋_GB2312"/>
          <w:szCs w:val="21"/>
        </w:rPr>
        <w:t xml:space="preserve">法定代表人身份证的复印件：</w:t>
      </w:r>
      <w:bookmarkEnd w:id="137"/>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委托代理人身份证的复印件：</w:t>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pStyle w:val="721"/>
        <w:numPr>
          <w:ilvl w:val="1"/>
          <w:numId w:val="0"/>
        </w:numPr>
        <w:rPr>
          <w:rFonts w:hint="eastAsia" w:ascii="方正仿宋_GB2312" w:hAnsi="方正仿宋_GB2312" w:eastAsia="方正仿宋_GB2312" w:cs="方正仿宋_GB2312"/>
          <w:b w:val="0"/>
          <w:bCs w:val="0"/>
        </w:rPr>
      </w:pPr>
      <w:r/>
      <w:bookmarkStart w:id="138" w:name="_Toc66375435"/>
      <w:r/>
      <w:bookmarkStart w:id="139" w:name="_Toc43917782"/>
      <w:r>
        <w:rPr>
          <w:rFonts w:hint="eastAsia" w:ascii="方正仿宋_GB2312" w:hAnsi="方正仿宋_GB2312" w:eastAsia="方正仿宋_GB2312" w:cs="方正仿宋_GB2312"/>
          <w:b w:val="0"/>
          <w:bCs w:val="0"/>
        </w:rPr>
        <w:t xml:space="preserve">附件三：资格证明文件</w:t>
      </w:r>
      <w:bookmarkEnd w:id="138"/>
      <w:r/>
      <w:bookmarkEnd w:id="139"/>
      <w:r/>
      <w:r/>
    </w:p>
    <w:p>
      <w:pPr>
        <w:ind w:firstLine="420"/>
        <w:spacing w:line="360" w:lineRule="auto"/>
        <w:rPr>
          <w:rFonts w:hint="eastAsia" w:ascii="方正仿宋_GB2312" w:hAnsi="方正仿宋_GB2312" w:eastAsia="方正仿宋_GB2312" w:cs="方正仿宋_GB2312"/>
          <w:bCs/>
          <w:szCs w:val="21"/>
        </w:rPr>
      </w:pPr>
      <w:r/>
      <w:bookmarkStart w:id="140" w:name="_Hlk168584506"/>
      <w:r>
        <w:rPr>
          <w:rFonts w:hint="eastAsia" w:ascii="方正仿宋_GB2312" w:hAnsi="方正仿宋_GB2312" w:eastAsia="方正仿宋_GB2312" w:cs="方正仿宋_GB2312"/>
          <w:bCs/>
          <w:szCs w:val="21"/>
        </w:rPr>
        <w:t xml:space="preserve">1.第一章招标公告中二、申请人的资格要求（二）落实政府采购政策需满足的资格要求相关材料（如有）；</w:t>
      </w:r>
      <w:r/>
    </w:p>
    <w:p>
      <w:pPr>
        <w:ind w:firstLine="420"/>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2.第一章招标公告中二、申请人的资格要求（三）本项目特定资格要求证明文件（如有）；</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rPr>
        <w:t xml:space="preserve">3.《</w:t>
      </w:r>
      <w:r>
        <w:rPr>
          <w:rFonts w:hint="eastAsia" w:ascii="方正仿宋_GB2312" w:hAnsi="方正仿宋_GB2312" w:eastAsia="方正仿宋_GB2312" w:cs="方正仿宋_GB2312"/>
          <w:szCs w:val="21"/>
        </w:rPr>
        <w:t xml:space="preserve">南京市政府采购供应商信用记录表暨信用承诺书</w:t>
      </w:r>
      <w:r>
        <w:rPr>
          <w:rFonts w:hint="eastAsia" w:ascii="方正仿宋_GB2312" w:hAnsi="方正仿宋_GB2312" w:eastAsia="方正仿宋_GB2312" w:cs="方正仿宋_GB2312"/>
          <w:bCs/>
          <w:szCs w:val="21"/>
        </w:rPr>
        <w:t xml:space="preserve">》，需</w:t>
      </w:r>
      <w:r>
        <w:rPr>
          <w:rFonts w:hint="eastAsia" w:ascii="方正仿宋_GB2312" w:hAnsi="方正仿宋_GB2312" w:eastAsia="方正仿宋_GB2312" w:cs="方正仿宋_GB2312"/>
          <w:szCs w:val="21"/>
        </w:rPr>
        <w:t xml:space="preserve">由法人代表签字并加盖单位公章；</w:t>
      </w:r>
      <w:r/>
    </w:p>
    <w:p>
      <w:pPr>
        <w:ind w:firstLine="420"/>
        <w:spacing w:line="360" w:lineRule="auto"/>
        <w:rPr>
          <w:rFonts w:hint="eastAsia" w:ascii="方正仿宋_GB2312" w:hAnsi="方正仿宋_GB2312" w:eastAsia="方正仿宋_GB2312" w:cs="方正仿宋_GB2312"/>
          <w:bCs/>
          <w:szCs w:val="21"/>
        </w:rPr>
      </w:pPr>
      <w:r/>
      <w:bookmarkStart w:id="141" w:name="_Hlk81574079"/>
      <w:r>
        <w:rPr>
          <w:rFonts w:hint="eastAsia" w:ascii="方正仿宋_GB2312" w:hAnsi="方正仿宋_GB2312" w:eastAsia="方正仿宋_GB2312" w:cs="方正仿宋_GB2312"/>
          <w:bCs/>
          <w:szCs w:val="21"/>
        </w:rPr>
        <w:t xml:space="preserve">4. 第一章招标公告中二、申请人的资格要求（一）《中华人民共和国政府采购法》第第二章第二条至第五条规定的资格证明文件；</w:t>
      </w:r>
      <w:r/>
    </w:p>
    <w:p>
      <w:pPr>
        <w:ind w:firstLine="420"/>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5.投标人未被“信用中国”网站（www.creditchina.gov.cn）、“中国政府采购网”（www.ccgp.gov.cn）列入失信被执行人、重大税收违法案件当事人名单、政府采购严重违法失信行为记录名单证明文件。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投标人仅提供信用承诺书而未提供证明材料的，须在中标后另行提供上述由信用承诺书替代的证明材料（一式两份）</w:t>
      </w:r>
      <w:r>
        <w:rPr>
          <w:rFonts w:hint="eastAsia" w:ascii="方正仿宋_GB2312" w:hAnsi="方正仿宋_GB2312" w:eastAsia="方正仿宋_GB2312" w:cs="方正仿宋_GB2312"/>
          <w:b/>
          <w:bCs/>
          <w:szCs w:val="21"/>
        </w:rPr>
        <w:t xml:space="preserve">加盖公章</w:t>
      </w:r>
      <w:r>
        <w:rPr>
          <w:rFonts w:hint="eastAsia" w:ascii="方正仿宋_GB2312" w:hAnsi="方正仿宋_GB2312" w:eastAsia="方正仿宋_GB2312" w:cs="方正仿宋_GB2312"/>
          <w:b/>
          <w:szCs w:val="21"/>
        </w:rPr>
        <w:t xml:space="preserve">，提交采购人或采购代理机构核验。经核验无误后，由采购人或采购代理机构发出中标通知书。</w:t>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投标人涉及以下情形的，不适用信用承诺，仍须提供上述证明材料：</w:t>
      </w:r>
      <w:r/>
    </w:p>
    <w:p>
      <w:pPr>
        <w:ind w:firstLine="211"/>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（1）投标人被列入严重失信主体名单；</w:t>
      </w:r>
      <w:r/>
    </w:p>
    <w:p>
      <w:pPr>
        <w:ind w:firstLine="211"/>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（2）被相关监管部门作出行政处罚且尚在处罚有效期内；</w:t>
      </w:r>
      <w:r/>
    </w:p>
    <w:p>
      <w:pPr>
        <w:ind w:firstLine="211"/>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（3）其他法律、行政法规规定的不适用信用承诺的情形。</w:t>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投标人对信用承诺内容的真实性、合法性、有效性负责。如作出虚假信用承诺，视同为“提供虚假材料谋取中标”的违法行为。</w:t>
      </w:r>
      <w:bookmarkEnd w:id="141"/>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bookmarkEnd w:id="140"/>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pStyle w:val="721"/>
        <w:numPr>
          <w:ilvl w:val="1"/>
          <w:numId w:val="0"/>
        </w:numPr>
        <w:rPr>
          <w:rFonts w:hint="eastAsia" w:ascii="方正仿宋_GB2312" w:hAnsi="方正仿宋_GB2312" w:eastAsia="方正仿宋_GB2312" w:cs="方正仿宋_GB2312"/>
          <w:b w:val="0"/>
          <w:bCs w:val="0"/>
          <w:lang w:val="zh-CN"/>
        </w:rPr>
      </w:pPr>
      <w:r/>
      <w:bookmarkStart w:id="142" w:name="_Toc26810"/>
      <w:r/>
      <w:bookmarkStart w:id="143" w:name="_Toc66375426"/>
      <w:r/>
      <w:bookmarkStart w:id="144" w:name="_Toc43917773"/>
      <w:r/>
      <w:bookmarkStart w:id="145" w:name="OLE_LINK38"/>
      <w:r>
        <w:rPr>
          <w:rFonts w:hint="eastAsia" w:ascii="方正仿宋_GB2312" w:hAnsi="方正仿宋_GB2312" w:eastAsia="方正仿宋_GB2312" w:cs="方正仿宋_GB2312"/>
          <w:b w:val="0"/>
          <w:bCs w:val="0"/>
          <w:lang w:val="zh-CN"/>
        </w:rPr>
        <w:t xml:space="preserve">附件四</w:t>
      </w:r>
      <w:bookmarkEnd w:id="142"/>
      <w:r/>
      <w:bookmarkEnd w:id="143"/>
      <w:r/>
      <w:bookmarkEnd w:id="144"/>
      <w:r>
        <w:rPr>
          <w:rFonts w:hint="eastAsia" w:ascii="方正仿宋_GB2312" w:hAnsi="方正仿宋_GB2312" w:eastAsia="方正仿宋_GB2312" w:cs="方正仿宋_GB2312"/>
          <w:b w:val="0"/>
          <w:bCs w:val="0"/>
          <w:lang w:val="zh-CN"/>
        </w:rPr>
        <w:t xml:space="preserve">：开标一览表</w:t>
      </w:r>
      <w:bookmarkEnd w:id="145"/>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开标一览表</w:t>
      </w:r>
      <w:r/>
    </w:p>
    <w:p>
      <w:pPr>
        <w:pStyle w:val="733"/>
        <w:ind w:firstLine="210"/>
        <w:spacing w:line="360" w:lineRule="auto"/>
        <w:rPr>
          <w:rFonts w:hint="eastAsia" w:ascii="方正仿宋_GB2312" w:hAnsi="方正仿宋_GB2312" w:eastAsia="方正仿宋_GB2312" w:cs="方正仿宋_GB2312"/>
          <w:b w:val="0"/>
          <w:bCs/>
          <w:sz w:val="21"/>
          <w:szCs w:val="21"/>
        </w:rPr>
      </w:pPr>
      <w:r>
        <w:rPr>
          <w:rFonts w:hint="eastAsia" w:ascii="方正仿宋_GB2312" w:hAnsi="方正仿宋_GB2312" w:eastAsia="方正仿宋_GB2312" w:cs="方正仿宋_GB2312"/>
          <w:b w:val="0"/>
          <w:bCs/>
          <w:sz w:val="21"/>
          <w:szCs w:val="21"/>
        </w:rPr>
        <w:t xml:space="preserve">项目编号：                                        货币单位：人民币元</w:t>
      </w:r>
      <w:r/>
    </w:p>
    <w:tbl>
      <w:tblPr>
        <w:tblStyle w:val="73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项目名称</w:t>
            </w:r>
            <w:r/>
          </w:p>
        </w:tc>
        <w:tc>
          <w:tcPr>
            <w:tcW w:w="2735" w:type="dxa"/>
            <w:vAlign w:val="center"/>
            <w:textDirection w:val="lrTb"/>
            <w:noWrap w:val="false"/>
          </w:tcPr>
          <w:p>
            <w:pPr>
              <w:jc w:val="cente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项目内容</w:t>
            </w:r>
            <w:r/>
          </w:p>
        </w:tc>
        <w:tc>
          <w:tcPr>
            <w:tcW w:w="4282" w:type="dxa"/>
            <w:vAlign w:val="center"/>
            <w:textDirection w:val="lrTb"/>
            <w:noWrap w:val="false"/>
          </w:tcPr>
          <w:p>
            <w:pPr>
              <w:jc w:val="cente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总价（小写）</w:t>
            </w:r>
            <w:r/>
          </w:p>
        </w:tc>
      </w:tr>
      <w:tr>
        <w:trPr>
          <w:cantSplit/>
          <w:trHeight w:val="725"/>
        </w:trPr>
        <w:tc>
          <w:tcPr>
            <w:tcW w:w="2735" w:type="dxa"/>
            <w:vAlign w:val="center"/>
            <w:textDirection w:val="lrTb"/>
            <w:noWrap w:val="false"/>
          </w:tcPr>
          <w:p>
            <w:pP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c>
          <w:tcPr>
            <w:tcW w:w="2735" w:type="dxa"/>
            <w:vAlign w:val="center"/>
            <w:textDirection w:val="lrTb"/>
            <w:noWrap w:val="false"/>
          </w:tcPr>
          <w:p>
            <w:pPr>
              <w:jc w:val="cente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详见投标文件</w:t>
            </w:r>
            <w:r/>
          </w:p>
        </w:tc>
        <w:tc>
          <w:tcPr>
            <w:tcW w:w="4282" w:type="dxa"/>
            <w:vAlign w:val="center"/>
            <w:textDirection w:val="lrTb"/>
            <w:noWrap w:val="false"/>
          </w:tcPr>
          <w:p>
            <w:pP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r>
      <w:tr>
        <w:trPr>
          <w:cantSplit/>
          <w:trHeight w:val="725"/>
        </w:trPr>
        <w:tc>
          <w:tcPr>
            <w:tcW w:w="2735" w:type="dxa"/>
            <w:vAlign w:val="center"/>
            <w:textDirection w:val="lrTb"/>
            <w:noWrap w:val="false"/>
          </w:tcPr>
          <w:p>
            <w:pP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总价（大写）：</w:t>
            </w:r>
            <w:r/>
          </w:p>
        </w:tc>
        <w:tc>
          <w:tcPr>
            <w:gridSpan w:val="2"/>
            <w:tcW w:w="7017" w:type="dxa"/>
            <w:vAlign w:val="center"/>
            <w:textDirection w:val="lrTb"/>
            <w:noWrap w:val="false"/>
          </w:tcPr>
          <w:p>
            <w:pP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r>
    </w:tbl>
    <w:p>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jc w:val="cente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bookmarkStart w:id="146" w:name="_Hlk44577819"/>
      <w:r>
        <w:rPr>
          <w:rFonts w:hint="eastAsia" w:ascii="方正仿宋_GB2312" w:hAnsi="方正仿宋_GB2312" w:eastAsia="方正仿宋_GB2312" w:cs="方正仿宋_GB2312"/>
          <w:szCs w:val="21"/>
        </w:rPr>
        <w:t xml:space="preserve">说明：</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1.报价包括完成项目的所有费用，采购人不再支付报价以外的任何费用。</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2.报价以总价为准，大小写不一致以大写为准。</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bookmarkEnd w:id="146"/>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bookmarkStart w:id="147" w:name="OLE_LINK9"/>
      <w:r/>
      <w:bookmarkStart w:id="148" w:name="_Hlk175836563"/>
      <w:r>
        <w:rPr>
          <w:rFonts w:hint="eastAsia" w:ascii="方正仿宋_GB2312" w:hAnsi="方正仿宋_GB2312" w:eastAsia="方正仿宋_GB2312" w:cs="方正仿宋_GB2312"/>
          <w:szCs w:val="21"/>
        </w:rPr>
        <w:t xml:space="preserve">投标人</w:t>
      </w:r>
      <w:bookmarkEnd w:id="147"/>
      <w:r>
        <w:rPr>
          <w:rFonts w:hint="eastAsia" w:ascii="方正仿宋_GB2312" w:hAnsi="方正仿宋_GB2312" w:eastAsia="方正仿宋_GB2312" w:cs="方正仿宋_GB2312"/>
          <w:szCs w:val="21"/>
        </w:rPr>
        <w:t xml:space="preserve">（</w:t>
      </w:r>
      <w:bookmarkStart w:id="149" w:name="_Hlk176254322"/>
      <w:r>
        <w:rPr>
          <w:rFonts w:hint="eastAsia" w:ascii="方正仿宋_GB2312" w:hAnsi="方正仿宋_GB2312" w:eastAsia="方正仿宋_GB2312" w:cs="方正仿宋_GB2312"/>
          <w:szCs w:val="21"/>
        </w:rPr>
        <w:t xml:space="preserve">加盖电子公章</w:t>
      </w:r>
      <w:bookmarkEnd w:id="149"/>
      <w:r>
        <w:rPr>
          <w:rFonts w:hint="eastAsia" w:ascii="方正仿宋_GB2312" w:hAnsi="方正仿宋_GB2312" w:eastAsia="方正仿宋_GB2312" w:cs="方正仿宋_GB2312"/>
          <w:szCs w:val="21"/>
        </w:rPr>
        <w:t xml:space="preserve">）：</w:t>
      </w:r>
      <w:r>
        <w:rPr>
          <w:rFonts w:hint="eastAsia" w:ascii="方正仿宋_GB2312" w:hAnsi="方正仿宋_GB2312" w:eastAsia="方正仿宋_GB2312" w:cs="方正仿宋_GB2312"/>
          <w:szCs w:val="21"/>
          <w:u w:val="single"/>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    期：   年    月    日</w:t>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bookmarkEnd w:id="148"/>
      <w:r/>
    </w:p>
    <w:p>
      <w:pPr>
        <w:pStyle w:val="721"/>
        <w:numPr>
          <w:ilvl w:val="1"/>
          <w:numId w:val="0"/>
        </w:numPr>
        <w:rPr>
          <w:rFonts w:hint="eastAsia" w:ascii="方正仿宋_GB2312" w:hAnsi="方正仿宋_GB2312" w:eastAsia="方正仿宋_GB2312" w:cs="方正仿宋_GB2312"/>
          <w:b w:val="0"/>
          <w:bCs w:val="0"/>
          <w:lang w:val="zh-CN"/>
        </w:rPr>
      </w:pPr>
      <w:r/>
      <w:bookmarkStart w:id="150" w:name="_Toc12264"/>
      <w:r/>
      <w:bookmarkStart w:id="151" w:name="_Toc66375427"/>
      <w:r/>
      <w:bookmarkStart w:id="152" w:name="_Toc43917774"/>
      <w:r>
        <w:rPr>
          <w:rFonts w:hint="eastAsia" w:ascii="方正仿宋_GB2312" w:hAnsi="方正仿宋_GB2312" w:eastAsia="方正仿宋_GB2312" w:cs="方正仿宋_GB2312"/>
          <w:b w:val="0"/>
          <w:bCs w:val="0"/>
          <w:lang w:val="zh-CN"/>
        </w:rPr>
        <w:t xml:space="preserve">附件五：分项报价表</w:t>
      </w:r>
      <w:bookmarkEnd w:id="150"/>
      <w:bookmarkEnd w:id="151"/>
      <w:bookmarkEnd w:id="152"/>
      <w:r/>
    </w:p>
    <w:p>
      <w:pPr>
        <w:jc w:val="center"/>
        <w:rPr>
          <w:rFonts w:hint="eastAsia" w:ascii="方正仿宋_GB2312" w:hAnsi="方正仿宋_GB2312" w:eastAsia="方正仿宋_GB2312" w:cs="方正仿宋_GB2312"/>
          <w:sz w:val="32"/>
          <w:szCs w:val="32"/>
          <w:lang w:val="zh-CN"/>
        </w:rPr>
      </w:pPr>
      <w:r>
        <w:rPr>
          <w:rFonts w:hint="eastAsia" w:ascii="方正仿宋_GB2312" w:hAnsi="方正仿宋_GB2312" w:eastAsia="方正仿宋_GB2312" w:cs="方正仿宋_GB2312"/>
          <w:sz w:val="32"/>
          <w:szCs w:val="32"/>
          <w:lang w:val="zh-CN"/>
        </w:rPr>
        <w:t xml:space="preserve">分项报价表</w:t>
      </w:r>
      <w:r/>
    </w:p>
    <w:p>
      <w:pPr>
        <w:ind w:firstLine="504"/>
        <w:jc w:val="left"/>
        <w:spacing w:line="360" w:lineRule="auto"/>
        <w:widowControl/>
        <w:tabs>
          <w:tab w:val="left" w:pos="5397"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 xml:space="preserve">项目编号：</w:t>
      </w:r>
      <w:r/>
    </w:p>
    <w:tbl>
      <w:tblPr>
        <w:tblStyle w:val="73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322"/>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322"/>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left="210"/>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 xml:space="preserve">说明：</w:t>
      </w:r>
      <w:r/>
    </w:p>
    <w:p>
      <w:pPr>
        <w:ind w:left="210"/>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2.《分项报价表》中“投标总价”应当与《开标一览表》中“投标总价”一致。</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lang w:val="zh-CN"/>
        </w:rPr>
        <w:t xml:space="preserve">3.分项报价格式自拟</w:t>
      </w:r>
      <w:r>
        <w:rPr>
          <w:rFonts w:hint="eastAsia" w:ascii="方正仿宋_GB2312" w:hAnsi="方正仿宋_GB2312" w:eastAsia="方正仿宋_GB2312" w:cs="方正仿宋_GB2312"/>
          <w:b/>
          <w:bCs/>
        </w:rPr>
        <w:t xml:space="preserve">。</w:t>
      </w:r>
      <w:r>
        <w:rPr>
          <w:rFonts w:hint="eastAsia" w:ascii="方正仿宋_GB2312" w:hAnsi="方正仿宋_GB2312" w:eastAsia="方正仿宋_GB2312" w:cs="方正仿宋_GB2312"/>
          <w:szCs w:val="21"/>
        </w:rPr>
        <w:t xml:space="preserve">如果行数不够，请自行增加。</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tabs>
          <w:tab w:val="left" w:pos="5808"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ab/>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w:t>
      </w:r>
      <w:bookmarkStart w:id="153" w:name="_Hlk176254340"/>
      <w:r>
        <w:rPr>
          <w:rFonts w:hint="eastAsia" w:ascii="方正仿宋_GB2312" w:hAnsi="方正仿宋_GB2312" w:eastAsia="方正仿宋_GB2312" w:cs="方正仿宋_GB2312"/>
          <w:szCs w:val="21"/>
        </w:rPr>
        <w:t xml:space="preserve">加盖电子公章</w:t>
      </w:r>
      <w:bookmarkEnd w:id="153"/>
      <w:r>
        <w:rPr>
          <w:rFonts w:hint="eastAsia" w:ascii="方正仿宋_GB2312" w:hAnsi="方正仿宋_GB2312" w:eastAsia="方正仿宋_GB2312" w:cs="方正仿宋_GB2312"/>
          <w:szCs w:val="21"/>
        </w:rPr>
        <w:t xml:space="preserve">）：</w:t>
      </w:r>
      <w:r>
        <w:rPr>
          <w:rFonts w:hint="eastAsia" w:ascii="方正仿宋_GB2312" w:hAnsi="方正仿宋_GB2312" w:eastAsia="方正仿宋_GB2312" w:cs="方正仿宋_GB2312"/>
          <w:szCs w:val="21"/>
          <w:u w:val="single"/>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pStyle w:val="721"/>
        <w:numPr>
          <w:ilvl w:val="1"/>
          <w:numId w:val="0"/>
        </w:numPr>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szCs w:val="21"/>
        </w:rPr>
        <w:br w:type="page" w:clear="all"/>
      </w:r>
      <w:bookmarkStart w:id="154" w:name="_Toc66375428"/>
      <w:r/>
      <w:bookmarkStart w:id="155" w:name="_Toc43917775"/>
      <w:r>
        <w:rPr>
          <w:rFonts w:hint="eastAsia" w:ascii="方正仿宋_GB2312" w:hAnsi="方正仿宋_GB2312" w:eastAsia="方正仿宋_GB2312" w:cs="方正仿宋_GB2312"/>
          <w:b w:val="0"/>
          <w:bCs w:val="0"/>
          <w:lang w:val="zh-CN"/>
        </w:rPr>
        <w:t xml:space="preserve">附件六</w:t>
      </w:r>
      <w:bookmarkStart w:id="156" w:name="_Hlk176528721"/>
      <w:r>
        <w:rPr>
          <w:rFonts w:hint="eastAsia" w:ascii="方正仿宋_GB2312" w:hAnsi="方正仿宋_GB2312" w:eastAsia="方正仿宋_GB2312" w:cs="方正仿宋_GB2312"/>
          <w:b w:val="0"/>
          <w:bCs w:val="0"/>
          <w:lang w:val="zh-CN"/>
        </w:rPr>
        <w:t xml:space="preserve">：技术要求响应及偏离表</w:t>
      </w:r>
      <w:bookmarkEnd w:id="154"/>
      <w:r/>
      <w:bookmarkEnd w:id="155"/>
      <w:r/>
      <w:bookmarkEnd w:id="156"/>
      <w:r/>
      <w:r/>
    </w:p>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center"/>
        <w:rPr>
          <w:rFonts w:hint="eastAsia" w:ascii="方正仿宋_GB2312" w:hAnsi="方正仿宋_GB2312" w:eastAsia="方正仿宋_GB2312" w:cs="方正仿宋_GB2312"/>
          <w:sz w:val="36"/>
          <w:szCs w:val="36"/>
          <w:lang w:val="zh-CN"/>
        </w:rPr>
      </w:pPr>
      <w:r/>
      <w:bookmarkStart w:id="157" w:name="_Hlk176528733"/>
      <w:r>
        <w:rPr>
          <w:rFonts w:hint="eastAsia" w:ascii="方正仿宋_GB2312" w:hAnsi="方正仿宋_GB2312" w:eastAsia="方正仿宋_GB2312" w:cs="方正仿宋_GB2312"/>
          <w:sz w:val="36"/>
          <w:szCs w:val="36"/>
          <w:lang w:val="zh-CN"/>
        </w:rPr>
        <w:t xml:space="preserve">技术要求响应及偏离表</w:t>
      </w:r>
      <w:r/>
    </w:p>
    <w:p>
      <w:pPr>
        <w:ind w:firstLine="294"/>
        <w:jc w:val="left"/>
        <w:spacing w:line="360" w:lineRule="auto"/>
        <w:widowControl/>
        <w:tabs>
          <w:tab w:val="left" w:pos="5397"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 xml:space="preserve">项目编号：</w:t>
      </w:r>
      <w:r/>
    </w:p>
    <w:tbl>
      <w:tblPr>
        <w:tblStyle w:val="730"/>
        <w:tblW w:w="10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7"/>
        <w:gridCol w:w="8527"/>
        <w:gridCol w:w="960"/>
        <w:gridCol w:w="789"/>
      </w:tblGrid>
      <w:tr>
        <w:trPr>
          <w:jc w:val="center"/>
          <w:trHeight w:val="284"/>
        </w:trPr>
        <w:tc>
          <w:tcPr>
            <w:tcMar>
              <w:left w:w="10" w:type="dxa"/>
              <w:top w:w="0" w:type="dxa"/>
              <w:right w:w="10" w:type="dxa"/>
              <w:bottom w:w="0" w:type="dxa"/>
            </w:tcMar>
            <w:tcW w:w="437"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bookmarkStart w:id="158" w:name="_Hlk66784099"/>
            <w:r>
              <w:rPr>
                <w:rFonts w:hint="eastAsia" w:ascii="方正仿宋_GB2312" w:hAnsi="方正仿宋_GB2312" w:eastAsia="方正仿宋_GB2312" w:cs="方正仿宋_GB2312"/>
                <w:b/>
                <w:szCs w:val="21"/>
              </w:rPr>
              <w:t xml:space="preserve">序号</w:t>
            </w:r>
            <w:r/>
          </w:p>
        </w:tc>
        <w:tc>
          <w:tcPr>
            <w:tcMar>
              <w:left w:w="10" w:type="dxa"/>
              <w:top w:w="0" w:type="dxa"/>
              <w:right w:w="10" w:type="dxa"/>
              <w:bottom w:w="0" w:type="dxa"/>
            </w:tcMar>
            <w:tcW w:w="8527"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招标文件的技术要求</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投标响应</w:t>
            </w:r>
            <w:bookmarkStart w:id="159" w:name="OLE_LINK54"/>
            <w:r/>
            <w:r/>
          </w:p>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（响应或不响应）</w:t>
            </w:r>
            <w:bookmarkEnd w:id="159"/>
            <w:r/>
            <w:r/>
          </w:p>
        </w:tc>
        <w:tc>
          <w:tcPr>
            <w:tcMar>
              <w:left w:w="10" w:type="dxa"/>
              <w:top w:w="0" w:type="dxa"/>
              <w:right w:w="10" w:type="dxa"/>
              <w:bottom w:w="0" w:type="dxa"/>
            </w:tcMar>
            <w:tcW w:w="789"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偏离情况</w:t>
            </w:r>
            <w:r/>
          </w:p>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（正偏离、无偏离或负偏离）</w:t>
            </w:r>
            <w:r/>
          </w:p>
        </w:tc>
      </w:tr>
      <w:tr>
        <w:trPr>
          <w:jc w:val="center"/>
          <w:trHeight w:val="284"/>
        </w:trPr>
        <w:tc>
          <w:tcPr>
            <w:tcMar>
              <w:left w:w="10" w:type="dxa"/>
              <w:top w:w="0" w:type="dxa"/>
              <w:right w:w="10" w:type="dxa"/>
              <w:bottom w:w="0" w:type="dxa"/>
            </w:tcMar>
            <w:tcW w:w="437"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lang w:val="en-US" w:eastAsia="zh-CN"/>
              </w:rPr>
              <w:t xml:space="preserve">1</w:t>
            </w: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8527" w:type="dxa"/>
            <w:vAlign w:val="center"/>
            <w:textDirection w:val="lrTb"/>
            <w:noWrap w:val="false"/>
          </w:tcPr>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（一）维修内容</w:t>
            </w:r>
            <w:r/>
          </w:p>
          <w:tbl>
            <w:tblPr>
              <w:tblStyle w:val="730"/>
              <w:tblW w:w="0" w:type="auto"/>
              <w:jc w:val="center"/>
              <w:tblLayout w:type="fixed"/>
              <w:tblCellMar>
                <w:left w:w="108" w:type="dxa"/>
                <w:top w:w="0" w:type="dxa"/>
                <w:right w:w="108" w:type="dxa"/>
                <w:bottom w:w="0" w:type="dxa"/>
              </w:tblCellMar>
              <w:tblLook w:val="04A0" w:firstRow="1" w:lastRow="0" w:firstColumn="1" w:lastColumn="0" w:noHBand="0" w:noVBand="1"/>
            </w:tblPr>
            <w:tblGrid>
              <w:gridCol w:w="545"/>
              <w:gridCol w:w="1419"/>
              <w:gridCol w:w="5775"/>
            </w:tblGrid>
            <w:tr>
              <w:trPr>
                <w:jc w:val="center"/>
                <w:trHeight w:val="394"/>
              </w:trPr>
              <w:tc>
                <w:tcPr>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维修备件清单</w:t>
                  </w:r>
                  <w:r/>
                </w:p>
              </w:tc>
              <w:tc>
                <w:tcPr>
                  <w:tcBorders>
                    <w:top w:val="single" w:color="000000" w:sz="4" w:space="0"/>
                    <w:left w:val="single" w:color="000000" w:sz="4" w:space="0"/>
                    <w:bottom w:val="single" w:color="000000" w:sz="4" w:space="0"/>
                    <w:right w:val="single" w:color="000000" w:sz="4" w:space="0"/>
                  </w:tcBorders>
                  <w:tcW w:w="1419" w:type="dxa"/>
                  <w:vAlign w:val="bottom"/>
                  <w:textDirection w:val="lrTb"/>
                  <w:noWrap/>
                </w:tcPr>
                <w:p>
                  <w:pPr>
                    <w:jc w:val="center"/>
                    <w:spacing w:line="360" w:lineRule="auto"/>
                    <w:rPr>
                      <w:rFonts w:hint="eastAsia" w:ascii="方正仿宋_GB2312" w:hAnsi="方正仿宋_GB2312" w:eastAsia="方正仿宋_GB2312" w:cs="方正仿宋_GB2312"/>
                      <w:b/>
                      <w:bCs/>
                      <w:color w:val="000000"/>
                      <w:szCs w:val="21"/>
                    </w:rPr>
                  </w:pPr>
                  <w:r>
                    <w:rPr>
                      <w:rFonts w:hint="eastAsia" w:ascii="方正仿宋_GB2312" w:hAnsi="方正仿宋_GB2312" w:eastAsia="方正仿宋_GB2312" w:cs="方正仿宋_GB2312"/>
                      <w:b/>
                      <w:bCs/>
                      <w:color w:val="000000"/>
                      <w:szCs w:val="21"/>
                      <w:lang w:bidi="ar"/>
                    </w:rPr>
                    <w:t xml:space="preserve">备件名称</w:t>
                  </w:r>
                  <w:r/>
                </w:p>
              </w:tc>
              <w:tc>
                <w:tcPr>
                  <w:tcBorders>
                    <w:top w:val="single" w:color="000000" w:sz="4" w:space="0"/>
                    <w:left w:val="single" w:color="000000" w:sz="4" w:space="0"/>
                    <w:bottom w:val="single" w:color="000000" w:sz="4" w:space="0"/>
                    <w:right w:val="single" w:color="000000" w:sz="4" w:space="0"/>
                  </w:tcBorders>
                  <w:tcW w:w="5775" w:type="dxa"/>
                  <w:vAlign w:val="bottom"/>
                  <w:textDirection w:val="lrTb"/>
                  <w:noWrap/>
                </w:tcPr>
                <w:p>
                  <w:pPr>
                    <w:jc w:val="center"/>
                    <w:spacing w:line="360" w:lineRule="auto"/>
                    <w:rPr>
                      <w:rFonts w:hint="eastAsia" w:ascii="方正仿宋_GB2312" w:hAnsi="方正仿宋_GB2312" w:eastAsia="方正仿宋_GB2312" w:cs="方正仿宋_GB2312"/>
                      <w:b/>
                      <w:bCs/>
                      <w:color w:val="000000"/>
                      <w:szCs w:val="21"/>
                    </w:rPr>
                  </w:pPr>
                  <w:r>
                    <w:rPr>
                      <w:rFonts w:hint="eastAsia" w:ascii="方正仿宋_GB2312" w:hAnsi="方正仿宋_GB2312" w:eastAsia="方正仿宋_GB2312" w:cs="方正仿宋_GB2312"/>
                      <w:b/>
                      <w:bCs/>
                      <w:color w:val="000000"/>
                      <w:szCs w:val="21"/>
                      <w:lang w:bidi="ar"/>
                    </w:rPr>
                    <w:t xml:space="preserve">更换说明</w:t>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样品进样阀</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负责样品的富集和进样；阀体漏气导致阀切换不到位，影响样品的流量和富集，致使响应偏低，需更换</w:t>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气缸驱动组件</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通过驱动气来驱动六通进样阀切换；现已故障，导致六通阀无法正常切换，和六通阀匹配使用，需更换</w:t>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内置真空泵</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采集样品和管路预抽作用，现已故障，导致无法正常采样，需更换</w:t>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螺纹管</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阀箱内管路，经过钝化处理以减少VOC组分吸附；长时间钝化层破坏，导致VOC容易吸附管路，影响响应，需更换</w:t>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TD管接头</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富集管和聚焦管两端接头，钝化处理，减少VOC组分吸附；钝化层损坏，影响响应，需更换</w:t>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伴热管</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伴热管故障，需更换</w:t>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FID点火线圈</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FID点火线圈老化，需更换</w:t>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主板</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分析仪系统软件故障，无法打开正常运行，需更换</w:t>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加装N2捕集阱</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谱图基线不稳定，出现杂峰干扰，需更换</w:t>
                  </w:r>
                  <w:r>
                    <w:rPr>
                      <w:rFonts w:hint="eastAsia" w:ascii="方正仿宋_GB2312" w:hAnsi="方正仿宋_GB2312" w:eastAsia="方正仿宋_GB2312" w:cs="方正仿宋_GB2312"/>
                      <w:color w:val="000000"/>
                      <w:szCs w:val="21"/>
                      <w:lang w:bidi="ar"/>
                    </w:rPr>
                    <w:t xml:space="preserve">捕集阱</w:t>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采样泵</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分析仪流量报错，无法正常采集样品，更换采样泵</w:t>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更换富集管和聚焦管</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TD管，样品VOC组分的富集吸附，和二次吸附解析，需更换</w:t>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更换高碳、低碳色谱柱</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现已老化，需更换，提高高低碳组分响应和分离度</w:t>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更换信号放大板</w:t>
                  </w:r>
                  <w:r/>
                </w:p>
              </w:tc>
              <w:tc>
                <w:tcPr>
                  <w:tcBorders>
                    <w:top w:val="single" w:color="000000" w:sz="4" w:space="0"/>
                    <w:left w:val="single" w:color="000000" w:sz="4" w:space="0"/>
                    <w:bottom w:val="single" w:color="000000" w:sz="4" w:space="0"/>
                    <w:right w:val="single" w:color="000000" w:sz="4" w:space="0"/>
                  </w:tcBorders>
                  <w:tcW w:w="5775" w:type="dxa"/>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基线噪声过大，需更换信号放大版，降低噪声，减少干扰，提高分析准确度</w:t>
                  </w:r>
                  <w:r/>
                </w:p>
              </w:tc>
            </w:tr>
          </w:tbl>
          <w:p>
            <w:pPr>
              <w:ind w:firstLine="482"/>
              <w:jc w:val="left"/>
              <w:spacing w:line="360" w:lineRule="auto"/>
              <w:shd w:val="clear" w:color="auto" w:fill="ffffff"/>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（二）服务需求</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1.服务内容：由成交供应商安排工程师对该设备进行维修；保证仪器正常运行，维修期间产生的一切费用（安装、人工、运输搬运、交通、打孔、安全防护设施、打孔后防水恢复等）由成交供应商负责。</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2.服务使用的所有仪器、设备均由成交供应商自行提供，因使用或者故障发生的维修、维护保养、配件更换等费用，均由成交供应商自行承担，采购人不提供任何费用补助。</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3.与本次采购项目有关的所有质量、安全问题均由成交供应商负责，如因上述原因造成的一切后果均由成交供应商自行全部承担，与他人无涉。</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color w:val="000000"/>
                <w:szCs w:val="21"/>
              </w:rPr>
              <w:t xml:space="preserve">4.投标报价包括：全部服务所需的人工、材料耗材、机械设备、管理、维护、保险、利润、税金、及合同包含的所有风险、责任等各项应有费用。</w:t>
            </w: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78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437"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lang w:val="en-US" w:eastAsia="zh-CN"/>
              </w:rPr>
            </w:pPr>
            <w:r>
              <w:rPr>
                <w:rFonts w:hint="eastAsia" w:ascii="方正仿宋_GB2312" w:hAnsi="方正仿宋_GB2312" w:eastAsia="方正仿宋_GB2312" w:cs="方正仿宋_GB2312"/>
                <w:szCs w:val="21"/>
              </w:rPr>
              <w:t xml:space="preserve"> </w:t>
            </w:r>
            <w:r>
              <w:rPr>
                <w:rFonts w:hint="eastAsia" w:ascii="方正仿宋_GB2312" w:hAnsi="方正仿宋_GB2312" w:eastAsia="方正仿宋_GB2312" w:cs="方正仿宋_GB2312"/>
                <w:szCs w:val="21"/>
                <w:lang w:val="en-US" w:eastAsia="zh-CN"/>
              </w:rPr>
              <w:t xml:space="preserve">2</w:t>
            </w:r>
            <w:r/>
          </w:p>
        </w:tc>
        <w:tc>
          <w:tcPr>
            <w:tcMar>
              <w:left w:w="10" w:type="dxa"/>
              <w:top w:w="0" w:type="dxa"/>
              <w:right w:w="10" w:type="dxa"/>
              <w:bottom w:w="0" w:type="dxa"/>
            </w:tcMar>
            <w:tcW w:w="8527"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lang w:val="en-US" w:eastAsia="zh-CN"/>
              </w:rPr>
              <w:t xml:space="preserve">招标文件中其他技术条款</w:t>
            </w: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78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bookmarkEnd w:id="158"/>
            <w:r/>
          </w:p>
        </w:tc>
      </w:tr>
    </w:tbl>
    <w:p>
      <w:pPr>
        <w:jc w:val="left"/>
        <w:spacing w:line="360" w:lineRule="auto"/>
        <w:widowControl/>
        <w:tabs>
          <w:tab w:val="left" w:pos="5397"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bookmarkStart w:id="160" w:name="OLE_LINK26"/>
      <w:r>
        <w:rPr>
          <w:rFonts w:hint="eastAsia" w:ascii="方正仿宋_GB2312" w:hAnsi="方正仿宋_GB2312" w:eastAsia="方正仿宋_GB2312" w:cs="方正仿宋_GB2312"/>
          <w:szCs w:val="21"/>
        </w:rPr>
        <w:t xml:space="preserve">说明：</w:t>
      </w:r>
      <w:r/>
    </w:p>
    <w:p>
      <w:pPr>
        <w:ind w:firstLine="211"/>
        <w:jc w:val="left"/>
        <w:spacing w:line="360" w:lineRule="auto"/>
        <w:shd w:val="clear" w:color="auto" w:fill="ffffff"/>
        <w:widowControl/>
        <w:rPr>
          <w:rFonts w:hint="eastAsia" w:ascii="方正仿宋_GB2312" w:hAnsi="方正仿宋_GB2312" w:eastAsia="方正仿宋_GB2312" w:cs="方正仿宋_GB2312"/>
          <w:b/>
          <w:bCs/>
          <w:szCs w:val="21"/>
        </w:rPr>
      </w:pPr>
      <w:r/>
      <w:bookmarkStart w:id="161" w:name="OLE_LINK37"/>
      <w:r>
        <w:rPr>
          <w:rFonts w:hint="eastAsia" w:ascii="方正仿宋_GB2312" w:hAnsi="方正仿宋_GB2312" w:eastAsia="方正仿宋_GB2312" w:cs="方正仿宋_GB2312"/>
          <w:b/>
          <w:bCs/>
          <w:szCs w:val="21"/>
        </w:rPr>
        <w:t xml:space="preserve">1.</w:t>
      </w:r>
      <w:bookmarkStart w:id="162" w:name="OLE_LINK41"/>
      <w:r>
        <w:rPr>
          <w:rFonts w:hint="eastAsia" w:ascii="方正仿宋_GB2312" w:hAnsi="方正仿宋_GB2312" w:eastAsia="方正仿宋_GB2312" w:cs="方正仿宋_GB2312"/>
          <w:b/>
          <w:bCs/>
        </w:rPr>
        <w:t xml:space="preserve">投标人</w:t>
      </w:r>
      <w:bookmarkEnd w:id="162"/>
      <w:r>
        <w:rPr>
          <w:rFonts w:hint="eastAsia" w:ascii="方正仿宋_GB2312" w:hAnsi="方正仿宋_GB2312" w:eastAsia="方正仿宋_GB2312" w:cs="方正仿宋_GB2312"/>
          <w:b/>
          <w:bCs/>
          <w:szCs w:val="21"/>
        </w:rPr>
        <w:t xml:space="preserve">须对招标文件技术要求中的实质性要求（斜体下划线内容或打“★”</w:t>
      </w:r>
      <w:r>
        <w:rPr>
          <w:rFonts w:hint="eastAsia" w:ascii="方正仿宋_GB2312" w:hAnsi="方正仿宋_GB2312" w:eastAsia="方正仿宋_GB2312" w:cs="方正仿宋_GB2312"/>
          <w:b/>
          <w:bCs/>
          <w:szCs w:val="21"/>
        </w:rPr>
        <w:t xml:space="preserve">“*”</w:t>
      </w:r>
      <w:r>
        <w:rPr>
          <w:rFonts w:hint="eastAsia" w:ascii="方正仿宋_GB2312" w:hAnsi="方正仿宋_GB2312" w:eastAsia="方正仿宋_GB2312" w:cs="方正仿宋_GB2312"/>
          <w:b/>
          <w:bCs/>
          <w:szCs w:val="21"/>
        </w:rPr>
        <w:t xml:space="preserve">内容）作出明确响应，</w:t>
      </w:r>
      <w:r>
        <w:rPr>
          <w:rFonts w:hint="eastAsia" w:ascii="方正仿宋_GB2312" w:hAnsi="方正仿宋_GB2312" w:eastAsia="方正仿宋_GB2312" w:cs="方正仿宋_GB2312"/>
          <w:b/>
          <w:bCs/>
        </w:rPr>
        <w:t xml:space="preserve">投标人</w:t>
      </w:r>
      <w:r>
        <w:rPr>
          <w:rFonts w:hint="eastAsia" w:ascii="方正仿宋_GB2312" w:hAnsi="方正仿宋_GB2312" w:eastAsia="方正仿宋_GB2312" w:cs="方正仿宋_GB2312"/>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2.行数不够，可自行添加。</w:t>
      </w:r>
      <w:bookmarkEnd w:id="157"/>
      <w:bookmarkEnd w:id="160"/>
      <w:bookmarkEnd w:id="161"/>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pStyle w:val="721"/>
        <w:numPr>
          <w:ilvl w:val="1"/>
          <w:numId w:val="0"/>
        </w:numPr>
        <w:rPr>
          <w:rFonts w:hint="eastAsia" w:ascii="方正仿宋_GB2312" w:hAnsi="方正仿宋_GB2312" w:eastAsia="方正仿宋_GB2312" w:cs="方正仿宋_GB2312"/>
          <w:b w:val="0"/>
          <w:bCs w:val="0"/>
        </w:rPr>
      </w:pPr>
      <w:r/>
      <w:bookmarkStart w:id="163" w:name="_Toc43917776"/>
      <w:r/>
      <w:bookmarkStart w:id="164" w:name="_Toc66375429"/>
      <w:r>
        <w:rPr>
          <w:rFonts w:hint="eastAsia" w:ascii="方正仿宋_GB2312" w:hAnsi="方正仿宋_GB2312" w:eastAsia="方正仿宋_GB2312" w:cs="方正仿宋_GB2312"/>
          <w:b w:val="0"/>
          <w:bCs w:val="0"/>
        </w:rPr>
        <w:t xml:space="preserve">附件七</w:t>
      </w:r>
      <w:bookmarkStart w:id="165" w:name="_Hlk176528748"/>
      <w:r>
        <w:rPr>
          <w:rFonts w:hint="eastAsia" w:ascii="方正仿宋_GB2312" w:hAnsi="方正仿宋_GB2312" w:eastAsia="方正仿宋_GB2312" w:cs="方正仿宋_GB2312"/>
          <w:b w:val="0"/>
          <w:bCs w:val="0"/>
        </w:rPr>
        <w:t xml:space="preserve">：商务要求响应及偏离表</w:t>
      </w:r>
      <w:bookmarkEnd w:id="163"/>
      <w:r/>
      <w:bookmarkEnd w:id="164"/>
      <w:r/>
      <w:bookmarkEnd w:id="165"/>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bookmarkStart w:id="166" w:name="_Hlk176528759"/>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商务要求响应及偏离表</w:t>
      </w:r>
      <w:r/>
    </w:p>
    <w:p>
      <w:pPr>
        <w:ind w:firstLine="306"/>
        <w:jc w:val="left"/>
        <w:spacing w:line="360" w:lineRule="auto"/>
        <w:widowControl/>
        <w:tabs>
          <w:tab w:val="left" w:pos="5366"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 xml:space="preserve">项目编号：         </w:t>
      </w:r>
      <w:r/>
    </w:p>
    <w:tbl>
      <w:tblPr>
        <w:tblStyle w:val="730"/>
        <w:tblW w:w="10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4"/>
        <w:gridCol w:w="8736"/>
        <w:gridCol w:w="732"/>
        <w:gridCol w:w="876"/>
      </w:tblGrid>
      <w:tr>
        <w:trPr>
          <w:jc w:val="center"/>
          <w:trHeight w:val="284"/>
        </w:trPr>
        <w:tc>
          <w:tcPr>
            <w:tcMar>
              <w:left w:w="10" w:type="dxa"/>
              <w:top w:w="0" w:type="dxa"/>
              <w:right w:w="10" w:type="dxa"/>
              <w:bottom w:w="0" w:type="dxa"/>
            </w:tcMar>
            <w:tcW w:w="504"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bookmarkStart w:id="167" w:name="_Hlk66784541"/>
            <w:r>
              <w:rPr>
                <w:rFonts w:hint="eastAsia" w:ascii="方正仿宋_GB2312" w:hAnsi="方正仿宋_GB2312" w:eastAsia="方正仿宋_GB2312" w:cs="方正仿宋_GB2312"/>
                <w:b/>
                <w:szCs w:val="21"/>
              </w:rPr>
              <w:t xml:space="preserve">序号</w:t>
            </w:r>
            <w:r/>
          </w:p>
        </w:tc>
        <w:tc>
          <w:tcPr>
            <w:tcMar>
              <w:left w:w="10" w:type="dxa"/>
              <w:top w:w="0" w:type="dxa"/>
              <w:right w:w="10" w:type="dxa"/>
              <w:bottom w:w="0" w:type="dxa"/>
            </w:tcMar>
            <w:tcW w:w="8736"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招标文件的商务要求</w:t>
            </w:r>
            <w:r/>
          </w:p>
        </w:tc>
        <w:tc>
          <w:tcPr>
            <w:tcMar>
              <w:left w:w="10" w:type="dxa"/>
              <w:top w:w="0" w:type="dxa"/>
              <w:right w:w="10" w:type="dxa"/>
              <w:bottom w:w="0" w:type="dxa"/>
            </w:tcMar>
            <w:tcW w:w="732"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投标响应</w:t>
            </w:r>
            <w:r/>
          </w:p>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（响应或不响应）</w:t>
            </w:r>
            <w:r/>
          </w:p>
        </w:tc>
        <w:tc>
          <w:tcPr>
            <w:tcMar>
              <w:left w:w="10" w:type="dxa"/>
              <w:top w:w="0" w:type="dxa"/>
              <w:right w:w="10" w:type="dxa"/>
              <w:bottom w:w="0" w:type="dxa"/>
            </w:tcMar>
            <w:tcW w:w="876"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bookmarkStart w:id="168" w:name="OLE_LINK53"/>
            <w:r>
              <w:rPr>
                <w:rFonts w:hint="eastAsia" w:ascii="方正仿宋_GB2312" w:hAnsi="方正仿宋_GB2312" w:eastAsia="方正仿宋_GB2312" w:cs="方正仿宋_GB2312"/>
                <w:b/>
                <w:szCs w:val="21"/>
              </w:rPr>
              <w:t xml:space="preserve">偏离情况</w:t>
            </w:r>
            <w:r/>
          </w:p>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（正偏离、无偏离或负偏离）</w:t>
            </w:r>
            <w:bookmarkEnd w:id="168"/>
            <w:r/>
            <w:r/>
          </w:p>
        </w:tc>
      </w:tr>
      <w:tr>
        <w:trPr>
          <w:jc w:val="center"/>
          <w:trHeight w:val="284"/>
        </w:trPr>
        <w:tc>
          <w:tcPr>
            <w:tcMar>
              <w:left w:w="10" w:type="dxa"/>
              <w:top w:w="0" w:type="dxa"/>
              <w:right w:w="10" w:type="dxa"/>
              <w:bottom w:w="0" w:type="dxa"/>
            </w:tcMar>
            <w:tcW w:w="504"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lang w:val="en-US" w:eastAsia="zh-CN"/>
              </w:rPr>
              <w:t xml:space="preserve">1</w:t>
            </w: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8736" w:type="dxa"/>
            <w:vAlign w:val="center"/>
            <w:textDirection w:val="lrTb"/>
            <w:noWrap w:val="false"/>
          </w:tcPr>
          <w:p>
            <w:pPr>
              <w:ind w:firstLine="482"/>
              <w:jc w:val="left"/>
              <w:spacing w:line="360" w:lineRule="auto"/>
              <w:shd w:val="clear" w:color="auto" w:fill="ffffff"/>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（一）验收要求</w:t>
            </w:r>
            <w:r/>
          </w:p>
          <w:p>
            <w:pPr>
              <w:pStyle w:val="733"/>
              <w:spacing w:line="360" w:lineRule="auto"/>
              <w:rPr>
                <w:rFonts w:hint="eastAsia" w:ascii="方正仿宋_GB2312" w:hAnsi="方正仿宋_GB2312" w:eastAsia="方正仿宋_GB2312" w:cs="方正仿宋_GB2312"/>
                <w:b w:val="0"/>
                <w:bCs/>
                <w:sz w:val="21"/>
                <w:szCs w:val="21"/>
              </w:rPr>
            </w:pPr>
            <w:r>
              <w:rPr>
                <w:rFonts w:hint="eastAsia" w:ascii="方正仿宋_GB2312" w:hAnsi="方正仿宋_GB2312" w:eastAsia="方正仿宋_GB2312" w:cs="方正仿宋_GB2312"/>
                <w:b w:val="0"/>
                <w:bCs/>
                <w:sz w:val="21"/>
                <w:szCs w:val="21"/>
              </w:rPr>
              <w:t xml:space="preserve">维修完毕后，仪器需连续稳定运行正常，满足相关规范要求的试运行时长，出具试运行及验收报告，性能指标能满足《HJ 1010-2018》和《国家光化学监测网自动监测数据审核技术指南》等相关技术规范及采购人要求，主要性能指标要求见下表。如不能通过验收，采购人有权拒绝验收，并追究成交供应商的法律责任。</w:t>
            </w:r>
            <w:r/>
          </w:p>
          <w:tbl>
            <w:tblPr>
              <w:tblStyle w:val="730"/>
              <w:tblW w:w="47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1897"/>
              <w:gridCol w:w="5401"/>
            </w:tblGrid>
            <w:tr>
              <w:trPr>
                <w:trHeight w:val="520"/>
                <w:tblHeader/>
              </w:trPr>
              <w:tc>
                <w:tcPr>
                  <w:tcW w:w="624" w:type="pct"/>
                  <w:vAlign w:val="center"/>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序号</w:t>
                  </w:r>
                  <w:r/>
                </w:p>
              </w:tc>
              <w:tc>
                <w:tcPr>
                  <w:tcW w:w="1137" w:type="pct"/>
                  <w:vAlign w:val="center"/>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仪器名称</w:t>
                  </w:r>
                  <w:r/>
                </w:p>
              </w:tc>
              <w:tc>
                <w:tcPr>
                  <w:tcW w:w="3238" w:type="pct"/>
                  <w:vAlign w:val="center"/>
                  <w:textDirection w:val="lrTb"/>
                  <w:noWrap w:val="false"/>
                </w:tcPr>
                <w:p>
                  <w:pPr>
                    <w:ind w:firstLine="42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维修后仪器性能指标</w:t>
                  </w:r>
                  <w:r/>
                </w:p>
              </w:tc>
            </w:tr>
            <w:tr>
              <w:trPr>
                <w:trHeight w:val="575"/>
              </w:trPr>
              <w:tc>
                <w:tcPr>
                  <w:tcW w:w="624"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1137"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赛默飞5900</w:t>
                  </w:r>
                  <w:r/>
                </w:p>
              </w:tc>
              <w:tc>
                <w:tcPr>
                  <w:tcW w:w="3238"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单点质控要求，以20%偏差为限，要求90%以上组分满足质控要求。</w:t>
                  </w:r>
                  <w:r/>
                </w:p>
              </w:tc>
            </w:tr>
            <w:tr>
              <w:trPr>
                <w:trHeight w:val="654"/>
              </w:trPr>
              <w:tc>
                <w:tcPr>
                  <w:tcW w:w="624"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7"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8"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多点质控要求，以20%偏差为限，要求所有组分满足质控要求。（R²≥0.98）。</w:t>
                  </w:r>
                  <w:r/>
                </w:p>
              </w:tc>
            </w:tr>
            <w:tr>
              <w:trPr>
                <w:trHeight w:val="660"/>
              </w:trPr>
              <w:tc>
                <w:tcPr>
                  <w:tcW w:w="624"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7"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8"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空白结果审核：空白质控要求所有组分数据浓度低于 0.1 nmol/mol。</w:t>
                  </w:r>
                  <w:r/>
                </w:p>
              </w:tc>
            </w:tr>
            <w:tr>
              <w:trPr>
                <w:trHeight w:val="837"/>
              </w:trPr>
              <w:tc>
                <w:tcPr>
                  <w:tcW w:w="624"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7"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8"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环戊烷和异戊烷的分离度、2,3-二甲基戊烷和 2-甲基己烷的分离度及邻-二甲苯和苯乙烯的分离度达到 1.0 以上。</w:t>
                  </w:r>
                  <w:r/>
                </w:p>
              </w:tc>
            </w:tr>
            <w:tr>
              <w:trPr>
                <w:trHeight w:val="601"/>
              </w:trPr>
              <w:tc>
                <w:tcPr>
                  <w:tcW w:w="624"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7"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8"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方法检出限，90%组分（至少包括乙烷和乙烯）的方法检出限≤0.1nmol/mol。</w:t>
                  </w:r>
                  <w:r/>
                </w:p>
              </w:tc>
            </w:tr>
            <w:tr>
              <w:trPr>
                <w:trHeight w:val="601"/>
              </w:trPr>
              <w:tc>
                <w:tcPr>
                  <w:tcW w:w="624"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7"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8"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各组分准确度：±20%、各组分精密度度：±15%。</w:t>
                  </w:r>
                  <w:r/>
                </w:p>
              </w:tc>
            </w:tr>
            <w:tr>
              <w:trPr>
                <w:trHeight w:val="610"/>
              </w:trPr>
              <w:tc>
                <w:tcPr>
                  <w:tcW w:w="624"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7" w:type="pct"/>
                  <w:vAlign w:val="center"/>
                  <w:vMerge w:val="continue"/>
                  <w:textDirection w:val="lrTb"/>
                  <w:noWrap w:val="false"/>
                </w:tcPr>
                <w:p>
                  <w:pPr>
                    <w:pStyle w:val="738"/>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8"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高浓度残留，90%组分的系统残留浓度≤0.1nmol/mol。</w:t>
                  </w:r>
                  <w:r/>
                </w:p>
              </w:tc>
            </w:tr>
          </w:tbl>
          <w:p>
            <w:pPr>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p>
            <w:pPr>
              <w:ind w:firstLine="422"/>
              <w:spacing w:line="360" w:lineRule="auto"/>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t xml:space="preserve">（二）付款方式</w:t>
            </w:r>
            <w:r/>
          </w:p>
          <w:p>
            <w:pPr>
              <w:numPr>
                <w:ilvl w:val="255"/>
                <w:numId w:val="0"/>
              </w:numPr>
              <w:ind w:firstLine="420"/>
              <w:jc w:val="left"/>
              <w:spacing w:line="360" w:lineRule="auto"/>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（1）合同签订且服务团队人员到位后，支付合同金额的30%，采购人在收到发票后20个工作日内支付该笔款项；</w:t>
            </w:r>
            <w:r/>
          </w:p>
          <w:p>
            <w:pPr>
              <w:numPr>
                <w:ilvl w:val="255"/>
                <w:numId w:val="0"/>
              </w:numPr>
              <w:ind w:firstLine="420"/>
              <w:jc w:val="left"/>
              <w:spacing w:line="360" w:lineRule="auto"/>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（2）维修完毕后，仪器需连续稳定运行正常，满足相关规范要求的试运行时长，出具试运行及验收报告后，支付不超过合同金额的60%，采购人在收到发票后20个工作日内支付该笔款项。</w:t>
            </w:r>
            <w:r/>
          </w:p>
          <w:p>
            <w:pPr>
              <w:jc w:val="both"/>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highlight w:val="none"/>
              </w:rPr>
              <w:t xml:space="preserve">（3）免费维修期限结束后，采购人在收到发票后20个工作日内支付该笔款项。</w:t>
            </w: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732"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876"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504"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lang w:val="en-US" w:eastAsia="zh-CN"/>
              </w:rPr>
            </w:pPr>
            <w:r>
              <w:rPr>
                <w:rFonts w:hint="eastAsia" w:ascii="方正仿宋_GB2312" w:hAnsi="方正仿宋_GB2312" w:eastAsia="方正仿宋_GB2312" w:cs="方正仿宋_GB2312"/>
                <w:szCs w:val="21"/>
              </w:rPr>
              <w:t xml:space="preserve"> </w:t>
            </w:r>
            <w:r>
              <w:rPr>
                <w:rFonts w:hint="eastAsia" w:ascii="方正仿宋_GB2312" w:hAnsi="方正仿宋_GB2312" w:eastAsia="方正仿宋_GB2312" w:cs="方正仿宋_GB2312"/>
                <w:szCs w:val="21"/>
                <w:lang w:val="en-US" w:eastAsia="zh-CN"/>
              </w:rPr>
              <w:t xml:space="preserve">2</w:t>
            </w:r>
            <w:r/>
          </w:p>
        </w:tc>
        <w:tc>
          <w:tcPr>
            <w:tcMar>
              <w:left w:w="10" w:type="dxa"/>
              <w:top w:w="0" w:type="dxa"/>
              <w:right w:w="10" w:type="dxa"/>
              <w:bottom w:w="0" w:type="dxa"/>
            </w:tcMar>
            <w:tcW w:w="8736"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lang w:val="en-US" w:eastAsia="zh-CN"/>
              </w:rPr>
              <w:t xml:space="preserve">招标文件其他商务条款</w:t>
            </w: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732"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876"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bookmarkEnd w:id="167"/>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bookmarkStart w:id="188" w:name="_GoBack"/>
      <w:r/>
      <w:bookmarkEnd w:id="188"/>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说明：</w:t>
      </w:r>
      <w:r/>
    </w:p>
    <w:p>
      <w:pPr>
        <w:ind w:firstLine="211"/>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1.</w:t>
      </w:r>
      <w:r>
        <w:rPr>
          <w:rFonts w:hint="eastAsia" w:ascii="方正仿宋_GB2312" w:hAnsi="方正仿宋_GB2312" w:eastAsia="方正仿宋_GB2312" w:cs="方正仿宋_GB2312"/>
          <w:b/>
          <w:bCs/>
        </w:rPr>
        <w:t xml:space="preserve">投标人</w:t>
      </w:r>
      <w:r>
        <w:rPr>
          <w:rFonts w:hint="eastAsia" w:ascii="方正仿宋_GB2312" w:hAnsi="方正仿宋_GB2312" w:eastAsia="方正仿宋_GB2312" w:cs="方正仿宋_GB2312"/>
          <w:b/>
          <w:bCs/>
          <w:szCs w:val="21"/>
        </w:rPr>
        <w:t xml:space="preserve">须对招标文件商务要求中的实质性要求（斜体下划线内容或打“★”</w:t>
      </w:r>
      <w:r>
        <w:rPr>
          <w:rFonts w:hint="eastAsia" w:ascii="方正仿宋_GB2312" w:hAnsi="方正仿宋_GB2312" w:eastAsia="方正仿宋_GB2312" w:cs="方正仿宋_GB2312"/>
          <w:b/>
          <w:bCs/>
          <w:szCs w:val="21"/>
        </w:rPr>
        <w:t xml:space="preserve">“*”</w:t>
      </w:r>
      <w:r>
        <w:rPr>
          <w:rFonts w:hint="eastAsia" w:ascii="方正仿宋_GB2312" w:hAnsi="方正仿宋_GB2312" w:eastAsia="方正仿宋_GB2312" w:cs="方正仿宋_GB2312"/>
          <w:b/>
          <w:bCs/>
          <w:szCs w:val="21"/>
        </w:rPr>
        <w:t xml:space="preserve">内容）作出明确响应，</w:t>
      </w:r>
      <w:r>
        <w:rPr>
          <w:rFonts w:hint="eastAsia" w:ascii="方正仿宋_GB2312" w:hAnsi="方正仿宋_GB2312" w:eastAsia="方正仿宋_GB2312" w:cs="方正仿宋_GB2312"/>
          <w:b/>
          <w:bCs/>
        </w:rPr>
        <w:t xml:space="preserve">投标人</w:t>
      </w:r>
      <w:r>
        <w:rPr>
          <w:rFonts w:hint="eastAsia" w:ascii="方正仿宋_GB2312" w:hAnsi="方正仿宋_GB2312" w:eastAsia="方正仿宋_GB2312" w:cs="方正仿宋_GB2312"/>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2.行数不够，可自行添加。</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bookmarkEnd w:id="166"/>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pStyle w:val="721"/>
        <w:rPr>
          <w:rFonts w:hint="eastAsia" w:ascii="方正仿宋_GB2312" w:hAnsi="方正仿宋_GB2312" w:eastAsia="方正仿宋_GB2312" w:cs="方正仿宋_GB2312"/>
          <w:b w:val="0"/>
          <w:bCs w:val="0"/>
        </w:rPr>
      </w:pPr>
      <w:r/>
      <w:bookmarkStart w:id="169" w:name="_Toc43917778"/>
      <w:r/>
      <w:bookmarkStart w:id="170" w:name="_Toc66375431"/>
      <w:r>
        <w:rPr>
          <w:rFonts w:hint="eastAsia" w:ascii="方正仿宋_GB2312" w:hAnsi="方正仿宋_GB2312" w:eastAsia="方正仿宋_GB2312" w:cs="方正仿宋_GB2312"/>
          <w:b w:val="0"/>
          <w:bCs w:val="0"/>
        </w:rPr>
        <w:t xml:space="preserve">附件八：拟参与本项目服务人员一览表</w:t>
      </w:r>
      <w:bookmarkEnd w:id="169"/>
      <w:r/>
      <w:bookmarkEnd w:id="170"/>
      <w:r/>
      <w:r/>
    </w:p>
    <w:p>
      <w:pPr>
        <w:spacing w:line="460" w:lineRule="atLeast"/>
        <w:widowControl/>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r>
      <w:r/>
    </w:p>
    <w:p>
      <w:pPr>
        <w:jc w:val="center"/>
        <w:rPr>
          <w:rFonts w:hint="eastAsia" w:ascii="方正仿宋_GB2312" w:hAnsi="方正仿宋_GB2312" w:eastAsia="方正仿宋_GB2312" w:cs="方正仿宋_GB2312"/>
          <w:sz w:val="36"/>
          <w:szCs w:val="36"/>
          <w:lang w:val="zh-CN"/>
        </w:rPr>
      </w:pPr>
      <w:r/>
      <w:bookmarkStart w:id="171" w:name="_Hlk67995747"/>
      <w:r>
        <w:rPr>
          <w:rFonts w:hint="eastAsia" w:ascii="方正仿宋_GB2312" w:hAnsi="方正仿宋_GB2312" w:eastAsia="方正仿宋_GB2312" w:cs="方正仿宋_GB2312"/>
          <w:sz w:val="36"/>
          <w:szCs w:val="36"/>
          <w:lang w:val="zh-CN"/>
        </w:rPr>
        <w:t xml:space="preserve">拟参与本项目服务人员一览表</w:t>
      </w:r>
      <w:bookmarkEnd w:id="171"/>
      <w:r/>
      <w:bookmarkStart w:id="172" w:name="_Hlk66378104"/>
      <w:r/>
      <w:bookmarkEnd w:id="172"/>
      <w:r/>
    </w:p>
    <w:p>
      <w:pPr>
        <w:jc w:val="center"/>
        <w:widowControl/>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r>
      <w:r/>
    </w:p>
    <w:p>
      <w:pPr>
        <w:widowControl/>
        <w:rPr>
          <w:rFonts w:hint="eastAsia" w:ascii="方正仿宋_GB2312" w:hAnsi="方正仿宋_GB2312" w:eastAsia="方正仿宋_GB2312" w:cs="方正仿宋_GB2312"/>
          <w:szCs w:val="21"/>
        </w:rPr>
      </w:pPr>
      <w:r/>
      <w:bookmarkStart w:id="173" w:name="_Hlk66784308"/>
      <w:r>
        <w:rPr>
          <w:rFonts w:hint="eastAsia" w:ascii="方正仿宋_GB2312" w:hAnsi="方正仿宋_GB2312" w:eastAsia="方正仿宋_GB2312" w:cs="方正仿宋_GB2312"/>
          <w:szCs w:val="21"/>
        </w:rPr>
        <w:t xml:space="preserve">项目名称：                                 项目编号：</w:t>
      </w:r>
      <w:bookmarkEnd w:id="173"/>
      <w:r/>
    </w:p>
    <w:tbl>
      <w:tblPr>
        <w:tblStyle w:val="73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执业</w:t>
            </w:r>
            <w:r/>
          </w:p>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如：项目负责人等</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说明：</w:t>
      </w:r>
      <w:bookmarkStart w:id="174" w:name="OLE_LINK10"/>
      <w:r>
        <w:rPr>
          <w:rFonts w:hint="eastAsia" w:ascii="方正仿宋_GB2312" w:hAnsi="方正仿宋_GB2312" w:eastAsia="方正仿宋_GB2312" w:cs="方正仿宋_GB2312"/>
          <w:szCs w:val="21"/>
        </w:rPr>
        <w:t xml:space="preserve">如果行数不够，请自行增加。</w:t>
      </w:r>
      <w:bookmarkEnd w:id="174"/>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br w:type="page" w:clear="all"/>
      </w:r>
      <w:r/>
    </w:p>
    <w:p>
      <w:pPr>
        <w:pStyle w:val="721"/>
        <w:rPr>
          <w:rFonts w:hint="eastAsia" w:ascii="方正仿宋_GB2312" w:hAnsi="方正仿宋_GB2312" w:eastAsia="方正仿宋_GB2312" w:cs="方正仿宋_GB2312"/>
          <w:b w:val="0"/>
          <w:bCs w:val="0"/>
        </w:rPr>
      </w:pPr>
      <w:r/>
      <w:bookmarkStart w:id="175" w:name="_Toc43917779"/>
      <w:r/>
      <w:bookmarkStart w:id="176" w:name="_Toc66375432"/>
      <w:r>
        <w:rPr>
          <w:rFonts w:hint="eastAsia" w:ascii="方正仿宋_GB2312" w:hAnsi="方正仿宋_GB2312" w:eastAsia="方正仿宋_GB2312" w:cs="方正仿宋_GB2312"/>
          <w:b w:val="0"/>
          <w:bCs w:val="0"/>
        </w:rPr>
        <w:t xml:space="preserve">附件九：投标人类似业绩情况表</w:t>
      </w:r>
      <w:bookmarkEnd w:id="175"/>
      <w:r/>
      <w:bookmarkEnd w:id="176"/>
      <w:r/>
      <w:r/>
    </w:p>
    <w:p>
      <w:pPr>
        <w:jc w:val="center"/>
        <w:spacing w:line="360" w:lineRule="auto"/>
        <w:widowControl/>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投标人类似业绩情况表</w:t>
      </w:r>
      <w:r/>
    </w:p>
    <w:p>
      <w:pPr>
        <w:jc w:val="left"/>
        <w:spacing w:line="360" w:lineRule="auto"/>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szCs w:val="21"/>
        </w:rPr>
        <w:t xml:space="preserve">项目名称：                                               项目编号：</w:t>
      </w:r>
      <w:r/>
    </w:p>
    <w:tbl>
      <w:tblPr>
        <w:tblStyle w:val="73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序号</w:t>
            </w:r>
            <w:r/>
          </w:p>
        </w:tc>
        <w:tc>
          <w:tcPr>
            <w:tcW w:w="2310"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项目名称</w:t>
            </w:r>
            <w:r/>
          </w:p>
        </w:tc>
        <w:tc>
          <w:tcPr>
            <w:tcW w:w="2257"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采购单位</w:t>
            </w:r>
            <w:r/>
          </w:p>
        </w:tc>
        <w:tc>
          <w:tcPr>
            <w:tcW w:w="1255"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合同金额</w:t>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合同签订</w:t>
            </w:r>
            <w:r/>
          </w:p>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时间</w:t>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联系人及电话</w:t>
            </w:r>
            <w:r/>
          </w:p>
        </w:tc>
        <w:tc>
          <w:tcPr>
            <w:tcW w:w="969"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备注</w:t>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ind w:firstLine="120"/>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bl>
    <w:p>
      <w:pPr>
        <w:spacing w:line="360" w:lineRule="auto"/>
        <w:rPr>
          <w:rFonts w:hint="eastAsia" w:ascii="方正仿宋_GB2312" w:hAnsi="方正仿宋_GB2312" w:eastAsia="方正仿宋_GB2312" w:cs="方正仿宋_GB2312"/>
          <w:b/>
          <w:sz w:val="24"/>
        </w:rPr>
      </w:pPr>
      <w:r/>
      <w:bookmarkStart w:id="177" w:name="_Hlk66784249"/>
      <w:r/>
      <w:r/>
    </w:p>
    <w:p>
      <w:pPr>
        <w:spacing w:line="360" w:lineRule="auto"/>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说</w:t>
      </w:r>
      <w:r>
        <w:rPr>
          <w:rFonts w:hint="eastAsia" w:ascii="方正仿宋_GB2312" w:hAnsi="方正仿宋_GB2312" w:eastAsia="方正仿宋_GB2312" w:cs="方正仿宋_GB2312"/>
          <w:b/>
          <w:szCs w:val="21"/>
        </w:rPr>
        <w:t xml:space="preserve">明：投标人如实填写业绩情况表，</w:t>
      </w:r>
      <w:bookmarkStart w:id="178" w:name="_Hlk66378132"/>
      <w:r>
        <w:rPr>
          <w:rFonts w:hint="eastAsia" w:ascii="方正仿宋_GB2312" w:hAnsi="方正仿宋_GB2312" w:eastAsia="方正仿宋_GB2312" w:cs="方正仿宋_GB2312"/>
          <w:b/>
          <w:szCs w:val="21"/>
        </w:rPr>
        <w:t xml:space="preserve">并根据招标文件要求附业绩证明材料。</w:t>
      </w:r>
      <w:bookmarkEnd w:id="178"/>
      <w:r/>
      <w:bookmarkEnd w:id="177"/>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spacing w:line="360" w:lineRule="auto"/>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r>
      <w:r/>
    </w:p>
    <w:p>
      <w:pPr>
        <w:spacing w:line="360" w:lineRule="auto"/>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clear="all"/>
      </w:r>
      <w:r/>
    </w:p>
    <w:p>
      <w:pPr>
        <w:pStyle w:val="721"/>
        <w:rPr>
          <w:rFonts w:hint="eastAsia" w:ascii="方正仿宋_GB2312" w:hAnsi="方正仿宋_GB2312" w:eastAsia="方正仿宋_GB2312" w:cs="方正仿宋_GB2312"/>
          <w:b w:val="0"/>
          <w:bCs w:val="0"/>
        </w:rPr>
      </w:pPr>
      <w:r/>
      <w:bookmarkStart w:id="179" w:name="_Toc66375433"/>
      <w:r/>
      <w:bookmarkStart w:id="180" w:name="_Toc43917780"/>
      <w:r>
        <w:rPr>
          <w:rFonts w:hint="eastAsia" w:ascii="方正仿宋_GB2312" w:hAnsi="方正仿宋_GB2312" w:eastAsia="方正仿宋_GB2312" w:cs="方正仿宋_GB2312"/>
          <w:b w:val="0"/>
          <w:bCs w:val="0"/>
        </w:rPr>
        <w:t xml:space="preserve">附件十：企业声明函</w:t>
      </w:r>
      <w:bookmarkEnd w:id="179"/>
      <w:r/>
      <w:bookmarkEnd w:id="180"/>
      <w:r/>
      <w:r/>
    </w:p>
    <w:p>
      <w:pPr>
        <w:jc w:val="center"/>
        <w:rPr>
          <w:rFonts w:hint="eastAsia" w:ascii="方正仿宋_GB2312" w:hAnsi="方正仿宋_GB2312" w:eastAsia="方正仿宋_GB2312" w:cs="方正仿宋_GB2312"/>
          <w:b/>
          <w:sz w:val="32"/>
          <w:szCs w:val="32"/>
        </w:rPr>
      </w:pPr>
      <w:r/>
      <w:bookmarkStart w:id="181" w:name="_Hlk84581158"/>
      <w:r/>
      <w:bookmarkStart w:id="182" w:name="OLE_LINK13"/>
      <w:r/>
      <w:bookmarkStart w:id="183" w:name="OLE_LINK14"/>
      <w:r>
        <w:rPr>
          <w:rFonts w:hint="eastAsia" w:ascii="方正仿宋_GB2312" w:hAnsi="方正仿宋_GB2312" w:eastAsia="方正仿宋_GB2312" w:cs="方正仿宋_GB2312"/>
          <w:b/>
          <w:sz w:val="32"/>
          <w:szCs w:val="32"/>
        </w:rPr>
        <w:t xml:space="preserve">中小企业声明函</w:t>
      </w:r>
      <w:r/>
    </w:p>
    <w:p>
      <w:pPr>
        <w:ind w:firstLine="42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本公司（联合体）郑重声明，根据《政府采购促进中小企业发展管理办法》（财库〔2020 ） 46号）的规定，本公司 （联合体）参加</w:t>
      </w:r>
      <w:r>
        <w:rPr>
          <w:rFonts w:hint="eastAsia" w:ascii="方正仿宋_GB2312" w:hAnsi="方正仿宋_GB2312" w:eastAsia="方正仿宋_GB2312" w:cs="方正仿宋_GB2312"/>
          <w:u w:val="single"/>
        </w:rPr>
        <w:t xml:space="preserve">（单位名称）</w:t>
      </w:r>
      <w:r>
        <w:rPr>
          <w:rFonts w:hint="eastAsia" w:ascii="方正仿宋_GB2312" w:hAnsi="方正仿宋_GB2312" w:eastAsia="方正仿宋_GB2312" w:cs="方正仿宋_GB2312"/>
        </w:rPr>
        <w:t xml:space="preserve">的</w:t>
      </w:r>
      <w:r>
        <w:rPr>
          <w:rFonts w:hint="eastAsia" w:ascii="方正仿宋_GB2312" w:hAnsi="方正仿宋_GB2312" w:eastAsia="方正仿宋_GB2312" w:cs="方正仿宋_GB2312"/>
          <w:u w:val="single"/>
        </w:rPr>
        <w:t xml:space="preserve">（项目名称）</w:t>
      </w:r>
      <w:r>
        <w:rPr>
          <w:rFonts w:hint="eastAsia" w:ascii="方正仿宋_GB2312" w:hAnsi="方正仿宋_GB2312" w:eastAsia="方正仿宋_GB2312" w:cs="方正仿宋_GB2312"/>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w:t>
      </w:r>
      <w:r>
        <w:rPr>
          <w:rFonts w:hint="eastAsia" w:ascii="方正仿宋_GB2312" w:hAnsi="方正仿宋_GB2312" w:eastAsia="方正仿宋_GB2312" w:cs="方正仿宋_GB2312"/>
          <w:u w:val="single"/>
        </w:rPr>
        <w:t xml:space="preserve">（标的名称）</w:t>
      </w:r>
      <w:r>
        <w:rPr>
          <w:rFonts w:hint="eastAsia" w:ascii="方正仿宋_GB2312" w:hAnsi="方正仿宋_GB2312" w:eastAsia="方正仿宋_GB2312" w:cs="方正仿宋_GB2312"/>
        </w:rPr>
        <w:t xml:space="preserve">,属于</w:t>
      </w:r>
      <w:r>
        <w:rPr>
          <w:rFonts w:hint="eastAsia" w:ascii="方正仿宋_GB2312" w:hAnsi="方正仿宋_GB2312" w:eastAsia="方正仿宋_GB2312" w:cs="方正仿宋_GB2312"/>
          <w:szCs w:val="21"/>
          <w:u w:val="single"/>
        </w:rPr>
        <w:t xml:space="preserve">其他未列明行业</w:t>
      </w:r>
      <w:r>
        <w:rPr>
          <w:rFonts w:hint="eastAsia" w:ascii="方正仿宋_GB2312" w:hAnsi="方正仿宋_GB2312" w:eastAsia="方正仿宋_GB2312" w:cs="方正仿宋_GB2312"/>
        </w:rPr>
        <w:t xml:space="preserve">, 承建（承接）企业为</w:t>
      </w:r>
      <w:r>
        <w:rPr>
          <w:rFonts w:hint="eastAsia" w:ascii="方正仿宋_GB2312" w:hAnsi="方正仿宋_GB2312" w:eastAsia="方正仿宋_GB2312" w:cs="方正仿宋_GB2312"/>
          <w:u w:val="single"/>
        </w:rPr>
        <w:t xml:space="preserve">（企业名称）</w:t>
      </w:r>
      <w:r>
        <w:rPr>
          <w:rFonts w:hint="eastAsia" w:ascii="方正仿宋_GB2312" w:hAnsi="方正仿宋_GB2312" w:eastAsia="方正仿宋_GB2312" w:cs="方正仿宋_GB2312"/>
        </w:rPr>
        <w:t xml:space="preserve">,从业人员</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人</w:t>
      </w:r>
      <w:r>
        <w:rPr>
          <w:rFonts w:hint="eastAsia" w:ascii="方正仿宋_GB2312" w:hAnsi="方正仿宋_GB2312" w:eastAsia="方正仿宋_GB2312" w:cs="方正仿宋_GB2312"/>
        </w:rPr>
        <w:t xml:space="preserve">，营业收入为</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万元，资产总额为</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万元，属于</w:t>
      </w:r>
      <w:r>
        <w:rPr>
          <w:rFonts w:hint="eastAsia" w:ascii="方正仿宋_GB2312" w:hAnsi="方正仿宋_GB2312" w:eastAsia="方正仿宋_GB2312" w:cs="方正仿宋_GB2312"/>
          <w:u w:val="single"/>
        </w:rPr>
        <w:t xml:space="preserve">（</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中型企业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小型企业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微型企业</w:t>
      </w:r>
      <w:r>
        <w:rPr>
          <w:rFonts w:hint="eastAsia" w:ascii="方正仿宋_GB2312" w:hAnsi="方正仿宋_GB2312" w:eastAsia="方正仿宋_GB2312" w:cs="方正仿宋_GB2312"/>
          <w:u w:val="single"/>
        </w:rPr>
        <w:t xml:space="preserve">）</w:t>
      </w:r>
      <w:r>
        <w:rPr>
          <w:rFonts w:hint="eastAsia" w:ascii="方正仿宋_GB2312" w:hAnsi="方正仿宋_GB2312" w:eastAsia="方正仿宋_GB2312" w:cs="方正仿宋_GB2312"/>
        </w:rPr>
        <w:t xml:space="preserve">；</w:t>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w:t>
      </w:r>
      <w:r>
        <w:rPr>
          <w:rFonts w:hint="eastAsia" w:ascii="方正仿宋_GB2312" w:hAnsi="方正仿宋_GB2312" w:eastAsia="方正仿宋_GB2312" w:cs="方正仿宋_GB2312"/>
          <w:u w:val="single"/>
        </w:rPr>
        <w:t xml:space="preserve">（标的名称）,</w:t>
      </w:r>
      <w:r>
        <w:rPr>
          <w:rFonts w:hint="eastAsia" w:ascii="方正仿宋_GB2312" w:hAnsi="方正仿宋_GB2312" w:eastAsia="方正仿宋_GB2312" w:cs="方正仿宋_GB2312"/>
        </w:rPr>
        <w:t xml:space="preserve">属于</w:t>
      </w:r>
      <w:r>
        <w:rPr>
          <w:rFonts w:hint="eastAsia" w:ascii="方正仿宋_GB2312" w:hAnsi="方正仿宋_GB2312" w:eastAsia="方正仿宋_GB2312" w:cs="方正仿宋_GB2312"/>
          <w:szCs w:val="21"/>
          <w:u w:val="single"/>
        </w:rPr>
        <w:t xml:space="preserve">其他未列明行业</w:t>
      </w:r>
      <w:r>
        <w:rPr>
          <w:rFonts w:hint="eastAsia" w:ascii="方正仿宋_GB2312" w:hAnsi="方正仿宋_GB2312" w:eastAsia="方正仿宋_GB2312" w:cs="方正仿宋_GB2312"/>
        </w:rPr>
        <w:t xml:space="preserve">, 承建（承接）企业为</w:t>
      </w:r>
      <w:r>
        <w:rPr>
          <w:rFonts w:hint="eastAsia" w:ascii="方正仿宋_GB2312" w:hAnsi="方正仿宋_GB2312" w:eastAsia="方正仿宋_GB2312" w:cs="方正仿宋_GB2312"/>
          <w:u w:val="single"/>
        </w:rPr>
        <w:t xml:space="preserve">（企业名称）</w:t>
      </w:r>
      <w:r>
        <w:rPr>
          <w:rFonts w:hint="eastAsia" w:ascii="方正仿宋_GB2312" w:hAnsi="方正仿宋_GB2312" w:eastAsia="方正仿宋_GB2312" w:cs="方正仿宋_GB2312"/>
        </w:rPr>
        <w:t xml:space="preserve">,从业人员</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人</w:t>
      </w:r>
      <w:r>
        <w:rPr>
          <w:rFonts w:hint="eastAsia" w:ascii="方正仿宋_GB2312" w:hAnsi="方正仿宋_GB2312" w:eastAsia="方正仿宋_GB2312" w:cs="方正仿宋_GB2312"/>
        </w:rPr>
        <w:t xml:space="preserve">，营业收入为</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万元，资产总额为</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万元，属于</w:t>
      </w:r>
      <w:r>
        <w:rPr>
          <w:rFonts w:hint="eastAsia" w:ascii="方正仿宋_GB2312" w:hAnsi="方正仿宋_GB2312" w:eastAsia="方正仿宋_GB2312" w:cs="方正仿宋_GB2312"/>
          <w:szCs w:val="21"/>
          <w:u w:val="single"/>
        </w:rPr>
        <w:t xml:space="preserve">（</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中型企业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小型企业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微型企业</w:t>
      </w:r>
      <w:r>
        <w:rPr>
          <w:rFonts w:hint="eastAsia" w:ascii="方正仿宋_GB2312" w:hAnsi="方正仿宋_GB2312" w:eastAsia="方正仿宋_GB2312" w:cs="方正仿宋_GB2312"/>
          <w:u w:val="single"/>
        </w:rPr>
        <w:t xml:space="preserve">）</w:t>
      </w:r>
      <w:r>
        <w:rPr>
          <w:rFonts w:hint="eastAsia" w:ascii="方正仿宋_GB2312" w:hAnsi="方正仿宋_GB2312" w:eastAsia="方正仿宋_GB2312" w:cs="方正仿宋_GB2312"/>
        </w:rPr>
        <w:t xml:space="preserve">；</w:t>
      </w:r>
      <w:r>
        <w:rPr>
          <w:rFonts w:hint="eastAsia" w:ascii="方正仿宋_GB2312" w:hAnsi="方正仿宋_GB2312" w:eastAsia="方正仿宋_GB2312" w:cs="方正仿宋_GB2312"/>
        </w:rPr>
        <w:tab/>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本企业对上述声明内容的真实性负责。如有虚假，将依法承担相应责任。</w:t>
      </w:r>
      <w:r/>
    </w:p>
    <w:p>
      <w:pPr>
        <w:ind w:firstLine="420"/>
        <w:jc w:val="righ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企业名称：（加盖电子公章）</w:t>
      </w:r>
      <w:r/>
    </w:p>
    <w:p>
      <w:pPr>
        <w:ind w:right="1890" w:firstLine="420"/>
        <w:jc w:val="righ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日  期：</w:t>
      </w:r>
      <w:r/>
    </w:p>
    <w:p>
      <w:pPr>
        <w:ind w:firstLine="422"/>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备注：1. 投标人在所属企业类型前的¨内打“√”。</w:t>
      </w:r>
      <w:r/>
    </w:p>
    <w:p>
      <w:pPr>
        <w:ind w:firstLine="422"/>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2.“中小企业划型标准”详见《关于印发中小企业划型标准规定的通知》工信部联企业〔2011〕300号及《国家统计局关于印发&lt;统计上大中小微型企业划分办法（2017）&gt;的通知》国统字〔2017〕213号）</w:t>
      </w:r>
      <w:r/>
    </w:p>
    <w:p>
      <w:pPr>
        <w:ind w:firstLine="1054"/>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spacing w:line="360" w:lineRule="auto"/>
        <w:rPr>
          <w:rFonts w:hint="eastAsia" w:ascii="方正仿宋_GB2312" w:hAnsi="方正仿宋_GB2312" w:eastAsia="方正仿宋_GB2312" w:cs="方正仿宋_GB2312"/>
          <w:b/>
          <w:bCs/>
          <w:sz w:val="28"/>
        </w:rPr>
      </w:pPr>
      <w:r>
        <w:rPr>
          <w:rFonts w:hint="eastAsia" w:ascii="方正仿宋_GB2312" w:hAnsi="方正仿宋_GB2312" w:eastAsia="方正仿宋_GB2312" w:cs="方正仿宋_GB2312"/>
          <w:b/>
          <w:bCs/>
          <w:sz w:val="28"/>
        </w:rPr>
      </w:r>
      <w:r/>
    </w:p>
    <w:p>
      <w:pPr>
        <w:spacing w:line="360" w:lineRule="auto"/>
        <w:rPr>
          <w:rFonts w:hint="eastAsia" w:ascii="方正仿宋_GB2312" w:hAnsi="方正仿宋_GB2312" w:eastAsia="方正仿宋_GB2312" w:cs="方正仿宋_GB2312"/>
          <w:b/>
          <w:bCs/>
          <w:sz w:val="28"/>
        </w:rPr>
      </w:pPr>
      <w:r>
        <w:rPr>
          <w:rFonts w:hint="eastAsia" w:ascii="方正仿宋_GB2312" w:hAnsi="方正仿宋_GB2312" w:eastAsia="方正仿宋_GB2312" w:cs="方正仿宋_GB2312"/>
          <w:b/>
          <w:bCs/>
          <w:sz w:val="28"/>
        </w:rPr>
      </w:r>
      <w:r/>
    </w:p>
    <w:p>
      <w:pPr>
        <w:spacing w:line="360" w:lineRule="auto"/>
        <w:rPr>
          <w:rFonts w:hint="eastAsia" w:ascii="方正仿宋_GB2312" w:hAnsi="方正仿宋_GB2312" w:eastAsia="方正仿宋_GB2312" w:cs="方正仿宋_GB2312"/>
          <w:b/>
          <w:bCs/>
          <w:sz w:val="28"/>
        </w:rPr>
      </w:pPr>
      <w:r>
        <w:rPr>
          <w:rFonts w:hint="eastAsia" w:ascii="方正仿宋_GB2312" w:hAnsi="方正仿宋_GB2312" w:eastAsia="方正仿宋_GB2312" w:cs="方正仿宋_GB2312"/>
          <w:b/>
          <w:bCs/>
          <w:sz w:val="28"/>
        </w:rPr>
      </w:r>
      <w:r/>
    </w:p>
    <w:p>
      <w:pPr>
        <w:rPr>
          <w:rFonts w:hint="eastAsia" w:ascii="方正仿宋_GB2312" w:hAnsi="方正仿宋_GB2312" w:eastAsia="方正仿宋_GB2312" w:cs="方正仿宋_GB2312"/>
          <w:b/>
          <w:bCs/>
          <w:sz w:val="28"/>
        </w:rPr>
      </w:pPr>
      <w:r>
        <w:rPr>
          <w:rFonts w:hint="eastAsia" w:ascii="方正仿宋_GB2312" w:hAnsi="方正仿宋_GB2312" w:eastAsia="方正仿宋_GB2312" w:cs="方正仿宋_GB2312"/>
          <w:b/>
          <w:bCs/>
          <w:sz w:val="28"/>
        </w:rPr>
        <w:br w:type="page" w:clear="all"/>
      </w:r>
      <w:bookmarkEnd w:id="181"/>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残疾人福利性单位声明函</w:t>
      </w:r>
      <w:bookmarkEnd w:id="182"/>
      <w:bookmarkEnd w:id="183"/>
      <w:r/>
    </w:p>
    <w:p>
      <w:pPr>
        <w:ind w:firstLine="42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本单位对上述声明的真实性负责。如有虚假，将依法承担相应责任。</w:t>
      </w:r>
      <w:r/>
    </w:p>
    <w:p>
      <w:pPr>
        <w:ind w:firstLine="504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单位名称：（加盖电子公章）</w:t>
      </w:r>
      <w:r/>
    </w:p>
    <w:p>
      <w:pPr>
        <w:ind w:firstLine="504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  期：</w:t>
      </w:r>
      <w:r/>
    </w:p>
    <w:p>
      <w:pPr>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属于监狱企业的证明文件</w:t>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（提供由省级以上监狱管理局、戒毒管理局（含新疆生产建设兵团）出具的属于监狱企业的证明文件）</w:t>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clear="all"/>
      </w:r>
      <w:r/>
    </w:p>
    <w:p>
      <w:pPr>
        <w:pStyle w:val="721"/>
        <w:rPr>
          <w:rFonts w:hint="eastAsia" w:ascii="方正仿宋_GB2312" w:hAnsi="方正仿宋_GB2312" w:eastAsia="方正仿宋_GB2312" w:cs="方正仿宋_GB2312"/>
          <w:b w:val="0"/>
          <w:bCs w:val="0"/>
        </w:rPr>
      </w:pPr>
      <w:r/>
      <w:bookmarkStart w:id="184" w:name="_Toc43917781"/>
      <w:r/>
      <w:bookmarkStart w:id="185" w:name="_Toc66375434"/>
      <w:r>
        <w:rPr>
          <w:rFonts w:hint="eastAsia" w:ascii="方正仿宋_GB2312" w:hAnsi="方正仿宋_GB2312" w:eastAsia="方正仿宋_GB2312" w:cs="方正仿宋_GB2312"/>
          <w:b w:val="0"/>
          <w:bCs w:val="0"/>
        </w:rPr>
        <w:t xml:space="preserve">附件十一：无重大违法记录声明</w:t>
      </w:r>
      <w:bookmarkEnd w:id="184"/>
      <w:r/>
      <w:bookmarkEnd w:id="185"/>
      <w:r/>
      <w:r/>
    </w:p>
    <w:p>
      <w:pPr>
        <w:jc w:val="center"/>
        <w:spacing w:line="240" w:lineRule="atLeast"/>
        <w:rPr>
          <w:rFonts w:hint="eastAsia" w:ascii="方正仿宋_GB2312" w:hAnsi="方正仿宋_GB2312" w:eastAsia="方正仿宋_GB2312" w:cs="方正仿宋_GB2312"/>
          <w:sz w:val="28"/>
          <w:szCs w:val="36"/>
        </w:rPr>
      </w:pPr>
      <w:r>
        <w:rPr>
          <w:rFonts w:hint="eastAsia" w:ascii="方正仿宋_GB2312" w:hAnsi="方正仿宋_GB2312" w:eastAsia="方正仿宋_GB2312" w:cs="方正仿宋_GB2312"/>
          <w:sz w:val="28"/>
          <w:szCs w:val="36"/>
        </w:rPr>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无重大违法记录声明</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致：</w:t>
      </w:r>
      <w:r>
        <w:rPr>
          <w:rFonts w:hint="eastAsia" w:ascii="方正仿宋_GB2312" w:hAnsi="方正仿宋_GB2312" w:eastAsia="方正仿宋_GB2312" w:cs="方正仿宋_GB2312"/>
          <w:szCs w:val="21"/>
        </w:rPr>
        <w:t xml:space="preserve">南京市生态环境监测监控中心</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我单位（投标人名称）郑重声明：</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参加政府采购活动前3年内在经营活动中</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 （在下划线上如实填写：有或没有）重大违法记录。</w:t>
      </w:r>
      <w:r/>
    </w:p>
    <w:p>
      <w:pPr>
        <w:ind w:firstLine="315"/>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ind w:firstLine="5103"/>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声明人： （</w:t>
      </w:r>
      <w:r>
        <w:rPr>
          <w:rFonts w:hint="eastAsia" w:ascii="方正仿宋_GB2312" w:hAnsi="方正仿宋_GB2312" w:eastAsia="方正仿宋_GB2312" w:cs="方正仿宋_GB2312"/>
        </w:rPr>
        <w:t xml:space="preserve">加盖电子公章</w:t>
      </w:r>
      <w:r>
        <w:rPr>
          <w:rFonts w:hint="eastAsia" w:ascii="方正仿宋_GB2312" w:hAnsi="方正仿宋_GB2312" w:eastAsia="方正仿宋_GB2312" w:cs="方正仿宋_GB2312"/>
        </w:rPr>
        <w:t xml:space="preserve">）</w:t>
      </w:r>
      <w:r/>
    </w:p>
    <w:p>
      <w:pPr>
        <w:ind w:firstLine="5040"/>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t xml:space="preserve">日   期：    年   月  日</w:t>
      </w:r>
      <w:r>
        <w:rPr>
          <w:rFonts w:hint="eastAsia" w:ascii="方正仿宋_GB2312" w:hAnsi="方正仿宋_GB2312" w:eastAsia="方正仿宋_GB2312" w:cs="方正仿宋_GB2312"/>
          <w:szCs w:val="21"/>
          <w:lang w:val="zh-CN"/>
        </w:rPr>
        <w:br w:type="page" w:clear="all"/>
      </w:r>
      <w:r/>
    </w:p>
    <w:p>
      <w:pPr>
        <w:pStyle w:val="721"/>
        <w:rPr>
          <w:rFonts w:hint="eastAsia" w:ascii="方正仿宋_GB2312" w:hAnsi="方正仿宋_GB2312" w:eastAsia="方正仿宋_GB2312" w:cs="方正仿宋_GB2312"/>
          <w:b w:val="0"/>
          <w:bCs w:val="0"/>
        </w:rPr>
      </w:pPr>
      <w:r/>
      <w:bookmarkStart w:id="186" w:name="_Toc1487"/>
      <w:r>
        <w:rPr>
          <w:rFonts w:hint="eastAsia" w:ascii="方正仿宋_GB2312" w:hAnsi="方正仿宋_GB2312" w:eastAsia="方正仿宋_GB2312" w:cs="方正仿宋_GB2312"/>
          <w:b w:val="0"/>
          <w:bCs w:val="0"/>
        </w:rPr>
        <w:t xml:space="preserve">附件十二：具有履行合同所必需的设备和专业技术能力的声明</w:t>
      </w:r>
      <w:bookmarkEnd w:id="186"/>
      <w:r/>
      <w:r/>
    </w:p>
    <w:p>
      <w:pPr>
        <w:jc w:val="center"/>
        <w:spacing w:line="240" w:lineRule="atLeast"/>
        <w:rPr>
          <w:rFonts w:hint="eastAsia" w:ascii="方正仿宋_GB2312" w:hAnsi="方正仿宋_GB2312" w:eastAsia="方正仿宋_GB2312" w:cs="方正仿宋_GB2312"/>
          <w:b/>
          <w:bCs/>
          <w:sz w:val="32"/>
          <w:szCs w:val="32"/>
        </w:rPr>
      </w:pPr>
      <w:r/>
      <w:bookmarkStart w:id="187" w:name="_Toc3130"/>
      <w:r/>
      <w:r/>
    </w:p>
    <w:p>
      <w:pPr>
        <w:jc w:val="center"/>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具有履行合同所必需的设备和专业技术能力的声明</w:t>
      </w:r>
      <w:bookmarkEnd w:id="187"/>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致：南京市生态环境监测监控中心</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我单位（投标人名称）郑重声明：</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主要设备有：</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主要专业技术能力有：</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left="630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声明人：（</w:t>
      </w:r>
      <w:r>
        <w:rPr>
          <w:rFonts w:hint="eastAsia" w:ascii="方正仿宋_GB2312" w:hAnsi="方正仿宋_GB2312" w:eastAsia="方正仿宋_GB2312" w:cs="方正仿宋_GB2312"/>
        </w:rPr>
        <w:t xml:space="preserve">加盖电子公章</w:t>
      </w:r>
      <w:r>
        <w:rPr>
          <w:rFonts w:hint="eastAsia" w:ascii="方正仿宋_GB2312" w:hAnsi="方正仿宋_GB2312" w:eastAsia="方正仿宋_GB2312" w:cs="方正仿宋_GB2312"/>
          <w:szCs w:val="21"/>
        </w:rPr>
        <w:t xml:space="preserve">）</w:t>
      </w:r>
      <w:r/>
    </w:p>
    <w:p>
      <w:pPr>
        <w:ind w:left="630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日期：  年  月  日</w:t>
      </w:r>
      <w:r/>
    </w:p>
    <w:p>
      <w:pPr>
        <w:ind w:firstLine="5040"/>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_GBK">
    <w:panose1 w:val="020B0503020202020204"/>
  </w:font>
  <w:font w:name="Symbol">
    <w:panose1 w:val="05050102010706020507"/>
  </w:font>
  <w:font w:name="Wingdings">
    <w:panose1 w:val="05000000000000000000"/>
  </w:font>
  <w:font w:name="Arial Unicode MS">
    <w:panose1 w:val="020B0604020202020204"/>
  </w:font>
  <w:font w:name="等线">
    <w:panose1 w:val="02010600030101010101"/>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方正公文小标宋">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74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left"/>
      <w:tabs>
        <w:tab w:val="left" w:pos="444" w:leader="none"/>
        <w:tab w:val="center" w:pos="4253" w:leader="none"/>
      </w:tabs>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4294444032" behindDoc="1" locked="0" layoutInCell="1" allowOverlap="1">
              <wp:simplePos x="0" y="0"/>
              <wp:positionH relativeFrom="margin">
                <wp:align>center</wp:align>
              </wp:positionH>
              <wp:positionV relativeFrom="margin">
                <wp:align>center</wp:align>
              </wp:positionV>
              <wp:extent cx="6925945" cy="532130"/>
              <wp:effectExtent l="0" t="0" r="0" b="0"/>
              <wp:wrapNone/>
              <wp:docPr id="1" name=""/>
              <wp:cNvGraphicFramePr/>
              <a:graphic xmlns:a="http://schemas.openxmlformats.org/drawingml/2006/main">
                <a:graphicData uri="http://schemas.microsoft.com/office/word/2010/wordprocessingShape">
                  <wps:wsp>
                    <wps:cNvPr id="0" name=""/>
                    <wps:cNvSpPr/>
                    <wps:spPr bwMode="auto">
                      <a:xfrm rot="18900000">
                        <a:off x="0" y="0"/>
                        <a:ext cx="6925945" cy="532130"/>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4294444032;o:allowoverlap:true;o:allowincell:true;mso-position-horizontal-relative:margin;mso-position-horizontal:center;mso-position-vertical-relative:margin;mso-position-vertical:center;width:545.4pt;height:41.9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v:textbox>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4294445056" behindDoc="1" locked="0" layoutInCell="1" allowOverlap="1">
              <wp:simplePos x="0" y="0"/>
              <wp:positionH relativeFrom="margin">
                <wp:align>center</wp:align>
              </wp:positionH>
              <wp:positionV relativeFrom="margin">
                <wp:align>center</wp:align>
              </wp:positionV>
              <wp:extent cx="6925945" cy="532130"/>
              <wp:effectExtent l="0" t="0" r="0" b="0"/>
              <wp:wrapNone/>
              <wp:docPr id="2" name=""/>
              <wp:cNvGraphicFramePr/>
              <a:graphic xmlns:a="http://schemas.openxmlformats.org/drawingml/2006/main">
                <a:graphicData uri="http://schemas.microsoft.com/office/word/2010/wordprocessingShape">
                  <wps:wsp>
                    <wps:cNvPr id="0" name=""/>
                    <wps:cNvSpPr/>
                    <wps:spPr bwMode="auto">
                      <a:xfrm rot="18900000">
                        <a:off x="0" y="0"/>
                        <a:ext cx="6925945" cy="532130"/>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4294445056;o:allowoverlap:true;o:allowincell:true;mso-position-horizontal-relative:margin;mso-position-horizontal:center;mso-position-vertical-relative:margin;mso-position-vertical:center;width:545.4pt;height:41.9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20"/>
      <w:isLgl w:val="false"/>
      <w:suff w:val="nothing"/>
      <w:lvlText w:val="第%1章"/>
      <w:lvlJc w:val="left"/>
      <w:pPr>
        <w:ind w:left="567" w:firstLine="0"/>
      </w:pPr>
    </w:lvl>
    <w:lvl w:ilvl="1">
      <w:start w:val="1"/>
      <w:numFmt w:val="none"/>
      <w:pStyle w:val="721"/>
      <w:isLgl w:val="false"/>
      <w:suff w:val="nothing"/>
      <w:lvlText w:val=""/>
      <w:lvlJc w:val="left"/>
      <w:pPr>
        <w:ind w:left="0" w:firstLine="0"/>
      </w:pPr>
    </w:lvl>
    <w:lvl w:ilvl="2">
      <w:start w:val="1"/>
      <w:numFmt w:val="none"/>
      <w:pStyle w:val="722"/>
      <w:isLgl w:val="false"/>
      <w:suff w:val="nothing"/>
      <w:lvlText w:val=""/>
      <w:lvlJc w:val="left"/>
      <w:pPr>
        <w:ind w:left="0" w:firstLine="0"/>
      </w:pPr>
    </w:lvl>
    <w:lvl w:ilvl="3">
      <w:start w:val="1"/>
      <w:numFmt w:val="none"/>
      <w:pStyle w:val="723"/>
      <w:isLgl w:val="false"/>
      <w:suff w:val="nothing"/>
      <w:lvlText w:val=""/>
      <w:lvlJc w:val="left"/>
      <w:pPr>
        <w:ind w:left="0" w:firstLine="0"/>
      </w:pPr>
    </w:lvl>
    <w:lvl w:ilvl="4">
      <w:start w:val="1"/>
      <w:numFmt w:val="none"/>
      <w:pStyle w:val="724"/>
      <w:isLgl w:val="false"/>
      <w:suff w:val="nothing"/>
      <w:lvlText w:val=""/>
      <w:lvlJc w:val="left"/>
      <w:pPr>
        <w:ind w:left="0" w:firstLine="0"/>
      </w:pPr>
    </w:lvl>
    <w:lvl w:ilvl="5">
      <w:start w:val="1"/>
      <w:numFmt w:val="none"/>
      <w:pStyle w:val="725"/>
      <w:isLgl w:val="false"/>
      <w:suff w:val="nothing"/>
      <w:lvlText w:val=""/>
      <w:lvlJc w:val="left"/>
      <w:pPr>
        <w:ind w:left="0" w:firstLine="0"/>
      </w:pPr>
    </w:lvl>
    <w:lvl w:ilvl="6">
      <w:start w:val="1"/>
      <w:numFmt w:val="none"/>
      <w:pStyle w:val="726"/>
      <w:isLgl w:val="false"/>
      <w:suff w:val="nothing"/>
      <w:lvlText w:val=""/>
      <w:lvlJc w:val="left"/>
      <w:pPr>
        <w:ind w:left="0" w:firstLine="0"/>
      </w:pPr>
    </w:lvl>
    <w:lvl w:ilvl="7">
      <w:start w:val="1"/>
      <w:numFmt w:val="none"/>
      <w:pStyle w:val="727"/>
      <w:isLgl w:val="false"/>
      <w:suff w:val="nothing"/>
      <w:lvlText w:val=""/>
      <w:lvlJc w:val="left"/>
      <w:pPr>
        <w:ind w:left="0" w:firstLine="0"/>
      </w:pPr>
    </w:lvl>
    <w:lvl w:ilvl="8">
      <w:start w:val="1"/>
      <w:numFmt w:val="none"/>
      <w:pStyle w:val="728"/>
      <w:isLgl w:val="false"/>
      <w:suff w:val="nothing"/>
      <w:lvlText w:val=""/>
      <w:lvlJc w:val="left"/>
      <w:pPr>
        <w:ind w:left="0" w:firstLine="0"/>
      </w:pPr>
    </w:lvl>
  </w:abstractNum>
  <w:abstractNum w:abstractNumId="1">
    <w:multiLevelType w:val="hybridMultilevel"/>
    <w:lvl w:ilvl="0">
      <w:start w:val="1"/>
      <w:numFmt w:val="chineseCountingThousand"/>
      <w:pStyle w:val="79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13"/>
      <w:isLgl/>
      <w:suff w:val="tab"/>
      <w:lvlText w:val="%1.%2"/>
      <w:lvlJc w:val="left"/>
      <w:pPr>
        <w:ind w:left="425" w:hanging="425"/>
      </w:pPr>
      <w:rPr>
        <w:rFonts w:hint="eastAsia" w:ascii="Arial Unicode MS" w:hAnsi="Arial Unicode MS" w:eastAsia="微软雅黑"/>
        <w:b/>
        <w:i w:val="0"/>
      </w:rPr>
    </w:lvl>
    <w:lvl w:ilvl="2">
      <w:start w:val="1"/>
      <w:numFmt w:val="decimal"/>
      <w:pStyle w:val="82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6"/>
      <w:isLgl w:val="false"/>
      <w:suff w:val="tab"/>
      <w:lvlText w:val="%6."/>
      <w:lvlJc w:val="left"/>
      <w:pPr>
        <w:ind w:left="4320" w:hanging="360"/>
        <w:tabs>
          <w:tab w:val="left" w:pos="4320" w:leader="none"/>
        </w:tabs>
      </w:pPr>
    </w:lvl>
    <w:lvl w:ilvl="6">
      <w:start w:val="1"/>
      <w:numFmt w:val="decimal"/>
      <w:pStyle w:val="917"/>
      <w:isLgl w:val="false"/>
      <w:suff w:val="tab"/>
      <w:lvlText w:val="%7."/>
      <w:lvlJc w:val="left"/>
      <w:pPr>
        <w:ind w:left="5040" w:hanging="360"/>
        <w:tabs>
          <w:tab w:val="left" w:pos="5040" w:leader="none"/>
        </w:tabs>
      </w:pPr>
    </w:lvl>
    <w:lvl w:ilvl="7">
      <w:start w:val="1"/>
      <w:numFmt w:val="decimal"/>
      <w:pStyle w:val="918"/>
      <w:isLgl w:val="false"/>
      <w:suff w:val="tab"/>
      <w:lvlText w:val="%8."/>
      <w:lvlJc w:val="left"/>
      <w:pPr>
        <w:ind w:left="5760" w:hanging="360"/>
        <w:tabs>
          <w:tab w:val="left" w:pos="5760" w:leader="none"/>
        </w:tabs>
      </w:pPr>
    </w:lvl>
    <w:lvl w:ilvl="8">
      <w:start w:val="1"/>
      <w:numFmt w:val="decimal"/>
      <w:pStyle w:val="919"/>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9"/>
    <w:link w:val="720"/>
    <w:uiPriority w:val="9"/>
    <w:rPr>
      <w:rFonts w:ascii="Arial" w:hAnsi="Arial" w:eastAsia="Arial" w:cs="Arial"/>
      <w:sz w:val="40"/>
      <w:szCs w:val="40"/>
    </w:rPr>
  </w:style>
  <w:style w:type="character" w:styleId="15">
    <w:name w:val="Heading 2 Char"/>
    <w:basedOn w:val="729"/>
    <w:link w:val="721"/>
    <w:uiPriority w:val="9"/>
    <w:rPr>
      <w:rFonts w:ascii="Arial" w:hAnsi="Arial" w:eastAsia="Arial" w:cs="Arial"/>
      <w:sz w:val="34"/>
    </w:rPr>
  </w:style>
  <w:style w:type="character" w:styleId="17">
    <w:name w:val="Heading 3 Char"/>
    <w:basedOn w:val="729"/>
    <w:link w:val="722"/>
    <w:uiPriority w:val="9"/>
    <w:rPr>
      <w:rFonts w:ascii="Arial" w:hAnsi="Arial" w:eastAsia="Arial" w:cs="Arial"/>
      <w:sz w:val="30"/>
      <w:szCs w:val="30"/>
    </w:rPr>
  </w:style>
  <w:style w:type="character" w:styleId="19">
    <w:name w:val="Heading 4 Char"/>
    <w:basedOn w:val="729"/>
    <w:link w:val="723"/>
    <w:uiPriority w:val="9"/>
    <w:rPr>
      <w:rFonts w:ascii="Arial" w:hAnsi="Arial" w:eastAsia="Arial" w:cs="Arial"/>
      <w:b/>
      <w:bCs/>
      <w:sz w:val="26"/>
      <w:szCs w:val="26"/>
    </w:rPr>
  </w:style>
  <w:style w:type="character" w:styleId="21">
    <w:name w:val="Heading 5 Char"/>
    <w:basedOn w:val="729"/>
    <w:link w:val="724"/>
    <w:uiPriority w:val="9"/>
    <w:rPr>
      <w:rFonts w:ascii="Arial" w:hAnsi="Arial" w:eastAsia="Arial" w:cs="Arial"/>
      <w:b/>
      <w:bCs/>
      <w:sz w:val="24"/>
      <w:szCs w:val="24"/>
    </w:rPr>
  </w:style>
  <w:style w:type="character" w:styleId="23">
    <w:name w:val="Heading 6 Char"/>
    <w:basedOn w:val="729"/>
    <w:link w:val="725"/>
    <w:uiPriority w:val="9"/>
    <w:rPr>
      <w:rFonts w:ascii="Arial" w:hAnsi="Arial" w:eastAsia="Arial" w:cs="Arial"/>
      <w:b/>
      <w:bCs/>
      <w:sz w:val="22"/>
      <w:szCs w:val="22"/>
    </w:rPr>
  </w:style>
  <w:style w:type="character" w:styleId="25">
    <w:name w:val="Heading 7 Char"/>
    <w:basedOn w:val="729"/>
    <w:link w:val="726"/>
    <w:uiPriority w:val="9"/>
    <w:rPr>
      <w:rFonts w:ascii="Arial" w:hAnsi="Arial" w:eastAsia="Arial" w:cs="Arial"/>
      <w:b/>
      <w:bCs/>
      <w:i/>
      <w:iCs/>
      <w:sz w:val="22"/>
      <w:szCs w:val="22"/>
    </w:rPr>
  </w:style>
  <w:style w:type="character" w:styleId="27">
    <w:name w:val="Heading 8 Char"/>
    <w:basedOn w:val="729"/>
    <w:link w:val="727"/>
    <w:uiPriority w:val="9"/>
    <w:rPr>
      <w:rFonts w:ascii="Arial" w:hAnsi="Arial" w:eastAsia="Arial" w:cs="Arial"/>
      <w:i/>
      <w:iCs/>
      <w:sz w:val="22"/>
      <w:szCs w:val="22"/>
    </w:rPr>
  </w:style>
  <w:style w:type="character" w:styleId="29">
    <w:name w:val="Heading 9 Char"/>
    <w:basedOn w:val="729"/>
    <w:link w:val="7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29"/>
    <w:link w:val="761"/>
    <w:uiPriority w:val="10"/>
    <w:rPr>
      <w:sz w:val="48"/>
      <w:szCs w:val="48"/>
    </w:rPr>
  </w:style>
  <w:style w:type="character" w:styleId="36">
    <w:name w:val="Subtitle Char"/>
    <w:basedOn w:val="729"/>
    <w:link w:val="753"/>
    <w:uiPriority w:val="11"/>
    <w:rPr>
      <w:sz w:val="24"/>
      <w:szCs w:val="24"/>
    </w:rPr>
  </w:style>
  <w:style w:type="paragraph" w:styleId="37">
    <w:name w:val="Quote"/>
    <w:basedOn w:val="719"/>
    <w:next w:val="719"/>
    <w:link w:val="38"/>
    <w:uiPriority w:val="29"/>
    <w:qFormat/>
    <w:pPr>
      <w:ind w:left="720" w:right="720"/>
    </w:pPr>
    <w:rPr>
      <w:i/>
    </w:rPr>
  </w:style>
  <w:style w:type="character" w:styleId="38">
    <w:name w:val="Quote Char"/>
    <w:link w:val="37"/>
    <w:uiPriority w:val="29"/>
    <w:rPr>
      <w:i/>
    </w:rPr>
  </w:style>
  <w:style w:type="paragraph" w:styleId="39">
    <w:name w:val="Intense Quote"/>
    <w:basedOn w:val="719"/>
    <w:next w:val="7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9"/>
    <w:link w:val="750"/>
    <w:uiPriority w:val="99"/>
  </w:style>
  <w:style w:type="character" w:styleId="44">
    <w:name w:val="Footer Char"/>
    <w:basedOn w:val="729"/>
    <w:link w:val="749"/>
    <w:uiPriority w:val="99"/>
  </w:style>
  <w:style w:type="character" w:styleId="46">
    <w:name w:val="Caption Char"/>
    <w:basedOn w:val="734"/>
    <w:link w:val="749"/>
    <w:uiPriority w:val="99"/>
  </w:style>
  <w:style w:type="table" w:styleId="48">
    <w:name w:val="Table Grid Light"/>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9"/>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9"/>
    <w:uiPriority w:val="99"/>
    <w:semiHidden/>
    <w:unhideWhenUsed/>
    <w:rPr>
      <w:vertAlign w:val="superscript"/>
    </w:r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0">
    <w:name w:val="Heading 1"/>
    <w:basedOn w:val="719"/>
    <w:next w:val="719"/>
    <w:link w:val="902"/>
    <w:uiPriority w:val="0"/>
    <w:qFormat/>
    <w:pPr>
      <w:numPr>
        <w:ilvl w:val="0"/>
        <w:numId w:val="1"/>
      </w:numPr>
      <w:jc w:val="center"/>
      <w:keepLines/>
      <w:keepNext/>
      <w:spacing w:before="340" w:after="330" w:line="578" w:lineRule="auto"/>
      <w:outlineLvl w:val="0"/>
    </w:pPr>
    <w:rPr>
      <w:rFonts w:eastAsia="方正公文小标宋"/>
      <w:b/>
      <w:bCs/>
      <w:sz w:val="44"/>
      <w:szCs w:val="44"/>
    </w:rPr>
  </w:style>
  <w:style w:type="paragraph" w:styleId="721">
    <w:name w:val="Heading 2"/>
    <w:basedOn w:val="719"/>
    <w:next w:val="719"/>
    <w:link w:val="83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22">
    <w:name w:val="Heading 3"/>
    <w:basedOn w:val="719"/>
    <w:next w:val="719"/>
    <w:link w:val="873"/>
    <w:uiPriority w:val="0"/>
    <w:qFormat/>
    <w:pPr>
      <w:numPr>
        <w:ilvl w:val="2"/>
        <w:numId w:val="1"/>
      </w:numPr>
      <w:keepLines/>
      <w:keepNext/>
      <w:spacing w:before="260" w:after="260" w:line="416" w:lineRule="auto"/>
      <w:outlineLvl w:val="2"/>
    </w:pPr>
    <w:rPr>
      <w:b/>
      <w:bCs/>
      <w:sz w:val="32"/>
      <w:szCs w:val="32"/>
    </w:rPr>
  </w:style>
  <w:style w:type="paragraph" w:styleId="723">
    <w:name w:val="Heading 4"/>
    <w:basedOn w:val="719"/>
    <w:next w:val="719"/>
    <w:link w:val="90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24">
    <w:name w:val="Heading 5"/>
    <w:basedOn w:val="719"/>
    <w:next w:val="719"/>
    <w:link w:val="863"/>
    <w:uiPriority w:val="0"/>
    <w:qFormat/>
    <w:pPr>
      <w:numPr>
        <w:ilvl w:val="4"/>
        <w:numId w:val="1"/>
      </w:numPr>
      <w:keepLines/>
      <w:keepNext/>
      <w:spacing w:before="280" w:after="290" w:line="376" w:lineRule="auto"/>
      <w:outlineLvl w:val="4"/>
    </w:pPr>
    <w:rPr>
      <w:b/>
      <w:bCs/>
      <w:sz w:val="28"/>
      <w:szCs w:val="28"/>
    </w:rPr>
  </w:style>
  <w:style w:type="paragraph" w:styleId="725">
    <w:name w:val="Heading 6"/>
    <w:basedOn w:val="719"/>
    <w:next w:val="719"/>
    <w:link w:val="851"/>
    <w:uiPriority w:val="0"/>
    <w:qFormat/>
    <w:pPr>
      <w:numPr>
        <w:ilvl w:val="5"/>
        <w:numId w:val="1"/>
      </w:numPr>
      <w:keepLines/>
      <w:keepNext/>
      <w:spacing w:before="240" w:after="64" w:line="320" w:lineRule="auto"/>
      <w:outlineLvl w:val="5"/>
    </w:pPr>
    <w:rPr>
      <w:rFonts w:ascii="Cambria" w:hAnsi="Cambria"/>
      <w:b/>
      <w:bCs/>
      <w:sz w:val="24"/>
    </w:rPr>
  </w:style>
  <w:style w:type="paragraph" w:styleId="726">
    <w:name w:val="Heading 7"/>
    <w:basedOn w:val="719"/>
    <w:next w:val="719"/>
    <w:link w:val="901"/>
    <w:uiPriority w:val="0"/>
    <w:qFormat/>
    <w:pPr>
      <w:numPr>
        <w:ilvl w:val="6"/>
        <w:numId w:val="1"/>
      </w:numPr>
      <w:keepLines/>
      <w:keepNext/>
      <w:spacing w:before="240" w:after="64" w:line="320" w:lineRule="auto"/>
      <w:outlineLvl w:val="6"/>
    </w:pPr>
    <w:rPr>
      <w:b/>
      <w:bCs/>
      <w:sz w:val="24"/>
    </w:rPr>
  </w:style>
  <w:style w:type="paragraph" w:styleId="727">
    <w:name w:val="Heading 8"/>
    <w:basedOn w:val="719"/>
    <w:next w:val="719"/>
    <w:link w:val="887"/>
    <w:uiPriority w:val="0"/>
    <w:qFormat/>
    <w:pPr>
      <w:numPr>
        <w:ilvl w:val="7"/>
        <w:numId w:val="1"/>
      </w:numPr>
      <w:keepLines/>
      <w:keepNext/>
      <w:spacing w:before="240" w:after="64" w:line="320" w:lineRule="auto"/>
      <w:outlineLvl w:val="7"/>
    </w:pPr>
    <w:rPr>
      <w:rFonts w:ascii="Cambria" w:hAnsi="Cambria"/>
      <w:sz w:val="24"/>
    </w:rPr>
  </w:style>
  <w:style w:type="paragraph" w:styleId="728">
    <w:name w:val="Heading 9"/>
    <w:basedOn w:val="719"/>
    <w:next w:val="719"/>
    <w:link w:val="867"/>
    <w:uiPriority w:val="0"/>
    <w:qFormat/>
    <w:pPr>
      <w:numPr>
        <w:ilvl w:val="8"/>
        <w:numId w:val="1"/>
      </w:numPr>
      <w:keepLines/>
      <w:keepNext/>
      <w:spacing w:before="240" w:after="64" w:line="320" w:lineRule="auto"/>
      <w:outlineLvl w:val="8"/>
    </w:pPr>
    <w:rPr>
      <w:rFonts w:ascii="Cambria" w:hAnsi="Cambria"/>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List 3"/>
    <w:basedOn w:val="719"/>
    <w:uiPriority w:val="99"/>
    <w:unhideWhenUsed/>
    <w:qFormat/>
    <w:pPr>
      <w:ind w:left="1260" w:hanging="420"/>
      <w:spacing w:before="100" w:beforeAutospacing="1" w:after="100" w:afterAutospacing="1"/>
    </w:pPr>
    <w:rPr>
      <w:szCs w:val="21"/>
    </w:rPr>
  </w:style>
  <w:style w:type="paragraph" w:styleId="732">
    <w:name w:val="toc 7"/>
    <w:basedOn w:val="719"/>
    <w:next w:val="719"/>
    <w:uiPriority w:val="39"/>
    <w:unhideWhenUsed/>
    <w:qFormat/>
    <w:pPr>
      <w:ind w:left="2520"/>
    </w:pPr>
    <w:rPr>
      <w:rFonts w:ascii="Calibri" w:hAnsi="Calibri"/>
      <w:szCs w:val="22"/>
    </w:rPr>
  </w:style>
  <w:style w:type="paragraph" w:styleId="733">
    <w:name w:val="Normal Indent"/>
    <w:basedOn w:val="719"/>
    <w:link w:val="920"/>
    <w:uiPriority w:val="0"/>
    <w:qFormat/>
    <w:pPr>
      <w:ind w:firstLine="420"/>
    </w:pPr>
    <w:rPr>
      <w:b/>
      <w:sz w:val="24"/>
      <w:szCs w:val="20"/>
    </w:rPr>
  </w:style>
  <w:style w:type="paragraph" w:styleId="734">
    <w:name w:val="Caption"/>
    <w:basedOn w:val="719"/>
    <w:next w:val="719"/>
    <w:uiPriority w:val="0"/>
    <w:qFormat/>
    <w:rPr>
      <w:rFonts w:ascii="Cambria" w:hAnsi="Cambria" w:eastAsia="黑体"/>
      <w:sz w:val="20"/>
      <w:szCs w:val="22"/>
    </w:rPr>
  </w:style>
  <w:style w:type="paragraph" w:styleId="735">
    <w:name w:val="Document Map"/>
    <w:basedOn w:val="719"/>
    <w:link w:val="858"/>
    <w:uiPriority w:val="0"/>
    <w:qFormat/>
    <w:rPr>
      <w:rFonts w:ascii="宋体"/>
      <w:sz w:val="18"/>
      <w:szCs w:val="18"/>
    </w:rPr>
  </w:style>
  <w:style w:type="paragraph" w:styleId="736">
    <w:name w:val="annotation text"/>
    <w:basedOn w:val="719"/>
    <w:link w:val="879"/>
    <w:uiPriority w:val="99"/>
    <w:qFormat/>
    <w:pPr>
      <w:jc w:val="left"/>
    </w:pPr>
  </w:style>
  <w:style w:type="paragraph" w:styleId="737">
    <w:name w:val="Body Text 3"/>
    <w:basedOn w:val="719"/>
    <w:link w:val="897"/>
    <w:uiPriority w:val="0"/>
    <w:qFormat/>
    <w:rPr>
      <w:rFonts w:ascii="宋体"/>
      <w:sz w:val="24"/>
      <w:szCs w:val="20"/>
    </w:rPr>
  </w:style>
  <w:style w:type="paragraph" w:styleId="738">
    <w:name w:val="Body Text"/>
    <w:basedOn w:val="719"/>
    <w:next w:val="719"/>
    <w:link w:val="886"/>
    <w:uiPriority w:val="0"/>
    <w:qFormat/>
    <w:pPr>
      <w:jc w:val="center"/>
    </w:pPr>
    <w:rPr>
      <w:rFonts w:eastAsia="幼圆"/>
      <w:b/>
      <w:bCs/>
      <w:sz w:val="44"/>
    </w:rPr>
  </w:style>
  <w:style w:type="paragraph" w:styleId="739">
    <w:name w:val="Body Text Indent"/>
    <w:basedOn w:val="719"/>
    <w:next w:val="740"/>
    <w:link w:val="847"/>
    <w:uiPriority w:val="0"/>
    <w:qFormat/>
    <w:pPr>
      <w:ind w:left="420"/>
      <w:spacing w:after="120"/>
    </w:pPr>
  </w:style>
  <w:style w:type="paragraph" w:styleId="740">
    <w:name w:val="envelope return"/>
    <w:basedOn w:val="719"/>
    <w:uiPriority w:val="0"/>
    <w:qFormat/>
    <w:rPr>
      <w:rFonts w:ascii="Arial" w:hAnsi="Arial" w:cs="宋体"/>
    </w:rPr>
  </w:style>
  <w:style w:type="paragraph" w:styleId="741">
    <w:name w:val="index 4"/>
    <w:basedOn w:val="719"/>
    <w:next w:val="719"/>
    <w:uiPriority w:val="0"/>
    <w:qFormat/>
    <w:pPr>
      <w:ind w:left="600"/>
    </w:pPr>
    <w:rPr>
      <w:rFonts w:ascii="Calibri" w:hAnsi="Calibri"/>
    </w:rPr>
  </w:style>
  <w:style w:type="paragraph" w:styleId="742">
    <w:name w:val="toc 5"/>
    <w:basedOn w:val="719"/>
    <w:next w:val="719"/>
    <w:uiPriority w:val="39"/>
    <w:unhideWhenUsed/>
    <w:qFormat/>
    <w:pPr>
      <w:ind w:left="1680"/>
    </w:pPr>
    <w:rPr>
      <w:rFonts w:ascii="Calibri" w:hAnsi="Calibri"/>
      <w:szCs w:val="22"/>
    </w:rPr>
  </w:style>
  <w:style w:type="paragraph" w:styleId="743">
    <w:name w:val="toc 3"/>
    <w:basedOn w:val="719"/>
    <w:next w:val="719"/>
    <w:uiPriority w:val="39"/>
    <w:qFormat/>
    <w:pPr>
      <w:ind w:left="840"/>
    </w:pPr>
    <w:rPr>
      <w:rFonts w:ascii="Calibri" w:hAnsi="Calibri"/>
      <w:szCs w:val="22"/>
    </w:rPr>
  </w:style>
  <w:style w:type="paragraph" w:styleId="744">
    <w:name w:val="Plain Text"/>
    <w:basedOn w:val="719"/>
    <w:link w:val="852"/>
    <w:uiPriority w:val="0"/>
    <w:qFormat/>
    <w:rPr>
      <w:rFonts w:ascii="Ari"/>
      <w:sz w:val="20"/>
      <w:szCs w:val="20"/>
    </w:rPr>
  </w:style>
  <w:style w:type="paragraph" w:styleId="745">
    <w:name w:val="toc 8"/>
    <w:basedOn w:val="719"/>
    <w:next w:val="719"/>
    <w:uiPriority w:val="39"/>
    <w:unhideWhenUsed/>
    <w:qFormat/>
    <w:pPr>
      <w:ind w:left="2940"/>
    </w:pPr>
    <w:rPr>
      <w:rFonts w:ascii="Calibri" w:hAnsi="Calibri"/>
      <w:szCs w:val="22"/>
    </w:rPr>
  </w:style>
  <w:style w:type="paragraph" w:styleId="746">
    <w:name w:val="Date"/>
    <w:basedOn w:val="719"/>
    <w:next w:val="719"/>
    <w:link w:val="859"/>
    <w:uiPriority w:val="0"/>
    <w:unhideWhenUsed/>
    <w:qFormat/>
  </w:style>
  <w:style w:type="paragraph" w:styleId="747">
    <w:name w:val="Body Text Indent 2"/>
    <w:basedOn w:val="719"/>
    <w:link w:val="878"/>
    <w:uiPriority w:val="99"/>
    <w:unhideWhenUsed/>
    <w:qFormat/>
    <w:pPr>
      <w:ind w:firstLine="525"/>
      <w:spacing w:line="420" w:lineRule="exact"/>
    </w:pPr>
    <w:rPr>
      <w:rFonts w:ascii="宋体"/>
      <w:sz w:val="20"/>
      <w:szCs w:val="20"/>
    </w:rPr>
  </w:style>
  <w:style w:type="paragraph" w:styleId="748">
    <w:name w:val="Balloon Text"/>
    <w:basedOn w:val="719"/>
    <w:link w:val="900"/>
    <w:uiPriority w:val="0"/>
    <w:qFormat/>
    <w:rPr>
      <w:sz w:val="18"/>
      <w:szCs w:val="18"/>
    </w:rPr>
  </w:style>
  <w:style w:type="paragraph" w:styleId="749">
    <w:name w:val="Footer"/>
    <w:basedOn w:val="719"/>
    <w:link w:val="891"/>
    <w:uiPriority w:val="99"/>
    <w:qFormat/>
    <w:pPr>
      <w:jc w:val="left"/>
      <w:tabs>
        <w:tab w:val="center" w:pos="4153" w:leader="none"/>
        <w:tab w:val="right" w:pos="8306" w:leader="none"/>
      </w:tabs>
    </w:pPr>
    <w:rPr>
      <w:sz w:val="18"/>
      <w:szCs w:val="18"/>
    </w:rPr>
  </w:style>
  <w:style w:type="paragraph" w:styleId="750">
    <w:name w:val="Header"/>
    <w:basedOn w:val="719"/>
    <w:link w:val="850"/>
    <w:uiPriority w:val="99"/>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19"/>
    <w:next w:val="719"/>
    <w:uiPriority w:val="39"/>
    <w:qFormat/>
  </w:style>
  <w:style w:type="paragraph" w:styleId="752">
    <w:name w:val="toc 4"/>
    <w:basedOn w:val="719"/>
    <w:next w:val="719"/>
    <w:uiPriority w:val="39"/>
    <w:unhideWhenUsed/>
    <w:qFormat/>
    <w:pPr>
      <w:ind w:left="1260"/>
    </w:pPr>
    <w:rPr>
      <w:rFonts w:ascii="Calibri" w:hAnsi="Calibri"/>
      <w:szCs w:val="22"/>
    </w:rPr>
  </w:style>
  <w:style w:type="paragraph" w:styleId="753">
    <w:name w:val="Subtitle"/>
    <w:basedOn w:val="719"/>
    <w:next w:val="719"/>
    <w:link w:val="875"/>
    <w:uiPriority w:val="0"/>
    <w:qFormat/>
    <w:pPr>
      <w:jc w:val="center"/>
      <w:spacing w:before="240" w:after="60" w:line="312" w:lineRule="auto"/>
      <w:outlineLvl w:val="1"/>
    </w:pPr>
    <w:rPr>
      <w:rFonts w:ascii="Cambria" w:hAnsi="Cambria"/>
      <w:b/>
      <w:bCs/>
      <w:sz w:val="32"/>
      <w:szCs w:val="32"/>
    </w:rPr>
  </w:style>
  <w:style w:type="paragraph" w:styleId="754">
    <w:name w:val="toc 6"/>
    <w:basedOn w:val="719"/>
    <w:next w:val="719"/>
    <w:uiPriority w:val="39"/>
    <w:unhideWhenUsed/>
    <w:qFormat/>
    <w:pPr>
      <w:ind w:left="2100"/>
    </w:pPr>
    <w:rPr>
      <w:rFonts w:ascii="Calibri" w:hAnsi="Calibri"/>
      <w:szCs w:val="22"/>
    </w:rPr>
  </w:style>
  <w:style w:type="paragraph" w:styleId="755">
    <w:name w:val="Body Text Indent 3"/>
    <w:basedOn w:val="719"/>
    <w:link w:val="898"/>
    <w:uiPriority w:val="0"/>
    <w:qFormat/>
    <w:pPr>
      <w:ind w:left="420"/>
      <w:spacing w:after="120"/>
    </w:pPr>
    <w:rPr>
      <w:sz w:val="16"/>
      <w:szCs w:val="20"/>
    </w:rPr>
  </w:style>
  <w:style w:type="paragraph" w:styleId="756">
    <w:name w:val="toc 2"/>
    <w:basedOn w:val="719"/>
    <w:next w:val="719"/>
    <w:uiPriority w:val="39"/>
    <w:qFormat/>
    <w:pPr>
      <w:ind w:left="420"/>
    </w:pPr>
    <w:rPr>
      <w:rFonts w:ascii="Calibri" w:hAnsi="Calibri"/>
      <w:szCs w:val="22"/>
    </w:rPr>
  </w:style>
  <w:style w:type="paragraph" w:styleId="757">
    <w:name w:val="toc 9"/>
    <w:basedOn w:val="719"/>
    <w:next w:val="719"/>
    <w:uiPriority w:val="39"/>
    <w:unhideWhenUsed/>
    <w:qFormat/>
    <w:pPr>
      <w:ind w:left="3360"/>
    </w:pPr>
    <w:rPr>
      <w:rFonts w:ascii="Calibri" w:hAnsi="Calibri"/>
      <w:szCs w:val="22"/>
    </w:rPr>
  </w:style>
  <w:style w:type="paragraph" w:styleId="758">
    <w:name w:val="HTML Preformatted"/>
    <w:basedOn w:val="7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9">
    <w:name w:val="Normal (Web)"/>
    <w:basedOn w:val="719"/>
    <w:uiPriority w:val="99"/>
    <w:qFormat/>
    <w:pPr>
      <w:jc w:val="left"/>
      <w:spacing w:before="100" w:beforeAutospacing="1" w:after="100" w:afterAutospacing="1"/>
      <w:widowControl/>
    </w:pPr>
    <w:rPr>
      <w:rFonts w:ascii="宋体" w:hAnsi="宋体" w:cs="宋体"/>
      <w:sz w:val="24"/>
    </w:rPr>
  </w:style>
  <w:style w:type="paragraph" w:styleId="760">
    <w:name w:val="index 1"/>
    <w:basedOn w:val="719"/>
    <w:next w:val="719"/>
    <w:uiPriority w:val="0"/>
    <w:qFormat/>
    <w:pPr>
      <w:jc w:val="center"/>
      <w:spacing w:line="220" w:lineRule="exact"/>
    </w:pPr>
    <w:rPr>
      <w:rFonts w:ascii="仿宋_GB2312" w:hAnsi="Calibri" w:eastAsia="仿宋_GB2312"/>
      <w:szCs w:val="22"/>
    </w:rPr>
  </w:style>
  <w:style w:type="paragraph" w:styleId="761">
    <w:name w:val="Title"/>
    <w:basedOn w:val="719"/>
    <w:link w:val="855"/>
    <w:uiPriority w:val="0"/>
    <w:qFormat/>
    <w:pPr>
      <w:jc w:val="center"/>
      <w:spacing w:before="240" w:after="60" w:line="420" w:lineRule="atLeast"/>
      <w:outlineLvl w:val="0"/>
    </w:pPr>
    <w:rPr>
      <w:rFonts w:ascii="Arial" w:hAnsi="Arial"/>
      <w:b/>
      <w:sz w:val="32"/>
      <w:szCs w:val="20"/>
    </w:rPr>
  </w:style>
  <w:style w:type="paragraph" w:styleId="762">
    <w:name w:val="annotation subject"/>
    <w:basedOn w:val="736"/>
    <w:next w:val="736"/>
    <w:link w:val="889"/>
    <w:uiPriority w:val="0"/>
    <w:qFormat/>
    <w:rPr>
      <w:b/>
      <w:bCs/>
    </w:rPr>
  </w:style>
  <w:style w:type="paragraph" w:styleId="763">
    <w:name w:val="Body Text First Indent"/>
    <w:basedOn w:val="738"/>
    <w:link w:val="911"/>
    <w:uiPriority w:val="0"/>
    <w:semiHidden/>
    <w:unhideWhenUsed/>
    <w:qFormat/>
    <w:pPr>
      <w:ind w:firstLine="420"/>
      <w:jc w:val="both"/>
      <w:spacing w:after="120"/>
    </w:pPr>
    <w:rPr>
      <w:rFonts w:eastAsia="宋体"/>
      <w:b w:val="0"/>
      <w:bCs w:val="0"/>
      <w:sz w:val="21"/>
    </w:rPr>
  </w:style>
  <w:style w:type="paragraph" w:styleId="764">
    <w:name w:val="Body Text First Indent 2"/>
    <w:basedOn w:val="739"/>
    <w:next w:val="719"/>
    <w:uiPriority w:val="0"/>
    <w:qFormat/>
    <w:pPr>
      <w:ind w:firstLine="420"/>
      <w:spacing w:line="360" w:lineRule="auto"/>
    </w:pPr>
    <w:rPr>
      <w:rFonts w:ascii="宋体" w:hAnsi="宋体"/>
      <w:szCs w:val="20"/>
    </w:rPr>
  </w:style>
  <w:style w:type="table" w:styleId="765">
    <w:name w:val="Table Grid"/>
    <w:basedOn w:val="73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basedOn w:val="729"/>
    <w:uiPriority w:val="0"/>
    <w:qFormat/>
    <w:rPr>
      <w:rFonts w:cs="Times New Roman"/>
      <w:b/>
    </w:rPr>
  </w:style>
  <w:style w:type="character" w:styleId="767">
    <w:name w:val="page number"/>
    <w:uiPriority w:val="0"/>
    <w:qFormat/>
    <w:rPr>
      <w:rFonts w:eastAsia="宋体"/>
      <w:b/>
      <w:spacing w:val="0"/>
      <w:sz w:val="24"/>
      <w:szCs w:val="24"/>
      <w:lang w:val="en-US" w:eastAsia="zh-CN" w:bidi="ar-SA"/>
    </w:rPr>
  </w:style>
  <w:style w:type="character" w:styleId="768">
    <w:name w:val="FollowedHyperlink"/>
    <w:uiPriority w:val="0"/>
    <w:qFormat/>
    <w:rPr>
      <w:color w:val="800080"/>
      <w:u w:val="single"/>
    </w:rPr>
  </w:style>
  <w:style w:type="character" w:styleId="769">
    <w:name w:val="Emphasis"/>
    <w:uiPriority w:val="0"/>
    <w:qFormat/>
    <w:rPr>
      <w:color w:val="cc0000"/>
    </w:rPr>
  </w:style>
  <w:style w:type="character" w:styleId="770">
    <w:name w:val="Hyperlink"/>
    <w:uiPriority w:val="99"/>
    <w:qFormat/>
    <w:rPr>
      <w:color w:val="0000ff"/>
      <w:u w:val="single"/>
    </w:rPr>
  </w:style>
  <w:style w:type="character" w:styleId="771">
    <w:name w:val="annotation reference"/>
    <w:uiPriority w:val="99"/>
    <w:qFormat/>
    <w:rPr>
      <w:sz w:val="21"/>
      <w:szCs w:val="21"/>
    </w:rPr>
  </w:style>
  <w:style w:type="character" w:styleId="772">
    <w:name w:val="HTML Cite"/>
    <w:uiPriority w:val="0"/>
    <w:qFormat/>
    <w:rPr>
      <w:color w:val="008000"/>
    </w:rPr>
  </w:style>
  <w:style w:type="paragraph" w:styleId="773">
    <w:name w:val="List Paragraph"/>
    <w:basedOn w:val="719"/>
    <w:uiPriority w:val="34"/>
    <w:qFormat/>
    <w:pPr>
      <w:ind w:firstLine="420"/>
    </w:pPr>
  </w:style>
  <w:style w:type="paragraph" w:styleId="774" w:customStyle="1">
    <w:name w:val="列表段落1"/>
    <w:basedOn w:val="719"/>
    <w:next w:val="736"/>
    <w:uiPriority w:val="34"/>
    <w:qFormat/>
    <w:pPr>
      <w:ind w:firstLine="420"/>
    </w:pPr>
  </w:style>
  <w:style w:type="paragraph" w:styleId="775" w:customStyle="1">
    <w:name w:val="列出段落1"/>
    <w:basedOn w:val="719"/>
    <w:uiPriority w:val="0"/>
    <w:qFormat/>
    <w:pPr>
      <w:ind w:firstLine="420"/>
    </w:pPr>
  </w:style>
  <w:style w:type="paragraph" w:styleId="776" w:customStyle="1">
    <w:name w:val="标题 3_0"/>
    <w:basedOn w:val="777"/>
    <w:next w:val="777"/>
    <w:link w:val="838"/>
    <w:uiPriority w:val="0"/>
    <w:qFormat/>
    <w:pPr>
      <w:keepLines/>
      <w:keepNext/>
      <w:spacing w:before="260" w:after="260" w:line="416" w:lineRule="auto"/>
      <w:outlineLvl w:val="2"/>
    </w:pPr>
    <w:rPr>
      <w:b/>
      <w:bCs/>
      <w:sz w:val="32"/>
      <w:szCs w:val="32"/>
    </w:rPr>
  </w:style>
  <w:style w:type="paragraph" w:styleId="77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778" w:customStyle="1">
    <w:name w:val="引用1"/>
    <w:basedOn w:val="719"/>
    <w:next w:val="719"/>
    <w:link w:val="843"/>
    <w:uiPriority w:val="0"/>
    <w:qFormat/>
    <w:rPr>
      <w:i/>
      <w:iCs/>
      <w:color w:val="000000"/>
      <w:sz w:val="20"/>
      <w:szCs w:val="20"/>
    </w:rPr>
  </w:style>
  <w:style w:type="paragraph" w:styleId="779" w:customStyle="1">
    <w:name w:val="标题 1_0"/>
    <w:basedOn w:val="777"/>
    <w:next w:val="777"/>
    <w:link w:val="844"/>
    <w:uiPriority w:val="0"/>
    <w:qFormat/>
    <w:pPr>
      <w:keepLines/>
      <w:keepNext/>
      <w:spacing w:before="340" w:after="330" w:line="578" w:lineRule="auto"/>
      <w:outlineLvl w:val="0"/>
    </w:pPr>
    <w:rPr>
      <w:b/>
      <w:bCs/>
      <w:sz w:val="44"/>
      <w:szCs w:val="44"/>
    </w:rPr>
  </w:style>
  <w:style w:type="paragraph" w:styleId="780" w:customStyle="1">
    <w:name w:val="标题 4_0"/>
    <w:basedOn w:val="777"/>
    <w:next w:val="777"/>
    <w:link w:val="849"/>
    <w:uiPriority w:val="0"/>
    <w:qFormat/>
    <w:pPr>
      <w:keepLines/>
      <w:keepNext/>
      <w:spacing w:before="280" w:after="290" w:line="376" w:lineRule="auto"/>
      <w:outlineLvl w:val="3"/>
    </w:pPr>
    <w:rPr>
      <w:rFonts w:ascii="Arial" w:hAnsi="Arial" w:eastAsia="黑体"/>
      <w:b/>
      <w:bCs/>
      <w:sz w:val="28"/>
      <w:szCs w:val="28"/>
    </w:rPr>
  </w:style>
  <w:style w:type="paragraph" w:styleId="781" w:customStyle="1">
    <w:name w:val="标题5"/>
    <w:basedOn w:val="722"/>
    <w:link w:val="856"/>
    <w:uiPriority w:val="0"/>
    <w:qFormat/>
    <w:pPr>
      <w:numPr>
        <w:numId w:val="0"/>
      </w:numPr>
      <w:spacing w:line="413" w:lineRule="auto"/>
    </w:pPr>
    <w:rPr>
      <w:rFonts w:ascii="Arial" w:hAnsi="Arial"/>
      <w:sz w:val="24"/>
    </w:rPr>
  </w:style>
  <w:style w:type="paragraph" w:styleId="782" w:customStyle="1">
    <w:name w:val="明显引用1"/>
    <w:basedOn w:val="719"/>
    <w:next w:val="719"/>
    <w:link w:val="862"/>
    <w:uiPriority w:val="0"/>
    <w:qFormat/>
    <w:pPr>
      <w:ind w:left="936" w:right="936"/>
      <w:spacing w:before="200" w:after="280"/>
      <w:pBdr>
        <w:bottom w:val="single" w:color="4F81BD" w:sz="4" w:space="4"/>
      </w:pBdr>
    </w:pPr>
    <w:rPr>
      <w:b/>
      <w:bCs/>
      <w:i/>
      <w:iCs/>
      <w:color w:val="4f81bd"/>
      <w:sz w:val="20"/>
      <w:szCs w:val="20"/>
    </w:rPr>
  </w:style>
  <w:style w:type="paragraph" w:styleId="783" w:customStyle="1">
    <w:name w:val="正文文本_0"/>
    <w:basedOn w:val="777"/>
    <w:link w:val="874"/>
    <w:uiPriority w:val="0"/>
    <w:qFormat/>
    <w:pPr>
      <w:spacing w:after="120"/>
    </w:pPr>
    <w:rPr>
      <w:sz w:val="20"/>
    </w:rPr>
  </w:style>
  <w:style w:type="paragraph" w:styleId="784" w:customStyle="1">
    <w:name w:val="标题 5_0"/>
    <w:basedOn w:val="777"/>
    <w:next w:val="777"/>
    <w:link w:val="877"/>
    <w:uiPriority w:val="0"/>
    <w:qFormat/>
    <w:pPr>
      <w:keepLines/>
      <w:keepNext/>
      <w:spacing w:before="280" w:after="290" w:line="372" w:lineRule="auto"/>
      <w:outlineLvl w:val="4"/>
    </w:pPr>
    <w:rPr>
      <w:rFonts w:ascii="Calibri" w:hAnsi="Calibri"/>
      <w:b/>
      <w:bCs/>
      <w:sz w:val="28"/>
      <w:szCs w:val="28"/>
    </w:rPr>
  </w:style>
  <w:style w:type="paragraph" w:styleId="785" w:customStyle="1">
    <w:name w:val="标题4"/>
    <w:basedOn w:val="721"/>
    <w:next w:val="741"/>
    <w:link w:val="892"/>
    <w:uiPriority w:val="0"/>
    <w:qFormat/>
    <w:pPr>
      <w:numPr>
        <w:numId w:val="0"/>
      </w:numPr>
      <w:spacing w:line="413" w:lineRule="auto"/>
    </w:pPr>
    <w:rPr>
      <w:rFonts w:ascii="Arial" w:hAnsi="Arial"/>
      <w:sz w:val="24"/>
    </w:rPr>
  </w:style>
  <w:style w:type="paragraph" w:styleId="786" w:customStyle="1">
    <w:name w:val="标题 2_0"/>
    <w:basedOn w:val="777"/>
    <w:next w:val="777"/>
    <w:link w:val="904"/>
    <w:uiPriority w:val="0"/>
    <w:unhideWhenUsed/>
    <w:qFormat/>
    <w:pPr>
      <w:keepLines/>
      <w:keepNext/>
      <w:spacing w:before="260" w:after="260" w:line="416" w:lineRule="auto"/>
      <w:outlineLvl w:val="1"/>
    </w:pPr>
    <w:rPr>
      <w:rFonts w:ascii="Cambria" w:hAnsi="Cambria"/>
      <w:b/>
      <w:bCs/>
      <w:sz w:val="32"/>
      <w:szCs w:val="32"/>
    </w:rPr>
  </w:style>
  <w:style w:type="paragraph" w:styleId="787" w:customStyle="1">
    <w:name w:val="List Paragraph1"/>
    <w:basedOn w:val="719"/>
    <w:link w:val="908"/>
    <w:uiPriority w:val="99"/>
    <w:qFormat/>
    <w:pPr>
      <w:ind w:firstLine="420"/>
    </w:pPr>
  </w:style>
  <w:style w:type="paragraph" w:styleId="788" w:customStyle="1">
    <w:name w:val="样式 标题 3 + (中文) 黑体 小四 非加粗 段前: 7.8 磅 段后: 0 磅 行距: 固定值 20 磅"/>
    <w:basedOn w:val="722"/>
    <w:next w:val="719"/>
    <w:uiPriority w:val="0"/>
    <w:qFormat/>
    <w:pPr>
      <w:spacing w:before="0" w:after="0" w:line="400" w:lineRule="exact"/>
    </w:pPr>
    <w:rPr>
      <w:rFonts w:eastAsia="黑体" w:cs="宋体"/>
      <w:b w:val="0"/>
      <w:bCs w:val="0"/>
      <w:sz w:val="24"/>
      <w:szCs w:val="20"/>
    </w:rPr>
  </w:style>
  <w:style w:type="paragraph" w:styleId="789" w:customStyle="1">
    <w:name w:val="_Style 34"/>
    <w:next w:val="719"/>
    <w:uiPriority w:val="0"/>
    <w:qFormat/>
    <w:pPr>
      <w:jc w:val="both"/>
      <w:widowControl w:val="off"/>
    </w:pPr>
    <w:rPr>
      <w:rFonts w:ascii="Times New Roman" w:hAnsi="Times New Roman" w:eastAsia="宋体" w:cs="Times New Roman"/>
      <w:sz w:val="21"/>
      <w:lang w:val="en-US" w:eastAsia="zh-CN" w:bidi="ar-SA"/>
    </w:rPr>
  </w:style>
  <w:style w:type="paragraph" w:styleId="79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791" w:customStyle="1">
    <w:name w:val="_Style 36"/>
    <w:next w:val="719"/>
    <w:uiPriority w:val="0"/>
    <w:qFormat/>
    <w:pPr>
      <w:jc w:val="both"/>
      <w:widowControl w:val="off"/>
    </w:pPr>
    <w:rPr>
      <w:rFonts w:ascii="Times New Roman" w:hAnsi="Times New Roman" w:eastAsia="宋体" w:cs="Times New Roman"/>
      <w:sz w:val="21"/>
      <w:lang w:val="en-US" w:eastAsia="zh-CN" w:bidi="ar-SA"/>
    </w:rPr>
  </w:style>
  <w:style w:type="paragraph" w:styleId="792" w:customStyle="1">
    <w:name w:val="空半行"/>
    <w:basedOn w:val="719"/>
    <w:uiPriority w:val="0"/>
    <w:qFormat/>
    <w:pPr>
      <w:spacing w:line="120" w:lineRule="exact"/>
    </w:pPr>
    <w:rPr>
      <w:rFonts w:ascii="Calibri" w:hAnsi="Calibri" w:eastAsia="仿宋_GB2312"/>
      <w:color w:val="ffffff"/>
      <w:sz w:val="30"/>
      <w:szCs w:val="22"/>
    </w:rPr>
  </w:style>
  <w:style w:type="paragraph" w:styleId="793" w:customStyle="1">
    <w:name w:val="1方案格式1"/>
    <w:basedOn w:val="720"/>
    <w:uiPriority w:val="0"/>
    <w:qFormat/>
    <w:pPr>
      <w:numPr>
        <w:numId w:val="2"/>
      </w:numPr>
      <w:ind w:left="0" w:firstLine="0"/>
      <w:spacing w:line="360" w:lineRule="auto"/>
      <w:tabs>
        <w:tab w:val="left" w:pos="360" w:leader="none"/>
      </w:tabs>
    </w:pPr>
    <w:rPr>
      <w:rFonts w:eastAsia="微软雅黑"/>
      <w:bCs w:val="0"/>
      <w:sz w:val="48"/>
    </w:rPr>
  </w:style>
  <w:style w:type="paragraph" w:styleId="794" w:customStyle="1">
    <w:name w:val="格式３"/>
    <w:basedOn w:val="719"/>
    <w:uiPriority w:val="0"/>
    <w:qFormat/>
    <w:pPr>
      <w:ind w:left="600" w:hanging="600"/>
      <w:spacing w:line="420" w:lineRule="exact"/>
    </w:pPr>
    <w:rPr>
      <w:rFonts w:ascii="宋体" w:hAnsi="宋体"/>
      <w:color w:val="000000"/>
      <w:sz w:val="24"/>
      <w:szCs w:val="20"/>
    </w:rPr>
  </w:style>
  <w:style w:type="paragraph" w:styleId="795" w:customStyle="1">
    <w:name w:val="正文1"/>
    <w:uiPriority w:val="0"/>
    <w:qFormat/>
    <w:pPr>
      <w:jc w:val="both"/>
      <w:widowControl w:val="off"/>
    </w:pPr>
    <w:rPr>
      <w:rFonts w:ascii="Calibri" w:hAnsi="Calibri" w:eastAsia="宋体" w:cs="Times New Roman"/>
      <w:lang w:val="en-US" w:eastAsia="zh-CN" w:bidi="ar-SA"/>
    </w:rPr>
  </w:style>
  <w:style w:type="paragraph" w:styleId="796" w:customStyle="1">
    <w:name w:val="列出段落111"/>
    <w:basedOn w:val="719"/>
    <w:uiPriority w:val="99"/>
    <w:qFormat/>
    <w:pPr>
      <w:contextualSpacing/>
      <w:ind w:left="720"/>
      <w:jc w:val="left"/>
      <w:widowControl/>
    </w:pPr>
    <w:rPr>
      <w:rFonts w:ascii="Arial" w:hAnsi="Arial" w:eastAsia="黑体"/>
      <w:sz w:val="24"/>
      <w:lang w:eastAsia="en-US"/>
    </w:rPr>
  </w:style>
  <w:style w:type="paragraph" w:styleId="797" w:customStyle="1">
    <w:name w:val="正文空2字"/>
    <w:basedOn w:val="719"/>
    <w:uiPriority w:val="0"/>
    <w:qFormat/>
    <w:pPr>
      <w:ind w:firstLine="200"/>
      <w:spacing w:line="360" w:lineRule="auto"/>
    </w:pPr>
    <w:rPr>
      <w:sz w:val="24"/>
      <w:lang w:bidi="en-US"/>
    </w:rPr>
  </w:style>
  <w:style w:type="paragraph" w:styleId="79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799" w:customStyle="1">
    <w:name w:val="目录 5_0"/>
    <w:basedOn w:val="777"/>
    <w:next w:val="777"/>
    <w:uiPriority w:val="39"/>
    <w:qFormat/>
    <w:pPr>
      <w:ind w:left="1680"/>
    </w:pPr>
    <w:rPr>
      <w:rFonts w:ascii="Calibri" w:hAnsi="Calibri"/>
    </w:rPr>
  </w:style>
  <w:style w:type="paragraph" w:styleId="800" w:customStyle="1">
    <w:name w:val="修订1"/>
    <w:uiPriority w:val="0"/>
    <w:qFormat/>
    <w:rPr>
      <w:rFonts w:ascii="Times New Roman" w:hAnsi="Times New Roman" w:eastAsia="宋体" w:cs="Times New Roman"/>
      <w:sz w:val="21"/>
      <w:szCs w:val="24"/>
      <w:lang w:val="en-US" w:eastAsia="zh-CN" w:bidi="ar-SA"/>
    </w:rPr>
  </w:style>
  <w:style w:type="paragraph" w:styleId="801" w:customStyle="1">
    <w:name w:val="标题 11"/>
    <w:basedOn w:val="795"/>
    <w:next w:val="79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02" w:customStyle="1">
    <w:name w:val="正文 + 行距: 固定值 20 磅"/>
    <w:basedOn w:val="719"/>
    <w:uiPriority w:val="0"/>
    <w:qFormat/>
    <w:pPr>
      <w:ind w:firstLine="716"/>
      <w:spacing w:line="400" w:lineRule="exact"/>
    </w:pPr>
    <w:rPr>
      <w:rFonts w:ascii="Calibri" w:hAnsi="Calibri"/>
      <w:szCs w:val="22"/>
    </w:rPr>
  </w:style>
  <w:style w:type="paragraph" w:styleId="803" w:customStyle="1">
    <w:name w:val="TOC 标题1"/>
    <w:basedOn w:val="720"/>
    <w:next w:val="71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04" w:customStyle="1">
    <w:name w:val="表格文字"/>
    <w:basedOn w:val="719"/>
    <w:link w:val="909"/>
    <w:uiPriority w:val="0"/>
    <w:qFormat/>
    <w:pPr>
      <w:jc w:val="left"/>
      <w:spacing w:line="420" w:lineRule="atLeast"/>
    </w:pPr>
    <w:rPr>
      <w:rFonts w:ascii="Calibri" w:hAnsi="Calibri"/>
      <w:szCs w:val="22"/>
    </w:rPr>
  </w:style>
  <w:style w:type="paragraph" w:styleId="805" w:customStyle="1">
    <w:name w:val="flNote"/>
    <w:basedOn w:val="719"/>
    <w:uiPriority w:val="0"/>
    <w:qFormat/>
    <w:pPr>
      <w:jc w:val="center"/>
      <w:spacing w:before="320" w:after="160" w:line="360" w:lineRule="atLeast"/>
    </w:pPr>
    <w:rPr>
      <w:rFonts w:ascii="Arial" w:hAnsi="Calibri" w:eastAsia="黑体"/>
      <w:sz w:val="30"/>
      <w:szCs w:val="22"/>
    </w:rPr>
  </w:style>
  <w:style w:type="paragraph" w:styleId="806" w:customStyle="1">
    <w:name w:val="文章正文"/>
    <w:basedOn w:val="719"/>
    <w:uiPriority w:val="99"/>
    <w:qFormat/>
    <w:pPr>
      <w:ind w:firstLine="480"/>
      <w:spacing w:line="360" w:lineRule="auto"/>
    </w:pPr>
    <w:rPr>
      <w:rFonts w:ascii="仿宋_GB2312" w:hAnsi="宋体" w:eastAsia="仿宋_GB2312"/>
      <w:color w:val="ff0000"/>
      <w:sz w:val="24"/>
    </w:rPr>
  </w:style>
  <w:style w:type="paragraph" w:styleId="807" w:customStyle="1">
    <w:name w:val="表格"/>
    <w:basedOn w:val="719"/>
    <w:uiPriority w:val="0"/>
    <w:qFormat/>
    <w:pPr>
      <w:jc w:val="center"/>
    </w:pPr>
    <w:rPr>
      <w:rFonts w:ascii="华文细黑" w:hAnsi="华文细黑"/>
      <w:szCs w:val="22"/>
    </w:rPr>
  </w:style>
  <w:style w:type="paragraph" w:styleId="808" w:customStyle="1">
    <w:name w:val="Char"/>
    <w:basedOn w:val="719"/>
    <w:uiPriority w:val="0"/>
    <w:qFormat/>
    <w:pPr>
      <w:jc w:val="left"/>
      <w:spacing w:after="160" w:line="240" w:lineRule="exact"/>
      <w:widowControl/>
    </w:pPr>
    <w:rPr>
      <w:rFonts w:ascii="Verdana" w:hAnsi="Verdana"/>
      <w:sz w:val="20"/>
      <w:szCs w:val="20"/>
      <w:lang w:eastAsia="en-US"/>
    </w:rPr>
  </w:style>
  <w:style w:type="paragraph" w:styleId="80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10" w:customStyle="1">
    <w:name w:val="列出段落2"/>
    <w:basedOn w:val="719"/>
    <w:uiPriority w:val="99"/>
    <w:qFormat/>
    <w:pPr>
      <w:ind w:firstLine="420"/>
    </w:pPr>
  </w:style>
  <w:style w:type="paragraph" w:styleId="811" w:customStyle="1">
    <w:name w:val="6'"/>
    <w:basedOn w:val="719"/>
    <w:uiPriority w:val="0"/>
    <w:qFormat/>
    <w:pPr>
      <w:jc w:val="center"/>
      <w:spacing w:line="320" w:lineRule="exact"/>
    </w:pPr>
    <w:rPr>
      <w:rFonts w:ascii="Calibri" w:hAnsi="Calibri"/>
      <w:spacing w:val="20"/>
      <w:szCs w:val="22"/>
    </w:rPr>
  </w:style>
  <w:style w:type="paragraph" w:styleId="812" w:customStyle="1">
    <w:name w:val="Char Char Char Char Char Char Char"/>
    <w:basedOn w:val="719"/>
    <w:uiPriority w:val="0"/>
    <w:qFormat/>
    <w:pPr>
      <w:spacing w:line="360" w:lineRule="auto"/>
    </w:pPr>
    <w:rPr>
      <w:sz w:val="24"/>
      <w:szCs w:val="20"/>
    </w:rPr>
  </w:style>
  <w:style w:type="paragraph" w:styleId="813" w:customStyle="1">
    <w:name w:val="2方案格式2"/>
    <w:basedOn w:val="793"/>
    <w:uiPriority w:val="0"/>
    <w:qFormat/>
    <w:pPr>
      <w:numPr>
        <w:ilvl w:val="1"/>
      </w:numPr>
      <w:spacing w:line="240" w:lineRule="auto"/>
      <w:outlineLvl w:val="1"/>
    </w:pPr>
    <w:rPr>
      <w:sz w:val="44"/>
    </w:rPr>
  </w:style>
  <w:style w:type="paragraph" w:styleId="81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15" w:customStyle="1">
    <w:name w:val="文档正文"/>
    <w:basedOn w:val="719"/>
    <w:uiPriority w:val="0"/>
    <w:qFormat/>
    <w:pPr>
      <w:ind w:firstLine="567"/>
      <w:spacing w:line="480" w:lineRule="atLeast"/>
    </w:pPr>
    <w:rPr>
      <w:rFonts w:ascii="Ari" w:eastAsia="Ari"/>
      <w:sz w:val="28"/>
      <w:szCs w:val="20"/>
    </w:rPr>
  </w:style>
  <w:style w:type="paragraph" w:styleId="816" w:customStyle="1">
    <w:name w:val="txt"/>
    <w:basedOn w:val="719"/>
    <w:uiPriority w:val="0"/>
    <w:qFormat/>
    <w:pPr>
      <w:jc w:val="left"/>
      <w:spacing w:before="100" w:beforeAutospacing="1" w:after="100" w:afterAutospacing="1"/>
      <w:widowControl/>
    </w:pPr>
    <w:rPr>
      <w:rFonts w:ascii="宋体" w:hAnsi="宋体" w:cs="宋体"/>
      <w:sz w:val="24"/>
    </w:rPr>
  </w:style>
  <w:style w:type="paragraph" w:styleId="817" w:customStyle="1">
    <w:name w:val="目录 4_0"/>
    <w:basedOn w:val="777"/>
    <w:next w:val="777"/>
    <w:uiPriority w:val="39"/>
    <w:qFormat/>
    <w:pPr>
      <w:ind w:left="1260"/>
    </w:pPr>
    <w:rPr>
      <w:rFonts w:ascii="Calibri" w:hAnsi="Calibri"/>
    </w:rPr>
  </w:style>
  <w:style w:type="paragraph" w:styleId="818" w:customStyle="1">
    <w:name w:val="目录 3_0"/>
    <w:basedOn w:val="777"/>
    <w:next w:val="777"/>
    <w:uiPriority w:val="39"/>
    <w:qFormat/>
    <w:pPr>
      <w:ind w:left="840"/>
    </w:pPr>
    <w:rPr>
      <w:rFonts w:ascii="Calibri" w:hAnsi="Calibri"/>
    </w:rPr>
  </w:style>
  <w:style w:type="paragraph" w:styleId="819" w:customStyle="1">
    <w:name w:val="样式 标题 1 + 黑体 三号 非加粗 居中 段前: 6 磅 段后: 6 磅 行距: 固定值 20 磅"/>
    <w:basedOn w:val="720"/>
    <w:uiPriority w:val="0"/>
    <w:qFormat/>
    <w:pPr>
      <w:numPr>
        <w:numId w:val="0"/>
      </w:numPr>
      <w:spacing w:before="120" w:after="120" w:line="400" w:lineRule="exact"/>
    </w:pPr>
    <w:rPr>
      <w:rFonts w:ascii="黑体" w:hAnsi="黑体" w:eastAsia="黑体"/>
      <w:b w:val="0"/>
      <w:bCs w:val="0"/>
      <w:szCs w:val="20"/>
    </w:rPr>
  </w:style>
  <w:style w:type="paragraph" w:styleId="820" w:customStyle="1">
    <w:name w:val="1"/>
    <w:basedOn w:val="719"/>
    <w:next w:val="719"/>
    <w:uiPriority w:val="0"/>
    <w:qFormat/>
    <w:rPr>
      <w:rFonts w:ascii="Calibri" w:hAnsi="Calibri"/>
      <w:szCs w:val="22"/>
    </w:rPr>
  </w:style>
  <w:style w:type="paragraph" w:styleId="821" w:customStyle="1">
    <w:name w:val="Blockquote_0"/>
    <w:basedOn w:val="777"/>
    <w:uiPriority w:val="0"/>
    <w:qFormat/>
    <w:pPr>
      <w:ind w:left="360" w:right="360"/>
      <w:jc w:val="left"/>
      <w:spacing w:before="100" w:after="100"/>
    </w:pPr>
    <w:rPr>
      <w:rFonts w:ascii="Calibri" w:hAnsi="Calibri" w:eastAsia="Times New Roman"/>
      <w:sz w:val="24"/>
      <w:szCs w:val="20"/>
    </w:rPr>
  </w:style>
  <w:style w:type="paragraph" w:styleId="822" w:customStyle="1">
    <w:name w:val="列出段落11"/>
    <w:basedOn w:val="719"/>
    <w:uiPriority w:val="0"/>
    <w:qFormat/>
    <w:pPr>
      <w:contextualSpacing/>
      <w:ind w:left="720"/>
      <w:jc w:val="left"/>
      <w:widowControl/>
    </w:pPr>
    <w:rPr>
      <w:rFonts w:ascii="Arial" w:hAnsi="Arial" w:eastAsia="黑体"/>
      <w:sz w:val="24"/>
      <w:lang w:eastAsia="en-US"/>
    </w:rPr>
  </w:style>
  <w:style w:type="paragraph" w:styleId="823" w:customStyle="1">
    <w:name w:val="样式 标题 2 + Times New Roman 四号 非加粗 段前: 5 磅 段后: 0 磅 行距: 固定值 20..._0"/>
    <w:basedOn w:val="719"/>
    <w:uiPriority w:val="0"/>
    <w:qFormat/>
    <w:pPr>
      <w:keepLines/>
      <w:keepNext/>
      <w:spacing w:before="100" w:line="360" w:lineRule="auto"/>
      <w:outlineLvl w:val="1"/>
    </w:pPr>
    <w:rPr>
      <w:rFonts w:eastAsia="Times New Roman" w:cs="宋体"/>
      <w:sz w:val="28"/>
      <w:szCs w:val="20"/>
    </w:rPr>
  </w:style>
  <w:style w:type="paragraph" w:styleId="824" w:customStyle="1">
    <w:name w:val="op_mapdots_left"/>
    <w:basedOn w:val="719"/>
    <w:uiPriority w:val="0"/>
    <w:qFormat/>
    <w:pPr>
      <w:jc w:val="left"/>
      <w:spacing w:before="100" w:beforeAutospacing="1" w:after="100" w:afterAutospacing="1"/>
      <w:widowControl/>
    </w:pPr>
    <w:rPr>
      <w:rFonts w:ascii="宋体" w:hAnsi="宋体" w:cs="宋体"/>
      <w:sz w:val="24"/>
    </w:rPr>
  </w:style>
  <w:style w:type="paragraph" w:styleId="825" w:customStyle="1">
    <w:name w:val="p0"/>
    <w:basedOn w:val="719"/>
    <w:uiPriority w:val="0"/>
    <w:qFormat/>
    <w:pPr>
      <w:widowControl/>
    </w:pPr>
    <w:rPr>
      <w:b/>
      <w:bCs/>
      <w:sz w:val="24"/>
    </w:rPr>
  </w:style>
  <w:style w:type="paragraph" w:styleId="826" w:customStyle="1">
    <w:name w:val="Blockquote"/>
    <w:basedOn w:val="719"/>
    <w:uiPriority w:val="0"/>
    <w:qFormat/>
    <w:pPr>
      <w:ind w:left="360" w:right="360"/>
      <w:jc w:val="left"/>
      <w:spacing w:before="100" w:after="100"/>
    </w:pPr>
    <w:rPr>
      <w:rFonts w:ascii="Calibri" w:hAnsi="Calibri"/>
      <w:sz w:val="24"/>
      <w:szCs w:val="22"/>
    </w:rPr>
  </w:style>
  <w:style w:type="paragraph" w:styleId="827" w:customStyle="1">
    <w:name w:val="3方案格式3"/>
    <w:basedOn w:val="813"/>
    <w:uiPriority w:val="0"/>
    <w:qFormat/>
    <w:pPr>
      <w:numPr>
        <w:ilvl w:val="2"/>
      </w:numPr>
      <w:outlineLvl w:val="2"/>
    </w:pPr>
    <w:rPr>
      <w:sz w:val="32"/>
    </w:rPr>
  </w:style>
  <w:style w:type="paragraph" w:styleId="828" w:customStyle="1">
    <w:name w:val="样式 标题 2 + Times New Roman 四号 非加粗 段前: 5 磅 段后: 0 磅 行距: 固定值 20..."/>
    <w:basedOn w:val="721"/>
    <w:uiPriority w:val="0"/>
    <w:qFormat/>
    <w:pPr>
      <w:numPr>
        <w:numId w:val="0"/>
      </w:numPr>
      <w:spacing w:before="100" w:after="0" w:line="400" w:lineRule="exact"/>
    </w:pPr>
    <w:rPr>
      <w:rFonts w:ascii="Times New Roman" w:hAnsi="Times New Roman" w:eastAsia="黑体"/>
      <w:b w:val="0"/>
      <w:bCs w:val="0"/>
      <w:sz w:val="28"/>
      <w:szCs w:val="20"/>
    </w:rPr>
  </w:style>
  <w:style w:type="paragraph" w:styleId="829" w:customStyle="1">
    <w:name w:val="标题2"/>
    <w:basedOn w:val="721"/>
    <w:next w:val="738"/>
    <w:uiPriority w:val="0"/>
    <w:qFormat/>
    <w:pPr>
      <w:spacing w:before="156" w:after="156" w:line="360" w:lineRule="auto"/>
    </w:pPr>
    <w:rPr>
      <w:bCs w:val="0"/>
      <w:sz w:val="24"/>
    </w:rPr>
  </w:style>
  <w:style w:type="paragraph" w:styleId="830" w:customStyle="1">
    <w:name w:val="普通正文"/>
    <w:basedOn w:val="719"/>
    <w:uiPriority w:val="0"/>
    <w:qFormat/>
    <w:pPr>
      <w:ind w:firstLine="480"/>
      <w:jc w:val="left"/>
      <w:spacing w:before="120" w:after="120" w:line="360" w:lineRule="auto"/>
    </w:pPr>
    <w:rPr>
      <w:rFonts w:ascii="Arial" w:hAnsi="Arial"/>
      <w:sz w:val="24"/>
    </w:rPr>
  </w:style>
  <w:style w:type="paragraph" w:styleId="831" w:customStyle="1">
    <w:name w:val="正文11"/>
    <w:uiPriority w:val="0"/>
    <w:qFormat/>
    <w:rPr>
      <w:rFonts w:ascii="Calibri" w:hAnsi="Calibri" w:eastAsia="宋体" w:cs="Calibri"/>
      <w:sz w:val="24"/>
      <w:szCs w:val="24"/>
      <w:lang w:val="en-US" w:eastAsia="zh-CN" w:bidi="ar-SA"/>
    </w:rPr>
  </w:style>
  <w:style w:type="paragraph" w:styleId="832" w:customStyle="1">
    <w:name w:val="正文2"/>
    <w:basedOn w:val="719"/>
    <w:uiPriority w:val="0"/>
    <w:qFormat/>
    <w:rPr>
      <w:rFonts w:eastAsia="微软雅黑"/>
      <w:sz w:val="24"/>
    </w:rPr>
  </w:style>
  <w:style w:type="paragraph" w:styleId="833" w:customStyle="1">
    <w:name w:val="列出段落3"/>
    <w:basedOn w:val="719"/>
    <w:uiPriority w:val="0"/>
    <w:qFormat/>
    <w:pPr>
      <w:ind w:firstLine="420"/>
      <w:jc w:val="left"/>
      <w:spacing w:after="200"/>
      <w:widowControl/>
    </w:pPr>
    <w:rPr>
      <w:rFonts w:ascii="Tahoma" w:hAnsi="Tahoma" w:eastAsia="微软雅黑"/>
      <w:sz w:val="22"/>
      <w:szCs w:val="22"/>
    </w:rPr>
  </w:style>
  <w:style w:type="paragraph" w:styleId="834" w:customStyle="1">
    <w:name w:val="纯文本2"/>
    <w:basedOn w:val="719"/>
    <w:uiPriority w:val="0"/>
    <w:qFormat/>
    <w:pPr>
      <w:jc w:val="left"/>
    </w:pPr>
    <w:rPr>
      <w:rFonts w:hint="eastAsia" w:ascii="宋体" w:hAnsi="宋体" w:cs="Courier New"/>
      <w:sz w:val="24"/>
      <w:szCs w:val="20"/>
    </w:rPr>
  </w:style>
  <w:style w:type="paragraph" w:styleId="835" w:customStyle="1">
    <w:name w:val="trs_editor"/>
    <w:basedOn w:val="719"/>
    <w:uiPriority w:val="0"/>
    <w:qFormat/>
    <w:pPr>
      <w:jc w:val="left"/>
      <w:spacing w:before="100" w:beforeAutospacing="1" w:after="100" w:afterAutospacing="1"/>
      <w:widowControl/>
    </w:pPr>
    <w:rPr>
      <w:rFonts w:ascii="宋体" w:hAnsi="宋体" w:cs="宋体"/>
      <w:sz w:val="24"/>
    </w:rPr>
  </w:style>
  <w:style w:type="character" w:styleId="836" w:customStyle="1">
    <w:name w:val="明显强调1"/>
    <w:uiPriority w:val="0"/>
    <w:qFormat/>
    <w:rPr>
      <w:b/>
      <w:bCs/>
      <w:i/>
      <w:iCs/>
      <w:color w:val="4f81bd"/>
    </w:rPr>
  </w:style>
  <w:style w:type="character" w:styleId="837" w:customStyle="1">
    <w:name w:val="批注文字 Char2"/>
    <w:uiPriority w:val="0"/>
    <w:qFormat/>
    <w:rPr>
      <w:sz w:val="21"/>
    </w:rPr>
  </w:style>
  <w:style w:type="character" w:styleId="838" w:customStyle="1">
    <w:name w:val="标题 3 Char_0"/>
    <w:link w:val="776"/>
    <w:uiPriority w:val="0"/>
    <w:qFormat/>
    <w:rPr>
      <w:b/>
      <w:bCs/>
      <w:sz w:val="32"/>
      <w:szCs w:val="32"/>
    </w:rPr>
  </w:style>
  <w:style w:type="character" w:styleId="839" w:customStyle="1">
    <w:name w:val="标题 2 字符"/>
    <w:link w:val="721"/>
    <w:uiPriority w:val="0"/>
    <w:qFormat/>
    <w:rPr>
      <w:rFonts w:ascii="Cambria" w:hAnsi="Cambria"/>
      <w:b/>
      <w:bCs/>
      <w:sz w:val="32"/>
      <w:szCs w:val="32"/>
    </w:rPr>
  </w:style>
  <w:style w:type="character" w:styleId="840" w:customStyle="1">
    <w:name w:val="正文文本 Char2"/>
    <w:uiPriority w:val="99"/>
    <w:semiHidden/>
    <w:qFormat/>
    <w:rPr>
      <w:rFonts w:ascii="Calibri" w:hAnsi="Calibri" w:eastAsia="宋体" w:cs="Times New Roman"/>
    </w:rPr>
  </w:style>
  <w:style w:type="character" w:styleId="841" w:customStyle="1">
    <w:name w:val="页脚 Char1"/>
    <w:uiPriority w:val="99"/>
    <w:semiHidden/>
    <w:qFormat/>
    <w:rPr>
      <w:rFonts w:ascii="Calibri" w:hAnsi="Calibri" w:eastAsia="宋体" w:cs="Times New Roman"/>
      <w:sz w:val="18"/>
      <w:szCs w:val="18"/>
    </w:rPr>
  </w:style>
  <w:style w:type="character" w:styleId="842" w:customStyle="1">
    <w:name w:val="明显引用 Char2"/>
    <w:uiPriority w:val="99"/>
    <w:qFormat/>
    <w:rPr>
      <w:b/>
      <w:bCs/>
      <w:i/>
      <w:iCs/>
      <w:color w:val="4f81bd"/>
      <w:sz w:val="21"/>
      <w:szCs w:val="24"/>
    </w:rPr>
  </w:style>
  <w:style w:type="character" w:styleId="843" w:customStyle="1">
    <w:name w:val="引用 Char"/>
    <w:link w:val="778"/>
    <w:uiPriority w:val="0"/>
    <w:qFormat/>
    <w:rPr>
      <w:i/>
      <w:iCs/>
      <w:color w:val="000000"/>
    </w:rPr>
  </w:style>
  <w:style w:type="character" w:styleId="844" w:customStyle="1">
    <w:name w:val="标题 1 Char_0"/>
    <w:link w:val="779"/>
    <w:uiPriority w:val="0"/>
    <w:qFormat/>
    <w:rPr>
      <w:b/>
      <w:bCs/>
      <w:sz w:val="44"/>
      <w:szCs w:val="44"/>
    </w:rPr>
  </w:style>
  <w:style w:type="character" w:styleId="845" w:customStyle="1">
    <w:name w:val="正文文本缩进 3 Char1"/>
    <w:uiPriority w:val="99"/>
    <w:semiHidden/>
    <w:qFormat/>
    <w:rPr>
      <w:sz w:val="16"/>
      <w:szCs w:val="16"/>
    </w:rPr>
  </w:style>
  <w:style w:type="character" w:styleId="846" w:customStyle="1">
    <w:name w:val="引用 Char1"/>
    <w:uiPriority w:val="29"/>
    <w:qFormat/>
    <w:rPr>
      <w:i/>
      <w:iCs/>
      <w:color w:val="000000"/>
      <w:sz w:val="21"/>
    </w:rPr>
  </w:style>
  <w:style w:type="character" w:styleId="847" w:customStyle="1">
    <w:name w:val="正文文本缩进 字符"/>
    <w:link w:val="739"/>
    <w:uiPriority w:val="0"/>
    <w:qFormat/>
    <w:rPr>
      <w:sz w:val="21"/>
      <w:szCs w:val="24"/>
    </w:rPr>
  </w:style>
  <w:style w:type="character" w:styleId="848" w:customStyle="1">
    <w:name w:val="font161"/>
    <w:uiPriority w:val="0"/>
    <w:qFormat/>
    <w:rPr>
      <w:b/>
      <w:sz w:val="32"/>
    </w:rPr>
  </w:style>
  <w:style w:type="character" w:styleId="849" w:customStyle="1">
    <w:name w:val="标题 4 Char_0"/>
    <w:link w:val="780"/>
    <w:uiPriority w:val="0"/>
    <w:qFormat/>
    <w:rPr>
      <w:rFonts w:ascii="Arial" w:hAnsi="Arial" w:eastAsia="黑体"/>
      <w:b/>
      <w:bCs/>
      <w:sz w:val="28"/>
      <w:szCs w:val="28"/>
    </w:rPr>
  </w:style>
  <w:style w:type="character" w:styleId="850" w:customStyle="1">
    <w:name w:val="页眉 字符"/>
    <w:link w:val="750"/>
    <w:uiPriority w:val="99"/>
    <w:qFormat/>
    <w:rPr>
      <w:sz w:val="18"/>
      <w:szCs w:val="18"/>
    </w:rPr>
  </w:style>
  <w:style w:type="character" w:styleId="851" w:customStyle="1">
    <w:name w:val="标题 6 字符"/>
    <w:link w:val="725"/>
    <w:uiPriority w:val="0"/>
    <w:qFormat/>
    <w:rPr>
      <w:rFonts w:ascii="Cambria" w:hAnsi="Cambria" w:eastAsia="宋体" w:cs="Times New Roman"/>
      <w:b/>
      <w:bCs/>
      <w:sz w:val="24"/>
      <w:szCs w:val="24"/>
    </w:rPr>
  </w:style>
  <w:style w:type="character" w:styleId="852" w:customStyle="1">
    <w:name w:val="纯文本 字符"/>
    <w:link w:val="744"/>
    <w:uiPriority w:val="0"/>
    <w:qFormat/>
    <w:rPr>
      <w:rFonts w:ascii="Ari"/>
      <w:lang w:val="en-US" w:eastAsia="zh-CN" w:bidi="ar-SA"/>
    </w:rPr>
  </w:style>
  <w:style w:type="character" w:styleId="853" w:customStyle="1">
    <w:name w:val="引用 Char2"/>
    <w:uiPriority w:val="99"/>
    <w:qFormat/>
    <w:rPr>
      <w:i/>
      <w:iCs/>
      <w:color w:val="000000"/>
      <w:sz w:val="21"/>
      <w:szCs w:val="24"/>
    </w:rPr>
  </w:style>
  <w:style w:type="character" w:styleId="854" w:customStyle="1">
    <w:name w:val="rvts11"/>
    <w:uiPriority w:val="0"/>
    <w:qFormat/>
    <w:rPr>
      <w:rFonts w:hint="default" w:ascii="KNLe" w:hAnsi="KNLe"/>
      <w:sz w:val="24"/>
      <w:szCs w:val="24"/>
      <w:u w:val="single"/>
    </w:rPr>
  </w:style>
  <w:style w:type="character" w:styleId="855" w:customStyle="1">
    <w:name w:val="标题 字符"/>
    <w:link w:val="761"/>
    <w:uiPriority w:val="0"/>
    <w:qFormat/>
    <w:rPr>
      <w:rFonts w:ascii="Arial" w:hAnsi="Arial"/>
      <w:b/>
      <w:sz w:val="32"/>
    </w:rPr>
  </w:style>
  <w:style w:type="character" w:styleId="856" w:customStyle="1">
    <w:name w:val="标题5 Char Char"/>
    <w:link w:val="781"/>
    <w:uiPriority w:val="0"/>
    <w:qFormat/>
    <w:rPr>
      <w:rFonts w:ascii="Arial" w:hAnsi="Arial"/>
      <w:b/>
      <w:bCs/>
      <w:sz w:val="24"/>
      <w:szCs w:val="32"/>
    </w:rPr>
  </w:style>
  <w:style w:type="character" w:styleId="857" w:customStyle="1">
    <w:name w:val="副标题 Char2"/>
    <w:uiPriority w:val="11"/>
    <w:qFormat/>
    <w:rPr>
      <w:rFonts w:ascii="Cambria" w:hAnsi="Cambria" w:cs="Times New Roman"/>
      <w:b/>
      <w:bCs/>
      <w:sz w:val="32"/>
      <w:szCs w:val="32"/>
    </w:rPr>
  </w:style>
  <w:style w:type="character" w:styleId="858" w:customStyle="1">
    <w:name w:val="文档结构图 字符"/>
    <w:link w:val="735"/>
    <w:uiPriority w:val="0"/>
    <w:qFormat/>
    <w:rPr>
      <w:rFonts w:ascii="宋体"/>
      <w:sz w:val="18"/>
      <w:szCs w:val="18"/>
    </w:rPr>
  </w:style>
  <w:style w:type="character" w:styleId="859" w:customStyle="1">
    <w:name w:val="日期 字符"/>
    <w:link w:val="746"/>
    <w:uiPriority w:val="0"/>
    <w:qFormat/>
    <w:rPr>
      <w:sz w:val="21"/>
      <w:szCs w:val="24"/>
    </w:rPr>
  </w:style>
  <w:style w:type="character" w:styleId="860" w:customStyle="1">
    <w:name w:val="批注主题 Char1"/>
    <w:uiPriority w:val="0"/>
    <w:qFormat/>
    <w:rPr>
      <w:b/>
      <w:bCs/>
      <w:sz w:val="21"/>
      <w:szCs w:val="22"/>
    </w:rPr>
  </w:style>
  <w:style w:type="character" w:styleId="861" w:customStyle="1">
    <w:name w:val="font31"/>
    <w:uiPriority w:val="0"/>
    <w:qFormat/>
    <w:rPr>
      <w:rFonts w:hint="eastAsia" w:ascii="宋体" w:hAnsi="宋体" w:eastAsia="宋体" w:cs="宋体"/>
      <w:color w:val="000000"/>
      <w:sz w:val="20"/>
      <w:szCs w:val="20"/>
      <w:u w:val="none"/>
    </w:rPr>
  </w:style>
  <w:style w:type="character" w:styleId="862" w:customStyle="1">
    <w:name w:val="明显引用 Char"/>
    <w:link w:val="782"/>
    <w:uiPriority w:val="0"/>
    <w:qFormat/>
    <w:rPr>
      <w:b/>
      <w:bCs/>
      <w:i/>
      <w:iCs/>
      <w:color w:val="4f81bd"/>
    </w:rPr>
  </w:style>
  <w:style w:type="character" w:styleId="863" w:customStyle="1">
    <w:name w:val="标题 5 字符"/>
    <w:link w:val="724"/>
    <w:uiPriority w:val="0"/>
    <w:qFormat/>
    <w:rPr>
      <w:b/>
      <w:bCs/>
      <w:sz w:val="28"/>
      <w:szCs w:val="28"/>
    </w:rPr>
  </w:style>
  <w:style w:type="character" w:styleId="864" w:customStyle="1">
    <w:name w:val="日期 Char1"/>
    <w:uiPriority w:val="0"/>
    <w:qFormat/>
    <w:rPr>
      <w:rFonts w:ascii="Calibri" w:hAnsi="Calibri" w:eastAsia="宋体" w:cs="Times New Roman"/>
    </w:rPr>
  </w:style>
  <w:style w:type="character" w:styleId="865" w:customStyle="1">
    <w:name w:val="批注框文本 Char1"/>
    <w:uiPriority w:val="0"/>
    <w:qFormat/>
    <w:rPr>
      <w:sz w:val="18"/>
      <w:szCs w:val="18"/>
    </w:rPr>
  </w:style>
  <w:style w:type="character" w:styleId="866" w:customStyle="1">
    <w:name w:val="标题 Char1"/>
    <w:uiPriority w:val="10"/>
    <w:qFormat/>
    <w:rPr>
      <w:rFonts w:ascii="Cambria" w:hAnsi="Cambria" w:eastAsia="宋体" w:cs="Times New Roman"/>
      <w:b/>
      <w:bCs/>
      <w:sz w:val="32"/>
      <w:szCs w:val="32"/>
    </w:rPr>
  </w:style>
  <w:style w:type="character" w:styleId="867" w:customStyle="1">
    <w:name w:val="标题 9 字符"/>
    <w:link w:val="728"/>
    <w:uiPriority w:val="0"/>
    <w:qFormat/>
    <w:rPr>
      <w:rFonts w:ascii="Cambria" w:hAnsi="Cambria" w:eastAsia="宋体" w:cs="Times New Roman"/>
      <w:sz w:val="21"/>
      <w:szCs w:val="21"/>
    </w:rPr>
  </w:style>
  <w:style w:type="character" w:styleId="868" w:customStyle="1">
    <w:name w:val="不明显参考1"/>
    <w:uiPriority w:val="0"/>
    <w:qFormat/>
    <w:rPr>
      <w:smallCaps/>
      <w:color w:val="c0504d"/>
      <w:u w:val="single"/>
    </w:rPr>
  </w:style>
  <w:style w:type="character" w:styleId="869" w:customStyle="1">
    <w:name w:val="批注文字 Char1"/>
    <w:uiPriority w:val="0"/>
    <w:qFormat/>
    <w:rPr>
      <w:rFonts w:ascii="Calibri" w:hAnsi="Calibri" w:eastAsia="宋体" w:cs="Times New Roman"/>
    </w:rPr>
  </w:style>
  <w:style w:type="character" w:styleId="870" w:customStyle="1">
    <w:name w:val="标题 Char2"/>
    <w:uiPriority w:val="10"/>
    <w:qFormat/>
    <w:rPr>
      <w:rFonts w:ascii="Cambria" w:hAnsi="Cambria" w:cs="Times New Roman"/>
      <w:b/>
      <w:bCs/>
      <w:sz w:val="32"/>
      <w:szCs w:val="32"/>
    </w:rPr>
  </w:style>
  <w:style w:type="character" w:styleId="871" w:customStyle="1">
    <w:name w:val="正文文本 3 Char1"/>
    <w:uiPriority w:val="99"/>
    <w:semiHidden/>
    <w:qFormat/>
    <w:rPr>
      <w:sz w:val="16"/>
      <w:szCs w:val="16"/>
    </w:rPr>
  </w:style>
  <w:style w:type="character" w:styleId="872" w:customStyle="1">
    <w:name w:val="批注主题 Char2"/>
    <w:uiPriority w:val="0"/>
    <w:qFormat/>
    <w:rPr>
      <w:b/>
      <w:bCs/>
      <w:sz w:val="21"/>
    </w:rPr>
  </w:style>
  <w:style w:type="character" w:styleId="873" w:customStyle="1">
    <w:name w:val="标题 3 字符"/>
    <w:link w:val="722"/>
    <w:uiPriority w:val="0"/>
    <w:qFormat/>
    <w:rPr>
      <w:b/>
      <w:bCs/>
      <w:sz w:val="32"/>
      <w:szCs w:val="32"/>
    </w:rPr>
  </w:style>
  <w:style w:type="character" w:styleId="874" w:customStyle="1">
    <w:name w:val="正文文本 Char_0"/>
    <w:link w:val="783"/>
    <w:uiPriority w:val="0"/>
    <w:qFormat/>
    <w:rPr>
      <w:szCs w:val="24"/>
    </w:rPr>
  </w:style>
  <w:style w:type="character" w:styleId="875" w:customStyle="1">
    <w:name w:val="副标题 字符"/>
    <w:link w:val="753"/>
    <w:uiPriority w:val="0"/>
    <w:qFormat/>
    <w:rPr>
      <w:rFonts w:ascii="Cambria" w:hAnsi="Cambria"/>
      <w:b/>
      <w:bCs/>
      <w:sz w:val="32"/>
      <w:szCs w:val="32"/>
    </w:rPr>
  </w:style>
  <w:style w:type="character" w:styleId="876" w:customStyle="1">
    <w:name w:val="bookmark"/>
    <w:basedOn w:val="729"/>
    <w:uiPriority w:val="0"/>
    <w:qFormat/>
  </w:style>
  <w:style w:type="character" w:styleId="877" w:customStyle="1">
    <w:name w:val="标题 5 Char_0"/>
    <w:link w:val="784"/>
    <w:uiPriority w:val="0"/>
    <w:qFormat/>
    <w:rPr>
      <w:rFonts w:ascii="Calibri" w:hAnsi="Calibri"/>
      <w:b/>
      <w:bCs/>
      <w:sz w:val="28"/>
      <w:szCs w:val="28"/>
    </w:rPr>
  </w:style>
  <w:style w:type="character" w:styleId="878" w:customStyle="1">
    <w:name w:val="正文文本缩进 2 字符"/>
    <w:link w:val="747"/>
    <w:uiPriority w:val="99"/>
    <w:qFormat/>
    <w:rPr>
      <w:rFonts w:ascii="宋体"/>
    </w:rPr>
  </w:style>
  <w:style w:type="character" w:styleId="879" w:customStyle="1">
    <w:name w:val="批注文字 字符"/>
    <w:link w:val="736"/>
    <w:uiPriority w:val="99"/>
    <w:qFormat/>
    <w:rPr>
      <w:sz w:val="21"/>
      <w:szCs w:val="24"/>
    </w:rPr>
  </w:style>
  <w:style w:type="character" w:styleId="880" w:customStyle="1">
    <w:name w:val="font11"/>
    <w:uiPriority w:val="0"/>
    <w:qFormat/>
    <w:rPr>
      <w:rFonts w:hint="eastAsia" w:ascii="宋体" w:hAnsi="宋体" w:eastAsia="宋体" w:cs="宋体"/>
      <w:color w:val="000000"/>
      <w:sz w:val="20"/>
      <w:szCs w:val="20"/>
      <w:u w:val="none"/>
    </w:rPr>
  </w:style>
  <w:style w:type="character" w:styleId="881" w:customStyle="1">
    <w:name w:val="明显参考1"/>
    <w:uiPriority w:val="0"/>
    <w:qFormat/>
    <w:rPr>
      <w:b/>
      <w:bCs/>
      <w:smallCaps/>
      <w:color w:val="c0504d"/>
      <w:spacing w:val="5"/>
      <w:u w:val="single"/>
    </w:rPr>
  </w:style>
  <w:style w:type="character" w:styleId="882" w:customStyle="1">
    <w:name w:val="超链接_0"/>
    <w:uiPriority w:val="99"/>
    <w:qFormat/>
    <w:rPr>
      <w:rFonts w:ascii="Calibri" w:hAnsi="Calibri"/>
      <w:color w:val="0000ff"/>
      <w:u w:val="single"/>
    </w:rPr>
  </w:style>
  <w:style w:type="character" w:styleId="883" w:customStyle="1">
    <w:name w:val="文档结构图 Char2"/>
    <w:uiPriority w:val="99"/>
    <w:semiHidden/>
    <w:qFormat/>
    <w:rPr>
      <w:rFonts w:ascii="宋体" w:hAnsi="Calibri" w:eastAsia="宋体" w:cs="Times New Roman"/>
      <w:sz w:val="18"/>
      <w:szCs w:val="18"/>
    </w:rPr>
  </w:style>
  <w:style w:type="character" w:styleId="884" w:customStyle="1">
    <w:name w:val="textcontents"/>
    <w:uiPriority w:val="0"/>
    <w:qFormat/>
    <w:rPr>
      <w:rFonts w:cs="Times New Roman"/>
    </w:rPr>
  </w:style>
  <w:style w:type="character" w:styleId="885" w:customStyle="1">
    <w:name w:val="标题 1 Char"/>
    <w:uiPriority w:val="0"/>
    <w:qFormat/>
    <w:rPr>
      <w:b/>
      <w:bCs/>
      <w:sz w:val="32"/>
      <w:szCs w:val="44"/>
    </w:rPr>
  </w:style>
  <w:style w:type="character" w:styleId="886" w:customStyle="1">
    <w:name w:val="正文文本 字符"/>
    <w:link w:val="738"/>
    <w:uiPriority w:val="0"/>
    <w:qFormat/>
    <w:rPr>
      <w:rFonts w:eastAsia="幼圆"/>
      <w:b/>
      <w:bCs/>
      <w:sz w:val="44"/>
      <w:szCs w:val="24"/>
    </w:rPr>
  </w:style>
  <w:style w:type="character" w:styleId="887" w:customStyle="1">
    <w:name w:val="标题 8 字符"/>
    <w:link w:val="727"/>
    <w:uiPriority w:val="0"/>
    <w:qFormat/>
    <w:rPr>
      <w:rFonts w:ascii="Cambria" w:hAnsi="Cambria" w:eastAsia="宋体" w:cs="Times New Roman"/>
      <w:sz w:val="24"/>
      <w:szCs w:val="24"/>
    </w:rPr>
  </w:style>
  <w:style w:type="character" w:styleId="888" w:customStyle="1">
    <w:name w:val="副标题 Char1"/>
    <w:uiPriority w:val="11"/>
    <w:qFormat/>
    <w:rPr>
      <w:rFonts w:ascii="Cambria" w:hAnsi="Cambria" w:cs="Times New Roman"/>
      <w:b/>
      <w:bCs/>
      <w:sz w:val="32"/>
      <w:szCs w:val="32"/>
    </w:rPr>
  </w:style>
  <w:style w:type="character" w:styleId="889" w:customStyle="1">
    <w:name w:val="批注主题 字符"/>
    <w:link w:val="762"/>
    <w:uiPriority w:val="0"/>
    <w:qFormat/>
    <w:rPr>
      <w:b/>
      <w:bCs/>
      <w:sz w:val="21"/>
      <w:szCs w:val="24"/>
    </w:rPr>
  </w:style>
  <w:style w:type="character" w:styleId="890" w:customStyle="1">
    <w:name w:val="书籍标题1"/>
    <w:uiPriority w:val="0"/>
    <w:qFormat/>
    <w:rPr>
      <w:b/>
      <w:bCs/>
      <w:smallCaps/>
      <w:spacing w:val="5"/>
    </w:rPr>
  </w:style>
  <w:style w:type="character" w:styleId="891" w:customStyle="1">
    <w:name w:val="页脚 字符"/>
    <w:link w:val="749"/>
    <w:uiPriority w:val="99"/>
    <w:qFormat/>
    <w:rPr>
      <w:sz w:val="18"/>
      <w:szCs w:val="18"/>
    </w:rPr>
  </w:style>
  <w:style w:type="character" w:styleId="892" w:customStyle="1">
    <w:name w:val="标题4 Char Char"/>
    <w:link w:val="785"/>
    <w:uiPriority w:val="0"/>
    <w:qFormat/>
    <w:rPr>
      <w:rFonts w:ascii="Arial" w:hAnsi="Arial"/>
      <w:b/>
      <w:bCs/>
      <w:sz w:val="24"/>
      <w:szCs w:val="32"/>
    </w:rPr>
  </w:style>
  <w:style w:type="character" w:styleId="893" w:customStyle="1">
    <w:name w:val="正文文本 Char1"/>
    <w:uiPriority w:val="0"/>
    <w:qFormat/>
    <w:rPr>
      <w:rFonts w:ascii="Calibri" w:hAnsi="Calibri" w:eastAsia="宋体" w:cs="Times New Roman"/>
    </w:rPr>
  </w:style>
  <w:style w:type="character" w:styleId="894" w:customStyle="1">
    <w:name w:val="明显引用 Char1"/>
    <w:uiPriority w:val="30"/>
    <w:qFormat/>
    <w:rPr>
      <w:b/>
      <w:bCs/>
      <w:i/>
      <w:iCs/>
      <w:color w:val="4f81bd"/>
      <w:sz w:val="21"/>
    </w:rPr>
  </w:style>
  <w:style w:type="character" w:styleId="895" w:customStyle="1">
    <w:name w:val="页眉 Char1"/>
    <w:uiPriority w:val="99"/>
    <w:semiHidden/>
    <w:qFormat/>
    <w:rPr>
      <w:rFonts w:ascii="Calibri" w:hAnsi="Calibri" w:eastAsia="宋体" w:cs="Times New Roman"/>
      <w:sz w:val="18"/>
      <w:szCs w:val="18"/>
    </w:rPr>
  </w:style>
  <w:style w:type="character" w:styleId="896" w:customStyle="1">
    <w:name w:val="不明显强调1"/>
    <w:uiPriority w:val="0"/>
    <w:qFormat/>
    <w:rPr>
      <w:i/>
      <w:iCs/>
      <w:color w:val="808080"/>
    </w:rPr>
  </w:style>
  <w:style w:type="character" w:styleId="897" w:customStyle="1">
    <w:name w:val="正文文本 3 字符"/>
    <w:link w:val="737"/>
    <w:uiPriority w:val="0"/>
    <w:qFormat/>
    <w:rPr>
      <w:rFonts w:ascii="宋体"/>
      <w:sz w:val="24"/>
    </w:rPr>
  </w:style>
  <w:style w:type="character" w:styleId="898" w:customStyle="1">
    <w:name w:val="正文文本缩进 3 字符"/>
    <w:link w:val="755"/>
    <w:uiPriority w:val="0"/>
    <w:qFormat/>
    <w:rPr>
      <w:sz w:val="16"/>
    </w:rPr>
  </w:style>
  <w:style w:type="character" w:styleId="899" w:customStyle="1">
    <w:name w:val="font21"/>
    <w:uiPriority w:val="0"/>
    <w:qFormat/>
    <w:rPr>
      <w:rFonts w:hint="eastAsia" w:ascii="宋体" w:hAnsi="宋体" w:eastAsia="宋体" w:cs="宋体"/>
      <w:color w:val="000000"/>
      <w:sz w:val="20"/>
      <w:szCs w:val="20"/>
      <w:u w:val="none"/>
    </w:rPr>
  </w:style>
  <w:style w:type="character" w:styleId="900" w:customStyle="1">
    <w:name w:val="批注框文本 字符"/>
    <w:link w:val="748"/>
    <w:uiPriority w:val="0"/>
    <w:qFormat/>
    <w:rPr>
      <w:sz w:val="18"/>
      <w:szCs w:val="18"/>
    </w:rPr>
  </w:style>
  <w:style w:type="character" w:styleId="901" w:customStyle="1">
    <w:name w:val="标题 7 字符"/>
    <w:link w:val="726"/>
    <w:uiPriority w:val="0"/>
    <w:qFormat/>
    <w:rPr>
      <w:b/>
      <w:bCs/>
      <w:sz w:val="24"/>
      <w:szCs w:val="24"/>
    </w:rPr>
  </w:style>
  <w:style w:type="character" w:styleId="902" w:customStyle="1">
    <w:name w:val="标题 1 字符"/>
    <w:link w:val="720"/>
    <w:uiPriority w:val="0"/>
    <w:qFormat/>
    <w:rPr>
      <w:rFonts w:ascii="Times New Roman" w:hAnsi="Times New Roman" w:eastAsia="方正公文小标宋" w:cs="Times New Roman"/>
      <w:b/>
      <w:bCs/>
      <w:sz w:val="44"/>
      <w:szCs w:val="44"/>
      <w:lang w:val="en-US" w:eastAsia="zh-CN" w:bidi="ar-SA"/>
    </w:rPr>
  </w:style>
  <w:style w:type="character" w:styleId="903" w:customStyle="1">
    <w:name w:val="文档结构图 Char1"/>
    <w:uiPriority w:val="0"/>
    <w:qFormat/>
    <w:rPr>
      <w:rFonts w:ascii="宋体" w:hAnsi="Calibri" w:eastAsia="宋体" w:cs="Times New Roman"/>
      <w:sz w:val="18"/>
      <w:szCs w:val="18"/>
    </w:rPr>
  </w:style>
  <w:style w:type="character" w:styleId="904" w:customStyle="1">
    <w:name w:val="标题 2 Char_0"/>
    <w:link w:val="786"/>
    <w:uiPriority w:val="0"/>
    <w:qFormat/>
    <w:rPr>
      <w:rFonts w:ascii="Cambria" w:hAnsi="Cambria"/>
      <w:b/>
      <w:bCs/>
      <w:sz w:val="32"/>
      <w:szCs w:val="32"/>
    </w:rPr>
  </w:style>
  <w:style w:type="character" w:styleId="905" w:customStyle="1">
    <w:name w:val="日期 Char2"/>
    <w:uiPriority w:val="99"/>
    <w:semiHidden/>
    <w:qFormat/>
    <w:rPr>
      <w:rFonts w:ascii="Calibri" w:hAnsi="Calibri" w:eastAsia="宋体" w:cs="Times New Roman"/>
    </w:rPr>
  </w:style>
  <w:style w:type="character" w:styleId="906" w:customStyle="1">
    <w:name w:val="批注框文本 Char2"/>
    <w:uiPriority w:val="99"/>
    <w:semiHidden/>
    <w:qFormat/>
    <w:rPr>
      <w:rFonts w:ascii="Calibri" w:hAnsi="Calibri" w:eastAsia="宋体" w:cs="Times New Roman"/>
      <w:sz w:val="18"/>
      <w:szCs w:val="18"/>
    </w:rPr>
  </w:style>
  <w:style w:type="character" w:styleId="907" w:customStyle="1">
    <w:name w:val="标题 4 字符"/>
    <w:link w:val="723"/>
    <w:uiPriority w:val="0"/>
    <w:qFormat/>
    <w:rPr>
      <w:rFonts w:ascii="Cambria" w:hAnsi="Cambria" w:eastAsia="宋体" w:cs="Times New Roman"/>
      <w:b/>
      <w:bCs/>
      <w:sz w:val="28"/>
      <w:szCs w:val="28"/>
    </w:rPr>
  </w:style>
  <w:style w:type="character" w:styleId="908" w:customStyle="1">
    <w:name w:val="列出段落 Char"/>
    <w:link w:val="787"/>
    <w:uiPriority w:val="99"/>
    <w:qFormat/>
    <w:rPr>
      <w:sz w:val="21"/>
      <w:szCs w:val="24"/>
    </w:rPr>
  </w:style>
  <w:style w:type="character" w:styleId="909" w:customStyle="1">
    <w:name w:val="表格文字 字符"/>
    <w:link w:val="804"/>
    <w:uiPriority w:val="0"/>
    <w:qFormat/>
    <w:rPr>
      <w:rFonts w:ascii="Calibri" w:hAnsi="Calibri" w:eastAsia="宋体" w:cs="Times New Roman"/>
      <w:sz w:val="21"/>
      <w:szCs w:val="22"/>
    </w:rPr>
  </w:style>
  <w:style w:type="paragraph" w:styleId="910" w:customStyle="1">
    <w:name w:val="修订2"/>
    <w:hidden/>
    <w:uiPriority w:val="99"/>
    <w:semiHidden/>
    <w:qFormat/>
    <w:rPr>
      <w:rFonts w:ascii="Times New Roman" w:hAnsi="Times New Roman" w:eastAsia="宋体" w:cs="Times New Roman"/>
      <w:sz w:val="21"/>
      <w:szCs w:val="24"/>
      <w:lang w:val="en-US" w:eastAsia="zh-CN" w:bidi="ar-SA"/>
    </w:rPr>
  </w:style>
  <w:style w:type="character" w:styleId="911" w:customStyle="1">
    <w:name w:val="正文文本首行缩进 字符"/>
    <w:basedOn w:val="886"/>
    <w:link w:val="763"/>
    <w:uiPriority w:val="0"/>
    <w:semiHidden/>
    <w:qFormat/>
    <w:rPr>
      <w:rFonts w:eastAsia="幼圆"/>
      <w:b w:val="0"/>
      <w:bCs w:val="0"/>
      <w:sz w:val="21"/>
      <w:szCs w:val="24"/>
    </w:rPr>
  </w:style>
  <w:style w:type="character" w:styleId="912" w:customStyle="1">
    <w:name w:val="未处理的提及1"/>
    <w:basedOn w:val="729"/>
    <w:uiPriority w:val="99"/>
    <w:semiHidden/>
    <w:unhideWhenUsed/>
    <w:qFormat/>
    <w:rPr>
      <w:color w:val="605e5c"/>
      <w:shd w:val="clear" w:color="auto" w:fill="e1dfdd"/>
    </w:rPr>
  </w:style>
  <w:style w:type="paragraph" w:styleId="913" w:customStyle="1">
    <w:name w:val="TOC 标题2"/>
    <w:basedOn w:val="720"/>
    <w:next w:val="71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character" w:styleId="914" w:customStyle="1">
    <w:name w:val="未处理的提及2"/>
    <w:basedOn w:val="729"/>
    <w:uiPriority w:val="99"/>
    <w:semiHidden/>
    <w:unhideWhenUsed/>
    <w:qFormat/>
    <w:rPr>
      <w:color w:val="605e5c"/>
      <w:shd w:val="clear" w:color="auto" w:fill="e1dfdd"/>
    </w:rPr>
  </w:style>
  <w:style w:type="paragraph" w:styleId="91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16" w:customStyle="1">
    <w:name w:val="标题 61"/>
    <w:basedOn w:val="719"/>
    <w:next w:val="71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917" w:customStyle="1">
    <w:name w:val="标题 71"/>
    <w:basedOn w:val="719"/>
    <w:next w:val="719"/>
    <w:uiPriority w:val="0"/>
    <w:qFormat/>
    <w:pPr>
      <w:numPr>
        <w:ilvl w:val="6"/>
        <w:numId w:val="3"/>
      </w:numPr>
      <w:keepLines/>
      <w:keepNext/>
      <w:spacing w:before="240" w:after="64" w:line="320" w:lineRule="auto"/>
      <w:outlineLvl w:val="6"/>
    </w:pPr>
    <w:rPr>
      <w:b/>
      <w:bCs/>
      <w:sz w:val="24"/>
    </w:rPr>
  </w:style>
  <w:style w:type="paragraph" w:styleId="918" w:customStyle="1">
    <w:name w:val="标题 81"/>
    <w:basedOn w:val="719"/>
    <w:next w:val="719"/>
    <w:uiPriority w:val="0"/>
    <w:qFormat/>
    <w:pPr>
      <w:numPr>
        <w:ilvl w:val="7"/>
        <w:numId w:val="3"/>
      </w:numPr>
      <w:keepLines/>
      <w:keepNext/>
      <w:spacing w:before="240" w:after="64" w:line="320" w:lineRule="auto"/>
      <w:outlineLvl w:val="7"/>
    </w:pPr>
    <w:rPr>
      <w:rFonts w:ascii="Arial" w:hAnsi="Arial" w:eastAsia="黑体"/>
      <w:sz w:val="24"/>
    </w:rPr>
  </w:style>
  <w:style w:type="paragraph" w:styleId="919" w:customStyle="1">
    <w:name w:val="标题 91"/>
    <w:basedOn w:val="719"/>
    <w:next w:val="719"/>
    <w:uiPriority w:val="0"/>
    <w:qFormat/>
    <w:pPr>
      <w:numPr>
        <w:ilvl w:val="8"/>
        <w:numId w:val="3"/>
      </w:numPr>
      <w:keepLines/>
      <w:keepNext/>
      <w:spacing w:before="240" w:after="64" w:line="320" w:lineRule="auto"/>
      <w:outlineLvl w:val="8"/>
    </w:pPr>
    <w:rPr>
      <w:rFonts w:ascii="Arial" w:hAnsi="Arial" w:eastAsia="黑体"/>
      <w:szCs w:val="21"/>
    </w:rPr>
  </w:style>
  <w:style w:type="character" w:styleId="920" w:customStyle="1">
    <w:name w:val="正文缩进 字符"/>
    <w:link w:val="733"/>
    <w:uiPriority w:val="0"/>
    <w:qFormat/>
    <w:rPr>
      <w:b/>
      <w:sz w:val="24"/>
    </w:rPr>
  </w:style>
  <w:style w:type="paragraph" w:styleId="921"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22" w:customStyle="1">
    <w:name w:val="一级条标题"/>
    <w:next w:val="923"/>
    <w:uiPriority w:val="0"/>
    <w:qFormat/>
    <w:pPr>
      <w:ind w:left="907" w:hanging="907"/>
      <w:jc w:val="both"/>
      <w:spacing w:before="50" w:after="50"/>
      <w:tabs>
        <w:tab w:val="left" w:pos="810" w:leader="none"/>
        <w:tab w:val="left" w:pos="907" w:leader="none"/>
        <w:tab w:val="left" w:pos="1265" w:leader="none"/>
      </w:tabs>
      <w:outlineLvl w:val="2"/>
    </w:pPr>
    <w:rPr>
      <w:rFonts w:ascii="黑体" w:hAnsi="宋体" w:eastAsia="黑体" w:cs="等线"/>
      <w:lang w:val="en-US" w:eastAsia="zh-CN" w:bidi="ar-SA"/>
    </w:rPr>
  </w:style>
  <w:style w:type="paragraph" w:styleId="923" w:customStyle="1">
    <w:name w:val="段"/>
    <w:next w:val="719"/>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924" w:customStyle="1">
    <w:name w:val="章标题"/>
    <w:next w:val="719"/>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925" w:customStyle="1">
    <w:name w:val="正文文本1111"/>
    <w:basedOn w:val="719"/>
    <w:next w:val="719"/>
    <w:uiPriority w:val="99"/>
    <w:qFormat/>
    <w:rPr>
      <w:rFonts w:ascii="宋体"/>
      <w:sz w:val="28"/>
    </w:rPr>
  </w:style>
  <w:style w:type="table" w:styleId="926" w:customStyle="1">
    <w:name w:val="Table Normal"/>
    <w:uiPriority w:val="0"/>
    <w:unhideWhenUsed/>
    <w:qFormat/>
    <w:tblPr>
      <w:tblCellMar>
        <w:left w:w="0" w:type="dxa"/>
        <w:top w:w="0" w:type="dxa"/>
        <w:right w:w="0" w:type="dxa"/>
        <w:bottom w:w="0" w:type="dxa"/>
      </w:tblCellMar>
    </w:tblPr>
  </w:style>
  <w:style w:type="paragraph" w:styleId="927" w:customStyle="1">
    <w:name w:val="标题一级"/>
    <w:basedOn w:val="719"/>
    <w:uiPriority w:val="0"/>
    <w:qFormat/>
    <w:rPr>
      <w:rFonts w:ascii="宋体" w:hAnsi="宋体" w:eastAsiaTheme="minorEastAsia" w:cstheme="minorBidi"/>
      <w:b/>
      <w:szCs w:val="21"/>
    </w:rPr>
  </w:style>
  <w:style w:type="paragraph" w:styleId="928" w:customStyle="1">
    <w:name w:val="标题二级"/>
    <w:basedOn w:val="719"/>
    <w:uiPriority w:val="0"/>
    <w:qFormat/>
    <w:rPr>
      <w:rFonts w:ascii="宋体" w:hAnsi="宋体" w:eastAsiaTheme="minorEastAsia" w:cstheme="minorBidi"/>
      <w:szCs w:val="21"/>
    </w:rPr>
  </w:style>
  <w:style w:type="paragraph" w:styleId="929"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张近</cp:lastModifiedBy>
  <cp:revision>64</cp:revision>
  <dcterms:created xsi:type="dcterms:W3CDTF">2021-03-26T03:19:00Z</dcterms:created>
  <dcterms:modified xsi:type="dcterms:W3CDTF">2026-07-24T09:05:58Z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9FD4EAED66E0464BACA605E317261A1F_13</vt:lpwstr>
  </property>
  <property fmtid="{D5CDD505-2E9C-101B-9397-08002B2CF9AE}" pid="4" name="KSOTemplateDocerSaveRecord">
    <vt:lpwstr>eyJoZGlkIjoiM2JiMzkzMTc0ODczMzFmZDU2Zjg4ZTllMWQ3ZTMwZmUiLCJ1c2VySWQiOiI1Mzg2ODMwOTkifQ==</vt:lpwstr>
  </property>
</Properties>
</file>