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E230D">
      <w:pPr>
        <w:pStyle w:val="10"/>
        <w:snapToGrid w:val="0"/>
        <w:spacing w:line="240" w:lineRule="auto"/>
        <w:ind w:firstLine="440" w:firstLineChars="100"/>
        <w:jc w:val="both"/>
        <w:rPr>
          <w:rFonts w:hint="eastAsia"/>
        </w:rPr>
      </w:pPr>
      <w:r>
        <w:t>南京医科大学食堂大宗食材采购合同</w:t>
      </w:r>
    </w:p>
    <w:p w14:paraId="1C435209">
      <w:pPr>
        <w:pStyle w:val="5"/>
        <w:snapToGrid w:val="0"/>
        <w:spacing w:after="0"/>
        <w:ind w:firstLine="2080" w:firstLineChars="200"/>
        <w:rPr>
          <w:rFonts w:eastAsia="仿宋_GB2312" w:cs="仿宋_GB2312"/>
          <w:color w:val="000000"/>
          <w:spacing w:val="400"/>
          <w:szCs w:val="32"/>
        </w:rPr>
      </w:pPr>
    </w:p>
    <w:p w14:paraId="5DAEF278">
      <w:pPr>
        <w:pStyle w:val="5"/>
        <w:snapToGrid w:val="0"/>
        <w:spacing w:after="0" w:line="216" w:lineRule="auto"/>
        <w:jc w:val="left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甲方：南京医科大学</w:t>
      </w:r>
    </w:p>
    <w:p w14:paraId="1B98CAB6">
      <w:pPr>
        <w:pStyle w:val="5"/>
        <w:snapToGrid w:val="0"/>
        <w:spacing w:after="0" w:line="216" w:lineRule="auto"/>
        <w:jc w:val="left"/>
        <w:rPr>
          <w:rFonts w:hint="eastAsia"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南京市江宁区宝丰粮油贸易有限公司</w:t>
      </w:r>
    </w:p>
    <w:p w14:paraId="4FA5737F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</w:p>
    <w:p w14:paraId="194C9EA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为切实保障师生在校用餐安全，规范学校食堂原材料采购及供货服务流程，维护师生权益，本着食品安全至上、平等互利、真诚合作的原则，经甲乙双方充分协商达成如下协议并遵照执行。</w:t>
      </w:r>
    </w:p>
    <w:p w14:paraId="2B6EA257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E56B64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>
        <w:rPr>
          <w:sz w:val="28"/>
          <w:szCs w:val="28"/>
        </w:rPr>
        <w:t>合同期限</w:t>
      </w:r>
    </w:p>
    <w:p w14:paraId="6F9A9C80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合同期限：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2026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21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日起至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2027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日。</w:t>
      </w:r>
    </w:p>
    <w:p w14:paraId="1972BFE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237EB6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</w:t>
      </w:r>
      <w:r>
        <w:rPr>
          <w:sz w:val="28"/>
          <w:szCs w:val="28"/>
        </w:rPr>
        <w:t>供应品类范围</w:t>
      </w:r>
    </w:p>
    <w:p w14:paraId="164FF338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乙方必须根据甲方的要求为甲方供应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u w:val="single"/>
        </w:rPr>
        <w:t>大米、面粉、油</w:t>
      </w:r>
      <w:r>
        <w:rPr>
          <w:rFonts w:eastAsia="仿宋_GB2312" w:cs="仿宋_GB2312"/>
          <w:color w:val="000000"/>
          <w:sz w:val="28"/>
          <w:szCs w:val="28"/>
        </w:rPr>
        <w:t>等</w:t>
      </w:r>
      <w:r>
        <w:rPr>
          <w:rFonts w:hint="eastAsia" w:eastAsia="仿宋_GB2312" w:cs="仿宋_GB2312"/>
          <w:color w:val="000000"/>
          <w:sz w:val="28"/>
          <w:szCs w:val="28"/>
        </w:rPr>
        <w:t>食材</w:t>
      </w:r>
      <w:r>
        <w:rPr>
          <w:rFonts w:eastAsia="仿宋_GB2312" w:cs="仿宋_GB2312"/>
          <w:color w:val="000000"/>
          <w:sz w:val="28"/>
          <w:szCs w:val="28"/>
        </w:rPr>
        <w:t>。（供货品种、价格及规格参照附件）</w:t>
      </w:r>
    </w:p>
    <w:p w14:paraId="1432626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BF669C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</w:t>
      </w:r>
      <w:r>
        <w:rPr>
          <w:sz w:val="28"/>
          <w:szCs w:val="28"/>
        </w:rPr>
        <w:t>履约保证金</w:t>
      </w:r>
    </w:p>
    <w:p w14:paraId="6743E48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本合同签订3个工作日内，乙方向甲方缴纳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履约保证金人民币叁万元整（¥30,000.00）</w:t>
      </w:r>
      <w:r>
        <w:rPr>
          <w:rFonts w:eastAsia="仿宋_GB2312" w:cs="仿宋_GB2312"/>
          <w:color w:val="000000"/>
          <w:sz w:val="28"/>
          <w:szCs w:val="28"/>
        </w:rPr>
        <w:t>。</w:t>
      </w:r>
    </w:p>
    <w:p w14:paraId="32A22F8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在合同履行期内存在违法违规、违约行为需支付违约金的，甲方有权直接从履约保证金中扣除；若保证金不足以抵扣违约金的，甲方可从待付货款中直接扣除，不足部分乙方应在甲方通知后3个工作日内补足。</w:t>
      </w:r>
    </w:p>
    <w:p w14:paraId="130577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合同履行完毕后，乙方无任何服务质量问题、食品安全纠纷及其他法律纠纷的，甲方在2个月内无息返还全部履约保证金。</w:t>
      </w:r>
    </w:p>
    <w:p w14:paraId="53CEEAD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413425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</w:t>
      </w:r>
      <w:r>
        <w:rPr>
          <w:sz w:val="28"/>
          <w:szCs w:val="28"/>
        </w:rPr>
        <w:t>供货质量要求及价格要求</w:t>
      </w:r>
    </w:p>
    <w:p w14:paraId="31E6065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（一）质量核心要求</w:t>
      </w:r>
    </w:p>
    <w:p w14:paraId="608CEFB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食材必须符合《中华人民共和国食品安全法》及国家、南京市关于食品物资的质量标准、卫生条件要求，送货时须按招标文件及行业主管部门规定，提供与所供物资匹配的质检报告、检验检疫合格证等合格证明材料。</w:t>
      </w:r>
    </w:p>
    <w:p w14:paraId="19D468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乙方严格按照甲方订单要求生产、供应产品，不得擅自变更品</w:t>
      </w:r>
      <w:r>
        <w:rPr>
          <w:rFonts w:eastAsia="仿宋_GB2312" w:cs="仿宋_GB2312"/>
          <w:color w:val="000000"/>
          <w:spacing w:val="-3"/>
          <w:sz w:val="28"/>
          <w:szCs w:val="28"/>
        </w:rPr>
        <w:t>种</w:t>
      </w:r>
      <w:r>
        <w:rPr>
          <w:rFonts w:eastAsia="仿宋_GB2312" w:cs="仿宋_GB2312"/>
          <w:color w:val="000000"/>
          <w:spacing w:val="-2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3"/>
          <w:sz w:val="28"/>
          <w:szCs w:val="28"/>
        </w:rPr>
        <w:t>规</w:t>
      </w:r>
      <w:r>
        <w:rPr>
          <w:rFonts w:eastAsia="仿宋_GB2312" w:cs="仿宋_GB2312"/>
          <w:color w:val="000000"/>
          <w:spacing w:val="-2"/>
          <w:sz w:val="28"/>
          <w:szCs w:val="28"/>
        </w:rPr>
        <w:t>格</w:t>
      </w:r>
      <w:r>
        <w:rPr>
          <w:rFonts w:eastAsia="仿宋_GB2312" w:cs="仿宋_GB2312"/>
          <w:color w:val="000000"/>
          <w:spacing w:val="-3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2"/>
          <w:sz w:val="28"/>
          <w:szCs w:val="28"/>
        </w:rPr>
        <w:t>数</w:t>
      </w:r>
      <w:r>
        <w:rPr>
          <w:rFonts w:eastAsia="仿宋_GB2312" w:cs="仿宋_GB2312"/>
          <w:color w:val="000000"/>
          <w:spacing w:val="-3"/>
          <w:sz w:val="28"/>
          <w:szCs w:val="28"/>
        </w:rPr>
        <w:t>量；</w:t>
      </w:r>
      <w:r>
        <w:rPr>
          <w:rFonts w:eastAsia="仿宋_GB2312" w:cs="仿宋_GB2312"/>
          <w:color w:val="000000"/>
          <w:spacing w:val="-2"/>
          <w:sz w:val="28"/>
          <w:szCs w:val="28"/>
        </w:rPr>
        <w:t>若甲方有新的供货要求</w:t>
      </w:r>
      <w:r>
        <w:rPr>
          <w:rFonts w:eastAsia="仿宋_GB2312" w:cs="仿宋_GB2312"/>
          <w:color w:val="000000"/>
          <w:spacing w:val="-3"/>
          <w:sz w:val="28"/>
          <w:szCs w:val="28"/>
        </w:rPr>
        <w:t>，</w:t>
      </w:r>
      <w:r>
        <w:rPr>
          <w:rFonts w:eastAsia="仿宋_GB2312" w:cs="仿宋_GB2312"/>
          <w:color w:val="000000"/>
          <w:spacing w:val="-2"/>
          <w:sz w:val="28"/>
          <w:szCs w:val="28"/>
        </w:rPr>
        <w:t>乙方应无条件配</w:t>
      </w:r>
      <w:r>
        <w:rPr>
          <w:rFonts w:eastAsia="仿宋_GB2312" w:cs="仿宋_GB2312"/>
          <w:color w:val="000000"/>
          <w:spacing w:val="-6"/>
          <w:sz w:val="28"/>
          <w:szCs w:val="28"/>
        </w:rPr>
        <w:t>合</w:t>
      </w:r>
      <w:r>
        <w:rPr>
          <w:rFonts w:eastAsia="仿宋_GB2312" w:cs="仿宋_GB2312"/>
          <w:color w:val="000000"/>
          <w:sz w:val="28"/>
          <w:szCs w:val="28"/>
        </w:rPr>
        <w:t>执行。</w:t>
      </w:r>
    </w:p>
    <w:p w14:paraId="04ADE2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乙方对所供食材的保鲜、保质承担全部责任，配送过程中须采取有效保鲜措施，严禁喷洒有毒有害物质；食材在质保期内出现腐烂变质的，乙方须在甲方通知后立即处理并免费更换同等数量的合格物资。</w:t>
      </w:r>
    </w:p>
    <w:p w14:paraId="1DCB22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因乙方供货质量问题引发食品安全事故的，乙方主要负责人及相关主管人员须在30分钟内响应处理，全面承担事故安抚、善后及全部法律责任、经济赔偿责任。</w:t>
      </w:r>
      <w:r>
        <w:rPr>
          <w:rFonts w:hint="eastAsia" w:eastAsia="仿宋_GB2312" w:cs="仿宋_GB2312"/>
          <w:color w:val="000000"/>
          <w:sz w:val="28"/>
          <w:szCs w:val="28"/>
        </w:rPr>
        <w:t>甲方因此遭受损失的，甲方有权向乙方追偿。</w:t>
      </w:r>
    </w:p>
    <w:p w14:paraId="15002AD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5.乙方所供食材必须可溯源：相应品类按照要求提供建议检测报告。</w:t>
      </w:r>
    </w:p>
    <w:p w14:paraId="42792C5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6.乙方严禁供应过期、临期的食材，甲方验收发现临期食材有权无条件退货，乙方承担违约责任。</w:t>
      </w:r>
    </w:p>
    <w:p w14:paraId="3DA6C718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（二）价格及调价规则</w:t>
      </w:r>
    </w:p>
    <w:p w14:paraId="4230B41E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供货价格包含货物采购、检验、仓储、分装、运输、装卸、管理、税金等一切</w:t>
      </w:r>
      <w:r>
        <w:rPr>
          <w:rFonts w:hint="eastAsia" w:eastAsia="仿宋_GB2312" w:cs="仿宋_GB2312"/>
          <w:color w:val="000000"/>
          <w:sz w:val="28"/>
          <w:szCs w:val="28"/>
        </w:rPr>
        <w:t>全部</w:t>
      </w:r>
      <w:r>
        <w:rPr>
          <w:rFonts w:eastAsia="仿宋_GB2312" w:cs="仿宋_GB2312"/>
          <w:color w:val="000000"/>
          <w:sz w:val="28"/>
          <w:szCs w:val="28"/>
        </w:rPr>
        <w:t>费用，甲方不再另行支付任何费用。</w:t>
      </w:r>
    </w:p>
    <w:p w14:paraId="0730A5E8">
      <w:pPr>
        <w:pStyle w:val="5"/>
        <w:widowControl/>
        <w:snapToGrid w:val="0"/>
        <w:spacing w:after="0" w:line="216" w:lineRule="auto"/>
        <w:ind w:firstLine="536" w:firstLineChars="200"/>
        <w:rPr>
          <w:rFonts w:hint="eastAsia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pacing w:val="-6"/>
          <w:sz w:val="28"/>
          <w:szCs w:val="28"/>
        </w:rPr>
        <w:t>2</w:t>
      </w:r>
      <w:r>
        <w:rPr>
          <w:rFonts w:hint="eastAsia" w:cs="仿宋_GB2312"/>
          <w:color w:val="000000"/>
          <w:spacing w:val="-1"/>
          <w:sz w:val="28"/>
          <w:szCs w:val="28"/>
        </w:rPr>
        <w:t>.</w:t>
      </w:r>
      <w:r>
        <w:rPr>
          <w:rFonts w:eastAsia="仿宋_GB2312" w:cs="仿宋_GB2312"/>
          <w:color w:val="000000"/>
          <w:sz w:val="28"/>
          <w:szCs w:val="28"/>
        </w:rPr>
        <w:t>价格调整方案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按照招标文件执行</w:t>
      </w:r>
      <w:r>
        <w:rPr>
          <w:rFonts w:eastAsia="仿宋_GB2312" w:cs="仿宋_GB2312"/>
          <w:color w:val="000000"/>
          <w:sz w:val="28"/>
          <w:szCs w:val="28"/>
        </w:rPr>
        <w:t>，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每次价格调整后,</w:t>
      </w:r>
      <w:r>
        <w:rPr>
          <w:rFonts w:eastAsia="仿宋_GB2312" w:cs="仿宋_GB2312"/>
          <w:color w:val="000000"/>
          <w:sz w:val="28"/>
          <w:szCs w:val="28"/>
        </w:rPr>
        <w:t>乙方须严格按照调整后最新价格开展供货对账及货款结算工作。</w:t>
      </w:r>
    </w:p>
    <w:p w14:paraId="0F37BEE7">
      <w:pPr>
        <w:pStyle w:val="5"/>
        <w:widowControl/>
        <w:numPr>
          <w:ilvl w:val="0"/>
          <w:numId w:val="1"/>
        </w:numPr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未启动调价程序前，乙方须按照上一轮核定价格，无条件保质保量按时供货。</w:t>
      </w:r>
    </w:p>
    <w:p w14:paraId="68A368B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4.如遇其他情况，双方协商决定。</w:t>
      </w:r>
    </w:p>
    <w:p w14:paraId="5FF4917D">
      <w:pPr>
        <w:pStyle w:val="5"/>
        <w:widowControl/>
        <w:snapToGrid w:val="0"/>
        <w:spacing w:after="0" w:line="216" w:lineRule="auto"/>
        <w:rPr>
          <w:rFonts w:eastAsia="仿宋_GB2312" w:cs="仿宋_GB2312"/>
          <w:color w:val="000000"/>
          <w:sz w:val="28"/>
          <w:szCs w:val="28"/>
        </w:rPr>
      </w:pPr>
    </w:p>
    <w:p w14:paraId="447E48E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</w:t>
      </w:r>
      <w:r>
        <w:rPr>
          <w:sz w:val="28"/>
          <w:szCs w:val="28"/>
        </w:rPr>
        <w:t>供货能力及配送要求</w:t>
      </w:r>
    </w:p>
    <w:p w14:paraId="3BC0376A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乙方须具备配送能力，能同时满足甲方江宁校区、五台校区的配送需求，严格按照甲方订单约定的时间、地点将货物送达，否则甲方有权解除合同并追究乙方违约金。</w:t>
      </w:r>
    </w:p>
    <w:p w14:paraId="581AA164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乙方不得将配送项目以任何形式转包、分包，须自行完成全部配送服务；配送车辆须符合食品卫生要求，做到每日清洗、消毒并留存完整消毒记录。</w:t>
      </w:r>
    </w:p>
    <w:p w14:paraId="10AE68E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配送人员须持有有效期内的健康合格证明，无特殊情况保持固定；若确需更换管理层人员以及配送人员，须提前向甲方申请，经甲方书面同意并备案后方可更换，擅自更换的，甲方有权视情节轻重提出警告，情节严重的终止本合同并追究乙方责任。</w:t>
      </w:r>
    </w:p>
    <w:p w14:paraId="0DFB04C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乙方须按照甲方实际订货情况，在配送前对食材预先分装并清晰标注品类，确保食材新鲜、优质、安全、可靠。</w:t>
      </w:r>
    </w:p>
    <w:p w14:paraId="71F38CE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</w:t>
      </w:r>
      <w:r>
        <w:rPr>
          <w:rFonts w:eastAsia="仿宋_GB2312" w:cs="仿宋_GB2312"/>
          <w:color w:val="000000"/>
          <w:sz w:val="28"/>
          <w:szCs w:val="28"/>
        </w:rPr>
        <w:t>乙方须建立固定配送网点，具备调运、分拣、包装、二次搬运能力，提供专业化售后服务；同时做好全程配送台账，留存相关记录备查，接受甲方不定期第三方检验。</w:t>
      </w:r>
    </w:p>
    <w:p w14:paraId="27724E3E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因乙方配送运输环节引发的安全事故，由乙方承担全部法律责任及所有经济损失；乙方须随时为甲方提供补货、调换货服务，确保不影响甲方食堂正常供应。</w:t>
      </w:r>
    </w:p>
    <w:p w14:paraId="67307AF6">
      <w:pPr>
        <w:pStyle w:val="8"/>
        <w:snapToGrid w:val="0"/>
        <w:spacing w:line="216" w:lineRule="auto"/>
        <w:ind w:firstLine="560" w:firstLineChars="200"/>
        <w:rPr>
          <w:rFonts w:eastAsia="仿宋_GB2312" w:cs="仿宋_GB2312"/>
          <w:color w:val="000000"/>
          <w:spacing w:val="-6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hint="eastAsia" w:eastAsia="仿宋_GB2312" w:cs="仿宋_GB2312"/>
          <w:color w:val="000000"/>
          <w:spacing w:val="-6"/>
          <w:sz w:val="28"/>
          <w:szCs w:val="28"/>
        </w:rPr>
        <w:t>甲方有权对乙方进行实地考察。</w:t>
      </w:r>
    </w:p>
    <w:p w14:paraId="49EA126C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33D19805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六、</w:t>
      </w:r>
      <w:r>
        <w:rPr>
          <w:sz w:val="28"/>
          <w:szCs w:val="28"/>
        </w:rPr>
        <w:t>交货及验收</w:t>
      </w:r>
    </w:p>
    <w:p w14:paraId="0AC1C90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乙方按甲方要求对食材分装打包后，在订单约定的交货时间将货物送至指定地点，等待甲方验收，不得无故拖延。</w:t>
      </w:r>
    </w:p>
    <w:p w14:paraId="474A5A9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甲方食堂验收人员按照招标文件、本合同及附件约定的质量标准、数量要求，及时对货物进行验收，验收结果客观公正。</w:t>
      </w:r>
    </w:p>
    <w:p w14:paraId="0A81A05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验收过程中发现食材质量、数量、规格不符合要求的，乙方须立即响应，无条件采取退货、补货、更换等处理措施；批量货物虽已入库，在使用过程中发现质量或数量问题的，乙方亦须在甲方通知后及时补救，满足甲方正常运营需要，并承担由此引发的全部责任。</w:t>
      </w:r>
    </w:p>
    <w:p w14:paraId="29F18C9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若乙方对验收问题未及时处理，造成甲方食堂供餐受影响、产生经济损失的，甲方有权解除合同，同时追究乙方违约责任，包括但不限于暂停结算货款、退货、要求乙方支付合同总金额30％的违约金等。</w:t>
      </w:r>
    </w:p>
    <w:p w14:paraId="32AA516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B025F4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七、</w:t>
      </w:r>
      <w:r>
        <w:rPr>
          <w:sz w:val="28"/>
          <w:szCs w:val="28"/>
        </w:rPr>
        <w:t>结帐及付款</w:t>
      </w:r>
    </w:p>
    <w:p w14:paraId="350EAFE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乙方所供货物经甲方验收合格、确认无质量问题后，乙方须凭供货明细单及合法合规的发票，向甲方申请结算。</w:t>
      </w:r>
    </w:p>
    <w:p w14:paraId="0F7E8A0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双方实行按月结算，次月支付，寒暑假、法定节假日付款时间顺延。</w:t>
      </w:r>
    </w:p>
    <w:p w14:paraId="0482245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若乙方提供的发票信息（户名、开户行、账号等）与供货单位主体不一致，甲方有权不付款；乙方延期提供发票的，甲方不承担延期付款责任。</w:t>
      </w:r>
    </w:p>
    <w:p w14:paraId="0FB8990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37D3C50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八、</w:t>
      </w:r>
      <w:r>
        <w:rPr>
          <w:sz w:val="28"/>
          <w:szCs w:val="28"/>
        </w:rPr>
        <w:t>合同双方权利与义务：</w:t>
      </w:r>
    </w:p>
    <w:p w14:paraId="523AD125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（一）甲方权利与义务</w:t>
      </w:r>
    </w:p>
    <w:p w14:paraId="3576615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安排工作人员对乙方供货进行严格验收，客观公正开展验收工作，保障食堂食材供货服务有序进行。</w:t>
      </w:r>
    </w:p>
    <w:p w14:paraId="19812BD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2.有权随机抽检食材质量，抽检不合格的，该批次全部退货，乙方承担检测费用及违约责任。</w:t>
      </w:r>
    </w:p>
    <w:p w14:paraId="0B7B736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为乙方送货入校办理相关进校手续，配合乙方完成货物收货、验货工作。</w:t>
      </w:r>
    </w:p>
    <w:p w14:paraId="1A080F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4.乙方履约的前提下，</w:t>
      </w:r>
      <w:r>
        <w:rPr>
          <w:rFonts w:eastAsia="仿宋_GB2312" w:cs="仿宋_GB2312"/>
          <w:color w:val="000000"/>
          <w:sz w:val="28"/>
          <w:szCs w:val="28"/>
        </w:rPr>
        <w:t>按照本合同约定，及时向乙方支付验收合格后的货款。</w:t>
      </w:r>
    </w:p>
    <w:p w14:paraId="42518CA6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ascii="宋体" w:hAnsi="宋体" w:cs="宋体"/>
          <w:sz w:val="22"/>
          <w:szCs w:val="22"/>
        </w:rPr>
      </w:pPr>
      <w:r>
        <w:rPr>
          <w:rFonts w:eastAsia="仿宋_GB2312" w:cs="仿宋_GB2312"/>
          <w:color w:val="000000"/>
          <w:sz w:val="28"/>
          <w:szCs w:val="28"/>
        </w:rPr>
        <w:t>5.对乙方所承揽业务的供货数量</w:t>
      </w:r>
      <w:r>
        <w:rPr>
          <w:rFonts w:hint="eastAsia" w:eastAsia="仿宋_GB2312" w:cs="仿宋_GB2312"/>
          <w:color w:val="000000"/>
          <w:sz w:val="28"/>
          <w:szCs w:val="28"/>
        </w:rPr>
        <w:t>等</w:t>
      </w:r>
      <w:r>
        <w:rPr>
          <w:rFonts w:eastAsia="仿宋_GB2312" w:cs="仿宋_GB2312"/>
          <w:color w:val="000000"/>
          <w:sz w:val="28"/>
          <w:szCs w:val="28"/>
        </w:rPr>
        <w:t>不作任何承诺，有权对乙方履约情况进行考核，</w:t>
      </w:r>
      <w:r>
        <w:rPr>
          <w:rFonts w:hint="eastAsia" w:eastAsia="仿宋_GB2312" w:cs="仿宋_GB2312"/>
          <w:color w:val="000000"/>
          <w:sz w:val="28"/>
          <w:szCs w:val="28"/>
        </w:rPr>
        <w:t>依据</w:t>
      </w:r>
      <w:r>
        <w:rPr>
          <w:rFonts w:eastAsia="仿宋_GB2312" w:cs="仿宋_GB2312"/>
          <w:color w:val="000000"/>
          <w:sz w:val="28"/>
          <w:szCs w:val="28"/>
        </w:rPr>
        <w:t>考核结果调整乙方的配送</w:t>
      </w:r>
      <w:r>
        <w:rPr>
          <w:rFonts w:hint="eastAsia" w:eastAsia="仿宋_GB2312" w:cs="仿宋_GB2312"/>
          <w:color w:val="000000"/>
          <w:sz w:val="28"/>
          <w:szCs w:val="28"/>
        </w:rPr>
        <w:t>量、配送区域等</w:t>
      </w:r>
      <w:r>
        <w:rPr>
          <w:rFonts w:eastAsia="仿宋_GB2312" w:cs="仿宋_GB2312"/>
          <w:color w:val="000000"/>
          <w:sz w:val="28"/>
          <w:szCs w:val="28"/>
        </w:rPr>
        <w:t>，乙方</w:t>
      </w:r>
      <w:r>
        <w:rPr>
          <w:rFonts w:hint="eastAsia" w:eastAsia="仿宋_GB2312" w:cs="仿宋_GB2312"/>
          <w:color w:val="000000"/>
          <w:sz w:val="28"/>
          <w:szCs w:val="28"/>
        </w:rPr>
        <w:t>必</w:t>
      </w:r>
      <w:r>
        <w:rPr>
          <w:rFonts w:eastAsia="仿宋_GB2312" w:cs="仿宋_GB2312"/>
          <w:color w:val="000000"/>
          <w:sz w:val="28"/>
          <w:szCs w:val="28"/>
        </w:rPr>
        <w:t>须无条件执行。</w:t>
      </w:r>
    </w:p>
    <w:p w14:paraId="4D8D89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有权对乙方的生产、仓储、配送等环节进行实地考察，乙方须积极配合，不得拒绝、阻挠。</w:t>
      </w:r>
    </w:p>
    <w:p w14:paraId="49EE705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eastAsia="仿宋_GB2312" w:cs="仿宋_GB2312"/>
          <w:color w:val="000000"/>
          <w:sz w:val="28"/>
          <w:szCs w:val="28"/>
        </w:rPr>
        <w:t>若乙方存在违约行为，甲方有权根据本合同约定提出警告、扣除违约金、没收履约保证金、解除合同并追究乙方全部赔偿责任。</w:t>
      </w:r>
    </w:p>
    <w:p w14:paraId="5B57EA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8.</w:t>
      </w:r>
      <w:r>
        <w:rPr>
          <w:rFonts w:eastAsia="仿宋_GB2312" w:cs="仿宋_GB2312"/>
          <w:color w:val="000000"/>
          <w:sz w:val="28"/>
          <w:szCs w:val="28"/>
        </w:rPr>
        <w:t>若按上级政府部门要求开展农校对接、帮扶项目等，甲方有权对供货分配进行调整，乙方须无条件服从。</w:t>
      </w:r>
    </w:p>
    <w:p w14:paraId="56D9B11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786ACD63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（二）乙方权利与义务</w:t>
      </w:r>
    </w:p>
    <w:p w14:paraId="3456449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严格执行《中华人民共和国食品安全法》等相关法律法规，建立并履行食品卫生安全和质量保障机制，确保供货安全。</w:t>
      </w:r>
    </w:p>
    <w:p w14:paraId="6C92A8AD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向甲方提供营业执照、生产许可证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食品流通许可证、税务登记证、法人身份证原件供甲方审验，并留存复印件存档；每次供货须提供食材的检测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检验检疫报告、检疫合格证等合格证明材料。</w:t>
      </w:r>
    </w:p>
    <w:p w14:paraId="515DE1C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严格遵守甲方单位的各项规章制度，服从甲方管理，承接的供货服务工作须按时、按要求、保质保量完成；遇纠纷时与甲方友好协商解决，不得与甲方工作人员发生不文明行为。</w:t>
      </w:r>
    </w:p>
    <w:p w14:paraId="19AC06C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乙方进入校园的车辆、人员须严格遵守学校的各项管理规定，服从学校管理。</w:t>
      </w:r>
    </w:p>
    <w:p w14:paraId="778CFEE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5.严格</w:t>
      </w:r>
      <w:r>
        <w:rPr>
          <w:rFonts w:eastAsia="仿宋_GB2312" w:cs="仿宋_GB2312"/>
          <w:color w:val="000000"/>
          <w:sz w:val="28"/>
          <w:szCs w:val="28"/>
        </w:rPr>
        <w:t>按照甲方招标文件及本合同约定，</w:t>
      </w:r>
      <w:r>
        <w:rPr>
          <w:rFonts w:hint="eastAsia" w:eastAsia="仿宋_GB2312" w:cs="仿宋_GB2312"/>
          <w:color w:val="000000"/>
          <w:sz w:val="28"/>
          <w:szCs w:val="28"/>
        </w:rPr>
        <w:t>确保配送食材完全符合要求，并按照甲方分配的配送量及配送区域等提供优质服务。</w:t>
      </w:r>
    </w:p>
    <w:p w14:paraId="771C7C85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按照甲方要求定期提供产品报价，积极配合甲方及相关监管部门的监督检查工作。</w:t>
      </w:r>
    </w:p>
    <w:p w14:paraId="1AE203F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7.按照本合同约定收取验收合格后的货款。</w:t>
      </w:r>
    </w:p>
    <w:p w14:paraId="6BBEC1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8.积极配合甲方建立的日常管理考核机制和定期回访制度，接受甲方的优胜劣汰管理。</w:t>
      </w:r>
    </w:p>
    <w:p w14:paraId="101C6E6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DC3EBA3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九、</w:t>
      </w:r>
      <w:r>
        <w:rPr>
          <w:sz w:val="28"/>
          <w:szCs w:val="28"/>
        </w:rPr>
        <w:t>违约责任</w:t>
      </w:r>
    </w:p>
    <w:p w14:paraId="5033A8FA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（一）质量违约</w:t>
      </w:r>
    </w:p>
    <w:p w14:paraId="68E653B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1.乙方所供食材存在下列情形之一的，甲方处以乙方同批次货款50%的违约金（最低不少于500-2000元/次）</w:t>
      </w:r>
      <w:r>
        <w:rPr>
          <w:rFonts w:hint="eastAsia" w:eastAsia="方正仿宋_GB2312" w:cs="方正仿宋_GB2312"/>
          <w:color w:val="000000"/>
          <w:sz w:val="28"/>
          <w:szCs w:val="28"/>
        </w:rPr>
        <w:t>；甲方可视情节严重程度，全部或部分没收履约保证金，并有权暂停结算货款、解除合同，乙方同时承担全部赔偿责任，履约保证金不足以赔偿的，乙方须补足差额：</w:t>
      </w:r>
    </w:p>
    <w:p w14:paraId="6726659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（1）预包装食品无品名、产地、厂名、生产日期、保质期、中文标识及原材料说明的；</w:t>
      </w:r>
    </w:p>
    <w:p w14:paraId="4714A1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（2）预包装食品标签不醒目、不清晰、不持久，未执行《预包装食品标签规则》（GB7718—2011）的；</w:t>
      </w:r>
    </w:p>
    <w:p w14:paraId="7D8F518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（3）食材腐败变质、油脂酸败、霉变、生虫、污秽不洁、混有异物或感官性状异常，含有毒、有害物质或被污染的；</w:t>
      </w:r>
    </w:p>
    <w:p w14:paraId="7E37295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（4）采购病死、死因不明或疫区的水产品、畜、禽及其制品，使用食品添加剂超标、农药残留超标的原材料的；</w:t>
      </w:r>
    </w:p>
    <w:p w14:paraId="2538E5B7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（5）其他不符合食品卫生标准和质量要求的情形。</w:t>
      </w:r>
    </w:p>
    <w:p w14:paraId="12D15681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2.乙方所供食材存在不新鲜、残次等质量问题的，甲方有权拒收；每拒收1次，乙方须按拒收物资总价20%支付</w:t>
      </w:r>
      <w:r>
        <w:rPr>
          <w:rFonts w:hint="eastAsia" w:eastAsia="方正仿宋_GB2312" w:cs="方正仿宋_GB2312"/>
          <w:sz w:val="28"/>
          <w:szCs w:val="28"/>
        </w:rPr>
        <w:t>违约金（最低不少于200-1000元/次），并及时补足合格货品；若乙方未及时补足，甲方可自行组织采购，相关费用由乙方承担，甲方从货款中直接扣除。合同有效期内累计拒收超过5次，视为乙方无法履行合</w:t>
      </w:r>
      <w:r>
        <w:rPr>
          <w:rFonts w:hint="eastAsia" w:eastAsia="方正仿宋_GB2312" w:cs="方正仿宋_GB2312"/>
          <w:spacing w:val="-3"/>
          <w:sz w:val="28"/>
          <w:szCs w:val="28"/>
        </w:rPr>
        <w:t>同</w:t>
      </w:r>
      <w:r>
        <w:rPr>
          <w:rFonts w:hint="eastAsia" w:eastAsia="方正仿宋_GB2312" w:cs="方正仿宋_GB2312"/>
          <w:spacing w:val="-2"/>
          <w:sz w:val="28"/>
          <w:szCs w:val="28"/>
        </w:rPr>
        <w:t>，</w:t>
      </w:r>
      <w:r>
        <w:rPr>
          <w:rFonts w:hint="eastAsia" w:eastAsia="方正仿宋_GB2312" w:cs="方正仿宋_GB2312"/>
          <w:spacing w:val="-3"/>
          <w:sz w:val="28"/>
          <w:szCs w:val="28"/>
        </w:rPr>
        <w:t>甲方有权解除合同</w:t>
      </w:r>
      <w:r>
        <w:rPr>
          <w:rFonts w:hint="eastAsia" w:eastAsia="方正仿宋_GB2312" w:cs="方正仿宋_GB2312"/>
          <w:spacing w:val="-2"/>
          <w:sz w:val="28"/>
          <w:szCs w:val="28"/>
        </w:rPr>
        <w:t>、</w:t>
      </w:r>
      <w:r>
        <w:rPr>
          <w:rFonts w:hint="eastAsia" w:eastAsia="方正仿宋_GB2312" w:cs="方正仿宋_GB2312"/>
          <w:spacing w:val="-3"/>
          <w:sz w:val="28"/>
          <w:szCs w:val="28"/>
        </w:rPr>
        <w:t>没收履约保证金并追究乙方全部违</w:t>
      </w:r>
      <w:r>
        <w:rPr>
          <w:rFonts w:hint="eastAsia" w:eastAsia="方正仿宋_GB2312" w:cs="方正仿宋_GB2312"/>
          <w:spacing w:val="-6"/>
          <w:sz w:val="28"/>
          <w:szCs w:val="28"/>
        </w:rPr>
        <w:t>约</w:t>
      </w:r>
      <w:r>
        <w:rPr>
          <w:rFonts w:hint="eastAsia" w:eastAsia="方正仿宋_GB2312" w:cs="方正仿宋_GB2312"/>
          <w:sz w:val="28"/>
          <w:szCs w:val="28"/>
        </w:rPr>
        <w:t>责任。</w:t>
      </w:r>
    </w:p>
    <w:p w14:paraId="03F04F1C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3.乙方所供食材出现腐败变质、违禁添加剂、无溯源标识等严重质量问题的，处同批次货款50％违约金（最低不少于1000-2000元／次），甲方可没收履约保证金、解除合同，乙方需承担全部赔偿责任。</w:t>
      </w:r>
    </w:p>
    <w:p w14:paraId="35179A26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（二）交货期限违约</w:t>
      </w:r>
    </w:p>
    <w:p w14:paraId="65816763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1.乙方未按甲方订单约定时间将物资送至指定地点的</w:t>
      </w:r>
      <w:r>
        <w:rPr>
          <w:rFonts w:hint="eastAsia" w:eastAsia="方正仿宋_GB2312" w:cs="方正仿宋_GB2312"/>
          <w:color w:val="000000"/>
          <w:sz w:val="28"/>
          <w:szCs w:val="28"/>
        </w:rPr>
        <w:t>，除不可抗力（按《民法典》相关规定界定）外，交通拥堵、事故、限行、雨雪天气等均不得作为延时理由，乙方须承担以下违约责任：</w:t>
      </w:r>
    </w:p>
    <w:p w14:paraId="30683B0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（1）按逾期送达物资总价的日千分之三支付违约金；</w:t>
      </w:r>
    </w:p>
    <w:p w14:paraId="29AD2AE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逾期未满1小时的，处违约金1000-3000元/次；逾期超过1小时的，处违约金3000-5000元/次；配送地点有误且未在约定时间调整送达的，按延时处理。合同有效期内累计超过3次，视为乙方无法履行合同，甲方有权解除合同、没收履约保证金并追究乙方全部违约责任。</w:t>
      </w:r>
    </w:p>
    <w:p w14:paraId="73538B99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配送人员与甲方食堂工作人员发生口角的，每次对乙方处以500-1000元违约金；发生殴斗的，相关人员移送公安机关处理，乙方被永久性取缔供货资格，甲方解除合同、没收履约保证金，并追索由此造成的全部损失。</w:t>
      </w:r>
    </w:p>
    <w:p w14:paraId="671F68D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（三）其他行为违约</w:t>
      </w:r>
    </w:p>
    <w:p w14:paraId="3B04D3B2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（1）乙方相关人员送货后在餐厅内停留、乱串、抽烟、随意食用食堂食物的，每发现1次处以500-1000元违约金。</w:t>
      </w:r>
    </w:p>
    <w:p w14:paraId="433A2F3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（2）乙方相关人员在装卸、运输过程中，造成甲方食堂、餐厅物品摔坏、丢失的，须按物品实际采购价值全额赔偿。</w:t>
      </w:r>
    </w:p>
    <w:p w14:paraId="2A329C9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（3）乙方未经甲方许可，擅自向甲方所属食堂供货的，甲方予以全部退货，同时对乙方处以3000-5000元违约金。</w:t>
      </w:r>
    </w:p>
    <w:p w14:paraId="72AD07A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（4）乙方须在甲方通知后3个工作日内缴纳违约金，未按规定及时缴纳的，甲方直接从货款中扣除。</w:t>
      </w:r>
    </w:p>
    <w:p w14:paraId="730B1B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（5）乙方无故停止供货，或将本合同的权利、义务转让给第三方的，甲方有权不予结算未结货款、没收履约保证金，并立即解除合同。</w:t>
      </w:r>
    </w:p>
    <w:p w14:paraId="13E1A5DF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6）乙方存在本条款未列明的其他违反合同约定、规章制度及法律法规规定的行为，或因乙方及其工作人员过错、管理不善等其他不当行为，给甲方造成人身损害、财产损失、名誉损失、经营损失及其他全部损失的，乙方应全额承担赔偿责任；同时甲方有权视情节轻重要求乙方承担相应违约责任，情节严重的，甲方有权单方解除本合同。</w:t>
      </w:r>
    </w:p>
    <w:p w14:paraId="0C35B594">
      <w:pPr>
        <w:pStyle w:val="2"/>
        <w:keepNext w:val="0"/>
        <w:keepLines w:val="0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十、</w:t>
      </w:r>
      <w:r>
        <w:rPr>
          <w:sz w:val="28"/>
          <w:szCs w:val="28"/>
        </w:rPr>
        <w:t>退出机制</w:t>
      </w:r>
    </w:p>
    <w:p w14:paraId="0383B43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1.乙方因自身原因需提前终止供货的，须</w:t>
      </w:r>
      <w:r>
        <w:rPr>
          <w:rStyle w:val="14"/>
          <w:rFonts w:eastAsia="仿宋_GB2312" w:cs="仿宋_GB2312"/>
          <w:color w:val="000000"/>
          <w:sz w:val="28"/>
          <w:szCs w:val="28"/>
        </w:rPr>
        <w:t>提前60日</w:t>
      </w:r>
      <w:r>
        <w:rPr>
          <w:rFonts w:eastAsia="仿宋_GB2312" w:cs="仿宋_GB2312"/>
          <w:color w:val="000000"/>
          <w:sz w:val="28"/>
          <w:szCs w:val="28"/>
        </w:rPr>
        <w:t>向甲方提交书面退出申请，经甲方书面同意后，按程序办理退出手续；未经甲方同意，乙方不得擅自停止供货，否则按本合同第九条违约责任相关约定处理。</w:t>
      </w:r>
    </w:p>
    <w:p w14:paraId="6EA5D72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乙方发生食品安全事故、被监管部门行政处罚、列入严重违法失信名单、相关资质证件被吊销等情形的，甲方可单方解除合同，乙方永久不得参与甲方任何采购项目。</w:t>
      </w:r>
    </w:p>
    <w:p w14:paraId="6B3BFB4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乙方在合同期内擅自断供、迟供、减量供应，严重影响甲方正常供餐秩序，经甲方催告后仍未改正的，甲方有权终止合同、扣除相应履约保证金，并追究乙方赔偿责任。</w:t>
      </w:r>
    </w:p>
    <w:p w14:paraId="7725078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乙方在甲方日常考核中不合格，且在甲方指定的整改期限内仍未达标者，甲方有权单方终止本合同。</w:t>
      </w:r>
    </w:p>
    <w:p w14:paraId="629F7DD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1BAAB3C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十一、</w:t>
      </w:r>
      <w:r>
        <w:rPr>
          <w:sz w:val="28"/>
          <w:szCs w:val="28"/>
        </w:rPr>
        <w:t>其他约定事项</w:t>
      </w:r>
    </w:p>
    <w:p w14:paraId="7EBFFF55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（一）</w:t>
      </w:r>
      <w:r>
        <w:rPr>
          <w:rFonts w:eastAsia="仿宋_GB2312" w:cs="仿宋_GB2312"/>
          <w:color w:val="000000"/>
          <w:sz w:val="28"/>
          <w:szCs w:val="28"/>
        </w:rPr>
        <w:t>招标文件和中标单位的投标文件作为双方签订合同的依据，并作为正式合同的附件，具有法律效力。各类文件的具体效力顺序为：供货合同、招标文件、投标文件。</w:t>
      </w:r>
    </w:p>
    <w:p w14:paraId="26B34D80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（二）</w:t>
      </w:r>
      <w:r>
        <w:rPr>
          <w:rFonts w:eastAsia="仿宋_GB2312" w:cs="仿宋_GB2312"/>
          <w:color w:val="000000"/>
          <w:sz w:val="28"/>
          <w:szCs w:val="28"/>
        </w:rPr>
        <w:t>本合同在履行过程中发生的争议，由双方当事人协商解决；协商不成的，依法向甲方所在人民法院提起诉讼。因诉讼产生的相关费用及开支（包括但不限于公证费、诉讼费、保全费、保全担保费、鉴定费、律师费、交通费用）均由败诉方承担。</w:t>
      </w:r>
    </w:p>
    <w:p w14:paraId="47B0F77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（三）</w:t>
      </w:r>
      <w:r>
        <w:rPr>
          <w:rFonts w:eastAsia="仿宋_GB2312" w:cs="仿宋_GB2312"/>
          <w:color w:val="000000"/>
          <w:sz w:val="28"/>
          <w:szCs w:val="28"/>
        </w:rPr>
        <w:t>本合同一式四份，甲方三份，乙方一份。</w:t>
      </w:r>
    </w:p>
    <w:p w14:paraId="6B11C959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4663B9E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甲方：南京医科大学 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南京市江宁区宝丰粮油贸易有限公司</w:t>
      </w:r>
    </w:p>
    <w:p w14:paraId="0109DF9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72D43AE3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单位地址：</w:t>
      </w:r>
    </w:p>
    <w:p w14:paraId="52E400CA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0FFF212C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代表人：            代表人：</w:t>
      </w:r>
    </w:p>
    <w:p w14:paraId="49A85C04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ADEE6C9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  <w:lang w:val="en-US" w:eastAsia="zh-CN"/>
        </w:rPr>
        <w:t xml:space="preserve">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联系电话：</w:t>
      </w:r>
    </w:p>
    <w:p w14:paraId="344884F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D229AD3">
      <w:pPr>
        <w:snapToGrid w:val="0"/>
        <w:spacing w:line="216" w:lineRule="auto"/>
        <w:ind w:firstLine="538" w:firstLineChars="200"/>
        <w:rPr>
          <w:rFonts w:hint="eastAsia" w:ascii="宋体" w:hAnsi="宋体" w:cs="宋体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时间：2026年4月20日   时间：2026年4月20日</w:t>
      </w:r>
    </w:p>
    <w:p w14:paraId="139A8458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29D3E8D4">
      <w:pPr>
        <w:snapToGrid w:val="0"/>
        <w:ind w:firstLine="420" w:firstLineChars="200"/>
      </w:pPr>
    </w:p>
    <w:p w14:paraId="4197E415">
      <w:pPr>
        <w:snapToGrid w:val="0"/>
        <w:ind w:firstLine="420" w:firstLineChars="200"/>
      </w:pPr>
    </w:p>
    <w:p w14:paraId="7B15D603">
      <w:pPr>
        <w:snapToGrid w:val="0"/>
        <w:ind w:firstLine="420" w:firstLineChars="200"/>
      </w:pPr>
    </w:p>
    <w:p w14:paraId="0FC02FDF">
      <w:pPr>
        <w:snapToGrid w:val="0"/>
        <w:ind w:firstLine="420" w:firstLineChars="200"/>
      </w:pPr>
    </w:p>
    <w:p w14:paraId="5AF93E60">
      <w:pPr>
        <w:snapToGrid w:val="0"/>
        <w:ind w:firstLine="420" w:firstLineChars="200"/>
      </w:pPr>
    </w:p>
    <w:p w14:paraId="26DAC3D7">
      <w:pPr>
        <w:snapToGrid w:val="0"/>
        <w:ind w:firstLine="420" w:firstLineChars="200"/>
      </w:pPr>
    </w:p>
    <w:p w14:paraId="3197D637">
      <w:pPr>
        <w:snapToGrid w:val="0"/>
        <w:ind w:firstLine="420" w:firstLineChars="200"/>
      </w:pPr>
    </w:p>
    <w:p w14:paraId="2901BDEB">
      <w:pPr>
        <w:snapToGrid w:val="0"/>
        <w:ind w:firstLine="420" w:firstLineChars="200"/>
      </w:pPr>
    </w:p>
    <w:p w14:paraId="42DFB437">
      <w:pPr>
        <w:snapToGrid w:val="0"/>
        <w:ind w:firstLine="420" w:firstLineChars="200"/>
      </w:pPr>
    </w:p>
    <w:p w14:paraId="1B1185A3">
      <w:pPr>
        <w:snapToGrid w:val="0"/>
        <w:ind w:firstLine="420" w:firstLineChars="200"/>
      </w:pPr>
    </w:p>
    <w:p w14:paraId="0A408806">
      <w:pPr>
        <w:snapToGrid w:val="0"/>
        <w:ind w:firstLine="420" w:firstLineChars="200"/>
      </w:pPr>
    </w:p>
    <w:p w14:paraId="68AEFE6E">
      <w:pPr>
        <w:snapToGrid w:val="0"/>
        <w:ind w:firstLine="420" w:firstLineChars="200"/>
      </w:pPr>
    </w:p>
    <w:p w14:paraId="1C63C144">
      <w:pPr>
        <w:snapToGrid w:val="0"/>
        <w:ind w:firstLine="420" w:firstLineChars="200"/>
      </w:pPr>
    </w:p>
    <w:p w14:paraId="39FA187B">
      <w:pPr>
        <w:snapToGrid w:val="0"/>
        <w:ind w:firstLine="420" w:firstLineChars="200"/>
      </w:pPr>
    </w:p>
    <w:p w14:paraId="4A8A0B2A">
      <w:pPr>
        <w:snapToGrid w:val="0"/>
        <w:ind w:firstLine="420" w:firstLineChars="200"/>
      </w:pPr>
    </w:p>
    <w:p w14:paraId="2CDB13FD">
      <w:pPr>
        <w:snapToGrid w:val="0"/>
        <w:ind w:firstLine="420" w:firstLineChars="200"/>
      </w:pPr>
    </w:p>
    <w:p w14:paraId="6B9AA08E">
      <w:pPr>
        <w:snapToGrid w:val="0"/>
        <w:ind w:firstLine="420" w:firstLineChars="200"/>
      </w:pPr>
    </w:p>
    <w:p w14:paraId="260E6B03">
      <w:pPr>
        <w:snapToGrid w:val="0"/>
        <w:ind w:firstLine="420" w:firstLineChars="200"/>
      </w:pPr>
    </w:p>
    <w:p w14:paraId="122C1CA6">
      <w:pPr>
        <w:snapToGrid w:val="0"/>
        <w:ind w:firstLine="420" w:firstLineChars="200"/>
      </w:pPr>
    </w:p>
    <w:p w14:paraId="4153B584">
      <w:pPr>
        <w:snapToGrid w:val="0"/>
        <w:ind w:firstLine="420" w:firstLineChars="200"/>
      </w:pPr>
    </w:p>
    <w:p w14:paraId="43675F0C">
      <w:pPr>
        <w:snapToGrid w:val="0"/>
        <w:ind w:firstLine="420" w:firstLineChars="200"/>
      </w:pPr>
    </w:p>
    <w:p w14:paraId="6FB61DE2">
      <w:pPr>
        <w:snapToGrid w:val="0"/>
        <w:ind w:firstLine="420" w:firstLineChars="200"/>
      </w:pPr>
    </w:p>
    <w:p w14:paraId="38A54EBA">
      <w:pPr>
        <w:snapToGrid w:val="0"/>
        <w:ind w:firstLine="420" w:firstLineChars="200"/>
      </w:pPr>
    </w:p>
    <w:p w14:paraId="38CA1781">
      <w:pPr>
        <w:snapToGrid w:val="0"/>
        <w:ind w:firstLine="420" w:firstLineChars="200"/>
      </w:pPr>
    </w:p>
    <w:p w14:paraId="3BF472DA">
      <w:pPr>
        <w:snapToGrid w:val="0"/>
        <w:ind w:firstLine="420" w:firstLineChars="200"/>
      </w:pPr>
    </w:p>
    <w:p w14:paraId="294737DF">
      <w:pPr>
        <w:snapToGrid w:val="0"/>
        <w:ind w:firstLine="420" w:firstLineChars="200"/>
      </w:pPr>
    </w:p>
    <w:p w14:paraId="2D015F3E">
      <w:pPr>
        <w:snapToGrid w:val="0"/>
        <w:ind w:firstLine="420" w:firstLineChars="200"/>
      </w:pPr>
    </w:p>
    <w:p w14:paraId="2C417F9E">
      <w:pPr>
        <w:snapToGrid w:val="0"/>
        <w:ind w:firstLine="420" w:firstLineChars="200"/>
      </w:pPr>
    </w:p>
    <w:p w14:paraId="5319E680">
      <w:pPr>
        <w:snapToGrid w:val="0"/>
        <w:ind w:firstLine="420" w:firstLineChars="200"/>
      </w:pPr>
    </w:p>
    <w:p w14:paraId="2BE6D782">
      <w:pPr>
        <w:snapToGrid w:val="0"/>
        <w:ind w:firstLine="420" w:firstLineChars="200"/>
      </w:pPr>
      <w:r>
        <w:rPr>
          <w:rFonts w:hint="eastAsia"/>
        </w:rPr>
        <w:t>附件：</w:t>
      </w:r>
    </w:p>
    <w:tbl>
      <w:tblPr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3791"/>
        <w:gridCol w:w="1195"/>
        <w:gridCol w:w="752"/>
        <w:gridCol w:w="2033"/>
      </w:tblGrid>
      <w:tr w14:paraId="5EDBB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C7F97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南京医科大学食堂大宗食材采购项目 包4 大米、面粉、油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中标单价清单</w:t>
            </w:r>
          </w:p>
        </w:tc>
      </w:tr>
      <w:tr w14:paraId="4439A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DC6C1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中标单位：南京市江宁区宝丰粮油贸易有限公司</w:t>
            </w:r>
          </w:p>
        </w:tc>
      </w:tr>
      <w:tr w14:paraId="434B7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D826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A7EC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商品名称</w:t>
            </w:r>
          </w:p>
        </w:tc>
        <w:tc>
          <w:tcPr>
            <w:tcW w:w="0" w:type="auto"/>
            <w:gridSpan w:val="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E286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投标品牌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12EF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409D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04C6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中标单价（元）</w:t>
            </w:r>
          </w:p>
        </w:tc>
      </w:tr>
      <w:tr w14:paraId="1EB5F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CC3F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E59C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盘锦大米</w:t>
            </w:r>
          </w:p>
        </w:tc>
        <w:tc>
          <w:tcPr>
            <w:tcW w:w="0" w:type="auto"/>
            <w:gridSpan w:val="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12EE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宝谷丰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B4C0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6D31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E75C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2.2</w:t>
            </w:r>
          </w:p>
        </w:tc>
      </w:tr>
      <w:tr w14:paraId="6C97D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DB0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A1FD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一级粳米</w:t>
            </w:r>
          </w:p>
        </w:tc>
        <w:tc>
          <w:tcPr>
            <w:tcW w:w="0" w:type="auto"/>
            <w:gridSpan w:val="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7200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CDED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9388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B320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2.03</w:t>
            </w:r>
          </w:p>
        </w:tc>
      </w:tr>
      <w:tr w14:paraId="46CC7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52C9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EC93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一等高筋面粉（拉面专用）</w:t>
            </w:r>
          </w:p>
        </w:tc>
        <w:tc>
          <w:tcPr>
            <w:tcW w:w="0" w:type="auto"/>
            <w:gridSpan w:val="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6EDD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五得利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74CA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A15F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E95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1.8</w:t>
            </w:r>
          </w:p>
        </w:tc>
      </w:tr>
      <w:tr w14:paraId="59C74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91C7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EB6B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特制一等高筋面粉（馒头专用）</w:t>
            </w:r>
          </w:p>
        </w:tc>
        <w:tc>
          <w:tcPr>
            <w:tcW w:w="0" w:type="auto"/>
            <w:gridSpan w:val="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E816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五得利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1FF1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37FD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386F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1.7</w:t>
            </w:r>
          </w:p>
        </w:tc>
      </w:tr>
      <w:tr w14:paraId="724B4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3562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BBED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二粉中筋面粉</w:t>
            </w:r>
          </w:p>
        </w:tc>
        <w:tc>
          <w:tcPr>
            <w:tcW w:w="0" w:type="auto"/>
            <w:gridSpan w:val="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F3DC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五得利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50E9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609B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0BC3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1.6</w:t>
            </w:r>
          </w:p>
        </w:tc>
      </w:tr>
      <w:tr w14:paraId="34691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9BFB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19E8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非转大豆油</w:t>
            </w:r>
          </w:p>
        </w:tc>
        <w:tc>
          <w:tcPr>
            <w:tcW w:w="0" w:type="auto"/>
            <w:gridSpan w:val="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B07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瑞禾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E6CB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10L*2桶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0F5A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87DA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</w:tr>
      <w:tr w14:paraId="67F4B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CB73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BE69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非转大豆油</w:t>
            </w:r>
          </w:p>
        </w:tc>
        <w:tc>
          <w:tcPr>
            <w:tcW w:w="0" w:type="auto"/>
            <w:gridSpan w:val="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29A7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福临门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4255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E7AD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4DB2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</w:tr>
      <w:tr w14:paraId="7D44B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A64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5B14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非转玉米油</w:t>
            </w:r>
          </w:p>
        </w:tc>
        <w:tc>
          <w:tcPr>
            <w:tcW w:w="0" w:type="auto"/>
            <w:gridSpan w:val="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1B71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金龙鱼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4D45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CE68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4B3E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</w:tr>
      <w:tr w14:paraId="2AA11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F138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481D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非转菜籽油</w:t>
            </w:r>
          </w:p>
        </w:tc>
        <w:tc>
          <w:tcPr>
            <w:tcW w:w="0" w:type="dxa"/>
            <w:gridSpan w:val="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E013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福临门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CB53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5L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26A9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E2A3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</w:tr>
    </w:tbl>
    <w:p w14:paraId="7A3C4C06">
      <w:pPr>
        <w:snapToGrid w:val="0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48A1E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54723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54723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CA736E"/>
    <w:multiLevelType w:val="singleLevel"/>
    <w:tmpl w:val="41CA736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F07FD0"/>
    <w:rsid w:val="0005514D"/>
    <w:rsid w:val="002D6E4E"/>
    <w:rsid w:val="003B420E"/>
    <w:rsid w:val="0058530B"/>
    <w:rsid w:val="00610D6D"/>
    <w:rsid w:val="0073136E"/>
    <w:rsid w:val="00807456"/>
    <w:rsid w:val="008D52A8"/>
    <w:rsid w:val="00B05224"/>
    <w:rsid w:val="00E059CC"/>
    <w:rsid w:val="0374238F"/>
    <w:rsid w:val="06B01930"/>
    <w:rsid w:val="0895381F"/>
    <w:rsid w:val="0A283ED3"/>
    <w:rsid w:val="0AEA1297"/>
    <w:rsid w:val="0B9E444D"/>
    <w:rsid w:val="0D647905"/>
    <w:rsid w:val="11DC5CCF"/>
    <w:rsid w:val="12291BED"/>
    <w:rsid w:val="14E86739"/>
    <w:rsid w:val="152A6D51"/>
    <w:rsid w:val="153B0F5F"/>
    <w:rsid w:val="16AD7C3A"/>
    <w:rsid w:val="16E318AE"/>
    <w:rsid w:val="170F61FF"/>
    <w:rsid w:val="18F72790"/>
    <w:rsid w:val="1CB17D58"/>
    <w:rsid w:val="1FF07FD0"/>
    <w:rsid w:val="204333BD"/>
    <w:rsid w:val="22804455"/>
    <w:rsid w:val="23751ADF"/>
    <w:rsid w:val="24F25D41"/>
    <w:rsid w:val="25C7788C"/>
    <w:rsid w:val="27135897"/>
    <w:rsid w:val="284877C3"/>
    <w:rsid w:val="28B05368"/>
    <w:rsid w:val="2AA76F82"/>
    <w:rsid w:val="2BEC2B5B"/>
    <w:rsid w:val="2CAB03A4"/>
    <w:rsid w:val="2DD12008"/>
    <w:rsid w:val="34367069"/>
    <w:rsid w:val="34733E19"/>
    <w:rsid w:val="3834288E"/>
    <w:rsid w:val="38A140A2"/>
    <w:rsid w:val="39316051"/>
    <w:rsid w:val="3B6444BC"/>
    <w:rsid w:val="3B8406BA"/>
    <w:rsid w:val="40A67324"/>
    <w:rsid w:val="43AE09CA"/>
    <w:rsid w:val="43C875B2"/>
    <w:rsid w:val="442962A2"/>
    <w:rsid w:val="44E65F41"/>
    <w:rsid w:val="455455A1"/>
    <w:rsid w:val="4A26732F"/>
    <w:rsid w:val="4AF64A04"/>
    <w:rsid w:val="4B234AF3"/>
    <w:rsid w:val="4E3C3076"/>
    <w:rsid w:val="4EB66985"/>
    <w:rsid w:val="52304CA0"/>
    <w:rsid w:val="526D7CA2"/>
    <w:rsid w:val="58ED38EB"/>
    <w:rsid w:val="61F41846"/>
    <w:rsid w:val="668B64F1"/>
    <w:rsid w:val="68490BA5"/>
    <w:rsid w:val="6DA32372"/>
    <w:rsid w:val="6F2B0871"/>
    <w:rsid w:val="7091330C"/>
    <w:rsid w:val="71186BD3"/>
    <w:rsid w:val="714F4CEB"/>
    <w:rsid w:val="716342F2"/>
    <w:rsid w:val="71772B47"/>
    <w:rsid w:val="72822E9E"/>
    <w:rsid w:val="75BE243F"/>
    <w:rsid w:val="770B3462"/>
    <w:rsid w:val="78531224"/>
    <w:rsid w:val="7A151B18"/>
    <w:rsid w:val="7B201699"/>
    <w:rsid w:val="7B841A35"/>
    <w:rsid w:val="7D562F5D"/>
    <w:rsid w:val="7DAB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qFormat/>
    <w:uiPriority w:val="0"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hAnsi="Arial" w:eastAsia="黑体" w:cs="Times New Roman"/>
      <w:b/>
      <w:bCs/>
      <w:sz w:val="32"/>
      <w:szCs w:val="32"/>
      <w:lang w:val="en-US" w:eastAsia="zh-CN" w:bidi="ar-SA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Normal (Web)"/>
    <w:basedOn w:val="1"/>
    <w:qFormat/>
    <w:uiPriority w:val="0"/>
    <w:rPr>
      <w:sz w:val="24"/>
    </w:rPr>
  </w:style>
  <w:style w:type="paragraph" w:styleId="10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styleId="11">
    <w:name w:val="annotation subject"/>
    <w:basedOn w:val="4"/>
    <w:next w:val="4"/>
    <w:link w:val="18"/>
    <w:qFormat/>
    <w:uiPriority w:val="0"/>
    <w:rPr>
      <w:b/>
      <w:bCs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annotation reference"/>
    <w:basedOn w:val="13"/>
    <w:qFormat/>
    <w:uiPriority w:val="0"/>
    <w:rPr>
      <w:sz w:val="21"/>
      <w:szCs w:val="21"/>
    </w:rPr>
  </w:style>
  <w:style w:type="paragraph" w:customStyle="1" w:styleId="16">
    <w:name w:val="Revision"/>
    <w:hidden/>
    <w:unhideWhenUsed/>
    <w:qFormat/>
    <w:uiPriority w:val="99"/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customStyle="1" w:styleId="17">
    <w:name w:val="批注文字 字符"/>
    <w:basedOn w:val="13"/>
    <w:link w:val="4"/>
    <w:qFormat/>
    <w:uiPriority w:val="0"/>
    <w:rPr>
      <w:sz w:val="21"/>
      <w:szCs w:val="24"/>
    </w:rPr>
  </w:style>
  <w:style w:type="character" w:customStyle="1" w:styleId="18">
    <w:name w:val="批注主题 字符"/>
    <w:basedOn w:val="17"/>
    <w:link w:val="11"/>
    <w:qFormat/>
    <w:uiPriority w:val="0"/>
    <w:rPr>
      <w:b/>
      <w:bCs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4681</Words>
  <Characters>4832</Characters>
  <Lines>83</Lines>
  <Paragraphs>23</Paragraphs>
  <TotalTime>7</TotalTime>
  <ScaleCrop>false</ScaleCrop>
  <LinksUpToDate>false</LinksUpToDate>
  <CharactersWithSpaces>4909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2026-04-17T02:56:00Z</dcterms:created>
  <dc:creator>吱屋猪</dc:creator>
  <cp:lastModifiedBy>吱屋猪</cp:lastModifiedBy>
  <cp:lastPrinted>2026-04-15T06:04:00Z</cp:lastPrinted>
  <dcterms:modified xsi:type="dcterms:W3CDTF">2026-04-20T02:47:01Z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714713794C034BD685DC483B1B2A8A45_13</vt:lpwstr>
  </property>
  <property fmtid="{D5CDD505-2E9C-101B-9397-08002B2CF9AE}" pid="4" name="KSOTemplateDocerSaveRecord">
    <vt:lpwstr>eyJoZGlkIjoiYjU4ZWUzYWU0ZjNkYWYwM2QyYzcxZjE4ZWE3MTk0OTciLCJ1c2VySWQiOiIxMjYxMjAwNjM3In0=</vt:lpwstr>
  </property>
</Properties>
</file>