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海安市</w:t>
      </w:r>
      <w:r>
        <w:rPr>
          <w:rFonts w:hint="eastAsia" w:ascii="Arial" w:hAnsi="Arial"/>
          <w:b/>
          <w:bCs/>
          <w:color w:val="000000"/>
          <w:sz w:val="32"/>
          <w:szCs w:val="24"/>
          <w:highlight w:val="none"/>
        </w:rPr>
        <w:t xml:space="preserve">行政中心</w:t>
      </w:r>
      <w:r>
        <w:rPr>
          <w:rFonts w:hint="eastAsia" w:ascii="Arial" w:hAnsi="Arial"/>
          <w:b/>
          <w:bCs/>
          <w:color w:val="000000"/>
          <w:sz w:val="32"/>
          <w:szCs w:val="24"/>
          <w:highlight w:val="none"/>
          <w:lang w:eastAsia="zh-CN"/>
        </w:rPr>
        <w:t xml:space="preserve">暖通</w:t>
      </w:r>
      <w:r>
        <w:rPr>
          <w:rFonts w:hint="eastAsia" w:ascii="Arial" w:hAnsi="Arial"/>
          <w:b/>
          <w:bCs/>
          <w:color w:val="000000"/>
          <w:sz w:val="32"/>
          <w:szCs w:val="24"/>
          <w:highlight w:val="none"/>
        </w:rPr>
        <w:t xml:space="preserve">管道系统维修项目</w:t>
      </w:r>
      <w:bookmarkStart w:id="216" w:name="_GoBack"/>
      <w:r/>
      <w:bookmarkEnd w:id="216"/>
      <w:r/>
      <w:r/>
    </w:p>
    <w:p>
      <w:pPr>
        <w:ind w:firstLine="640"/>
        <w:jc w:val="both"/>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项目编号：JSZC-320685-NTHL-G2026-0006</w:t>
      </w:r>
      <w:r/>
    </w:p>
    <w:p>
      <w:pPr>
        <w:rPr>
          <w:rFonts w:hint="eastAsia"/>
          <w:b/>
          <w:color w:val="000000"/>
          <w:sz w:val="24"/>
          <w:szCs w:val="24"/>
          <w:highlight w:val="none"/>
        </w:rPr>
      </w:pPr>
      <w:r>
        <w:rPr>
          <w:rFonts w:hint="eastAsia"/>
          <w:b/>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海安市机关事务服务中心</w:t>
      </w:r>
      <w:r/>
    </w:p>
    <w:p>
      <w:pPr>
        <w:jc w:val="center"/>
        <w:spacing w:before="120" w:after="120" w:line="360" w:lineRule="auto"/>
        <w:rPr>
          <w:rFonts w:hint="eastAsia" w:ascii="Arial" w:hAnsi="Arial"/>
          <w:color w:val="000000"/>
          <w:sz w:val="24"/>
          <w:szCs w:val="24"/>
          <w:highlight w:val="none"/>
          <w:u w:val="single"/>
        </w:rPr>
      </w:pPr>
      <w:r>
        <w:rPr>
          <w:rFonts w:hint="eastAsia" w:ascii="Arial" w:hAnsi="Arial"/>
          <w:b/>
          <w:bCs/>
          <w:color w:val="000000"/>
          <w:sz w:val="32"/>
          <w:szCs w:val="24"/>
          <w:highlight w:val="none"/>
          <w:lang w:eastAsia="zh-CN"/>
        </w:rPr>
        <w:t xml:space="preserve">2026年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lang w:eastAsia="zh-CN"/>
        </w:rPr>
        <w:t xml:space="preserve">月</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highlight w:val="none"/>
          <w:lang w:eastAsia="zh-CN"/>
        </w:rPr>
        <w:t xml:space="preserve">日</w:t>
      </w:r>
      <w:r/>
    </w:p>
    <w:p>
      <w:pPr>
        <w:jc w:val="center"/>
        <w:spacing w:line="480" w:lineRule="auto"/>
        <w:rPr>
          <w:color w:val="000000"/>
          <w:szCs w:val="21"/>
          <w:highlight w:val="none"/>
        </w:rPr>
        <w:outlineLvl w:val="0"/>
      </w:pPr>
      <w:r>
        <w:rPr>
          <w:color w:val="000000"/>
          <w:szCs w:val="21"/>
          <w:highlight w:val="none"/>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
    </w:p>
    <w:p>
      <w:pPr>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lang w:val="en-US" w:eastAsia="zh-CN"/>
        </w:rPr>
        <w:t xml:space="preserve"> </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lang w:val="en-US" w:eastAsia="zh-CN"/>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lang w:val="en-US" w:eastAsia="zh-CN"/>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lang w:val="en-US" w:eastAsia="zh-CN"/>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lang w:val="en-US" w:eastAsia="zh-CN"/>
        </w:rPr>
        <w:t xml:space="preserve"> </w:t>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jc w:val="center"/>
        <w:keepNext/>
        <w:rPr>
          <w:rFonts w:hint="eastAsia"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00" w:lineRule="exact"/>
        <w:rPr>
          <w:rFonts w:hint="eastAsia" w:ascii="宋体" w:hAnsi="宋体" w:eastAsia="宋体" w:cs="Times New Roman"/>
          <w:color w:val="000000"/>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highlight w:val="none"/>
          <w:u w:val="none"/>
        </w:rPr>
        <w:t xml:space="preserve">受海安市机关事务服务中心的委托，</w:t>
      </w:r>
      <w:r>
        <w:rPr>
          <w:rFonts w:hint="eastAsia" w:ascii="宋体" w:hAnsi="宋体" w:eastAsia="宋体" w:cs="Times New Roman"/>
          <w:color w:val="000000"/>
          <w:sz w:val="24"/>
          <w:szCs w:val="24"/>
          <w:highlight w:val="none"/>
          <w:u w:val="none"/>
          <w:lang w:eastAsia="zh-CN"/>
        </w:rPr>
        <w:t xml:space="preserve">南通海陵工程项目管理有限公司</w:t>
      </w:r>
      <w:r>
        <w:rPr>
          <w:rFonts w:hint="eastAsia" w:ascii="宋体" w:hAnsi="宋体" w:eastAsia="宋体" w:cs="Times New Roman"/>
          <w:color w:val="000000"/>
          <w:sz w:val="24"/>
          <w:szCs w:val="24"/>
          <w:highlight w:val="none"/>
          <w:u w:val="none"/>
        </w:rPr>
        <w:t xml:space="preserve">就海安市行政中心暖通管道系统维修项目</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rPr>
        <w:t xml:space="preserve">项目编号</w:t>
      </w:r>
      <w:r>
        <w:rPr>
          <w:rFonts w:hint="eastAsia" w:ascii="宋体" w:hAnsi="宋体" w:eastAsia="宋体" w:cs="Times New Roman"/>
          <w:color w:val="000000"/>
          <w:sz w:val="24"/>
          <w:szCs w:val="24"/>
          <w:highlight w:val="none"/>
          <w:u w:val="none"/>
          <w:lang w:eastAsia="zh-CN"/>
        </w:rPr>
        <w:t xml:space="preserve">：</w:t>
      </w:r>
      <w:r>
        <w:rPr>
          <w:rFonts w:hint="eastAsia" w:ascii="宋体" w:hAnsi="宋体" w:cs="Times New Roman"/>
          <w:color w:val="000000"/>
          <w:sz w:val="24"/>
          <w:szCs w:val="24"/>
          <w:highlight w:val="none"/>
          <w:u w:val="none"/>
          <w:lang w:eastAsia="zh-CN"/>
        </w:rPr>
        <w:t xml:space="preserve">JSZC-320685-NTHL-G2026-0006</w:t>
      </w:r>
      <w:r>
        <w:rPr>
          <w:rFonts w:hint="eastAsia" w:ascii="宋体" w:hAnsi="宋体" w:eastAsia="宋体" w:cs="Times New Roman"/>
          <w:color w:val="000000"/>
          <w:sz w:val="24"/>
          <w:szCs w:val="24"/>
          <w:highlight w:val="none"/>
          <w:u w:val="none"/>
        </w:rPr>
        <w:t xml:space="preserve">)项目进行公开招标采购，欢迎符合条件的供应商投标。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海安市行政中心暖通管道系统维修项目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25</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09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before="156" w:after="156" w:line="400" w:lineRule="exact"/>
        <w:rPr>
          <w:b/>
          <w:bCs/>
          <w:color w:val="000000"/>
          <w:sz w:val="32"/>
          <w:szCs w:val="32"/>
          <w:highlight w:val="none"/>
        </w:rPr>
        <w:outlineLvl w:val="2"/>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u w:val="none"/>
          <w:lang w:eastAsia="zh-CN"/>
        </w:rPr>
        <w:t xml:space="preserve">JSZC-320685-NTHL-G2026-0006</w:t>
      </w:r>
      <w:r>
        <w:rPr>
          <w:rFonts w:hint="eastAsia" w:ascii="宋体" w:hAnsi="宋体"/>
          <w:color w:val="000000"/>
          <w:sz w:val="24"/>
          <w:szCs w:val="24"/>
          <w:highlight w:val="none"/>
          <w:lang w:val="en-US" w:eastAsia="zh-CN"/>
        </w:rPr>
        <w:t xml:space="preserve"> </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2.项目名称：海安市行政中心暖通管道系统维修项目</w:t>
      </w:r>
      <w:bookmarkEnd w:id="11"/>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3.项目类型：货物</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4.项目行业：</w:t>
      </w:r>
      <w:r>
        <w:rPr>
          <w:rFonts w:hint="eastAsia" w:ascii="宋体" w:hAnsi="宋体"/>
          <w:color w:val="000000"/>
          <w:sz w:val="24"/>
          <w:szCs w:val="24"/>
          <w:highlight w:val="none"/>
          <w:lang w:eastAsia="zh-CN"/>
        </w:rPr>
        <w:t xml:space="preserve">工业</w:t>
      </w:r>
      <w:r/>
    </w:p>
    <w:p>
      <w:pPr>
        <w:ind w:firstLine="48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1021.00万元</w:t>
      </w:r>
      <w:r/>
    </w:p>
    <w:p>
      <w:pPr>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1021.00</w:t>
      </w:r>
      <w:r>
        <w:rPr>
          <w:rFonts w:hint="eastAsia" w:ascii="宋体" w:hAnsi="宋体"/>
          <w:color w:val="000000"/>
          <w:sz w:val="24"/>
          <w:szCs w:val="24"/>
          <w:highlight w:val="none"/>
          <w:lang w:eastAsia="zh-CN"/>
        </w:rPr>
        <w:t xml:space="preserve">万元，报价超过最高限价的将作为无效响应处理。 </w:t>
      </w:r>
      <w:r/>
    </w:p>
    <w:p>
      <w:pPr>
        <w:ind w:firstLine="480"/>
        <w:spacing w:line="40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.采购需求(简介)：海安市行政中心暖通管道系统维修项目</w:t>
      </w:r>
      <w:r>
        <w:rPr>
          <w:rFonts w:hint="eastAsia" w:ascii="宋体" w:hAnsi="宋体"/>
          <w:color w:val="000000"/>
          <w:sz w:val="24"/>
          <w:szCs w:val="24"/>
          <w:highlight w:val="none"/>
          <w:lang w:val="en-US" w:eastAsia="zh-CN"/>
        </w:rPr>
        <w:t xml:space="preserve">,</w:t>
      </w:r>
      <w:r>
        <w:rPr>
          <w:rFonts w:hint="eastAsia" w:ascii="宋体" w:hAnsi="宋体"/>
          <w:b w:val="0"/>
          <w:bCs w:val="0"/>
          <w:color w:val="000000"/>
          <w:sz w:val="24"/>
          <w:szCs w:val="24"/>
          <w:highlight w:val="none"/>
          <w:lang w:val="en-US" w:eastAsia="zh-CN"/>
        </w:rPr>
        <w:t xml:space="preserve">本次管道维修为主楼和辅楼西侧，主楼和辅楼西侧空调系统采用集中式空调系统，冷热源为冷水机组+锅炉，将对过道内水平空调水管进行改造维修，需对锅炉进行更换、增加自控系统等</w:t>
      </w:r>
      <w:r>
        <w:rPr>
          <w:rFonts w:hint="eastAsia" w:ascii="宋体" w:hAnsi="宋体" w:cs="宋体"/>
          <w:color w:val="000000"/>
          <w:sz w:val="24"/>
          <w:szCs w:val="24"/>
          <w:highlight w:val="none"/>
          <w:lang w:eastAsia="zh-CN"/>
        </w:rPr>
        <w:t xml:space="preserve">，具体</w:t>
      </w:r>
      <w:r>
        <w:rPr>
          <w:rFonts w:hint="eastAsia" w:ascii="宋体" w:hAnsi="宋体" w:cs="宋体"/>
          <w:color w:val="000000"/>
          <w:sz w:val="24"/>
          <w:szCs w:val="24"/>
          <w:highlight w:val="none"/>
        </w:rPr>
        <w:t xml:space="preserve">详细内容见本招标文件第</w:t>
      </w:r>
      <w:r>
        <w:rPr>
          <w:rFonts w:hint="eastAsia" w:ascii="宋体" w:hAnsi="宋体" w:cs="宋体"/>
          <w:color w:val="000000"/>
          <w:sz w:val="24"/>
          <w:szCs w:val="24"/>
          <w:highlight w:val="none"/>
          <w:lang w:eastAsia="zh-CN"/>
        </w:rPr>
        <w:t xml:space="preserve">三</w:t>
      </w:r>
      <w:r>
        <w:rPr>
          <w:rFonts w:hint="eastAsia" w:ascii="宋体" w:hAnsi="宋体" w:cs="宋体"/>
          <w:color w:val="000000"/>
          <w:sz w:val="24"/>
          <w:szCs w:val="24"/>
          <w:highlight w:val="none"/>
        </w:rPr>
        <w:t xml:space="preserve">章</w:t>
      </w:r>
      <w:r>
        <w:rPr>
          <w:rFonts w:hint="eastAsia" w:ascii="宋体" w:hAnsi="宋体" w:cs="宋体"/>
          <w:color w:val="000000"/>
          <w:sz w:val="24"/>
          <w:szCs w:val="24"/>
          <w:highlight w:val="none"/>
          <w:lang w:eastAsia="zh-CN"/>
        </w:rPr>
        <w:t xml:space="preserve">。</w:t>
      </w:r>
      <w:r/>
    </w:p>
    <w:p>
      <w:pPr>
        <w:ind w:firstLine="480"/>
        <w:spacing w:line="4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.合同履行期限：</w:t>
      </w:r>
      <w:r>
        <w:rPr>
          <w:rFonts w:hint="eastAsia" w:ascii="宋体" w:hAnsi="宋体"/>
          <w:bCs/>
          <w:color w:val="000000"/>
          <w:sz w:val="24"/>
          <w:highlight w:val="none"/>
          <w:lang w:val="en-US" w:eastAsia="zh-CN"/>
        </w:rPr>
        <w:t xml:space="preserve">详见文件第三章。</w:t>
      </w:r>
      <w:r/>
    </w:p>
    <w:p>
      <w:pPr>
        <w:ind w:firstLine="496"/>
        <w:keepLines/>
        <w:keepNext/>
        <w:spacing w:before="156" w:after="156" w:line="360" w:lineRule="auto"/>
        <w:rPr>
          <w:b/>
          <w:bCs/>
          <w:color w:val="000000"/>
          <w:sz w:val="32"/>
          <w:szCs w:val="32"/>
          <w:highlight w:val="none"/>
        </w:rPr>
        <w:outlineLvl w:val="2"/>
      </w:pPr>
      <w:r/>
      <w:bookmarkStart w:id="12" w:name="_Toc38985264"/>
      <w:r/>
      <w:bookmarkStart w:id="13" w:name="_Toc35393622"/>
      <w:r/>
      <w:bookmarkStart w:id="14" w:name="_Toc35393791"/>
      <w:r/>
      <w:bookmarkStart w:id="15" w:name="_Toc28359080"/>
      <w:r/>
      <w:bookmarkStart w:id="16" w:name="_Toc28359003"/>
      <w:r>
        <w:rPr>
          <w:rFonts w:hint="eastAsia"/>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highlight w:val="none"/>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3.落实政府采购政策需满足的资格要求：本项目专门面向中小企业采购（须按照财库〔2020〕46号文要求提供中小企业声明函。）</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本项目不接受联合体投标。</w:t>
      </w:r>
      <w:r/>
    </w:p>
    <w:p>
      <w:pPr>
        <w:ind w:firstLine="480"/>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eastAsia="zh-CN"/>
        </w:rPr>
        <w:t xml:space="preserve">不</w:t>
      </w:r>
      <w:r>
        <w:rPr>
          <w:rFonts w:hint="eastAsia" w:ascii="宋体" w:hAnsi="宋体"/>
          <w:color w:val="000000"/>
          <w:sz w:val="24"/>
          <w:szCs w:val="24"/>
          <w:highlight w:val="none"/>
        </w:rPr>
        <w:t xml:space="preserve">接受分包。</w:t>
      </w:r>
      <w:r/>
    </w:p>
    <w:p>
      <w:p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（二）本项目的特定资格要求</w:t>
      </w:r>
      <w:r>
        <w:rPr>
          <w:rFonts w:hint="eastAsia" w:ascii="宋体" w:hAnsi="宋体" w:eastAsia="宋体" w:cs="Times New Roman"/>
          <w:color w:val="000000"/>
          <w:sz w:val="24"/>
          <w:szCs w:val="24"/>
          <w:highlight w:val="none"/>
          <w:lang w:eastAsia="zh-CN"/>
        </w:rPr>
        <w:t xml:space="preserve">：</w:t>
      </w:r>
      <w:r/>
    </w:p>
    <w:p>
      <w:pPr>
        <w:ind w:firstLine="480"/>
        <w:spacing w:line="360" w:lineRule="auto"/>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投标人具备建筑机电安装工程专业承包二级或机电工程总承包三级资质及以上资质。拟派的项目负责人具有建筑机电安装工程专业二级建造师、安全生产B证。</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bookmarkEnd w:id="18"/>
      <w:bookmarkEnd w:id="19"/>
      <w:bookmarkEnd w:id="20"/>
      <w:bookmarkEnd w:id="21"/>
      <w:r/>
    </w:p>
    <w:p>
      <w:pPr>
        <w:ind w:firstLine="496"/>
        <w:keepLines/>
        <w:keepNext/>
        <w:spacing w:before="156" w:after="156" w:line="400" w:lineRule="exact"/>
        <w:rPr>
          <w:b/>
          <w:bCs/>
          <w:color w:val="000000"/>
          <w:sz w:val="32"/>
          <w:szCs w:val="32"/>
          <w:highlight w:val="none"/>
        </w:rPr>
        <w:outlineLvl w:val="2"/>
      </w:pPr>
      <w:r/>
      <w:bookmarkStart w:id="22" w:name="_Toc28359005"/>
      <w:r/>
      <w:bookmarkStart w:id="23" w:name="_Toc28359082"/>
      <w:r/>
      <w:bookmarkStart w:id="24" w:name="_Toc35393624"/>
      <w:r/>
      <w:bookmarkStart w:id="25" w:name="_Toc38985266"/>
      <w:r/>
      <w:bookmarkStart w:id="26" w:name="_Toc35393793"/>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25</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00</w:t>
      </w:r>
      <w:r>
        <w:rPr>
          <w:rFonts w:hint="eastAsia" w:ascii="宋体" w:hAnsi="宋体"/>
          <w:bCs/>
          <w:color w:val="000000"/>
          <w:sz w:val="24"/>
          <w:szCs w:val="24"/>
          <w:highlight w:val="none"/>
        </w:rPr>
        <w:t xml:space="preserve">分（北京时间）。</w:t>
      </w:r>
      <w:r>
        <w:rPr>
          <w:rFonts w:hint="eastAsia" w:ascii="宋体" w:hAnsi="宋体" w:cs="宋体"/>
          <w:color w:val="000000"/>
          <w:sz w:val="24"/>
          <w:szCs w:val="24"/>
          <w:highlight w:val="none"/>
        </w:rPr>
        <w:t xml:space="preserve">（备注：自招标文件开始发出之日起至投标人提交投标文件截止之日止，不得少于20日。招标文件</w:t>
      </w:r>
      <w:r>
        <w:rPr>
          <w:rFonts w:ascii="宋体" w:hAnsi="宋体" w:cs="宋体"/>
          <w:color w:val="000000"/>
          <w:sz w:val="24"/>
          <w:szCs w:val="24"/>
          <w:highlight w:val="none"/>
        </w:rPr>
        <w:t xml:space="preserve">定稿</w:t>
      </w:r>
      <w:r>
        <w:rPr>
          <w:rFonts w:hint="eastAsia" w:ascii="宋体" w:hAnsi="宋体" w:cs="宋体"/>
          <w:color w:val="000000"/>
          <w:sz w:val="24"/>
          <w:szCs w:val="24"/>
          <w:highlight w:val="none"/>
        </w:rPr>
        <w:t xml:space="preserve">后该备注删除）</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56" w:after="156" w:line="360" w:lineRule="auto"/>
        <w:rPr>
          <w:b/>
          <w:bCs/>
          <w:color w:val="000000"/>
          <w:sz w:val="32"/>
          <w:szCs w:val="32"/>
          <w:highlight w:val="none"/>
        </w:rPr>
        <w:outlineLvl w:val="2"/>
      </w:pPr>
      <w:r/>
      <w:bookmarkStart w:id="27" w:name="_Toc35393625"/>
      <w:r/>
      <w:bookmarkStart w:id="28" w:name="_Toc35393794"/>
      <w:r/>
      <w:bookmarkStart w:id="29" w:name="_Toc28359007"/>
      <w:r/>
      <w:bookmarkStart w:id="30" w:name="_Toc38985267"/>
      <w:r/>
      <w:bookmarkStart w:id="31" w:name="_Toc28359084"/>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ind w:firstLine="496"/>
        <w:keepLines/>
        <w:keepNext/>
        <w:spacing w:before="156" w:after="156" w:line="400" w:lineRule="exact"/>
        <w:rPr>
          <w:b/>
          <w:bCs/>
          <w:color w:val="000000"/>
          <w:sz w:val="32"/>
          <w:szCs w:val="32"/>
          <w:highlight w:val="none"/>
        </w:rPr>
        <w:outlineLvl w:val="2"/>
      </w:pPr>
      <w:r/>
      <w:bookmarkStart w:id="32" w:name="_Toc38985268"/>
      <w:r/>
      <w:bookmarkStart w:id="33" w:name="_Toc35393795"/>
      <w:r/>
      <w:bookmarkStart w:id="34" w:name="_Toc35393626"/>
      <w:r>
        <w:rPr>
          <w:rFonts w:hint="eastAsia"/>
          <w:b/>
          <w:bCs/>
          <w:color w:val="000000"/>
          <w:sz w:val="32"/>
          <w:szCs w:val="32"/>
          <w:highlight w:val="none"/>
        </w:rPr>
        <w:t xml:space="preserve">六、其他补充事宜</w:t>
      </w:r>
      <w:bookmarkEnd w:id="32"/>
      <w:r/>
      <w:bookmarkEnd w:id="33"/>
      <w:r/>
      <w:bookmarkEnd w:id="34"/>
      <w:r/>
      <w:r/>
    </w:p>
    <w:p>
      <w:pPr>
        <w:ind w:firstLine="480"/>
        <w:jc w:val="left"/>
        <w:spacing w:line="400" w:lineRule="exact"/>
        <w:rPr>
          <w:rFonts w:hint="eastAsia" w:ascii="宋体" w:hAnsi="宋体" w:eastAsia="宋体" w:cs="宋体"/>
          <w:color w:val="000000"/>
          <w:sz w:val="24"/>
          <w:szCs w:val="24"/>
          <w:highlight w:val="none"/>
        </w:rPr>
      </w:pPr>
      <w:r/>
      <w:bookmarkStart w:id="35" w:name="_Toc35393796"/>
      <w:r/>
      <w:bookmarkStart w:id="36" w:name="_Toc38985269"/>
      <w:r/>
      <w:bookmarkStart w:id="37" w:name="_Toc28359085"/>
      <w:r/>
      <w:bookmarkStart w:id="38" w:name="_Toc28359008"/>
      <w:r/>
      <w:bookmarkStart w:id="39" w:name="_Toc35393627"/>
      <w:r>
        <w:rPr>
          <w:rFonts w:hint="eastAsia" w:ascii="宋体" w:hAnsi="宋体" w:eastAsia="宋体" w:cs="宋体"/>
          <w:color w:val="000000"/>
          <w:sz w:val="24"/>
          <w:szCs w:val="24"/>
          <w:highlight w:val="none"/>
        </w:rPr>
        <w:t xml:space="preserve">1.投标保证金：免收</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2.项目开标活动模式：不见面远程开标模式，投标人在各自地点通过“苏采云”政府采购交易系统参加开标会。</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3.项目演示、样品、答辩等（如有请描述）：无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5.根据省财政厅《关</w:t>
      </w:r>
      <w:r>
        <w:rPr>
          <w:rFonts w:hint="eastAsia" w:ascii="宋体" w:hAnsi="宋体" w:eastAsia="宋体" w:cs="宋体"/>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7.有关本次招标的事项若存在变动或修改，敬请及时关注</w:t>
      </w:r>
      <w:r>
        <w:rPr>
          <w:rFonts w:hint="eastAsia" w:ascii="宋体" w:hAnsi="宋体"/>
          <w:bCs/>
          <w:color w:val="000000"/>
          <w:sz w:val="24"/>
          <w:szCs w:val="24"/>
          <w:highlight w:val="none"/>
          <w:lang w:eastAsia="zh-CN"/>
        </w:rPr>
        <w:t xml:space="preserve">南通海陵工程项目管理有限公司</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color w:val="000000"/>
          <w:sz w:val="24"/>
          <w:szCs w:val="24"/>
          <w:highlight w:val="none"/>
        </w:rPr>
        <w:t xml:space="preserve">。</w:t>
      </w:r>
      <w:r/>
    </w:p>
    <w:p>
      <w:pPr>
        <w:ind w:firstLine="496"/>
        <w:keepLines/>
        <w:keepNext/>
        <w:spacing w:before="156" w:after="156" w:line="400" w:lineRule="exact"/>
        <w:rPr>
          <w:b/>
          <w:bCs/>
          <w:color w:val="000000"/>
          <w:sz w:val="32"/>
          <w:szCs w:val="32"/>
          <w:highlight w:val="none"/>
        </w:rPr>
        <w:outlineLvl w:val="2"/>
      </w:pPr>
      <w:r>
        <w:rPr>
          <w:rFonts w:hint="eastAsia"/>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hint="eastAsia" w:ascii="宋体" w:hAnsi="宋体" w:cs="宋体"/>
          <w:color w:val="000000"/>
          <w:sz w:val="24"/>
          <w:szCs w:val="24"/>
          <w:highlight w:val="none"/>
        </w:rPr>
      </w:pPr>
      <w:r/>
      <w:bookmarkStart w:id="40" w:name="_Toc28359009"/>
      <w:r/>
      <w:bookmarkStart w:id="41" w:name="_Toc28359086"/>
      <w:r>
        <w:rPr>
          <w:rFonts w:hint="eastAsia" w:ascii="宋体" w:hAnsi="宋体" w:cs="宋体"/>
          <w:color w:val="000000"/>
          <w:sz w:val="24"/>
          <w:szCs w:val="24"/>
          <w:highlight w:val="none"/>
        </w:rPr>
        <w:t xml:space="preserve">单位名称：海安市机关事务服务中心</w:t>
      </w:r>
      <w:r/>
    </w:p>
    <w:p>
      <w:pPr>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单位地址：海安市长江中路106号</w:t>
      </w:r>
      <w:r/>
    </w:p>
    <w:p>
      <w:pPr>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联系人：施鹏进</w:t>
      </w:r>
      <w:r/>
    </w:p>
    <w:p>
      <w:pPr>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81868186</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40"/>
      <w:r/>
      <w:bookmarkEnd w:id="41"/>
      <w:r>
        <w:rPr>
          <w:rFonts w:hint="eastAsia" w:ascii="宋体" w:hAnsi="宋体" w:eastAsia="宋体" w:cs="宋体"/>
          <w:color w:val="000000"/>
          <w:sz w:val="24"/>
          <w:szCs w:val="24"/>
          <w:highlight w:val="none"/>
        </w:rPr>
        <w:t xml:space="preserve">采购代理机构信息（如有）</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单位名称：南通海陵工程项目管理有限公司</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单位地址：海安市安平中路59号26幢</w:t>
      </w:r>
      <w:r/>
    </w:p>
    <w:p>
      <w:pPr>
        <w:ind w:firstLine="480"/>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张银华、付萌萌</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联系电话：0513-88962600</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招标文件制作人:0513-88962600</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项目开标人：0513-88962600</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交易系统软件维护人员：0519-86722801、0513-59001950</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2420"/>
        <w:keepLines/>
        <w:keepNext/>
        <w:spacing w:before="260" w:after="260" w:line="416" w:lineRule="auto"/>
        <w:rPr>
          <w:rFonts w:hint="eastAsia" w:ascii="黑体" w:hAnsi="Arial" w:eastAsia="黑体" w:cs="Arial"/>
          <w:color w:val="000000"/>
          <w:sz w:val="44"/>
          <w:szCs w:val="44"/>
          <w:highlight w:val="none"/>
        </w:rPr>
        <w:outlineLvl w:val="1"/>
      </w:pPr>
      <w:r/>
      <w:bookmarkStart w:id="42" w:name="_Toc120614211"/>
      <w:r>
        <w:rPr>
          <w:rFonts w:hint="eastAsia"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Arial" w:eastAsia="黑体" w:cs="Arial"/>
          <w:b/>
          <w:bCs/>
          <w:color w:val="000000"/>
          <w:sz w:val="44"/>
          <w:szCs w:val="44"/>
          <w:highlight w:val="none"/>
        </w:rPr>
        <w:t xml:space="preserve">投标人须知</w:t>
      </w:r>
      <w:bookmarkEnd w:id="43"/>
      <w:r/>
      <w:bookmarkEnd w:id="44"/>
      <w:r/>
      <w:bookmarkEnd w:id="45"/>
      <w:r/>
      <w:bookmarkEnd w:id="46"/>
      <w:r/>
      <w:r/>
    </w:p>
    <w:p>
      <w:pPr>
        <w:ind w:firstLine="496"/>
        <w:keepLines/>
        <w:keepNext/>
        <w:spacing w:before="156" w:after="156" w:line="400" w:lineRule="exact"/>
        <w:rPr>
          <w:rFonts w:hint="eastAsia"/>
          <w:b/>
          <w:bCs/>
          <w:color w:val="000000"/>
          <w:sz w:val="32"/>
          <w:szCs w:val="32"/>
          <w:highlight w:val="none"/>
        </w:rPr>
        <w:outlineLvl w:val="2"/>
      </w:pPr>
      <w:r/>
      <w:bookmarkStart w:id="47" w:name="_Toc120614214"/>
      <w:r/>
      <w:bookmarkStart w:id="48" w:name="_Toc16938519"/>
      <w:r/>
      <w:bookmarkStart w:id="49" w:name="_Toc513029203"/>
      <w:r/>
      <w:bookmarkStart w:id="50" w:name="_Toc20823275"/>
      <w:r>
        <w:rPr>
          <w:rFonts w:hint="eastAsia"/>
          <w:b/>
          <w:bCs/>
          <w:color w:val="000000"/>
          <w:sz w:val="32"/>
          <w:szCs w:val="32"/>
          <w:highlight w:val="none"/>
        </w:rPr>
        <w:t xml:space="preserve">一、总则</w:t>
      </w:r>
      <w:bookmarkEnd w:id="47"/>
      <w:r/>
      <w:bookmarkEnd w:id="48"/>
      <w:r/>
      <w:bookmarkEnd w:id="49"/>
      <w:r/>
      <w:bookmarkEnd w:id="50"/>
      <w:r/>
      <w:r/>
    </w:p>
    <w:p>
      <w:pPr>
        <w:ind w:firstLine="420"/>
        <w:keepLines/>
        <w:keepNext/>
        <w:spacing w:line="400" w:lineRule="exact"/>
        <w:rPr>
          <w:rFonts w:hint="eastAsia" w:ascii="Arial" w:hAnsi="Arial" w:eastAsia="黑体" w:cs="Arial"/>
          <w:color w:val="000000"/>
          <w:sz w:val="28"/>
          <w:szCs w:val="28"/>
          <w:highlight w:val="none"/>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hint="eastAsia" w:ascii="Arial" w:hAnsi="Arial" w:eastAsia="黑体" w:cs="Arial"/>
          <w:color w:val="000000"/>
          <w:sz w:val="28"/>
          <w:szCs w:val="28"/>
          <w:highlight w:val="none"/>
        </w:rPr>
        <w:t xml:space="preserve">1</w:t>
      </w:r>
      <w:bookmarkEnd w:id="52"/>
      <w:r>
        <w:rPr>
          <w:rFonts w:hint="eastAsia" w:ascii="Arial" w:hAnsi="Arial" w:eastAsia="黑体" w:cs="Arial"/>
          <w:color w:val="000000"/>
          <w:sz w:val="28"/>
          <w:szCs w:val="28"/>
          <w:highlight w:val="none"/>
        </w:rPr>
        <w:t xml:space="preserve">、招标方式</w:t>
      </w:r>
      <w:bookmarkEnd w:id="53"/>
      <w:r/>
      <w:bookmarkEnd w:id="54"/>
      <w:r/>
      <w:bookmarkEnd w:id="55"/>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56" w:name="_Toc20823277"/>
      <w:r/>
      <w:bookmarkStart w:id="57" w:name="_Toc16938521"/>
      <w:r/>
      <w:bookmarkStart w:id="58" w:name="_Toc513029205"/>
      <w:r>
        <w:rPr>
          <w:rFonts w:hint="eastAsia" w:ascii="Arial" w:hAnsi="Arial" w:eastAsia="黑体" w:cs="Arial"/>
          <w:color w:val="000000"/>
          <w:sz w:val="28"/>
          <w:szCs w:val="28"/>
          <w:highlight w:val="none"/>
        </w:rPr>
        <w:t xml:space="preserve">2、合格的投标人</w:t>
      </w:r>
      <w:bookmarkEnd w:id="56"/>
      <w:r/>
      <w:bookmarkEnd w:id="57"/>
      <w:r/>
      <w:bookmarkEnd w:id="58"/>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0"/>
        <w:keepLines/>
        <w:keepNext/>
        <w:spacing w:line="400" w:lineRule="exact"/>
        <w:rPr>
          <w:rFonts w:hint="eastAsia" w:ascii="方正魏碑_GBK" w:hAnsi="方正魏碑_GBK" w:eastAsia="方正魏碑_GBK" w:cs="方正魏碑_GBK"/>
          <w:color w:val="000000"/>
          <w:sz w:val="28"/>
          <w:szCs w:val="28"/>
          <w:highlight w:val="none"/>
        </w:rPr>
        <w:outlineLvl w:val="3"/>
      </w:pPr>
      <w:r/>
      <w:bookmarkStart w:id="59" w:name="_Toc20823278"/>
      <w:r/>
      <w:bookmarkStart w:id="60" w:name="_Toc513029206"/>
      <w:r/>
      <w:bookmarkStart w:id="61" w:name="_Toc16938522"/>
      <w:r>
        <w:rPr>
          <w:rFonts w:hint="eastAsia" w:ascii="方正魏碑_GBK" w:hAnsi="方正魏碑_GBK" w:eastAsia="方正魏碑_GBK" w:cs="方正魏碑_GBK"/>
          <w:color w:val="000000"/>
          <w:sz w:val="28"/>
          <w:szCs w:val="28"/>
          <w:highlight w:val="none"/>
        </w:rPr>
        <w:t xml:space="preserve">3、适用法律</w:t>
      </w:r>
      <w:bookmarkEnd w:id="59"/>
      <w:r/>
      <w:bookmarkEnd w:id="60"/>
      <w:r/>
      <w:bookmarkEnd w:id="61"/>
      <w:r>
        <w:rPr>
          <w:rFonts w:hint="eastAsia" w:ascii="方正魏碑_GBK" w:hAnsi="方正魏碑_GBK" w:eastAsia="方正魏碑_GBK" w:cs="方正魏碑_GBK"/>
          <w:color w:val="000000"/>
          <w:sz w:val="28"/>
          <w:szCs w:val="28"/>
          <w:highlight w:val="none"/>
        </w:rPr>
        <w:t xml:space="preserve">和标准</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62" w:name="_Toc462564067"/>
      <w:r/>
      <w:bookmarkStart w:id="63" w:name="_Toc16938523"/>
      <w:r/>
      <w:bookmarkStart w:id="64" w:name="_Toc513029207"/>
      <w:r/>
      <w:bookmarkStart w:id="65" w:name="_Toc20823279"/>
      <w:r>
        <w:rPr>
          <w:rFonts w:hint="eastAsia" w:ascii="Arial" w:hAnsi="Arial" w:eastAsia="黑体" w:cs="Arial"/>
          <w:color w:val="000000"/>
          <w:sz w:val="28"/>
          <w:szCs w:val="28"/>
          <w:highlight w:val="none"/>
        </w:rPr>
        <w:t xml:space="preserve">4、投标费用</w:t>
      </w:r>
      <w:bookmarkEnd w:id="62"/>
      <w:r/>
      <w:bookmarkEnd w:id="63"/>
      <w:r/>
      <w:bookmarkEnd w:id="64"/>
      <w:r/>
      <w:bookmarkEnd w:id="65"/>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南通海陵工程项目管理有限公司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）在任何情况下均无义务和责任承担这些费用。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和采购人不收取标书工本费与中标服务费。</w:t>
      </w:r>
      <w:r/>
    </w:p>
    <w:p>
      <w:pPr>
        <w:ind w:firstLine="450"/>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highlight w:val="none"/>
        </w:rPr>
        <w:outlineLvl w:val="2"/>
      </w:pPr>
      <w:r/>
      <w:bookmarkStart w:id="66" w:name="_Toc513029209"/>
      <w:r/>
      <w:bookmarkStart w:id="67" w:name="_Toc120614215"/>
      <w:r/>
      <w:bookmarkStart w:id="68" w:name="_Toc16938525"/>
      <w:r/>
      <w:bookmarkStart w:id="69" w:name="_Toc20823281"/>
      <w:r>
        <w:rPr>
          <w:rFonts w:hint="eastAsia"/>
          <w:b/>
          <w:bCs/>
          <w:color w:val="000000"/>
          <w:sz w:val="32"/>
          <w:szCs w:val="32"/>
          <w:highlight w:val="none"/>
        </w:rPr>
        <w:t xml:space="preserve">二、招标文件</w:t>
      </w:r>
      <w:bookmarkEnd w:id="66"/>
      <w:r/>
      <w:bookmarkEnd w:id="67"/>
      <w:r/>
      <w:bookmarkEnd w:id="68"/>
      <w:r/>
      <w:bookmarkEnd w:id="69"/>
      <w:r/>
      <w:r/>
    </w:p>
    <w:p>
      <w:pPr>
        <w:ind w:firstLine="420"/>
        <w:keepLines/>
        <w:keepNext/>
        <w:spacing w:line="400" w:lineRule="exact"/>
        <w:rPr>
          <w:rFonts w:hint="eastAsia" w:ascii="Arial" w:hAnsi="Arial" w:eastAsia="黑体" w:cs="Arial"/>
          <w:color w:val="000000"/>
          <w:sz w:val="28"/>
          <w:szCs w:val="28"/>
          <w:highlight w:val="none"/>
        </w:rPr>
        <w:outlineLvl w:val="3"/>
      </w:pPr>
      <w:r/>
      <w:bookmarkStart w:id="70" w:name="_Toc513029210"/>
      <w:r/>
      <w:bookmarkStart w:id="71" w:name="_Toc16938526"/>
      <w:r/>
      <w:bookmarkStart w:id="72" w:name="_Toc20823282"/>
      <w:r>
        <w:rPr>
          <w:rFonts w:hint="eastAsia" w:ascii="Arial" w:hAnsi="Arial" w:eastAsia="黑体" w:cs="Arial"/>
          <w:color w:val="000000"/>
          <w:sz w:val="28"/>
          <w:szCs w:val="28"/>
          <w:highlight w:val="none"/>
        </w:rPr>
        <w:t xml:space="preserve">6、招标文件构成</w:t>
      </w:r>
      <w:bookmarkEnd w:id="70"/>
      <w:r/>
      <w:bookmarkEnd w:id="71"/>
      <w:r/>
      <w:bookmarkEnd w:id="72"/>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联系解决。</w:t>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highlight w:val="none"/>
        </w:rPr>
        <w:outlineLvl w:val="3"/>
      </w:pPr>
      <w:r/>
      <w:bookmarkStart w:id="73" w:name="_Toc20823284"/>
      <w:r/>
      <w:bookmarkStart w:id="74" w:name="_Toc16938528"/>
      <w:r/>
      <w:bookmarkStart w:id="75" w:name="_Toc513029212"/>
      <w:r/>
      <w:bookmarkStart w:id="76"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3"/>
      <w:r/>
      <w:bookmarkEnd w:id="74"/>
      <w:r/>
      <w:bookmarkEnd w:id="75"/>
      <w:r/>
      <w:bookmarkEnd w:id="76"/>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可以对招标文件进行修改。</w:t>
      </w:r>
      <w:r/>
    </w:p>
    <w:p>
      <w:pPr>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0"/>
        <w:keepLines/>
        <w:keepNext/>
        <w:spacing w:before="156" w:after="156" w:line="400" w:lineRule="exact"/>
        <w:rPr>
          <w:rFonts w:hint="eastAsia"/>
          <w:b/>
          <w:bCs/>
          <w:color w:val="000000"/>
          <w:sz w:val="32"/>
          <w:szCs w:val="32"/>
          <w:highlight w:val="none"/>
        </w:rPr>
        <w:outlineLvl w:val="2"/>
      </w:pPr>
      <w:r/>
      <w:bookmarkStart w:id="77" w:name="_Toc513029213"/>
      <w:r/>
      <w:bookmarkStart w:id="78" w:name="_Toc20823285"/>
      <w:r/>
      <w:bookmarkStart w:id="79" w:name="_Toc120614216"/>
      <w:r/>
      <w:bookmarkStart w:id="80" w:name="_Toc16938529"/>
      <w:r/>
      <w:bookmarkStart w:id="81" w:name="_Toc462564072"/>
      <w:r>
        <w:rPr>
          <w:rFonts w:hint="eastAsia"/>
          <w:b/>
          <w:bCs/>
          <w:color w:val="000000"/>
          <w:sz w:val="32"/>
          <w:szCs w:val="32"/>
          <w:highlight w:val="none"/>
        </w:rPr>
        <w:t xml:space="preserve">三、投标文件的编制</w:t>
      </w:r>
      <w:bookmarkEnd w:id="77"/>
      <w:r/>
      <w:bookmarkEnd w:id="78"/>
      <w:r/>
      <w:bookmarkEnd w:id="79"/>
      <w:r/>
      <w:bookmarkEnd w:id="80"/>
      <w:r/>
      <w:bookmarkEnd w:id="81"/>
      <w:r/>
      <w:r/>
    </w:p>
    <w:p>
      <w:pPr>
        <w:ind w:firstLine="560"/>
        <w:keepLines/>
        <w:keepNext/>
        <w:spacing w:line="400" w:lineRule="exact"/>
        <w:rPr>
          <w:rFonts w:hint="eastAsia" w:ascii="Arial" w:hAnsi="Arial" w:eastAsia="黑体" w:cs="Arial"/>
          <w:b/>
          <w:color w:val="000000"/>
          <w:sz w:val="28"/>
          <w:szCs w:val="28"/>
          <w:highlight w:val="none"/>
        </w:rPr>
        <w:outlineLvl w:val="3"/>
      </w:pPr>
      <w:r/>
      <w:bookmarkStart w:id="82" w:name="_Toc20823286"/>
      <w:r/>
      <w:bookmarkStart w:id="83" w:name="_Toc513029214"/>
      <w:r/>
      <w:bookmarkStart w:id="84" w:name="_Toc462564073"/>
      <w:r/>
      <w:bookmarkStart w:id="85"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2"/>
      <w:r/>
      <w:bookmarkEnd w:id="83"/>
      <w:r/>
      <w:bookmarkEnd w:id="84"/>
      <w:r/>
      <w:bookmarkEnd w:id="85"/>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86" w:name="_Toc513029215"/>
      <w:r/>
      <w:bookmarkStart w:id="87" w:name="_Toc462564074"/>
      <w:r/>
      <w:bookmarkStart w:id="88" w:name="_Toc20823287"/>
      <w:r/>
      <w:bookmarkStart w:id="89" w:name="_Toc16938531"/>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6"/>
      <w:r/>
      <w:bookmarkEnd w:id="87"/>
      <w:r/>
      <w:bookmarkEnd w:id="88"/>
      <w:r/>
      <w:bookmarkEnd w:id="89"/>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90" w:name="_Hlt26670360"/>
      <w:r/>
      <w:bookmarkEnd w:id="90"/>
      <w:r/>
      <w:bookmarkStart w:id="91" w:name="_Hlt26954838"/>
      <w:r/>
      <w:bookmarkEnd w:id="91"/>
      <w:r/>
      <w:bookmarkStart w:id="92" w:name="_Hlt26668975"/>
      <w:r/>
      <w:bookmarkEnd w:id="92"/>
      <w:r/>
      <w:bookmarkStart w:id="93" w:name="_Toc49090509"/>
      <w:r/>
      <w:bookmarkStart w:id="94" w:name="_Toc513029219"/>
      <w:r/>
      <w:bookmarkStart w:id="95" w:name="_Toc14577357"/>
      <w:r/>
      <w:bookmarkStart w:id="96" w:name="_Toc513029216"/>
      <w:r/>
      <w:bookmarkStart w:id="97" w:name="_Toc49090507"/>
      <w:r/>
      <w:bookmarkStart w:id="98" w:name="_Toc14577354"/>
      <w:r/>
      <w:bookmarkStart w:id="99" w:name="_Toc49090508"/>
      <w:r/>
      <w:bookmarkStart w:id="100" w:name="_Toc1457735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3"/>
      <w:r/>
      <w:bookmarkEnd w:id="94"/>
      <w:r/>
      <w:bookmarkEnd w:id="95"/>
      <w:r/>
      <w:bookmarkEnd w:id="96"/>
      <w:bookmarkEnd w:id="97"/>
      <w:bookmarkEnd w:id="98"/>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99"/>
      <w:bookmarkEnd w:id="100"/>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w:t>
      </w:r>
      <w:bookmarkStart w:id="101" w:name="_Hlt26954840"/>
      <w:r/>
      <w:bookmarkEnd w:id="101"/>
      <w:r>
        <w:rPr>
          <w:rFonts w:hint="eastAsia" w:ascii="宋体" w:hAnsi="宋体"/>
          <w:color w:val="000000"/>
          <w:sz w:val="24"/>
          <w:szCs w:val="21"/>
          <w:highlight w:val="none"/>
        </w:rPr>
        <w:t xml:space="preserve">标人按照招标文件规定格式填报投标分项报价表</w:t>
      </w:r>
      <w:bookmarkStart w:id="102" w:name="_Hlt26670399"/>
      <w:r/>
      <w:bookmarkEnd w:id="102"/>
      <w:r>
        <w:rPr>
          <w:rFonts w:hint="eastAsia" w:ascii="宋体" w:hAnsi="宋体"/>
          <w:color w:val="000000"/>
          <w:sz w:val="24"/>
          <w:szCs w:val="21"/>
          <w:highlight w:val="none"/>
        </w:rPr>
        <w:t xml:space="preserve">。</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03" w:name="_Hlt26670482"/>
      <w:r/>
      <w:bookmarkEnd w:id="103"/>
      <w:r/>
      <w:bookmarkStart w:id="104" w:name="_Hlt26954848"/>
      <w:r/>
      <w:bookmarkEnd w:id="104"/>
      <w:r/>
      <w:bookmarkStart w:id="105" w:name="_Hlt26670486"/>
      <w:r/>
      <w:bookmarkEnd w:id="105"/>
      <w:r/>
      <w:bookmarkStart w:id="106" w:name="_Hlt26954846"/>
      <w:r/>
      <w:bookmarkEnd w:id="106"/>
      <w:r/>
      <w:bookmarkStart w:id="107" w:name="_Hlt26954731"/>
      <w:r/>
      <w:bookmarkEnd w:id="10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p>
    <w:p>
      <w:pPr>
        <w:ind w:firstLine="480"/>
        <w:spacing w:line="4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08" w:name="_Toc14577359"/>
      <w:r/>
      <w:bookmarkStart w:id="109"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08"/>
      <w:bookmarkEnd w:id="109"/>
      <w:r/>
    </w:p>
    <w:p>
      <w:pPr>
        <w:ind w:firstLine="420"/>
        <w:keepLines/>
        <w:keepNext/>
        <w:spacing w:line="400" w:lineRule="exact"/>
        <w:rPr>
          <w:rFonts w:hint="eastAsia" w:ascii="Arial" w:hAnsi="Arial" w:eastAsia="黑体" w:cs="Arial"/>
          <w:color w:val="000000"/>
          <w:sz w:val="28"/>
          <w:szCs w:val="28"/>
          <w:highlight w:val="none"/>
        </w:rPr>
        <w:outlineLvl w:val="3"/>
      </w:pPr>
      <w:r/>
      <w:bookmarkStart w:id="110" w:name="_Toc49090511"/>
      <w:r/>
      <w:bookmarkStart w:id="111"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0"/>
      <w:r/>
      <w:bookmarkEnd w:id="111"/>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56" w:after="156" w:line="400" w:lineRule="exact"/>
        <w:rPr>
          <w:rFonts w:hint="eastAsia"/>
          <w:b/>
          <w:bCs/>
          <w:color w:val="000000"/>
          <w:sz w:val="32"/>
          <w:szCs w:val="32"/>
          <w:highlight w:val="none"/>
        </w:rPr>
        <w:outlineLvl w:val="2"/>
      </w:pPr>
      <w:r/>
      <w:bookmarkStart w:id="112" w:name="_Hlt26954739"/>
      <w:r/>
      <w:bookmarkEnd w:id="112"/>
      <w:r/>
      <w:bookmarkStart w:id="113" w:name="_Hlt26954852"/>
      <w:r/>
      <w:bookmarkEnd w:id="113"/>
      <w:r/>
      <w:bookmarkStart w:id="114" w:name="_Toc20823296"/>
      <w:r/>
      <w:bookmarkStart w:id="115" w:name="_Toc513029224"/>
      <w:r/>
      <w:bookmarkStart w:id="116" w:name="_Toc120614217"/>
      <w:r/>
      <w:bookmarkStart w:id="117" w:name="_Toc16938540"/>
      <w:r>
        <w:rPr>
          <w:rFonts w:hint="eastAsia"/>
          <w:b/>
          <w:bCs/>
          <w:color w:val="000000"/>
          <w:sz w:val="32"/>
          <w:szCs w:val="32"/>
          <w:highlight w:val="none"/>
        </w:rPr>
        <w:t xml:space="preserve">四、投标文件的递交</w:t>
      </w:r>
      <w:bookmarkEnd w:id="114"/>
      <w:r/>
      <w:bookmarkEnd w:id="115"/>
      <w:r/>
      <w:bookmarkEnd w:id="116"/>
      <w:r/>
      <w:bookmarkEnd w:id="117"/>
      <w:r/>
      <w:r/>
    </w:p>
    <w:p>
      <w:pPr>
        <w:ind w:firstLine="420"/>
        <w:keepLines/>
        <w:keepNext/>
        <w:spacing w:line="400" w:lineRule="exact"/>
        <w:rPr>
          <w:rFonts w:hint="eastAsia" w:ascii="黑体" w:hAnsi="Arial" w:eastAsia="黑体" w:cs="Arial"/>
          <w:color w:val="000000"/>
          <w:sz w:val="28"/>
          <w:szCs w:val="28"/>
          <w:highlight w:val="none"/>
        </w:rPr>
        <w:outlineLvl w:val="3"/>
      </w:pPr>
      <w:r/>
      <w:bookmarkStart w:id="118" w:name="_Toc16938541"/>
      <w:r/>
      <w:bookmarkStart w:id="119" w:name="_Toc462564084"/>
      <w:r/>
      <w:bookmarkStart w:id="120" w:name="_Toc513029225"/>
      <w:r/>
      <w:bookmarkStart w:id="121"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18"/>
      <w:r/>
      <w:bookmarkEnd w:id="119"/>
      <w:r/>
      <w:bookmarkEnd w:id="120"/>
      <w:r/>
      <w:bookmarkEnd w:id="121"/>
      <w:r>
        <w:rPr>
          <w:rFonts w:hint="eastAsia" w:ascii="黑体" w:hAnsi="Arial" w:eastAsia="黑体" w:cs="Arial"/>
          <w:color w:val="000000"/>
          <w:sz w:val="28"/>
          <w:szCs w:val="28"/>
          <w:highlight w:val="none"/>
        </w:rPr>
        <w:t xml:space="preserve">的递交</w:t>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2" w:name="_Toc20823298"/>
      <w:r/>
      <w:bookmarkStart w:id="123" w:name="_Toc16938542"/>
      <w:r/>
      <w:bookmarkStart w:id="124" w:name="_Toc513029226"/>
      <w:r/>
      <w:r/>
    </w:p>
    <w:p>
      <w:pPr>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2"/>
      <w:r/>
      <w:bookmarkEnd w:id="123"/>
      <w:r/>
      <w:bookmarkEnd w:id="124"/>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w:t>
      </w:r>
      <w:r>
        <w:rPr>
          <w:rFonts w:hint="eastAsia" w:ascii="宋体" w:hAnsi="宋体"/>
          <w:bCs/>
          <w:color w:val="000000"/>
          <w:sz w:val="24"/>
          <w:szCs w:val="21"/>
          <w:highlight w:val="none"/>
          <w:lang w:eastAsia="zh-CN"/>
        </w:rPr>
        <w:t xml:space="preserve">作无效投标</w:t>
      </w:r>
      <w:r>
        <w:rPr>
          <w:rFonts w:hint="eastAsia" w:ascii="宋体" w:hAnsi="宋体"/>
          <w:bCs/>
          <w:color w:val="000000"/>
          <w:sz w:val="24"/>
          <w:szCs w:val="21"/>
          <w:highlight w:val="none"/>
        </w:rPr>
        <w:t xml:space="preserve">处理。</w:t>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25" w:name="_Toc513029227"/>
      <w:r/>
      <w:bookmarkStart w:id="126" w:name="_Toc20823299"/>
      <w:r/>
      <w:bookmarkStart w:id="127" w:name="_Toc16938543"/>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5"/>
      <w:r/>
      <w:bookmarkEnd w:id="126"/>
      <w:r/>
      <w:bookmarkEnd w:id="127"/>
      <w:r>
        <w:rPr>
          <w:rFonts w:hint="eastAsia" w:ascii="Arial" w:hAnsi="Arial" w:eastAsia="黑体" w:cs="Arial"/>
          <w:color w:val="000000"/>
          <w:sz w:val="28"/>
          <w:szCs w:val="28"/>
          <w:highlight w:val="none"/>
        </w:rPr>
        <w:t xml:space="preserve">的拒收</w:t>
      </w:r>
      <w:r/>
    </w:p>
    <w:p>
      <w:pPr>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28" w:name="_Toc16938544"/>
      <w:r/>
      <w:bookmarkStart w:id="129" w:name="_Toc513029228"/>
      <w:r/>
      <w:bookmarkStart w:id="130"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28"/>
      <w:r/>
      <w:bookmarkEnd w:id="129"/>
      <w:r/>
      <w:bookmarkEnd w:id="130"/>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highlight w:val="none"/>
        </w:rPr>
        <w:outlineLvl w:val="2"/>
      </w:pPr>
      <w:r/>
      <w:bookmarkStart w:id="131" w:name="_Toc20823301"/>
      <w:r/>
      <w:bookmarkStart w:id="132" w:name="_Toc16938545"/>
      <w:r/>
      <w:bookmarkStart w:id="133" w:name="_Toc120614218"/>
      <w:r/>
      <w:bookmarkStart w:id="134" w:name="_Toc513029229"/>
      <w:r>
        <w:rPr>
          <w:rFonts w:hint="eastAsia"/>
          <w:b/>
          <w:bCs/>
          <w:color w:val="000000"/>
          <w:sz w:val="32"/>
          <w:szCs w:val="32"/>
          <w:highlight w:val="none"/>
        </w:rPr>
        <w:t xml:space="preserve">五、开标与评标</w:t>
      </w:r>
      <w:bookmarkEnd w:id="131"/>
      <w:r/>
      <w:bookmarkEnd w:id="132"/>
      <w:r/>
      <w:bookmarkEnd w:id="133"/>
      <w:r/>
      <w:bookmarkEnd w:id="134"/>
      <w:r/>
      <w:r/>
    </w:p>
    <w:p>
      <w:pPr>
        <w:ind w:firstLine="420"/>
        <w:keepLines/>
        <w:keepNext/>
        <w:spacing w:line="400" w:lineRule="exact"/>
        <w:rPr>
          <w:rFonts w:hint="eastAsia" w:ascii="Arial" w:hAnsi="Arial" w:eastAsia="黑体" w:cs="Arial"/>
          <w:color w:val="000000"/>
          <w:sz w:val="28"/>
          <w:szCs w:val="28"/>
          <w:highlight w:val="none"/>
        </w:rPr>
        <w:outlineLvl w:val="3"/>
      </w:pPr>
      <w:r/>
      <w:bookmarkStart w:id="135" w:name="_Toc16938546"/>
      <w:r/>
      <w:bookmarkStart w:id="136" w:name="_Toc513029230"/>
      <w:r/>
      <w:bookmarkStart w:id="137"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5"/>
      <w:r/>
      <w:bookmarkEnd w:id="136"/>
      <w:r/>
      <w:bookmarkEnd w:id="137"/>
      <w:r/>
      <w:r/>
    </w:p>
    <w:p>
      <w:pPr>
        <w:ind w:firstLine="480"/>
        <w:spacing w:line="4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38" w:name="_Toc513029231"/>
      <w:r/>
      <w:bookmarkStart w:id="139" w:name="_Toc16938547"/>
      <w:r/>
      <w:bookmarkStart w:id="140"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、评标委员会</w:t>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p>
    <w:p>
      <w:pPr>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38"/>
      <w:bookmarkEnd w:id="139"/>
      <w:bookmarkEnd w:id="140"/>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41" w:name="_Toc20823304"/>
      <w:r/>
      <w:bookmarkStart w:id="142" w:name="_Toc513029232"/>
      <w:r/>
      <w:bookmarkStart w:id="143"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1"/>
      <w:r/>
      <w:bookmarkEnd w:id="142"/>
      <w:r/>
      <w:bookmarkEnd w:id="143"/>
      <w:r/>
      <w:r/>
    </w:p>
    <w:p>
      <w:pPr>
        <w:ind w:firstLine="480"/>
        <w:spacing w:line="400" w:lineRule="exact"/>
        <w:rPr>
          <w:rFonts w:ascii="宋体" w:hAnsi="宋体"/>
          <w:color w:val="000000"/>
          <w:sz w:val="24"/>
          <w:szCs w:val="24"/>
          <w:highlight w:val="none"/>
        </w:rPr>
      </w:pPr>
      <w:r/>
      <w:bookmarkStart w:id="144" w:name="_Toc20823305"/>
      <w:r/>
      <w:bookmarkStart w:id="145" w:name="_Toc16938549"/>
      <w:r/>
      <w:bookmarkStart w:id="146"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4"/>
      <w:r/>
      <w:bookmarkEnd w:id="145"/>
      <w:r/>
      <w:bookmarkEnd w:id="146"/>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采购人在进行资格性审查的同时，将在“信用中国”网站查询投标人的信用记录，以确定投标人是否具备投标资格,查询结果留存并归档。</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47" w:name="_Toc20823306"/>
      <w:r/>
      <w:bookmarkStart w:id="148" w:name="_Toc513029234"/>
      <w:r/>
      <w:bookmarkStart w:id="149"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及评标委员会联系。</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25.8 异常低价投标审查</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25.8.1 评标过程中出现下列情形之一的，评标委员会应当启动异常低价投标审查程序：</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lang w:val="en-US" w:eastAsia="zh-CN"/>
        </w:rPr>
        <w:t xml:space="preserve">1</w:t>
      </w: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lang w:val="en-US" w:eastAsia="zh-CN"/>
        </w:rPr>
        <w:t xml:space="preserve">2</w:t>
      </w: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lang w:val="en-US" w:eastAsia="zh-CN"/>
        </w:rPr>
        <w:t xml:space="preserve">3</w:t>
      </w: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rPr>
        <w:t xml:space="preserve">投标（响应）报价低于采购项目最高限价45%的，即投标（响应）报价&lt;采购项目最高限价×45%；</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lang w:val="en-US" w:eastAsia="zh-CN"/>
        </w:rPr>
        <w:t xml:space="preserve">4</w:t>
      </w:r>
      <w:r>
        <w:rPr>
          <w:rFonts w:hint="eastAsia" w:ascii="宋体" w:hAnsi="宋体"/>
          <w:b/>
          <w:bCs/>
          <w:color w:val="000000"/>
          <w:sz w:val="24"/>
          <w:szCs w:val="21"/>
          <w:highlight w:val="none"/>
          <w:lang w:eastAsia="zh-CN"/>
        </w:rPr>
        <w:t xml:space="preserve">）</w:t>
      </w:r>
      <w:r>
        <w:rPr>
          <w:rFonts w:hint="eastAsia" w:ascii="宋体" w:hAnsi="宋体"/>
          <w:b/>
          <w:bCs/>
          <w:color w:val="000000"/>
          <w:sz w:val="24"/>
          <w:szCs w:val="21"/>
          <w:highlight w:val="none"/>
        </w:rPr>
        <w:t xml:space="preserve">评审委员会基于专业判断，认为供应商报价过低，有可能影响产品质量或者不能诚信履约的其他情形。</w:t>
      </w:r>
      <w:r/>
    </w:p>
    <w:p>
      <w:pPr>
        <w:ind w:firstLine="420"/>
        <w:spacing w:line="40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25.8.2 启动异常低价投标审查后，评标委员会将通过苏采云系统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47"/>
      <w:r/>
      <w:bookmarkEnd w:id="148"/>
      <w:r/>
      <w:bookmarkEnd w:id="149"/>
      <w:r>
        <w:rPr>
          <w:rFonts w:hint="eastAsia" w:ascii="Arial" w:hAnsi="Arial" w:eastAsia="黑体" w:cs="Arial"/>
          <w:color w:val="000000"/>
          <w:sz w:val="28"/>
          <w:szCs w:val="28"/>
          <w:highlight w:val="none"/>
        </w:rPr>
        <w:t xml:space="preserve">无效投标条款和废标条款</w:t>
      </w:r>
      <w:r/>
    </w:p>
    <w:p>
      <w:pPr>
        <w:ind w:left="478"/>
        <w:spacing w:line="400" w:lineRule="exact"/>
        <w:rPr>
          <w:rFonts w:hint="eastAsia" w:ascii="宋体" w:hAnsi="宋体"/>
          <w:bCs/>
          <w:color w:val="000000"/>
          <w:sz w:val="24"/>
          <w:szCs w:val="21"/>
          <w:highlight w:val="none"/>
        </w:rPr>
      </w:pPr>
      <w:r/>
      <w:bookmarkStart w:id="150" w:name="_Toc20823307"/>
      <w:r/>
      <w:bookmarkStart w:id="151" w:name="_Toc513029235"/>
      <w:r/>
      <w:bookmarkStart w:id="152"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.1无效投标条款</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hint="eastAsia" w:ascii="宋体" w:hAnsi="宋体" w:eastAsia="宋体"/>
          <w:bCs/>
          <w:i/>
          <w:color w:val="000000"/>
          <w:sz w:val="24"/>
          <w:szCs w:val="21"/>
          <w:highlight w:val="none"/>
          <w:u w:val="single"/>
          <w:lang w:val="en-US"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color w:val="000000"/>
          <w:sz w:val="24"/>
          <w:szCs w:val="21"/>
          <w:highlight w:val="none"/>
          <w:lang w:eastAsia="zh-CN"/>
        </w:rPr>
        <w:t xml:space="preserve">。</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26.1.10评标委员会按照本招标文件规定对投标人进行异常低价投标审查后，认为投标人不能证明其报价合理性的。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26.1.12 投标文件未按照招标文件要求加盖CA电子公章的。</w:t>
      </w:r>
      <w:r/>
    </w:p>
    <w:p>
      <w:pPr>
        <w:ind w:firstLine="4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.2废标条款 </w:t>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  </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 投标截止时间结束后参加投标的供应商不足三家的处理：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highlight w:val="none"/>
        </w:rPr>
        <w:outlineLvl w:val="2"/>
      </w:pPr>
      <w:r/>
      <w:bookmarkStart w:id="153" w:name="_Toc120614219"/>
      <w:r>
        <w:rPr>
          <w:rFonts w:hint="eastAsia"/>
          <w:b/>
          <w:bCs/>
          <w:color w:val="000000"/>
          <w:sz w:val="32"/>
          <w:szCs w:val="32"/>
          <w:highlight w:val="none"/>
        </w:rPr>
        <w:t xml:space="preserve">六、</w:t>
      </w:r>
      <w:bookmarkEnd w:id="150"/>
      <w:r/>
      <w:bookmarkEnd w:id="151"/>
      <w:r/>
      <w:bookmarkEnd w:id="152"/>
      <w:r>
        <w:rPr>
          <w:rFonts w:hint="eastAsia"/>
          <w:b/>
          <w:bCs/>
          <w:color w:val="000000"/>
          <w:sz w:val="32"/>
          <w:szCs w:val="32"/>
          <w:highlight w:val="none"/>
        </w:rPr>
        <w:t xml:space="preserve">定标</w:t>
      </w:r>
      <w:bookmarkEnd w:id="153"/>
      <w:r/>
      <w:r/>
    </w:p>
    <w:p>
      <w:pPr>
        <w:ind w:firstLine="600"/>
        <w:keepLines/>
        <w:keepNext/>
        <w:spacing w:line="400" w:lineRule="exact"/>
        <w:rPr>
          <w:rFonts w:hint="eastAsia" w:ascii="黑体" w:hAnsi="宋体" w:eastAsia="黑体"/>
          <w:bCs/>
          <w:color w:val="000000"/>
          <w:sz w:val="30"/>
          <w:szCs w:val="30"/>
          <w:highlight w:val="none"/>
        </w:rPr>
        <w:outlineLvl w:val="3"/>
      </w:pPr>
      <w:r/>
      <w:bookmarkStart w:id="154" w:name="_Toc513029238"/>
      <w:r/>
      <w:bookmarkStart w:id="155" w:name="_Toc16938554"/>
      <w:r/>
      <w:bookmarkStart w:id="156"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4"/>
      <w:r>
        <w:rPr>
          <w:rFonts w:hint="eastAsia" w:ascii="黑体" w:hAnsi="宋体" w:eastAsia="黑体"/>
          <w:bCs/>
          <w:color w:val="000000"/>
          <w:sz w:val="30"/>
          <w:szCs w:val="30"/>
          <w:highlight w:val="none"/>
        </w:rPr>
        <w:t xml:space="preserve">确定</w:t>
      </w:r>
      <w:bookmarkEnd w:id="155"/>
      <w:r/>
      <w:bookmarkEnd w:id="156"/>
      <w:r>
        <w:rPr>
          <w:rFonts w:hint="eastAsia" w:ascii="黑体" w:hAnsi="宋体" w:eastAsia="黑体"/>
          <w:bCs/>
          <w:color w:val="000000"/>
          <w:sz w:val="30"/>
          <w:szCs w:val="30"/>
          <w:highlight w:val="none"/>
        </w:rPr>
        <w:t xml:space="preserve">中标单位</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27.2采购人应根据评委会推荐的中标候选人确定中标供应商。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000000"/>
          <w:sz w:val="24"/>
          <w:szCs w:val="24"/>
          <w:highlight w:val="none"/>
        </w:rPr>
      </w:pPr>
      <w:r/>
      <w:bookmarkStart w:id="157"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27.5.3不同投标人的投标文件载明的项目管理成员或者联系人员为同一人。</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7"/>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或采购人提出质疑。上述应知其权益受到损害之日，是指：</w:t>
      </w:r>
      <w:r/>
    </w:p>
    <w:p>
      <w:pPr>
        <w:ind w:firstLine="480"/>
        <w:jc w:val="left"/>
        <w:spacing w:line="400" w:lineRule="exact"/>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highlight w:val="none"/>
          <w:lang w:eastAsia="zh-CN"/>
        </w:rPr>
        <w:t xml:space="preserve">采购代理机构</w:t>
      </w:r>
      <w:r>
        <w:rPr>
          <w:rFonts w:hint="eastAsia" w:hAnsi="宋体" w:cs="宋体"/>
          <w:color w:val="000000"/>
          <w:sz w:val="24"/>
          <w:szCs w:val="24"/>
          <w:highlight w:val="none"/>
        </w:rPr>
        <w:t xml:space="preserve">、</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p>
    <w:p>
      <w:pPr>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采购人质疑接收联系人为</w:t>
      </w:r>
      <w:r>
        <w:rPr>
          <w:rFonts w:hint="eastAsia" w:ascii="宋体" w:hAnsi="宋体"/>
          <w:color w:val="000000"/>
          <w:sz w:val="24"/>
          <w:szCs w:val="24"/>
          <w:highlight w:val="none"/>
          <w:u w:val="single"/>
          <w:lang w:eastAsia="zh-CN"/>
        </w:rPr>
        <w:t xml:space="preserve">：施鹏进</w:t>
      </w:r>
      <w:r>
        <w:rPr>
          <w:rFonts w:hint="eastAsia" w:ascii="宋体" w:hAnsi="宋体"/>
          <w:color w:val="000000"/>
          <w:sz w:val="24"/>
          <w:szCs w:val="24"/>
          <w:highlight w:val="none"/>
        </w:rPr>
        <w:t xml:space="preserve">，联系地址：</w:t>
      </w:r>
      <w:r>
        <w:rPr>
          <w:rFonts w:hint="eastAsia" w:ascii="宋体" w:hAnsi="宋体" w:cs="宋体"/>
          <w:color w:val="000000"/>
          <w:sz w:val="24"/>
          <w:szCs w:val="24"/>
          <w:highlight w:val="none"/>
        </w:rPr>
        <w:t xml:space="preserve">海安市长江中路106号</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u w:val="single"/>
        </w:rPr>
        <w:t xml:space="preserve">0513-81868186</w:t>
      </w:r>
      <w:r>
        <w:rPr>
          <w:rFonts w:hint="eastAsia" w:ascii="宋体" w:hAnsi="宋体"/>
          <w:color w:val="000000"/>
          <w:sz w:val="24"/>
          <w:szCs w:val="24"/>
          <w:highlight w:val="none"/>
        </w:rPr>
        <w:t xml:space="preserve">。</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60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highlight w:val="none"/>
        </w:rPr>
        <w:outlineLvl w:val="2"/>
      </w:pPr>
      <w:r/>
      <w:bookmarkStart w:id="158" w:name="_Toc120614220"/>
      <w:r/>
      <w:bookmarkStart w:id="159" w:name="_Toc20823308"/>
      <w:r/>
      <w:bookmarkStart w:id="160" w:name="_Toc16938552"/>
      <w:r/>
      <w:bookmarkStart w:id="161" w:name="_Toc513029236"/>
      <w:r>
        <w:rPr>
          <w:rFonts w:hint="eastAsia"/>
          <w:b/>
          <w:bCs/>
          <w:color w:val="000000"/>
          <w:sz w:val="32"/>
          <w:szCs w:val="32"/>
          <w:highlight w:val="none"/>
        </w:rPr>
        <w:t xml:space="preserve">七、授予合同</w:t>
      </w:r>
      <w:bookmarkEnd w:id="158"/>
      <w:r/>
      <w:bookmarkEnd w:id="159"/>
      <w:bookmarkEnd w:id="160"/>
      <w:bookmarkEnd w:id="161"/>
      <w:r/>
    </w:p>
    <w:p>
      <w:pPr>
        <w:ind w:firstLine="600"/>
        <w:keepLines/>
        <w:keepNext/>
        <w:spacing w:line="400" w:lineRule="exact"/>
        <w:rPr>
          <w:rFonts w:hint="eastAsia" w:ascii="黑体" w:hAnsi="宋体" w:eastAsia="黑体"/>
          <w:bCs/>
          <w:color w:val="000000"/>
          <w:sz w:val="30"/>
          <w:szCs w:val="30"/>
          <w:highlight w:val="none"/>
        </w:rPr>
        <w:outlineLvl w:val="3"/>
      </w:pPr>
      <w:r/>
      <w:bookmarkStart w:id="162" w:name="_Toc513029237"/>
      <w:r/>
      <w:bookmarkStart w:id="163" w:name="_Toc16938553"/>
      <w:r/>
      <w:bookmarkStart w:id="164"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bookmarkEnd w:id="163"/>
      <w:bookmarkEnd w:id="164"/>
      <w:r/>
    </w:p>
    <w:p>
      <w:pPr>
        <w:ind w:firstLine="600"/>
        <w:keepLines/>
        <w:keepNext/>
        <w:spacing w:line="400" w:lineRule="exact"/>
        <w:rPr>
          <w:rFonts w:ascii="黑体" w:hAnsi="宋体" w:eastAsia="黑体"/>
          <w:bCs/>
          <w:color w:val="000000"/>
          <w:sz w:val="30"/>
          <w:szCs w:val="30"/>
          <w:highlight w:val="none"/>
        </w:rPr>
        <w:outlineLvl w:val="3"/>
      </w:pPr>
      <w:r/>
      <w:bookmarkStart w:id="165" w:name="_Toc120614221"/>
      <w:r/>
      <w:bookmarkStart w:id="166" w:name="_Toc513029242"/>
      <w:r/>
      <w:bookmarkStart w:id="167" w:name="_Toc20823314"/>
      <w:r/>
      <w:bookmarkStart w:id="168" w:name="_Toc16938558"/>
      <w:r/>
      <w:bookmarkStart w:id="169"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rFonts w:hint="eastAsia"/>
          <w:color w:val="000000"/>
          <w:szCs w:val="21"/>
          <w:highlight w:val="none"/>
        </w:rPr>
      </w:pPr>
      <w:r>
        <w:rPr>
          <w:rFonts w:hint="eastAsia"/>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黑体" w:eastAsia="黑体"/>
          <w:bCs/>
          <w:color w:val="000000"/>
          <w:sz w:val="44"/>
          <w:szCs w:val="28"/>
          <w:highlight w:val="none"/>
        </w:rPr>
        <w:br w:type="page" w:clear="all"/>
      </w:r>
      <w:bookmarkEnd w:id="165"/>
      <w:r/>
      <w:bookmarkEnd w:id="166"/>
      <w:r/>
      <w:bookmarkEnd w:id="167"/>
      <w:r/>
      <w:bookmarkEnd w:id="168"/>
      <w:r/>
      <w:bookmarkEnd w:id="169"/>
      <w:r/>
      <w:bookmarkStart w:id="170" w:name="_Hlt16619350"/>
      <w:r/>
      <w:bookmarkStart w:id="171" w:name="_Toc16938590"/>
      <w:r/>
      <w:bookmarkStart w:id="172" w:name="_Toc20823346"/>
      <w:r/>
      <w:bookmarkStart w:id="173" w:name="_Toc120614244"/>
      <w:r/>
      <w:bookmarkStart w:id="174" w:name="_Toc479757211"/>
      <w:r/>
      <w:bookmarkStart w:id="175" w:name="_Toc462564139"/>
      <w:r>
        <w:rPr>
          <w:rFonts w:hint="eastAsia" w:ascii="黑体" w:hAnsi="Courier New" w:eastAsia="黑体" w:cs="Courier New"/>
          <w:bCs/>
          <w:color w:val="000000"/>
          <w:sz w:val="44"/>
          <w:szCs w:val="21"/>
          <w:highlight w:val="none"/>
        </w:rPr>
        <w:t xml:space="preserve">第</w:t>
      </w:r>
      <w:bookmarkEnd w:id="170"/>
      <w:r>
        <w:rPr>
          <w:rFonts w:hint="eastAsia" w:ascii="黑体" w:hAnsi="Courier New" w:eastAsia="黑体" w:cs="Courier New"/>
          <w:bCs/>
          <w:color w:val="000000"/>
          <w:sz w:val="44"/>
          <w:szCs w:val="21"/>
          <w:highlight w:val="none"/>
          <w:lang w:eastAsia="zh-CN"/>
        </w:rPr>
        <w:t xml:space="preserve">三</w:t>
      </w:r>
      <w:r>
        <w:rPr>
          <w:rFonts w:hint="eastAsia" w:ascii="黑体" w:hAnsi="Courier New" w:eastAsia="黑体" w:cs="Courier New"/>
          <w:bCs/>
          <w:color w:val="000000"/>
          <w:sz w:val="44"/>
          <w:szCs w:val="21"/>
          <w:highlight w:val="none"/>
        </w:rPr>
        <w:t xml:space="preserve">章 采购需求</w:t>
      </w:r>
      <w:bookmarkEnd w:id="171"/>
      <w:r/>
      <w:bookmarkEnd w:id="172"/>
      <w:r/>
      <w:bookmarkEnd w:id="173"/>
      <w:r/>
      <w:r/>
    </w:p>
    <w:p>
      <w:pPr>
        <w:spacing w:line="0" w:lineRule="atLeast"/>
        <w:rPr>
          <w:rFonts w:ascii="宋体" w:hAnsi="宋体"/>
          <w:b/>
          <w:color w:val="000000"/>
          <w:sz w:val="24"/>
          <w:szCs w:val="24"/>
          <w:highlight w:val="none"/>
        </w:rPr>
      </w:pPr>
      <w:r/>
      <w:bookmarkStart w:id="176" w:name="_Toc49090575"/>
      <w:r/>
      <w:bookmarkStart w:id="177" w:name="_Toc26554093"/>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2"/>
        <w:gridCol w:w="3291"/>
        <w:gridCol w:w="2852"/>
      </w:tblGrid>
      <w:tr>
        <w:trPr>
          <w:cantSplit/>
          <w:jc w:val="center"/>
        </w:trPr>
        <w:tc>
          <w:tcPr>
            <w:tcW w:w="2382"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采购包</w:t>
            </w:r>
            <w:r/>
          </w:p>
        </w:tc>
        <w:tc>
          <w:tcPr>
            <w:tcW w:w="3291"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p>
        </w:tc>
        <w:tc>
          <w:tcPr>
            <w:tcW w:w="2852"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cantSplit/>
          <w:jc w:val="center"/>
          <w:trHeight w:val="286"/>
        </w:trPr>
        <w:tc>
          <w:tcPr>
            <w:tcW w:w="2382"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海安市行政中心暖通管道系统维修项目</w:t>
            </w:r>
            <w:r/>
          </w:p>
        </w:tc>
        <w:tc>
          <w:tcPr>
            <w:tcW w:w="3291" w:type="dxa"/>
            <w:vAlign w:val="center"/>
            <w:textDirection w:val="lrTb"/>
            <w:noWrap w:val="false"/>
          </w:tcPr>
          <w:p>
            <w:pPr>
              <w:jc w:val="center"/>
              <w:spacing w:line="0" w:lineRule="atLeast"/>
              <w:tabs>
                <w:tab w:val="left" w:pos="2020" w:leader="none"/>
              </w:tabs>
              <w:rPr>
                <w:rFonts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清单全部货物</w:t>
            </w:r>
            <w:r/>
          </w:p>
        </w:tc>
        <w:tc>
          <w:tcPr>
            <w:tcW w:w="2852"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bCs/>
                <w:color w:val="000000"/>
                <w:sz w:val="24"/>
                <w:szCs w:val="24"/>
                <w:highlight w:val="none"/>
                <w:lang w:val="en-US" w:eastAsia="zh-CN"/>
              </w:rPr>
              <w:t xml:space="preserve">工业</w:t>
            </w:r>
            <w:r/>
          </w:p>
        </w:tc>
      </w:tr>
    </w:tbl>
    <w:p>
      <w:pPr>
        <w:spacing w:line="0" w:lineRule="atLeas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二、政府采购中实施本国产品标准及相关政策</w:t>
      </w:r>
      <w:r/>
    </w:p>
    <w:p>
      <w:pPr>
        <w:ind w:firstLine="480"/>
        <w:jc w:val="left"/>
        <w:keepLines w:val="0"/>
        <w:keepNext w:val="0"/>
        <w:pageBreakBefore w:val="0"/>
        <w:spacing w:line="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1.本项目对采购本国产品给予政策支持，具体内容见招标文件“第五章评标方法与评标标准”。</w:t>
      </w:r>
      <w:r/>
    </w:p>
    <w:p>
      <w:pPr>
        <w:ind w:firstLine="480"/>
        <w:jc w:val="left"/>
        <w:keepLines w:val="0"/>
        <w:keepNext w:val="0"/>
        <w:pageBreakBefore w:val="0"/>
        <w:spacing w:line="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0" w:lineRule="atLeas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、技术要求</w:t>
      </w:r>
      <w:r/>
    </w:p>
    <w:p>
      <w:pPr>
        <w:ind w:firstLine="480"/>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技术要求是指对采购标的功能和质量要求，包括性能、材料、结构、外观、安全，或者服务内容和标准等。其中加★号条款为实质性要求。</w:t>
      </w:r>
      <w:r/>
    </w:p>
    <w:p>
      <w:pPr>
        <w:ind w:firstLine="480"/>
        <w:spacing w:line="0" w:lineRule="atLeast"/>
        <w:rPr>
          <w:rFonts w:hint="eastAsia" w:ascii="宋体" w:hAnsi="宋体"/>
          <w:b w:val="0"/>
          <w:bCs w:val="0"/>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3.1</w:t>
      </w:r>
      <w:r>
        <w:rPr>
          <w:rFonts w:hint="eastAsia" w:ascii="宋体" w:hAnsi="宋体"/>
          <w:b w:val="0"/>
          <w:bCs w:val="0"/>
          <w:color w:val="000000"/>
          <w:sz w:val="24"/>
          <w:szCs w:val="24"/>
          <w:highlight w:val="none"/>
          <w:lang w:val="en-US" w:eastAsia="zh-CN"/>
        </w:rPr>
        <w:t xml:space="preserve">海安市行政中心暖通管道系统维修项目，项目包含主楼（2区）和西侧辅楼，主楼地上十九层，西侧辅楼地上1-4层，总建筑面积约75000平方米，空调面积约60000平方米，建筑主体高度地上72.9米。主楼主要功能为办公，辅楼西侧主要功能为档案馆，本次管道维修为主楼和辅楼西侧，主楼和辅</w:t>
      </w:r>
      <w:r>
        <w:rPr>
          <w:rFonts w:hint="eastAsia" w:ascii="宋体" w:hAnsi="宋体"/>
          <w:b w:val="0"/>
          <w:bCs w:val="0"/>
          <w:color w:val="000000"/>
          <w:sz w:val="24"/>
          <w:szCs w:val="24"/>
          <w:highlight w:val="none"/>
          <w:lang w:val="en-US" w:eastAsia="zh-CN"/>
        </w:rPr>
        <w:t xml:space="preserve">楼西侧空调系统采用集中式空调系统，冷热源为冷水机组+锅炉，将对过道内水平空调水管进行改造维修，需对锅炉进行更换、增加自控系统等，具体详见图纸及采购清单。本项目所用e-PSP管材及配件标准为参照或相当于的标准，为鼓励不同品牌的充分竞争，如某主要技术参数属于个别品牌专有，则该主要技术参数不具有限制性，投标人可对该参数进行适当调整，说明调整的理由并在签订合同前提供相关证明材料（如产品业绩、技术参数等），证明产品性能和所用管材及配件的技术参数不低于设计标准且符合国家相关规范，并得到设计单位、监理单位、招标人的认可。</w:t>
      </w:r>
      <w:r/>
    </w:p>
    <w:tbl>
      <w:tblPr>
        <w:tblStyle w:val="669"/>
        <w:tblW w:w="10976" w:type="dxa"/>
        <w:tblInd w:w="-12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3"/>
        <w:gridCol w:w="5800"/>
        <w:gridCol w:w="694"/>
        <w:gridCol w:w="980"/>
        <w:gridCol w:w="1304"/>
        <w:gridCol w:w="1305"/>
      </w:tblGrid>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项目名称、材质、规格</w:t>
            </w:r>
            <w:r/>
          </w:p>
        </w:tc>
        <w:tc>
          <w:tcPr>
            <w:shd w:val="clear" w:color="auto" w:fill="ffffff"/>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单位</w:t>
            </w:r>
            <w:r/>
          </w:p>
        </w:tc>
        <w:tc>
          <w:tcPr>
            <w:shd w:val="clear" w:color="auto" w:fill="ffffff"/>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工程量</w:t>
            </w:r>
            <w:r/>
          </w:p>
        </w:tc>
        <w:tc>
          <w:tcPr>
            <w:shd w:val="clear" w:color="auto" w:fill="ffffff"/>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全费用</w:t>
            </w:r>
            <w:r>
              <w:rPr>
                <w:rFonts w:hint="eastAsia" w:ascii="黑体" w:hAnsi="宋体" w:eastAsia="黑体" w:cs="黑体"/>
                <w:b/>
                <w:bCs/>
                <w:i w:val="0"/>
                <w:iCs w:val="0"/>
                <w:color w:val="000000"/>
                <w:sz w:val="18"/>
                <w:szCs w:val="18"/>
                <w:highlight w:val="none"/>
                <w:u w:val="none"/>
                <w:lang w:val="en-US" w:eastAsia="zh-CN" w:bidi="ar"/>
              </w:rPr>
              <w:br w:type="textWrapping" w:clear="all"/>
            </w:r>
            <w:r>
              <w:rPr>
                <w:rFonts w:hint="eastAsia" w:ascii="黑体" w:hAnsi="宋体" w:eastAsia="黑体" w:cs="黑体"/>
                <w:b/>
                <w:bCs/>
                <w:i w:val="0"/>
                <w:iCs w:val="0"/>
                <w:color w:val="000000"/>
                <w:sz w:val="18"/>
                <w:szCs w:val="18"/>
                <w:highlight w:val="none"/>
                <w:u w:val="none"/>
                <w:lang w:val="en-US" w:eastAsia="zh-CN" w:bidi="ar"/>
              </w:rPr>
              <w:t xml:space="preserve">综合单价</w:t>
            </w:r>
            <w:r/>
          </w:p>
        </w:tc>
        <w:tc>
          <w:tcPr>
            <w:shd w:val="clear" w:color="auto" w:fill="ffffff"/>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合价</w:t>
            </w:r>
            <w:r/>
          </w:p>
        </w:tc>
      </w:tr>
      <w:tr>
        <w:trPr>
          <w:trHeight w:val="90"/>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200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12.28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160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24.37</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839"/>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110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96.54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90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467.04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22"/>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75，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800.59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87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63，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537.86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900"/>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50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376.33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40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474.99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32，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2723.95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200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12.72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160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25.19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110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103.69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90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1440.02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75，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1736.78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63，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624.25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50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82.16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40，连接形式:智能电磁双热熔焊接连接，管卡材质:按设计规范，管道消毒、冲洗:按设计及验收规范要求，安装部位:室内，介质:回水管，采用配套U型承插槽双热熔管件，含管件、三通、弯头、直接、套管、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782.02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32，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2645.12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加厚防火型U-PVC管，规格:DN32，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2645.59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加厚防火型U-PVC管，规格:DN25，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3305.52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名称:固定支架，规格:综合考虑，支架形式:按设计要求，管道固定，不允许移位，制作、安装、除锈、刷防锈漆两遍、色漆两遍，满足设计及施工规范要求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1819.8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名称:滑动支架，材质:型钢，规格:综合考虑，工作内容:制作、安装、校正、固定，防腐处理:除锈、刷防锈漆两遍、色漆两遍，满足管道热胀冷缩移位要求，符合施工验收规范及设计要求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3660.3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绝热材料品种:难燃B1级橡塑发泡保温管壳，绝热厚度:20mm，管道外径:≤57mm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20.77</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绝热材料品种:难燃B1级橡塑发泡保温管壳，绝热厚度:28mm，管道外径:≤57mm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39.99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绝热材料品种:难燃B1级橡塑发泡保温管壳，绝热厚度:32mm，管道外径:≤133mm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79.17</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绝热材料品种:难燃B1级橡塑发泡保温管壳，绝热厚度:36mm，管道外径:≤325mm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6.72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类型:水管电动二通调节阀，规格、压力等级:DN32，连接形式:螺纹连接，备注:符合图纸及规范要求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类型:水管电动二通调节阀，规格、压力等级:DN25，连接形式:螺纹连接，备注:符合图纸及规范要求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996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类型:水管温控电动调节阀，规格、压力等级:DN50，连接形式:法兰连接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类型:水管温控电动调节阀，规格、压力等级:DN70，连接形式:法兰连接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类型:水管温控电动调节阀，规格、压力等级:DN80，连接形式:法兰连接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类型:水管温控电动调节阀，规格、压力等级:DN100，连接形式:法兰连接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类型:水管蝶阀，规格、压力等级:DN70，连接形式:法兰连接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类型:水管蝶阀，规格、压力等级:DN80，连接形式:法兰连接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类型:水管蝶阀，规格、压力等级:DN100，连接形式:法兰连接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类型:水管蝶阀，规格、压力等级:DN160，连接形式:法兰连接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类型:水管蝶阀，规格、压力等级:DN200，连接形式:法兰连接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类型:闸阀，规格、压力等级:DN32，连接形式:螺纹连接，备注:符合图纸及规范要求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类型:闸阀，规格、压力等级:DN50，连接形式:螺纹连接，备注:符合图纸及规范要求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类型:闸阀，规格、压力等级:DN70，连接形式:法兰连接，备注:符合图纸及规范要求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类型:闸阀，规格、压力等级:DN80，连接形式:法兰连接，备注:符合图纸及规范要求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类型:截止阀，规格、压力等级:DN25，连接形式:螺纹连接，备注:符合图纸及规范要求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1992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类型:自动排气阀，规格、压力等级:DN15，连接形式:螺纹连接，备注:自动排气阀处如有天花需设置500*500mm检修口，备注:符合图纸及规范要求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名称:Y型过滤器，规格:DN160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名称:Y型过滤器，规格:DN110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名称:Y型过滤器，规格:DN50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名称:Y型过滤器，规格:DN32</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名称:Y型过滤器，规格:DN25</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996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材质:金属，规格:DN110，压力试验、吹扫与清洗:按设计规范</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材质:金属，规格:DN90，压力试验、吹扫与清洗:按设计规范</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材质:金属，规格:DN75，压力试验、吹扫与清洗:按设计规范</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材质:金属，规格:DN40，压力试验、吹扫与清洗:按设计规范</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低压金属软管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材质:金属，规格:DN32，压力试验、吹扫与清洗:按设计规范</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材质:金属软接头，规格:DN32</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材质:金属软接头，规格:DN25</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1952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成套整装锅炉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名称：全预混低氮冷凝燃气常压热水锅炉，规格及型号：额定热功率:2.10MW,80/60℃ ，燃烧器功率:7.0kW,锅炉热效率:≥98%，天然气耗量:200Nm/h,NOx排放浓度≤30mg/m，额定工作压力:常压,排烟温度≤70，水侧压力损失:≤30kPa，备注：含锅炉本体、附带燃烧器、锅炉仪表、阀门、控制箱、安装就位、系统调试、水压试验、运输等，如原热水锅炉拆除后，混凝土基础破损，松动需凿除清理，锅炉控制系统自带群控接口，报价含锅炉基础损坏修补，含凿除、清理、混凝土浇筑、养护等全部工作</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换热器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板式换热器，规格及型号：换热量：2100KW，一次侧80/60℃，二次侧60/50℃，一次侧水阻力10Kpa，二次侧水阻力25Kpa，试压要求：水压试验/严密实验，附件配备：含配套法兰、螺栓、垫片、支架等，报价含锅炉基础损坏修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锅炉一次侧智能循环泵组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名称:锅炉一次侧智能循环泵组，配置形式:模块化集成泵组，系统总流量:200m3/h，采用三台泵组合，单泵技术参数均为：流量Q=70m3/h，扬程H=18m，功率：N=5.5kw。运行要求:额定流量15%-120</w:t>
            </w:r>
            <w:r>
              <w:rPr>
                <w:rFonts w:hint="eastAsia" w:ascii="宋体" w:hAnsi="宋体" w:eastAsia="宋体" w:cs="宋体"/>
                <w:i w:val="0"/>
                <w:iCs w:val="0"/>
                <w:color w:val="000000"/>
                <w:sz w:val="18"/>
                <w:szCs w:val="18"/>
                <w:u w:val="none"/>
                <w:lang w:val="en-US" w:eastAsia="zh-CN" w:bidi="ar"/>
              </w:rPr>
              <w:t xml:space="preserve">%范围内均处于水泵高效运行区间，安装要求:含泵组安装、减震、连接附件、法兰蝶阀、过滤器、软连接、止回阀、温度计（带金属保护套）、温度传感器（带金属保护套）、压力表（含表阀及弯管）、压力传感器（带金属保护套）、电控柜、配套电源、系统调试及运行等全部工作内容，每台水泵自带变频器,配套法兰蝶阀、止回阀、温度计、温度传感器、压力表、压力传感器、过滤器,满足总流量、总扬程要求，硬件部分和软件部分应由同一品牌、同一厂家成套提供,并应确保其匹配性和安全可靠性，具体产品名称、规格及型号、数量详见图纸，报价含锅炉基础损坏修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冷(热)水智能循环泵组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名称:冷(热)水智能循环泵组，配置形式:模块化集成输配机组，系统总流量:1000m3/h，采用四台泵组合，单泵技术参数均为：流量Q=250m3/h，扬程H=34m，功率：N=37kw。运行要求:额定流量15%-120</w:t>
            </w:r>
            <w:r>
              <w:rPr>
                <w:rFonts w:hint="eastAsia" w:ascii="宋体" w:hAnsi="宋体" w:eastAsia="宋体" w:cs="宋体"/>
                <w:i w:val="0"/>
                <w:iCs w:val="0"/>
                <w:color w:val="000000"/>
                <w:sz w:val="18"/>
                <w:szCs w:val="18"/>
                <w:u w:val="none"/>
                <w:lang w:val="en-US" w:eastAsia="zh-CN" w:bidi="ar"/>
              </w:rPr>
              <w:t xml:space="preserve">%范围内均处于水泵高效运行区间，安装要求:含泵组安装、减震、连接附件、法兰蝶阀、过滤器、软连接、止回阀、温度计（带金属保护套）、温度传感器（带金属保护套）、压力表（含表阀及弯管）、压力传感器（带金属保护套）、电控柜、配套电源、系统调试及运行等全部工作内容，每台水泵自带变频器,配套法兰蝶阀、止回阀、温度计、温度传感器、压力表、压力传感器、过滤器,满足总流量、总扬程要求，硬件部分和软件部分应由同一品牌、同一厂家成套提供,并应确保其匹配性和安全可靠性，具体产品名称、规格及型号、数量详见图纸，报价含锅炉基础损坏修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冷却水智能循环泵组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名称:冷却水智能循环泵组，配置形式:模块化集成输配机组，系统总流量:1000m3/h，采用四台泵组合，单泵技术参数均为：流量Q=250m3/h，扬程H=28m，功率：N=30kw。运行要求:额定流量15%-120</w:t>
            </w:r>
            <w:r>
              <w:rPr>
                <w:rFonts w:hint="eastAsia" w:ascii="宋体" w:hAnsi="宋体" w:eastAsia="宋体" w:cs="宋体"/>
                <w:i w:val="0"/>
                <w:iCs w:val="0"/>
                <w:color w:val="000000"/>
                <w:sz w:val="18"/>
                <w:szCs w:val="18"/>
                <w:u w:val="none"/>
                <w:lang w:val="en-US" w:eastAsia="zh-CN" w:bidi="ar"/>
              </w:rPr>
              <w:t xml:space="preserve">%范围内均处于水泵高效运行区间，安装要求:含泵组安装、减震、连接附件、法兰蝶阀、过滤器、软连接、止回阀、温度计（带金属保护套）、温度传感器（带金属保护套）、压力表（含表阀及弯管）、压力传感器（带金属保护套）、电控柜、配套电源、系统调试及运行等全部工作内容，每台水泵自带变频器,配套法兰蝶阀、止回阀、温度计、温度传感器、压力表、压力传感器、过滤器,满足总流量、总扬程要求，硬件部分和软件部分应由同一品牌、同一厂家成套提供,并应确保其匹配性和安全可靠性，具体产品名称、规格及型号、数量详见图纸，报价含锅炉基础损坏修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风机盘管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风机盘管机组（自带回风箱），型号:FP-85，规格:风量：850m3/h，风机静压：30Pa，制冷量：4.50KW，制热量：4.50KW，功率：74W，水阻力：30Kpa，噪声：≤33dB（A），安装形式:按现场实际要求，含设备安装、出风口、回风口、控制线、温控器线、减震、连接附件、与管道/风管连接、支吊架、控制器、相应控制线缆、系统调试及试运行等全部工序</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名称:图形化管理服务器软件，规格:Web服务, 5用户, License，实现设计说明及技术方案所有功能要求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MS配置工具包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规格：CCT, MS-FCP, SCT, MS-DP, APLT, EasyCAF</w:t>
            </w:r>
            <w:r>
              <w:rPr>
                <w:rFonts w:hint="eastAsia"/>
                <w:highlight w:val="none"/>
                <w:lang w:val="en-US" w:eastAsia="zh-CN"/>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License 不含光盘，实现设计说明及技术方案所有功能要求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服务器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名称:群控服务器，类别:含操作系统、数据库，I7,32GRAM,1T SSD，25寸LCD，实现设计说明及技术方案所有功能要求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交换机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名称:交换机，规格:24口，100/1000BASE-T,8*光口，实现设计说明及技术方案所有功能要求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第三方通信设备接口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名称:集成接口，类别:冷机、锅炉、软水装置、水表、水泵，实现设计说明及技术方案所有功能要求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SNC网络控制引擎</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类型：SNC网络控制引擎，协议：BACnetIP,BACnetMS/TP, Modbus, KNX, OPC-UA;硬件参数：CPU≥1.0Ghz,SDRAM≥</w:t>
            </w:r>
            <w:r>
              <w:rPr>
                <w:rFonts w:hint="eastAsia" w:ascii="宋体" w:hAnsi="宋体" w:cs="宋体"/>
                <w:i w:val="0"/>
                <w:iCs w:val="0"/>
                <w:color w:val="000000"/>
                <w:sz w:val="18"/>
                <w:szCs w:val="18"/>
                <w:highlight w:val="none"/>
                <w:u w:val="none"/>
                <w:lang w:val="en-US" w:eastAsia="zh-CN" w:bidi="ar"/>
              </w:rPr>
              <w:t xml:space="preserve">1G</w:t>
            </w:r>
            <w:r>
              <w:rPr>
                <w:rFonts w:hint="eastAsia" w:ascii="宋体" w:hAnsi="宋体" w:eastAsia="宋体" w:cs="宋体"/>
                <w:i w:val="0"/>
                <w:iCs w:val="0"/>
                <w:color w:val="000000"/>
                <w:sz w:val="18"/>
                <w:szCs w:val="18"/>
                <w:highlight w:val="none"/>
                <w:u w:val="none"/>
                <w:lang w:val="en-US" w:eastAsia="zh-CN" w:bidi="ar"/>
              </w:rPr>
              <w:t xml:space="preserve">，RAM≥16G;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支持Object点:2500；认证：UL/CE，</w:t>
            </w:r>
            <w:r>
              <w:rPr>
                <w:rFonts w:hint="eastAsia" w:ascii="宋体" w:hAnsi="宋体" w:cs="宋体"/>
                <w:i w:val="0"/>
                <w:iCs w:val="0"/>
                <w:color w:val="000000"/>
                <w:sz w:val="18"/>
                <w:szCs w:val="18"/>
                <w:highlight w:val="none"/>
                <w:u w:val="none"/>
                <w:lang w:val="en-US" w:eastAsia="zh-CN" w:bidi="ar"/>
              </w:rPr>
              <w:t xml:space="preserve">投标人根据厂家技术参数灵活配置，但必须</w:t>
            </w:r>
            <w:r>
              <w:rPr>
                <w:rFonts w:hint="eastAsia" w:ascii="宋体" w:hAnsi="宋体" w:eastAsia="宋体" w:cs="宋体"/>
                <w:i w:val="0"/>
                <w:iCs w:val="0"/>
                <w:color w:val="000000"/>
                <w:sz w:val="18"/>
                <w:szCs w:val="18"/>
                <w:highlight w:val="none"/>
                <w:u w:val="none"/>
                <w:lang w:val="en-US" w:eastAsia="zh-CN" w:bidi="ar"/>
              </w:rPr>
              <w:t xml:space="preserve">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能耗监测系统中心管理设备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名称:能耗管理，规格:能源仪表板和报告，实现设计说明及技术方案所有功能要求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控制箱</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名称:冷机控制箱，DDC×2+IOM×3，DDC总线&amp;扩展模块IOM总线协议：BACnetMS/TP；BTL认证；DDC板载IO点位：≥</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6个，硬件参数：32位CPU,8MB SDRAM、16MB RAM，AI点分辨率：≥1</w:t>
            </w:r>
            <w:r>
              <w:rPr>
                <w:rFonts w:hint="eastAsia" w:ascii="宋体" w:hAnsi="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lang w:val="en-US" w:eastAsia="zh-CN" w:bidi="ar"/>
              </w:rPr>
              <w:t xml:space="preserve">位；DDC总线/扩展模块IOM总线协BACnetMS/TP；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认证：UL，实现设计说明及技术方案所有功能要求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名称:水泵控制箱，DDC×1+IOM×1；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DDC总线&amp;扩展模块IOM总线协议：BACnetMS/TP；BTL认证；DDC板载IO点位：≥</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6个，硬件参数：32位CPU,8MB SDRAM、16MB RAM，AI点分辨率：≥</w:t>
            </w:r>
            <w:r>
              <w:rPr>
                <w:rFonts w:hint="eastAsia" w:ascii="宋体" w:hAnsi="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位；认证：UL，实现设计说明及技术方案所有功能要求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名称:水阀控制箱，DDC×1+IOM×4；</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DDC总线&amp;扩展模块IOM总线协议：BACnetMS/TP；BTL认证；DDC板载IO点位：≥</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6个；硬件参数：32位CPU,8MB SDRAM、16MBRAM，AI点分辨率：≥1</w:t>
            </w:r>
            <w:r>
              <w:rPr>
                <w:rFonts w:hint="eastAsia" w:ascii="宋体" w:hAnsi="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lang w:val="en-US" w:eastAsia="zh-CN" w:bidi="ar"/>
              </w:rPr>
              <w:t xml:space="preserve">位；认证：UL，实现设计说明及技术方案所有功能要求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名称:冷却塔控制箱，DDC×1；DDC总线&amp;扩展模块IOM总线协议：BACnetMS/TP；BTL认证；DDC板载IO点位：≥</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6个，硬件参数：32位CPU,8MB SDRAM、16MB RAM，AI点分辨率：≥1</w:t>
            </w:r>
            <w:r>
              <w:rPr>
                <w:rFonts w:hint="eastAsia" w:ascii="宋体" w:hAnsi="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lang w:val="en-US" w:eastAsia="zh-CN" w:bidi="ar"/>
              </w:rPr>
              <w:t xml:space="preserve">位；认证：UL，实现设计说明及技术方案所有功能要求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名称：热源控制箱,DDC×1+IOM×2；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DDC总线&amp;扩展模块IOM总线协议：BACnetMS/TP；BTL认证；DDC板载IO点位：≥</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6个，硬件参数：32位CPU,8MB SDRAM、16MBRAM，AI点分辨率：≥1</w:t>
            </w:r>
            <w:r>
              <w:rPr>
                <w:rFonts w:hint="eastAsia" w:ascii="宋体" w:hAnsi="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lang w:val="en-US" w:eastAsia="zh-CN" w:bidi="ar"/>
              </w:rPr>
              <w:t xml:space="preserve">位；认证：UL，实现设计说明及技术方案所有功能要求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名称:网络控制器箱，规格:含箱体、空开、接线端子等，实现设计说明及技术方案所有功能要求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控制箱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名称:电动阀控制箱，规格:含箱体、空开、接线端子、手动开关等，实现设计说明及技术方案所有功能要求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温度传感器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名称:水管温度传感器，UL认证，符合实现设计说明及技术方案所有功能要求，并与系统同一品牌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TE系列水管温度传感器配件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名称：TE系列水管温度传感器配件，符合实现设计说明及技术方案所有功能要求，并与系统同一品牌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其他传感器及变送器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名称:液体压力变送器，</w:t>
            </w:r>
            <w:r>
              <w:rPr>
                <w:rFonts w:hint="eastAsia" w:ascii="宋体" w:hAnsi="宋体" w:cs="宋体"/>
                <w:i w:val="0"/>
                <w:iCs w:val="0"/>
                <w:color w:val="000000"/>
                <w:sz w:val="18"/>
                <w:szCs w:val="18"/>
                <w:u w:val="none"/>
                <w:lang w:val="en-US" w:eastAsia="zh-CN" w:bidi="ar"/>
              </w:rPr>
              <w:t xml:space="preserve">防护等级≥</w:t>
            </w:r>
            <w:r>
              <w:rPr>
                <w:rFonts w:hint="eastAsia" w:ascii="宋体" w:hAnsi="宋体" w:eastAsia="宋体" w:cs="宋体"/>
                <w:i w:val="0"/>
                <w:iCs w:val="0"/>
                <w:color w:val="000000"/>
                <w:sz w:val="18"/>
                <w:szCs w:val="18"/>
                <w:u w:val="none"/>
                <w:lang w:val="en-US" w:eastAsia="zh-CN" w:bidi="ar"/>
              </w:rPr>
              <w:t xml:space="preserve">IP65，UL认证，符合实现设计说明及技术方案所有功能要求，并与系统同一品牌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名称:水流开关，符合实现设计说明及技术方案所有功能要求，并与系统同一品牌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流量计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名称:管道式电磁流量计（冷水），符合实现设计说明及技术方案所有功能要求，并与系统同一品牌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流量计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名称:管道式电磁流量计（热水），符合实现设计说明及技术方案所有功能要求，并与系统同一品牌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名称:冷却塔集水盘温度，规格:0-50℃，符合实现设计说明及技术方案所有功能要求，并与系统同一品牌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液位开关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名称：液位开关，SPDT, 5m，实现设计说明及技术方案所有功能要求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传感器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名称:室外温湿度传感器，规格:室外温湿度传感器,湿度精度3%，4-20ma，实现设计说明及技术方案所有功能要求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类型:电动开关蝶阀，规格、压力等级:DN200，连接形式:PN16对夹连接, 球铁+</w:t>
            </w:r>
            <w:r>
              <w:rPr>
                <w:rFonts w:hint="eastAsia" w:ascii="宋体" w:hAnsi="宋体" w:cs="宋体"/>
                <w:i w:val="0"/>
                <w:iCs w:val="0"/>
                <w:color w:val="000000"/>
                <w:sz w:val="18"/>
                <w:szCs w:val="18"/>
                <w:u w:val="none"/>
                <w:lang w:val="en-US" w:eastAsia="zh-CN" w:bidi="ar"/>
              </w:rPr>
              <w:t xml:space="preserve">PA</w:t>
            </w: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cs="宋体"/>
                <w:i w:val="0"/>
                <w:iCs w:val="0"/>
                <w:color w:val="000000"/>
                <w:sz w:val="18"/>
                <w:szCs w:val="18"/>
                <w:u w:val="none"/>
                <w:lang w:val="en-US" w:eastAsia="zh-CN" w:bidi="ar"/>
              </w:rPr>
              <w:t xml:space="preserve">尼龙</w:t>
            </w:r>
            <w:r>
              <w:rPr>
                <w:rFonts w:hint="eastAsia" w:ascii="宋体" w:hAnsi="宋体" w:eastAsia="宋体" w:cs="宋体"/>
                <w:i w:val="0"/>
                <w:iCs w:val="0"/>
                <w:color w:val="000000"/>
                <w:sz w:val="18"/>
                <w:szCs w:val="18"/>
                <w:u w:val="none"/>
                <w:lang w:val="en-US" w:eastAsia="zh-CN" w:bidi="ar"/>
              </w:rPr>
              <w:t xml:space="preserve">涂层蝶板, 16bar工作压差，冷机进出水，符合实现设计说明及技术方案所有功能要求，并与系统同一品牌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类型:电动开关蝶阀，规格、压力等级:DN200，连接形式:PN16对夹连接, 球铁+</w:t>
            </w:r>
            <w:r>
              <w:rPr>
                <w:rFonts w:hint="eastAsia" w:ascii="宋体" w:hAnsi="宋体" w:cs="宋体"/>
                <w:i w:val="0"/>
                <w:iCs w:val="0"/>
                <w:color w:val="000000"/>
                <w:sz w:val="18"/>
                <w:szCs w:val="18"/>
                <w:u w:val="none"/>
                <w:lang w:val="en-US" w:eastAsia="zh-CN" w:bidi="ar"/>
              </w:rPr>
              <w:t xml:space="preserve">PA</w:t>
            </w: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cs="宋体"/>
                <w:i w:val="0"/>
                <w:iCs w:val="0"/>
                <w:color w:val="000000"/>
                <w:sz w:val="18"/>
                <w:szCs w:val="18"/>
                <w:u w:val="none"/>
                <w:lang w:val="en-US" w:eastAsia="zh-CN" w:bidi="ar"/>
              </w:rPr>
              <w:t xml:space="preserve">尼龙</w:t>
            </w:r>
            <w:r>
              <w:rPr>
                <w:rFonts w:hint="eastAsia" w:ascii="宋体" w:hAnsi="宋体" w:eastAsia="宋体" w:cs="宋体"/>
                <w:i w:val="0"/>
                <w:iCs w:val="0"/>
                <w:color w:val="000000"/>
                <w:sz w:val="18"/>
                <w:szCs w:val="18"/>
                <w:u w:val="none"/>
                <w:lang w:val="en-US" w:eastAsia="zh-CN" w:bidi="ar"/>
              </w:rPr>
              <w:t xml:space="preserve">涂层蝶板, 16bar工作压差，板换二次侧，符合实现设计说明及技术方案所有功能要求，并与系统同一品牌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类型:电动开关蝶阀，规格、压力等级:DN150，连接形式:PN16对夹连接, 球铁+尼龙11涂层蝶板, 16bar工作压差，冷却塔进出水，符合实现设计说明及技术方案所有功能要求，并与系统同一品牌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类型:电动压差旁通阀，规格、压力等级:DN300，连接形式:PN16对夹连接, 球铁+</w:t>
            </w:r>
            <w:r>
              <w:rPr>
                <w:rFonts w:hint="eastAsia" w:ascii="宋体" w:hAnsi="宋体" w:cs="宋体"/>
                <w:i w:val="0"/>
                <w:iCs w:val="0"/>
                <w:color w:val="000000"/>
                <w:sz w:val="18"/>
                <w:szCs w:val="18"/>
                <w:u w:val="none"/>
                <w:lang w:val="en-US" w:eastAsia="zh-CN" w:bidi="ar"/>
              </w:rPr>
              <w:t xml:space="preserve">PA</w:t>
            </w: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cs="宋体"/>
                <w:i w:val="0"/>
                <w:iCs w:val="0"/>
                <w:color w:val="000000"/>
                <w:sz w:val="18"/>
                <w:szCs w:val="18"/>
                <w:u w:val="none"/>
                <w:lang w:val="en-US" w:eastAsia="zh-CN" w:bidi="ar"/>
              </w:rPr>
              <w:t xml:space="preserve">尼龙</w:t>
            </w:r>
            <w:r>
              <w:rPr>
                <w:rFonts w:hint="eastAsia" w:ascii="宋体" w:hAnsi="宋体" w:eastAsia="宋体" w:cs="宋体"/>
                <w:i w:val="0"/>
                <w:iCs w:val="0"/>
                <w:color w:val="000000"/>
                <w:sz w:val="18"/>
                <w:szCs w:val="18"/>
                <w:u w:val="none"/>
                <w:lang w:val="en-US" w:eastAsia="zh-CN" w:bidi="ar"/>
              </w:rPr>
              <w:t xml:space="preserve">涂层蝶板, 16bar工作压差，符合实现设计说明及技术方案所有功能要求，并与系统同一品牌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类型:板换电动三通调节，规格、压力等级:DN150，连接形式:法兰连接, 球墨铸铁阀体, 不锈钢阀芯阀杆,符合实现设计说明及技术方案所有功能要求，并与系统同一品牌</w:t>
            </w:r>
            <w:r>
              <w:rPr>
                <w:rFonts w:hint="eastAsia"/>
              </w:rPr>
              <w:t xml:space="preserve">。</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按设计要求及图纸要求能够实现全部功能的各种配管、各种配线、各种辅材、桥架（含支架及支架油漆）、各种辅材及其他配件，实现设计说明及技术方案所有功能要求，投标人自行踏勘现场，费用包干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通风工程检测、调试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实现设计说明及技术方案所有功能要求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热水锅炉拆除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拆除原全预混低氮冷凝燃气常压热水锅炉，锅炉本体（含炉体、保温层），配套燃烧器、控制线、仪表阀门等设备，炉体一次门以内的连接附件等，场内搬运、垃圾清运、现场清理，由投标人自行踏勘现场，费用包干，结算不调整，报价需考虑残值回收费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锅炉一次侧智能循环泵组拆除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拆除原锅炉一次侧智能循环泵组（泵体整体拆除），泵体、电机、阀门、压力表、温度计、流量计、传感器、控制柜、地脚螺栓、配套短管、泵组连接件、支架等设备，人工配合机械拆除、非破坏性拆解，设备解体、管线断开、螺栓切割，拆卸、设备搬运至指定堆放地点，现场清理、垃圾清运，符合安全文明施工规范，不得破坏周边结构及管线，由投标人自行踏勘现场，费用包干，结算不调整，报价需考虑残值回收费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冷(热)水智能循环泵组拆除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拆除原冷(热)水智能循环泵组拆除，泵泵体、电机、阀门、压力表、温度计、流量计、传感器、控制柜、地脚螺栓、配套短管、泵组连接件、支架等设备，人工配合机械拆除、非破坏性拆解，设备解体、管线断开、螺栓切割，拆卸、设备搬运至指定堆放地点，现场清理、垃圾清运，符合安全文明施工规范，不得破坏周边结构及管线，由投标人自行踏勘现场，费用包干，结算不调整，报价需考虑残值回收费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冷却水智能循环泵组拆除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拆除冷却水智能循环泵组拆除，泵体、电机、阀门、压力表、温度计、流量计、传感器、控制柜、地脚螺栓、配套短管、泵组连接件、支架等设备，人工配合机械拆除、非破坏性拆解，设备解体、管线断开、螺栓切割，拆卸、设备搬运至指定堆放地点，现场清理、垃圾清运，符合安全文明施工规范，不得破坏周边结构及管线，由投标人自行踏勘现场，费用包干，结算不调整，报价需考虑残值回收费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种类、材质:空调供水管，管道规格:根据现场实际情况确定，含管道、管件、管道上阀门、保温层、支吊架等拆除，切割、清理、搬运至指定地点，建筑垃圾清运，报价需考虑残值回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种类、材质:空调回水管，管道规格:根据现场实际情况确定，含管道、管件、管道上阀门、保温层、支吊架等拆除，切割、清理、搬运至指定地点，建筑垃圾清运，报价需考虑残值回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管道种类、材质:空调冷凝水管，管道规格:根据现场实际情况确定，含管道、管件、管道上阀门、保温层、支吊架等拆除，切割、清理、搬运至指定地点，建筑垃圾清运，报价需考虑残值回收费用 ，投标人自行踏勘现场，综合考虑报价，结算不调整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风机盘管拆除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原吊顶内风机盘机组管拆除，保护性拆除，含设备本体、连接软接、阀门、过滤器、支吊架拆除、电气线路及控制接线拆除，切割、清理、分类堆放，搬运至建设单位指定地点，确保设备完好可二次利用，由投标人自行踏勘现场，费用包干，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拆除、安装、恢复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拆除的基层类型:拆除天棚吊顶，拆除面层:具体材质由投标人自行踏勘现场，以现场实际为准，同步拆除:随天棚拆除一并拆除喷淋头、感烟探测器、灯具、路由器、监控</w:t>
            </w:r>
            <w:r>
              <w:rPr>
                <w:rFonts w:hint="eastAsia" w:ascii="宋体" w:hAnsi="宋体" w:eastAsia="宋体" w:cs="宋体"/>
                <w:i w:val="0"/>
                <w:iCs w:val="0"/>
                <w:color w:val="000000"/>
                <w:sz w:val="18"/>
                <w:szCs w:val="18"/>
                <w:u w:val="none"/>
                <w:lang w:val="en-US" w:eastAsia="zh-CN" w:bidi="ar"/>
              </w:rPr>
              <w:t xml:space="preserve">等不可预见的全部设备，拆除要求:拆除时对可利用的材料进行保护、分类堆放，恢复内容:待施工完毕后所有天棚需按原尺寸、原做法恢复吊顶（含吊顶、龙骨、面层），达到原状标准，灯具、喷淋头、感烟探测器、路由器、监控等所有原附着于天棚的设备全部安装到位，拆除时涉及到天棚内的管线、分线盒、空调出风口、回风口拆除后需原样恢复，拆除及安装过程中，若造成原有铝板、石膏板、矿棉板等所有天棚、灯具、喷淋头、感烟探测器、吊筋、龙骨、路由器、监控、配件等不可预见的需拆除的内容损坏，或原有材料因老化、破损无法复用，所有损坏材料均由中标人</w:t>
            </w:r>
            <w:r>
              <w:rPr>
                <w:rFonts w:hint="eastAsia" w:ascii="宋体" w:hAnsi="宋体" w:eastAsia="宋体" w:cs="宋体"/>
                <w:i w:val="0"/>
                <w:iCs w:val="0"/>
                <w:color w:val="000000"/>
                <w:sz w:val="18"/>
                <w:szCs w:val="18"/>
                <w:u w:val="none"/>
                <w:lang w:val="en-US" w:eastAsia="zh-CN" w:bidi="ar"/>
              </w:rPr>
              <w:t xml:space="preserve">自行采购、更换、补齐，采购的材料需满足设计规范要求，质量不低于原有材料，颜色同原材料，由此产生的采购费、运输费、安装费、人工费等全部费用均包含在报价中，招标人不另行支付任何费用，投标单位根据符合规定的拆除方案拆除、维修、恢复，如中标单位为了维修的需要采用破坏性拆除，其恢复费用由中标单位承担；涉及空调机组需要拆除维修后重新安装的，或者拆除后致设备损坏需要大修或者更换的，由中标单位综合考虑，费用包含在报价中，报价含石膏板吊顶刷乳胶漆费用，报价含拆除脚手架及修复脚手架，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墙面防护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施工范围内所有的墙面需保护，投标人自行踏勘现场，综合考虑报价，结算不调整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墙面刷新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施工时涉及到墙面的损坏，需要对墙面原样恢复，含脚手架费用，投标人自行踏勘现场，综合考虑报价，结算不调整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线路改造</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原有空调线路、循环泵组线路、锅炉线路改造等，改造后需达到使用要求，由投标人自行踏勘现场，费用包干，结算不调整，报价需考虑残值回收费用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设备改造费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原冷水机组等设备需纳入群控系统改造费，由投标人自行踏勘现场，费用包干，结算不调整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开墙洞、楼板洞、其他开洞、洞口加固、防火封堵及修补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开墙洞、楼板洞、其他开洞、洞口加固、防火封堵及修补，备注：含切割、清渣、洞口边缘打磨平整、洞口周边修边、加固、封堵，由投标人自行踏勘现场，费用包干，结算不调整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垃圾外运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垃圾清运材质:建筑垃圾，投标人综合考虑，运距：投标人自行考虑，投标人充分踏勘现场、自主报价、包干价、结算不调整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160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40.16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110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22.57</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90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139.05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75，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36.05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63，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78.49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50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22.55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40，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36.82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32，连接形式:智能电磁双热熔焊接连接，管卡材质:按设计规范，管道消毒、冲洗:按设计及验收规范要求，安装部位:室内，介质:供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157.63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160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38.65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110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29.46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90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160.38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75，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63，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80.33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50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21.77</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40，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49.3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复合管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e-PSP钢塑复合压力管，规格:dn32，连接形式:智能电磁双热熔焊接连接，管卡材质:按设计规范，管道消毒、冲洗:按设计及验收规范要求，安装部位:室内，介质:回水管，采用配套U型承插槽双热熔管件，含管件、三通、弯头、直接、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151.71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加厚防火型U-PVC管，规格:DN50，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81.79</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加厚防火型U-PVC管，规格:DN32，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177.65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加厚防火型U-PVC管，规格:DN25，连接形式:粘结，管道消毒、冲洗:按设计及验收规范要求，安装部位:室内，介质:冷凝管，含管件、三通、弯头、套管等，含管道支架、吊架，管道及其支吊架，均应在彻底除锈后刷防锈漆两遍，支架还应刷色漆两遍，工程量:清单按设计图示标注尺寸计算，投标报价需考虑管道交叉需上翻或下翻所增加的管道长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213.16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名称:固定支架，规格:综合考虑，支架形式:按设计要求，管道固定，不允许移位，制作、安装、除锈、刷防锈漆两遍、色漆两遍，满足设计及施工规范要求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113.73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支/吊架、基础型钢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名称:滑动支架，材质:型钢，规格:综合考虑，工作内容:制作、安装、校正、固定，防腐处理:除锈、刷防锈漆两遍、色漆两遍，满足管道热胀冷缩移位要求，符合施工验收规范及设计要求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827.53</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绝热材料品种:难燃B1级橡塑发泡保温管壳，绝热厚度:20mm，管道外径:≤57mm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4.54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绝热材料品种:难燃B1级橡塑发泡保温管壳，绝热厚度:28mm，管道外径:≤57mm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绝热材料品种:难燃B1级橡塑发泡保温管壳，绝热厚度:32mm，管道外径:≤133mm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10.51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其他管道绝热</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绝热材料品种:难燃B1级橡塑发泡保温管壳，绝热厚度:36mm，管道外径:≤325mm</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类型:水管温控电动调节阀，规格、压力等级:DN80，连接形式:法兰连接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类型:水管温控电动调节阀，规格、压力等级:DN50，连接形式:法兰连接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类型:水管电动二通调节阀，规格、压力等级:DN32，连接形式:螺纹连接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类型:水管电动二通调节阀，规格、压力等级:DN25，连接形式:螺纹连接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类型:水管蝶阀，规格、压力等级:DN150，连接形式:法兰连接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类型:水管蝶阀，规格、压力等级:DN100，连接形式:法兰连接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类型:水管闸阀，规格、压力等级:DN80，连接形式:法兰连接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类型:水管闸阀，规格、压力等级:DN50，连接形式:法兰连接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类型:水管闸阀，规格、压力等级:DN32，连接形式:螺纹连接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类型:水管截止阀，规格、压力等级:DN25，连接形式:螺纹连接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类型:泄水阀，规格、压力等级:DN32，连接形式:螺纹连接</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金属阀门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类型:自动排气阀(带自闭阀），规格、压力等级:DN15，连接形式:螺纹连接，备注:自动排气阀处如有天花需设置500*500mm检修口，备注:符合图纸及规范要求</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名称:Y型过滤器，规格:DN80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名称:Y型过滤器，规格:DN50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名称:Y型过滤器，规格:DN32</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过滤器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名称:Y型过滤器，规格:DN25</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材质:金属软接头，规格:DN80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材质:金属软接头，规格:DN75</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材质:金属软接头，规格:DN63</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材质:金属软接头，规格:DN50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材质:金属软接头，规格:DN40</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材质:金属软接头，规格:DN32</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软接头(软管)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材质:金属软接头，规格:DN25</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1061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压力仪表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名称:压力表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温度仪表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名称:温度计</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种类、材质:空调供水管，管道规格:根据现场实际情况确定，含管道、管件、管道上阀门、保温层、支吊架等拆除，切割、清理、搬运至指定地点，建筑垃圾清运，报价需考虑残值回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种类、材质:空调回水管，管道规格:根据现场实际情况确定，含管道、管件、管道上阀门、保温层、支吊架等拆除，切割、清理、搬运至指定地点，建筑垃圾清运，报价需考虑残值回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管道拆除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种类、材质:空调冷凝水管，管道规格:根据现场实际情况定，含管道、管件、管道上阀门、保温层、支吊架等拆除，切割、清理、搬运至指定地点，建筑垃圾清运，报价需考虑残值回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拆除、安装、恢复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拆除的基层类型:拆除天棚吊顶，拆除面层:具体材质由投标人自行踏勘现场，以现场实际为准，同步拆除:随天棚拆除一并拆除喷淋头、感烟探测器、灯具、路由器、监控</w:t>
            </w:r>
            <w:r>
              <w:rPr>
                <w:rFonts w:hint="eastAsia" w:ascii="宋体" w:hAnsi="宋体" w:eastAsia="宋体" w:cs="宋体"/>
                <w:i w:val="0"/>
                <w:iCs w:val="0"/>
                <w:color w:val="000000"/>
                <w:sz w:val="18"/>
                <w:szCs w:val="18"/>
                <w:u w:val="none"/>
                <w:lang w:val="en-US" w:eastAsia="zh-CN" w:bidi="ar"/>
              </w:rPr>
              <w:t xml:space="preserve">等不可预见的全部设备，拆除要求:拆除时对可利用的材料进行保护、分类堆放，恢复内容:待施工完毕后所有天棚需按原尺寸、原做法恢复吊顶（含吊顶、龙骨、面层），达到原状标准，灯具、喷淋头、感烟探测器、路由器、监控等所有原附着于天棚的设备全部安装到位，拆除时涉及到天棚内的管线、分线盒、空调出风口、回风口拆除后需原样恢复，拆除及安装过程中，若造成原有铝板、石膏板、矿棉板等所有天棚、灯具、喷淋头、感烟探测器、吊筋、龙骨、路由器、监控、配件等不可预见的需拆除的内容损坏，或原有材料因老化、破损无法复用，所有损坏材料均由中标人</w:t>
            </w:r>
            <w:r>
              <w:rPr>
                <w:rFonts w:hint="eastAsia" w:ascii="宋体" w:hAnsi="宋体" w:eastAsia="宋体" w:cs="宋体"/>
                <w:i w:val="0"/>
                <w:iCs w:val="0"/>
                <w:color w:val="000000"/>
                <w:sz w:val="18"/>
                <w:szCs w:val="18"/>
                <w:u w:val="none"/>
                <w:lang w:val="en-US" w:eastAsia="zh-CN" w:bidi="ar"/>
              </w:rPr>
              <w:t xml:space="preserve">自行采购、更换、补齐，采购的材料需满足设计规范要求，质量不低于原有材料，颜色同原材料，由此产生的采购费、运输费、安装费、人工费等全部费用均包含在报价中，招标人不另行支付任何费用，投标单位根据符合规定的拆除方案拆除、维修、恢复，如中标单位为了维修的需要采用破坏性拆除，其恢复费用由中标单位承担；涉及空调机组需要拆除维修后重新安装的，或者拆除后致设备损坏需要大修或者更换的，由中标单位综合考虑，费用包含在报价中，报价含石膏板吊顶刷乳胶漆费用，报价含拆除脚手架及修复脚手架，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墙面防护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施工范围内所有的墙面需保护，投标人自行踏勘现场，综合考虑报价，结算不调整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墙面刷新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施工时涉及到墙面的损坏，需要对墙面原样恢复，含脚手架费用，投标人自行踏勘现场，综合考虑报价，结算不调整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163</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线路改造</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原有空调线路改造等，改造后需达到使用要求，由投标人自行踏勘现场，费用包干，结算不调整，报价需考虑残值回收费用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开墙洞、楼板洞、其他开洞、洞口加固、防火封堵及修补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开墙洞、楼板洞、其他开洞、洞口加固、防火封堵及修补，备注：含切割、清渣、洞口边缘打磨平整、洞口周边修边、加固、封堵，由投标人自行踏勘现场，费用包干，结算不调整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垃圾外运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垃圾清运材质:建筑垃圾，投标人综合考虑，运距：投标人自行考虑，投标人充分踏勘现场、自主报价、包干价、结算不调整</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暂列金额（报价时此价格不得下浮，最终使用由招标人掌握使用）</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763000.00 </w:t>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763000.00 </w:t>
            </w:r>
            <w:r/>
          </w:p>
        </w:tc>
      </w:tr>
      <w:tr>
        <w:trPr>
          <w:trHeight w:val="23"/>
        </w:trPr>
        <w:tc>
          <w:tcPr>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58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合计</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30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特别说明：</w:t>
      </w:r>
      <w:r>
        <w:rPr>
          <w:rFonts w:hint="eastAsia" w:ascii="宋体" w:hAnsi="宋体" w:cs="宋体"/>
          <w:b w:val="0"/>
          <w:bCs w:val="0"/>
          <w:color w:val="000000"/>
          <w:sz w:val="24"/>
          <w:szCs w:val="24"/>
          <w:highlight w:val="none"/>
        </w:rPr>
        <w:t xml:space="preserve">全费用综合单价包含人工费、材料费、机械费、管理费、利润、风险费、增值税、措施费（建筑超高增加费，人工降效，垂直运输，大型机械进退场费、脚手架，夜间施工、利用夜间施工措施费、特殊施工降效、交通组织维护、安全生产、文明施工、环境保护、临时设施、冬雨季施工、已完工程及设备保护、建筑工人实名制等措施费等）；暂列金额按763000.00元（报价时此价格不得下浮，最终费用使用由招标人掌握使用）。</w:t>
      </w:r>
      <w:r/>
    </w:p>
    <w:p>
      <w:pPr>
        <w:jc w:val="lef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备注：</w:t>
      </w:r>
      <w:r/>
    </w:p>
    <w:p>
      <w:pPr>
        <w:numPr>
          <w:ilvl w:val="0"/>
          <w:numId w:val="5"/>
        </w:num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本项目为总价包干项目，供应商需自行考虑与本项目实施相关的所有材料及相关费用，不得以清单中未列为由要求甲方增补；</w:t>
      </w:r>
      <w:r/>
    </w:p>
    <w:p>
      <w:pPr>
        <w:numPr>
          <w:ilvl w:val="0"/>
          <w:numId w:val="5"/>
        </w:numPr>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清单中技术要求未列明的详见图纸，本项目图纸作为重要技术文件，请各单位自行下载认真查看，后期不得以不了解</w:t>
      </w:r>
      <w:r>
        <w:rPr>
          <w:rFonts w:hint="eastAsia" w:ascii="宋体" w:hAnsi="宋体" w:cs="宋体"/>
          <w:b w:val="0"/>
          <w:bCs w:val="0"/>
          <w:color w:val="000000"/>
          <w:sz w:val="24"/>
          <w:szCs w:val="24"/>
          <w:highlight w:val="none"/>
        </w:rPr>
        <w:t xml:space="preserve">为由</w:t>
      </w:r>
      <w:r>
        <w:rPr>
          <w:rFonts w:hint="eastAsia" w:ascii="宋体" w:hAnsi="宋体" w:cs="宋体"/>
          <w:b w:val="0"/>
          <w:bCs w:val="0"/>
          <w:color w:val="000000"/>
          <w:sz w:val="24"/>
          <w:szCs w:val="24"/>
          <w:highlight w:val="none"/>
          <w:lang w:eastAsia="zh-CN"/>
        </w:rPr>
        <w:t xml:space="preserve">要求甲方增补</w:t>
      </w:r>
      <w:r>
        <w:rPr>
          <w:rFonts w:hint="eastAsia" w:ascii="宋体" w:hAnsi="宋体" w:cs="宋体"/>
          <w:b w:val="0"/>
          <w:bCs w:val="0"/>
          <w:color w:val="000000"/>
          <w:sz w:val="24"/>
          <w:szCs w:val="24"/>
          <w:highlight w:val="none"/>
        </w:rPr>
        <w:t xml:space="preserve">费用</w:t>
      </w:r>
      <w:r>
        <w:rPr>
          <w:rFonts w:hint="eastAsia" w:ascii="宋体" w:hAnsi="宋体" w:cs="宋体"/>
          <w:b w:val="0"/>
          <w:bCs w:val="0"/>
          <w:color w:val="000000"/>
          <w:sz w:val="24"/>
          <w:szCs w:val="24"/>
          <w:highlight w:val="none"/>
          <w:lang w:eastAsia="zh-CN"/>
        </w:rPr>
        <w:t xml:space="preserve">；</w:t>
      </w:r>
      <w:r/>
    </w:p>
    <w:p>
      <w:pPr>
        <w:numPr>
          <w:ilvl w:val="0"/>
          <w:numId w:val="5"/>
        </w:numPr>
        <w:ind w:left="0" w:firstLine="0"/>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采购需求中涉及相关证明材料</w:t>
      </w:r>
      <w:r>
        <w:rPr>
          <w:rFonts w:ascii="宋体" w:hAnsi="宋体" w:cs="宋体"/>
          <w:b w:val="0"/>
          <w:bCs w:val="0"/>
          <w:color w:val="000000"/>
          <w:sz w:val="24"/>
          <w:szCs w:val="24"/>
          <w:highlight w:val="none"/>
        </w:rPr>
        <w:t xml:space="preserve">，作为签订合同必要文件，</w:t>
      </w:r>
      <w:r>
        <w:rPr>
          <w:rFonts w:hint="eastAsia" w:ascii="宋体" w:hAnsi="宋体" w:cs="宋体"/>
          <w:b w:val="0"/>
          <w:bCs w:val="0"/>
          <w:color w:val="000000"/>
          <w:sz w:val="24"/>
          <w:szCs w:val="24"/>
          <w:highlight w:val="none"/>
        </w:rPr>
        <w:t xml:space="preserve">签订时</w:t>
      </w:r>
      <w:r>
        <w:rPr>
          <w:rFonts w:ascii="宋体" w:hAnsi="宋体" w:cs="宋体"/>
          <w:b w:val="0"/>
          <w:bCs w:val="0"/>
          <w:color w:val="000000"/>
          <w:sz w:val="24"/>
          <w:szCs w:val="24"/>
          <w:highlight w:val="none"/>
        </w:rPr>
        <w:t xml:space="preserve">如提供不全或不相符，视为无实质性响应，采购人有权取消</w:t>
      </w:r>
      <w:r>
        <w:rPr>
          <w:rFonts w:hint="eastAsia" w:ascii="宋体" w:hAnsi="宋体" w:cs="宋体"/>
          <w:b w:val="0"/>
          <w:bCs w:val="0"/>
          <w:color w:val="000000"/>
          <w:sz w:val="24"/>
          <w:szCs w:val="24"/>
          <w:highlight w:val="none"/>
        </w:rPr>
        <w:t xml:space="preserve">成交</w:t>
      </w:r>
      <w:r>
        <w:rPr>
          <w:rFonts w:ascii="宋体" w:hAnsi="宋体" w:cs="宋体"/>
          <w:b w:val="0"/>
          <w:bCs w:val="0"/>
          <w:color w:val="000000"/>
          <w:sz w:val="24"/>
          <w:szCs w:val="24"/>
          <w:highlight w:val="none"/>
        </w:rPr>
        <w:t xml:space="preserve">人资格。</w:t>
      </w:r>
      <w:r/>
    </w:p>
    <w:p>
      <w:pPr>
        <w:numPr>
          <w:ilvl w:val="0"/>
          <w:numId w:val="5"/>
        </w:numPr>
        <w:ind w:left="0" w:firstLine="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本项目实施过程中因顶棚区域内有电信、移动、广电、消防、强电等各类管线，供应商进场后采购人仅提供各方联系方式，实施过程中具体沟通及由此产生的费用由供应商自行承担，采购人不增补任何费用；</w:t>
      </w:r>
      <w:r/>
    </w:p>
    <w:p>
      <w:pPr>
        <w:numPr>
          <w:ilvl w:val="0"/>
          <w:numId w:val="5"/>
        </w:numPr>
        <w:ind w:left="0" w:firstLine="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本项目暖通管道维修中涉及旧设备、旧材料拆除，拆除的残值由供应商自行处理，采购人不增补任何费用；</w:t>
      </w:r>
      <w:r/>
    </w:p>
    <w:p>
      <w:pPr>
        <w:numPr>
          <w:ilvl w:val="0"/>
          <w:numId w:val="5"/>
        </w:numPr>
        <w:ind w:left="0" w:firstLine="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本项目实施期间要求不停产施工，因大楼日常需正常办公，作业空间有限（供应商须自行踏勘现场，了解现状），供应商需综合考虑实施期间的夜间、休息日等特殊时间作业，相关费用包含在项目总费用中，后期采购人不增加任何费用。</w:t>
      </w:r>
      <w:r/>
    </w:p>
    <w:p>
      <w:pPr>
        <w:spacing w:line="0" w:lineRule="atLeast"/>
        <w:rPr>
          <w:rFonts w:hint="eastAsia" w:ascii="宋体" w:hAnsi="宋体" w:eastAsia="宋体" w:cs="Times New Roman"/>
          <w:b/>
          <w:bCs/>
          <w:color w:val="000000"/>
          <w:sz w:val="24"/>
          <w:szCs w:val="24"/>
          <w:highlight w:val="none"/>
          <w:lang w:val="en-US" w:eastAsia="zh-CN"/>
        </w:rPr>
      </w:pPr>
      <w:r/>
      <w:bookmarkStart w:id="178" w:name="_Toc116554391"/>
      <w:r>
        <w:rPr>
          <w:rFonts w:hint="eastAsia" w:ascii="宋体" w:hAnsi="宋体" w:eastAsia="宋体" w:cs="Times New Roman"/>
          <w:b/>
          <w:bCs/>
          <w:color w:val="000000"/>
          <w:sz w:val="24"/>
          <w:szCs w:val="24"/>
          <w:highlight w:val="none"/>
          <w:lang w:val="en-US" w:eastAsia="zh-CN"/>
        </w:rPr>
        <w:t xml:space="preserve">3.2冷热源群控系统</w:t>
      </w:r>
      <w:bookmarkEnd w:id="178"/>
      <w:r>
        <w:rPr>
          <w:rFonts w:hint="eastAsia" w:ascii="宋体" w:hAnsi="宋体" w:eastAsia="宋体" w:cs="Times New Roman"/>
          <w:b/>
          <w:bCs/>
          <w:color w:val="000000"/>
          <w:sz w:val="24"/>
          <w:szCs w:val="24"/>
          <w:highlight w:val="none"/>
          <w:lang w:val="en-US" w:eastAsia="zh-CN"/>
        </w:rPr>
        <w:t xml:space="preserve">技术标准及相关要求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bookmarkStart w:id="179" w:name="_Toc116554392"/>
      <w:r>
        <w:rPr>
          <w:rFonts w:hint="eastAsia" w:ascii="宋体" w:hAnsi="宋体" w:eastAsia="宋体" w:cs="Times New Roman"/>
          <w:color w:val="000000"/>
          <w:sz w:val="24"/>
          <w:szCs w:val="24"/>
          <w:highlight w:val="none"/>
          <w:lang w:val="en-US" w:eastAsia="zh-CN"/>
        </w:rPr>
        <w:t xml:space="preserve">3.2.1</w:t>
      </w:r>
      <w:r>
        <w:rPr>
          <w:rFonts w:hint="eastAsia" w:ascii="宋体" w:hAnsi="宋体" w:eastAsia="宋体" w:cs="Times New Roman"/>
          <w:color w:val="000000"/>
          <w:sz w:val="24"/>
          <w:szCs w:val="24"/>
          <w:highlight w:val="none"/>
          <w:lang w:val="it-IT" w:eastAsia="zh-CN"/>
        </w:rPr>
        <w:t xml:space="preserve">总则</w:t>
      </w:r>
      <w:bookmarkEnd w:id="179"/>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3.2.1</w:t>
      </w:r>
      <w:r>
        <w:rPr>
          <w:rFonts w:hint="eastAsia" w:ascii="宋体" w:hAnsi="宋体" w:eastAsia="宋体" w:cs="Times New Roman"/>
          <w:color w:val="000000"/>
          <w:sz w:val="24"/>
          <w:szCs w:val="24"/>
          <w:highlight w:val="none"/>
          <w:lang w:val="it-IT" w:eastAsia="zh-CN"/>
        </w:rPr>
        <w:t xml:space="preserve">.1设计依据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整个BA系统的深化设计、施工需遵循有关国家标准、规范，满足但不限于以下技术标准、规范及技术要求，且以最新版为准：</w:t>
      </w:r>
      <w:r/>
    </w:p>
    <w:p>
      <w:pPr>
        <w:ind w:firstLine="480"/>
        <w:keepLines w:val="0"/>
        <w:keepNext w:val="0"/>
        <w:pageBreakBefore w:val="0"/>
        <w:spacing w:line="0" w:lineRule="atLeas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《数据中心的电信基础设施标准》（TIA/EIA942）等，具体根据本项目设计图纸。</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以及本项目暖通（HVAC）、给排水、供配电专业对BA专业所提的技术要求。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3.2.1</w:t>
      </w:r>
      <w:r>
        <w:rPr>
          <w:rFonts w:hint="eastAsia" w:ascii="宋体" w:hAnsi="宋体" w:eastAsia="宋体" w:cs="Times New Roman"/>
          <w:color w:val="000000"/>
          <w:sz w:val="24"/>
          <w:szCs w:val="24"/>
          <w:highlight w:val="none"/>
          <w:lang w:val="it-IT" w:eastAsia="zh-CN"/>
        </w:rPr>
        <w:t xml:space="preserve">.2设计原则</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用先进、安全、可靠、节能的自控系统和设备，控制逻辑要精练、灵活。系统配置需遵循开放性原则，各系统提供的软件、硬件、操作系统和数据库管理系统等诸多方面的接口与工具，使系统具备良好的灵活性、兼容性和可移植性。系统提供向上和向下集成接口，符合开放式的设计标准，支持目前业界广泛支持的 OPC server标准。可对外提供各种通讯协议及接口，如：OPC、ODBC 等，完全实现与第三方系统的对接，传递各种监控及报警信息。</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系统可根据室外环境情况，自动选择最合理、稳定、节能的控制模式，并且根据末端负荷情况，自动分配系统各设备的运行状态及加减载运行。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系统投标人必须对图纸的可实施性进行评估，优化整体方案，并从各方面深化施工图纸细节，能满足招标人运行要求，可根据招标人需求修改软硬件和系统升级。</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BAS包含以下系统，其中由DDC通过I/O直接采集及监控的内容如下：冷源群控系统、热源群控系统。</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以第三方高阶通讯接口采集的系统如下：冷冻机组、变频水泵、软水装置，以及锅炉、水表。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3.2.1</w:t>
      </w:r>
      <w:r>
        <w:rPr>
          <w:rFonts w:hint="eastAsia" w:ascii="宋体" w:hAnsi="宋体" w:eastAsia="宋体" w:cs="Times New Roman"/>
          <w:color w:val="000000"/>
          <w:sz w:val="24"/>
          <w:szCs w:val="24"/>
          <w:highlight w:val="none"/>
          <w:lang w:val="it-IT" w:eastAsia="zh-CN"/>
        </w:rPr>
        <w:t xml:space="preserve">.3系统内容</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①冷冻站自控</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冷</w:t>
      </w:r>
      <w:bookmarkStart w:id="180" w:name="OLE_LINK1"/>
      <w:r>
        <w:rPr>
          <w:rFonts w:hint="eastAsia" w:ascii="宋体" w:hAnsi="宋体" w:eastAsia="宋体" w:cs="Times New Roman"/>
          <w:color w:val="000000"/>
          <w:sz w:val="24"/>
          <w:szCs w:val="24"/>
          <w:highlight w:val="none"/>
          <w:lang w:val="en-US" w:eastAsia="zh-CN"/>
        </w:rPr>
        <w:t xml:space="preserve">冻站自控系统主要对以下设备进行监测和控制，设备包括：冷水主机、水泵（冷冻水泵、冷却水泵）、冷却塔（风机）、电动阀门（含供电和控制）、水处理设备、水箱、水表、流量、管道压力、温度等。通过控制器将各设备的控制和状态接入对应运维监控室进行远程监测和控制</w:t>
      </w:r>
      <w:bookmarkEnd w:id="180"/>
      <w:r>
        <w:rPr>
          <w:rFonts w:hint="eastAsia"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②热源系统控制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热源自控系统主要对以下设备进行监测和控制，设备包括：热水锅炉、水热水循环泵、热水板换、水箱、流量、管道压力、温度等。通过控制器将各设备的控制和状态接入对应运维监控室进行远程监测和控制。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3.2.1</w:t>
      </w:r>
      <w:r>
        <w:rPr>
          <w:rFonts w:hint="eastAsia" w:ascii="宋体" w:hAnsi="宋体" w:eastAsia="宋体" w:cs="Times New Roman"/>
          <w:color w:val="000000"/>
          <w:sz w:val="24"/>
          <w:szCs w:val="24"/>
          <w:highlight w:val="none"/>
          <w:lang w:val="it-IT" w:eastAsia="zh-CN"/>
        </w:rPr>
        <w:t xml:space="preserve">.4系统架构</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暖通自控系统采用“集散式”三层系统结构，满足全天24小时运行，自动故障报警监测。通过TCP/IP协议对暖通和环境设备进行实时的监测和控制。建立可扩容的整体平台，在满足现有需求的同时，兼顾不断增长的需求，方便实现新设备、新系统的在线接入。</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3.2.1</w:t>
      </w:r>
      <w:r>
        <w:rPr>
          <w:rFonts w:hint="eastAsia" w:ascii="宋体" w:hAnsi="宋体" w:eastAsia="宋体" w:cs="Times New Roman"/>
          <w:color w:val="000000"/>
          <w:sz w:val="24"/>
          <w:szCs w:val="24"/>
          <w:highlight w:val="none"/>
          <w:lang w:val="it-IT" w:eastAsia="zh-CN"/>
        </w:rPr>
        <w:t xml:space="preserve">.5系统主要技术要求及功能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①主要技术需求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系统投标人实施时必须遵循（但并不仅限于）以下各项主要技术需求。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1.系统可根据环境温度、大气情况、温度、压力、压差等对冷冻站系统自动选择（冷机、预冷、自然冷却等）模式和加减载，以及故障自动切换、轮循的需求；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2.冷却塔变频风机要合理控制，确保最大程度使用冷却塔的散热能力，以减少冷水主机冷却侧的负荷；</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3.在监控室可以清晰的看到各个设备状态及对系统可以自动选择合适的模式，自动加减载和调节设备运行频率；</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4.控制逻辑不仅要考虑满载情况下各季节的运行模式，而且还需考虑负荷较低及断电时系统的运行模式和状态；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5.单个DDC的故障不能影响其他DDC的正常工作，DDC通讯口光电隔离。</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6.DDC控制器应具有充分的灵活性、扩展性。连接于控制总线上的DDC控制器应可通过I/O模块扩展容量, 且与模块间的通讯协议应与控制总线上的协议相同，即BACNET网络中的I/O模块也应使用BACNET MS/TP通讯。</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7.电动阀的阀体和执行器含在BA系统内，并与自控系统品牌一致。</w:t>
      </w:r>
      <w:r/>
    </w:p>
    <w:p>
      <w:pPr>
        <w:ind w:firstLine="480"/>
        <w:keepLines w:val="0"/>
        <w:keepNext w:val="0"/>
        <w:pageBreakBefore w:val="0"/>
        <w:spacing w:line="0" w:lineRule="atLeast"/>
        <w:widowControl w:val="off"/>
        <w:rPr>
          <w:rFonts w:hint="eastAsia" w:ascii="宋体" w:hAnsi="宋体" w:eastAsia="宋体" w:cs="Times New Roman"/>
          <w:color w:val="auto"/>
          <w:sz w:val="24"/>
          <w:szCs w:val="24"/>
          <w:highlight w:val="none"/>
          <w:lang w:val="it-IT" w:eastAsia="zh-CN"/>
        </w:rPr>
      </w:pPr>
      <w:r>
        <w:rPr>
          <w:rFonts w:hint="eastAsia" w:ascii="宋体" w:hAnsi="宋体" w:eastAsia="宋体" w:cs="Times New Roman"/>
          <w:color w:val="auto"/>
          <w:sz w:val="24"/>
          <w:szCs w:val="24"/>
          <w:highlight w:val="none"/>
          <w:lang w:val="it-IT" w:eastAsia="zh-CN"/>
        </w:rPr>
        <w:t xml:space="preserve">8.</w:t>
      </w:r>
      <w:r>
        <w:rPr>
          <w:rFonts w:hint="eastAsia" w:ascii="宋体" w:hAnsi="宋体"/>
          <w:b/>
          <w:color w:val="auto"/>
          <w:sz w:val="24"/>
          <w:szCs w:val="24"/>
          <w:highlight w:val="none"/>
        </w:rPr>
        <w:t xml:space="preserve">★为确保系统稳定性与可靠性，传感器与流量计及电动阀门须与BA系统采用同一品牌。相关系统品牌的网络控制引擎、DDC控制器、DDC扩展模块须具有UL认证。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②主要设备的控制功能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系统投标人必须满足并不限于以下各主要设备的控制及监测功能，同时需满足施工图要求。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冷水主机控制：冷水主机控制箱提供干接点信号，用于远程启、停控制和运行状态、故障、报警的监控。通过智能通讯接口可读取冷机内部参数和远程设置，自动选择运行模式、加减载、故障切换功能。BA厂商负责协助筛选冷机智能接口提供的报警数据，选择其中重要关键数据用于冷机故障切换的判断依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冷冻、冷却水泵控制：水泵控制箱需提供干接点信号，用于远程启、停控制、模拟量频率给定和反馈控制；通过智能通讯接口采集水泵变频器的状态和参数的显示，可自动变频加减载、故障切换；水泵在进行就地/远程状态转换的时候，可实现平滑切换，开关状态和频率状态不改变；</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3.冷却塔控制：对冷却塔风机每台变频风机自动变频控制、模式切换、故障切换。冷却塔风机在进行就地/远程状态转换的时候，可实现平滑切换，风机开关状态和频率状态不改变。</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热源系统控制：热源系统包括锅炉台数控制、热水循环水泵控制，以及热水板换控制。锅炉台数的控制，能够根据系统热负荷的大小自动控制锅炉的台数运行，实现节能运行的要求。热水循环泵的控制，应使其频率和台数与锅炉控制联动。热水板换的控制应能够根据二次侧主管的设定温度，自动调节一次侧三通阀的开度，使满足末端负荷的需求。同时，一旦检测到不安全因素时，产生报警并关机，也把报警信号传输至控制中心。</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5.电动阀门控制：根据实时指令控制电动阀门的开、关。需对动作状态进行监控，实现就地、远程平滑切换。</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6.压力、温度传感器的安装，需满足在线维护、调试，（在任何情况传感器均可从管道内插拔，不需关闭管道阀门），传感器安装孔必须焊接必须与孔同心，及足够的孔径，必须确保传感器数据采集正确；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7.所有传感器、接线盒、控制柜等均按照实施规范执行，传感器位置为不易碰撞、踩踏的地方。压力、温度接线口均向上，各类设备的高度和朝向需方便观察、调试、维护；</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8.以上所有设备的点位采集以点表为准。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bookmarkStart w:id="181" w:name="_Toc116554393"/>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.2自控设备技术指标及功能要求</w:t>
      </w:r>
      <w:bookmarkEnd w:id="181"/>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.2.1自控设备基本要求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1.提供一套独立的BA系统相关设备进行全面监控和管理，该系统应包括但不限于一个完全集成的中央控制平台、硬件、编程软件、传感器等；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2.投标人提供的产品应满足设计图纸要求和相关国家标准，系统应具有智慧节能功能，并可生成报表和数据统计；</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3.通信协议及加密：本系统采用 BACnet协议标准；</w:t>
      </w:r>
      <w:r/>
    </w:p>
    <w:p>
      <w:pPr>
        <w:pStyle w:val="866"/>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4.系统网络结构采用三层架构：BAS管理服务器、网络控制引擎、现场DDC层；禁止通过边缘控制器或直接采用仅有两层的BAS系统，以分散系统安全风险。网络控制引擎须支持使系统能够集成至物联网平台和应用方案</w:t>
      </w:r>
      <w:r>
        <w:rPr>
          <w:rFonts w:hint="eastAsia" w:ascii="宋体" w:hAnsi="宋体" w:cs="Times New Roman"/>
          <w:color w:val="000000"/>
          <w:sz w:val="24"/>
          <w:szCs w:val="24"/>
          <w:highlight w:val="none"/>
          <w:lang w:val="en-US" w:eastAsia="zh-CN"/>
        </w:rPr>
        <w:t xml:space="preserve">的协议</w:t>
      </w:r>
      <w:r>
        <w:rPr>
          <w:rFonts w:hint="eastAsia"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5.网络控制引擎需采用一个嵌入设备，同时支持多种现场总线，以便连接远程I/O和独立控制器，并兼容LonWorks®、BACnet®、Modbus、oBIX 和互联网标准等。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6.网络控制引擎之FC总线控制器之间需具备点对点串型通讯或以太网通讯的功能,通讯速度分别不低于78.6Kbps 和 10Mbps 的通讯速率，串型通讯的传输距离不少于 1200 米；任何一个控制器失效圴不能影响其他控制器的运行；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7.为保证系统快速反应，网络控制引擎其硬件参数须才满足如下：32位CPU，内存DDR3 RAM≥</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GB，eMMC闪存≥16GB。</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8.网络控制引擎须支持不小于2500个对象点采集及处理的内部容量，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9.工作站只作为操作人员接口(USER INTERFACE) 之用，即使工作站失效时，网络通讯亦须以正常情况下运作。</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10.各网络设备及组合形式须符合有关相应的国家标准规范</w:t>
      </w:r>
      <w:r>
        <w:rPr>
          <w:rFonts w:hint="eastAsia" w:ascii="宋体" w:hAnsi="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IEEE 标准及建议。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11.DDC控制器采用现场控制方式，控制器之间用点对点通讯。控制器具有独立的监测和控制能力，可根据需要随意增加/减少网络上的控制器，而系统故障不会影响控制器的现场控制功能。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12.网络控制引擎及工作站亦须</w:t>
      </w:r>
      <w:bookmarkStart w:id="182" w:name="OLE_LINK3"/>
      <w:r>
        <w:rPr>
          <w:rFonts w:hint="eastAsia" w:ascii="宋体" w:hAnsi="宋体" w:eastAsia="宋体" w:cs="Times New Roman"/>
          <w:color w:val="000000"/>
          <w:sz w:val="24"/>
          <w:szCs w:val="24"/>
          <w:highlight w:val="none"/>
          <w:lang w:val="en-US" w:eastAsia="zh-CN"/>
        </w:rPr>
        <w:t xml:space="preserve">支持Ethernet</w:t>
      </w:r>
      <w:bookmarkEnd w:id="182"/>
      <w:r>
        <w:rPr>
          <w:rFonts w:hint="eastAsia" w:ascii="宋体" w:hAnsi="宋体" w:eastAsia="宋体" w:cs="Times New Roman"/>
          <w:color w:val="000000"/>
          <w:sz w:val="24"/>
          <w:szCs w:val="24"/>
          <w:highlight w:val="none"/>
          <w:lang w:val="en-US" w:eastAsia="zh-CN"/>
        </w:rPr>
        <w:t xml:space="preserve"> 网的功能。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系统所采用控制器具有编写程序功能，可独立监控有关设备，不需要经过网络控制引擎及工作站计算机处理。当网络控制引擎发生任何故障时，各控制器分站直接数字式控制器亦能独立工作，所有资料、数据及程序均不会消除。</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14.系统运作反应要求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须于2秒内完成由任何工作站 WORKSTATION至控制器分站的控制指令。</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须于5秒内完全显示由数据库存储的记录。</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须于5秒内更新所有动态数据。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须于通讯网络系统及电力故障后约 60 秒内更新所有层面的数据。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15.系统可以组成一个独立的以太网控制网络；</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16.该系统和组件都应该是开放的和可以被记录的协议，不接受私有协议；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17.所有的控制线路，接线和控制设备需参考图纸要求；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18.服务器与工作站之间应同时具备 B/S 结构访问的能力，所有资料之存取浏览、指令输出、状态、报警信号接收等均可通过工作站实现；所有的运行历史数据资料通过服务器记录，授权的工作站可以查阅服务器中的相关历史数据。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19.服务器主要用于中央冷源系统自控程序的运行及数据的存储，操作员工作站与服务器之间通过BA系统的局域网连接，可设于大楼任何位置。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.2.2控制柜</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控制柜需满足定制化需求：柜体内需包含所需的控制模块、继电器等电子元器件、电动阀控制一二次回路（如有）等。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1）控制柜箱体</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1.柜体用冷轧钢板制作，钢板厚度不小于1.5柜体及箱门厚度符合刚度要求。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2.外壳柜体表面折角处不能有皱纹、裂纹、毛刺、焊接等痕迹；</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3.门与门框的缝隙不超过1.5mm，且四周缝隙均匀；门应开启灵活，不能有卡阻现象；</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4.控制柜原则上采用上进线的方式（根据现场控制柜安装放置位实际情况选择进、出线方式，最终和业主商议后最终确定）；</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7.控制器箱内各种辅助设备及配件（如仪表变压器,接线端子等）均应采用高质量产品；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8.每个柜体内需安装一个导轨式的三孔插座，以便调试；</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9.柜体美观、结实耐用，须有门把手，门把手具有自动上锁关门功能；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10.控制柜内应设有独立的控制器及 I/O 模块工作地、机壳安全地、信号电缆屏蔽地等接地装置，所有上述接地在电气上应相互隔离；</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11.每个控制柜的设计应符合点表、系统架构和功能要求；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12.控制柜需有 AC 220V UPS 供电；</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13.控制柜需有文件放置功能；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2）阀控箱</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1.阀控箱就近制冷单元靠墙或靠柱安装；</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2.阀控箱应独立制作；</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w:t>
      </w:r>
      <w:r>
        <w:rPr>
          <w:rFonts w:hint="eastAsia" w:ascii="宋体" w:hAnsi="宋体" w:eastAsia="宋体" w:cs="Times New Roman"/>
          <w:color w:val="000000"/>
          <w:sz w:val="24"/>
          <w:szCs w:val="24"/>
          <w:highlight w:val="none"/>
          <w:lang w:val="en-US" w:eastAsia="zh-CN"/>
        </w:rPr>
        <w:t xml:space="preserve">.3 DDC控制器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1）控制器硬件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A.控制器、扩展模块应直接支持 BACNET MS/TP通讯协议，且整个系统必须统一；</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B.控制器应至少有 32 位的CPU 处理器,频率不低于 80MHz；</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C.控制器需自带支持</w:t>
      </w:r>
      <w:bookmarkStart w:id="183" w:name="OLE_LINK4"/>
      <w:r>
        <w:rPr>
          <w:rFonts w:hint="eastAsia" w:ascii="宋体" w:hAnsi="宋体" w:eastAsia="宋体" w:cs="Times New Roman"/>
          <w:color w:val="000000"/>
          <w:sz w:val="24"/>
          <w:szCs w:val="24"/>
          <w:highlight w:val="none"/>
          <w:lang w:val="it-IT" w:eastAsia="zh-CN"/>
        </w:rPr>
        <w:t xml:space="preserve">BACnetMS/TP</w:t>
      </w:r>
      <w:bookmarkEnd w:id="183"/>
      <w:r>
        <w:rPr>
          <w:rFonts w:hint="eastAsia" w:ascii="宋体" w:hAnsi="宋体" w:eastAsia="宋体" w:cs="Times New Roman"/>
          <w:color w:val="000000"/>
          <w:sz w:val="24"/>
          <w:szCs w:val="24"/>
          <w:highlight w:val="none"/>
          <w:lang w:val="it-IT" w:eastAsia="zh-CN"/>
        </w:rPr>
        <w:t xml:space="preserve">总线，</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it-IT" w:eastAsia="zh-CN"/>
        </w:rPr>
        <w:t xml:space="preserve">自带支持BACnetMS/TP的SA扩展总线，可通过扩展模块实现点位的扩展。</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D.控制器宜支持直流电源供电；</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E控制器需有逻辑运算、顺序控制、定时、计数和算术运算等操作的功能；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G控制器支持 PID 算法；</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F控制器应支持浮点计算来进行能耗的分析；</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H控制器内编程软件CCT应内置群控优化算法，无需复杂的编程就可实现智慧控制、节能降耗功能。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I控制器需支持断电重启，且重启后在不复位 I/O 的情况下恢复到断电前的I/O状态；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J存储和BTL/UL认证：8MB SDRAM、16MB闪存；BTL:B-AAC认证，控制器应支持用户的可编程语言，且能满足本控制器可以远程/离线下载程序和存储需求；具有UL认证；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k.控制器扫描时间不低于 200ms。</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L</w:t>
      </w:r>
      <w:r>
        <w:rPr>
          <w:rFonts w:hint="eastAsia" w:ascii="宋体" w:hAnsi="宋体" w:eastAsia="宋体" w:cs="Times New Roman"/>
          <w:color w:val="000000"/>
          <w:sz w:val="24"/>
          <w:szCs w:val="24"/>
          <w:highlight w:val="none"/>
          <w:lang w:val="en-US" w:eastAsia="zh-CN"/>
        </w:rPr>
        <w:t xml:space="preserve">.控制器</w:t>
      </w:r>
      <w:r>
        <w:rPr>
          <w:rFonts w:hint="eastAsia" w:ascii="宋体" w:hAnsi="宋体" w:eastAsia="宋体" w:cs="Times New Roman"/>
          <w:color w:val="000000"/>
          <w:sz w:val="24"/>
          <w:szCs w:val="24"/>
          <w:highlight w:val="none"/>
          <w:lang w:val="it-IT" w:eastAsia="zh-CN"/>
        </w:rPr>
        <w:t xml:space="preserve">模拟输入AI/模拟输出AO分辨率和精确度：</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模拟输入：≥1</w:t>
      </w:r>
      <w:r>
        <w:rPr>
          <w:rFonts w:hint="eastAsia" w:ascii="宋体" w:hAnsi="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lang w:val="it-IT" w:eastAsia="zh-CN"/>
        </w:rPr>
        <w:t xml:space="preserve">bit</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模拟输出：≥1</w:t>
      </w:r>
      <w:r>
        <w:rPr>
          <w:rFonts w:hint="eastAsia" w:ascii="宋体" w:hAnsi="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lang w:val="it-IT" w:eastAsia="zh-CN"/>
        </w:rPr>
        <w:t xml:space="preserve">bit</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M</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it-IT" w:eastAsia="zh-CN"/>
        </w:rPr>
        <w:t xml:space="preserve">控制器应集成时钟，以便控制器脱机时，控制器可以继续基于时间的控制和监测；</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N</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it-IT" w:eastAsia="zh-CN"/>
        </w:rPr>
        <w:t xml:space="preserve">控制器板载IO点：≥</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it-IT" w:eastAsia="zh-CN"/>
        </w:rPr>
        <w:t xml:space="preserve">6个</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O</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it-IT" w:eastAsia="zh-CN"/>
        </w:rPr>
        <w:t xml:space="preserve">数字量输出电压：24V。</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P</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it-IT" w:eastAsia="zh-CN"/>
        </w:rPr>
        <w:t xml:space="preserve">控制器应该预留15%的 I/O（AI、DI、AO、DO）余量（并不少于1点），余量类型是指每类点（AI、DI、AO、DO），而不是预留总点数。</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2）控制器软件功能：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A.控制逻辑需简练、稳定,各单元模块内程序需保持一致；</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B.控制器需支持客户自己编写的或针对具体工艺要求的控制程序；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C.控制器支持 PID 控制、二位元控制、逻辑控制等；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D.控制器应具有自动累计和存储被控设备运行时间的功能；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E.控制器应支持接入模拟量和数字脉冲的信号，进行基于天、周或月的自动采样，计算和存储功能；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F.控制器应具有累计计数的功能，比如泵或风机的累计启停次数； G.各种历史数据收集、存储和显示应提供手动或自动两种方式；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.2.4</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it-IT" w:eastAsia="zh-CN"/>
        </w:rPr>
        <w:t xml:space="preserve">服务器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A.服务器硬件配置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1.服务器架构；</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2.CPU：E5 系列或更高；</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3.内存：32G 或更高；</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4.硬盘：1TSSD 或更高（同时需满足本技术要求的存储容量要求）；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5.网口：千兆口；</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B.服务器软件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1.服务器软件应该运用下列操作系统平台（Windows11以上）；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2.服务器软件需要进行与控制器、集成控制器（网关）及交换机进行联网测试；</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3.原厂配套上位机软件平台，软硬件归属同一品牌体系；不接受第三方独立开发软件、通用组态软件搭建平台替代原厂上位机产品； </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4.上位机服务器软件需配置不少于</w:t>
      </w:r>
      <w:r>
        <w:rPr>
          <w:rFonts w:hint="eastAsia" w:ascii="宋体" w:hAnsi="宋体" w:cs="Times New Roman"/>
          <w:color w:val="000000"/>
          <w:sz w:val="24"/>
          <w:szCs w:val="24"/>
          <w:highlight w:val="none"/>
          <w:lang w:val="en-US" w:eastAsia="zh-CN"/>
        </w:rPr>
        <w:t xml:space="preserve">5000</w:t>
      </w:r>
      <w:r>
        <w:rPr>
          <w:rFonts w:hint="eastAsia" w:ascii="宋体" w:hAnsi="宋体" w:eastAsia="宋体" w:cs="Times New Roman"/>
          <w:color w:val="000000"/>
          <w:sz w:val="24"/>
          <w:szCs w:val="24"/>
          <w:highlight w:val="none"/>
          <w:lang w:val="it-IT" w:eastAsia="zh-CN"/>
        </w:rPr>
        <w:t xml:space="preserve">个点位的licence 授权，且至少有20%的点位冗余；</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5.投标人提供的上位机管理软件，通过B/S 架构访问的客户端授权数量不少于 5 个。当业主需增加管理工作站，同时数量不超出授权的上限时， 投标人不得增加客户端的授权软件等费用。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6.质保期内免费对软件的升级和系统监控程序修正、数据校准；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.2.5工作站</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A.工作站硬件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正版Windows 11操作系统，具有以下最低配置要求：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1.CPU：core i7 八代及以上，6 核，3.6GHz 以上,12M缓存；</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2.内存：16G 以上；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3.硬盘：SSD 硬盘，1T 以上；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4.显示器：24 寸或以上，液晶，支持 Displayport、DVI 和 HDMI 信号输入； 3840×2160（4K）的分辨率；</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B.工作站软件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1.系统软件应包括图形、编程、计划、用户、趋势定义、趋势查看和任何其他软件的相关功能。系统应能由业主完全进行自主配置；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2.系统软件提供的图形用户界面应允许用户直接运用鼠标进行查看和操作, 键盘只在需要提供文件或者数字输出的时候使用；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3.系统操作界面应该提供以下功能和特征：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提供基于windows 视窗的操作界面，此操作界面应该能同时支持查看和控制操作。系统应能同时显示和完成至少三条任意组合的命令；</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资料目录表，应该在界面上提供相关的资料链接，而不须去查看笔记或其它的记录资料；</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时间计划表；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it-IT" w:eastAsia="zh-CN"/>
        </w:rPr>
        <w:t xml:space="preserve">通过改变颜色和图案来显示状态；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it-IT" w:eastAsia="zh-CN"/>
        </w:rPr>
      </w:pPr>
      <w:r>
        <w:rPr>
          <w:rFonts w:hint="eastAsia" w:ascii="宋体" w:hAnsi="宋体" w:eastAsia="宋体" w:cs="Times New Roman"/>
          <w:color w:val="000000"/>
          <w:sz w:val="24"/>
          <w:szCs w:val="24"/>
          <w:highlight w:val="none"/>
          <w:lang w:val="en-US" w:eastAsia="zh-CN"/>
        </w:rPr>
        <w:t xml:space="preserve">3.2</w:t>
      </w:r>
      <w:r>
        <w:rPr>
          <w:rFonts w:hint="eastAsia" w:ascii="宋体" w:hAnsi="宋体" w:eastAsia="宋体" w:cs="Times New Roman"/>
          <w:color w:val="000000"/>
          <w:sz w:val="24"/>
          <w:szCs w:val="24"/>
          <w:highlight w:val="none"/>
          <w:lang w:val="it-IT" w:eastAsia="zh-CN"/>
        </w:rPr>
        <w:t xml:space="preserve">.2.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it-IT" w:eastAsia="zh-CN"/>
        </w:rPr>
        <w:t xml:space="preserve">传感器及其他</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水管温度传感器</w:t>
      </w:r>
      <w:r/>
    </w:p>
    <w:p>
      <w:pPr>
        <w:pStyle w:val="672"/>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材料：不锈钢探头，黄铜</w:t>
      </w:r>
      <w:r>
        <w:rPr>
          <w:rFonts w:hint="eastAsia" w:ascii="宋体" w:hAnsi="宋体" w:cs="Times New Roman"/>
          <w:color w:val="000000"/>
          <w:sz w:val="24"/>
          <w:szCs w:val="24"/>
          <w:highlight w:val="none"/>
          <w:lang w:val="en-US" w:eastAsia="zh-CN"/>
        </w:rPr>
        <w:t xml:space="preserve">或不锈钢</w:t>
      </w:r>
      <w:r>
        <w:rPr>
          <w:rFonts w:hint="eastAsia" w:ascii="宋体" w:hAnsi="宋体" w:eastAsia="宋体" w:cs="Times New Roman"/>
          <w:color w:val="000000"/>
          <w:sz w:val="24"/>
          <w:szCs w:val="24"/>
          <w:highlight w:val="none"/>
          <w:lang w:val="en-US" w:eastAsia="zh-CN"/>
        </w:rPr>
        <w:t xml:space="preserve">套管</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浮球开关</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室外温湿度</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水流开关</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水管压力传感器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IP防护等级：</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IP65</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管道式流量计</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输出信号： 4-20MA</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精度：0.5级 </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测量流量范围：0.5~5m/S</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电极材料：316不锈钢</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壳体：碳钢</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IP防护等级：</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IP65</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接管方式：法兰连接</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电动蝶阀</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阀体：球墨铸铁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阀杆：不锈钢</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蝶板：球墨铸铁，PA11尼龙涂层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关闭压差：16KPa</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安装方式：对夹</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执行器:220V,带反馈</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以上产品需</w:t>
      </w:r>
      <w:r>
        <w:rPr>
          <w:rFonts w:hint="eastAsia" w:ascii="宋体" w:hAnsi="宋体" w:eastAsia="宋体" w:cs="Times New Roman"/>
          <w:color w:val="000000"/>
          <w:sz w:val="24"/>
          <w:szCs w:val="24"/>
          <w:highlight w:val="none"/>
          <w:lang w:val="en-US" w:eastAsia="zh-CN"/>
        </w:rPr>
        <w:t xml:space="preserve">符合实现设计说明及技术方案所有功能要求，并与系统同一品牌</w:t>
      </w:r>
      <w:r>
        <w:rPr>
          <w:rFonts w:hint="eastAsia" w:ascii="宋体" w:hAnsi="宋体" w:cs="Times New Roman"/>
          <w:color w:val="000000"/>
          <w:sz w:val="24"/>
          <w:szCs w:val="24"/>
          <w:highlight w:val="none"/>
          <w:lang w:val="en-US" w:eastAsia="zh-CN"/>
        </w:rPr>
        <w:t xml:space="preserve">。</w:t>
      </w:r>
      <w:r/>
    </w:p>
    <w:p>
      <w:pPr>
        <w:spacing w:line="0" w:lineRule="atLeas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3.3锅炉技术标准及相关要求</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3.3.1总则</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3.3.1.1热水锅炉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（1）锅炉形式为燃气常压锅炉，燃料为天然气；</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（2）锅炉尾气排放达到环境排放标准。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3.3.1.2技术规范：</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（1）热水锅炉制造、包装、运输、安装调试等必须满足相关技术规范。</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3.3.1.3交付内容：</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（1）机组包括燃气常压锅炉本体、燃烧器、控制屏等及其附属设备；</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（2）尾气排放管道安装；</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（3）电气接地系统安装；</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（4）调试、人员培训及交验。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3.3.2机组配置参数：</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（1）机组额定功率：单台2100KW ；</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（2）供电要求（V-φ-Hz）：380/3/50；</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（3）供/回水温度：80/60℃；</w:t>
      </w:r>
      <w:r/>
    </w:p>
    <w:p>
      <w:pPr>
        <w:ind w:firstLine="480"/>
        <w:keepLines w:val="0"/>
        <w:keepNext w:val="0"/>
        <w:pageBreakBefore w:val="0"/>
        <w:spacing w:line="0" w:lineRule="atLeast"/>
        <w:widowControl w:val="off"/>
        <w:rPr>
          <w:rFonts w:hint="eastAsia"/>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b/>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效率：＞98%</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提供第三方出具的CNAS/CMA认证的同</w:t>
      </w:r>
      <w:r>
        <w:rPr>
          <w:rFonts w:hint="eastAsia" w:ascii="宋体" w:hAnsi="宋体" w:cs="Times New Roman"/>
          <w:color w:val="000000"/>
          <w:sz w:val="24"/>
          <w:szCs w:val="24"/>
          <w:highlight w:val="none"/>
          <w:lang w:val="en-US" w:eastAsia="zh-CN"/>
        </w:rPr>
        <w:t xml:space="preserve">类型同系列（常压）产品</w:t>
      </w:r>
      <w:r>
        <w:rPr>
          <w:rFonts w:hint="eastAsia" w:ascii="宋体" w:hAnsi="宋体" w:eastAsia="宋体" w:cs="Times New Roman"/>
          <w:color w:val="000000"/>
          <w:sz w:val="24"/>
          <w:szCs w:val="24"/>
          <w:highlight w:val="none"/>
          <w:lang w:val="en-US" w:eastAsia="zh-CN"/>
        </w:rPr>
        <w:t xml:space="preserve">能效报告；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（5）天然气额定消耗量：约210Nm3/h；</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（6）电功率：低于10kW；</w:t>
      </w:r>
      <w:r/>
    </w:p>
    <w:p>
      <w:pPr>
        <w:ind w:firstLine="480"/>
        <w:keepLines w:val="0"/>
        <w:keepNext w:val="0"/>
        <w:pageBreakBefore w:val="0"/>
        <w:spacing w:line="0" w:lineRule="atLeast"/>
        <w:widowControl w:val="off"/>
      </w:pPr>
      <w:r>
        <w:rPr>
          <w:rFonts w:hint="eastAsia" w:ascii="宋体" w:hAnsi="宋体" w:eastAsia="宋体" w:cs="Times New Roman"/>
          <w:color w:val="000000"/>
          <w:sz w:val="24"/>
          <w:szCs w:val="24"/>
          <w:highlight w:val="none"/>
          <w:lang w:val="en-US" w:eastAsia="zh-CN"/>
        </w:rPr>
        <w:t xml:space="preserve">（7）</w:t>
      </w:r>
      <w:r>
        <w:rPr>
          <w:rFonts w:hint="eastAsia" w:ascii="宋体" w:hAnsi="宋体"/>
          <w:b/>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排放标准Nox：＜30mg/m3</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提供第三方出具的CNAS/CMA认证的同</w:t>
      </w:r>
      <w:r>
        <w:rPr>
          <w:rFonts w:hint="eastAsia" w:ascii="宋体" w:hAnsi="宋体" w:cs="Times New Roman"/>
          <w:color w:val="000000"/>
          <w:sz w:val="24"/>
          <w:szCs w:val="24"/>
          <w:highlight w:val="none"/>
          <w:lang w:val="en-US" w:eastAsia="zh-CN"/>
        </w:rPr>
        <w:t xml:space="preserve">类型同系列（常压）</w:t>
      </w:r>
      <w:r>
        <w:rPr>
          <w:rFonts w:hint="eastAsia" w:ascii="宋体" w:hAnsi="宋体" w:eastAsia="宋体" w:cs="Times New Roman"/>
          <w:color w:val="000000"/>
          <w:sz w:val="24"/>
          <w:szCs w:val="24"/>
          <w:highlight w:val="none"/>
          <w:lang w:val="en-US" w:eastAsia="zh-CN"/>
        </w:rPr>
        <w:t xml:space="preserve">环境检测报告；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b/>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尾气温度：＜70℃，提供第三方出具的CNAS/CMA认证的同</w:t>
      </w:r>
      <w:r>
        <w:rPr>
          <w:rFonts w:hint="eastAsia" w:ascii="宋体" w:hAnsi="宋体" w:cs="Times New Roman"/>
          <w:color w:val="000000"/>
          <w:sz w:val="24"/>
          <w:szCs w:val="24"/>
          <w:highlight w:val="none"/>
          <w:lang w:val="en-US" w:eastAsia="zh-CN"/>
        </w:rPr>
        <w:t xml:space="preserve">类型同系列（常压）产品</w:t>
      </w:r>
      <w:r>
        <w:rPr>
          <w:rFonts w:hint="eastAsia" w:ascii="宋体" w:hAnsi="宋体" w:eastAsia="宋体" w:cs="Times New Roman"/>
          <w:color w:val="000000"/>
          <w:sz w:val="24"/>
          <w:szCs w:val="24"/>
          <w:highlight w:val="none"/>
          <w:lang w:val="en-US" w:eastAsia="zh-CN"/>
        </w:rPr>
        <w:t xml:space="preserve">检测报告；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（9）控制系统：液晶显示，启动方式为手动/自动两种启动方式。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3.3.3机组功能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3.3.3.1热水生产</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（1）通过燃料天然气燃烧将炉内介质（水）加热至设定温度；</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（2）支持连续稳定供热，满足不同场景的热水需求（如供暖系统循环水、生活用热水）。</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3.3.3.2温度调控</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（1）配备智能温控系统，可根据用户需求自动调节出水温度，避免过热或温度不足；</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（2）控制方式包括：温度传感器实时监测水温，联动控制系统启停锅炉；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（3）多档位变频调节燃烧技术，精准控制热输出。</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3.3.3.3安全运行功能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（1）锅炉本体与大气连通，运行时内部压力与外界大气压基本一致，彻底消除爆炸风险；</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（2）常压热水机组无需报检，省去复杂审批流程，大幅降低使用门槛与管理成本；</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（3）操作便捷，维护轻松；</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（4）缺水保护：水位低于设定值时，自动停炉并报警，防止干烧损坏设备；</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（5）超温保护：温度超过安全阈值时，锅炉自动切断热源；</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（6）熄火保护：火焰意外熄灭时，立即关闭燃料供应，防止燃气泄漏；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（7）漏电保护：检测到漏电时，快速切断电源，保障人员安全。</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3.3.3.4高效热交换</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（1）锅炉机组运用管束式结构强化传热技术，拓展换热面积、优化传导路径，热效率可达 98%；</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（2）配备冷凝回收装置，回收烟气中的余热，进一步提升效率，冷凝式锅炉热效率可达 98% 左右，高效节能。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3.3.3.5低排放设计。常压热水锅炉适配天然气能源，搭配先进的低氮燃烧器，可将氮氧化物（NOx）排放控制在 30mg/m³ 以下，满足环保标准。</w:t>
      </w:r>
      <w:r/>
    </w:p>
    <w:p>
      <w:pPr>
        <w:ind w:firstLine="480"/>
        <w:keepLines w:val="0"/>
        <w:keepNext w:val="0"/>
        <w:pageBreakBefore w:val="0"/>
        <w:spacing w:line="0" w:lineRule="atLeast"/>
        <w:widowControl w:val="off"/>
        <w:rPr>
          <w:rFonts w:hint="eastAsia"/>
          <w:lang w:val="en-US" w:eastAsia="zh-CN"/>
        </w:rPr>
      </w:pPr>
      <w:r>
        <w:rPr>
          <w:rFonts w:hint="eastAsia" w:ascii="宋体" w:hAnsi="宋体" w:eastAsia="宋体" w:cs="Times New Roman"/>
          <w:color w:val="000000"/>
          <w:sz w:val="24"/>
          <w:szCs w:val="24"/>
          <w:highlight w:val="none"/>
          <w:lang w:val="en-US" w:eastAsia="zh-CN"/>
        </w:rPr>
        <w:t xml:space="preserve">3.3.3.6燃烧技术;</w:t>
      </w:r>
      <w:r>
        <w:rPr>
          <w:rFonts w:hint="eastAsia"/>
          <w:lang w:val="en-US" w:eastAsia="zh-CN"/>
        </w:rPr>
        <w:t xml:space="preserve">水冷预混燃烧或扩散式燃烧方式。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炉膛前、后吹扫程序；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自动点火程序；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熄火保护程序；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自动火焰探测、保护程序；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自动风压检测、保护程序；</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燃烧器故障（燃气压力异常、燃气泄漏、燃烧器熄火）显示。</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3.3.3.7智能化管理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（1）配备锅炉控制系统，昆仑通态触摸屏人机界面，支持远程监控与自动运行：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（2）实时显示水温、排烟温度、鼓风机频率等参数；</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（3）机组智能故障诊断系统可在异常时启动声光报警，精准定位故障点，助操作人员快速排查，保障稳定运行。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3.3.3.8</w:t>
      </w:r>
      <w:r>
        <w:rPr>
          <w:rFonts w:hint="eastAsia" w:ascii="宋体" w:hAnsi="宋体"/>
          <w:b/>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锅炉本体材质：</w:t>
      </w:r>
      <w:r>
        <w:rPr>
          <w:rFonts w:hint="eastAsia" w:ascii="宋体" w:hAnsi="宋体" w:cs="Times New Roman"/>
          <w:color w:val="000000"/>
          <w:sz w:val="24"/>
          <w:szCs w:val="24"/>
          <w:highlight w:val="none"/>
          <w:lang w:val="en-US" w:eastAsia="zh-CN"/>
        </w:rPr>
        <w:t xml:space="preserve">烟道：</w:t>
      </w:r>
      <w:r>
        <w:rPr>
          <w:rFonts w:hint="eastAsia" w:ascii="宋体" w:hAnsi="宋体" w:eastAsia="宋体" w:cs="Times New Roman"/>
          <w:color w:val="000000"/>
          <w:sz w:val="24"/>
          <w:szCs w:val="24"/>
          <w:highlight w:val="none"/>
          <w:lang w:val="en-US" w:eastAsia="zh-CN"/>
        </w:rPr>
        <w:t xml:space="preserve">20#钢锅炉无缝钢管，</w:t>
      </w:r>
      <w:r>
        <w:rPr>
          <w:rFonts w:hint="eastAsia" w:ascii="宋体" w:hAnsi="宋体" w:cs="Times New Roman"/>
          <w:color w:val="000000"/>
          <w:sz w:val="24"/>
          <w:szCs w:val="24"/>
          <w:highlight w:val="none"/>
          <w:lang w:val="en-US" w:eastAsia="zh-CN"/>
        </w:rPr>
        <w:t xml:space="preserve">壳体：</w:t>
      </w:r>
      <w:r>
        <w:rPr>
          <w:rFonts w:hint="eastAsia" w:ascii="宋体" w:hAnsi="宋体" w:eastAsia="宋体" w:cs="Times New Roman"/>
          <w:color w:val="000000"/>
          <w:sz w:val="24"/>
          <w:szCs w:val="24"/>
          <w:highlight w:val="none"/>
          <w:lang w:val="en-US" w:eastAsia="zh-CN"/>
        </w:rPr>
        <w:t xml:space="preserve">Q235B，提供锅炉的备件清单及材质并加盖投标单位公章。</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3.3.3.9</w:t>
      </w:r>
      <w:r>
        <w:rPr>
          <w:rFonts w:hint="eastAsia" w:ascii="宋体" w:hAnsi="宋体"/>
          <w:b/>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锅炉制造厂家生产资质：锅炉制造厂家必须为</w:t>
      </w:r>
      <w:r>
        <w:rPr>
          <w:rFonts w:hint="eastAsia" w:ascii="宋体" w:hAnsi="宋体" w:cs="Times New Roman"/>
          <w:color w:val="000000"/>
          <w:sz w:val="24"/>
          <w:szCs w:val="24"/>
          <w:highlight w:val="none"/>
          <w:lang w:val="en-US" w:eastAsia="zh-CN"/>
        </w:rPr>
        <w:t xml:space="preserve">A</w:t>
      </w:r>
      <w:r>
        <w:rPr>
          <w:rFonts w:hint="eastAsia" w:ascii="宋体" w:hAnsi="宋体" w:eastAsia="宋体" w:cs="Times New Roman"/>
          <w:color w:val="000000"/>
          <w:sz w:val="24"/>
          <w:szCs w:val="24"/>
          <w:highlight w:val="none"/>
          <w:lang w:val="en-US" w:eastAsia="zh-CN"/>
        </w:rPr>
        <w:t xml:space="preserve">级以上生产制造资质。（提供认证证书）</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3.4泵组的技术性能参数及设备质量技术相关要求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3.4.1本项目的循环水泵应是技术先进、经济合理、成熟可靠的产品，具有较高的灵活性，既能满足主机运行方式的需要，也能适应起停与负荷变化的要求。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（1）各种水泵的流量、扬程等特性应满足供货设备一览表的要求。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（2）模块化集成输配机组</w:t>
      </w:r>
      <w:r>
        <w:rPr>
          <w:rFonts w:hint="eastAsia" w:ascii="宋体" w:hAnsi="宋体" w:cs="Times New Roman"/>
          <w:color w:val="000000"/>
          <w:sz w:val="24"/>
          <w:szCs w:val="24"/>
          <w:highlight w:val="none"/>
          <w:lang w:val="en-US" w:eastAsia="zh-CN"/>
        </w:rPr>
        <w:t xml:space="preserve">采用相同泵型</w:t>
      </w:r>
      <w:r>
        <w:rPr>
          <w:rFonts w:hint="eastAsia" w:ascii="宋体" w:hAnsi="宋体" w:eastAsia="宋体" w:cs="Times New Roman"/>
          <w:color w:val="000000"/>
          <w:sz w:val="24"/>
          <w:szCs w:val="24"/>
          <w:highlight w:val="none"/>
          <w:lang w:val="en-US" w:eastAsia="zh-CN"/>
        </w:rPr>
        <w:t xml:space="preserve">，额定流量范围15%~120%内均应处于</w:t>
      </w:r>
      <w:r>
        <w:rPr>
          <w:rFonts w:hint="eastAsia" w:ascii="宋体" w:hAnsi="宋体" w:eastAsia="宋体" w:cs="Times New Roman"/>
          <w:color w:val="000000"/>
          <w:sz w:val="24"/>
          <w:szCs w:val="24"/>
          <w:highlight w:val="none"/>
          <w:lang w:val="en-US" w:eastAsia="zh-CN"/>
        </w:rPr>
        <w:t xml:space="preserve">水泵高效运行区间，控制系统应具备宽高效区能效自动寻优功能，能够根据系统工况需求自动匹配高效配泵方案。硬件部分和软件部分应由同一厂家成套提供，并应确保其匹配性和安全可靠性自带控制柜，招标后由厂家复核组合泵组的设计工况。每台水泵自带变频器，配套法兰蝶阀、微阻缓闭止回阀、流量计、温度计、温度传感器、压力表、压力传感器、容积式过滤器，满足总流量、总扬程要求。水泵生产厂家所提供产品，必须为原厂出产，不接受任何形式的协作厂家，附属厂家及合作厂家产品。泵组对外接口可垂直及水平方向不少于30mm范围调整，便于调整碰管偏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（3）循环泵技术要求。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a.电源电压:380V     频率: 50HZ</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b.承压为1.6MPa，可耐介质温度</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c.防护等级IP55，绝缘等级F。</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泵壳为铸铁材质，采用环氧树脂氧化电泳处理表面，保护膜完全渗入铸铁内部，保证常年使用不生锈。采用一体铸造结构，泵进出口法兰为圆法兰，有装压力表的螺口，泵壳有手动排水和放气螺塞，有轴封冲洗和密封腔体，有环绕轴封的水流冷却润滑轴封，同时能避免杂质颗粒进入密封面。</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e.采用铸铁双曲线叶轮，保证水泵的高效率；</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f.泵轴与联轴器一体化设计，降低振动，延长机封寿命，泵轴与电机轴之间直接联接。  </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g.为防止水泵内漏, 保持较高水力效率, 泵壳与叶轮上下侧间应各配有一个可替换无铅青铜磨损环，并带有销钉以便定位安装。在投标文件中，应有相应的结构剖分图，显示这一结构。</w:t>
      </w:r>
      <w:r/>
    </w:p>
    <w:p>
      <w:pPr>
        <w:ind w:firstLine="480"/>
        <w:keepLines w:val="0"/>
        <w:keepNext w:val="0"/>
        <w:pageBreakBefore w:val="0"/>
        <w:spacing w:line="0" w:lineRule="atLeas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w:t>
      </w:r>
      <w:r>
        <w:rPr>
          <w:rFonts w:hint="eastAsia" w:ascii="宋体" w:hAnsi="宋体" w:eastAsia="宋体" w:cs="Times New Roman"/>
          <w:b/>
          <w:bCs/>
          <w:color w:val="000000"/>
          <w:sz w:val="24"/>
          <w:szCs w:val="24"/>
          <w:highlight w:val="none"/>
          <w:lang w:val="en-US" w:eastAsia="zh-CN"/>
        </w:rPr>
        <w:t xml:space="preserve">循环泵增加一套泵健康检测控制设备（需要提供控制系统功能说明及操作界面的截图</w:t>
      </w:r>
      <w:r>
        <w:rPr>
          <w:rFonts w:hint="eastAsia"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(1)可智能检测水泵系统运行、安全防护、能耗相关全参数的实时采集：要求水泵特性曲线可视化、设有水泵安全状态判断、能够精确计算水泵能耗，给水泵定期保养维护提醒，提高水泵安全运维。</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(2)水泵基础运行参数：压力、温度、流量、转速、功率、振动等参数设热保护信号（均为高精度模拟量输入），能否实时显示水泵水力与机械运行状态；</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(3)检测系统可关联水泵能耗参数：电机工作电流、电压、频率运行负荷等，为电耗实时计算与展示提供核心依据。</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(4)水泵的实时运行参数可图形曲线化展示，能够实现水泵安全直观判读+能耗可视化，并将曲线变化与水泵安全状态直接关联、能耗数据直观呈现，实现水泵“可视化、简易化、直观化”管理。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水泵长周期数据管理，支持曲线与数据的查询、导出，适配多场景需求，设备具备完善的历史数据存储与管理能力，所有参数曲线、实时数值、报警记录、能耗数据均可实现自定义时段查询与导出，既支持就地直观查看，也满足数据存档、报表制作、深度分析的需求。自定义时段曲线查看：所有历史参数曲线（安全、能耗、工况等）均可设置任意时间范围查询，直观追溯不同时段水泵的运行安全状态与能耗变化。</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i.静止底部轴承螺钉固定，调换方便，保证水润滑充分。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（1）凡需招标方配管连接的所有接口均采用法兰连接，规格及承压必须符合国家标准。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（2）不需移动吸入和排出连接管可完成更换备件所必须的拆卸操作。</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（3）所配电动机为标准三相鼠笼异步电动机。电源电压：380V  频率：50HZ，使用国家现行标准电动机，防护等级IP55，绝缘等级F，效率等级为EFF2，环境耐温40℃；</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（7）泵的效率不得低于7</w:t>
      </w:r>
      <w:r>
        <w:rPr>
          <w:rFonts w:hint="eastAsia" w:ascii="宋体" w:hAnsi="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%，附水泵性能曲线。</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（8）水泵供货范围</w:t>
      </w:r>
      <w:r/>
    </w:p>
    <w:p>
      <w:pPr>
        <w:ind w:firstLine="72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a、水泵本体</w:t>
      </w:r>
      <w:r/>
    </w:p>
    <w:p>
      <w:pPr>
        <w:ind w:firstLine="72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b、水泵配套法兰及附件</w:t>
      </w:r>
      <w:r/>
    </w:p>
    <w:p>
      <w:pPr>
        <w:ind w:firstLine="72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c、水泵电机及附件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bookmarkStart w:id="184" w:name="_Toc512670490"/>
      <w:r/>
      <w:bookmarkStart w:id="185" w:name="_Toc232391156"/>
      <w:r>
        <w:rPr>
          <w:rFonts w:hint="eastAsia" w:ascii="宋体" w:hAnsi="宋体" w:eastAsia="宋体" w:cs="Times New Roman"/>
          <w:color w:val="000000"/>
          <w:sz w:val="24"/>
          <w:szCs w:val="24"/>
          <w:highlight w:val="none"/>
          <w:lang w:val="en-US" w:eastAsia="zh-CN"/>
        </w:rPr>
        <w:t xml:space="preserve">（9）标志</w:t>
      </w:r>
      <w:bookmarkEnd w:id="184"/>
      <w:r/>
      <w:bookmarkEnd w:id="185"/>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产品标牌应固定在泵上。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标牌应包括以下内容：</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制造厂的名称及商标；</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产品名称及型号；</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主要技术参数，如：流量、扬程和转速等；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产品编号和制造日期；</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制造厂地址；</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符合国家现行标准。</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bookmarkStart w:id="186" w:name="_Toc229994111"/>
      <w:r/>
      <w:bookmarkStart w:id="187" w:name="_Toc232391157"/>
      <w:r>
        <w:rPr>
          <w:rFonts w:hint="eastAsia" w:ascii="宋体" w:hAnsi="宋体" w:eastAsia="宋体" w:cs="Times New Roman"/>
          <w:color w:val="000000"/>
          <w:sz w:val="24"/>
          <w:szCs w:val="24"/>
          <w:highlight w:val="none"/>
          <w:lang w:val="en-US" w:eastAsia="zh-CN"/>
        </w:rPr>
        <w:t xml:space="preserve">（10）工厂测试</w:t>
      </w:r>
      <w:bookmarkEnd w:id="186"/>
      <w:r/>
      <w:bookmarkEnd w:id="187"/>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应提供以下型式试验的测试报告：</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水压试验：水泵承压件的试验压力是设计压力的1.5倍。</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水力试验：按照国家现行C级以冷清水进行。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噪声试验：按照JB/T8098-1999标准进行。</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试验符合国家现行的标准的要求。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bookmarkStart w:id="188" w:name="_Toc236482248"/>
      <w:r/>
      <w:bookmarkStart w:id="189" w:name="_Toc232391158"/>
      <w:r/>
      <w:bookmarkStart w:id="190" w:name="_Toc229994112"/>
      <w:r/>
      <w:bookmarkStart w:id="191" w:name="_Toc198440321"/>
      <w:r>
        <w:rPr>
          <w:rFonts w:hint="eastAsia" w:ascii="宋体" w:hAnsi="宋体" w:eastAsia="宋体" w:cs="Times New Roman"/>
          <w:color w:val="000000"/>
          <w:sz w:val="24"/>
          <w:szCs w:val="24"/>
          <w:highlight w:val="none"/>
          <w:lang w:val="en-US" w:eastAsia="zh-CN"/>
        </w:rPr>
        <w:t xml:space="preserve">（11）现场测试</w:t>
      </w:r>
      <w:bookmarkEnd w:id="188"/>
      <w:r/>
      <w:bookmarkEnd w:id="189"/>
      <w:r/>
      <w:bookmarkEnd w:id="190"/>
      <w:r/>
      <w:bookmarkEnd w:id="191"/>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1）设备到现场后，供需双方按商定的检验方法，对照装箱单逐件清点，进行检查与验收。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2）根据行业标准对到货的设备复检，以确保产品满足使用要求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3）业主在设备安装后进行性能试验，这一试验须在承包商指导下进行，如测试结果达不到性能指标，承包商应无条件更换设备，并承担所发生的损失。</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4)供方应对其招标设备质量负责。</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bookmarkStart w:id="192" w:name="_Toc236482249"/>
      <w:r/>
      <w:bookmarkStart w:id="193" w:name="_Toc198440322"/>
      <w:r/>
      <w:bookmarkStart w:id="194" w:name="_Toc232391159"/>
      <w:r/>
      <w:bookmarkStart w:id="195" w:name="_Toc229994113"/>
      <w:r>
        <w:rPr>
          <w:rFonts w:hint="eastAsia" w:ascii="宋体" w:hAnsi="宋体" w:eastAsia="宋体" w:cs="Times New Roman"/>
          <w:color w:val="000000"/>
          <w:sz w:val="24"/>
          <w:szCs w:val="24"/>
          <w:highlight w:val="none"/>
          <w:lang w:val="en-US" w:eastAsia="zh-CN"/>
        </w:rPr>
        <w:t xml:space="preserve">（12）包装运输</w:t>
      </w:r>
      <w:bookmarkEnd w:id="192"/>
      <w:r/>
      <w:bookmarkEnd w:id="193"/>
      <w:r/>
      <w:bookmarkEnd w:id="194"/>
      <w:r/>
      <w:bookmarkEnd w:id="195"/>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设备的标志、包装、运输应符合有关标准，运输到买方项目所在地指定地点。</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泵、电动机等存放应有防潮，防雨淋、防锈蚀措施，保证12个月内不发生锈蚀和损坏。如果超过12个月，一般应进行检查，并重新防锈处理。投标方应提供储存说明。</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（13）机组消音防震措施</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循环水泵、补水泵和一级网变频泵应要求配置进出口管的避震喉。</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bookmarkStart w:id="196" w:name="_Toc198474242"/>
      <w:r/>
      <w:bookmarkStart w:id="197" w:name="_Toc374473040"/>
      <w:r/>
      <w:bookmarkStart w:id="198" w:name="_Toc232391190"/>
      <w:r/>
      <w:bookmarkStart w:id="199" w:name="_Toc198629456"/>
      <w:r/>
      <w:bookmarkStart w:id="200" w:name="_Toc374473471"/>
      <w:r/>
      <w:bookmarkStart w:id="201" w:name="_Toc374472645"/>
      <w:r/>
      <w:bookmarkStart w:id="202" w:name="_Toc229994136"/>
      <w:r>
        <w:rPr>
          <w:rFonts w:hint="eastAsia" w:ascii="宋体" w:hAnsi="宋体" w:eastAsia="宋体" w:cs="Times New Roman"/>
          <w:color w:val="000000"/>
          <w:sz w:val="24"/>
          <w:szCs w:val="24"/>
          <w:highlight w:val="none"/>
          <w:lang w:val="en-US" w:eastAsia="zh-CN"/>
        </w:rPr>
        <w:t xml:space="preserve">3.4.2现场测试</w:t>
      </w:r>
      <w:bookmarkEnd w:id="196"/>
      <w:r/>
      <w:bookmarkEnd w:id="197"/>
      <w:r/>
      <w:bookmarkEnd w:id="198"/>
      <w:r/>
      <w:bookmarkEnd w:id="199"/>
      <w:r/>
      <w:bookmarkEnd w:id="200"/>
      <w:r/>
      <w:bookmarkEnd w:id="201"/>
      <w:r/>
      <w:bookmarkEnd w:id="202"/>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1）设备的最终验收在安装现场进行，供货商应负责监督设备的现场验收，并保证设备正式运行后各项指标符合供货合同的技术要求。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2）若现场检验发现短缺、破损或与合同规定的数量、型号及外形不符，则买卖双方应作记录并确认，该记录及商检局出具的现场检验记录和证明，均可作为用户向卖方索赔的有效文件。</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3）若现场检验发生修理、更换或补充因卖方过失而致使规定的时间表延迟，则由于安装延迟所造成的一切直接损失均由卖方承担。</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bookmarkStart w:id="203" w:name="_Toc229994137"/>
      <w:r/>
      <w:bookmarkStart w:id="204" w:name="_Toc198629457"/>
      <w:r/>
      <w:bookmarkStart w:id="205" w:name="_Toc374472646"/>
      <w:r/>
      <w:bookmarkStart w:id="206" w:name="_Toc198474243"/>
      <w:r/>
      <w:bookmarkStart w:id="207" w:name="_Toc374473041"/>
      <w:r/>
      <w:bookmarkStart w:id="208" w:name="_Toc232391191"/>
      <w:r/>
      <w:bookmarkStart w:id="209" w:name="_Toc374473472"/>
      <w:r>
        <w:rPr>
          <w:rFonts w:hint="eastAsia" w:ascii="宋体" w:hAnsi="宋体" w:eastAsia="宋体" w:cs="Times New Roman"/>
          <w:color w:val="000000"/>
          <w:sz w:val="24"/>
          <w:szCs w:val="24"/>
          <w:highlight w:val="none"/>
          <w:lang w:val="en-US" w:eastAsia="zh-CN"/>
        </w:rPr>
        <w:t xml:space="preserve">3.4.3包装运输</w:t>
      </w:r>
      <w:bookmarkEnd w:id="203"/>
      <w:r/>
      <w:bookmarkEnd w:id="204"/>
      <w:r/>
      <w:bookmarkEnd w:id="205"/>
      <w:r/>
      <w:bookmarkEnd w:id="206"/>
      <w:r/>
      <w:bookmarkEnd w:id="207"/>
      <w:r/>
      <w:bookmarkEnd w:id="208"/>
      <w:r/>
      <w:bookmarkEnd w:id="209"/>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符合国家现行标准有关的要求。</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3.5 e-PSP钢塑复合压力管道实施过程中的施工技术规程要求</w:t>
      </w:r>
      <w:r>
        <w:rPr>
          <w:rFonts w:hint="eastAsia" w:ascii="宋体" w:hAnsi="宋体" w:cs="Times New Roman"/>
          <w:color w:val="000000"/>
          <w:sz w:val="24"/>
          <w:szCs w:val="24"/>
          <w:highlight w:val="none"/>
          <w:lang w:val="en-US" w:eastAsia="zh-CN"/>
        </w:rPr>
        <w:t xml:space="preserve">参考设计图纸</w:t>
      </w:r>
      <w:r>
        <w:rPr>
          <w:rFonts w:hint="eastAsia"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注：国家强制性标准的不接受负偏离，如负偏离做无效标处理。</w:t>
      </w:r>
      <w:r/>
    </w:p>
    <w:p>
      <w:pPr>
        <w:ind w:firstLine="480"/>
        <w:keepLines w:val="0"/>
        <w:keepNext w:val="0"/>
        <w:pageBreakBefore w:val="0"/>
        <w:spacing w:line="0" w:lineRule="atLeast"/>
        <w:widowControl w:val="off"/>
        <w:rPr>
          <w:rFonts w:ascii="宋体" w:hAnsi="宋体"/>
          <w:b/>
          <w:bCs/>
          <w:color w:val="000000"/>
          <w:sz w:val="24"/>
          <w:szCs w:val="24"/>
          <w:highlight w:val="none"/>
        </w:rPr>
      </w:pPr>
      <w:r>
        <w:rPr>
          <w:rFonts w:hint="eastAsia" w:ascii="宋体" w:hAnsi="宋体"/>
          <w:b/>
          <w:bCs/>
          <w:color w:val="000000"/>
          <w:sz w:val="24"/>
          <w:szCs w:val="24"/>
          <w:highlight w:val="none"/>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
          <w:bCs/>
          <w:color w:val="000000"/>
          <w:sz w:val="24"/>
          <w:szCs w:val="24"/>
          <w:highlight w:val="none"/>
        </w:rPr>
        <w:t xml:space="preserve">其中加</w:t>
      </w:r>
      <w:r>
        <w:rPr>
          <w:rFonts w:hint="eastAsia" w:ascii="宋体" w:hAnsi="宋体" w:cs="宋体"/>
          <w:color w:val="000000"/>
          <w:sz w:val="24"/>
          <w:szCs w:val="24"/>
          <w:highlight w:val="none"/>
          <w:lang w:bidi="ar"/>
        </w:rPr>
        <w:t xml:space="preserve">★</w:t>
      </w:r>
      <w:r>
        <w:rPr>
          <w:rFonts w:hint="eastAsia" w:ascii="宋体" w:hAnsi="宋体"/>
          <w:b/>
          <w:bCs/>
          <w:color w:val="000000"/>
          <w:sz w:val="24"/>
          <w:szCs w:val="24"/>
          <w:highlight w:val="none"/>
        </w:rPr>
        <w:t xml:space="preserve">条款为实质性要求。</w:t>
      </w:r>
      <w:r/>
    </w:p>
    <w:p>
      <w:pPr>
        <w:ind w:firstLine="480"/>
        <w:spacing w:line="520" w:lineRule="exact"/>
        <w:rPr>
          <w:rFonts w:ascii="宋体" w:hAnsi="宋体" w:cs="宋体"/>
          <w:color w:val="000000"/>
          <w:sz w:val="24"/>
          <w:highlight w:val="none"/>
        </w:rPr>
      </w:pPr>
      <w:r>
        <w:rPr>
          <w:rFonts w:hint="eastAsia" w:ascii="宋体" w:hAnsi="宋体" w:cs="宋体"/>
          <w:bCs/>
          <w:color w:val="000000"/>
          <w:sz w:val="24"/>
          <w:highlight w:val="none"/>
        </w:rPr>
        <w:t xml:space="preserve">其内容包含但不限于以下内容：</w:t>
      </w:r>
      <w:r/>
    </w:p>
    <w:p>
      <w:pPr>
        <w:ind w:firstLine="480"/>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（一）采购标的需实现的功能或者目标，以及为落实政府采购政策需满足的要求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海安市行政中心暖通管道系统维修项目，包含但不限于锅炉进行更换、锅炉一次侧智能循环泵组更换、冷(热)水智能循环泵组更换、冷却水智能循环泵组更换、增加自控系统</w:t>
      </w:r>
      <w:r>
        <w:rPr>
          <w:rFonts w:hint="eastAsia" w:ascii="宋体" w:hAnsi="宋体" w:cs="宋体"/>
          <w:color w:val="000000"/>
          <w:sz w:val="24"/>
          <w:highlight w:val="none"/>
          <w:lang w:eastAsia="zh-CN"/>
        </w:rPr>
        <w:t xml:space="preserve">包含的设备</w:t>
      </w:r>
      <w:r>
        <w:rPr>
          <w:rFonts w:hint="eastAsia" w:ascii="宋体" w:hAnsi="宋体" w:cs="宋体"/>
          <w:color w:val="000000"/>
          <w:sz w:val="24"/>
          <w:highlight w:val="none"/>
        </w:rPr>
        <w:t xml:space="preserve">供货、运输、安装、调试、验收、技术培训、成品保护、售后服务、质保、维护保养，保证所有设备正常运行等。</w:t>
      </w:r>
      <w:r/>
    </w:p>
    <w:p>
      <w:pPr>
        <w:ind w:firstLine="480"/>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（二）采购标的需执行的国家相关标准、行业标准、地方标准或者其他标准、规范</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响应供应商所提供的产品需符合最新的国家标准和行业标准，随着标准的修订，根据修订后的最新标准作为依据，还须遵循国家、行业及地方现行的相关规范和标准要求。</w:t>
      </w:r>
      <w:r/>
    </w:p>
    <w:p>
      <w:pPr>
        <w:ind w:firstLine="480"/>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（三）采购标的需满足的质量、安全、技术规格、物理特性等要求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响应文件中的佐证材料、文件作为评审重要依据，采购人非常重视产品的技术、性能指标，评标结束后采购人对成交供应商响应文件的资料、产品等进行核实。资料提供不全或所提供的材料不符合要求的应重新提供，否则追究违约责任，采购人可上报财政部门，对拟成交人进行处罚，拟成交人承担一切后果与责任。</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2.响应供应商可对现场进行勘察，响应供应商在充分理解采购文件和现场勘察的基础上，编制本项目响应文件。</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响应供应商应保证货物是全新、未使用过的供应商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设备保修信息均为本项目用户单位，必须从原厂公布的服务电话得到查询验证，否则采购人有权要求退货，并追究违约责任。</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4.成交供应商须根据建设方案和采购要求精心组织实施，明确项目进度计划、工程质量控制、产品进场报验和安全保障措施，在保证质量的前提下按时完成项目建设。成交供应商须做好各阶段实施资料的</w:t>
      </w:r>
      <w:r>
        <w:rPr>
          <w:rFonts w:hint="eastAsia" w:ascii="宋体" w:hAnsi="宋体" w:cs="宋体"/>
          <w:color w:val="000000"/>
          <w:sz w:val="24"/>
          <w:highlight w:val="none"/>
          <w:lang w:eastAsia="zh-CN"/>
        </w:rPr>
        <w:t xml:space="preserve">记录</w:t>
      </w:r>
      <w:r>
        <w:rPr>
          <w:rFonts w:hint="eastAsia" w:ascii="宋体" w:hAnsi="宋体" w:cs="宋体"/>
          <w:color w:val="000000"/>
          <w:sz w:val="24"/>
          <w:highlight w:val="none"/>
        </w:rPr>
        <w:t xml:space="preserve">、整理和保存，主材料、材料品牌进场使用须得到采购单位的认可，验收合格后方可进场实施。</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5.成交供应商须主动与采购单位进行沟通、协调及配合，保证项目实施顺畅进行。</w:t>
      </w:r>
      <w:r/>
    </w:p>
    <w:p>
      <w:pPr>
        <w:ind w:firstLine="480"/>
        <w:spacing w:line="52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设备安装调试后需根据各个更换设备做好相应的试验检测（包括但不限于水压试验、气密性试验等，具体根据本次采购设备做好相应的试验检测工作），确保后期验收通过。项目隐蔽部位需提前做好验收通知，以便采购人安排相关人员进行验收工作。</w:t>
      </w:r>
      <w:r/>
    </w:p>
    <w:p>
      <w:pPr>
        <w:ind w:firstLine="480"/>
        <w:spacing w:line="520" w:lineRule="exac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7.整个项目设备及系统维修更换完成后需确保整体的联动，确保满足采购人实际使用。如不能联动或部分系统使用不畅，成交供应商需及时优化调整，确保最终满足采购人对本项目的整体要求。</w:t>
      </w:r>
      <w:r/>
    </w:p>
    <w:p>
      <w:pPr>
        <w:ind w:firstLine="480"/>
        <w:spacing w:line="520" w:lineRule="exact"/>
        <w:rPr>
          <w:rFonts w:hint="eastAsia" w:ascii="宋体" w:hAnsi="宋体" w:cs="宋体"/>
          <w:b/>
          <w:color w:val="000000"/>
          <w:sz w:val="24"/>
          <w:highlight w:val="none"/>
        </w:rPr>
      </w:pPr>
      <w:r/>
      <w:bookmarkStart w:id="210" w:name="_Toc120614281"/>
      <w:r>
        <w:rPr>
          <w:rFonts w:hint="eastAsia" w:ascii="宋体" w:hAnsi="宋体" w:cs="宋体"/>
          <w:b/>
          <w:color w:val="000000"/>
          <w:sz w:val="24"/>
          <w:highlight w:val="none"/>
        </w:rPr>
        <w:t xml:space="preserve">（四）采购标的的数量、采购项目交付或者实施的时间和地点</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数量：与货物清单数量一致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地点：</w:t>
      </w:r>
      <w:r>
        <w:rPr>
          <w:rFonts w:hint="eastAsia" w:ascii="宋体" w:hAnsi="宋体" w:cs="宋体"/>
          <w:color w:val="000000"/>
          <w:sz w:val="24"/>
          <w:highlight w:val="none"/>
          <w:lang w:eastAsia="zh-CN"/>
        </w:rPr>
        <w:t xml:space="preserve">海安市市政府大楼内，具体根据</w:t>
      </w:r>
      <w:r>
        <w:rPr>
          <w:rFonts w:hint="eastAsia" w:ascii="宋体" w:hAnsi="宋体" w:cs="宋体"/>
          <w:color w:val="000000"/>
          <w:sz w:val="24"/>
          <w:highlight w:val="none"/>
        </w:rPr>
        <w:t xml:space="preserve">采购人指定地点</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项目交付：</w:t>
      </w:r>
      <w:r>
        <w:rPr>
          <w:rFonts w:hint="eastAsia" w:ascii="宋体" w:hAnsi="宋体"/>
          <w:bCs/>
          <w:color w:val="000000"/>
          <w:sz w:val="24"/>
          <w:highlight w:val="none"/>
        </w:rPr>
        <w:t xml:space="preserve">自合同签定之日起</w:t>
      </w:r>
      <w:r>
        <w:rPr>
          <w:rFonts w:hint="eastAsia" w:ascii="宋体" w:hAnsi="宋体"/>
          <w:bCs/>
          <w:color w:val="000000"/>
          <w:sz w:val="24"/>
          <w:highlight w:val="none"/>
          <w:lang w:val="en-US" w:eastAsia="zh-CN"/>
        </w:rPr>
        <w:t xml:space="preserve">120</w:t>
      </w:r>
      <w:r>
        <w:rPr>
          <w:rFonts w:hint="eastAsia" w:ascii="宋体" w:hAnsi="宋体"/>
          <w:bCs/>
          <w:color w:val="000000"/>
          <w:sz w:val="24"/>
          <w:highlight w:val="none"/>
        </w:rPr>
        <w:t xml:space="preserve">天内完成供货并安装调试结束</w:t>
      </w:r>
      <w:r>
        <w:rPr>
          <w:rFonts w:hint="eastAsia" w:ascii="宋体" w:hAnsi="宋体"/>
          <w:bCs/>
          <w:color w:val="000000"/>
          <w:sz w:val="24"/>
          <w:highlight w:val="none"/>
          <w:lang w:eastAsia="zh-CN"/>
        </w:rPr>
        <w:t xml:space="preserve">，保证大楼暖通维修改造完成</w:t>
      </w:r>
      <w:r>
        <w:rPr>
          <w:rFonts w:hint="eastAsia" w:ascii="宋体" w:hAnsi="宋体" w:cs="宋体"/>
          <w:color w:val="000000"/>
          <w:sz w:val="24"/>
          <w:highlight w:val="none"/>
        </w:rPr>
        <w:t xml:space="preserve">。</w:t>
      </w:r>
      <w:r/>
    </w:p>
    <w:p>
      <w:pPr>
        <w:ind w:firstLine="480"/>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（五）采购标的需满足的服务标准、期限、效率等要求 </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质保期限：</w:t>
      </w:r>
      <w:r>
        <w:rPr>
          <w:rFonts w:hint="eastAsia" w:ascii="宋体" w:hAnsi="宋体" w:cs="宋体"/>
          <w:color w:val="000000"/>
          <w:sz w:val="24"/>
          <w:highlight w:val="none"/>
          <w:lang w:eastAsia="zh-CN"/>
        </w:rPr>
        <w:t xml:space="preserve">三年，</w:t>
      </w:r>
      <w:r>
        <w:rPr>
          <w:rFonts w:hint="eastAsia" w:ascii="宋体" w:hAnsi="宋体" w:cs="宋体"/>
          <w:color w:val="000000"/>
          <w:sz w:val="24"/>
          <w:highlight w:val="none"/>
        </w:rPr>
        <w:t xml:space="preserve">质保期内，供应商提供免费保修等服务，质</w:t>
      </w:r>
      <w:r>
        <w:rPr>
          <w:rFonts w:hint="eastAsia" w:ascii="宋体" w:hAnsi="宋体" w:cs="宋体"/>
          <w:color w:val="000000"/>
          <w:sz w:val="24"/>
          <w:highlight w:val="none"/>
          <w:lang w:eastAsia="zh-CN"/>
        </w:rPr>
        <w:t xml:space="preserve">保期</w:t>
      </w:r>
      <w:r>
        <w:rPr>
          <w:rFonts w:hint="eastAsia" w:ascii="宋体" w:hAnsi="宋体" w:cs="宋体"/>
          <w:color w:val="000000"/>
          <w:sz w:val="24"/>
          <w:highlight w:val="none"/>
        </w:rPr>
        <w:t xml:space="preserve">内的维修、更换零配件、维修人工费均免费。在质保期内发生的任何故障，供应商均应负责免费修复，无法修复的产品或零部件应及时免费更换，质保期结束后，如遇相关调整，供应商应保证至少三个月的过渡期。</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服务期限：本项目包含</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整体</w:t>
      </w:r>
      <w:r>
        <w:rPr>
          <w:rFonts w:hint="eastAsia" w:ascii="宋体" w:hAnsi="宋体" w:cs="宋体"/>
          <w:color w:val="000000"/>
          <w:sz w:val="24"/>
          <w:highlight w:val="none"/>
        </w:rPr>
        <w:t xml:space="preserve">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（六）采购标的的验收标准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保证项目中所使用的材料、提供的设备为优质产品并完全符合国家质量、消防、环保、安全检验标准。验收时采用的检验方法将按照制造厂商生产的产品验收标准和中华人民共和国有关标准以及采购文件规定的技术要求进行验收，必要时邀请相关的专业人员或机构参与验收。因产品质量问题发生争议时，采购人请有权部门鉴定。若所供货物经产品质量检测机构检测认定质量不合格，造成的损失和后果由成交供应商负全责。</w:t>
      </w:r>
      <w:r/>
    </w:p>
    <w:p>
      <w:pPr>
        <w:ind w:firstLine="480"/>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（七）采购标的的其他技术、服务等要求：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7.1有关说明：</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(1)主要技术标准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成交供应商响应设备的设计、制造、安装、验收应符合下列标准和规范：我国和国际上的相关标准和规范及本采购文件要求。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没有国家标准的按行业标准执行，没有行业标准的产品，成交供应商应提供相关制造商标准。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(2)响应报价包括本次采购范围内二次深化设计费、全部设备、材料、随设备提供的备品配件及专用工具的价格、全部</w:t>
      </w:r>
      <w:r>
        <w:rPr>
          <w:rFonts w:hint="eastAsia" w:ascii="宋体" w:hAnsi="宋体" w:cs="宋体"/>
          <w:color w:val="000000"/>
          <w:sz w:val="24"/>
          <w:highlight w:val="none"/>
          <w:lang w:eastAsia="zh-CN"/>
        </w:rPr>
        <w:t xml:space="preserve">税费</w:t>
      </w:r>
      <w:r>
        <w:rPr>
          <w:rFonts w:hint="eastAsia" w:ascii="宋体" w:hAnsi="宋体" w:cs="宋体"/>
          <w:color w:val="000000"/>
          <w:sz w:val="24"/>
          <w:highlight w:val="none"/>
        </w:rPr>
        <w:t xml:space="preserve">、包装费、运杂费（运抵采购单位项目现场）、保险费、安装费、调试费、利润、竣工所需的验收、后期售后服务、采购单位操作维护人员培训费、验收鉴定费、需与其他单位配合及供应商认为需要的其他费用等。</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成交供应商漏报或不报，采购人将视为该漏报或不报部分的费用已包括在已报的分项报价中而不予支付。</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在安装、调试、验收过程中，如发现有漏项、缺件，成交供应商应无条件、无偿补齐，所发生的一切费用，视为已包含在成交供应商报价之中，且并不因此而影响交付采购人使用的时间。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（3）设备安装调试期间各类安全保障工作由成交供应商自行负责。</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（4）本项目所有材料、品牌需得到采购人认可并经验收合格后，方可进场安装。</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7.2系统培训</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（1）除清单中所列各项系统专业培训外，成交供应商须提供对所有本项目系统硬件产品、应用软件、系统集成等在内的全部培训工作，提供不低于二次</w:t>
      </w:r>
      <w:r>
        <w:rPr>
          <w:rFonts w:hint="eastAsia" w:ascii="宋体" w:hAnsi="宋体" w:cs="宋体"/>
          <w:color w:val="000000"/>
          <w:sz w:val="24"/>
          <w:highlight w:val="none"/>
          <w:lang w:val="en-US" w:eastAsia="zh-CN"/>
        </w:rPr>
        <w:t xml:space="preserve">专业</w:t>
      </w:r>
      <w:r>
        <w:rPr>
          <w:rFonts w:hint="eastAsia" w:ascii="宋体" w:hAnsi="宋体" w:cs="宋体"/>
          <w:color w:val="000000"/>
          <w:sz w:val="24"/>
          <w:highlight w:val="none"/>
        </w:rPr>
        <w:t xml:space="preserve">培训。</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（2）培训方式为现场培训或集中培训，现场培训指在设备的安装调试、故障处理过程中，对采购单位技术人员进行实际的操作和故障处理培训。</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（3）培训内容包括正常使用和一般故障排除，培训的内容，必须提供完整的培训资料、培训计划等文档。</w:t>
      </w:r>
      <w:r/>
    </w:p>
    <w:p>
      <w:pPr>
        <w:ind w:firstLine="480"/>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7.3特别说明</w:t>
      </w:r>
      <w:r/>
    </w:p>
    <w:p>
      <w:pPr>
        <w:ind w:firstLine="480"/>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为保证安装质量、进度、安全，成交供应商的现场管理人员包括但不限于：项目负责人、技术负责人、专职安全员等，必须正常在现场管理，参与采购的考勤管理，出勤率不少于80%；上述管理人员必须持有效证件（执业资格证书或中级及以上职称等）上岗，进场前将相关证书复印件报给监理工程师。</w:t>
      </w:r>
      <w:r/>
    </w:p>
    <w:p>
      <w:pPr>
        <w:ind w:firstLine="480"/>
        <w:spacing w:line="52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 xml:space="preserve">（2）成交供应商在采购设备和材料前必须把采购计划包括品牌、参数及材料样品报采购人、监理工程师审核确认后方可采购；所有设备和材料进场前必须把采购资料报监理工程审核并经验收合格后方可进场使用。</w:t>
      </w:r>
      <w:r/>
    </w:p>
    <w:p>
      <w:pPr>
        <w:ind w:firstLine="480"/>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p>
    <w:p>
      <w:pPr>
        <w:ind w:firstLine="480"/>
        <w:spacing w:line="560" w:lineRule="exact"/>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1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 xml:space="preserve">①</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 xml:space="preserve">响应供应商所投产品必须是原厂原品牌。</w:t>
      </w:r>
      <w:r/>
    </w:p>
    <w:p>
      <w:pPr>
        <w:ind w:firstLine="480"/>
        <w:spacing w:line="560" w:lineRule="exact"/>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2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 xml:space="preserve">②</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 xml:space="preserve">主要设备技术要求清单中的标★参数不得负偏离，须在商务技术文件中针对参数提供技术偏离表并按要求提供证明材料，如未提供或出现负偏离的作无效标处理</w:t>
      </w:r>
      <w:r>
        <w:rPr>
          <w:rFonts w:hint="eastAsia" w:ascii="Times New Roman" w:hAnsi="Times New Roman"/>
          <w:bCs/>
          <w:color w:val="000000"/>
          <w:sz w:val="24"/>
          <w:szCs w:val="24"/>
          <w:highlight w:val="none"/>
          <w:lang w:eastAsia="zh-CN"/>
        </w:rPr>
        <w:t xml:space="preserve">，如内容重复的可只传一遍即可</w:t>
      </w:r>
      <w:r>
        <w:rPr>
          <w:rFonts w:hint="eastAsia" w:ascii="Times New Roman" w:hAnsi="Times New Roman"/>
          <w:bCs/>
          <w:color w:val="000000"/>
          <w:sz w:val="24"/>
          <w:szCs w:val="24"/>
          <w:highlight w:val="none"/>
        </w:rPr>
        <w:t xml:space="preserve">。</w:t>
      </w:r>
      <w:r/>
    </w:p>
    <w:p>
      <w:pPr>
        <w:ind w:firstLine="480"/>
        <w:spacing w:line="560" w:lineRule="exact"/>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3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 xml:space="preserve">③</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 xml:space="preserve">采购与实施过程中如响应供应商存在弄虚作假行为，校方有权追究违约责任及其法律责任。由此造成的一切后果及费用由响应供应商承担。</w:t>
      </w:r>
      <w:r/>
    </w:p>
    <w:p>
      <w:pPr>
        <w:ind w:firstLine="480"/>
        <w:spacing w:line="560" w:lineRule="exact"/>
        <w:rPr>
          <w:rFonts w:hint="eastAsia" w:ascii="Times New Roman" w:hAnsi="Times New Roman"/>
          <w:bCs/>
          <w:color w:val="000000"/>
          <w:sz w:val="24"/>
          <w:szCs w:val="24"/>
          <w:highlight w:val="none"/>
        </w:rPr>
      </w:pPr>
      <w:r>
        <w:rPr>
          <w:rFonts w:ascii="Times New Roman" w:hAnsi="Times New Roman"/>
          <w:bCs/>
          <w:color w:val="000000"/>
          <w:sz w:val="24"/>
          <w:szCs w:val="24"/>
          <w:highlight w:val="none"/>
        </w:rPr>
        <w:fldChar w:fldCharType="begin"/>
      </w:r>
      <w:r>
        <w:rPr>
          <w:rFonts w:ascii="Times New Roman" w:hAnsi="Times New Roman"/>
          <w:bCs/>
          <w:color w:val="000000"/>
          <w:sz w:val="24"/>
          <w:szCs w:val="24"/>
          <w:highlight w:val="none"/>
        </w:rPr>
        <w:instrText xml:space="preserve"> </w:instrText>
      </w:r>
      <w:r>
        <w:rPr>
          <w:rFonts w:hint="eastAsia" w:ascii="Times New Roman" w:hAnsi="Times New Roman"/>
          <w:bCs/>
          <w:color w:val="000000"/>
          <w:sz w:val="24"/>
          <w:szCs w:val="24"/>
          <w:highlight w:val="none"/>
        </w:rPr>
        <w:instrText xml:space="preserve">= 4 \* GB3</w:instrText>
      </w:r>
      <w:r>
        <w:rPr>
          <w:rFonts w:ascii="Times New Roman" w:hAnsi="Times New Roman"/>
          <w:bCs/>
          <w:color w:val="000000"/>
          <w:sz w:val="24"/>
          <w:szCs w:val="24"/>
          <w:highlight w:val="none"/>
        </w:rPr>
        <w:instrText xml:space="preserve"> </w:instrText>
      </w:r>
      <w:r>
        <w:rPr>
          <w:rFonts w:ascii="Times New Roman" w:hAnsi="Times New Roman"/>
          <w:bCs/>
          <w:color w:val="000000"/>
          <w:sz w:val="24"/>
          <w:szCs w:val="24"/>
          <w:highlight w:val="none"/>
        </w:rPr>
        <w:fldChar w:fldCharType="separate"/>
      </w:r>
      <w:r>
        <w:rPr>
          <w:rFonts w:hint="eastAsia" w:ascii="Times New Roman" w:hAnsi="Times New Roman"/>
          <w:bCs/>
          <w:color w:val="000000"/>
          <w:sz w:val="24"/>
          <w:szCs w:val="24"/>
          <w:highlight w:val="none"/>
        </w:rPr>
        <w:t xml:space="preserve">④</w:t>
      </w:r>
      <w:r>
        <w:rPr>
          <w:rFonts w:ascii="Times New Roman" w:hAnsi="Times New Roman"/>
          <w:bCs/>
          <w:color w:val="000000"/>
          <w:sz w:val="24"/>
          <w:szCs w:val="24"/>
          <w:highlight w:val="none"/>
        </w:rPr>
        <w:fldChar w:fldCharType="end"/>
      </w:r>
      <w:r>
        <w:rPr>
          <w:rFonts w:hint="eastAsia" w:ascii="Times New Roman" w:hAnsi="Times New Roman"/>
          <w:bCs/>
          <w:color w:val="000000"/>
          <w:sz w:val="24"/>
          <w:szCs w:val="24"/>
          <w:highlight w:val="none"/>
        </w:rPr>
        <w:t xml:space="preserve">本项目为交钥匙工程，供应商需充分考虑理解本项目的建设，内容包括但不限于：</w:t>
      </w:r>
      <w:r>
        <w:rPr>
          <w:rFonts w:hint="eastAsia" w:ascii="Times New Roman" w:hAnsi="Times New Roman"/>
          <w:bCs/>
          <w:color w:val="000000"/>
          <w:sz w:val="24"/>
          <w:szCs w:val="24"/>
          <w:highlight w:val="none"/>
          <w:lang w:eastAsia="zh-CN"/>
        </w:rPr>
        <w:t xml:space="preserve">采购</w:t>
      </w:r>
      <w:r>
        <w:rPr>
          <w:rFonts w:hint="eastAsia" w:ascii="Times New Roman" w:hAnsi="Times New Roman"/>
          <w:bCs/>
          <w:color w:val="000000"/>
          <w:sz w:val="24"/>
          <w:szCs w:val="24"/>
          <w:highlight w:val="none"/>
        </w:rPr>
        <w:t xml:space="preserve">文件、</w:t>
      </w:r>
      <w:r>
        <w:rPr>
          <w:rFonts w:hint="eastAsia" w:ascii="Times New Roman" w:hAnsi="Times New Roman"/>
          <w:bCs/>
          <w:color w:val="000000"/>
          <w:sz w:val="24"/>
          <w:szCs w:val="24"/>
          <w:highlight w:val="none"/>
          <w:lang w:eastAsia="zh-CN"/>
        </w:rPr>
        <w:t xml:space="preserve">设计</w:t>
      </w:r>
      <w:r>
        <w:rPr>
          <w:rFonts w:hint="eastAsia" w:ascii="Times New Roman" w:hAnsi="Times New Roman"/>
          <w:bCs/>
          <w:color w:val="000000"/>
          <w:sz w:val="24"/>
          <w:szCs w:val="24"/>
          <w:highlight w:val="none"/>
        </w:rPr>
        <w:t xml:space="preserve">图等要求。供应商报价时需含</w:t>
      </w:r>
      <w:r>
        <w:rPr>
          <w:rFonts w:hint="eastAsia" w:ascii="Times New Roman" w:hAnsi="Times New Roman"/>
          <w:bCs/>
          <w:color w:val="000000"/>
          <w:sz w:val="24"/>
          <w:szCs w:val="24"/>
          <w:highlight w:val="none"/>
          <w:lang w:eastAsia="zh-CN"/>
        </w:rPr>
        <w:t xml:space="preserve">全部设备更换</w:t>
      </w:r>
      <w:r>
        <w:rPr>
          <w:rFonts w:hint="eastAsia" w:ascii="Times New Roman" w:hAnsi="Times New Roman"/>
          <w:bCs/>
          <w:color w:val="000000"/>
          <w:sz w:val="24"/>
          <w:szCs w:val="24"/>
          <w:highlight w:val="none"/>
        </w:rPr>
        <w:t xml:space="preserve">费用、调试费用、人员培训费及其它所需配件等所需线材辅料等一切费用；供应商要对本次项目进行充分的调研，确保响应产品参数</w:t>
      </w:r>
      <w:r>
        <w:rPr>
          <w:rFonts w:hint="eastAsia" w:ascii="Times New Roman" w:hAnsi="Times New Roman"/>
          <w:bCs/>
          <w:color w:val="000000"/>
          <w:sz w:val="24"/>
          <w:szCs w:val="24"/>
          <w:highlight w:val="none"/>
          <w:lang w:eastAsia="zh-CN"/>
        </w:rPr>
        <w:t xml:space="preserve">及技术要求</w:t>
      </w:r>
      <w:r>
        <w:rPr>
          <w:rFonts w:hint="eastAsia" w:ascii="Times New Roman" w:hAnsi="Times New Roman"/>
          <w:bCs/>
          <w:color w:val="000000"/>
          <w:sz w:val="24"/>
          <w:szCs w:val="24"/>
          <w:highlight w:val="none"/>
        </w:rPr>
        <w:t xml:space="preserve">，保证产品的兼容性，准确性，确保在项目实施过程中，业主所采购本项目设备（含软件部分）必须正常运行。所提供的项目设备技术参数中如未明确说明，但可以推断是整个设备运行时不可缺少或必需的配套材料和工作，供应商所产生的费用均包含在总价中，采购人不予额外增加费用。请供应商认真按照要求报价，因报价和质量原因引起的损失，由供应商自行承担。</w:t>
      </w:r>
      <w:r/>
    </w:p>
    <w:p>
      <w:pPr>
        <w:ind w:firstLine="480"/>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五、其他要求</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1.项目属性：货物类项目。</w:t>
      </w:r>
      <w:r/>
    </w:p>
    <w:p>
      <w:pPr>
        <w:ind w:firstLine="480"/>
        <w:spacing w:line="560" w:lineRule="exact"/>
        <w:rPr>
          <w:rFonts w:hint="eastAsia" w:ascii="Times New Roman" w:hAnsi="Times New Roman"/>
          <w:color w:val="000000"/>
          <w:sz w:val="24"/>
          <w:szCs w:val="24"/>
          <w:highlight w:val="none"/>
        </w:rPr>
      </w:pPr>
      <w:r>
        <w:rPr>
          <w:rFonts w:hint="eastAsia" w:ascii="宋体" w:hAnsi="宋体"/>
          <w:bCs/>
          <w:color w:val="000000"/>
          <w:sz w:val="24"/>
          <w:szCs w:val="24"/>
          <w:highlight w:val="none"/>
        </w:rPr>
        <w:t xml:space="preserve">2.核心产品：冷热源群控系统</w:t>
      </w:r>
      <w:r>
        <w:rPr>
          <w:rFonts w:hint="eastAsia" w:ascii="宋体" w:hAnsi="宋体"/>
          <w:bCs/>
          <w:color w:val="000000"/>
          <w:sz w:val="24"/>
          <w:szCs w:val="24"/>
          <w:highlight w:val="none"/>
          <w:lang w:eastAsia="zh-CN"/>
        </w:rPr>
        <w:t xml:space="preserve">、锅炉、水泵、e-PSP钢塑复合压力管道</w:t>
      </w:r>
      <w:r>
        <w:rPr>
          <w:rFonts w:hint="eastAsia" w:ascii="宋体" w:hAnsi="宋体"/>
          <w:bCs/>
          <w:color w:val="000000"/>
          <w:sz w:val="24"/>
          <w:highlight w:val="none"/>
        </w:rPr>
        <w:t xml:space="preserve">。</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3.主要标的：冷热源群控系统</w:t>
      </w:r>
      <w:r>
        <w:rPr>
          <w:rFonts w:hint="eastAsia" w:ascii="宋体" w:hAnsi="宋体"/>
          <w:bCs/>
          <w:color w:val="000000"/>
          <w:sz w:val="24"/>
          <w:szCs w:val="24"/>
          <w:highlight w:val="none"/>
          <w:lang w:eastAsia="zh-CN"/>
        </w:rPr>
        <w:t xml:space="preserve">、锅炉、水泵、e-PSP钢塑复合压力管道</w:t>
      </w:r>
      <w:r>
        <w:rPr>
          <w:rFonts w:hint="eastAsia" w:ascii="宋体" w:hAnsi="宋体"/>
          <w:bCs/>
          <w:color w:val="000000"/>
          <w:sz w:val="24"/>
          <w:highlight w:val="none"/>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.包装要求： </w:t>
      </w:r>
      <w:r/>
    </w:p>
    <w:p>
      <w:pPr>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.2快递包装环保要求：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（10）快递应使用电子面单；</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（12）快递包装产品质量和封装方式应符合相关国家或行业标准技术指标要求。</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.绿色数据中心</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.绿色低碳管理目标和服务要求：在物业、合同能源管理等服务类采购项目需求中，要强化绿色低碳管理目标和服务要求，促进绿色产品和服务推广应用。</w:t>
      </w:r>
      <w:r/>
    </w:p>
    <w:p>
      <w:pPr>
        <w:ind w:firstLine="480"/>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eastAsia="zh-CN"/>
        </w:rPr>
        <w:t xml:space="preserve">六、</w:t>
      </w:r>
      <w:r>
        <w:rPr>
          <w:rFonts w:hint="eastAsia" w:ascii="宋体" w:hAnsi="宋体"/>
          <w:b/>
          <w:color w:val="000000"/>
          <w:sz w:val="24"/>
          <w:szCs w:val="24"/>
          <w:highlight w:val="none"/>
        </w:rPr>
        <w:t xml:space="preserve">付款方式</w:t>
      </w:r>
      <w:r/>
    </w:p>
    <w:p>
      <w:pPr>
        <w:ind w:firstLine="480"/>
        <w:spacing w:line="560" w:lineRule="exact"/>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 xml:space="preserve">全部货物安装到位并通过验收，供应商完整提交竣工资料后付至合同价的80%，供应商同步报送完整结算资料后，采购人组织现场核查、核定实际完成工程量，自供应商提交完整结算资料之日起，核查工作期限不超过90天，双方确认最终结算价款后根据相关手续支付尾款。</w:t>
      </w:r>
      <w:r/>
    </w:p>
    <w:p>
      <w:pPr>
        <w:ind w:firstLine="480"/>
        <w:spacing w:line="560" w:lineRule="exact"/>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 xml:space="preserve">因供应商未及时提交、补齐结算资料导致结算工作延迟的，前述90日核查期限相应顺延，采购人不承担结算滞后相关责任。采购人书面催告后供应商仍拒不报送完整结算资料，采购人可依据现有已掌握资料核定工程量办理结算，供应商不得提出异议。</w:t>
      </w:r>
      <w:r/>
    </w:p>
    <w:p>
      <w:pPr>
        <w:ind w:firstLine="480"/>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eastAsia="zh-CN"/>
        </w:rPr>
        <w:t xml:space="preserve">七、</w:t>
      </w:r>
      <w:r>
        <w:rPr>
          <w:rFonts w:hint="eastAsia" w:ascii="宋体" w:hAnsi="宋体"/>
          <w:b/>
          <w:color w:val="000000"/>
          <w:sz w:val="24"/>
          <w:szCs w:val="24"/>
          <w:highlight w:val="none"/>
        </w:rPr>
        <w:t xml:space="preserve">履约保证金：</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7.1</w:t>
      </w:r>
      <w:r>
        <w:rPr>
          <w:rFonts w:hint="eastAsia" w:ascii="宋体" w:hAnsi="宋体"/>
          <w:color w:val="000000"/>
          <w:sz w:val="24"/>
          <w:szCs w:val="24"/>
          <w:highlight w:val="none"/>
        </w:rPr>
        <w:t xml:space="preserve">本项目履约保证金</w:t>
      </w:r>
      <w:r>
        <w:rPr>
          <w:rFonts w:hint="eastAsia" w:ascii="宋体" w:hAnsi="宋体"/>
          <w:color w:val="000000"/>
          <w:sz w:val="24"/>
          <w:szCs w:val="24"/>
          <w:highlight w:val="none"/>
          <w:lang w:eastAsia="zh-CN"/>
        </w:rPr>
        <w:t xml:space="preserve">按合同价的</w:t>
      </w:r>
      <w:r>
        <w:rPr>
          <w:rFonts w:hint="eastAsia" w:ascii="宋体" w:hAnsi="宋体"/>
          <w:color w:val="000000"/>
          <w:sz w:val="24"/>
          <w:szCs w:val="24"/>
          <w:highlight w:val="none"/>
          <w:lang w:val="en-US" w:eastAsia="zh-CN"/>
        </w:rPr>
        <w:t xml:space="preserve">5%收取</w:t>
      </w:r>
      <w:r>
        <w:rPr>
          <w:rFonts w:hint="eastAsia" w:ascii="宋体" w:hAnsi="宋体"/>
          <w:color w:val="000000"/>
          <w:sz w:val="24"/>
          <w:szCs w:val="24"/>
          <w:highlight w:val="none"/>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7.2</w:t>
      </w:r>
      <w:r>
        <w:rPr>
          <w:rFonts w:hint="eastAsia" w:ascii="宋体" w:hAnsi="宋体"/>
          <w:color w:val="000000"/>
          <w:sz w:val="24"/>
          <w:szCs w:val="24"/>
          <w:highlight w:val="none"/>
        </w:rPr>
        <w:t xml:space="preserve">成交供应商全部</w:t>
      </w:r>
      <w:r>
        <w:rPr>
          <w:rFonts w:hint="eastAsia" w:ascii="宋体" w:hAnsi="宋体"/>
          <w:color w:val="000000"/>
          <w:sz w:val="24"/>
          <w:szCs w:val="24"/>
          <w:highlight w:val="none"/>
          <w:lang w:eastAsia="zh-CN"/>
        </w:rPr>
        <w:t xml:space="preserve">履行合同</w:t>
      </w:r>
      <w:r>
        <w:rPr>
          <w:rFonts w:hint="eastAsia" w:ascii="宋体" w:hAnsi="宋体"/>
          <w:color w:val="000000"/>
          <w:sz w:val="24"/>
          <w:szCs w:val="24"/>
          <w:highlight w:val="none"/>
        </w:rPr>
        <w:t xml:space="preserve">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7.3</w:t>
      </w:r>
      <w:r>
        <w:rPr>
          <w:rFonts w:hint="eastAsia" w:ascii="宋体" w:hAnsi="宋体"/>
          <w:color w:val="000000"/>
          <w:sz w:val="24"/>
          <w:szCs w:val="24"/>
          <w:highlight w:val="none"/>
        </w:rPr>
        <w:t xml:space="preserve">发生以下情况的，履约保证金不予退还或部分退还：</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、合同条款（详见附件）</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eastAsia="黑体"/>
          <w:bCs/>
          <w:color w:val="000000"/>
          <w:sz w:val="44"/>
          <w:szCs w:val="28"/>
          <w:highlight w:val="none"/>
        </w:rPr>
      </w:pPr>
      <w:r>
        <w:rPr>
          <w:rFonts w:hint="eastAsia" w:ascii="黑体" w:eastAsia="黑体"/>
          <w:bCs/>
          <w:color w:val="000000"/>
          <w:sz w:val="44"/>
          <w:szCs w:val="28"/>
          <w:highlight w:val="none"/>
        </w:rPr>
        <w:br w:type="page" w:clear="all"/>
      </w:r>
      <w:r/>
    </w:p>
    <w:p>
      <w:pPr>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w:t>
      </w:r>
      <w:r>
        <w:rPr>
          <w:rFonts w:hint="eastAsia" w:ascii="黑体" w:eastAsia="黑体"/>
          <w:bCs/>
          <w:color w:val="000000"/>
          <w:sz w:val="44"/>
          <w:szCs w:val="28"/>
          <w:highlight w:val="none"/>
          <w:lang w:eastAsia="zh-CN"/>
        </w:rPr>
        <w:t xml:space="preserve">四</w:t>
      </w:r>
      <w:r>
        <w:rPr>
          <w:rFonts w:hint="eastAsia" w:ascii="黑体" w:eastAsia="黑体"/>
          <w:bCs/>
          <w:color w:val="000000"/>
          <w:sz w:val="44"/>
          <w:szCs w:val="28"/>
          <w:highlight w:val="none"/>
        </w:rPr>
        <w:t xml:space="preserve">章  </w:t>
      </w:r>
      <w:r>
        <w:rPr>
          <w:rFonts w:hint="eastAsia" w:ascii="黑体" w:eastAsia="黑体"/>
          <w:b/>
          <w:bCs/>
          <w:color w:val="000000"/>
          <w:sz w:val="44"/>
          <w:szCs w:val="28"/>
          <w:highlight w:val="none"/>
        </w:rPr>
        <w:t xml:space="preserve">评标方法与评标标准</w:t>
      </w:r>
      <w:r/>
    </w:p>
    <w:p>
      <w:pPr>
        <w:pStyle w:val="926"/>
        <w:ind w:firstLine="439"/>
        <w:spacing w:before="0" w:after="0" w:line="560" w:lineRule="exact"/>
        <w:rPr>
          <w:rFonts w:hint="eastAsia"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 xml:space="preserve">排名第一的中标候选人。</w:t>
      </w:r>
      <w:r/>
    </w:p>
    <w:p>
      <w:pPr>
        <w:pStyle w:val="926"/>
        <w:ind w:firstLine="439"/>
        <w:spacing w:before="0" w:after="0" w:line="560" w:lineRule="exact"/>
        <w:rPr>
          <w:rFonts w:hint="eastAsia" w:cs="Arial"/>
          <w:color w:val="000000"/>
          <w:highlight w:val="none"/>
        </w:rPr>
      </w:pPr>
      <w:r>
        <w:rPr>
          <w:rFonts w:hint="eastAsia" w:cs="Arial"/>
          <w:color w:val="000000"/>
          <w:highlight w:val="none"/>
        </w:rPr>
        <w:t xml:space="preserve">评委在认真审阅投标文件的基础上，根据各投标文件的响应程度独立评判，不得统一打分。</w:t>
      </w:r>
      <w:r/>
    </w:p>
    <w:p>
      <w:pPr>
        <w:pStyle w:val="926"/>
        <w:ind w:firstLine="441"/>
        <w:spacing w:before="0" w:after="0" w:line="560" w:lineRule="exact"/>
        <w:rPr>
          <w:rFonts w:hint="eastAsia" w:cs="Arial"/>
          <w:b/>
          <w:color w:val="000000"/>
          <w:highlight w:val="none"/>
        </w:rPr>
      </w:pPr>
      <w:r>
        <w:rPr>
          <w:rFonts w:hint="eastAsia" w:cs="Arial"/>
          <w:b/>
          <w:color w:val="000000"/>
          <w:highlight w:val="none"/>
        </w:rPr>
        <w:t xml:space="preserve">（一）采购人（代表）对投标人资格进行审查。</w:t>
      </w:r>
      <w:r/>
    </w:p>
    <w:p>
      <w:pPr>
        <w:pStyle w:val="926"/>
        <w:ind w:firstLine="439"/>
        <w:spacing w:before="0" w:after="0" w:line="560" w:lineRule="exact"/>
        <w:rPr>
          <w:rFonts w:hint="eastAsia" w:cs="Arial"/>
          <w:color w:val="000000"/>
          <w:highlight w:val="none"/>
        </w:rPr>
      </w:pPr>
      <w:r>
        <w:rPr>
          <w:rFonts w:hint="eastAsia" w:cs="Arial"/>
          <w:color w:val="000000"/>
          <w:highlight w:val="none"/>
        </w:rPr>
        <w:t xml:space="preserve">投标人资格不合格的，其投标文件判定为无效投标文件。</w:t>
      </w:r>
      <w:r/>
    </w:p>
    <w:p>
      <w:pPr>
        <w:pStyle w:val="926"/>
        <w:ind w:firstLine="441"/>
        <w:spacing w:before="0" w:after="0" w:line="560" w:lineRule="exact"/>
        <w:rPr>
          <w:rFonts w:hint="eastAsia" w:cs="Arial"/>
          <w:b/>
          <w:color w:val="000000"/>
          <w:highlight w:val="none"/>
        </w:rPr>
      </w:pPr>
      <w:r>
        <w:rPr>
          <w:rFonts w:hint="eastAsia" w:cs="Arial"/>
          <w:b/>
          <w:color w:val="000000"/>
          <w:highlight w:val="none"/>
        </w:rPr>
        <w:t xml:space="preserve">（二）评标委员会对符合资格投标人的投标文件进行符合性审查。</w:t>
      </w:r>
      <w:r/>
    </w:p>
    <w:p>
      <w:pPr>
        <w:pStyle w:val="926"/>
        <w:ind w:firstLine="439"/>
        <w:spacing w:before="0" w:after="0" w:line="560" w:lineRule="exact"/>
        <w:rPr>
          <w:rFonts w:hint="eastAsia" w:cs="Arial"/>
          <w:color w:val="000000"/>
          <w:highlight w:val="none"/>
        </w:rPr>
      </w:pPr>
      <w:r>
        <w:rPr>
          <w:rFonts w:hint="eastAsia" w:cs="Arial"/>
          <w:color w:val="000000"/>
          <w:highlight w:val="none"/>
        </w:rPr>
        <w:t xml:space="preserve">未通过符合性审查的投标文件，将被判为不满足招标文件实质性要求。 </w:t>
      </w:r>
      <w:r/>
    </w:p>
    <w:p>
      <w:pPr>
        <w:pStyle w:val="926"/>
        <w:ind w:firstLine="441"/>
        <w:spacing w:before="0" w:after="0" w:line="560" w:lineRule="exact"/>
        <w:rPr>
          <w:rFonts w:hint="eastAsia" w:cs="Arial"/>
          <w:b/>
          <w:color w:val="000000"/>
          <w:highlight w:val="none"/>
        </w:rPr>
      </w:pPr>
      <w:r>
        <w:rPr>
          <w:rFonts w:hint="eastAsia" w:cs="Arial"/>
          <w:b/>
          <w:color w:val="000000"/>
          <w:highlight w:val="none"/>
        </w:rPr>
        <w:t xml:space="preserve">（三）商务技术分：</w:t>
      </w:r>
      <w:r>
        <w:rPr>
          <w:rFonts w:hint="eastAsia" w:cs="Arial"/>
          <w:b/>
          <w:color w:val="000000"/>
          <w:highlight w:val="none"/>
          <w:lang w:val="en-US" w:eastAsia="zh-CN"/>
        </w:rPr>
        <w:t xml:space="preserve">70</w:t>
      </w:r>
      <w:r>
        <w:rPr>
          <w:rFonts w:hint="eastAsia" w:cs="Arial"/>
          <w:b/>
          <w:color w:val="000000"/>
          <w:highlight w:val="none"/>
        </w:rPr>
        <w:t xml:space="preserve">分</w:t>
      </w:r>
      <w:r/>
    </w:p>
    <w:p>
      <w:pPr>
        <w:pStyle w:val="926"/>
        <w:ind w:firstLine="439"/>
        <w:spacing w:before="0" w:after="0" w:line="560" w:lineRule="exact"/>
        <w:rPr>
          <w:rFonts w:hint="eastAsia" w:cs="Arial"/>
          <w:color w:val="000000"/>
          <w:highlight w:val="none"/>
        </w:rPr>
      </w:pPr>
      <w:r>
        <w:rPr>
          <w:rFonts w:hint="eastAsia" w:cs="Arial"/>
          <w:color w:val="000000"/>
          <w:highlight w:val="none"/>
        </w:rPr>
        <w:t xml:space="preserve">各投标人得分为评委会成员评分的算术平均分，分值保留小数点后两位。</w:t>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1491"/>
        <w:gridCol w:w="720"/>
        <w:gridCol w:w="6492"/>
      </w:tblGrid>
      <w:tr>
        <w:trPr>
          <w:jc w:val="center"/>
        </w:trPr>
        <w:tc>
          <w:tcPr>
            <w:tcW w:w="52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序号</w:t>
            </w:r>
            <w:r/>
          </w:p>
        </w:tc>
        <w:tc>
          <w:tcPr>
            <w:tcW w:w="1491"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评分点名称</w:t>
            </w:r>
            <w:r/>
          </w:p>
        </w:tc>
        <w:tc>
          <w:tcPr>
            <w:tcW w:w="720"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分值</w:t>
            </w:r>
            <w:r/>
          </w:p>
        </w:tc>
        <w:tc>
          <w:tcPr>
            <w:tcW w:w="64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评审标准</w:t>
            </w:r>
            <w:r/>
          </w:p>
        </w:tc>
      </w:tr>
      <w:tr>
        <w:trPr>
          <w:jc w:val="center"/>
          <w:trHeight w:val="90"/>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1</w:t>
            </w:r>
            <w:r/>
          </w:p>
        </w:tc>
        <w:tc>
          <w:tcPr>
            <w:tcW w:w="149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产品技术参数响应程度</w:t>
            </w:r>
            <w:r/>
          </w:p>
        </w:tc>
        <w:tc>
          <w:tcPr>
            <w:tcW w:w="720" w:type="dxa"/>
            <w:vAlign w:val="center"/>
            <w:textDirection w:val="lrTb"/>
            <w:noWrap w:val="false"/>
          </w:tcPr>
          <w:p>
            <w:pPr>
              <w:jc w:val="left"/>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16.5</w:t>
            </w:r>
            <w:r/>
          </w:p>
        </w:tc>
        <w:tc>
          <w:tcPr>
            <w:tcW w:w="649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投标人根据项目需求中的规格参数要求对照所提供的产品填写技术部分正负偏离表，评审小组根据响应情况进行评分，全部满足技术指标要求或正偏离的得16</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分。加★项不接受负偏离。其他指标项若出现负偏离，每项扣0.1分，扣完为止。</w:t>
            </w:r>
            <w:r/>
          </w:p>
          <w:p>
            <w:pPr>
              <w:jc w:val="left"/>
              <w:widowControl/>
              <w:rPr>
                <w:rFonts w:ascii="宋体" w:hAnsi="宋体" w:cs="宋体"/>
                <w:color w:val="000000"/>
                <w:szCs w:val="21"/>
              </w:rPr>
            </w:pPr>
            <w:r>
              <w:rPr>
                <w:rFonts w:hint="eastAsia" w:ascii="宋体" w:hAnsi="宋体" w:cs="宋体"/>
                <w:color w:val="000000"/>
                <w:szCs w:val="21"/>
              </w:rPr>
              <w:t xml:space="preserve">本项目除文件规定需提供材料的内容必须提供证明材料（原件扫描件加盖投标人单位盖章），其他需在技术偏离表中做出说明（需真实填写，即正偏离、负偏离、无偏离，国家强制性标准的不接受负偏离，如负偏离做无效标处理）。</w:t>
            </w:r>
            <w:r/>
          </w:p>
        </w:tc>
      </w:tr>
      <w:tr>
        <w:trPr>
          <w:jc w:val="center"/>
          <w:trHeight w:val="90"/>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2</w:t>
            </w:r>
            <w:r/>
          </w:p>
        </w:tc>
        <w:tc>
          <w:tcPr>
            <w:tcW w:w="1491" w:type="dxa"/>
            <w:vAlign w:val="center"/>
            <w:textDirection w:val="lrTb"/>
            <w:noWrap w:val="false"/>
          </w:tcPr>
          <w:p>
            <w:pPr>
              <w:jc w:val="center"/>
              <w:widowControl/>
              <w:rPr>
                <w:rFonts w:ascii="宋体" w:hAnsi="宋体" w:cs="宋体"/>
                <w:color w:val="000000"/>
                <w:sz w:val="18"/>
                <w:szCs w:val="18"/>
              </w:rPr>
            </w:pPr>
            <w:r>
              <w:rPr>
                <w:rFonts w:hint="eastAsia" w:ascii="宋体" w:hAnsi="宋体"/>
                <w:color w:val="000000"/>
                <w:szCs w:val="21"/>
              </w:rPr>
              <w:t xml:space="preserve">响应企业综合实力</w:t>
            </w:r>
            <w:r/>
          </w:p>
        </w:tc>
        <w:tc>
          <w:tcPr>
            <w:tcW w:w="720" w:type="dxa"/>
            <w:vAlign w:val="center"/>
            <w:textDirection w:val="lrTb"/>
            <w:noWrap w:val="false"/>
          </w:tcPr>
          <w:p>
            <w:pPr>
              <w:jc w:val="center"/>
              <w:widowControl/>
              <w:rPr>
                <w:rFonts w:ascii="宋体" w:hAnsi="宋体"/>
                <w:bCs/>
                <w:color w:val="000000"/>
                <w:szCs w:val="21"/>
              </w:rPr>
            </w:pPr>
            <w:r>
              <w:rPr>
                <w:rFonts w:hint="eastAsia" w:ascii="宋体" w:hAnsi="宋体"/>
                <w:bCs/>
                <w:color w:val="000000"/>
                <w:szCs w:val="21"/>
              </w:rPr>
              <w:t xml:space="preserve">7</w:t>
            </w:r>
            <w:r/>
          </w:p>
        </w:tc>
        <w:tc>
          <w:tcPr>
            <w:tcW w:w="649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1.投标人具备ISO 9001质量管理体系认证证书、ISO 14001 环境管理体系认证证书、ISO45001 职业健康安全管理体系认证证书，以上认证有一个得1分，没有不得分；本项3分。</w:t>
            </w:r>
            <w:r/>
          </w:p>
          <w:p>
            <w:pPr>
              <w:jc w:val="left"/>
              <w:widowControl/>
              <w:rPr>
                <w:rFonts w:ascii="宋体" w:hAnsi="宋体" w:cs="宋体"/>
                <w:color w:val="000000"/>
                <w:szCs w:val="21"/>
              </w:rPr>
            </w:pPr>
            <w:r>
              <w:rPr>
                <w:rFonts w:hint="eastAsia" w:ascii="宋体" w:hAnsi="宋体" w:cs="宋体"/>
                <w:color w:val="000000"/>
                <w:szCs w:val="21"/>
              </w:rPr>
              <w:t xml:space="preserve">2.投标人提供类似暖通类水系统管材业绩，每提供1个得2分，本项最高得2分。</w:t>
            </w:r>
            <w:r/>
          </w:p>
          <w:p>
            <w:pPr>
              <w:jc w:val="left"/>
              <w:widowControl/>
              <w:rPr>
                <w:rFonts w:ascii="宋体" w:hAnsi="宋体" w:cs="宋体"/>
                <w:color w:val="000000"/>
                <w:szCs w:val="21"/>
              </w:rPr>
            </w:pPr>
            <w:r>
              <w:rPr>
                <w:rFonts w:hint="eastAsia" w:ascii="宋体" w:hAnsi="宋体" w:cs="宋体"/>
                <w:color w:val="000000"/>
                <w:szCs w:val="21"/>
              </w:rPr>
              <w:t xml:space="preserve">3.投标人提供类似公共建筑类中央空调水系统管路改造工程业绩，每提供1个得2分，本项最高得2分。</w:t>
            </w:r>
            <w:r/>
          </w:p>
          <w:p>
            <w:pPr>
              <w:jc w:val="left"/>
              <w:widowControl/>
              <w:rPr>
                <w:rFonts w:ascii="宋体" w:hAnsi="宋体" w:cs="宋体"/>
                <w:color w:val="000000"/>
                <w:szCs w:val="21"/>
              </w:rPr>
            </w:pPr>
            <w:r>
              <w:rPr>
                <w:rFonts w:hint="eastAsia" w:ascii="宋体" w:hAnsi="宋体" w:cs="宋体"/>
                <w:color w:val="000000"/>
                <w:szCs w:val="21"/>
              </w:rPr>
              <w:t xml:space="preserve">注:须同时提供合同及验收证明材料原件扫描件加盖投标人单位公章，提供资料不全或不满足上述要求的不得分。</w:t>
            </w:r>
            <w:r/>
          </w:p>
        </w:tc>
      </w:tr>
      <w:tr>
        <w:trPr>
          <w:jc w:val="center"/>
          <w:trHeight w:val="648"/>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3</w:t>
            </w:r>
            <w:r/>
          </w:p>
        </w:tc>
        <w:tc>
          <w:tcPr>
            <w:tcW w:w="1491" w:type="dxa"/>
            <w:vAlign w:val="center"/>
            <w:textDirection w:val="lrTb"/>
            <w:noWrap w:val="false"/>
          </w:tcPr>
          <w:p>
            <w:pPr>
              <w:jc w:val="center"/>
              <w:widowControl/>
              <w:rPr>
                <w:rFonts w:ascii="宋体" w:hAnsi="宋体" w:cs="宋体"/>
                <w:color w:val="000000"/>
                <w:sz w:val="18"/>
                <w:szCs w:val="18"/>
              </w:rPr>
            </w:pPr>
            <w:r>
              <w:rPr>
                <w:rFonts w:hint="eastAsia" w:ascii="宋体" w:hAnsi="宋体"/>
                <w:color w:val="000000"/>
                <w:szCs w:val="21"/>
              </w:rPr>
              <w:t xml:space="preserve">产品及资质</w:t>
            </w:r>
            <w:r/>
          </w:p>
        </w:tc>
        <w:tc>
          <w:tcPr>
            <w:tcW w:w="720" w:type="dxa"/>
            <w:vAlign w:val="center"/>
            <w:textDirection w:val="lrTb"/>
            <w:noWrap w:val="false"/>
          </w:tcPr>
          <w:p>
            <w:pPr>
              <w:jc w:val="center"/>
              <w:widowControl/>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23.5</w:t>
            </w:r>
            <w:r/>
          </w:p>
        </w:tc>
        <w:tc>
          <w:tcPr>
            <w:tcW w:w="649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1、投标管道产品具有在有效期内的CMA或CNAS标志的技术鉴定证书或产品质量检测合格报告有1个得1分，本项最高得4分。</w:t>
            </w:r>
            <w:r/>
          </w:p>
          <w:p>
            <w:pPr>
              <w:jc w:val="left"/>
              <w:widowControl/>
              <w:rPr>
                <w:rFonts w:ascii="宋体" w:hAnsi="宋体" w:cs="宋体"/>
                <w:color w:val="000000"/>
                <w:szCs w:val="21"/>
              </w:rPr>
            </w:pPr>
            <w:r>
              <w:rPr>
                <w:rFonts w:hint="eastAsia" w:ascii="宋体" w:hAnsi="宋体" w:cs="宋体"/>
                <w:color w:val="000000"/>
                <w:szCs w:val="21"/>
              </w:rPr>
              <w:t xml:space="preserve">2、投标管道产品通过有CNAS资质的测试中心测试管道系统可靠性的，管材管件连接冷热水循环实验5000次及以上周期测试，得2分。</w:t>
            </w:r>
            <w:r/>
          </w:p>
          <w:p>
            <w:pPr>
              <w:jc w:val="left"/>
              <w:widowControl/>
              <w:rPr>
                <w:rFonts w:ascii="宋体" w:hAnsi="宋体" w:cs="宋体"/>
                <w:color w:val="000000"/>
                <w:szCs w:val="21"/>
              </w:rPr>
            </w:pPr>
            <w:r>
              <w:rPr>
                <w:rFonts w:hint="eastAsia" w:ascii="宋体" w:hAnsi="宋体" w:cs="宋体"/>
                <w:color w:val="000000"/>
                <w:szCs w:val="21"/>
              </w:rPr>
              <w:t xml:space="preserve">3、投标管道产品通过有CNAS资质的测试中心测试管道系统可靠性的，管材管件连接高低压循环压力冲击试验10000次周期及以上测试，得2分。</w:t>
            </w:r>
            <w:r/>
          </w:p>
          <w:p>
            <w:pPr>
              <w:jc w:val="left"/>
              <w:widowControl/>
              <w:rPr>
                <w:rFonts w:ascii="宋体" w:hAnsi="宋体" w:cs="宋体"/>
                <w:color w:val="000000"/>
                <w:szCs w:val="21"/>
              </w:rPr>
            </w:pPr>
            <w:r>
              <w:rPr>
                <w:rFonts w:hint="eastAsia" w:ascii="宋体" w:hAnsi="宋体" w:cs="宋体"/>
                <w:color w:val="000000"/>
                <w:szCs w:val="21"/>
              </w:rPr>
              <w:t xml:space="preserve">4、投标管道产品具有管道生产、研发、焊接、安装相关的发明专利证书，每提供一项得0.5分，最高得</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5、投标管道产品获得住房和城乡建设部颁发的建设行业科技成果证书的得2分或者具有国家级绿色建材认证证书的得2分；本项最高的2分。</w:t>
            </w:r>
            <w:r/>
          </w:p>
          <w:p>
            <w:pPr>
              <w:jc w:val="left"/>
              <w:widowControl/>
              <w:rPr>
                <w:rFonts w:ascii="宋体" w:hAnsi="宋体" w:cs="宋体"/>
                <w:color w:val="000000"/>
                <w:szCs w:val="21"/>
              </w:rPr>
            </w:pPr>
            <w:r>
              <w:rPr>
                <w:rFonts w:hint="eastAsia" w:ascii="宋体" w:hAnsi="宋体" w:cs="宋体"/>
                <w:color w:val="000000"/>
                <w:szCs w:val="21"/>
              </w:rPr>
              <w:t xml:space="preserve">6、投标泵组中水泵的效率不低于80%，需提供水泵运行截图（曲线图或其他能证明性能的截图）并加盖投标人单位公章，得2分。</w:t>
            </w:r>
            <w:r/>
          </w:p>
          <w:p>
            <w:pPr>
              <w:pStyle w:val="672"/>
              <w:rPr>
                <w:rFonts w:ascii="宋体" w:hAnsi="宋体" w:cs="宋体"/>
                <w:color w:val="000000"/>
                <w:szCs w:val="21"/>
              </w:rPr>
            </w:pPr>
            <w:r>
              <w:rPr>
                <w:rFonts w:hint="eastAsia" w:ascii="宋体" w:hAnsi="宋体" w:cs="宋体"/>
                <w:color w:val="000000"/>
                <w:szCs w:val="21"/>
              </w:rPr>
              <w:t xml:space="preserve">7、</w:t>
            </w:r>
            <w:r>
              <w:rPr>
                <w:rFonts w:hint="eastAsia" w:ascii="宋体" w:hAnsi="宋体"/>
                <w:color w:val="000000"/>
                <w:szCs w:val="21"/>
              </w:rPr>
              <w:t xml:space="preserve">投标自控中网络控制引擎需采用一个嵌入设备，同时支持多种现场总线，以便连接远程I/O和独立控制器，并兼容LonWorks®、BACnet®、Modbus、oBIX 和互联网标准，需提供产品运行截图或图纸等资料并加盖投标人单位公章，得2分。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8、投标锅炉的热效率不低于98%，每高一个百分点，加0.5分，最高不超过3分，提供CNAS/CMA认证专业第三方检测报告并加盖投标人单位公章；氮氧化物排放、排烟温度具有在有效期内的CNAS/CMA认证专业第三方检测报告，有一个检测报告得1.5分，最高得3分，本项目最高得6分。</w:t>
            </w:r>
            <w:r/>
          </w:p>
          <w:p>
            <w:pPr>
              <w:jc w:val="left"/>
              <w:widowControl/>
              <w:rPr>
                <w:rFonts w:ascii="宋体" w:hAnsi="宋体" w:cs="宋体"/>
                <w:color w:val="000000"/>
                <w:szCs w:val="21"/>
              </w:rPr>
            </w:pPr>
            <w:r>
              <w:rPr>
                <w:rFonts w:hint="eastAsia" w:ascii="宋体" w:hAnsi="宋体" w:cs="宋体"/>
                <w:color w:val="000000"/>
                <w:szCs w:val="21"/>
              </w:rPr>
              <w:t xml:space="preserve">注：投标单位需提供上述要求的相关证书原件扫描件或者图片加盖投标人单位公章，未提供材料或提供材料不满足上述要求的不得分。</w:t>
            </w:r>
            <w:r/>
          </w:p>
        </w:tc>
      </w:tr>
      <w:tr>
        <w:trPr>
          <w:jc w:val="center"/>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4</w:t>
            </w:r>
            <w:r/>
          </w:p>
        </w:tc>
        <w:tc>
          <w:tcPr>
            <w:tcW w:w="149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项目组人员配备、素质及管理经验</w:t>
            </w:r>
            <w:r/>
          </w:p>
          <w:p>
            <w:pPr>
              <w:jc w:val="center"/>
              <w:widowControl/>
              <w:rPr>
                <w:rFonts w:ascii="宋体" w:hAnsi="宋体" w:cs="宋体"/>
                <w:color w:val="000000"/>
                <w:sz w:val="18"/>
                <w:szCs w:val="18"/>
              </w:rPr>
            </w:pPr>
            <w:r>
              <w:rPr>
                <w:rFonts w:ascii="宋体" w:hAnsi="宋体" w:cs="宋体"/>
                <w:color w:val="000000"/>
                <w:sz w:val="18"/>
                <w:szCs w:val="18"/>
              </w:rPr>
            </w:r>
            <w:r/>
          </w:p>
        </w:tc>
        <w:tc>
          <w:tcPr>
            <w:tcW w:w="72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8</w:t>
            </w:r>
            <w:r/>
          </w:p>
        </w:tc>
        <w:tc>
          <w:tcPr>
            <w:tcW w:w="649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1.投标人拟派项目负责人具有机电一级建造师证书的得2分，具有机电类专业高级职称得2分，本项最高得4分。</w:t>
            </w:r>
            <w:r/>
          </w:p>
          <w:p>
            <w:pPr>
              <w:jc w:val="left"/>
              <w:widowControl/>
              <w:rPr>
                <w:rFonts w:ascii="宋体" w:hAnsi="宋体" w:cs="宋体"/>
                <w:color w:val="000000"/>
                <w:szCs w:val="21"/>
              </w:rPr>
            </w:pPr>
            <w:r>
              <w:rPr>
                <w:rFonts w:hint="eastAsia" w:ascii="宋体" w:hAnsi="宋体" w:cs="宋体"/>
                <w:color w:val="000000"/>
                <w:szCs w:val="21"/>
              </w:rPr>
              <w:t xml:space="preserve">2.投标人根据项目实际情况合理安排项目实施其他成员，其中具体3名及以上人员具有</w:t>
            </w:r>
            <w:r>
              <w:rPr>
                <w:rFonts w:hint="eastAsia" w:ascii="宋体" w:hAnsi="宋体" w:cs="宋体"/>
                <w:color w:val="000000"/>
                <w:szCs w:val="21"/>
                <w:lang w:eastAsia="zh-CN"/>
              </w:rPr>
              <w:t xml:space="preserve">市场监督管理部门颁发的《</w:t>
            </w:r>
            <w:r>
              <w:rPr>
                <w:rFonts w:hint="eastAsia" w:ascii="宋体" w:hAnsi="宋体" w:cs="宋体"/>
                <w:color w:val="000000"/>
                <w:szCs w:val="21"/>
              </w:rPr>
              <w:t xml:space="preserve">特种设备</w:t>
            </w:r>
            <w:r>
              <w:rPr>
                <w:rFonts w:hint="eastAsia" w:ascii="宋体" w:hAnsi="宋体" w:cs="宋体"/>
                <w:color w:val="000000"/>
                <w:szCs w:val="21"/>
                <w:lang w:eastAsia="zh-CN"/>
              </w:rPr>
              <w:t xml:space="preserve">作业人员证》</w:t>
            </w:r>
            <w:r>
              <w:rPr>
                <w:rFonts w:hint="eastAsia" w:ascii="宋体" w:hAnsi="宋体" w:cs="宋体"/>
                <w:color w:val="000000"/>
                <w:szCs w:val="21"/>
              </w:rPr>
              <w:t xml:space="preserve">的得4分；具体2名人员具有</w:t>
            </w:r>
            <w:r>
              <w:rPr>
                <w:rFonts w:hint="eastAsia" w:ascii="宋体" w:hAnsi="宋体" w:cs="宋体"/>
                <w:color w:val="000000"/>
                <w:szCs w:val="21"/>
                <w:lang w:eastAsia="zh-CN"/>
              </w:rPr>
              <w:t xml:space="preserve">市场监督管理部门颁发的《</w:t>
            </w:r>
            <w:r>
              <w:rPr>
                <w:rFonts w:hint="eastAsia" w:ascii="宋体" w:hAnsi="宋体" w:cs="宋体"/>
                <w:color w:val="000000"/>
                <w:szCs w:val="21"/>
              </w:rPr>
              <w:t xml:space="preserve">特种设备</w:t>
            </w:r>
            <w:r>
              <w:rPr>
                <w:rFonts w:hint="eastAsia" w:ascii="宋体" w:hAnsi="宋体" w:cs="宋体"/>
                <w:color w:val="000000"/>
                <w:szCs w:val="21"/>
                <w:lang w:eastAsia="zh-CN"/>
              </w:rPr>
              <w:t xml:space="preserve">作业人员证》</w:t>
            </w:r>
            <w:r>
              <w:rPr>
                <w:rFonts w:hint="eastAsia" w:ascii="宋体" w:hAnsi="宋体" w:cs="宋体"/>
                <w:color w:val="000000"/>
                <w:szCs w:val="21"/>
              </w:rPr>
              <w:t xml:space="preserve">的得2分；具体1名人员具有</w:t>
            </w:r>
            <w:r>
              <w:rPr>
                <w:rFonts w:hint="eastAsia" w:ascii="宋体" w:hAnsi="宋体" w:cs="宋体"/>
                <w:color w:val="000000"/>
                <w:szCs w:val="21"/>
                <w:lang w:eastAsia="zh-CN"/>
              </w:rPr>
              <w:t xml:space="preserve">市场监督管理部门颁发的《</w:t>
            </w:r>
            <w:r>
              <w:rPr>
                <w:rFonts w:hint="eastAsia" w:ascii="宋体" w:hAnsi="宋体" w:cs="宋体"/>
                <w:color w:val="000000"/>
                <w:szCs w:val="21"/>
              </w:rPr>
              <w:t xml:space="preserve">特种设备</w:t>
            </w:r>
            <w:r>
              <w:rPr>
                <w:rFonts w:hint="eastAsia" w:ascii="宋体" w:hAnsi="宋体" w:cs="宋体"/>
                <w:color w:val="000000"/>
                <w:szCs w:val="21"/>
                <w:lang w:eastAsia="zh-CN"/>
              </w:rPr>
              <w:t xml:space="preserve">作业人员证》</w:t>
            </w:r>
            <w:r>
              <w:rPr>
                <w:rFonts w:hint="eastAsia" w:ascii="宋体" w:hAnsi="宋体" w:cs="宋体"/>
                <w:color w:val="000000"/>
                <w:szCs w:val="21"/>
              </w:rPr>
              <w:t xml:space="preserve">的得1分；本项最高得4分。</w:t>
            </w:r>
            <w:r/>
          </w:p>
          <w:p>
            <w:pPr>
              <w:jc w:val="left"/>
              <w:widowControl/>
              <w:rPr>
                <w:rFonts w:ascii="宋体" w:hAnsi="宋体" w:cs="宋体"/>
                <w:color w:val="000000"/>
                <w:szCs w:val="21"/>
              </w:rPr>
            </w:pPr>
            <w:r>
              <w:rPr>
                <w:rFonts w:hint="eastAsia" w:ascii="宋体" w:hAnsi="宋体" w:cs="宋体"/>
                <w:color w:val="000000"/>
                <w:szCs w:val="21"/>
              </w:rPr>
              <w:t xml:space="preserve">注：投标单位提供服务人员组成表，同时提供上述人员的相关证书原件扫描件及投标单位近期为其缴纳的社保证明材料加盖投标人单位公章，未提供材料或提供材料不满足上述要求的不得分。</w:t>
            </w:r>
            <w:r/>
          </w:p>
        </w:tc>
      </w:tr>
      <w:tr>
        <w:trPr>
          <w:jc w:val="center"/>
          <w:trHeight w:val="399"/>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5</w:t>
            </w:r>
            <w:r/>
          </w:p>
        </w:tc>
        <w:tc>
          <w:tcPr>
            <w:tcW w:w="149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Cs w:val="21"/>
              </w:rPr>
              <w:t xml:space="preserve">实施组织总体设想及技术措施方案</w:t>
            </w:r>
            <w:r/>
          </w:p>
        </w:tc>
        <w:tc>
          <w:tcPr>
            <w:tcW w:w="72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4</w:t>
            </w:r>
            <w:r/>
          </w:p>
        </w:tc>
        <w:tc>
          <w:tcPr>
            <w:tcW w:w="649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投标人提供对于本项目实施过程中的实施组织总体设想及技术措施方案，方案内容包含：1.合理的供货方案及技术措施；2.运输方案及技术措施；3.安装方案及技术措施；4.验收方案及技术措施。</w:t>
            </w:r>
            <w:r/>
          </w:p>
          <w:p>
            <w:pPr>
              <w:jc w:val="left"/>
              <w:widowControl/>
              <w:rPr>
                <w:rFonts w:ascii="宋体" w:hAnsi="宋体" w:cs="宋体"/>
                <w:color w:val="000000"/>
                <w:szCs w:val="21"/>
              </w:rPr>
            </w:pPr>
            <w:r>
              <w:rPr>
                <w:rFonts w:hint="eastAsia" w:ascii="宋体" w:hAnsi="宋体" w:cs="宋体"/>
                <w:color w:val="000000"/>
                <w:szCs w:val="21"/>
              </w:rPr>
              <w:t xml:space="preserve">方案包含以上内容且满足项目实际需求没有缺陷的得4分，每缺少一项内容扣</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分。方案中每有一处缺陷的扣0.</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扣完为止。（缺陷是指：①方案内容及技术措施与项目无关；②方案内容及技术措施表述错误；③方案内容及技术措施前后表述矛盾；④方案内容及技术措施非专门针对本项目或不适用本项目的特性；⑤项目名称、实施地点、实施内容、涉及的规范、标准与本项目要求不一致等。）</w:t>
            </w:r>
            <w:r/>
          </w:p>
        </w:tc>
      </w:tr>
      <w:tr>
        <w:trPr>
          <w:jc w:val="center"/>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6</w:t>
            </w:r>
            <w:r/>
          </w:p>
        </w:tc>
        <w:tc>
          <w:tcPr>
            <w:tcW w:w="1491" w:type="dxa"/>
            <w:vAlign w:val="center"/>
            <w:textDirection w:val="lrTb"/>
            <w:noWrap w:val="false"/>
          </w:tcPr>
          <w:p>
            <w:pPr>
              <w:jc w:val="center"/>
              <w:widowControl/>
              <w:rPr>
                <w:rFonts w:ascii="宋体" w:hAnsi="宋体" w:cs="宋体"/>
                <w:color w:val="000000"/>
                <w:sz w:val="18"/>
                <w:szCs w:val="18"/>
              </w:rPr>
            </w:pPr>
            <w:r>
              <w:rPr>
                <w:rFonts w:hint="eastAsia" w:ascii="宋体" w:hAnsi="宋体"/>
                <w:color w:val="000000"/>
                <w:szCs w:val="21"/>
              </w:rPr>
              <w:t xml:space="preserve">安全规范作业保障方案</w:t>
            </w:r>
            <w:r/>
          </w:p>
        </w:tc>
        <w:tc>
          <w:tcPr>
            <w:tcW w:w="72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4</w:t>
            </w:r>
            <w:r/>
          </w:p>
        </w:tc>
        <w:tc>
          <w:tcPr>
            <w:tcW w:w="649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投标人提供对于本项目实施全过程中的安全规范作业保障方案，方案内容包含：1.安全管理组织架构及责任体系清晰；2.安全作业装备配备及操作流程明确；3.安全隐患排查及闭环整改机制完善；4.安全培训</w:t>
            </w:r>
            <w:r>
              <w:rPr>
                <w:rFonts w:hint="eastAsia" w:ascii="宋体" w:hAnsi="宋体" w:cs="宋体"/>
                <w:color w:val="000000"/>
                <w:szCs w:val="21"/>
                <w:lang w:eastAsia="zh-CN"/>
              </w:rPr>
              <w:t xml:space="preserve">、</w:t>
            </w:r>
            <w:r>
              <w:rPr>
                <w:rFonts w:hint="eastAsia" w:ascii="宋体" w:hAnsi="宋体" w:cs="宋体"/>
                <w:color w:val="000000"/>
                <w:szCs w:val="21"/>
              </w:rPr>
              <w:t xml:space="preserve">常态化演练制度明确</w:t>
            </w:r>
            <w:r>
              <w:rPr>
                <w:rFonts w:hint="eastAsia" w:ascii="宋体" w:hAnsi="宋体" w:cs="宋体"/>
                <w:color w:val="000000"/>
                <w:szCs w:val="21"/>
                <w:lang w:eastAsia="zh-CN"/>
              </w:rPr>
              <w:t xml:space="preserve">以及</w:t>
            </w:r>
            <w:r>
              <w:rPr>
                <w:rFonts w:hint="eastAsia" w:ascii="宋体" w:hAnsi="宋体" w:cs="宋体"/>
                <w:color w:val="000000"/>
                <w:szCs w:val="21"/>
              </w:rPr>
              <w:t xml:space="preserve">作业过程监控</w:t>
            </w:r>
            <w:r>
              <w:rPr>
                <w:rFonts w:hint="eastAsia" w:ascii="宋体" w:hAnsi="宋体" w:cs="宋体"/>
                <w:color w:val="000000"/>
                <w:szCs w:val="21"/>
                <w:lang w:eastAsia="zh-CN"/>
              </w:rPr>
              <w:t xml:space="preserve">、</w:t>
            </w:r>
            <w:r>
              <w:rPr>
                <w:rFonts w:hint="eastAsia" w:ascii="宋体" w:hAnsi="宋体" w:cs="宋体"/>
                <w:color w:val="000000"/>
                <w:szCs w:val="21"/>
              </w:rPr>
              <w:t xml:space="preserve">文明作业要求清晰。</w:t>
            </w:r>
            <w:r/>
          </w:p>
          <w:p>
            <w:pPr>
              <w:jc w:val="left"/>
              <w:widowControl/>
              <w:rPr>
                <w:rFonts w:ascii="宋体" w:hAnsi="宋体" w:cs="宋体"/>
                <w:color w:val="000000"/>
                <w:szCs w:val="21"/>
              </w:rPr>
            </w:pPr>
            <w:r>
              <w:rPr>
                <w:rFonts w:hint="eastAsia" w:ascii="宋体" w:hAnsi="宋体" w:cs="宋体"/>
                <w:color w:val="000000"/>
                <w:szCs w:val="21"/>
              </w:rPr>
              <w:t xml:space="preserve">方案包含以上内容且满足项目实际需求没有缺陷的得4分；每缺少一项内容扣</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分。方案中每有一处缺陷的扣0.</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扣完为止。（缺陷是指：①内容与项目无关；②内容表述错误；③内容前后表述矛盾；④非专门针对本项目或不适用本项目的特性；⑤项目名称、实施地点、实施内容、涉及的规范、标准与本项目要求不一致等。）</w:t>
            </w:r>
            <w:r/>
          </w:p>
        </w:tc>
      </w:tr>
      <w:tr>
        <w:trPr>
          <w:jc w:val="center"/>
        </w:trPr>
        <w:tc>
          <w:tcPr>
            <w:tcW w:w="524" w:type="dxa"/>
            <w:vAlign w:val="center"/>
            <w:textDirection w:val="lrTb"/>
            <w:noWrap w:val="false"/>
          </w:tcPr>
          <w:p>
            <w:pPr>
              <w:jc w:val="center"/>
              <w:spacing w:line="520" w:lineRule="exact"/>
              <w:rPr>
                <w:rFonts w:ascii="宋体" w:hAnsi="宋体" w:cs="宋体"/>
                <w:color w:val="000000"/>
                <w:sz w:val="18"/>
                <w:szCs w:val="18"/>
              </w:rPr>
            </w:pPr>
            <w:r>
              <w:rPr>
                <w:rFonts w:hint="eastAsia" w:ascii="宋体" w:hAnsi="宋体" w:cs="宋体"/>
                <w:color w:val="000000"/>
                <w:sz w:val="18"/>
                <w:szCs w:val="18"/>
              </w:rPr>
              <w:t xml:space="preserve">7</w:t>
            </w:r>
            <w:r/>
          </w:p>
        </w:tc>
        <w:tc>
          <w:tcPr>
            <w:tcW w:w="149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售后服务保障方案</w:t>
            </w:r>
            <w:r/>
          </w:p>
          <w:p>
            <w:pPr>
              <w:jc w:val="center"/>
              <w:widowControl/>
              <w:rPr>
                <w:rFonts w:ascii="宋体" w:hAnsi="宋体" w:cs="宋体"/>
                <w:color w:val="000000"/>
                <w:sz w:val="18"/>
                <w:szCs w:val="18"/>
              </w:rPr>
            </w:pPr>
            <w:r>
              <w:rPr>
                <w:rFonts w:ascii="宋体" w:hAnsi="宋体" w:cs="宋体"/>
                <w:color w:val="000000"/>
                <w:sz w:val="18"/>
                <w:szCs w:val="18"/>
              </w:rPr>
            </w:r>
            <w:r/>
          </w:p>
        </w:tc>
        <w:tc>
          <w:tcPr>
            <w:tcW w:w="72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7</w:t>
            </w:r>
            <w:r/>
          </w:p>
        </w:tc>
        <w:tc>
          <w:tcPr>
            <w:tcW w:w="6492" w:type="dxa"/>
            <w:vAlign w:val="center"/>
            <w:textDirection w:val="lrTb"/>
            <w:noWrap w:val="false"/>
          </w:tcPr>
          <w:p>
            <w:pPr>
              <w:numPr>
                <w:ilvl w:val="0"/>
                <w:numId w:val="6"/>
              </w:numPr>
              <w:jc w:val="left"/>
              <w:widowControl/>
              <w:rPr>
                <w:rFonts w:ascii="宋体" w:hAnsi="宋体" w:cs="宋体"/>
                <w:color w:val="000000"/>
                <w:szCs w:val="21"/>
              </w:rPr>
            </w:pPr>
            <w:r>
              <w:rPr>
                <w:rFonts w:hint="eastAsia" w:ascii="宋体" w:hAnsi="宋体" w:cs="宋体"/>
                <w:color w:val="000000"/>
                <w:szCs w:val="21"/>
              </w:rPr>
              <w:t xml:space="preserve">投标人提供针对本项目的售后服务方案，内容包括：1.本次安装使用说明；2.产品使用培训计划；3.售后服务质量保证标准；4.售后服务工具配置；5.售后服务人员配置；6.本项目服务体系说明；</w:t>
            </w:r>
            <w:r/>
          </w:p>
          <w:p>
            <w:pPr>
              <w:ind w:left="0" w:firstLine="0"/>
              <w:jc w:val="left"/>
              <w:widowControl/>
              <w:rPr>
                <w:rFonts w:ascii="宋体" w:hAnsi="宋体" w:cs="宋体"/>
                <w:color w:val="000000"/>
                <w:szCs w:val="21"/>
              </w:rPr>
            </w:pPr>
            <w:r>
              <w:rPr>
                <w:rFonts w:hint="eastAsia" w:ascii="宋体" w:hAnsi="宋体" w:cs="宋体"/>
                <w:color w:val="000000"/>
                <w:szCs w:val="21"/>
              </w:rPr>
              <w:t xml:space="preserve">方案包含以上内容且满足项目实际需求没有缺陷的得3分，每缺少一项内容扣0.5分。方案中每有一处缺陷的扣0.2分，扣完为止。（缺陷是指：①方案内容与项目无关；②方案内容表述错误；③方案内容前后表述矛盾；④方案内容非专门针对本项目或不适用本项目的特性；⑤项目名称、实施地点、实施内容、涉及的规范、标准与本项目要求不一致等。）</w:t>
            </w:r>
            <w:r/>
          </w:p>
          <w:p>
            <w:pPr>
              <w:numPr>
                <w:ilvl w:val="0"/>
                <w:numId w:val="7"/>
              </w:numPr>
              <w:jc w:val="left"/>
              <w:widowControl/>
              <w:rPr>
                <w:rFonts w:ascii="宋体" w:hAnsi="宋体" w:cs="宋体"/>
                <w:color w:val="000000"/>
                <w:szCs w:val="21"/>
              </w:rPr>
            </w:pPr>
            <w:r>
              <w:rPr>
                <w:rFonts w:hint="eastAsia" w:ascii="宋体" w:hAnsi="宋体" w:cs="宋体"/>
                <w:color w:val="000000"/>
                <w:szCs w:val="21"/>
              </w:rPr>
              <w:t xml:space="preserve">投标人满足本次更换设备的质保期并承诺原厂质保期每延长1年得1分，本项最高得2分，投标人提供承诺函加盖</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单位公章，格式自拟。</w:t>
            </w:r>
            <w:r/>
          </w:p>
          <w:p>
            <w:pPr>
              <w:jc w:val="left"/>
              <w:widowControl/>
              <w:rPr>
                <w:rFonts w:ascii="宋体" w:hAnsi="宋体" w:cs="宋体"/>
                <w:color w:val="000000"/>
                <w:szCs w:val="21"/>
              </w:rPr>
            </w:pPr>
            <w:r>
              <w:rPr>
                <w:rFonts w:hint="eastAsia" w:ascii="宋体" w:hAnsi="宋体" w:cs="宋体"/>
                <w:color w:val="000000"/>
                <w:szCs w:val="21"/>
              </w:rPr>
              <w:t xml:space="preserve">3、投标人承诺为本次更换的管道及配套管件的电磁焊机提供原厂免费售后服务，并安排1名专职服务人员全程保障设备后期正常运营的得2分，投标人提供承诺书格式自拟加盖</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单位公章，不提供不得分。</w:t>
            </w:r>
            <w:r/>
          </w:p>
        </w:tc>
      </w:tr>
    </w:tbl>
    <w:p>
      <w:pPr>
        <w:pStyle w:val="926"/>
        <w:ind w:left="0" w:firstLine="480"/>
        <w:spacing w:before="0" w:after="0" w:line="520" w:lineRule="exact"/>
        <w:rPr>
          <w:rFonts w:hint="eastAsia" w:cs="Arial"/>
          <w:color w:val="000000"/>
          <w:highlight w:val="none"/>
          <w:lang w:val="en-US" w:eastAsia="zh-CN"/>
        </w:rPr>
      </w:pPr>
      <w:r>
        <w:rPr>
          <w:rFonts w:hint="eastAsia" w:cs="Arial"/>
          <w:color w:val="000000"/>
          <w:highlight w:val="none"/>
          <w:lang w:val="en-US" w:eastAsia="zh-CN"/>
        </w:rPr>
        <w:t xml:space="preserve">注：关于产品及资质打分点可提供投标人自有产品证明材料或本次所投产品证明材料，两者均认可。</w:t>
      </w:r>
      <w:r/>
    </w:p>
    <w:p>
      <w:pPr>
        <w:pStyle w:val="926"/>
        <w:ind w:firstLine="439"/>
        <w:spacing w:before="0" w:after="0" w:line="520" w:lineRule="exact"/>
        <w:rPr>
          <w:rFonts w:hint="eastAsia" w:cs="Arial"/>
          <w:color w:val="000000"/>
          <w:highlight w:val="none"/>
        </w:rPr>
      </w:pPr>
      <w:r>
        <w:rPr>
          <w:rFonts w:hint="eastAsia" w:cs="Arial"/>
          <w:color w:val="000000"/>
          <w:highlight w:val="none"/>
        </w:rPr>
        <w:t xml:space="preserve">（四）价格分：</w:t>
      </w:r>
      <w:r>
        <w:rPr>
          <w:rFonts w:hint="eastAsia" w:cs="Arial"/>
          <w:color w:val="000000"/>
          <w:highlight w:val="none"/>
          <w:lang w:val="en-US" w:eastAsia="zh-CN"/>
        </w:rPr>
        <w:t xml:space="preserve">30</w:t>
      </w:r>
      <w:r>
        <w:rPr>
          <w:rFonts w:hint="eastAsia" w:cs="Arial"/>
          <w:color w:val="000000"/>
          <w:highlight w:val="none"/>
        </w:rPr>
        <w:t xml:space="preserve">分</w:t>
      </w:r>
      <w:r/>
    </w:p>
    <w:p>
      <w:pPr>
        <w:pStyle w:val="926"/>
        <w:ind w:firstLine="439"/>
        <w:spacing w:before="0" w:after="0" w:line="520" w:lineRule="exact"/>
        <w:rPr>
          <w:rFonts w:hint="eastAsia" w:cs="Arial"/>
          <w:color w:val="000000"/>
          <w:highlight w:val="none"/>
        </w:rPr>
      </w:pPr>
      <w:r>
        <w:rPr>
          <w:rFonts w:hint="eastAsia" w:cs="Arial"/>
          <w:color w:val="000000"/>
          <w:highlight w:val="none"/>
        </w:rPr>
        <w:t xml:space="preserve">价格分统一采用低价优先法计算，即满足招标文件要求且投标价格最低的投标报价为评标基准价，其价格分为满分。其他投标人的价格分统一按照下列公式计算：</w:t>
      </w:r>
      <w:r/>
    </w:p>
    <w:p>
      <w:pPr>
        <w:pStyle w:val="926"/>
        <w:ind w:firstLine="439"/>
        <w:spacing w:before="0" w:after="0" w:line="520" w:lineRule="exact"/>
        <w:rPr>
          <w:rFonts w:hint="eastAsia" w:cs="Arial"/>
          <w:color w:val="000000"/>
          <w:highlight w:val="none"/>
        </w:rPr>
      </w:pPr>
      <w:r>
        <w:rPr>
          <w:rFonts w:hint="eastAsia" w:cs="Arial"/>
          <w:color w:val="000000"/>
          <w:highlight w:val="none"/>
        </w:rPr>
        <w:t xml:space="preserve">投标报价得分=（评标基准价/投标报价）×价格权值×100</w:t>
      </w:r>
      <w:r>
        <w:rPr>
          <w:rFonts w:cs="Arial"/>
          <w:color w:val="000000"/>
          <w:highlight w:val="none"/>
        </w:rPr>
        <w:t xml:space="preserve"> </w:t>
      </w:r>
      <w:r/>
    </w:p>
    <w:p>
      <w:pPr>
        <w:pStyle w:val="926"/>
        <w:ind w:firstLine="441"/>
        <w:spacing w:before="0" w:after="0" w:line="520" w:lineRule="exact"/>
        <w:rPr>
          <w:rFonts w:hint="eastAsia" w:cs="Arial"/>
          <w:b/>
          <w:bCs/>
          <w:color w:val="000000"/>
          <w:highlight w:val="none"/>
        </w:rPr>
      </w:pPr>
      <w:r>
        <w:rPr>
          <w:rFonts w:hint="eastAsia" w:cs="Arial"/>
          <w:b/>
          <w:bCs/>
          <w:color w:val="000000"/>
          <w:highlight w:val="none"/>
        </w:rPr>
        <w:t xml:space="preserve">出现下列情形之一的，评标委员会应当启动异常低价投标审查程序：</w:t>
      </w:r>
      <w:r/>
    </w:p>
    <w:p>
      <w:pPr>
        <w:pStyle w:val="926"/>
        <w:ind w:firstLine="441"/>
        <w:spacing w:before="0" w:after="0" w:line="520" w:lineRule="exact"/>
        <w:rPr>
          <w:rFonts w:hint="eastAsia" w:cs="Arial"/>
          <w:b/>
          <w:bCs/>
          <w:color w:val="000000"/>
          <w:highlight w:val="none"/>
        </w:rPr>
      </w:pPr>
      <w:r>
        <w:rPr>
          <w:rFonts w:hint="eastAsia" w:cs="Arial"/>
          <w:b/>
          <w:bCs/>
          <w:color w:val="000000"/>
          <w:highlight w:val="none"/>
        </w:rPr>
        <w:t xml:space="preserve">1.投标（响应）报价低于全部通过符合性审查供应商投标（响应）报价平均值50%的，即投标（响应）报价&lt;全部通过符合性审查供应商投标（响应）报价平均值×50%；</w:t>
      </w:r>
      <w:r/>
    </w:p>
    <w:p>
      <w:pPr>
        <w:pStyle w:val="926"/>
        <w:ind w:firstLine="441"/>
        <w:spacing w:before="0" w:after="0" w:line="520" w:lineRule="exact"/>
        <w:rPr>
          <w:rFonts w:hint="eastAsia" w:cs="Arial"/>
          <w:b/>
          <w:bCs/>
          <w:color w:val="000000"/>
          <w:highlight w:val="none"/>
        </w:rPr>
      </w:pPr>
      <w:r>
        <w:rPr>
          <w:rFonts w:hint="eastAsia" w:cs="Arial"/>
          <w:b/>
          <w:bCs/>
          <w:color w:val="000000"/>
          <w:highlight w:val="none"/>
        </w:rPr>
        <w:t xml:space="preserve">2.投标（响应）报价低于通过符合性审查的次低报价供应商投标（响应）报价50%的，即投标（响应）报价&lt;通过符合性审查的次低报价供应商投标（响应）报价×50%；</w:t>
      </w:r>
      <w:r/>
    </w:p>
    <w:p>
      <w:pPr>
        <w:pStyle w:val="926"/>
        <w:ind w:firstLine="441"/>
        <w:spacing w:before="0" w:after="0" w:line="520" w:lineRule="exact"/>
        <w:rPr>
          <w:rFonts w:hint="eastAsia" w:cs="Arial"/>
          <w:b/>
          <w:bCs/>
          <w:color w:val="000000"/>
          <w:highlight w:val="none"/>
        </w:rPr>
      </w:pPr>
      <w:r>
        <w:rPr>
          <w:rFonts w:hint="eastAsia" w:cs="Arial"/>
          <w:b/>
          <w:bCs/>
          <w:color w:val="000000"/>
          <w:highlight w:val="none"/>
        </w:rPr>
        <w:t xml:space="preserve">3.投标（响应）报价低于采购项目最高限价45%的，即投标（响应）报价&lt;采购项目最高限价×45%；</w:t>
      </w:r>
      <w:r/>
    </w:p>
    <w:p>
      <w:pPr>
        <w:pStyle w:val="926"/>
        <w:ind w:firstLine="441"/>
        <w:spacing w:before="0" w:after="0" w:line="520" w:lineRule="exact"/>
        <w:rPr>
          <w:rFonts w:hint="eastAsia" w:cs="Arial"/>
          <w:b/>
          <w:bCs/>
          <w:color w:val="000000"/>
          <w:highlight w:val="none"/>
        </w:rPr>
      </w:pPr>
      <w:r>
        <w:rPr>
          <w:rFonts w:hint="eastAsia" w:cs="Arial"/>
          <w:b/>
          <w:bCs/>
          <w:color w:val="000000"/>
          <w:highlight w:val="none"/>
        </w:rPr>
        <w:t xml:space="preserve">4.评审委员会基于专业判断，认为供应商报价过低，有可能影响产品质量或者不能诚信履约的其他情形。</w:t>
      </w:r>
      <w:r/>
    </w:p>
    <w:p>
      <w:pPr>
        <w:pStyle w:val="926"/>
        <w:ind w:firstLine="441"/>
        <w:spacing w:before="0" w:after="0" w:line="520" w:lineRule="exact"/>
        <w:rPr>
          <w:rFonts w:hint="eastAsia" w:cs="Arial"/>
          <w:color w:val="000000"/>
          <w:highlight w:val="none"/>
        </w:rPr>
      </w:pPr>
      <w:r>
        <w:rPr>
          <w:rFonts w:hint="eastAsia" w:cs="Arial"/>
          <w:b/>
          <w:bCs/>
          <w:color w:val="000000"/>
          <w:highlight w:val="none"/>
        </w:rPr>
        <w:t xml:space="preserve">启动异常低价投标审查后，评标委员会将通过苏采云系统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26"/>
        <w:ind w:firstLine="439"/>
        <w:spacing w:before="0" w:after="0" w:line="520" w:lineRule="exact"/>
        <w:rPr>
          <w:rFonts w:hint="eastAsia" w:cs="Arial"/>
          <w:color w:val="000000"/>
          <w:highlight w:val="none"/>
        </w:rPr>
      </w:pPr>
      <w:r>
        <w:rPr>
          <w:rFonts w:hint="eastAsia" w:cs="Arial"/>
          <w:color w:val="000000"/>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p>
    <w:p>
      <w:pPr>
        <w:pStyle w:val="926"/>
        <w:ind w:firstLine="439"/>
        <w:spacing w:before="0" w:after="0" w:line="520" w:lineRule="exact"/>
        <w:rPr>
          <w:rFonts w:eastAsia="宋体" w:cs="Arial"/>
          <w:b/>
          <w:bCs/>
          <w:color w:val="000000"/>
          <w:highlight w:val="none"/>
          <w:lang w:val="en-US" w:eastAsia="zh-CN"/>
        </w:rPr>
      </w:pPr>
      <w:r>
        <w:rPr>
          <w:rFonts w:hint="eastAsia" w:cs="Arial"/>
          <w:b/>
          <w:bCs/>
          <w:color w:val="000000"/>
          <w:highlight w:val="none"/>
          <w:lang w:val="en-US" w:eastAsia="zh-CN"/>
        </w:rPr>
        <w:t xml:space="preserve">本项目没有二次报价，请投标人如有说明材料请根据上述要求在标书中提供，未提供或未有明确的证明材料，本项目做无效标处理。</w:t>
      </w:r>
      <w:r/>
    </w:p>
    <w:p>
      <w:pPr>
        <w:ind w:firstLine="480"/>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（五）政府采购政策功能落实</w:t>
      </w:r>
      <w:r/>
    </w:p>
    <w:p>
      <w:pPr>
        <w:ind w:firstLine="480"/>
        <w:spacing w:line="560" w:lineRule="exact"/>
        <w:rPr>
          <w:rFonts w:hint="eastAsia" w:ascii="宋体" w:hAnsi="宋体" w:cs="宋体"/>
          <w:b/>
          <w:color w:val="000000"/>
          <w:sz w:val="24"/>
          <w:szCs w:val="24"/>
          <w:highlight w:val="none"/>
          <w:u w:val="single"/>
        </w:rPr>
      </w:pPr>
      <w:r>
        <w:rPr>
          <w:rFonts w:hint="eastAsia" w:ascii="宋体" w:hAnsi="宋体"/>
          <w:b/>
          <w:color w:val="000000"/>
          <w:sz w:val="24"/>
          <w:szCs w:val="24"/>
          <w:highlight w:val="none"/>
          <w:u w:val="single"/>
        </w:rPr>
        <w:t xml:space="preserve">本项目为专门面向中小微企业采购项目。</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p>
    <w:p>
      <w:pPr>
        <w:ind w:left="119"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p>
    <w:p>
      <w:pPr>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p>
    <w:p>
      <w:pPr>
        <w:ind w:firstLine="480"/>
        <w:jc w:val="left"/>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7、专门面向中小企业采购的项目或者采购包，不再执行价格评审优惠的扶持政策。</w:t>
      </w:r>
      <w:r/>
    </w:p>
    <w:p>
      <w:pPr>
        <w:ind w:firstLine="480"/>
        <w:spacing w:line="560" w:lineRule="exact"/>
        <w:rPr>
          <w:rFonts w:hint="eastAsia" w:ascii="宋体" w:hAnsi="宋体"/>
          <w:b/>
          <w:color w:val="000000"/>
          <w:sz w:val="24"/>
          <w:szCs w:val="24"/>
          <w:highlight w:val="none"/>
        </w:rPr>
      </w:pPr>
      <w:r>
        <w:rPr>
          <w:rFonts w:hint="eastAsia" w:ascii="Arial" w:hAnsi="Arial" w:cs="Arial"/>
          <w:b/>
          <w:color w:val="000000"/>
          <w:sz w:val="24"/>
          <w:szCs w:val="24"/>
          <w:highlight w:val="none"/>
        </w:rPr>
        <w:t xml:space="preserve">（六）</w:t>
      </w:r>
      <w:r>
        <w:rPr>
          <w:rFonts w:hint="eastAsia" w:ascii="宋体" w:hAnsi="宋体"/>
          <w:b/>
          <w:color w:val="000000"/>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w:t>
      </w:r>
      <w:r>
        <w:rPr>
          <w:rFonts w:hint="eastAsia" w:ascii="宋体" w:hAnsi="宋体" w:cs="宋体"/>
          <w:color w:val="000000"/>
          <w:spacing w:val="7"/>
          <w:sz w:val="24"/>
          <w:szCs w:val="24"/>
          <w:highlight w:val="none"/>
          <w:lang w:eastAsia="zh-CN"/>
        </w:rPr>
        <w:t xml:space="preserve">相关</w:t>
      </w:r>
      <w:r>
        <w:rPr>
          <w:rFonts w:hint="eastAsia" w:ascii="宋体" w:hAnsi="宋体" w:cs="宋体"/>
          <w:color w:val="000000"/>
          <w:spacing w:val="7"/>
          <w:sz w:val="24"/>
          <w:szCs w:val="24"/>
          <w:highlight w:val="none"/>
        </w:rPr>
        <w:t xml:space="preserve">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jc w:val="left"/>
        <w:spacing w:line="560" w:lineRule="exact"/>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jc w:val="left"/>
        <w:spacing w:line="560" w:lineRule="exact"/>
        <w:shd w:val="clear" w:color="auto" w:fill="ffffff"/>
        <w:widowControl/>
        <w:rPr>
          <w:rFonts w:hint="eastAsia" w:ascii="宋体" w:hAnsi="宋体" w:cs="宋体"/>
          <w:b/>
          <w:color w:val="000000"/>
          <w:spacing w:val="7"/>
          <w:sz w:val="24"/>
          <w:szCs w:val="24"/>
          <w:highlight w:val="none"/>
        </w:rPr>
      </w:pPr>
      <w:r>
        <w:rPr>
          <w:rFonts w:hint="eastAsia" w:ascii="宋体" w:hAnsi="宋体" w:cs="宋体"/>
          <w:b/>
          <w:color w:val="000000"/>
          <w:spacing w:val="7"/>
          <w:sz w:val="24"/>
          <w:szCs w:val="24"/>
          <w:highlight w:val="none"/>
        </w:rPr>
        <w:t xml:space="preserve">5.对于仅有本国产品参与竞争的政府采购项目，本国产品不享受价格扣除评审优惠。</w:t>
      </w:r>
      <w:r/>
    </w:p>
    <w:p>
      <w:pPr>
        <w:ind w:firstLine="508"/>
        <w:jc w:val="center"/>
        <w:spacing w:line="560" w:lineRule="exact"/>
        <w:shd w:val="clear" w:color="auto" w:fill="ffffff"/>
        <w:widowControl/>
        <w:rPr>
          <w:rFonts w:hint="eastAsia" w:ascii="黑体" w:eastAsia="黑体"/>
          <w:bCs/>
          <w:color w:val="000000"/>
          <w:sz w:val="44"/>
          <w:szCs w:val="28"/>
          <w:highlight w:val="none"/>
        </w:rPr>
      </w:pPr>
      <w:r>
        <w:rPr>
          <w:rFonts w:hint="eastAsia" w:ascii="宋体" w:hAnsi="宋体" w:cs="宋体"/>
          <w:b/>
          <w:color w:val="000000"/>
          <w:spacing w:val="7"/>
          <w:sz w:val="24"/>
          <w:szCs w:val="24"/>
          <w:highlight w:val="none"/>
        </w:rPr>
        <w:br w:type="page" w:clear="all"/>
      </w:r>
      <w:r>
        <w:rPr>
          <w:rFonts w:hint="eastAsia" w:ascii="黑体" w:eastAsia="黑体"/>
          <w:bCs/>
          <w:color w:val="000000"/>
          <w:sz w:val="44"/>
          <w:szCs w:val="28"/>
          <w:highlight w:val="none"/>
        </w:rPr>
        <w:t xml:space="preserve">第</w:t>
      </w:r>
      <w:r>
        <w:rPr>
          <w:rFonts w:hint="eastAsia" w:ascii="黑体" w:eastAsia="黑体"/>
          <w:bCs/>
          <w:color w:val="000000"/>
          <w:sz w:val="44"/>
          <w:szCs w:val="28"/>
          <w:highlight w:val="none"/>
          <w:lang w:eastAsia="zh-CN"/>
        </w:rPr>
        <w:t xml:space="preserve">五</w:t>
      </w:r>
      <w:r>
        <w:rPr>
          <w:rFonts w:hint="eastAsia" w:ascii="黑体" w:eastAsia="黑体"/>
          <w:bCs/>
          <w:color w:val="000000"/>
          <w:sz w:val="44"/>
          <w:szCs w:val="28"/>
          <w:highlight w:val="none"/>
        </w:rPr>
        <w:t xml:space="preserve">章  投标</w:t>
      </w:r>
      <w:bookmarkEnd w:id="176"/>
      <w:r/>
      <w:bookmarkEnd w:id="177"/>
      <w:r/>
      <w:bookmarkEnd w:id="210"/>
      <w:r>
        <w:rPr>
          <w:rFonts w:hint="eastAsia" w:ascii="黑体" w:eastAsia="黑体"/>
          <w:bCs/>
          <w:color w:val="000000"/>
          <w:sz w:val="44"/>
          <w:szCs w:val="28"/>
          <w:highlight w:val="none"/>
        </w:rPr>
        <w:t xml:space="preserve">文件格式</w:t>
      </w:r>
      <w:r/>
    </w:p>
    <w:p>
      <w:pPr>
        <w:jc w:val="center"/>
        <w:rPr>
          <w:rFonts w:hint="eastAsia" w:ascii="宋体" w:hAnsi="宋体"/>
          <w:b/>
          <w:color w:val="000000"/>
          <w:sz w:val="72"/>
          <w:szCs w:val="21"/>
          <w:highlight w:val="none"/>
        </w:rPr>
      </w:pPr>
      <w:r/>
      <w:bookmarkStart w:id="211" w:name="_Hlt26671244"/>
      <w:r/>
      <w:bookmarkEnd w:id="211"/>
      <w:r/>
      <w:bookmarkStart w:id="212" w:name="_Hlt26955039"/>
      <w:r/>
      <w:bookmarkEnd w:id="212"/>
      <w:r/>
      <w:bookmarkStart w:id="213" w:name="_Toc49090576"/>
      <w:r/>
      <w:bookmarkStart w:id="214" w:name="_Toc26554094"/>
      <w:r/>
      <w:bookmarkStart w:id="215"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960"/>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ind w:firstLine="960"/>
        <w:spacing w:line="560" w:lineRule="exact"/>
        <w:tabs>
          <w:tab w:val="left" w:pos="5330" w:leader="none"/>
        </w:tabs>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ab/>
      </w:r>
      <w:r/>
    </w:p>
    <w:p>
      <w:pPr>
        <w:ind w:firstLine="960"/>
        <w:spacing w:line="560" w:lineRule="exact"/>
        <w:tabs>
          <w:tab w:val="left" w:pos="5330" w:leader="none"/>
        </w:tabs>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ind w:firstLine="960"/>
        <w:spacing w:line="560" w:lineRule="exact"/>
        <w:tabs>
          <w:tab w:val="left" w:pos="5330" w:leader="none"/>
        </w:tabs>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5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投标文件目录</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一、资格审查证明材料</w:t>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二、商务、技术标</w:t>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三、价格标</w:t>
      </w:r>
      <w:r/>
    </w:p>
    <w:p>
      <w:pPr>
        <w:ind w:left="482"/>
        <w:spacing w:line="72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四、其他资料（如有）</w:t>
      </w:r>
      <w:r/>
    </w:p>
    <w:p>
      <w:pPr>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1.投标人符合《政府采购法》第二十二条规定条件的承诺函（格式见附件1并提供营业执照）；</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3.法人授权书（格式见附件3）；</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4.投标函（格式见附件4）</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4.招标公告中“二、申请人的资格要求”提供相应的佐证材料；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5.其它需要提交的资格审查证明材料。</w:t>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1.商务部分正负偏离表；（格式见附件5）</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2.技术部分正负偏离表；（格式见附件6）</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3.投标方案、货物（服务）清单。具有项目、数量、品牌、型号、配置性能等；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5.投标人认为需要提交的其他商务、技术材料。</w:t>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1.开标一览表（格式见附件7）</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3.小型、微型企业声明函（如有）（格式见附件9）</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4.残疾人福利性单位声明函（如有）（格式见附件10）</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5.监狱和戒毒企业证明材料（如有）（格式见附件11）</w:t>
      </w:r>
      <w:r/>
    </w:p>
    <w:p>
      <w:pPr>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6.关于符合本国产品标准的声明函（格式见附件12）</w:t>
      </w:r>
      <w:r/>
    </w:p>
    <w:p>
      <w:pPr>
        <w:rPr>
          <w:rFonts w:ascii="宋体" w:hAnsi="宋体"/>
          <w:b/>
          <w:color w:val="000000"/>
          <w:sz w:val="24"/>
          <w:szCs w:val="21"/>
          <w:highlight w:val="none"/>
        </w:rPr>
      </w:pPr>
      <w:r>
        <w:rPr>
          <w:rFonts w:ascii="宋体" w:hAnsi="宋体"/>
          <w:b/>
          <w:color w:val="000000"/>
          <w:sz w:val="24"/>
          <w:szCs w:val="21"/>
          <w:highlight w:val="none"/>
        </w:rPr>
        <w:br w:type="page" w:clear="all"/>
      </w:r>
      <w:bookmarkEnd w:id="174"/>
      <w:bookmarkEnd w:id="175"/>
      <w:bookmarkEnd w:id="213"/>
      <w:bookmarkEnd w:id="214"/>
      <w:bookmarkEnd w:id="215"/>
      <w:r/>
    </w:p>
    <w:p>
      <w:pPr>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t xml:space="preserve">附件1</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p>
    <w:p>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p>
    <w:p>
      <w:pPr>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rPr>
          <w:color w:val="000000"/>
          <w:szCs w:val="21"/>
          <w:highlight w:val="none"/>
        </w:rPr>
      </w:pPr>
      <w:r>
        <w:rPr>
          <w:color w:val="000000"/>
          <w:szCs w:val="21"/>
          <w:highlight w:val="none"/>
        </w:rPr>
      </w:r>
      <w:r/>
    </w:p>
    <w:p>
      <w:pPr>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lang w:val="zh-CN"/>
        </w:rPr>
        <w:t xml:space="preserve">附件2</w:t>
      </w:r>
      <w:r/>
    </w:p>
    <w:p>
      <w:pPr>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p>
    <w:p>
      <w:pPr>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p>
    <w:p>
      <w:pPr>
        <w:ind w:firstLine="480"/>
        <w:spacing w:line="48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p>
      <w:pPr>
        <w:rPr>
          <w:rFonts w:ascii="Times New Roman" w:hAnsi="Times New Roman"/>
          <w:color w:val="000000"/>
          <w:szCs w:val="24"/>
          <w:highlight w:val="none"/>
        </w:rPr>
      </w:pPr>
      <w:r>
        <w:rPr>
          <w:rFonts w:hint="eastAsia" w:ascii="Times New Roman" w:hAnsi="Times New Roman"/>
          <w:color w:val="000000"/>
          <w:szCs w:val="24"/>
          <w:highlight w:val="none"/>
        </w:rPr>
        <w:t xml:space="preserve">     </w:t>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37"/>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t xml:space="preserve">附件3</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p>
    <w:p>
      <w:pPr>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360"/>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rPr>
        <w:t xml:space="preserve">备注 我公司（单位）委托进行现场演示的人员为（本项目如果无现场演示要求，请项目经办人自行删除备注）</w:t>
      </w:r>
      <w:r/>
    </w:p>
    <w:p>
      <w:pPr>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（人员姓名），身份证号</w:t>
      </w: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 。</w:t>
      </w:r>
      <w:r/>
    </w:p>
    <w:p>
      <w:pPr>
        <w:spacing w:line="46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w:t>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附件4</w:t>
      </w:r>
      <w:r/>
    </w:p>
    <w:p>
      <w:pPr>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投标函</w:t>
      </w:r>
      <w:r/>
    </w:p>
    <w:p>
      <w:pPr>
        <w:jc w:val="left"/>
        <w:spacing w:line="44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val="en-US" w:eastAsia="zh-CN"/>
        </w:rPr>
        <w:t xml:space="preserve">海安市机关事务服务中心</w:t>
      </w:r>
      <w:r/>
    </w:p>
    <w:p>
      <w:pPr>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投标供应商全称(盖公章)：</w:t>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contextualSpacing/>
        <w:spacing w:line="300" w:lineRule="auto"/>
        <w:rPr>
          <w:rFonts w:hint="eastAsia"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r>
      <w:r/>
    </w:p>
    <w:p>
      <w:pPr>
        <w:contextualSpacing/>
        <w:spacing w:line="400" w:lineRule="exact"/>
        <w:rPr>
          <w:rFonts w:hint="eastAsia" w:ascii="Times New Roman" w:hAnsi="Times New Roman" w:eastAsia="方正黑体_GBK"/>
          <w:color w:val="000000"/>
          <w:sz w:val="32"/>
          <w:szCs w:val="32"/>
          <w:highlight w:val="none"/>
        </w:rPr>
      </w:pPr>
      <w:r>
        <w:rPr>
          <w:rFonts w:hint="eastAsia" w:ascii="Times New Roman" w:hAnsi="Times New Roman" w:eastAsia="方正黑体_GBK"/>
          <w:color w:val="000000"/>
          <w:sz w:val="32"/>
          <w:szCs w:val="32"/>
          <w:highlight w:val="none"/>
        </w:rPr>
      </w:r>
      <w:r/>
    </w:p>
    <w:p>
      <w:pPr>
        <w:contextualSpacing/>
        <w:spacing w:line="400" w:lineRule="exact"/>
        <w:rPr>
          <w:rFonts w:hint="eastAsia" w:ascii="Times New Roman" w:hAnsi="Times New Roman" w:eastAsia="方正黑体_GBK"/>
          <w:color w:val="000000"/>
          <w:sz w:val="32"/>
          <w:szCs w:val="32"/>
          <w:highlight w:val="none"/>
        </w:rPr>
      </w:pPr>
      <w:r>
        <w:rPr>
          <w:rFonts w:hint="eastAsia" w:ascii="Times New Roman" w:hAnsi="Times New Roman" w:eastAsia="方正黑体_GBK"/>
          <w:color w:val="000000"/>
          <w:sz w:val="32"/>
          <w:szCs w:val="32"/>
          <w:highlight w:val="none"/>
        </w:rPr>
      </w:r>
      <w:r/>
    </w:p>
    <w:p>
      <w:pPr>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附件5</w:t>
      </w:r>
      <w:r/>
    </w:p>
    <w:p>
      <w:pPr>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p>
    <w:p>
      <w:pPr>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p>
    <w:tbl>
      <w:tblPr>
        <w:tblStyle w:val="66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招标文件要求的商务条款</w:t>
            </w:r>
            <w:r/>
          </w:p>
        </w:tc>
        <w:tc>
          <w:tcPr>
            <w:tcW w:w="1413"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投标文件响应情况</w:t>
            </w:r>
            <w:r/>
          </w:p>
        </w:tc>
        <w:tc>
          <w:tcPr>
            <w:tcW w:w="778" w:type="dxa"/>
            <w:vAlign w:val="top"/>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p>
        </w:tc>
      </w:tr>
      <w:tr>
        <w:trPr>
          <w:trHeight w:val="414"/>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548"/>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00"/>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19"/>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contextualSpacing/>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p>
    <w:p>
      <w:pPr>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1.投标人提交的投标文件中与招标文件第三部分“项目需求”中的商务部分的要求，应逐条填列在偏离表中。</w:t>
      </w:r>
      <w:r/>
    </w:p>
    <w:p>
      <w:pPr>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3.投标人如果虚假响应，将被暂停参加</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组织政府采购活动。</w:t>
      </w:r>
      <w:r/>
    </w:p>
    <w:p>
      <w:pPr>
        <w:contextualSpacing/>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附件6</w:t>
      </w:r>
      <w:r/>
    </w:p>
    <w:p>
      <w:pPr>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p>
    <w:p>
      <w:pPr>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p>
    <w:tbl>
      <w:tblPr>
        <w:tblStyle w:val="66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招标文件要求的技术要求</w:t>
            </w:r>
            <w:r/>
          </w:p>
        </w:tc>
        <w:tc>
          <w:tcPr>
            <w:tcW w:w="1413"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投标文件响应情况</w:t>
            </w:r>
            <w:r/>
          </w:p>
        </w:tc>
        <w:tc>
          <w:tcPr>
            <w:tcW w:w="778" w:type="dxa"/>
            <w:vAlign w:val="top"/>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p>
        </w:tc>
      </w:tr>
      <w:tr>
        <w:trPr>
          <w:trHeight w:val="414"/>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548"/>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00"/>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19"/>
        </w:trPr>
        <w:tc>
          <w:tcPr>
            <w:tcW w:w="460" w:type="dxa"/>
            <w:vAlign w:val="center"/>
            <w:textDirection w:val="lrTb"/>
            <w:noWrap w:val="false"/>
          </w:tcPr>
          <w:p>
            <w:pPr>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254"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contextualSpacing/>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p>
    <w:p>
      <w:pPr>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1.投标人提交的投标文件中与招标文件第三部分“项目需求”中的技术部分的要求，应逐条填列在偏离表中。</w:t>
      </w:r>
      <w:r/>
    </w:p>
    <w:p>
      <w:pPr>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3.投标人如果虚假响应，将被暂停参加</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组织政府采购活动。</w:t>
      </w:r>
      <w:r/>
    </w:p>
    <w:p>
      <w:pPr>
        <w:contextualSpacing/>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r>
      <w:r/>
    </w:p>
    <w:p>
      <w:pPr>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附件7</w:t>
      </w:r>
      <w:r/>
    </w:p>
    <w:p>
      <w:pPr>
        <w:jc w:val="center"/>
        <w:spacing w:before="100" w:beforeAutospacing="1" w:after="100" w:afterAutospacing="1" w:line="520" w:lineRule="exact"/>
        <w:widowControl/>
        <w:rPr>
          <w:rFonts w:hint="eastAsia" w:ascii="宋体" w:hAnsi="宋体" w:cs="宋体"/>
          <w:b/>
          <w:bCs/>
          <w:color w:val="000000"/>
          <w:sz w:val="32"/>
          <w:szCs w:val="32"/>
          <w:highlight w:val="none"/>
        </w:rPr>
      </w:pPr>
      <w:r>
        <w:rPr>
          <w:rFonts w:ascii="宋体" w:hAnsi="宋体" w:cs="宋体"/>
          <w:b/>
          <w:bCs/>
          <w:color w:val="000000"/>
          <w:sz w:val="32"/>
          <w:szCs w:val="32"/>
          <w:highlight w:val="none"/>
        </w:rPr>
        <w:t xml:space="preserve">开  标 一 览  表</w:t>
      </w:r>
      <w:r/>
    </w:p>
    <w:p>
      <w:pPr>
        <w:jc w:val="center"/>
        <w:spacing w:before="100" w:beforeAutospacing="1" w:after="100" w:afterAutospacing="1" w:line="520" w:lineRule="exact"/>
        <w:widowControl/>
        <w:rPr>
          <w:rFonts w:ascii="宋体" w:hAnsi="宋体" w:cs="宋体"/>
          <w:color w:val="000000"/>
          <w:sz w:val="32"/>
          <w:szCs w:val="32"/>
          <w:highlight w:val="none"/>
        </w:rPr>
      </w:pPr>
      <w:r>
        <w:rPr>
          <w:rFonts w:hint="eastAsia" w:ascii="宋体" w:hAnsi="宋体"/>
          <w:color w:val="000000"/>
          <w:szCs w:val="21"/>
          <w:highlight w:val="none"/>
        </w:rPr>
        <w:t xml:space="preserve">（备注：经办人在根据项目报价方式选用，确定后删除本备注及不适用的表格。）</w:t>
      </w:r>
      <w:r/>
    </w:p>
    <w:p>
      <w:pPr>
        <w:spacing w:line="560" w:lineRule="exact"/>
        <w:rPr>
          <w:rFonts w:ascii="宋体" w:hAnsi="宋体" w:cs="宋体"/>
          <w:color w:val="000000"/>
          <w:sz w:val="28"/>
          <w:szCs w:val="28"/>
          <w:highlight w:val="none"/>
          <w:u w:val="single"/>
        </w:rPr>
      </w:pPr>
      <w:r>
        <w:rPr>
          <w:rFonts w:ascii="宋体" w:hAnsi="宋体" w:cs="宋体"/>
          <w:color w:val="000000"/>
          <w:sz w:val="28"/>
          <w:szCs w:val="28"/>
          <w:highlight w:val="none"/>
        </w:rPr>
        <w:t xml:space="preserve">投标人全称（加盖公章）：</w:t>
      </w:r>
      <w:r/>
    </w:p>
    <w:p>
      <w:pPr>
        <w:spacing w:line="560" w:lineRule="exact"/>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p>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p>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p>
    <w:tbl>
      <w:tblPr>
        <w:tblStyle w:val="669"/>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000000"/>
                <w:highlight w:val="none"/>
              </w:rPr>
            </w:pPr>
            <w:r>
              <w:rPr>
                <w:rFonts w:ascii="宋体" w:hAnsi="宋体" w:cs="宋体"/>
                <w:color w:val="000000"/>
                <w:sz w:val="28"/>
                <w:szCs w:val="28"/>
                <w:highlight w:val="none"/>
              </w:rPr>
              <w:t xml:space="preserve">投标货物、服务名称</w:t>
            </w:r>
            <w:r/>
          </w:p>
        </w:tc>
        <w:tc>
          <w:tcPr>
            <w:tcW w:w="4607" w:type="dxa"/>
            <w:vAlign w:val="top"/>
            <w:textDirection w:val="lrTb"/>
            <w:noWrap w:val="false"/>
          </w:tcPr>
          <w:p>
            <w:pPr>
              <w:jc w:val="center"/>
              <w:spacing w:line="560" w:lineRule="exact"/>
              <w:rPr>
                <w:rFonts w:ascii="等线" w:hAnsi="等线" w:eastAsia="等线"/>
                <w:color w:val="000000"/>
                <w:highlight w:val="none"/>
              </w:rPr>
            </w:pPr>
            <w:r>
              <w:rPr>
                <w:rFonts w:ascii="宋体" w:hAnsi="宋体" w:cs="宋体"/>
                <w:color w:val="000000"/>
                <w:sz w:val="28"/>
                <w:szCs w:val="28"/>
                <w:highlight w:val="none"/>
              </w:rPr>
              <w:t xml:space="preserve">投标总报价</w:t>
            </w:r>
            <w:r/>
          </w:p>
        </w:tc>
      </w:tr>
      <w:tr>
        <w:trPr>
          <w:trHeight w:val="1091"/>
        </w:trPr>
        <w:tc>
          <w:tcPr>
            <w:tcW w:w="4148" w:type="dxa"/>
            <w:vAlign w:val="top"/>
            <w:textDirection w:val="lrTb"/>
            <w:noWrap w:val="false"/>
          </w:tcPr>
          <w:p>
            <w:pPr>
              <w:spacing w:line="560" w:lineRule="exact"/>
              <w:rPr>
                <w:rFonts w:ascii="等线" w:hAnsi="等线" w:eastAsia="等线"/>
                <w:color w:val="000000"/>
                <w:highlight w:val="none"/>
              </w:rPr>
            </w:pPr>
            <w:r>
              <w:rPr>
                <w:rFonts w:ascii="等线" w:hAnsi="等线" w:eastAsia="等线"/>
                <w:color w:val="000000"/>
                <w:highlight w:val="none"/>
              </w:rPr>
            </w:r>
            <w:r/>
          </w:p>
        </w:tc>
        <w:tc>
          <w:tcPr>
            <w:tcW w:w="4607" w:type="dxa"/>
            <w:vAlign w:val="top"/>
            <w:textDirection w:val="lrTb"/>
            <w:noWrap w:val="false"/>
          </w:tcPr>
          <w:p>
            <w:pPr>
              <w:spacing w:line="560" w:lineRule="exact"/>
              <w:rPr>
                <w:rFonts w:ascii="等线" w:hAnsi="等线" w:eastAsia="等线"/>
                <w:color w:val="000000"/>
                <w:highlight w:val="none"/>
                <w:u w:val="single"/>
              </w:rPr>
            </w:pPr>
            <w:r>
              <w:rPr>
                <w:rFonts w:ascii="宋体" w:hAnsi="宋体" w:cs="宋体"/>
                <w:color w:val="000000"/>
                <w:sz w:val="28"/>
                <w:szCs w:val="28"/>
                <w:highlight w:val="none"/>
              </w:rPr>
              <w:t xml:space="preserve">大写：</w:t>
            </w:r>
            <w:r>
              <w:rPr>
                <w:rFonts w:ascii="宋体" w:hAnsi="宋体" w:cs="宋体"/>
                <w:color w:val="000000"/>
                <w:sz w:val="28"/>
                <w:szCs w:val="28"/>
                <w:highlight w:val="none"/>
              </w:rPr>
              <w:br w:type="textWrapping" w:clear="all"/>
            </w:r>
            <w:r>
              <w:rPr>
                <w:rFonts w:ascii="宋体" w:hAnsi="宋体" w:cs="宋体"/>
                <w:color w:val="000000"/>
                <w:sz w:val="28"/>
                <w:szCs w:val="28"/>
                <w:highlight w:val="none"/>
              </w:rPr>
              <w:t xml:space="preserve">小写：元（人民币）</w:t>
            </w:r>
            <w:r/>
          </w:p>
        </w:tc>
      </w:tr>
      <w:tr>
        <w:trPr/>
        <w:tc>
          <w:tcPr>
            <w:tcW w:w="4148" w:type="dxa"/>
            <w:vAlign w:val="top"/>
            <w:textDirection w:val="lrTb"/>
            <w:noWrap w:val="false"/>
          </w:tcPr>
          <w:p>
            <w:pPr>
              <w:spacing w:line="560" w:lineRule="exact"/>
              <w:rPr>
                <w:rFonts w:ascii="等线" w:hAnsi="等线" w:eastAsia="等线"/>
                <w:color w:val="000000"/>
                <w:highlight w:val="none"/>
              </w:rPr>
            </w:pPr>
            <w:r>
              <w:rPr>
                <w:rFonts w:ascii="宋体" w:hAnsi="宋体" w:cs="宋体"/>
                <w:color w:val="000000"/>
                <w:sz w:val="28"/>
                <w:szCs w:val="28"/>
                <w:highlight w:val="none"/>
              </w:rPr>
              <w:t xml:space="preserve">主要货物、服务制造商及产地</w:t>
            </w:r>
            <w:r/>
          </w:p>
        </w:tc>
        <w:tc>
          <w:tcPr>
            <w:tcW w:w="4607" w:type="dxa"/>
            <w:vAlign w:val="top"/>
            <w:textDirection w:val="lrTb"/>
            <w:noWrap w:val="false"/>
          </w:tcPr>
          <w:p>
            <w:pPr>
              <w:spacing w:line="560" w:lineRule="exact"/>
              <w:rPr>
                <w:rFonts w:ascii="等线" w:hAnsi="等线" w:eastAsia="等线"/>
                <w:color w:val="000000"/>
                <w:highlight w:val="none"/>
              </w:rPr>
            </w:pPr>
            <w:r>
              <w:rPr>
                <w:rFonts w:ascii="等线" w:hAnsi="等线" w:eastAsia="等线"/>
                <w:color w:val="000000"/>
                <w:highlight w:val="none"/>
              </w:rPr>
            </w:r>
            <w:r/>
          </w:p>
        </w:tc>
      </w:tr>
      <w:tr>
        <w:trPr>
          <w:trHeight w:val="481"/>
        </w:trPr>
        <w:tc>
          <w:tcPr>
            <w:tcW w:w="4148" w:type="dxa"/>
            <w:vAlign w:val="top"/>
            <w:textDirection w:val="lrTb"/>
            <w:noWrap w:val="false"/>
          </w:tcPr>
          <w:p>
            <w:pPr>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核心产品品牌（如有）</w:t>
            </w:r>
            <w:r/>
          </w:p>
        </w:tc>
        <w:tc>
          <w:tcPr>
            <w:tcW w:w="4607" w:type="dxa"/>
            <w:vAlign w:val="top"/>
            <w:textDirection w:val="lrTb"/>
            <w:noWrap w:val="false"/>
          </w:tcPr>
          <w:p>
            <w:pPr>
              <w:spacing w:line="560" w:lineRule="exact"/>
              <w:rPr>
                <w:rFonts w:ascii="等线" w:hAnsi="等线" w:eastAsia="等线"/>
                <w:color w:val="000000"/>
                <w:highlight w:val="none"/>
              </w:rPr>
            </w:pPr>
            <w:r>
              <w:rPr>
                <w:rFonts w:ascii="等线" w:hAnsi="等线" w:eastAsia="等线"/>
                <w:color w:val="000000"/>
                <w:highlight w:val="none"/>
              </w:rPr>
            </w:r>
            <w:r/>
          </w:p>
        </w:tc>
      </w:tr>
    </w:tbl>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p>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p>
    <w:p>
      <w:pPr>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、开标一览表必须加盖投标单位公章（复印件无效）。</w:t>
      </w:r>
      <w:r/>
    </w:p>
    <w:p>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、如有分包，投标人投任何一个包的标的，都需单独填写开标一览表。</w:t>
      </w:r>
      <w:r/>
    </w:p>
    <w:p>
      <w:pPr>
        <w:spacing w:line="520" w:lineRule="exact"/>
        <w:rPr>
          <w:rFonts w:hint="eastAsia"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 xml:space="preserve">附件8</w:t>
      </w:r>
      <w:r/>
    </w:p>
    <w:p>
      <w:pPr>
        <w:jc w:val="center"/>
        <w:spacing w:line="400" w:lineRule="exact"/>
        <w:rPr>
          <w:color w:val="000000"/>
          <w:sz w:val="32"/>
          <w:szCs w:val="32"/>
          <w:highlight w:val="none"/>
        </w:rPr>
      </w:pPr>
      <w:r>
        <w:rPr>
          <w:rFonts w:hint="eastAsia"/>
          <w:b/>
          <w:bCs/>
          <w:color w:val="000000"/>
          <w:sz w:val="32"/>
          <w:szCs w:val="32"/>
          <w:highlight w:val="none"/>
        </w:rPr>
        <w:t xml:space="preserve">分项报价明细表（货物类）</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投标人（盖章）：</w:t>
      </w:r>
      <w:r/>
    </w:p>
    <w:tbl>
      <w:tblPr>
        <w:tblStyle w:val="669"/>
        <w:tblW w:w="11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gridCol w:w="1490"/>
      </w:tblGrid>
      <w:tr>
        <w:trPr>
          <w:cantSplit/>
          <w:jc w:val="center"/>
          <w:trHeight w:val="812" w:hRule="exact"/>
        </w:trPr>
        <w:tc>
          <w:tcPr>
            <w:tcW w:w="1037" w:type="dxa"/>
            <w:vAlign w:val="center"/>
            <w:textDirection w:val="lrTb"/>
            <w:noWrap w:val="false"/>
          </w:tcPr>
          <w:p>
            <w:pPr>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序号</w:t>
            </w:r>
            <w:r/>
          </w:p>
        </w:tc>
        <w:tc>
          <w:tcPr>
            <w:tcW w:w="1340" w:type="dxa"/>
            <w:vAlign w:val="center"/>
            <w:textDirection w:val="lrTb"/>
            <w:noWrap w:val="false"/>
          </w:tcPr>
          <w:p>
            <w:pPr>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名称</w:t>
            </w:r>
            <w:r/>
          </w:p>
        </w:tc>
        <w:tc>
          <w:tcPr>
            <w:tcW w:w="1211" w:type="dxa"/>
            <w:vAlign w:val="center"/>
            <w:textDirection w:val="lrTb"/>
            <w:noWrap w:val="false"/>
          </w:tcPr>
          <w:p>
            <w:pPr>
              <w:jc w:val="center"/>
              <w:spacing w:line="240" w:lineRule="atLeast"/>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规格型号</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所投</w:t>
            </w:r>
            <w:r>
              <w:rPr>
                <w:rFonts w:hint="eastAsia" w:ascii="宋体" w:hAnsi="宋体"/>
                <w:b/>
                <w:color w:val="000000"/>
                <w:szCs w:val="21"/>
                <w:highlight w:val="none"/>
                <w:lang w:eastAsia="zh-CN"/>
              </w:rPr>
              <w:t xml:space="preserve">）</w:t>
            </w:r>
            <w:r/>
          </w:p>
        </w:tc>
        <w:tc>
          <w:tcPr>
            <w:tcW w:w="1276" w:type="dxa"/>
            <w:vAlign w:val="center"/>
            <w:textDirection w:val="lrTb"/>
            <w:noWrap w:val="false"/>
          </w:tcPr>
          <w:p>
            <w:pPr>
              <w:jc w:val="center"/>
              <w:spacing w:line="240" w:lineRule="atLeast"/>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品牌</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所投</w:t>
            </w:r>
            <w:r>
              <w:rPr>
                <w:rFonts w:hint="eastAsia" w:ascii="宋体" w:hAnsi="宋体"/>
                <w:b/>
                <w:color w:val="000000"/>
                <w:szCs w:val="21"/>
                <w:highlight w:val="none"/>
                <w:lang w:eastAsia="zh-CN"/>
              </w:rPr>
              <w:t xml:space="preserve">）</w:t>
            </w:r>
            <w:r/>
          </w:p>
        </w:tc>
        <w:tc>
          <w:tcPr>
            <w:tcW w:w="992" w:type="dxa"/>
            <w:vAlign w:val="center"/>
            <w:textDirection w:val="lrTb"/>
            <w:noWrap w:val="false"/>
          </w:tcPr>
          <w:p>
            <w:pPr>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单位</w:t>
            </w:r>
            <w:r/>
          </w:p>
        </w:tc>
        <w:tc>
          <w:tcPr>
            <w:tcW w:w="851" w:type="dxa"/>
            <w:vAlign w:val="center"/>
            <w:textDirection w:val="lrTb"/>
            <w:noWrap w:val="false"/>
          </w:tcPr>
          <w:p>
            <w:pPr>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数量</w:t>
            </w:r>
            <w:r/>
          </w:p>
        </w:tc>
        <w:tc>
          <w:tcPr>
            <w:tcW w:w="850" w:type="dxa"/>
            <w:vAlign w:val="center"/>
            <w:textDirection w:val="lrTb"/>
            <w:noWrap w:val="false"/>
          </w:tcPr>
          <w:p>
            <w:pPr>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单价</w:t>
            </w:r>
            <w:r/>
          </w:p>
        </w:tc>
        <w:tc>
          <w:tcPr>
            <w:tcW w:w="851" w:type="dxa"/>
            <w:vAlign w:val="center"/>
            <w:textDirection w:val="lrTb"/>
            <w:noWrap w:val="false"/>
          </w:tcPr>
          <w:p>
            <w:pPr>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金额</w:t>
            </w:r>
            <w:r/>
          </w:p>
        </w:tc>
        <w:tc>
          <w:tcPr>
            <w:tcW w:w="1490" w:type="dxa"/>
            <w:vAlign w:val="center"/>
            <w:textDirection w:val="lrTb"/>
            <w:noWrap w:val="false"/>
          </w:tcPr>
          <w:p>
            <w:pPr>
              <w:ind w:firstLine="105"/>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备注（是否为主要标的）</w:t>
            </w:r>
            <w:r/>
          </w:p>
        </w:tc>
        <w:tc>
          <w:tcPr>
            <w:tcW w:w="1490" w:type="dxa"/>
            <w:vAlign w:val="center"/>
            <w:textDirection w:val="lrTb"/>
            <w:noWrap w:val="false"/>
          </w:tcPr>
          <w:p>
            <w:pPr>
              <w:ind w:firstLine="105"/>
              <w:jc w:val="center"/>
              <w:spacing w:line="240" w:lineRule="atLeast"/>
              <w:rPr>
                <w:rFonts w:hint="eastAsia" w:ascii="宋体" w:hAnsi="宋体"/>
                <w:b/>
                <w:color w:val="000000"/>
                <w:szCs w:val="21"/>
                <w:highlight w:val="none"/>
              </w:rPr>
            </w:pPr>
            <w:r>
              <w:rPr>
                <w:rFonts w:hint="eastAsia" w:ascii="宋体" w:hAnsi="宋体"/>
                <w:b/>
                <w:color w:val="000000"/>
                <w:szCs w:val="21"/>
                <w:highlight w:val="none"/>
              </w:rPr>
              <w:t xml:space="preserve">备注（是否</w:t>
            </w:r>
            <w:r>
              <w:rPr>
                <w:rFonts w:hint="eastAsia" w:ascii="宋体" w:hAnsi="宋体"/>
                <w:b/>
                <w:color w:val="000000"/>
                <w:szCs w:val="21"/>
                <w:highlight w:val="none"/>
                <w:lang w:val="en-US" w:eastAsia="zh-CN"/>
              </w:rPr>
              <w:t xml:space="preserve">为国产产品</w:t>
            </w:r>
            <w:r>
              <w:rPr>
                <w:rFonts w:hint="eastAsia" w:ascii="宋体" w:hAnsi="宋体"/>
                <w:b/>
                <w:color w:val="000000"/>
                <w:szCs w:val="21"/>
                <w:highlight w:val="none"/>
              </w:rPr>
              <w:t xml:space="preserve">）</w:t>
            </w:r>
            <w:r/>
          </w:p>
        </w:tc>
      </w:tr>
      <w:tr>
        <w:trPr>
          <w:cantSplit/>
          <w:jc w:val="center"/>
          <w:trHeight w:val="479"/>
        </w:trPr>
        <w:tc>
          <w:tcPr>
            <w:tcW w:w="1037"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4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02"/>
        </w:trPr>
        <w:tc>
          <w:tcPr>
            <w:tcW w:w="1037"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4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4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4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41"/>
        </w:trPr>
        <w:tc>
          <w:tcPr>
            <w:tcW w:w="1037"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8861"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41"/>
        </w:trPr>
        <w:tc>
          <w:tcPr>
            <w:gridSpan w:val="9"/>
            <w:tcW w:w="9898" w:type="dxa"/>
            <w:vAlign w:val="center"/>
            <w:textDirection w:val="lrTb"/>
            <w:noWrap w:val="false"/>
          </w:tcPr>
          <w:p>
            <w:pPr>
              <w:jc w:val="left"/>
              <w:spacing w:line="240" w:lineRule="atLeast"/>
              <w:rPr>
                <w:rFonts w:ascii="仿宋_GB2312" w:hAnsi="宋体" w:eastAsia="仿宋_GB2312"/>
                <w:b/>
                <w:color w:val="000000"/>
                <w:sz w:val="28"/>
                <w:szCs w:val="28"/>
                <w:highlight w:val="none"/>
              </w:rPr>
            </w:pPr>
            <w:r>
              <w:rPr>
                <w:rFonts w:hint="eastAsia" w:ascii="仿宋_GB2312" w:hAnsi="宋体" w:eastAsia="仿宋_GB2312"/>
                <w:bCs/>
                <w:color w:val="000000"/>
                <w:sz w:val="28"/>
                <w:szCs w:val="28"/>
                <w:highlight w:val="none"/>
              </w:rPr>
              <w:t xml:space="preserve">本采购包中提供的符合本国产品标准的产品成本之和占该采购包提供的全部产品成本之和的比例为</w:t>
            </w:r>
            <w:r>
              <w:rPr>
                <w:rFonts w:hint="eastAsia" w:ascii="仿宋_GB2312" w:hAnsi="宋体" w:eastAsia="仿宋_GB2312"/>
                <w:bCs/>
                <w:color w:val="000000"/>
                <w:sz w:val="28"/>
                <w:szCs w:val="28"/>
                <w:highlight w:val="none"/>
                <w:u w:val="single"/>
              </w:rPr>
              <w:t xml:space="preserve">（供应商须填写具体比例）</w:t>
            </w:r>
            <w:r>
              <w:rPr>
                <w:rFonts w:hint="eastAsia" w:ascii="仿宋_GB2312" w:hAnsi="宋体" w:eastAsia="仿宋_GB2312"/>
                <w:bCs/>
                <w:color w:val="000000"/>
                <w:sz w:val="28"/>
                <w:szCs w:val="28"/>
                <w:highlight w:val="none"/>
                <w:u w:val="single"/>
                <w:lang w:val="en-US" w:eastAsia="zh-CN"/>
              </w:rPr>
              <w:t xml:space="preserve">******</w:t>
            </w:r>
            <w:r>
              <w:rPr>
                <w:rFonts w:hint="eastAsia" w:ascii="仿宋_GB2312" w:hAnsi="宋体" w:eastAsia="仿宋_GB2312"/>
                <w:bCs/>
                <w:color w:val="000000"/>
                <w:sz w:val="28"/>
                <w:szCs w:val="28"/>
                <w:highlight w:val="none"/>
                <w:u w:val="single"/>
              </w:rPr>
              <w:t xml:space="preserve">%</w:t>
            </w:r>
            <w:r>
              <w:rPr>
                <w:rFonts w:hint="eastAsia" w:ascii="仿宋_GB2312" w:hAnsi="宋体" w:eastAsia="仿宋_GB2312"/>
                <w:bCs/>
                <w:color w:val="000000"/>
                <w:sz w:val="28"/>
                <w:szCs w:val="28"/>
                <w:highlight w:val="none"/>
              </w:rPr>
              <w:t xml:space="preserve">。</w:t>
            </w:r>
            <w:r/>
          </w:p>
        </w:tc>
        <w:tc>
          <w:tcPr>
            <w:tcW w:w="1490" w:type="dxa"/>
            <w:vAlign w:val="center"/>
            <w:textDirection w:val="lrTb"/>
            <w:noWrap w:val="false"/>
          </w:tcPr>
          <w:p>
            <w:pPr>
              <w:jc w:val="left"/>
              <w:spacing w:line="240" w:lineRule="atLeast"/>
              <w:rPr>
                <w:rFonts w:hint="eastAsia" w:ascii="仿宋_GB2312" w:hAnsi="宋体" w:eastAsia="仿宋_GB2312"/>
                <w:bCs/>
                <w:color w:val="000000"/>
                <w:sz w:val="28"/>
                <w:szCs w:val="28"/>
                <w:highlight w:val="none"/>
              </w:rPr>
            </w:pPr>
            <w:r>
              <w:rPr>
                <w:rFonts w:hint="eastAsia" w:ascii="仿宋_GB2312" w:hAnsi="宋体" w:eastAsia="仿宋_GB2312"/>
                <w:bCs/>
                <w:color w:val="000000"/>
                <w:sz w:val="28"/>
                <w:szCs w:val="28"/>
                <w:highlight w:val="none"/>
              </w:rPr>
            </w:r>
            <w:r/>
          </w:p>
        </w:tc>
      </w:tr>
    </w:tbl>
    <w:p>
      <w:pPr>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备注：</w:t>
      </w:r>
      <w:r/>
    </w:p>
    <w:p>
      <w:pPr>
        <w:ind w:firstLine="480"/>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1.投标人必须详细、准确填写本报价表中各个子项的名称、品牌、规格型号、数量、单价、备注中的内容（是否为主要标的）等内容。</w:t>
      </w:r>
      <w:r/>
    </w:p>
    <w:p>
      <w:pPr>
        <w:ind w:firstLine="480"/>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2.本表各分项报价合计应当与“开标一览表”中“投标总报价”（或“投标优惠率”）数额一致。</w:t>
      </w:r>
      <w:r/>
    </w:p>
    <w:p>
      <w:pPr>
        <w:ind w:firstLine="480"/>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3.</w:t>
      </w:r>
      <w:r>
        <w:rPr>
          <w:rFonts w:hint="eastAsia" w:ascii="宋体" w:hAnsi="宋体" w:cs="宋体"/>
          <w:b/>
          <w:color w:val="000000"/>
          <w:sz w:val="24"/>
          <w:szCs w:val="24"/>
          <w:highlight w:val="none"/>
        </w:rPr>
        <w:t xml:space="preserve">供应商须详细备注主要标的信息，并</w:t>
      </w:r>
      <w:r>
        <w:rPr>
          <w:rFonts w:hint="eastAsia" w:ascii="宋体" w:hAnsi="宋体" w:cs="宋体"/>
          <w:b/>
          <w:color w:val="000000"/>
          <w:sz w:val="24"/>
          <w:szCs w:val="24"/>
          <w:highlight w:val="none"/>
          <w:lang w:val="zh-CN"/>
        </w:rPr>
        <w:t xml:space="preserve">将随中标公告进行公示。</w:t>
      </w:r>
      <w:r/>
    </w:p>
    <w:p>
      <w:pPr>
        <w:ind w:firstLine="480"/>
        <w:spacing w:line="520" w:lineRule="exact"/>
        <w:rPr>
          <w:rFonts w:hint="eastAsia" w:ascii="宋体" w:hAnsi="宋体" w:cs="宋体"/>
          <w:b/>
          <w:bCs/>
          <w:color w:val="000000"/>
          <w:spacing w:val="7"/>
          <w:sz w:val="24"/>
          <w:szCs w:val="24"/>
          <w:highlight w:val="none"/>
        </w:rPr>
        <w:outlineLvl w:val="0"/>
      </w:pPr>
      <w:r>
        <w:rPr>
          <w:rFonts w:hint="eastAsia" w:ascii="宋体" w:hAnsi="宋体" w:cs="宋体"/>
          <w:b/>
          <w:color w:val="000000"/>
          <w:sz w:val="24"/>
          <w:szCs w:val="24"/>
          <w:highlight w:val="none"/>
          <w:lang w:val="zh-CN"/>
        </w:rPr>
        <w:t xml:space="preserve">4.</w:t>
      </w:r>
      <w:r>
        <w:rPr>
          <w:rFonts w:hint="eastAsia" w:ascii="宋体" w:hAnsi="宋体" w:cs="宋体"/>
          <w:b/>
          <w:bCs/>
          <w:color w:val="000000"/>
          <w:spacing w:val="7"/>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p>
    <w:p>
      <w:pPr>
        <w:ind w:firstLine="508"/>
        <w:spacing w:line="520" w:lineRule="exact"/>
        <w:rPr>
          <w:rFonts w:hint="eastAsia" w:ascii="Times New Roman" w:hAnsi="Times New Roman" w:eastAsia="方正黑体_GBK"/>
          <w:color w:val="000000"/>
          <w:sz w:val="32"/>
          <w:szCs w:val="32"/>
          <w:highlight w:val="none"/>
          <w:lang w:eastAsia="zh-CN"/>
        </w:rPr>
        <w:outlineLvl w:val="0"/>
      </w:pPr>
      <w:r>
        <w:rPr>
          <w:rFonts w:hint="eastAsia" w:ascii="宋体" w:hAnsi="宋体" w:cs="宋体"/>
          <w:b/>
          <w:bCs/>
          <w:color w:val="000000"/>
          <w:spacing w:val="7"/>
          <w:sz w:val="24"/>
          <w:szCs w:val="24"/>
          <w:highlight w:val="none"/>
          <w:lang w:val="en-US" w:eastAsia="zh-CN"/>
        </w:rPr>
        <w:t xml:space="preserve">5.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附件9</w:t>
      </w:r>
      <w:r/>
    </w:p>
    <w:p>
      <w:pPr>
        <w:jc w:val="center"/>
        <w:spacing w:line="300" w:lineRule="auto"/>
        <w:rPr>
          <w:rFonts w:ascii="Times New Roman" w:hAnsi="Times New Roman"/>
          <w:b/>
          <w:bCs/>
          <w:color w:val="000000"/>
          <w:sz w:val="28"/>
          <w:szCs w:val="28"/>
          <w:highlight w:val="none"/>
          <w:lang w:bidi="zh-CN"/>
        </w:rPr>
        <w:outlineLvl w:val="0"/>
      </w:pPr>
      <w:r>
        <w:rPr>
          <w:rFonts w:ascii="Times New Roman" w:hAnsi="Times New Roman"/>
          <w:b/>
          <w:bCs/>
          <w:color w:val="000000"/>
          <w:sz w:val="28"/>
          <w:szCs w:val="28"/>
          <w:highlight w:val="none"/>
          <w:lang w:bidi="zh-CN"/>
        </w:rPr>
        <w:t xml:space="preserve">中小企业声明函（货物）</w:t>
      </w:r>
      <w:r/>
    </w:p>
    <w:p>
      <w:pPr>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本公司（联合体）郑重声明，根据《政府采购促进中小企业发展管理办法》（财库</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2020</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46 号）的规定，本公司（联合体）参加</w:t>
      </w:r>
      <w:r>
        <w:rPr>
          <w:rFonts w:ascii="Times New Roman" w:hAnsi="Times New Roman"/>
          <w:color w:val="000000"/>
          <w:sz w:val="28"/>
          <w:szCs w:val="28"/>
          <w:highlight w:val="none"/>
          <w:u w:val="single"/>
          <w:lang w:bidi="zh-CN"/>
        </w:rPr>
        <w:t xml:space="preserve">（单位名称）</w:t>
      </w:r>
      <w:r>
        <w:rPr>
          <w:rFonts w:ascii="Times New Roman" w:hAnsi="Times New Roman"/>
          <w:color w:val="000000"/>
          <w:sz w:val="28"/>
          <w:szCs w:val="28"/>
          <w:highlight w:val="none"/>
          <w:lang w:bidi="zh-CN"/>
        </w:rPr>
        <w:t xml:space="preserve">的</w:t>
      </w:r>
      <w:r>
        <w:rPr>
          <w:rFonts w:ascii="Times New Roman" w:hAnsi="Times New Roman"/>
          <w:color w:val="000000"/>
          <w:sz w:val="28"/>
          <w:szCs w:val="28"/>
          <w:highlight w:val="none"/>
          <w:u w:val="single"/>
          <w:lang w:bidi="zh-CN"/>
        </w:rPr>
        <w:t xml:space="preserve">（项目名称）</w:t>
      </w:r>
      <w:r>
        <w:rPr>
          <w:rFonts w:ascii="Times New Roman" w:hAnsi="Times New Roman"/>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1.</w:t>
      </w:r>
      <w:r>
        <w:rPr>
          <w:rFonts w:ascii="Times New Roman" w:hAnsi="Times New Roman"/>
          <w:color w:val="000000"/>
          <w:sz w:val="28"/>
          <w:szCs w:val="28"/>
          <w:highlight w:val="none"/>
          <w:u w:val="single"/>
          <w:lang w:bidi="zh-CN"/>
        </w:rPr>
        <w:t xml:space="preserve"> （标的名称）</w:t>
      </w:r>
      <w:r>
        <w:rPr>
          <w:rFonts w:ascii="Times New Roman" w:hAnsi="Times New Roman"/>
          <w:color w:val="000000"/>
          <w:sz w:val="28"/>
          <w:szCs w:val="28"/>
          <w:highlight w:val="none"/>
          <w:lang w:bidi="zh-CN"/>
        </w:rPr>
        <w:t xml:space="preserve"> ，属于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行业；制造商为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p>
    <w:p>
      <w:pPr>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2.</w:t>
      </w:r>
      <w:r>
        <w:rPr>
          <w:rFonts w:ascii="Times New Roman" w:hAnsi="Times New Roman"/>
          <w:i/>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 xml:space="preserve">（标的名称） </w:t>
      </w:r>
      <w:r>
        <w:rPr>
          <w:rFonts w:ascii="Times New Roman" w:hAnsi="Times New Roman"/>
          <w:color w:val="000000"/>
          <w:sz w:val="28"/>
          <w:szCs w:val="28"/>
          <w:highlight w:val="none"/>
          <w:lang w:bidi="zh-CN"/>
        </w:rPr>
        <w:t xml:space="preserve">，属于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行业；制造商为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p>
    <w:p>
      <w:pPr>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w:t>
      </w:r>
      <w:r/>
    </w:p>
    <w:p>
      <w:pPr>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本企业对上述声明内容的真实性负责。如有虚假，将依法承担相应责任。</w:t>
      </w:r>
      <w:r/>
    </w:p>
    <w:p>
      <w:pPr>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r>
      <w:r/>
    </w:p>
    <w:p>
      <w:pPr>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注：1.如项目属性为“货物”，请按本表填写。</w:t>
      </w:r>
      <w:r/>
    </w:p>
    <w:p>
      <w:pPr>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Times New Roman" w:hAnsi="Times New Roman"/>
          <w:color w:val="000000"/>
          <w:sz w:val="28"/>
          <w:szCs w:val="28"/>
          <w:highlight w:val="none"/>
          <w:lang w:bidi="zh-CN"/>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                      </w:t>
      </w:r>
      <w:r>
        <w:rPr>
          <w:rFonts w:ascii="Times New Roman" w:hAnsi="Times New Roman"/>
          <w:color w:val="000000"/>
          <w:sz w:val="28"/>
          <w:szCs w:val="28"/>
          <w:highlight w:val="none"/>
          <w:lang w:bidi="zh-CN"/>
        </w:rPr>
        <w:t xml:space="preserve">企业名称（盖章）：</w:t>
      </w:r>
      <w:r/>
    </w:p>
    <w:p>
      <w:pPr>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          </w:t>
      </w:r>
      <w:r>
        <w:rPr>
          <w:rFonts w:ascii="Times New Roman" w:hAnsi="Times New Roman"/>
          <w:color w:val="000000"/>
          <w:sz w:val="28"/>
          <w:szCs w:val="28"/>
          <w:highlight w:val="none"/>
          <w:lang w:bidi="zh-CN"/>
        </w:rPr>
        <w:t xml:space="preserve">日期：</w:t>
      </w:r>
      <w:r/>
    </w:p>
    <w:p>
      <w:pPr>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附件10</w:t>
      </w:r>
      <w:r/>
    </w:p>
    <w:p>
      <w:pPr>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color w:val="000000"/>
          <w:sz w:val="28"/>
          <w:szCs w:val="28"/>
          <w:highlight w:val="none"/>
        </w:rPr>
        <w:br w:type="page" w:clear="all"/>
      </w:r>
      <w:r>
        <w:rPr>
          <w:rFonts w:ascii="Times New Roman" w:hAnsi="Times New Roman" w:eastAsia="方正黑体_GBK"/>
          <w:color w:val="000000"/>
          <w:sz w:val="32"/>
          <w:szCs w:val="32"/>
          <w:highlight w:val="none"/>
        </w:rPr>
        <w:t xml:space="preserve">附件11</w:t>
      </w:r>
      <w:r/>
    </w:p>
    <w:p>
      <w:pPr>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5"/>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注：1、供应商如不提供此声明函，价格将不做相应扣除。</w:t>
      </w:r>
      <w:r/>
    </w:p>
    <w:p>
      <w:pPr>
        <w:ind w:firstLine="560"/>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2、中标供应商为监狱企业的，此声明函将随中标结果同时公告，</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接受社会监督。供应商按照本办法规定提供声明函内容不实的，属于</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提供虚假材料谋取中标、成交，依照《中华人民共和国政府采购法》</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等国家有关规定追究相应责任。</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br w:type="page" w:clear="all"/>
      </w:r>
      <w:r>
        <w:rPr>
          <w:rFonts w:ascii="Times New Roman" w:hAnsi="Times New Roman" w:eastAsia="方正黑体_GBK"/>
          <w:bCs/>
          <w:color w:val="000000"/>
          <w:sz w:val="32"/>
          <w:szCs w:val="32"/>
          <w:highlight w:val="none"/>
          <w:lang w:bidi="ar"/>
        </w:rPr>
        <w:t xml:space="preserve">附件12</w:t>
      </w:r>
      <w:r/>
    </w:p>
    <w:p>
      <w:pPr>
        <w:jc w:val="center"/>
        <w:spacing w:line="440" w:lineRule="exact"/>
        <w:shd w:val="clear" w:color="auto" w:fill="ffffff"/>
        <w:widowControl/>
        <w:rPr>
          <w:rFonts w:hint="eastAsia" w:ascii="黑体" w:hAnsi="黑体" w:eastAsia="黑体" w:cs="方正魏碑_GBK"/>
          <w:color w:val="000000"/>
          <w:sz w:val="32"/>
          <w:szCs w:val="32"/>
          <w:highlight w:val="none"/>
        </w:rPr>
      </w:pPr>
      <w:r>
        <w:rPr>
          <w:rFonts w:hint="eastAsia" w:ascii="黑体" w:hAnsi="黑体" w:eastAsia="黑体" w:cs="方正魏碑_GBK"/>
          <w:color w:val="000000"/>
          <w:sz w:val="32"/>
          <w:szCs w:val="32"/>
          <w:highlight w:val="none"/>
        </w:rPr>
        <w:t xml:space="preserve">关于符合本国产品标准的声明函</w:t>
      </w:r>
      <w:r/>
    </w:p>
    <w:p>
      <w:pPr>
        <w:ind w:firstLine="420"/>
        <w:jc w:val="left"/>
        <w:spacing w:line="440" w:lineRule="exact"/>
        <w:widowControl/>
        <w:rPr>
          <w:rFonts w:ascii="宋体" w:hAnsi="宋体" w:cs="方正魏碑_GBK"/>
          <w:color w:val="000000"/>
          <w:sz w:val="28"/>
          <w:szCs w:val="28"/>
          <w:highlight w:val="none"/>
        </w:rPr>
      </w:pPr>
      <w:r>
        <w:rPr>
          <w:rFonts w:ascii="宋体" w:hAnsi="宋体" w:cs="方正魏碑_GBK"/>
          <w:color w:val="000000"/>
          <w:sz w:val="28"/>
          <w:szCs w:val="28"/>
          <w:highlight w:val="none"/>
        </w:rPr>
      </w:r>
      <w:r/>
    </w:p>
    <w:p>
      <w:pPr>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1.</w:t>
      </w:r>
      <w:r>
        <w:rPr>
          <w:rFonts w:hint="eastAsia" w:ascii="宋体" w:hAnsi="宋体" w:cs="方正魏碑_GBK"/>
          <w:color w:val="000000"/>
          <w:sz w:val="28"/>
          <w:szCs w:val="28"/>
          <w:highlight w:val="none"/>
          <w:u w:val="single"/>
        </w:rPr>
        <w:t xml:space="preserve">（产品名称1）</w:t>
      </w:r>
      <w:r>
        <w:rPr>
          <w:rFonts w:hint="eastAsia" w:ascii="宋体" w:hAnsi="宋体" w:cs="方正魏碑_GBK"/>
          <w:color w:val="000000"/>
          <w:sz w:val="28"/>
          <w:szCs w:val="28"/>
          <w:highlight w:val="none"/>
          <w:vertAlign w:val="superscript"/>
        </w:rPr>
        <w:t xml:space="preserve">1</w:t>
      </w:r>
      <w:r>
        <w:rPr>
          <w:rFonts w:hint="eastAsia" w:ascii="宋体" w:hAnsi="宋体" w:cs="方正魏碑_GBK"/>
          <w:color w:val="000000"/>
          <w:sz w:val="28"/>
          <w:szCs w:val="28"/>
          <w:highlight w:val="none"/>
          <w:shd w:val="clear" w:color="auto" w:fill="ffffff"/>
        </w:rPr>
        <w:t xml:space="preserve">，生产厂为</w:t>
      </w:r>
      <w:r>
        <w:rPr>
          <w:rFonts w:hint="eastAsia" w:ascii="宋体" w:hAnsi="宋体" w:cs="方正魏碑_GBK"/>
          <w:color w:val="000000"/>
          <w:sz w:val="28"/>
          <w:szCs w:val="28"/>
          <w:highlight w:val="none"/>
          <w:u w:val="single"/>
        </w:rPr>
        <w:t xml:space="preserve">（厂名）</w:t>
      </w:r>
      <w:r>
        <w:rPr>
          <w:rFonts w:hint="eastAsia" w:ascii="宋体" w:hAnsi="宋体" w:cs="方正魏碑_GBK"/>
          <w:color w:val="000000"/>
          <w:sz w:val="28"/>
          <w:szCs w:val="28"/>
          <w:highlight w:val="none"/>
          <w:vertAlign w:val="superscript"/>
        </w:rPr>
        <w:t xml:space="preserve">2</w:t>
      </w:r>
      <w:r>
        <w:rPr>
          <w:rFonts w:hint="eastAsia" w:ascii="宋体" w:hAnsi="宋体" w:cs="方正魏碑_GBK"/>
          <w:color w:val="000000"/>
          <w:sz w:val="28"/>
          <w:szCs w:val="28"/>
          <w:highlight w:val="none"/>
          <w:shd w:val="clear" w:color="auto" w:fill="ffffff"/>
        </w:rPr>
        <w:t xml:space="preserve">，厂址为</w:t>
      </w:r>
      <w:r>
        <w:rPr>
          <w:rFonts w:hint="eastAsia" w:ascii="宋体" w:hAnsi="宋体" w:cs="方正魏碑_GBK"/>
          <w:color w:val="000000"/>
          <w:sz w:val="28"/>
          <w:szCs w:val="28"/>
          <w:highlight w:val="none"/>
          <w:u w:val="single"/>
        </w:rPr>
        <w:t xml:space="preserve">（生产厂址）</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color w:val="000000"/>
          <w:sz w:val="28"/>
          <w:szCs w:val="28"/>
          <w:highlight w:val="none"/>
          <w:u w:val="single"/>
          <w:shd w:val="clear" w:color="auto" w:fill="ffffff"/>
        </w:rPr>
        <w:t xml:space="preserve"> </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u w:val="single"/>
        </w:rPr>
        <w:t xml:space="preserve"> </w:t>
      </w:r>
      <w:r>
        <w:rPr>
          <w:rFonts w:hint="eastAsia" w:ascii="宋体" w:hAnsi="宋体" w:cs="方正魏碑_GBK"/>
          <w:color w:val="000000"/>
          <w:sz w:val="28"/>
          <w:szCs w:val="28"/>
          <w:highlight w:val="none"/>
          <w:shd w:val="clear" w:color="auto" w:fill="ffffff"/>
        </w:rPr>
        <w:t xml:space="preserve">的中国境内生产的组件成本占比≥</w:t>
      </w:r>
      <w:r>
        <w:rPr>
          <w:rFonts w:hint="eastAsia" w:ascii="宋体" w:hAnsi="宋体" w:cs="方正魏碑_GBK"/>
          <w:strike/>
          <w:color w:val="000000"/>
          <w:sz w:val="28"/>
          <w:szCs w:val="28"/>
          <w:highlight w:val="none"/>
          <w:u w:val="single"/>
        </w:rPr>
        <w:t xml:space="preserve">（规定</w:t>
      </w:r>
      <w:r>
        <w:rPr>
          <w:rFonts w:ascii="宋体" w:hAnsi="宋体" w:cs="方正魏碑_GBK"/>
          <w:strike/>
          <w:color w:val="000000"/>
          <w:sz w:val="28"/>
          <w:szCs w:val="28"/>
          <w:highlight w:val="none"/>
          <w:u w:val="single"/>
        </w:rPr>
        <w:t xml:space="preserve">比例</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vertAlign w:val="superscript"/>
        </w:rPr>
        <w:t xml:space="preserve">3</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w:t>
      </w:r>
      <w:r>
        <w:rPr>
          <w:rFonts w:ascii="宋体" w:hAnsi="宋体" w:cs="方正魏碑_GBK"/>
          <w:strike/>
          <w:color w:val="000000"/>
          <w:sz w:val="28"/>
          <w:szCs w:val="28"/>
          <w:highlight w:val="none"/>
          <w:u w:val="single"/>
        </w:rPr>
        <w:t xml:space="preserve">组件</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vertAlign w:val="superscript"/>
        </w:rPr>
        <w:t xml:space="preserve">4</w:t>
      </w:r>
      <w:r>
        <w:rPr>
          <w:rFonts w:hint="eastAsia" w:ascii="宋体" w:hAnsi="宋体" w:cs="方正魏碑_GBK"/>
          <w:color w:val="000000"/>
          <w:sz w:val="28"/>
          <w:szCs w:val="28"/>
          <w:highlight w:val="none"/>
          <w:shd w:val="clear" w:color="auto" w:fill="ffffff"/>
        </w:rPr>
        <w:t xml:space="preserve">在中国境内生产。</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（关键工序）</w:t>
      </w:r>
      <w:r>
        <w:rPr>
          <w:rFonts w:hint="eastAsia" w:ascii="宋体" w:hAnsi="宋体" w:cs="方正魏碑_GBK"/>
          <w:color w:val="000000"/>
          <w:sz w:val="28"/>
          <w:szCs w:val="28"/>
          <w:highlight w:val="none"/>
          <w:vertAlign w:val="superscript"/>
        </w:rPr>
        <w:t xml:space="preserve">5</w:t>
      </w:r>
      <w:r>
        <w:rPr>
          <w:rFonts w:hint="eastAsia" w:ascii="宋体" w:hAnsi="宋体" w:cs="方正魏碑_GBK"/>
          <w:color w:val="000000"/>
          <w:sz w:val="28"/>
          <w:szCs w:val="28"/>
          <w:highlight w:val="none"/>
          <w:shd w:val="clear" w:color="auto" w:fill="ffffff"/>
        </w:rPr>
        <w:t xml:space="preserve">在中国境内完成。</w:t>
      </w:r>
      <w:r/>
    </w:p>
    <w:p>
      <w:pPr>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2.</w:t>
      </w:r>
      <w:r>
        <w:rPr>
          <w:rFonts w:hint="eastAsia" w:ascii="宋体" w:hAnsi="宋体" w:cs="方正魏碑_GBK"/>
          <w:color w:val="000000"/>
          <w:sz w:val="28"/>
          <w:szCs w:val="28"/>
          <w:highlight w:val="none"/>
          <w:u w:val="single"/>
        </w:rPr>
        <w:t xml:space="preserve">（产品名称2）</w:t>
      </w:r>
      <w:r>
        <w:rPr>
          <w:rFonts w:hint="eastAsia" w:ascii="宋体" w:hAnsi="宋体" w:cs="方正魏碑_GBK"/>
          <w:color w:val="000000"/>
          <w:sz w:val="28"/>
          <w:szCs w:val="28"/>
          <w:highlight w:val="none"/>
          <w:shd w:val="clear" w:color="auto" w:fill="ffffff"/>
        </w:rPr>
        <w:t xml:space="preserve">，生产厂为</w:t>
      </w:r>
      <w:r>
        <w:rPr>
          <w:rFonts w:hint="eastAsia" w:ascii="宋体" w:hAnsi="宋体" w:cs="方正魏碑_GBK"/>
          <w:color w:val="000000"/>
          <w:sz w:val="28"/>
          <w:szCs w:val="28"/>
          <w:highlight w:val="none"/>
          <w:u w:val="single"/>
        </w:rPr>
        <w:t xml:space="preserve">（厂名）</w:t>
      </w:r>
      <w:r>
        <w:rPr>
          <w:rFonts w:hint="eastAsia" w:ascii="宋体" w:hAnsi="宋体" w:cs="方正魏碑_GBK"/>
          <w:color w:val="000000"/>
          <w:sz w:val="28"/>
          <w:szCs w:val="28"/>
          <w:highlight w:val="none"/>
          <w:shd w:val="clear" w:color="auto" w:fill="ffffff"/>
        </w:rPr>
        <w:t xml:space="preserve">，厂址为</w:t>
      </w:r>
      <w:r>
        <w:rPr>
          <w:rFonts w:hint="eastAsia" w:ascii="宋体" w:hAnsi="宋体" w:cs="方正魏碑_GBK"/>
          <w:color w:val="000000"/>
          <w:sz w:val="28"/>
          <w:szCs w:val="28"/>
          <w:highlight w:val="none"/>
          <w:u w:val="single"/>
        </w:rPr>
        <w:t xml:space="preserve">（生产厂址）</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strike/>
          <w:color w:val="000000"/>
          <w:sz w:val="28"/>
          <w:szCs w:val="28"/>
          <w:highlight w:val="none"/>
          <w:u w:val="single"/>
        </w:rPr>
        <w:t xml:space="preserve">（产品名称2）</w:t>
      </w:r>
      <w:r>
        <w:rPr>
          <w:rFonts w:hint="eastAsia" w:ascii="宋体" w:hAnsi="宋体" w:cs="方正魏碑_GBK"/>
          <w:color w:val="000000"/>
          <w:sz w:val="28"/>
          <w:szCs w:val="28"/>
          <w:highlight w:val="none"/>
          <w:shd w:val="clear" w:color="auto" w:fill="ffffff"/>
        </w:rPr>
        <w:t xml:space="preserve">的中国境内生产的组件成本占比≥</w:t>
      </w:r>
      <w:r>
        <w:rPr>
          <w:rFonts w:hint="eastAsia" w:ascii="宋体" w:hAnsi="宋体" w:cs="方正魏碑_GBK"/>
          <w:strike/>
          <w:color w:val="000000"/>
          <w:sz w:val="28"/>
          <w:szCs w:val="28"/>
          <w:highlight w:val="none"/>
          <w:u w:val="single"/>
        </w:rPr>
        <w:t xml:space="preserve">（规定</w:t>
      </w:r>
      <w:r>
        <w:rPr>
          <w:rFonts w:ascii="宋体" w:hAnsi="宋体" w:cs="方正魏碑_GBK"/>
          <w:strike/>
          <w:color w:val="000000"/>
          <w:sz w:val="28"/>
          <w:szCs w:val="28"/>
          <w:highlight w:val="none"/>
          <w:u w:val="single"/>
        </w:rPr>
        <w:t xml:space="preserve">比例</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strike/>
          <w:color w:val="000000"/>
          <w:sz w:val="28"/>
          <w:szCs w:val="28"/>
          <w:highlight w:val="none"/>
          <w:u w:val="single"/>
        </w:rPr>
        <w:t xml:space="preserve">（产品名称2）</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w:t>
      </w:r>
      <w:r>
        <w:rPr>
          <w:rFonts w:ascii="宋体" w:hAnsi="宋体" w:cs="方正魏碑_GBK"/>
          <w:strike/>
          <w:color w:val="000000"/>
          <w:sz w:val="28"/>
          <w:szCs w:val="28"/>
          <w:highlight w:val="none"/>
          <w:u w:val="single"/>
        </w:rPr>
        <w:t xml:space="preserve">组件</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shd w:val="clear" w:color="auto" w:fill="ffffff"/>
        </w:rPr>
        <w:t xml:space="preserve">在中国境内生产。</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（关键工序）</w:t>
      </w:r>
      <w:r>
        <w:rPr>
          <w:rFonts w:hint="eastAsia" w:ascii="宋体" w:hAnsi="宋体" w:cs="方正魏碑_GBK"/>
          <w:color w:val="000000"/>
          <w:sz w:val="28"/>
          <w:szCs w:val="28"/>
          <w:highlight w:val="none"/>
          <w:shd w:val="clear" w:color="auto" w:fill="ffffff"/>
        </w:rPr>
        <w:t xml:space="preserve">在中国境内完成。</w:t>
      </w:r>
      <w:r/>
    </w:p>
    <w:p>
      <w:pPr>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w:t>
      </w:r>
      <w:r/>
    </w:p>
    <w:p>
      <w:pPr>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本公司（单位）对上述声明内容的真实性负责。如有虚假，愿承担相应法律责任。</w:t>
      </w:r>
      <w:r/>
    </w:p>
    <w:p>
      <w:pPr>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rPr>
      </w:r>
      <w:r/>
    </w:p>
    <w:p>
      <w:pPr>
        <w:ind w:right="480" w:firstLine="434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公司（单位）名称（盖章）：　</w:t>
      </w:r>
      <w:r>
        <w:rPr>
          <w:rFonts w:hint="eastAsia" w:ascii="宋体" w:hAnsi="宋体" w:eastAsia="MS Gothic" w:cs="MS Gothic"/>
          <w:color w:val="000000"/>
          <w:sz w:val="28"/>
          <w:szCs w:val="28"/>
          <w:highlight w:val="none"/>
          <w:shd w:val="clear" w:color="auto" w:fill="ffffff"/>
        </w:rPr>
        <w:t xml:space="preserve">        </w:t>
      </w:r>
      <w:r/>
    </w:p>
    <w:p>
      <w:pPr>
        <w:jc w:val="center"/>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                    </w:t>
      </w:r>
      <w:r>
        <w:rPr>
          <w:rFonts w:ascii="宋体" w:hAnsi="宋体" w:cs="方正魏碑_GBK"/>
          <w:color w:val="000000"/>
          <w:sz w:val="28"/>
          <w:szCs w:val="28"/>
          <w:highlight w:val="none"/>
          <w:shd w:val="clear" w:color="auto" w:fill="ffffff"/>
        </w:rPr>
        <w:t xml:space="preserve">            </w:t>
      </w:r>
      <w:r>
        <w:rPr>
          <w:rFonts w:hint="eastAsia" w:ascii="宋体" w:hAnsi="宋体" w:cs="方正魏碑_GBK"/>
          <w:color w:val="000000"/>
          <w:sz w:val="28"/>
          <w:szCs w:val="28"/>
          <w:highlight w:val="none"/>
          <w:shd w:val="clear" w:color="auto" w:fill="ffffff"/>
        </w:rPr>
        <w:t xml:space="preserve">日期：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微软雅黑"/>
          <w:color w:val="000000"/>
          <w:sz w:val="28"/>
          <w:szCs w:val="28"/>
          <w:highlight w:val="none"/>
          <w:shd w:val="clear" w:color="auto" w:fill="ffffff"/>
        </w:rPr>
        <w:t xml:space="preserve">年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微软雅黑"/>
          <w:color w:val="000000"/>
          <w:sz w:val="28"/>
          <w:szCs w:val="28"/>
          <w:highlight w:val="none"/>
          <w:shd w:val="clear" w:color="auto" w:fill="ffffff"/>
        </w:rPr>
        <w:t xml:space="preserve">月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微软雅黑"/>
          <w:color w:val="000000"/>
          <w:sz w:val="28"/>
          <w:szCs w:val="28"/>
          <w:highlight w:val="none"/>
          <w:shd w:val="clear" w:color="auto" w:fill="ffffff"/>
        </w:rPr>
        <w:t xml:space="preserve">日</w:t>
      </w:r>
      <w:r>
        <w:rPr>
          <w:rFonts w:hint="eastAsia" w:ascii="宋体" w:hAnsi="宋体" w:eastAsia="MS Gothic" w:cs="MS Gothic"/>
          <w:color w:val="000000"/>
          <w:sz w:val="28"/>
          <w:szCs w:val="28"/>
          <w:highlight w:val="none"/>
          <w:shd w:val="clear" w:color="auto" w:fill="ffffff"/>
        </w:rPr>
        <w:t xml:space="preserve">         </w:t>
      </w:r>
      <w:r/>
    </w:p>
    <w:p>
      <w:pPr>
        <w:jc w:val="left"/>
        <w:spacing w:line="400" w:lineRule="exact"/>
        <w:widowControl/>
        <w:rPr>
          <w:rFonts w:hint="eastAsia"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 xml:space="preserve">说明：</w:t>
      </w:r>
      <w:r/>
    </w:p>
    <w:p>
      <w:pPr>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1.产品如有型号，请在“产品名称”栏一并填写。</w:t>
      </w:r>
      <w:r/>
    </w:p>
    <w:p>
      <w:pPr>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2.生产厂名与厂址应与生产厂营业执照载明的相关信息保持一致。</w:t>
      </w:r>
      <w:r/>
    </w:p>
    <w:p>
      <w:pPr>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3.该产品的中国境内生产的组件成本占比相关要求实施前，“规定比例”栏可不填，下同。</w:t>
      </w:r>
      <w:r/>
    </w:p>
    <w:p>
      <w:pPr>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4.该产品的关键组件要求实施前，“关键组件”栏可不填，下同。</w:t>
      </w:r>
      <w:r/>
    </w:p>
    <w:p>
      <w:pPr>
        <w:jc w:val="left"/>
        <w:spacing w:line="400" w:lineRule="exact"/>
        <w:widowControl/>
        <w:rPr>
          <w:rFonts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 xml:space="preserve">5.该产品的关键工序要求实施前，“关键工序”栏可不填，下同。</w:t>
      </w:r>
      <w:r/>
    </w:p>
    <w:p>
      <w:pPr>
        <w:jc w:val="left"/>
        <w:spacing w:line="400" w:lineRule="exact"/>
        <w:widowControl/>
        <w:rPr>
          <w:rFonts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 xml:space="preserve">6.用删除线划除的地方无需填写。（如：</w:t>
      </w:r>
      <w:r>
        <w:rPr>
          <w:rFonts w:hint="eastAsia" w:ascii="宋体" w:hAnsi="宋体" w:cs="方正魏碑_GBK"/>
          <w:strike/>
          <w:color w:val="000000"/>
          <w:szCs w:val="21"/>
          <w:highlight w:val="none"/>
          <w:u w:val="single"/>
        </w:rPr>
        <w:t xml:space="preserve">（产品名称1）</w:t>
      </w:r>
      <w:r>
        <w:rPr>
          <w:rFonts w:hint="eastAsia" w:ascii="宋体" w:hAnsi="宋体" w:cs="方正魏碑_GBK"/>
          <w:color w:val="000000"/>
          <w:szCs w:val="21"/>
          <w:highlight w:val="none"/>
          <w:shd w:val="clear" w:color="auto" w:fill="ffffff"/>
        </w:rPr>
        <w:t xml:space="preserve">）</w:t>
      </w:r>
      <w:r/>
    </w:p>
    <w:p>
      <w:pPr>
        <w:rPr>
          <w:rFonts w:hint="eastAsia" w:ascii="Times New Roman" w:hAnsi="Times New Roman" w:eastAsia="方正黑体_GBK"/>
          <w:bCs/>
          <w:color w:val="000000"/>
          <w:sz w:val="32"/>
          <w:szCs w:val="32"/>
          <w:highlight w:val="none"/>
          <w:lang w:bidi="ar"/>
        </w:rPr>
      </w:pPr>
      <w:r>
        <w:rPr>
          <w:rFonts w:hint="eastAsia" w:ascii="Times New Roman" w:hAnsi="Times New Roman" w:eastAsia="方正黑体_GBK"/>
          <w:bCs/>
          <w:color w:val="000000"/>
          <w:sz w:val="32"/>
          <w:szCs w:val="32"/>
          <w:highlight w:val="none"/>
          <w:lang w:bidi="ar"/>
        </w:rPr>
      </w:r>
      <w:r/>
    </w:p>
    <w:p>
      <w:pPr>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r>
      <w:r/>
    </w:p>
    <w:p>
      <w:pPr>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t xml:space="preserve">附件1</w:t>
      </w:r>
      <w:r>
        <w:rPr>
          <w:rFonts w:hint="eastAsia" w:ascii="Times New Roman" w:hAnsi="Times New Roman" w:eastAsia="方正黑体_GBK"/>
          <w:bCs/>
          <w:color w:val="000000"/>
          <w:sz w:val="32"/>
          <w:szCs w:val="32"/>
          <w:highlight w:val="none"/>
          <w:lang w:bidi="ar"/>
        </w:rPr>
        <w:t xml:space="preserve">3</w:t>
      </w:r>
      <w:r/>
    </w:p>
    <w:p>
      <w:pPr>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p>
    <w:p>
      <w:pPr>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自愿组成联合体，参加海安市公共资源交易中心组织的采购编号为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p>
    <w:p>
      <w:pPr>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p>
    <w:p>
      <w:pPr>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spacing w:line="52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4</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eastAsia="方正黑体_GBK"/>
          <w:b/>
          <w:color w:val="000000"/>
          <w:sz w:val="32"/>
          <w:szCs w:val="32"/>
          <w:highlight w:val="none"/>
        </w:rPr>
        <w:outlineLvl w:val="0"/>
      </w:pPr>
      <w:r>
        <w:rPr>
          <w:rFonts w:ascii="仿宋_GB2312" w:eastAsia="仿宋_GB2312"/>
          <w:color w:val="000000"/>
          <w:sz w:val="32"/>
          <w:szCs w:val="32"/>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15</w:t>
      </w:r>
      <w:r/>
    </w:p>
    <w:p>
      <w:pPr>
        <w:jc w:val="center"/>
        <w:spacing w:line="580" w:lineRule="exact"/>
        <w:rPr>
          <w:rFonts w:ascii="Times New Roman" w:hAnsi="Times New Roman" w:eastAsia="方正大标宋_GBK"/>
          <w:bCs/>
          <w:color w:val="000000"/>
          <w:sz w:val="44"/>
          <w:szCs w:val="44"/>
          <w:highlight w:val="none"/>
        </w:rPr>
      </w:pPr>
      <w:r>
        <w:rPr>
          <w:rFonts w:hint="eastAsia" w:ascii="Times New Roman" w:hAnsi="Times New Roman" w:eastAsia="方正大标宋_GBK"/>
          <w:bCs/>
          <w:color w:val="000000"/>
          <w:sz w:val="44"/>
          <w:szCs w:val="44"/>
          <w:highlight w:val="none"/>
        </w:rPr>
        <w:t xml:space="preserve">办理政采贷和</w:t>
      </w:r>
      <w:r>
        <w:rPr>
          <w:rFonts w:ascii="Times New Roman" w:hAnsi="Times New Roman" w:eastAsia="方正大标宋_GBK"/>
          <w:bCs/>
          <w:color w:val="000000"/>
          <w:sz w:val="44"/>
          <w:szCs w:val="44"/>
          <w:highlight w:val="none"/>
        </w:rPr>
        <w:t xml:space="preserve">履</w:t>
      </w:r>
      <w:r>
        <w:rPr>
          <w:rFonts w:hint="eastAsia" w:ascii="Times New Roman" w:hAnsi="Times New Roman" w:eastAsia="方正大标宋_GBK"/>
          <w:bCs/>
          <w:color w:val="000000"/>
          <w:sz w:val="44"/>
          <w:szCs w:val="44"/>
          <w:highlight w:val="none"/>
        </w:rPr>
        <w:t xml:space="preserve">约保函（</w:t>
      </w:r>
      <w:r>
        <w:rPr>
          <w:rFonts w:ascii="Times New Roman" w:hAnsi="Times New Roman" w:eastAsia="方正大标宋_GBK"/>
          <w:bCs/>
          <w:color w:val="000000"/>
          <w:sz w:val="44"/>
          <w:szCs w:val="44"/>
          <w:highlight w:val="none"/>
        </w:rPr>
        <w:t xml:space="preserve">保险</w:t>
      </w:r>
      <w:r>
        <w:rPr>
          <w:rFonts w:hint="eastAsia" w:ascii="Times New Roman" w:hAnsi="Times New Roman" w:eastAsia="方正大标宋_GBK"/>
          <w:bCs/>
          <w:color w:val="000000"/>
          <w:sz w:val="44"/>
          <w:szCs w:val="44"/>
          <w:highlight w:val="none"/>
        </w:rPr>
        <w:t xml:space="preserve">）告知函</w:t>
      </w:r>
      <w:r/>
    </w:p>
    <w:p>
      <w:pPr>
        <w:rPr>
          <w:rFonts w:ascii="Times New Roman" w:hAnsi="Times New Roman" w:eastAsia="仿宋_GB2312"/>
          <w:color w:val="000000"/>
          <w:sz w:val="32"/>
          <w:highlight w:val="none"/>
        </w:rPr>
      </w:pPr>
      <w:r>
        <w:rPr>
          <w:rFonts w:ascii="Times New Roman" w:hAnsi="Times New Roman" w:eastAsia="仿宋_GB2312"/>
          <w:color w:val="000000"/>
          <w:sz w:val="32"/>
          <w:highlight w:val="none"/>
        </w:rPr>
      </w:r>
      <w:r/>
    </w:p>
    <w:p>
      <w:pPr>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各政府采购供应商：</w:t>
      </w:r>
      <w:r/>
    </w:p>
    <w:p>
      <w:pPr>
        <w:ind w:firstLine="640"/>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欢迎贵公司参与南通市政府采购活动！</w:t>
      </w:r>
      <w:r/>
    </w:p>
    <w:p>
      <w:pPr>
        <w:ind w:firstLine="640"/>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政府采购线上合同信用融资和</w:t>
      </w:r>
      <w:r>
        <w:rPr>
          <w:rFonts w:ascii="Times New Roman" w:hAnsi="Times New Roman" w:eastAsia="仿宋_GB2312"/>
          <w:color w:val="000000"/>
          <w:sz w:val="32"/>
          <w:highlight w:val="none"/>
        </w:rPr>
        <w:t xml:space="preserve">履</w:t>
      </w:r>
      <w:r>
        <w:rPr>
          <w:rFonts w:hint="eastAsia" w:ascii="Times New Roman" w:hAnsi="Times New Roman" w:eastAsia="仿宋_GB2312"/>
          <w:color w:val="000000"/>
          <w:sz w:val="32"/>
          <w:highlight w:val="none"/>
        </w:rPr>
        <w:t xml:space="preserve">约保函（</w:t>
      </w:r>
      <w:r>
        <w:rPr>
          <w:rFonts w:ascii="Times New Roman" w:hAnsi="Times New Roman" w:eastAsia="仿宋_GB2312"/>
          <w:color w:val="000000"/>
          <w:sz w:val="32"/>
          <w:highlight w:val="none"/>
        </w:rPr>
        <w:t xml:space="preserve">保险</w:t>
      </w:r>
      <w:r>
        <w:rPr>
          <w:rFonts w:hint="eastAsia" w:ascii="Times New Roman" w:hAnsi="Times New Roman" w:eastAsia="仿宋_GB2312"/>
          <w:color w:val="000000"/>
          <w:sz w:val="32"/>
          <w:highlight w:val="none"/>
        </w:rPr>
        <w:t xml:space="preserve">）是支持企业发展，针对参与政府采购活动的企业融资难、现金流不足等问题推出的一项服务举措。</w:t>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贵公司若成为本次政府采购项目的中标（成交）供应商，</w:t>
      </w:r>
      <w:r>
        <w:rPr>
          <w:rFonts w:hint="eastAsia" w:ascii="仿宋_GB2312" w:hAnsi="Times New Roman" w:eastAsia="仿宋_GB2312"/>
          <w:color w:val="000000"/>
          <w:sz w:val="32"/>
          <w:szCs w:val="32"/>
          <w:highlight w:val="none"/>
        </w:rPr>
        <w:t xml:space="preserve">可自愿选择</w:t>
      </w:r>
      <w:r>
        <w:rPr>
          <w:rFonts w:ascii="Times New Roman" w:hAnsi="Times New Roman" w:eastAsia="仿宋_GB2312"/>
          <w:color w:val="000000"/>
          <w:sz w:val="32"/>
          <w:highlight w:val="none"/>
        </w:rPr>
        <w:t xml:space="preserve">履</w:t>
      </w:r>
      <w:r>
        <w:rPr>
          <w:rFonts w:hint="eastAsia" w:ascii="Times New Roman" w:hAnsi="Times New Roman" w:eastAsia="仿宋_GB2312"/>
          <w:color w:val="000000"/>
          <w:sz w:val="32"/>
          <w:highlight w:val="none"/>
        </w:rPr>
        <w:t xml:space="preserve">约保函（</w:t>
      </w:r>
      <w:r>
        <w:rPr>
          <w:rFonts w:ascii="Times New Roman" w:hAnsi="Times New Roman" w:eastAsia="仿宋_GB2312"/>
          <w:color w:val="000000"/>
          <w:sz w:val="32"/>
          <w:highlight w:val="none"/>
        </w:rPr>
        <w:t xml:space="preserve">保险</w:t>
      </w:r>
      <w:r>
        <w:rPr>
          <w:rFonts w:hint="eastAsia" w:ascii="Times New Roman" w:hAnsi="Times New Roman" w:eastAsia="仿宋_GB2312"/>
          <w:color w:val="000000"/>
          <w:sz w:val="32"/>
          <w:highlight w:val="none"/>
        </w:rPr>
        <w:t xml:space="preserve">）</w:t>
      </w:r>
      <w:r>
        <w:rPr>
          <w:rFonts w:hint="eastAsia" w:ascii="仿宋_GB2312" w:hAnsi="Times New Roman" w:eastAsia="仿宋_GB2312"/>
          <w:color w:val="000000"/>
          <w:sz w:val="32"/>
          <w:szCs w:val="32"/>
          <w:highlight w:val="none"/>
        </w:rPr>
        <w:t xml:space="preserve">形式替代履约保证金，也</w:t>
      </w:r>
      <w:r>
        <w:rPr>
          <w:rFonts w:hint="eastAsia" w:ascii="Times New Roman" w:hAnsi="Times New Roman" w:eastAsia="仿宋_GB2312"/>
          <w:color w:val="000000"/>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640"/>
        <w:spacing w:line="580" w:lineRule="exact"/>
        <w:rPr>
          <w:rFonts w:hint="eastAsia" w:ascii="Times New Roman" w:hAnsi="Times New Roman" w:eastAsia="仿宋_GB2312"/>
          <w:color w:val="000000"/>
          <w:sz w:val="32"/>
          <w:highlight w:val="none"/>
        </w:rPr>
      </w:pPr>
      <w:r>
        <w:rPr>
          <w:rFonts w:hint="eastAsia" w:ascii="Times New Roman" w:hAnsi="Times New Roman" w:eastAsia="仿宋_GB2312"/>
          <w:color w:val="000000"/>
          <w:sz w:val="32"/>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spacing w:line="300" w:lineRule="auto"/>
        <w:rPr>
          <w:rFonts w:hint="default" w:eastAsia="方正黑体_GBK"/>
          <w:color w:val="000000"/>
          <w:sz w:val="32"/>
          <w:szCs w:val="32"/>
          <w:lang w:val="en-US" w:eastAsia="zh-CN"/>
        </w:rPr>
        <w:outlineLvl w:val="0"/>
      </w:pPr>
      <w:r>
        <w:rPr>
          <w:rFonts w:hint="eastAsia" w:eastAsia="方正黑体_GBK"/>
          <w:color w:val="000000"/>
          <w:sz w:val="32"/>
          <w:szCs w:val="32"/>
          <w:lang w:eastAsia="zh-CN"/>
        </w:rPr>
        <w:t xml:space="preserve">附件</w:t>
      </w:r>
      <w:r>
        <w:rPr>
          <w:rFonts w:hint="eastAsia" w:eastAsia="方正黑体_GBK"/>
          <w:color w:val="000000"/>
          <w:sz w:val="32"/>
          <w:szCs w:val="32"/>
          <w:lang w:val="en-US" w:eastAsia="zh-CN"/>
        </w:rPr>
        <w:t xml:space="preserve">16</w:t>
      </w:r>
      <w:r/>
    </w:p>
    <w:p>
      <w:pPr>
        <w:contextualSpacing/>
        <w:jc w:val="center"/>
        <w:spacing w:line="300" w:lineRule="auto"/>
        <w:rPr>
          <w:rFonts w:hint="eastAsia" w:ascii="仿宋" w:hAnsi="仿宋" w:eastAsia="仿宋" w:cs="仿宋"/>
          <w:b/>
          <w:sz w:val="36"/>
          <w:szCs w:val="36"/>
        </w:rPr>
      </w:pPr>
      <w:r>
        <w:rPr>
          <w:rFonts w:hint="eastAsia" w:ascii="仿宋" w:hAnsi="仿宋" w:eastAsia="仿宋" w:cs="仿宋"/>
          <w:b/>
          <w:sz w:val="36"/>
          <w:szCs w:val="36"/>
        </w:rPr>
        <w:t xml:space="preserve">拟安排本项目技术人员情况表</w:t>
      </w:r>
      <w:r/>
    </w:p>
    <w:p>
      <w:pPr>
        <w:jc w:val="center"/>
        <w:spacing w:line="360" w:lineRule="auto"/>
        <w:rPr>
          <w:rFonts w:hint="eastAsia" w:ascii="仿宋" w:hAnsi="仿宋" w:eastAsia="仿宋" w:cs="仿宋"/>
          <w:sz w:val="28"/>
          <w:szCs w:val="20"/>
        </w:rPr>
      </w:pPr>
      <w:r>
        <w:rPr>
          <w:rFonts w:hint="eastAsia" w:ascii="仿宋" w:hAnsi="仿宋" w:eastAsia="仿宋" w:cs="仿宋"/>
          <w:sz w:val="28"/>
          <w:szCs w:val="20"/>
        </w:rPr>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19"/>
        <w:gridCol w:w="1419"/>
        <w:gridCol w:w="3776"/>
        <w:gridCol w:w="1131"/>
      </w:tblGrid>
      <w:tr>
        <w:trPr/>
        <w:tc>
          <w:tcPr>
            <w:tcBorders>
              <w:top w:val="single" w:color="auto" w:sz="4" w:space="0"/>
              <w:left w:val="single" w:color="auto" w:sz="4" w:space="0"/>
            </w:tcBorders>
            <w:tcW w:w="1420" w:type="dxa"/>
            <w:vAlign w:val="center"/>
            <w:textDirection w:val="lrTb"/>
            <w:noWrap w:val="false"/>
          </w:tcPr>
          <w:p>
            <w:pPr>
              <w:jc w:val="center"/>
              <w:spacing w:before="120" w:line="360" w:lineRule="auto"/>
              <w:rPr>
                <w:rFonts w:hint="eastAsia" w:ascii="仿宋" w:hAnsi="仿宋" w:eastAsia="仿宋" w:cs="仿宋"/>
                <w:b/>
                <w:szCs w:val="20"/>
              </w:rPr>
            </w:pPr>
            <w:r>
              <w:rPr>
                <w:rFonts w:hint="eastAsia" w:ascii="仿宋" w:hAnsi="仿宋" w:eastAsia="仿宋" w:cs="仿宋"/>
                <w:b/>
                <w:szCs w:val="20"/>
              </w:rPr>
              <w:t xml:space="preserve">姓名</w:t>
            </w:r>
            <w:r/>
          </w:p>
        </w:tc>
        <w:tc>
          <w:tcPr>
            <w:tcBorders>
              <w:top w:val="single" w:color="auto" w:sz="4" w:space="0"/>
            </w:tcBorders>
            <w:tcW w:w="1419" w:type="dxa"/>
            <w:vAlign w:val="center"/>
            <w:textDirection w:val="lrTb"/>
            <w:noWrap w:val="false"/>
          </w:tcPr>
          <w:p>
            <w:pPr>
              <w:jc w:val="center"/>
              <w:spacing w:before="120" w:line="360" w:lineRule="auto"/>
              <w:rPr>
                <w:rFonts w:hint="eastAsia" w:ascii="仿宋" w:hAnsi="仿宋" w:eastAsia="仿宋" w:cs="仿宋"/>
                <w:b/>
                <w:szCs w:val="20"/>
              </w:rPr>
            </w:pPr>
            <w:r>
              <w:rPr>
                <w:rFonts w:hint="eastAsia" w:ascii="仿宋" w:hAnsi="仿宋" w:eastAsia="仿宋" w:cs="仿宋"/>
                <w:b/>
                <w:szCs w:val="20"/>
              </w:rPr>
              <w:t xml:space="preserve">职务</w:t>
            </w:r>
            <w:r/>
          </w:p>
        </w:tc>
        <w:tc>
          <w:tcPr>
            <w:tcBorders>
              <w:top w:val="single" w:color="auto" w:sz="4" w:space="0"/>
            </w:tcBorders>
            <w:tcW w:w="1419" w:type="dxa"/>
            <w:vAlign w:val="center"/>
            <w:textDirection w:val="lrTb"/>
            <w:noWrap w:val="false"/>
          </w:tcPr>
          <w:p>
            <w:pPr>
              <w:jc w:val="center"/>
              <w:spacing w:before="120" w:line="360" w:lineRule="auto"/>
              <w:rPr>
                <w:rFonts w:hint="eastAsia" w:ascii="仿宋" w:hAnsi="仿宋" w:eastAsia="仿宋" w:cs="仿宋"/>
                <w:b/>
                <w:szCs w:val="20"/>
              </w:rPr>
            </w:pPr>
            <w:r>
              <w:rPr>
                <w:rFonts w:hint="eastAsia" w:ascii="仿宋" w:hAnsi="仿宋" w:eastAsia="仿宋" w:cs="仿宋"/>
                <w:b/>
                <w:szCs w:val="20"/>
              </w:rPr>
              <w:t xml:space="preserve">职称</w:t>
            </w:r>
            <w:r/>
          </w:p>
        </w:tc>
        <w:tc>
          <w:tcPr>
            <w:tcBorders>
              <w:top w:val="single" w:color="auto" w:sz="4" w:space="0"/>
            </w:tcBorders>
            <w:tcW w:w="3776" w:type="dxa"/>
            <w:vAlign w:val="center"/>
            <w:textDirection w:val="lrTb"/>
            <w:noWrap w:val="false"/>
          </w:tcPr>
          <w:p>
            <w:pPr>
              <w:jc w:val="center"/>
              <w:spacing w:before="120" w:line="360" w:lineRule="auto"/>
              <w:rPr>
                <w:rFonts w:hint="eastAsia" w:ascii="仿宋" w:hAnsi="仿宋" w:eastAsia="仿宋" w:cs="仿宋"/>
                <w:b/>
                <w:szCs w:val="20"/>
              </w:rPr>
            </w:pPr>
            <w:r>
              <w:rPr>
                <w:rFonts w:hint="eastAsia" w:ascii="仿宋" w:hAnsi="仿宋" w:eastAsia="仿宋" w:cs="仿宋"/>
                <w:b/>
                <w:szCs w:val="20"/>
              </w:rPr>
              <w:t xml:space="preserve">相关资格</w:t>
            </w:r>
            <w:r/>
          </w:p>
        </w:tc>
        <w:tc>
          <w:tcPr>
            <w:tcBorders>
              <w:top w:val="single" w:color="auto" w:sz="4" w:space="0"/>
              <w:right w:val="single" w:color="auto" w:sz="4" w:space="0"/>
            </w:tcBorders>
            <w:tcW w:w="1131" w:type="dxa"/>
            <w:vAlign w:val="center"/>
            <w:textDirection w:val="lrTb"/>
            <w:noWrap w:val="false"/>
          </w:tcPr>
          <w:p>
            <w:pPr>
              <w:jc w:val="center"/>
              <w:spacing w:before="120" w:line="360" w:lineRule="auto"/>
              <w:rPr>
                <w:rFonts w:hint="eastAsia" w:ascii="仿宋" w:hAnsi="仿宋" w:eastAsia="仿宋" w:cs="仿宋"/>
                <w:b/>
                <w:szCs w:val="20"/>
              </w:rPr>
            </w:pPr>
            <w:r>
              <w:rPr>
                <w:rFonts w:hint="eastAsia" w:ascii="仿宋" w:hAnsi="仿宋" w:eastAsia="仿宋" w:cs="仿宋"/>
                <w:b/>
                <w:szCs w:val="20"/>
              </w:rPr>
              <w:t xml:space="preserve">履历</w:t>
            </w:r>
            <w:r/>
          </w:p>
        </w:tc>
      </w:tr>
      <w:tr>
        <w:trPr/>
        <w:tc>
          <w:tcPr>
            <w:tcBorders>
              <w:left w:val="single" w:color="auto" w:sz="4" w:space="0"/>
            </w:tcBorders>
            <w:tcW w:w="1420"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3776"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right w:val="single" w:color="auto" w:sz="4" w:space="0"/>
            </w:tcBorders>
            <w:tcW w:w="1131"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r>
      <w:tr>
        <w:trPr/>
        <w:tc>
          <w:tcPr>
            <w:tcBorders>
              <w:left w:val="single" w:color="auto" w:sz="4" w:space="0"/>
            </w:tcBorders>
            <w:tcW w:w="1420"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3776"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right w:val="single" w:color="auto" w:sz="4" w:space="0"/>
            </w:tcBorders>
            <w:tcW w:w="1131"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r>
      <w:tr>
        <w:trPr/>
        <w:tc>
          <w:tcPr>
            <w:tcBorders>
              <w:left w:val="single" w:color="auto" w:sz="4" w:space="0"/>
            </w:tcBorders>
            <w:tcW w:w="1420"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3776"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right w:val="single" w:color="auto" w:sz="4" w:space="0"/>
            </w:tcBorders>
            <w:tcW w:w="1131"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r>
      <w:tr>
        <w:trPr/>
        <w:tc>
          <w:tcPr>
            <w:tcBorders>
              <w:left w:val="single" w:color="auto" w:sz="4" w:space="0"/>
            </w:tcBorders>
            <w:tcW w:w="1420"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3776"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right w:val="single" w:color="auto" w:sz="4" w:space="0"/>
            </w:tcBorders>
            <w:tcW w:w="1131"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r>
      <w:tr>
        <w:trPr/>
        <w:tc>
          <w:tcPr>
            <w:tcBorders>
              <w:left w:val="single" w:color="auto" w:sz="4" w:space="0"/>
            </w:tcBorders>
            <w:tcW w:w="1420"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W w:w="3776"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right w:val="single" w:color="auto" w:sz="4" w:space="0"/>
            </w:tcBorders>
            <w:tcW w:w="1131"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r>
      <w:tr>
        <w:trPr/>
        <w:tc>
          <w:tcPr>
            <w:tcBorders>
              <w:left w:val="single" w:color="auto" w:sz="4" w:space="0"/>
              <w:bottom w:val="single" w:color="auto" w:sz="4" w:space="0"/>
            </w:tcBorders>
            <w:tcW w:w="1420"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bottom w:val="single" w:color="auto" w:sz="4" w:space="0"/>
            </w:tcBorders>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bottom w:val="single" w:color="auto" w:sz="4" w:space="0"/>
            </w:tcBorders>
            <w:tcW w:w="1419"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bottom w:val="single" w:color="auto" w:sz="4" w:space="0"/>
            </w:tcBorders>
            <w:tcW w:w="3776"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c>
          <w:tcPr>
            <w:tcBorders>
              <w:bottom w:val="single" w:color="auto" w:sz="4" w:space="0"/>
              <w:right w:val="single" w:color="auto" w:sz="4" w:space="0"/>
            </w:tcBorders>
            <w:tcW w:w="1131" w:type="dxa"/>
            <w:vAlign w:val="center"/>
            <w:textDirection w:val="lrTb"/>
            <w:noWrap w:val="false"/>
          </w:tcPr>
          <w:p>
            <w:pPr>
              <w:jc w:val="center"/>
              <w:spacing w:line="360" w:lineRule="auto"/>
              <w:rPr>
                <w:rFonts w:hint="eastAsia" w:ascii="仿宋" w:hAnsi="仿宋" w:eastAsia="仿宋" w:cs="仿宋"/>
                <w:szCs w:val="20"/>
              </w:rPr>
            </w:pPr>
            <w:r>
              <w:rPr>
                <w:rFonts w:hint="eastAsia" w:ascii="仿宋" w:hAnsi="仿宋" w:eastAsia="仿宋" w:cs="仿宋"/>
                <w:szCs w:val="20"/>
              </w:rPr>
            </w:r>
            <w:r/>
          </w:p>
        </w:tc>
      </w:tr>
    </w:tbl>
    <w:p>
      <w:pPr>
        <w:contextualSpacing/>
        <w:ind w:firstLine="360"/>
        <w:spacing w:line="300" w:lineRule="auto"/>
        <w:rPr>
          <w:rFonts w:hint="eastAsia" w:ascii="仿宋" w:hAnsi="仿宋" w:eastAsia="仿宋" w:cs="仿宋"/>
          <w:b/>
          <w:sz w:val="28"/>
          <w:szCs w:val="28"/>
          <w:lang w:eastAsia="zh-CN"/>
        </w:rPr>
      </w:pPr>
      <w:r>
        <w:rPr>
          <w:rFonts w:hint="eastAsia" w:ascii="仿宋" w:hAnsi="仿宋" w:eastAsia="仿宋" w:cs="仿宋"/>
          <w:b/>
          <w:sz w:val="28"/>
          <w:szCs w:val="28"/>
        </w:rPr>
        <w:t xml:space="preserve">注：人员需根据</w:t>
      </w:r>
      <w:r>
        <w:rPr>
          <w:rFonts w:hint="eastAsia" w:ascii="仿宋" w:hAnsi="仿宋" w:eastAsia="仿宋" w:cs="仿宋"/>
          <w:b/>
          <w:sz w:val="28"/>
          <w:szCs w:val="28"/>
          <w:lang w:eastAsia="zh-CN"/>
        </w:rPr>
        <w:t xml:space="preserve">文件</w:t>
      </w:r>
      <w:r>
        <w:rPr>
          <w:rFonts w:hint="eastAsia" w:ascii="仿宋" w:hAnsi="仿宋" w:eastAsia="仿宋" w:cs="仿宋"/>
          <w:b/>
          <w:sz w:val="28"/>
          <w:szCs w:val="28"/>
        </w:rPr>
        <w:t xml:space="preserve">要求提供相关证明材料。</w:t>
      </w:r>
      <w:r>
        <w:rPr>
          <w:rFonts w:hint="eastAsia" w:ascii="仿宋" w:hAnsi="仿宋" w:eastAsia="仿宋" w:cs="仿宋"/>
          <w:b/>
          <w:sz w:val="28"/>
          <w:szCs w:val="28"/>
          <w:lang w:eastAsia="zh-CN"/>
        </w:rPr>
        <w:t xml:space="preserve">本表格格式仅供参考，可自行调整。</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Gothic">
    <w:panose1 w:val="020B0609070205080204"/>
  </w:font>
  <w:font w:name="方正魏碑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53</w:t>
    </w:r>
    <w:r>
      <w:rPr>
        <w:rFonts w:ascii="宋体" w:hAnsi="宋体"/>
      </w:rPr>
      <w:fldChar w:fldCharType="end"/>
    </w:r>
    <w:r/>
  </w:p>
  <w:p>
    <w:pPr>
      <w:pStyle w:val="8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6"/>
      <w:isLgl w:val="false"/>
      <w:suff w:val="nothing"/>
      <w:lvlText w:val=""/>
      <w:lvlJc w:val="left"/>
      <w:pPr>
        <w:ind w:left="0" w:firstLine="0"/>
      </w:pPr>
      <w:rPr>
        <w:rFonts w:hint="eastAsia"/>
      </w:rPr>
    </w:lvl>
    <w:lvl w:ilvl="6">
      <w:start w:val="1"/>
      <w:numFmt w:val="decimal"/>
      <w:pStyle w:val="847"/>
      <w:isLgl w:val="false"/>
      <w:suff w:val="nothing"/>
      <w:lvlText w:val=""/>
      <w:lvlJc w:val="left"/>
      <w:pPr>
        <w:ind w:left="0" w:firstLine="0"/>
      </w:pPr>
      <w:rPr>
        <w:rFonts w:hint="eastAsia"/>
      </w:rPr>
    </w:lvl>
    <w:lvl w:ilvl="7">
      <w:start w:val="1"/>
      <w:numFmt w:val="decimal"/>
      <w:pStyle w:val="848"/>
      <w:isLgl w:val="false"/>
      <w:suff w:val="nothing"/>
      <w:lvlText w:val=""/>
      <w:lvlJc w:val="left"/>
      <w:pPr>
        <w:ind w:left="0" w:firstLine="0"/>
      </w:pPr>
      <w:rPr>
        <w:rFonts w:hint="eastAsia"/>
      </w:rPr>
    </w:lvl>
    <w:lvl w:ilvl="8">
      <w:start w:val="1"/>
      <w:numFmt w:val="decimal"/>
      <w:pStyle w:val="84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692"/>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3"/>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4"/>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5"/>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6"/>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7"/>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699"/>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0"/>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annotation text"/>
    <w:basedOn w:val="658"/>
    <w:uiPriority w:val="99"/>
    <w:semiHidden/>
    <w:unhideWhenUsed/>
    <w:qFormat/>
    <w:pPr>
      <w:jc w:val="left"/>
    </w:pPr>
  </w:style>
  <w:style w:type="paragraph" w:styleId="673">
    <w:name w:val="toc 5"/>
    <w:basedOn w:val="658"/>
    <w:next w:val="658"/>
    <w:uiPriority w:val="39"/>
    <w:unhideWhenUsed/>
    <w:qFormat/>
    <w:pPr>
      <w:ind w:left="1134" w:right="0" w:firstLine="0"/>
      <w:spacing w:after="57"/>
    </w:pPr>
  </w:style>
  <w:style w:type="paragraph" w:styleId="674">
    <w:name w:val="toc 3"/>
    <w:basedOn w:val="658"/>
    <w:next w:val="658"/>
    <w:uiPriority w:val="39"/>
    <w:unhideWhenUsed/>
    <w:qFormat/>
    <w:pPr>
      <w:ind w:left="567" w:right="0" w:firstLine="0"/>
      <w:spacing w:after="57"/>
    </w:pPr>
  </w:style>
  <w:style w:type="paragraph" w:styleId="675">
    <w:name w:val="toc 8"/>
    <w:basedOn w:val="658"/>
    <w:next w:val="658"/>
    <w:uiPriority w:val="39"/>
    <w:unhideWhenUsed/>
    <w:qFormat/>
    <w:pPr>
      <w:ind w:left="1984" w:right="0" w:firstLine="0"/>
      <w:spacing w:after="57"/>
    </w:pPr>
  </w:style>
  <w:style w:type="paragraph" w:styleId="676">
    <w:name w:val="endnote text"/>
    <w:basedOn w:val="658"/>
    <w:link w:val="838"/>
    <w:uiPriority w:val="99"/>
    <w:semiHidden/>
    <w:unhideWhenUsed/>
    <w:qFormat/>
    <w:pPr>
      <w:spacing w:after="0" w:line="240" w:lineRule="auto"/>
    </w:pPr>
    <w:rPr>
      <w:sz w:val="20"/>
    </w:rPr>
  </w:style>
  <w:style w:type="paragraph" w:styleId="677">
    <w:name w:val="Footer"/>
    <w:basedOn w:val="658"/>
    <w:link w:val="711"/>
    <w:uiPriority w:val="99"/>
    <w:unhideWhenUsed/>
    <w:qFormat/>
    <w:pPr>
      <w:spacing w:after="0" w:line="240" w:lineRule="auto"/>
      <w:tabs>
        <w:tab w:val="center" w:pos="7143" w:leader="none"/>
        <w:tab w:val="right" w:pos="14287" w:leader="none"/>
      </w:tabs>
    </w:pPr>
  </w:style>
  <w:style w:type="paragraph" w:styleId="678">
    <w:name w:val="Header"/>
    <w:basedOn w:val="658"/>
    <w:link w:val="709"/>
    <w:uiPriority w:val="99"/>
    <w:unhideWhenUsed/>
    <w:qFormat/>
    <w:pPr>
      <w:spacing w:after="0" w:line="240" w:lineRule="auto"/>
      <w:tabs>
        <w:tab w:val="center" w:pos="7143" w:leader="none"/>
        <w:tab w:val="right" w:pos="14287" w:leader="none"/>
      </w:tabs>
    </w:pPr>
  </w:style>
  <w:style w:type="paragraph" w:styleId="679">
    <w:name w:val="toc 1"/>
    <w:basedOn w:val="658"/>
    <w:next w:val="658"/>
    <w:uiPriority w:val="39"/>
    <w:unhideWhenUsed/>
    <w:qFormat/>
    <w:pPr>
      <w:ind w:left="0" w:right="0" w:firstLine="0"/>
      <w:spacing w:after="57"/>
    </w:pPr>
  </w:style>
  <w:style w:type="paragraph" w:styleId="680">
    <w:name w:val="toc 4"/>
    <w:basedOn w:val="658"/>
    <w:next w:val="658"/>
    <w:uiPriority w:val="39"/>
    <w:unhideWhenUsed/>
    <w:qFormat/>
    <w:pPr>
      <w:ind w:left="850" w:right="0" w:firstLine="0"/>
      <w:spacing w:after="57"/>
    </w:pPr>
  </w:style>
  <w:style w:type="paragraph" w:styleId="681">
    <w:name w:val="Subtitle"/>
    <w:basedOn w:val="658"/>
    <w:next w:val="658"/>
    <w:link w:val="704"/>
    <w:uiPriority w:val="11"/>
    <w:qFormat/>
    <w:pPr>
      <w:spacing w:before="200" w:after="200"/>
    </w:pPr>
    <w:rPr>
      <w:sz w:val="24"/>
      <w:szCs w:val="24"/>
    </w:rPr>
  </w:style>
  <w:style w:type="paragraph" w:styleId="682">
    <w:name w:val="footnote text"/>
    <w:basedOn w:val="658"/>
    <w:link w:val="837"/>
    <w:uiPriority w:val="99"/>
    <w:semiHidden/>
    <w:unhideWhenUsed/>
    <w:qFormat/>
    <w:pPr>
      <w:spacing w:after="40" w:line="240" w:lineRule="auto"/>
    </w:pPr>
    <w:rPr>
      <w:sz w:val="18"/>
    </w:rPr>
  </w:style>
  <w:style w:type="paragraph" w:styleId="683">
    <w:name w:val="toc 6"/>
    <w:basedOn w:val="658"/>
    <w:next w:val="658"/>
    <w:uiPriority w:val="39"/>
    <w:unhideWhenUsed/>
    <w:qFormat/>
    <w:pPr>
      <w:ind w:left="1417" w:right="0" w:firstLine="0"/>
      <w:spacing w:after="57"/>
    </w:pPr>
  </w:style>
  <w:style w:type="paragraph" w:styleId="684">
    <w:name w:val="table of figures"/>
    <w:basedOn w:val="658"/>
    <w:next w:val="658"/>
    <w:uiPriority w:val="99"/>
    <w:unhideWhenUsed/>
    <w:qFormat/>
    <w:pPr>
      <w:spacing w:after="0" w:afterAutospacing="0"/>
    </w:pPr>
  </w:style>
  <w:style w:type="paragraph" w:styleId="685">
    <w:name w:val="toc 2"/>
    <w:basedOn w:val="658"/>
    <w:next w:val="658"/>
    <w:uiPriority w:val="39"/>
    <w:unhideWhenUsed/>
    <w:qFormat/>
    <w:pPr>
      <w:ind w:left="283" w:right="0" w:firstLine="0"/>
      <w:spacing w:after="57"/>
    </w:pPr>
  </w:style>
  <w:style w:type="paragraph" w:styleId="686">
    <w:name w:val="toc 9"/>
    <w:basedOn w:val="658"/>
    <w:next w:val="658"/>
    <w:uiPriority w:val="39"/>
    <w:unhideWhenUsed/>
    <w:qFormat/>
    <w:pPr>
      <w:ind w:left="2268" w:right="0" w:firstLine="0"/>
      <w:spacing w:after="57"/>
    </w:pPr>
  </w:style>
  <w:style w:type="paragraph" w:styleId="687">
    <w:name w:val="Title"/>
    <w:basedOn w:val="658"/>
    <w:next w:val="658"/>
    <w:link w:val="703"/>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character" w:styleId="692" w:customStyle="1">
    <w:name w:val="Heading 1 Char"/>
    <w:link w:val="659"/>
    <w:uiPriority w:val="9"/>
    <w:qFormat/>
    <w:rPr>
      <w:rFonts w:ascii="Arial" w:hAnsi="Arial" w:eastAsia="Arial" w:cs="Arial"/>
      <w:sz w:val="40"/>
      <w:szCs w:val="40"/>
    </w:rPr>
  </w:style>
  <w:style w:type="character" w:styleId="693" w:customStyle="1">
    <w:name w:val="Heading 2 Char"/>
    <w:link w:val="660"/>
    <w:uiPriority w:val="9"/>
    <w:qFormat/>
    <w:rPr>
      <w:rFonts w:ascii="Arial" w:hAnsi="Arial" w:eastAsia="Arial" w:cs="Arial"/>
      <w:sz w:val="34"/>
    </w:rPr>
  </w:style>
  <w:style w:type="character" w:styleId="694" w:customStyle="1">
    <w:name w:val="Heading 3 Char"/>
    <w:link w:val="661"/>
    <w:uiPriority w:val="9"/>
    <w:qFormat/>
    <w:rPr>
      <w:rFonts w:ascii="Arial" w:hAnsi="Arial" w:eastAsia="Arial" w:cs="Arial"/>
      <w:sz w:val="30"/>
      <w:szCs w:val="30"/>
    </w:rPr>
  </w:style>
  <w:style w:type="character" w:styleId="695" w:customStyle="1">
    <w:name w:val="Heading 4 Char"/>
    <w:link w:val="662"/>
    <w:uiPriority w:val="9"/>
    <w:qFormat/>
    <w:rPr>
      <w:rFonts w:ascii="Arial" w:hAnsi="Arial" w:eastAsia="Arial" w:cs="Arial"/>
      <w:b/>
      <w:bCs/>
      <w:sz w:val="26"/>
      <w:szCs w:val="26"/>
    </w:rPr>
  </w:style>
  <w:style w:type="character" w:styleId="696" w:customStyle="1">
    <w:name w:val="Heading 5 Char"/>
    <w:link w:val="663"/>
    <w:uiPriority w:val="9"/>
    <w:qFormat/>
    <w:rPr>
      <w:rFonts w:ascii="Arial" w:hAnsi="Arial" w:eastAsia="Arial" w:cs="Arial"/>
      <w:b/>
      <w:bCs/>
      <w:sz w:val="24"/>
      <w:szCs w:val="24"/>
    </w:rPr>
  </w:style>
  <w:style w:type="character" w:styleId="697" w:customStyle="1">
    <w:name w:val="Heading 6 Char"/>
    <w:link w:val="664"/>
    <w:uiPriority w:val="9"/>
    <w:qFormat/>
    <w:rPr>
      <w:rFonts w:ascii="Arial" w:hAnsi="Arial" w:eastAsia="Arial" w:cs="Arial"/>
      <w:b/>
      <w:bCs/>
      <w:sz w:val="22"/>
      <w:szCs w:val="22"/>
    </w:rPr>
  </w:style>
  <w:style w:type="character" w:styleId="698" w:customStyle="1">
    <w:name w:val="Heading 7 Char"/>
    <w:link w:val="665"/>
    <w:uiPriority w:val="9"/>
    <w:qFormat/>
    <w:rPr>
      <w:rFonts w:ascii="Arial" w:hAnsi="Arial" w:eastAsia="Arial" w:cs="Arial"/>
      <w:b/>
      <w:bCs/>
      <w:i/>
      <w:iCs/>
      <w:sz w:val="22"/>
      <w:szCs w:val="22"/>
    </w:rPr>
  </w:style>
  <w:style w:type="character" w:styleId="699" w:customStyle="1">
    <w:name w:val="Heading 8 Char"/>
    <w:link w:val="666"/>
    <w:uiPriority w:val="9"/>
    <w:qFormat/>
    <w:rPr>
      <w:rFonts w:ascii="Arial" w:hAnsi="Arial" w:eastAsia="Arial" w:cs="Arial"/>
      <w:i/>
      <w:iCs/>
      <w:sz w:val="22"/>
      <w:szCs w:val="22"/>
    </w:rPr>
  </w:style>
  <w:style w:type="character" w:styleId="700" w:customStyle="1">
    <w:name w:val="Heading 9 Char"/>
    <w:link w:val="667"/>
    <w:uiPriority w:val="9"/>
    <w:qFormat/>
    <w:rPr>
      <w:rFonts w:ascii="Arial" w:hAnsi="Arial" w:eastAsia="Arial" w:cs="Arial"/>
      <w:i/>
      <w:iCs/>
      <w:sz w:val="21"/>
      <w:szCs w:val="21"/>
    </w:rPr>
  </w:style>
  <w:style w:type="paragraph" w:styleId="701">
    <w:name w:val="List Paragraph"/>
    <w:basedOn w:val="658"/>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87"/>
    <w:uiPriority w:val="10"/>
    <w:qFormat/>
    <w:rPr>
      <w:sz w:val="48"/>
      <w:szCs w:val="48"/>
    </w:rPr>
  </w:style>
  <w:style w:type="character" w:styleId="704" w:customStyle="1">
    <w:name w:val="Subtitle Char"/>
    <w:link w:val="681"/>
    <w:uiPriority w:val="11"/>
    <w:qFormat/>
    <w:rPr>
      <w:sz w:val="24"/>
      <w:szCs w:val="24"/>
    </w:rPr>
  </w:style>
  <w:style w:type="paragraph" w:styleId="705">
    <w:name w:val="Quote"/>
    <w:basedOn w:val="658"/>
    <w:next w:val="658"/>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58"/>
    <w:next w:val="658"/>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8"/>
    <w:uiPriority w:val="99"/>
    <w:qFormat/>
  </w:style>
  <w:style w:type="character" w:styleId="710" w:customStyle="1">
    <w:name w:val="Footer Char"/>
    <w:link w:val="677"/>
    <w:uiPriority w:val="99"/>
    <w:qFormat/>
  </w:style>
  <w:style w:type="character" w:styleId="711" w:customStyle="1">
    <w:name w:val="Caption Char"/>
    <w:link w:val="677"/>
    <w:uiPriority w:val="99"/>
    <w:qFormat/>
  </w:style>
  <w:style w:type="table" w:styleId="71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82"/>
    <w:uiPriority w:val="99"/>
    <w:qFormat/>
    <w:rPr>
      <w:sz w:val="18"/>
    </w:rPr>
  </w:style>
  <w:style w:type="character" w:styleId="838" w:customStyle="1">
    <w:name w:val="Endnote Text Char"/>
    <w:link w:val="676"/>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58"/>
    <w:next w:val="658"/>
    <w:link w:val="852"/>
    <w:uiPriority w:val="0"/>
    <w:qFormat/>
    <w:pPr>
      <w:jc w:val="center"/>
      <w:keepNext/>
      <w:outlineLvl w:val="0"/>
    </w:pPr>
    <w:rPr>
      <w:rFonts w:ascii="楷体_GB2312" w:hAnsi="Times New Roman" w:eastAsia="楷体_GB2312" w:cs="Times New Roman"/>
      <w:sz w:val="28"/>
      <w:szCs w:val="28"/>
    </w:rPr>
  </w:style>
  <w:style w:type="paragraph" w:styleId="841" w:customStyle="1">
    <w:name w:val="标题 21"/>
    <w:basedOn w:val="658"/>
    <w:next w:val="658"/>
    <w:link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2" w:customStyle="1">
    <w:name w:val="标题 31"/>
    <w:basedOn w:val="658"/>
    <w:next w:val="658"/>
    <w:link w:val="85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3" w:customStyle="1">
    <w:name w:val="标题 41"/>
    <w:basedOn w:val="842"/>
    <w:next w:val="658"/>
    <w:link w:val="855"/>
    <w:uiPriority w:val="0"/>
    <w:qFormat/>
    <w:pPr>
      <w:keepLines/>
      <w:keepNext/>
      <w:spacing w:before="280" w:after="290" w:line="376" w:lineRule="auto"/>
      <w:outlineLvl w:val="3"/>
    </w:pPr>
    <w:rPr>
      <w:rFonts w:ascii="Arial" w:hAnsi="Arial" w:eastAsia="黑体" w:cs="Arial"/>
      <w:b w:val="0"/>
      <w:bCs w:val="0"/>
      <w:sz w:val="28"/>
      <w:szCs w:val="28"/>
    </w:rPr>
  </w:style>
  <w:style w:type="paragraph" w:styleId="844" w:customStyle="1">
    <w:name w:val="标题 51"/>
    <w:basedOn w:val="658"/>
    <w:next w:val="845"/>
    <w:link w:val="856"/>
    <w:uiPriority w:val="0"/>
    <w:qFormat/>
    <w:pPr>
      <w:keepNext/>
      <w:outlineLvl w:val="4"/>
    </w:pPr>
    <w:rPr>
      <w:rFonts w:ascii="宋体" w:hAnsi="Times New Roman" w:eastAsia="宋体" w:cs="Times New Roman"/>
      <w:color w:val="000000"/>
      <w:sz w:val="28"/>
      <w:szCs w:val="28"/>
    </w:rPr>
  </w:style>
  <w:style w:type="paragraph" w:styleId="845" w:customStyle="1">
    <w:name w:val="正文缩进1"/>
    <w:basedOn w:val="658"/>
    <w:link w:val="857"/>
    <w:uiPriority w:val="0"/>
    <w:qFormat/>
    <w:pPr>
      <w:ind w:firstLine="420"/>
    </w:pPr>
    <w:rPr>
      <w:szCs w:val="21"/>
    </w:rPr>
  </w:style>
  <w:style w:type="paragraph" w:styleId="846" w:customStyle="1">
    <w:name w:val="标题 61"/>
    <w:basedOn w:val="658"/>
    <w:next w:val="658"/>
    <w:link w:val="8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7" w:customStyle="1">
    <w:name w:val="标题 71"/>
    <w:basedOn w:val="658"/>
    <w:next w:val="658"/>
    <w:link w:val="8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8" w:customStyle="1">
    <w:name w:val="标题 81"/>
    <w:basedOn w:val="658"/>
    <w:next w:val="658"/>
    <w:link w:val="8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9" w:customStyle="1">
    <w:name w:val="标题 91"/>
    <w:basedOn w:val="658"/>
    <w:next w:val="658"/>
    <w:link w:val="8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0" w:customStyle="1">
    <w:name w:val="默认段落字体1"/>
    <w:link w:val="658"/>
    <w:uiPriority w:val="1"/>
    <w:unhideWhenUsed/>
    <w:qFormat/>
  </w:style>
  <w:style w:type="table" w:styleId="851" w:customStyle="1">
    <w:name w:val="普通表格1"/>
    <w:uiPriority w:val="99"/>
    <w:unhideWhenUsed/>
    <w:qFormat/>
    <w:tblPr/>
  </w:style>
  <w:style w:type="character" w:styleId="852" w:customStyle="1">
    <w:name w:val="标题 1 字符"/>
    <w:link w:val="840"/>
    <w:uiPriority w:val="0"/>
    <w:qFormat/>
    <w:rPr>
      <w:rFonts w:ascii="楷体_GB2312" w:hAnsi="Times New Roman" w:eastAsia="楷体_GB2312" w:cs="Times New Roman"/>
      <w:sz w:val="28"/>
      <w:szCs w:val="28"/>
    </w:rPr>
  </w:style>
  <w:style w:type="character" w:styleId="853" w:customStyle="1">
    <w:name w:val="标题 2 字符"/>
    <w:link w:val="841"/>
    <w:uiPriority w:val="0"/>
    <w:qFormat/>
    <w:rPr>
      <w:rFonts w:ascii="Arial" w:hAnsi="Arial" w:eastAsia="幼圆" w:cs="Arial"/>
      <w:b/>
      <w:bCs/>
      <w:sz w:val="44"/>
      <w:szCs w:val="44"/>
    </w:rPr>
  </w:style>
  <w:style w:type="character" w:styleId="854" w:customStyle="1">
    <w:name w:val="标题 3 字符"/>
    <w:link w:val="842"/>
    <w:uiPriority w:val="0"/>
    <w:qFormat/>
    <w:rPr>
      <w:rFonts w:ascii="Times New Roman" w:hAnsi="Times New Roman" w:eastAsia="宋体" w:cs="Times New Roman"/>
      <w:b/>
      <w:bCs/>
      <w:sz w:val="32"/>
      <w:szCs w:val="32"/>
    </w:rPr>
  </w:style>
  <w:style w:type="character" w:styleId="855" w:customStyle="1">
    <w:name w:val="标题 4 字符"/>
    <w:link w:val="843"/>
    <w:uiPriority w:val="0"/>
    <w:qFormat/>
    <w:rPr>
      <w:rFonts w:ascii="Arial" w:hAnsi="Arial" w:eastAsia="黑体" w:cs="Arial"/>
      <w:b/>
      <w:bCs/>
      <w:sz w:val="28"/>
      <w:szCs w:val="28"/>
    </w:rPr>
  </w:style>
  <w:style w:type="character" w:styleId="856" w:customStyle="1">
    <w:name w:val="标题 5 字符"/>
    <w:link w:val="844"/>
    <w:uiPriority w:val="0"/>
    <w:rPr>
      <w:rFonts w:ascii="宋体" w:hAnsi="Times New Roman" w:eastAsia="宋体" w:cs="Times New Roman"/>
      <w:color w:val="000000"/>
      <w:sz w:val="28"/>
      <w:szCs w:val="28"/>
    </w:rPr>
  </w:style>
  <w:style w:type="character" w:styleId="857" w:customStyle="1">
    <w:name w:val="正文缩进 字符"/>
    <w:link w:val="845"/>
    <w:uiPriority w:val="0"/>
    <w:rPr>
      <w:szCs w:val="21"/>
    </w:rPr>
  </w:style>
  <w:style w:type="character" w:styleId="858" w:customStyle="1">
    <w:name w:val="标题 6 字符"/>
    <w:link w:val="846"/>
    <w:uiPriority w:val="0"/>
    <w:qFormat/>
    <w:rPr>
      <w:rFonts w:ascii="Arial" w:hAnsi="Arial" w:eastAsia="黑体" w:cs="Times New Roman"/>
      <w:b/>
      <w:bCs/>
      <w:sz w:val="24"/>
      <w:szCs w:val="24"/>
    </w:rPr>
  </w:style>
  <w:style w:type="character" w:styleId="859" w:customStyle="1">
    <w:name w:val="标题 7 字符"/>
    <w:link w:val="847"/>
    <w:uiPriority w:val="0"/>
    <w:rPr>
      <w:rFonts w:ascii="Times New Roman" w:hAnsi="Times New Roman" w:eastAsia="宋体" w:cs="Times New Roman"/>
      <w:b/>
      <w:bCs/>
      <w:sz w:val="24"/>
      <w:szCs w:val="24"/>
    </w:rPr>
  </w:style>
  <w:style w:type="character" w:styleId="860" w:customStyle="1">
    <w:name w:val="标题 8 字符"/>
    <w:link w:val="848"/>
    <w:uiPriority w:val="0"/>
    <w:rPr>
      <w:rFonts w:ascii="Arial" w:hAnsi="Arial" w:eastAsia="黑体" w:cs="Times New Roman"/>
      <w:sz w:val="24"/>
      <w:szCs w:val="24"/>
    </w:rPr>
  </w:style>
  <w:style w:type="character" w:styleId="861" w:customStyle="1">
    <w:name w:val="标题 9 字符"/>
    <w:link w:val="849"/>
    <w:uiPriority w:val="0"/>
    <w:qFormat/>
    <w:rPr>
      <w:rFonts w:ascii="Arial" w:hAnsi="Arial" w:eastAsia="黑体" w:cs="Times New Roman"/>
      <w:szCs w:val="21"/>
    </w:rPr>
  </w:style>
  <w:style w:type="paragraph" w:styleId="862" w:customStyle="1">
    <w:name w:val="列表 31"/>
    <w:basedOn w:val="658"/>
    <w:uiPriority w:val="0"/>
    <w:qFormat/>
    <w:pPr>
      <w:ind w:left="100" w:hanging="200"/>
    </w:pPr>
    <w:rPr>
      <w:rFonts w:ascii="Times New Roman" w:hAnsi="Times New Roman" w:eastAsia="宋体" w:cs="Times New Roman"/>
      <w:szCs w:val="21"/>
    </w:rPr>
  </w:style>
  <w:style w:type="paragraph" w:styleId="863" w:customStyle="1">
    <w:name w:val="目录 71"/>
    <w:basedOn w:val="658"/>
    <w:next w:val="658"/>
    <w:uiPriority w:val="0"/>
    <w:semiHidden/>
    <w:qFormat/>
    <w:pPr>
      <w:ind w:left="1260"/>
      <w:jc w:val="left"/>
    </w:pPr>
    <w:rPr>
      <w:rFonts w:ascii="Times New Roman" w:hAnsi="Times New Roman" w:eastAsia="宋体" w:cs="Times New Roman"/>
      <w:szCs w:val="21"/>
    </w:rPr>
  </w:style>
  <w:style w:type="paragraph" w:styleId="864" w:customStyle="1">
    <w:name w:val="文档结构图1"/>
    <w:basedOn w:val="658"/>
    <w:link w:val="865"/>
    <w:uiPriority w:val="0"/>
    <w:semiHidden/>
    <w:qFormat/>
    <w:pPr>
      <w:shd w:val="clear" w:color="auto" w:fill="000080"/>
    </w:pPr>
    <w:rPr>
      <w:rFonts w:ascii="Times New Roman" w:hAnsi="Times New Roman" w:eastAsia="宋体" w:cs="Times New Roman"/>
      <w:szCs w:val="21"/>
    </w:rPr>
  </w:style>
  <w:style w:type="character" w:styleId="865" w:customStyle="1">
    <w:name w:val="文档结构图 字符"/>
    <w:link w:val="864"/>
    <w:uiPriority w:val="0"/>
    <w:semiHidden/>
    <w:qFormat/>
    <w:rPr>
      <w:rFonts w:ascii="Times New Roman" w:hAnsi="Times New Roman" w:eastAsia="宋体" w:cs="Times New Roman"/>
      <w:szCs w:val="21"/>
      <w:shd w:val="clear" w:color="auto" w:fill="000080"/>
    </w:rPr>
  </w:style>
  <w:style w:type="paragraph" w:styleId="866" w:customStyle="1">
    <w:name w:val="批注文字1"/>
    <w:basedOn w:val="658"/>
    <w:link w:val="867"/>
    <w:uiPriority w:val="0"/>
    <w:unhideWhenUsed/>
    <w:qFormat/>
    <w:pPr>
      <w:jc w:val="left"/>
    </w:pPr>
  </w:style>
  <w:style w:type="character" w:styleId="867" w:customStyle="1">
    <w:name w:val="批注文字 字符"/>
    <w:link w:val="866"/>
    <w:uiPriority w:val="99"/>
    <w:semiHidden/>
    <w:qFormat/>
  </w:style>
  <w:style w:type="paragraph" w:styleId="868" w:customStyle="1">
    <w:name w:val="正文文本 31"/>
    <w:basedOn w:val="658"/>
    <w:link w:val="869"/>
    <w:uiPriority w:val="0"/>
    <w:qFormat/>
    <w:rPr>
      <w:rFonts w:ascii="仿宋_GB2312" w:hAnsi="Arial" w:eastAsia="仿宋_GB2312" w:cs="Times New Roman"/>
      <w:sz w:val="32"/>
      <w:szCs w:val="32"/>
    </w:rPr>
  </w:style>
  <w:style w:type="character" w:styleId="869" w:customStyle="1">
    <w:name w:val="正文文本 3 字符"/>
    <w:link w:val="868"/>
    <w:uiPriority w:val="0"/>
    <w:qFormat/>
    <w:rPr>
      <w:rFonts w:ascii="仿宋_GB2312" w:hAnsi="Arial" w:eastAsia="仿宋_GB2312" w:cs="Times New Roman"/>
      <w:sz w:val="32"/>
      <w:szCs w:val="32"/>
    </w:rPr>
  </w:style>
  <w:style w:type="paragraph" w:styleId="870" w:customStyle="1">
    <w:name w:val="正文文本1"/>
    <w:basedOn w:val="658"/>
    <w:link w:val="871"/>
    <w:uiPriority w:val="0"/>
    <w:qFormat/>
    <w:rPr>
      <w:rFonts w:ascii="楷体_GB2312" w:hAnsi="Arial" w:eastAsia="楷体_GB2312" w:cs="Times New Roman"/>
      <w:sz w:val="28"/>
      <w:szCs w:val="28"/>
    </w:rPr>
  </w:style>
  <w:style w:type="character" w:styleId="871" w:customStyle="1">
    <w:name w:val="正文文本 字符"/>
    <w:link w:val="870"/>
    <w:uiPriority w:val="0"/>
    <w:qFormat/>
    <w:rPr>
      <w:rFonts w:ascii="楷体_GB2312" w:hAnsi="Arial" w:eastAsia="楷体_GB2312" w:cs="Times New Roman"/>
      <w:sz w:val="28"/>
      <w:szCs w:val="28"/>
    </w:rPr>
  </w:style>
  <w:style w:type="paragraph" w:styleId="872" w:customStyle="1">
    <w:name w:val="正文文本缩进1"/>
    <w:basedOn w:val="658"/>
    <w:link w:val="873"/>
    <w:uiPriority w:val="0"/>
    <w:unhideWhenUsed/>
    <w:qFormat/>
    <w:pPr>
      <w:ind w:left="420"/>
      <w:spacing w:after="120"/>
    </w:pPr>
  </w:style>
  <w:style w:type="character" w:styleId="873" w:customStyle="1">
    <w:name w:val="正文文本缩进 字符"/>
    <w:link w:val="872"/>
    <w:uiPriority w:val="99"/>
    <w:semiHidden/>
    <w:qFormat/>
  </w:style>
  <w:style w:type="paragraph" w:styleId="874" w:customStyle="1">
    <w:name w:val="列表 21"/>
    <w:basedOn w:val="658"/>
    <w:uiPriority w:val="0"/>
    <w:qFormat/>
    <w:pPr>
      <w:ind w:left="100" w:hanging="200"/>
    </w:pPr>
    <w:rPr>
      <w:rFonts w:ascii="Times New Roman" w:hAnsi="Times New Roman" w:eastAsia="宋体" w:cs="Times New Roman"/>
      <w:szCs w:val="21"/>
    </w:rPr>
  </w:style>
  <w:style w:type="paragraph" w:styleId="875" w:customStyle="1">
    <w:name w:val="目录 51"/>
    <w:basedOn w:val="658"/>
    <w:next w:val="658"/>
    <w:uiPriority w:val="0"/>
    <w:semiHidden/>
    <w:qFormat/>
    <w:pPr>
      <w:ind w:left="840"/>
      <w:jc w:val="left"/>
    </w:pPr>
    <w:rPr>
      <w:rFonts w:ascii="Times New Roman" w:hAnsi="Times New Roman" w:eastAsia="宋体" w:cs="Times New Roman"/>
      <w:szCs w:val="21"/>
    </w:rPr>
  </w:style>
  <w:style w:type="paragraph" w:styleId="876" w:customStyle="1">
    <w:name w:val="目录 31"/>
    <w:basedOn w:val="658"/>
    <w:next w:val="658"/>
    <w:uiPriority w:val="0"/>
    <w:semiHidden/>
    <w:qFormat/>
    <w:pPr>
      <w:ind w:left="420"/>
      <w:jc w:val="left"/>
    </w:pPr>
    <w:rPr>
      <w:rFonts w:ascii="Times New Roman" w:hAnsi="Times New Roman" w:eastAsia="宋体" w:cs="Times New Roman"/>
      <w:i/>
      <w:iCs/>
      <w:szCs w:val="24"/>
    </w:rPr>
  </w:style>
  <w:style w:type="paragraph" w:styleId="877" w:customStyle="1">
    <w:name w:val="纯文本1"/>
    <w:basedOn w:val="658"/>
    <w:link w:val="878"/>
    <w:uiPriority w:val="0"/>
    <w:qFormat/>
    <w:rPr>
      <w:rFonts w:ascii="宋体" w:hAnsi="Courier New" w:eastAsia="宋体" w:cs="Courier New"/>
      <w:szCs w:val="21"/>
    </w:rPr>
  </w:style>
  <w:style w:type="character" w:styleId="878" w:customStyle="1">
    <w:name w:val="纯文本 字符"/>
    <w:link w:val="877"/>
    <w:uiPriority w:val="0"/>
    <w:qFormat/>
    <w:rPr>
      <w:rFonts w:ascii="宋体" w:hAnsi="Courier New" w:eastAsia="宋体" w:cs="Courier New"/>
      <w:szCs w:val="21"/>
    </w:rPr>
  </w:style>
  <w:style w:type="paragraph" w:styleId="879" w:customStyle="1">
    <w:name w:val="目录 81"/>
    <w:basedOn w:val="658"/>
    <w:next w:val="658"/>
    <w:uiPriority w:val="0"/>
    <w:semiHidden/>
    <w:qFormat/>
    <w:pPr>
      <w:ind w:left="1470"/>
      <w:jc w:val="left"/>
    </w:pPr>
    <w:rPr>
      <w:rFonts w:ascii="Times New Roman" w:hAnsi="Times New Roman" w:eastAsia="宋体" w:cs="Times New Roman"/>
      <w:szCs w:val="21"/>
    </w:rPr>
  </w:style>
  <w:style w:type="paragraph" w:styleId="880" w:customStyle="1">
    <w:name w:val="日期1"/>
    <w:basedOn w:val="658"/>
    <w:next w:val="658"/>
    <w:link w:val="881"/>
    <w:uiPriority w:val="0"/>
    <w:qFormat/>
    <w:rPr>
      <w:rFonts w:ascii="Times New Roman" w:hAnsi="Times New Roman" w:eastAsia="宋体" w:cs="Times New Roman"/>
      <w:sz w:val="24"/>
      <w:szCs w:val="24"/>
    </w:rPr>
  </w:style>
  <w:style w:type="character" w:styleId="881" w:customStyle="1">
    <w:name w:val="日期 字符"/>
    <w:link w:val="880"/>
    <w:uiPriority w:val="0"/>
    <w:qFormat/>
    <w:rPr>
      <w:rFonts w:ascii="Times New Roman" w:hAnsi="Times New Roman" w:eastAsia="宋体" w:cs="Times New Roman"/>
      <w:sz w:val="24"/>
      <w:szCs w:val="24"/>
    </w:rPr>
  </w:style>
  <w:style w:type="paragraph" w:styleId="882" w:customStyle="1">
    <w:name w:val="正文文本缩进 21"/>
    <w:basedOn w:val="658"/>
    <w:link w:val="883"/>
    <w:uiPriority w:val="0"/>
    <w:qFormat/>
    <w:pPr>
      <w:ind w:left="630" w:firstLine="645"/>
    </w:pPr>
    <w:rPr>
      <w:rFonts w:ascii="Arial" w:hAnsi="Arial" w:eastAsia="仿宋_GB2312" w:cs="Arial"/>
      <w:sz w:val="32"/>
      <w:szCs w:val="32"/>
    </w:rPr>
  </w:style>
  <w:style w:type="character" w:styleId="883" w:customStyle="1">
    <w:name w:val="正文文本缩进 2 字符"/>
    <w:link w:val="882"/>
    <w:uiPriority w:val="0"/>
    <w:qFormat/>
    <w:rPr>
      <w:rFonts w:ascii="Arial" w:hAnsi="Arial" w:eastAsia="仿宋_GB2312" w:cs="Arial"/>
      <w:sz w:val="32"/>
      <w:szCs w:val="32"/>
    </w:rPr>
  </w:style>
  <w:style w:type="paragraph" w:styleId="884" w:customStyle="1">
    <w:name w:val="批注框文本1"/>
    <w:basedOn w:val="658"/>
    <w:link w:val="885"/>
    <w:uiPriority w:val="0"/>
    <w:semiHidden/>
    <w:qFormat/>
    <w:rPr>
      <w:rFonts w:ascii="Times New Roman" w:hAnsi="Times New Roman" w:eastAsia="宋体" w:cs="Times New Roman"/>
      <w:sz w:val="18"/>
      <w:szCs w:val="18"/>
    </w:rPr>
  </w:style>
  <w:style w:type="character" w:styleId="885" w:customStyle="1">
    <w:name w:val="批注框文本 字符"/>
    <w:link w:val="884"/>
    <w:uiPriority w:val="0"/>
    <w:semiHidden/>
    <w:qFormat/>
    <w:rPr>
      <w:rFonts w:ascii="Times New Roman" w:hAnsi="Times New Roman" w:eastAsia="宋体" w:cs="Times New Roman"/>
      <w:sz w:val="18"/>
      <w:szCs w:val="18"/>
    </w:rPr>
  </w:style>
  <w:style w:type="paragraph" w:styleId="886" w:customStyle="1">
    <w:name w:val="页脚1"/>
    <w:basedOn w:val="658"/>
    <w:link w:val="88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87" w:customStyle="1">
    <w:name w:val="页脚 字符"/>
    <w:link w:val="886"/>
    <w:uiPriority w:val="99"/>
    <w:qFormat/>
    <w:rPr>
      <w:rFonts w:ascii="Times New Roman" w:hAnsi="Times New Roman" w:eastAsia="宋体" w:cs="Times New Roman"/>
      <w:sz w:val="18"/>
      <w:szCs w:val="18"/>
    </w:rPr>
  </w:style>
  <w:style w:type="paragraph" w:styleId="888" w:customStyle="1">
    <w:name w:val="页眉1"/>
    <w:basedOn w:val="658"/>
    <w:link w:val="88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9" w:customStyle="1">
    <w:name w:val="页眉 字符"/>
    <w:link w:val="888"/>
    <w:uiPriority w:val="0"/>
    <w:qFormat/>
    <w:rPr>
      <w:rFonts w:ascii="Times New Roman" w:hAnsi="Times New Roman" w:eastAsia="宋体" w:cs="Times New Roman"/>
      <w:sz w:val="18"/>
      <w:szCs w:val="18"/>
    </w:rPr>
  </w:style>
  <w:style w:type="paragraph" w:styleId="890" w:customStyle="1">
    <w:name w:val="目录 11"/>
    <w:basedOn w:val="658"/>
    <w:next w:val="65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1" w:customStyle="1">
    <w:name w:val="目录 41"/>
    <w:basedOn w:val="658"/>
    <w:next w:val="658"/>
    <w:uiPriority w:val="0"/>
    <w:semiHidden/>
    <w:qFormat/>
    <w:pPr>
      <w:ind w:left="630"/>
      <w:jc w:val="left"/>
    </w:pPr>
    <w:rPr>
      <w:rFonts w:ascii="Times New Roman" w:hAnsi="Times New Roman" w:eastAsia="宋体" w:cs="Times New Roman"/>
      <w:szCs w:val="21"/>
    </w:rPr>
  </w:style>
  <w:style w:type="paragraph" w:styleId="892" w:customStyle="1">
    <w:name w:val="列表1"/>
    <w:basedOn w:val="658"/>
    <w:uiPriority w:val="0"/>
    <w:qFormat/>
    <w:pPr>
      <w:ind w:left="200" w:hanging="200"/>
    </w:pPr>
    <w:rPr>
      <w:rFonts w:ascii="Times New Roman" w:hAnsi="Times New Roman" w:eastAsia="宋体" w:cs="Times New Roman"/>
      <w:szCs w:val="21"/>
    </w:rPr>
  </w:style>
  <w:style w:type="paragraph" w:styleId="893" w:customStyle="1">
    <w:name w:val="目录 61"/>
    <w:basedOn w:val="658"/>
    <w:next w:val="658"/>
    <w:uiPriority w:val="0"/>
    <w:semiHidden/>
    <w:qFormat/>
    <w:pPr>
      <w:ind w:left="1050"/>
      <w:jc w:val="left"/>
    </w:pPr>
    <w:rPr>
      <w:rFonts w:ascii="Times New Roman" w:hAnsi="Times New Roman" w:eastAsia="宋体" w:cs="Times New Roman"/>
      <w:szCs w:val="21"/>
    </w:rPr>
  </w:style>
  <w:style w:type="paragraph" w:styleId="894" w:customStyle="1">
    <w:name w:val="正文文本缩进 31"/>
    <w:basedOn w:val="658"/>
    <w:link w:val="895"/>
    <w:uiPriority w:val="0"/>
    <w:qFormat/>
    <w:pPr>
      <w:ind w:left="645" w:firstLine="645"/>
    </w:pPr>
    <w:rPr>
      <w:rFonts w:ascii="Arial" w:hAnsi="Arial" w:eastAsia="仿宋_GB2312" w:cs="Arial"/>
      <w:color w:val="ffff00"/>
      <w:sz w:val="32"/>
      <w:szCs w:val="32"/>
    </w:rPr>
  </w:style>
  <w:style w:type="character" w:styleId="895" w:customStyle="1">
    <w:name w:val="正文文本缩进 3 字符"/>
    <w:link w:val="894"/>
    <w:uiPriority w:val="0"/>
    <w:qFormat/>
    <w:rPr>
      <w:rFonts w:ascii="Arial" w:hAnsi="Arial" w:eastAsia="仿宋_GB2312" w:cs="Arial"/>
      <w:color w:val="ffff00"/>
      <w:sz w:val="32"/>
      <w:szCs w:val="32"/>
    </w:rPr>
  </w:style>
  <w:style w:type="paragraph" w:styleId="896" w:customStyle="1">
    <w:name w:val="图表目录1"/>
    <w:basedOn w:val="658"/>
    <w:next w:val="658"/>
    <w:uiPriority w:val="0"/>
    <w:semiHidden/>
    <w:qFormat/>
    <w:pPr>
      <w:ind w:left="840" w:hanging="420"/>
    </w:pPr>
    <w:rPr>
      <w:rFonts w:ascii="Times New Roman" w:hAnsi="Times New Roman" w:eastAsia="宋体" w:cs="Times New Roman"/>
      <w:szCs w:val="21"/>
    </w:rPr>
  </w:style>
  <w:style w:type="paragraph" w:styleId="897" w:customStyle="1">
    <w:name w:val="目录 21"/>
    <w:basedOn w:val="658"/>
    <w:next w:val="658"/>
    <w:uiPriority w:val="0"/>
    <w:semiHidden/>
    <w:qFormat/>
    <w:pPr>
      <w:ind w:left="210"/>
      <w:jc w:val="left"/>
    </w:pPr>
    <w:rPr>
      <w:rFonts w:ascii="Times New Roman" w:hAnsi="Times New Roman" w:eastAsia="宋体" w:cs="Times New Roman"/>
      <w:smallCaps/>
      <w:szCs w:val="24"/>
    </w:rPr>
  </w:style>
  <w:style w:type="paragraph" w:styleId="898" w:customStyle="1">
    <w:name w:val="目录 91"/>
    <w:basedOn w:val="658"/>
    <w:next w:val="658"/>
    <w:uiPriority w:val="0"/>
    <w:semiHidden/>
    <w:qFormat/>
    <w:pPr>
      <w:ind w:left="1680"/>
      <w:jc w:val="left"/>
    </w:pPr>
    <w:rPr>
      <w:rFonts w:ascii="Times New Roman" w:hAnsi="Times New Roman" w:eastAsia="宋体" w:cs="Times New Roman"/>
      <w:szCs w:val="21"/>
    </w:rPr>
  </w:style>
  <w:style w:type="paragraph" w:styleId="899" w:customStyle="1">
    <w:name w:val="正文文本 21"/>
    <w:basedOn w:val="658"/>
    <w:link w:val="900"/>
    <w:uiPriority w:val="0"/>
    <w:qFormat/>
    <w:pPr>
      <w:jc w:val="center"/>
      <w:widowControl/>
    </w:pPr>
    <w:rPr>
      <w:rFonts w:ascii="楷体_GB2312" w:hAnsi="Times New Roman" w:eastAsia="楷体_GB2312" w:cs="Times New Roman"/>
      <w:sz w:val="28"/>
      <w:szCs w:val="28"/>
    </w:rPr>
  </w:style>
  <w:style w:type="character" w:styleId="900" w:customStyle="1">
    <w:name w:val="正文文本 2 字符"/>
    <w:link w:val="899"/>
    <w:uiPriority w:val="0"/>
    <w:qFormat/>
    <w:rPr>
      <w:rFonts w:ascii="楷体_GB2312" w:hAnsi="Times New Roman" w:eastAsia="楷体_GB2312" w:cs="Times New Roman"/>
      <w:sz w:val="28"/>
      <w:szCs w:val="28"/>
    </w:rPr>
  </w:style>
  <w:style w:type="paragraph" w:styleId="901" w:customStyle="1">
    <w:name w:val="普通(网站)1"/>
    <w:basedOn w:val="658"/>
    <w:uiPriority w:val="99"/>
    <w:qFormat/>
    <w:pPr>
      <w:jc w:val="left"/>
      <w:spacing w:before="100" w:beforeAutospacing="1" w:after="100" w:afterAutospacing="1"/>
      <w:widowControl/>
    </w:pPr>
    <w:rPr>
      <w:rFonts w:ascii="宋体" w:hAnsi="宋体" w:eastAsia="宋体" w:cs="宋体"/>
      <w:sz w:val="24"/>
      <w:szCs w:val="24"/>
    </w:rPr>
  </w:style>
  <w:style w:type="paragraph" w:styleId="902" w:customStyle="1">
    <w:name w:val="索引 11"/>
    <w:basedOn w:val="658"/>
    <w:next w:val="658"/>
    <w:uiPriority w:val="0"/>
    <w:semiHidden/>
    <w:qFormat/>
    <w:pPr>
      <w:spacing w:line="240" w:lineRule="atLeast"/>
    </w:pPr>
    <w:rPr>
      <w:rFonts w:ascii="Times New Roman" w:hAnsi="Times New Roman" w:eastAsia="宋体" w:cs="Times New Roman"/>
      <w:b/>
      <w:bCs/>
      <w:szCs w:val="21"/>
    </w:rPr>
  </w:style>
  <w:style w:type="paragraph" w:styleId="903" w:customStyle="1">
    <w:name w:val="批注主题1"/>
    <w:basedOn w:val="866"/>
    <w:next w:val="866"/>
    <w:link w:val="904"/>
    <w:uiPriority w:val="0"/>
    <w:semiHidden/>
    <w:qFormat/>
    <w:rPr>
      <w:rFonts w:ascii="Times New Roman" w:hAnsi="Times New Roman" w:eastAsia="宋体" w:cs="Times New Roman"/>
      <w:b/>
      <w:bCs/>
      <w:szCs w:val="21"/>
    </w:rPr>
  </w:style>
  <w:style w:type="character" w:styleId="904" w:customStyle="1">
    <w:name w:val="批注主题 字符"/>
    <w:link w:val="903"/>
    <w:uiPriority w:val="0"/>
    <w:semiHidden/>
    <w:qFormat/>
    <w:rPr>
      <w:rFonts w:ascii="Times New Roman" w:hAnsi="Times New Roman" w:eastAsia="宋体" w:cs="Times New Roman"/>
      <w:b/>
      <w:bCs/>
      <w:szCs w:val="21"/>
    </w:rPr>
  </w:style>
  <w:style w:type="paragraph" w:styleId="905" w:customStyle="1">
    <w:name w:val="正文首行缩进1"/>
    <w:basedOn w:val="658"/>
    <w:link w:val="906"/>
    <w:uiPriority w:val="0"/>
    <w:qFormat/>
    <w:pPr>
      <w:ind w:firstLine="200"/>
      <w:spacing w:line="360" w:lineRule="auto"/>
    </w:pPr>
    <w:rPr>
      <w:rFonts w:ascii="仿宋_GB2312" w:hAnsi="Times New Roman" w:eastAsia="仿宋_GB2312" w:cs="Times New Roman"/>
      <w:sz w:val="30"/>
      <w:szCs w:val="30"/>
    </w:rPr>
  </w:style>
  <w:style w:type="character" w:styleId="906" w:customStyle="1">
    <w:name w:val="正文首行缩进 字符"/>
    <w:link w:val="905"/>
    <w:uiPriority w:val="0"/>
    <w:qFormat/>
    <w:rPr>
      <w:rFonts w:ascii="仿宋_GB2312" w:hAnsi="Times New Roman" w:eastAsia="仿宋_GB2312" w:cs="Times New Roman"/>
      <w:sz w:val="30"/>
      <w:szCs w:val="30"/>
    </w:rPr>
  </w:style>
  <w:style w:type="paragraph" w:styleId="907" w:customStyle="1">
    <w:name w:val="正文首行缩进 21"/>
    <w:basedOn w:val="872"/>
    <w:link w:val="908"/>
    <w:uiPriority w:val="0"/>
    <w:qFormat/>
    <w:pPr>
      <w:ind w:left="0" w:firstLine="420"/>
      <w:spacing w:after="0" w:line="360" w:lineRule="auto"/>
    </w:pPr>
    <w:rPr>
      <w:rFonts w:ascii="宋体" w:hAnsi="宋体" w:eastAsia="宋体" w:cs="Times New Roman"/>
      <w:szCs w:val="20"/>
    </w:rPr>
  </w:style>
  <w:style w:type="character" w:styleId="908" w:customStyle="1">
    <w:name w:val="正文首行缩进 2 字符"/>
    <w:link w:val="907"/>
    <w:uiPriority w:val="0"/>
    <w:qFormat/>
    <w:rPr>
      <w:rFonts w:ascii="宋体" w:hAnsi="宋体" w:eastAsia="宋体" w:cs="Times New Roman"/>
      <w:szCs w:val="20"/>
    </w:rPr>
  </w:style>
  <w:style w:type="table" w:styleId="909" w:customStyle="1">
    <w:name w:val="网格型1"/>
    <w:basedOn w:val="851"/>
    <w:uiPriority w:val="0"/>
    <w:qFormat/>
    <w:pPr>
      <w:jc w:val="both"/>
      <w:widowControl w:val="off"/>
    </w:pPr>
    <w:rPr>
      <w:rFonts w:ascii="Times New Roman" w:hAnsi="Times New Roman" w:eastAsia="宋体" w:cs="Times New Roman"/>
      <w:sz w:val="20"/>
      <w:szCs w:val="20"/>
    </w:rPr>
    <w:tblPr/>
  </w:style>
  <w:style w:type="character" w:styleId="910" w:customStyle="1">
    <w:name w:val="要点1"/>
    <w:link w:val="658"/>
    <w:uiPriority w:val="0"/>
    <w:qFormat/>
    <w:rPr>
      <w:b/>
      <w:bCs/>
    </w:rPr>
  </w:style>
  <w:style w:type="character" w:styleId="911" w:customStyle="1">
    <w:name w:val="页码1"/>
    <w:link w:val="658"/>
    <w:uiPriority w:val="0"/>
    <w:qFormat/>
  </w:style>
  <w:style w:type="character" w:styleId="912" w:customStyle="1">
    <w:name w:val="已访问的超链接1"/>
    <w:basedOn w:val="850"/>
    <w:link w:val="658"/>
    <w:uiPriority w:val="0"/>
    <w:qFormat/>
    <w:rPr>
      <w:color w:val="333333"/>
      <w:u w:val="none"/>
    </w:rPr>
  </w:style>
  <w:style w:type="character" w:styleId="913" w:customStyle="1">
    <w:name w:val="强调1"/>
    <w:link w:val="658"/>
    <w:uiPriority w:val="0"/>
    <w:qFormat/>
    <w:rPr>
      <w:i/>
    </w:rPr>
  </w:style>
  <w:style w:type="character" w:styleId="914" w:customStyle="1">
    <w:name w:val="超链接1"/>
    <w:basedOn w:val="850"/>
    <w:link w:val="658"/>
    <w:uiPriority w:val="0"/>
    <w:qFormat/>
    <w:rPr>
      <w:color w:val="333333"/>
      <w:u w:val="none"/>
    </w:rPr>
  </w:style>
  <w:style w:type="character" w:styleId="915" w:customStyle="1">
    <w:name w:val="批注引用1"/>
    <w:link w:val="658"/>
    <w:uiPriority w:val="0"/>
    <w:semiHidden/>
    <w:qFormat/>
    <w:rPr>
      <w:sz w:val="21"/>
      <w:szCs w:val="21"/>
    </w:rPr>
  </w:style>
  <w:style w:type="character" w:styleId="916" w:customStyle="1">
    <w:name w:val="font5 Char"/>
    <w:link w:val="658"/>
    <w:uiPriority w:val="0"/>
    <w:qFormat/>
    <w:rPr>
      <w:rFonts w:ascii="宋体" w:hAnsi="宋体" w:eastAsia="宋体"/>
      <w:sz w:val="28"/>
      <w:szCs w:val="28"/>
      <w:lang w:val="en-US" w:eastAsia="zh-CN" w:bidi="ar-SA"/>
    </w:rPr>
  </w:style>
  <w:style w:type="character" w:styleId="917" w:customStyle="1">
    <w:name w:val="二级目录 Char"/>
    <w:link w:val="918"/>
    <w:uiPriority w:val="0"/>
    <w:qFormat/>
    <w:rPr>
      <w:b/>
      <w:sz w:val="30"/>
      <w:szCs w:val="28"/>
    </w:rPr>
  </w:style>
  <w:style w:type="paragraph" w:styleId="918" w:customStyle="1">
    <w:name w:val="二级目录"/>
    <w:next w:val="658"/>
    <w:link w:val="91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9" w:customStyle="1">
    <w:name w:val="列出段落 Char"/>
    <w:link w:val="920"/>
    <w:uiPriority w:val="0"/>
    <w:qFormat/>
    <w:rPr>
      <w:rFonts w:ascii="Calibri" w:hAnsi="Calibri"/>
      <w:sz w:val="24"/>
      <w:szCs w:val="24"/>
      <w:lang w:eastAsia="en-US" w:bidi="en-US"/>
    </w:rPr>
  </w:style>
  <w:style w:type="paragraph" w:styleId="920" w:customStyle="1">
    <w:name w:val="列出段落1"/>
    <w:basedOn w:val="658"/>
    <w:link w:val="919"/>
    <w:uiPriority w:val="0"/>
    <w:qFormat/>
    <w:pPr>
      <w:contextualSpacing/>
      <w:ind w:left="720"/>
      <w:jc w:val="left"/>
      <w:widowControl/>
    </w:pPr>
    <w:rPr>
      <w:rFonts w:ascii="Calibri" w:hAnsi="Calibri"/>
      <w:sz w:val="24"/>
      <w:szCs w:val="24"/>
      <w:lang w:eastAsia="en-US" w:bidi="en-US"/>
    </w:rPr>
  </w:style>
  <w:style w:type="paragraph" w:styleId="921" w:customStyle="1">
    <w:name w:val="Body Text(ch)"/>
    <w:basedOn w:val="658"/>
    <w:next w:val="870"/>
    <w:uiPriority w:val="0"/>
    <w:qFormat/>
    <w:pPr>
      <w:spacing w:after="120"/>
    </w:pPr>
    <w:rPr>
      <w:rFonts w:ascii="宋体" w:hAnsi="Arial" w:eastAsia="宋体" w:cs="Times New Roman"/>
      <w:bCs/>
      <w:iCs/>
      <w:szCs w:val="24"/>
    </w:rPr>
  </w:style>
  <w:style w:type="paragraph" w:styleId="922"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3"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4" w:customStyle="1">
    <w:name w:val="Char"/>
    <w:basedOn w:val="658"/>
    <w:uiPriority w:val="0"/>
    <w:qFormat/>
    <w:pPr>
      <w:ind w:firstLine="200"/>
      <w:tabs>
        <w:tab w:val="left" w:pos="360" w:leader="none"/>
      </w:tabs>
    </w:pPr>
    <w:rPr>
      <w:rFonts w:ascii="Times New Roman" w:hAnsi="Times New Roman" w:eastAsia="宋体" w:cs="Times New Roman"/>
      <w:sz w:val="28"/>
      <w:szCs w:val="30"/>
    </w:rPr>
  </w:style>
  <w:style w:type="paragraph" w:styleId="925" w:customStyle="1">
    <w:name w:val=" Char"/>
    <w:basedOn w:val="864"/>
    <w:uiPriority w:val="0"/>
    <w:qFormat/>
    <w:rPr>
      <w:rFonts w:ascii="Tahoma" w:hAnsi="Tahoma"/>
      <w:sz w:val="24"/>
      <w:szCs w:val="24"/>
    </w:rPr>
  </w:style>
  <w:style w:type="paragraph" w:styleId="926" w:customStyle="1">
    <w:name w:val="普通正文"/>
    <w:basedOn w:val="658"/>
    <w:uiPriority w:val="0"/>
    <w:qFormat/>
    <w:pPr>
      <w:ind w:firstLine="480"/>
      <w:jc w:val="left"/>
      <w:spacing w:before="120" w:after="120" w:line="360" w:lineRule="auto"/>
    </w:pPr>
    <w:rPr>
      <w:rFonts w:ascii="Arial" w:hAnsi="Arial" w:eastAsia="宋体" w:cs="Times New Roman"/>
      <w:sz w:val="24"/>
      <w:szCs w:val="24"/>
    </w:rPr>
  </w:style>
  <w:style w:type="paragraph" w:styleId="927" w:customStyle="1">
    <w:name w:val="table_lines"/>
    <w:basedOn w:val="658"/>
    <w:uiPriority w:val="0"/>
    <w:qFormat/>
    <w:pPr>
      <w:jc w:val="left"/>
      <w:widowControl/>
    </w:pPr>
    <w:rPr>
      <w:rFonts w:ascii="Times New Roman" w:hAnsi="Times New Roman" w:eastAsia="宋体" w:cs="Times New Roman"/>
      <w:sz w:val="20"/>
      <w:szCs w:val="20"/>
      <w:lang w:val="de-DE" w:eastAsia="de-DE"/>
    </w:rPr>
  </w:style>
  <w:style w:type="paragraph" w:styleId="9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9" w:customStyle="1">
    <w:name w:val="font7"/>
    <w:basedOn w:val="65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0" w:customStyle="1">
    <w:name w:val=" Char Char Char Char"/>
    <w:basedOn w:val="864"/>
    <w:uiPriority w:val="0"/>
    <w:qFormat/>
    <w:pPr>
      <w:spacing w:line="360" w:lineRule="auto"/>
    </w:pPr>
    <w:rPr>
      <w:rFonts w:ascii="Tahoma" w:hAnsi="Tahoma"/>
      <w:sz w:val="24"/>
      <w:szCs w:val="24"/>
    </w:rPr>
  </w:style>
  <w:style w:type="paragraph" w:styleId="931" w:customStyle="1">
    <w:name w:val="列出段落"/>
    <w:basedOn w:val="658"/>
    <w:uiPriority w:val="0"/>
    <w:qFormat/>
    <w:pPr>
      <w:contextualSpacing/>
      <w:ind w:left="720"/>
      <w:jc w:val="left"/>
      <w:widowControl/>
    </w:pPr>
    <w:rPr>
      <w:rFonts w:ascii="Calibri" w:hAnsi="Calibri" w:eastAsia="宋体" w:cs="Times New Roman"/>
      <w:sz w:val="24"/>
      <w:szCs w:val="24"/>
      <w:lang w:eastAsia="en-US" w:bidi="en-US"/>
    </w:rPr>
  </w:style>
  <w:style w:type="paragraph" w:styleId="932" w:customStyle="1">
    <w:name w:val="4"/>
    <w:basedOn w:val="658"/>
    <w:next w:val="894"/>
    <w:uiPriority w:val="0"/>
    <w:qFormat/>
    <w:pPr>
      <w:ind w:firstLine="420"/>
      <w:spacing w:line="360" w:lineRule="auto"/>
    </w:pPr>
    <w:rPr>
      <w:rFonts w:ascii="Times New Roman" w:hAnsi="Times New Roman" w:eastAsia="宋体" w:cs="Times New Roman"/>
      <w:color w:val="ff0000"/>
      <w:sz w:val="24"/>
      <w:szCs w:val="24"/>
    </w:rPr>
  </w:style>
  <w:style w:type="paragraph" w:styleId="933" w:customStyle="1">
    <w:name w:val="普通 (Web)"/>
    <w:basedOn w:val="658"/>
    <w:uiPriority w:val="0"/>
    <w:qFormat/>
    <w:pPr>
      <w:jc w:val="left"/>
      <w:spacing w:before="100" w:beforeAutospacing="1" w:after="100" w:afterAutospacing="1"/>
      <w:widowControl/>
    </w:pPr>
    <w:rPr>
      <w:rFonts w:ascii="宋体" w:hAnsi="宋体" w:eastAsia="宋体" w:cs="Times New Roman"/>
      <w:sz w:val="24"/>
      <w:szCs w:val="24"/>
    </w:rPr>
  </w:style>
  <w:style w:type="paragraph" w:styleId="934" w:customStyle="1">
    <w:name w:val=" Char Char Char Char Char Char Char Char Char Char"/>
    <w:basedOn w:val="658"/>
    <w:uiPriority w:val="0"/>
    <w:qFormat/>
    <w:pPr>
      <w:spacing w:line="360" w:lineRule="auto"/>
    </w:pPr>
    <w:rPr>
      <w:rFonts w:ascii="Times New Roman" w:hAnsi="Times New Roman" w:eastAsia="宋体" w:cs="Times New Roman"/>
      <w:sz w:val="24"/>
      <w:szCs w:val="20"/>
    </w:rPr>
  </w:style>
  <w:style w:type="paragraph" w:styleId="935" w:customStyle="1">
    <w:name w:val="样式1"/>
    <w:basedOn w:val="658"/>
    <w:uiPriority w:val="0"/>
    <w:qFormat/>
    <w:pPr>
      <w:numPr>
        <w:ilvl w:val="0"/>
        <w:numId w:val="3"/>
      </w:numPr>
    </w:pPr>
    <w:rPr>
      <w:rFonts w:ascii="宋体" w:hAnsi="宋体" w:eastAsia="宋体" w:cs="Times New Roman"/>
      <w:szCs w:val="21"/>
    </w:rPr>
  </w:style>
  <w:style w:type="paragraph" w:styleId="936" w:customStyle="1">
    <w:name w:val="font6"/>
    <w:basedOn w:val="65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7"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8"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9" w:customStyle="1">
    <w:name w:val="标题3"/>
    <w:basedOn w:val="658"/>
    <w:next w:val="658"/>
    <w:uiPriority w:val="0"/>
    <w:qFormat/>
    <w:pPr>
      <w:ind w:firstLine="624"/>
      <w:spacing w:line="590" w:lineRule="atLeast"/>
    </w:pPr>
    <w:rPr>
      <w:rFonts w:ascii="方正黑体_GBK" w:hAnsi="Times New Roman" w:eastAsia="方正黑体_GBK" w:cs="Times New Roman"/>
      <w:sz w:val="32"/>
      <w:szCs w:val="32"/>
    </w:rPr>
  </w:style>
  <w:style w:type="paragraph" w:styleId="940"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1"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2" w:customStyle="1">
    <w:name w:val="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43"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4" w:customStyle="1">
    <w:name w:val=" 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45" w:customStyle="1">
    <w:name w:val="xl30"/>
    <w:basedOn w:val="65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6" w:customStyle="1">
    <w:name w:val="Char Char Char Char"/>
    <w:basedOn w:val="864"/>
    <w:uiPriority w:val="0"/>
    <w:qFormat/>
    <w:pPr>
      <w:spacing w:line="360" w:lineRule="auto"/>
    </w:pPr>
    <w:rPr>
      <w:rFonts w:ascii="Tahoma" w:hAnsi="Tahoma"/>
      <w:sz w:val="24"/>
      <w:szCs w:val="24"/>
    </w:rPr>
  </w:style>
  <w:style w:type="paragraph" w:styleId="947" w:customStyle="1">
    <w:name w:val="table_1stline"/>
    <w:basedOn w:val="658"/>
    <w:uiPriority w:val="0"/>
    <w:qFormat/>
    <w:pPr>
      <w:jc w:val="left"/>
      <w:spacing w:before="120"/>
      <w:widowControl/>
    </w:pPr>
    <w:rPr>
      <w:rFonts w:ascii="Times New Roman" w:hAnsi="Times New Roman" w:eastAsia="宋体" w:cs="Times New Roman"/>
      <w:bCs/>
      <w:sz w:val="20"/>
      <w:szCs w:val="20"/>
      <w:lang w:val="de-DE" w:eastAsia="de-DE"/>
    </w:rPr>
  </w:style>
  <w:style w:type="paragraph" w:styleId="948" w:customStyle="1">
    <w:name w:val="font5"/>
    <w:basedOn w:val="65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9" w:customStyle="1">
    <w:name w:val="标题1"/>
    <w:basedOn w:val="658"/>
    <w:next w:val="65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53" w:customStyle="1">
    <w:name w:val="active"/>
    <w:basedOn w:val="850"/>
    <w:link w:val="658"/>
    <w:uiPriority w:val="0"/>
    <w:qFormat/>
    <w:rPr>
      <w:color w:val="ffffff"/>
      <w:shd w:val="clear" w:color="auto" w:fill="0f5bb9"/>
    </w:rPr>
  </w:style>
  <w:style w:type="character" w:styleId="954" w:customStyle="1">
    <w:name w:val="last-child"/>
    <w:basedOn w:val="850"/>
    <w:link w:val="658"/>
    <w:uiPriority w:val="0"/>
    <w:qFormat/>
  </w:style>
  <w:style w:type="character" w:styleId="955" w:customStyle="1">
    <w:name w:val="active16"/>
    <w:basedOn w:val="850"/>
    <w:link w:val="658"/>
    <w:uiPriority w:val="0"/>
    <w:qFormat/>
    <w:rPr>
      <w:color w:val="ffffff"/>
      <w:shd w:val="clear" w:color="auto" w:fill="0f5bb9"/>
    </w:rPr>
  </w:style>
  <w:style w:type="paragraph" w:styleId="956" w:customStyle="1">
    <w:name w:val="标题4"/>
    <w:basedOn w:val="843"/>
    <w:uiPriority w:val="0"/>
    <w:qFormat/>
    <w:pPr>
      <w:jc w:val="both"/>
      <w:spacing w:before="140" w:after="140"/>
      <w:widowControl w:val="off"/>
    </w:pPr>
    <w:rPr>
      <w:rFonts w:ascii="Arial" w:hAnsi="Arial"/>
      <w:sz w:val="24"/>
    </w:rPr>
  </w:style>
  <w:style w:type="numbering" w:styleId="20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付萌萌</cp:lastModifiedBy>
  <cp:revision>8</cp:revision>
  <dcterms:created xsi:type="dcterms:W3CDTF">2025-12-26T03:51:00Z</dcterms:created>
  <dcterms:modified xsi:type="dcterms:W3CDTF">2026-08-05T00:31:46Z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eyJoZGlkIjoiNmM2NTMxMGY4ZWJjMzIyMjdhMmE2YmQyYWVlNmFkZGIiLCJ1c2VySWQiOiI0NjE0MDA2MDAifQ==</vt:lpwstr>
  </property>
  <property fmtid="{D5CDD505-2E9C-101B-9397-08002B2CF9AE}" pid="3" name="KSOProductBuildVer">
    <vt:lpwstr>2052-12.1.0.26895</vt:lpwstr>
  </property>
  <property fmtid="{D5CDD505-2E9C-101B-9397-08002B2CF9AE}" pid="4" name="ICV">
    <vt:lpwstr>7FFBE77ECBAC425ABB5541EF32BEC0CF_13</vt:lpwstr>
  </property>
</Properties>
</file>