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hAnsi="宋体"/>
          <w:b/>
          <w:color w:val="auto"/>
          <w:sz w:val="52"/>
          <w:szCs w:val="52"/>
        </w:rPr>
      </w:pPr>
      <w:r>
        <w:rPr>
          <w:rFonts w:hint="eastAsia" w:hAnsi="宋体"/>
          <w:b/>
          <w:color w:val="auto"/>
          <w:sz w:val="52"/>
          <w:szCs w:val="52"/>
        </w:rPr>
      </w:r>
      <w:r/>
    </w:p>
    <w:p>
      <w:pPr>
        <w:jc w:val="center"/>
        <w:spacing w:line="360" w:lineRule="auto"/>
        <w:rPr>
          <w:rFonts w:hint="eastAsia" w:hAnsi="宋体"/>
          <w:b/>
          <w:color w:val="auto"/>
          <w:sz w:val="52"/>
          <w:szCs w:val="52"/>
        </w:rPr>
      </w:pPr>
      <w:r>
        <w:rPr>
          <w:rFonts w:hint="eastAsia" w:hAnsi="宋体"/>
          <w:b/>
          <w:color w:val="auto"/>
          <w:sz w:val="52"/>
          <w:szCs w:val="52"/>
        </w:rPr>
      </w:r>
      <w:r/>
    </w:p>
    <w:p>
      <w:pPr>
        <w:jc w:val="center"/>
        <w:spacing w:line="360" w:lineRule="auto"/>
        <w:rPr>
          <w:rFonts w:hAnsi="宋体"/>
          <w:b/>
          <w:color w:val="auto"/>
          <w:sz w:val="52"/>
          <w:szCs w:val="52"/>
        </w:rPr>
      </w:pPr>
      <w:r>
        <w:rPr>
          <w:rFonts w:hAnsi="宋体"/>
          <w:b/>
          <w:color w:val="auto"/>
          <w:sz w:val="52"/>
          <w:szCs w:val="5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w:t>
      </w:r>
      <w:r>
        <w:rPr>
          <w:rFonts w:hint="eastAsia" w:ascii="黑体" w:hAnsi="华文中宋" w:eastAsia="黑体"/>
          <w:bCs/>
          <w:color w:val="auto"/>
          <w:spacing w:val="20"/>
          <w:sz w:val="72"/>
          <w:szCs w:val="72"/>
          <w:lang w:val="en-US" w:eastAsia="zh-CN"/>
        </w:rPr>
        <w:t xml:space="preserve">梁溪区</w:t>
      </w:r>
      <w:r>
        <w:rPr>
          <w:rFonts w:hint="eastAsia" w:ascii="黑体" w:hAnsi="华文中宋" w:eastAsia="黑体"/>
          <w:bCs/>
          <w:color w:val="auto"/>
          <w:spacing w:val="20"/>
          <w:sz w:val="72"/>
          <w:szCs w:val="72"/>
        </w:rPr>
        <w:t xml:space="preserve">政府采购</w:t>
      </w:r>
      <w:r/>
    </w:p>
    <w:p>
      <w:pPr>
        <w:jc w:val="center"/>
        <w:spacing w:line="360" w:lineRule="auto"/>
        <w:rPr>
          <w:rFonts w:hint="eastAsia" w:hAnsi="宋体"/>
          <w:b/>
          <w:color w:val="auto"/>
          <w:sz w:val="52"/>
          <w:szCs w:val="52"/>
        </w:rPr>
      </w:pPr>
      <w:r>
        <w:rPr>
          <w:rFonts w:hint="eastAsia" w:hAnsi="宋体"/>
          <w:b/>
          <w:color w:val="auto"/>
          <w:sz w:val="52"/>
          <w:szCs w:val="52"/>
        </w:rPr>
      </w:r>
      <w:r/>
    </w:p>
    <w:p>
      <w:pPr>
        <w:jc w:val="center"/>
        <w:spacing w:line="360" w:lineRule="auto"/>
        <w:rPr>
          <w:rFonts w:hint="eastAsia" w:hAnsi="宋体" w:eastAsia="宋体"/>
          <w:b/>
          <w:color w:val="auto"/>
          <w:sz w:val="52"/>
          <w:szCs w:val="52"/>
          <w:lang w:val="en-US" w:eastAsia="zh-CN"/>
        </w:rPr>
      </w:pPr>
      <w:r>
        <w:rPr>
          <w:rFonts w:hint="eastAsia" w:hAnsi="宋体"/>
          <w:b/>
          <w:color w:val="auto"/>
          <w:sz w:val="52"/>
          <w:szCs w:val="52"/>
        </w:rPr>
        <w:t xml:space="preserve">公开招标文件</w:t>
      </w:r>
      <w:r/>
    </w:p>
    <w:p>
      <w:pPr>
        <w:jc w:val="center"/>
        <w:rPr>
          <w:rFonts w:hint="eastAsia" w:ascii="宋体" w:hAnsi="宋体" w:cs="宋体"/>
          <w:b/>
          <w:color w:val="auto"/>
        </w:rPr>
      </w:pPr>
      <w:r>
        <w:rPr>
          <w:rFonts w:hint="eastAsia" w:ascii="宋体" w:hAnsi="宋体" w:cs="宋体"/>
          <w:b/>
          <w:color w:val="auto"/>
        </w:rPr>
        <w:t xml:space="preserve">（全流程电子化）</w:t>
      </w:r>
      <w:r/>
    </w:p>
    <w:p>
      <w:pPr>
        <w:jc w:val="center"/>
        <w:spacing w:line="360" w:lineRule="auto"/>
        <w:rPr>
          <w:rFonts w:hAnsi="宋体"/>
          <w:b/>
          <w:color w:val="auto"/>
          <w:sz w:val="24"/>
        </w:rPr>
      </w:pPr>
      <w:r>
        <w:rPr>
          <w:rFonts w:hAnsi="宋体"/>
          <w:b/>
          <w:color w:val="auto"/>
          <w:sz w:val="24"/>
        </w:rPr>
      </w:r>
      <w:r/>
    </w:p>
    <w:p>
      <w:pPr>
        <w:jc w:val="center"/>
        <w:spacing w:line="360" w:lineRule="auto"/>
        <w:rPr>
          <w:rFonts w:hAnsi="宋体"/>
          <w:b/>
          <w:color w:val="auto"/>
          <w:sz w:val="24"/>
        </w:rPr>
      </w:pPr>
      <w:r>
        <w:rPr>
          <w:rFonts w:hAnsi="宋体"/>
          <w:b/>
          <w:color w:val="auto"/>
          <w:sz w:val="24"/>
        </w:rPr>
      </w:r>
      <w:r/>
    </w:p>
    <w:p>
      <w:pPr>
        <w:spacing w:line="360" w:lineRule="auto"/>
        <w:rPr>
          <w:rFonts w:hint="eastAsia" w:hAnsi="宋体"/>
          <w:b/>
          <w:color w:val="auto"/>
          <w:sz w:val="24"/>
        </w:rPr>
      </w:pPr>
      <w:r>
        <w:rPr>
          <w:rFonts w:hint="eastAsia" w:hAnsi="宋体"/>
          <w:b/>
          <w:color w:val="auto"/>
          <w:sz w:val="24"/>
        </w:rPr>
      </w:r>
      <w:r/>
    </w:p>
    <w:p>
      <w:pPr>
        <w:spacing w:line="360" w:lineRule="auto"/>
        <w:rPr>
          <w:rFonts w:hint="eastAsia" w:hAnsi="宋体"/>
          <w:b/>
          <w:color w:val="auto"/>
          <w:sz w:val="24"/>
        </w:rPr>
      </w:pPr>
      <w:r>
        <w:rPr>
          <w:rFonts w:hint="eastAsia" w:hAnsi="宋体"/>
          <w:b/>
          <w:color w:val="auto"/>
          <w:sz w:val="24"/>
        </w:rPr>
      </w:r>
      <w:r/>
    </w:p>
    <w:p>
      <w:pPr>
        <w:spacing w:line="360" w:lineRule="auto"/>
        <w:rPr>
          <w:rFonts w:hAnsi="宋体"/>
          <w:b/>
          <w:color w:val="auto"/>
          <w:sz w:val="24"/>
        </w:rPr>
      </w:pPr>
      <w:r>
        <w:rPr>
          <w:rFonts w:hAnsi="宋体"/>
          <w:b/>
          <w:color w:val="auto"/>
          <w:sz w:val="24"/>
        </w:rPr>
      </w:r>
      <w:r/>
    </w:p>
    <w:p>
      <w:pPr>
        <w:ind w:firstLine="0"/>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lang w:val="en-US" w:eastAsia="zh-CN"/>
        </w:rPr>
        <w:t xml:space="preserve">         项目</w:t>
      </w:r>
      <w:r>
        <w:rPr>
          <w:rFonts w:hint="eastAsia" w:ascii="黑体" w:hAnsi="华文中宋" w:eastAsia="黑体"/>
          <w:bCs/>
          <w:color w:val="auto"/>
          <w:sz w:val="30"/>
          <w:szCs w:val="30"/>
        </w:rPr>
        <w:t xml:space="preserve">编号：</w:t>
      </w:r>
      <w:r>
        <w:rPr>
          <w:rFonts w:hint="eastAsia" w:ascii="黑体" w:hAnsi="华文中宋" w:eastAsia="黑体"/>
          <w:bCs/>
          <w:color w:val="auto"/>
          <w:sz w:val="30"/>
          <w:szCs w:val="30"/>
          <w:lang w:eastAsia="zh-CN"/>
        </w:rPr>
        <w:t xml:space="preserve">JSZC-320213-BZDL-G2026-0023</w:t>
      </w:r>
      <w:r/>
    </w:p>
    <w:p>
      <w:pPr>
        <w:ind w:firstLine="0"/>
        <w:jc w:val="left"/>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项目名称：</w:t>
      </w:r>
      <w:r>
        <w:rPr>
          <w:rFonts w:hint="eastAsia" w:ascii="黑体" w:hAnsi="华文中宋" w:eastAsia="黑体"/>
          <w:bCs/>
          <w:color w:val="auto"/>
          <w:sz w:val="30"/>
          <w:szCs w:val="30"/>
          <w:lang w:eastAsia="zh-CN"/>
        </w:rPr>
        <w:t xml:space="preserve">南禅寺派出所业务用房异地重建工程(二期)家具采购</w:t>
      </w:r>
      <w:r/>
    </w:p>
    <w:p>
      <w:pPr>
        <w:ind w:firstLine="0"/>
        <w:jc w:val="left"/>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采 购 人：</w:t>
      </w:r>
      <w:r>
        <w:rPr>
          <w:rFonts w:hint="eastAsia" w:ascii="黑体" w:hAnsi="华文中宋" w:eastAsia="黑体" w:cs="Times New Roman"/>
          <w:bCs/>
          <w:color w:val="auto"/>
          <w:sz w:val="30"/>
          <w:szCs w:val="30"/>
          <w:lang w:eastAsia="zh-CN"/>
        </w:rPr>
        <w:t xml:space="preserve">无锡市公安局梁溪分局</w:t>
      </w:r>
      <w:r/>
    </w:p>
    <w:p>
      <w:pPr>
        <w:ind w:firstLine="0"/>
        <w:jc w:val="left"/>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采购代理机构：</w:t>
      </w:r>
      <w:r>
        <w:rPr>
          <w:rFonts w:hint="eastAsia" w:ascii="黑体" w:hAnsi="华文中宋" w:eastAsia="黑体"/>
          <w:bCs/>
          <w:color w:val="auto"/>
          <w:sz w:val="30"/>
          <w:szCs w:val="30"/>
          <w:lang w:eastAsia="zh-CN"/>
        </w:rPr>
        <w:t xml:space="preserve">江苏博智工程咨询有限公司</w:t>
      </w:r>
      <w:r/>
    </w:p>
    <w:p>
      <w:pPr>
        <w:spacing w:line="360" w:lineRule="auto"/>
        <w:rPr>
          <w:rFonts w:hAnsi="宋体"/>
          <w:b/>
          <w:color w:val="auto"/>
          <w:sz w:val="24"/>
        </w:rPr>
      </w:pPr>
      <w:r>
        <w:rPr>
          <w:rFonts w:hAnsi="宋体"/>
          <w:b/>
          <w:color w:val="auto"/>
          <w:sz w:val="24"/>
        </w:rPr>
      </w:r>
      <w:r/>
    </w:p>
    <w:p>
      <w:pPr>
        <w:spacing w:line="360" w:lineRule="auto"/>
        <w:rPr>
          <w:rFonts w:hAnsi="宋体"/>
          <w:b/>
          <w:color w:val="auto"/>
          <w:sz w:val="24"/>
        </w:rPr>
      </w:pPr>
      <w:r>
        <w:rPr>
          <w:rFonts w:hAnsi="宋体"/>
          <w:b/>
          <w:color w:val="auto"/>
          <w:sz w:val="24"/>
        </w:rPr>
      </w:r>
      <w:r/>
    </w:p>
    <w:p>
      <w:pPr>
        <w:jc w:val="center"/>
        <w:rPr>
          <w:rFonts w:hint="eastAsia" w:ascii="黑体" w:hAnsi="华文中宋" w:eastAsia="黑体"/>
          <w:bCs/>
          <w:color w:val="auto"/>
          <w:sz w:val="44"/>
          <w:szCs w:val="44"/>
          <w:lang w:val="en-US" w:eastAsia="zh-CN"/>
        </w:rPr>
      </w:pPr>
      <w:r>
        <w:rPr>
          <w:rFonts w:hint="eastAsia" w:ascii="黑体" w:hAnsi="华文中宋" w:eastAsia="黑体"/>
          <w:bCs/>
          <w:color w:val="auto"/>
          <w:sz w:val="44"/>
          <w:szCs w:val="44"/>
          <w:lang w:eastAsia="zh-CN"/>
        </w:rPr>
        <w:t xml:space="preserve">二〇</w:t>
      </w:r>
      <w:r>
        <w:rPr>
          <w:rFonts w:hint="eastAsia" w:ascii="黑体" w:hAnsi="华文中宋" w:eastAsia="黑体"/>
          <w:bCs/>
          <w:color w:val="auto"/>
          <w:sz w:val="44"/>
          <w:szCs w:val="44"/>
        </w:rPr>
        <w:t xml:space="preserve">二</w:t>
      </w:r>
      <w:r>
        <w:rPr>
          <w:rFonts w:hint="eastAsia" w:ascii="黑体" w:hAnsi="华文中宋" w:eastAsia="黑体"/>
          <w:bCs/>
          <w:color w:val="auto"/>
          <w:sz w:val="44"/>
          <w:szCs w:val="44"/>
          <w:lang w:val="en-US" w:eastAsia="zh-CN"/>
        </w:rPr>
        <w:t xml:space="preserve">六</w:t>
      </w:r>
      <w:r>
        <w:rPr>
          <w:rFonts w:hint="eastAsia" w:ascii="黑体" w:hAnsi="华文中宋" w:eastAsia="黑体"/>
          <w:bCs/>
          <w:color w:val="auto"/>
          <w:sz w:val="44"/>
          <w:szCs w:val="44"/>
        </w:rPr>
        <w:t xml:space="preserve">年</w:t>
      </w:r>
      <w:r>
        <w:rPr>
          <w:rFonts w:hint="eastAsia" w:ascii="黑体" w:hAnsi="华文中宋" w:eastAsia="黑体"/>
          <w:bCs/>
          <w:color w:val="auto"/>
          <w:sz w:val="44"/>
          <w:szCs w:val="44"/>
          <w:lang w:val="en-US" w:eastAsia="zh-CN"/>
        </w:rPr>
        <w:t xml:space="preserve">八</w:t>
      </w:r>
      <w:r>
        <w:rPr>
          <w:rFonts w:hint="eastAsia" w:ascii="黑体" w:hAnsi="华文中宋" w:eastAsia="黑体"/>
          <w:bCs/>
          <w:color w:val="auto"/>
          <w:sz w:val="44"/>
          <w:szCs w:val="44"/>
        </w:rPr>
        <w:t xml:space="preserve">月</w:t>
      </w:r>
      <w:r/>
    </w:p>
    <w:p>
      <w:pPr>
        <w:jc w:val="center"/>
        <w:rPr>
          <w:rFonts w:hint="eastAsia" w:ascii="黑体" w:eastAsia="黑体"/>
          <w:bCs/>
          <w:color w:val="auto"/>
          <w:sz w:val="28"/>
          <w:szCs w:val="28"/>
          <w:lang w:val="en-US" w:eastAsia="zh-CN"/>
        </w:rPr>
        <w:sectPr>
          <w:headerReference w:type="default" r:id="rId9"/>
          <w:footnotePr/>
          <w:endnotePr/>
          <w:type w:val="nextPage"/>
          <w:pgSz w:w="11906" w:h="16838" w:orient="portrait"/>
          <w:pgMar w:top="1701" w:right="1286" w:bottom="1701" w:left="1440" w:header="851" w:footer="992" w:gutter="0"/>
          <w:cols w:num="1" w:sep="0" w:space="1701" w:equalWidth="1"/>
          <w:docGrid w:linePitch="360"/>
        </w:sectPr>
      </w:pPr>
      <w:r>
        <w:rPr>
          <w:rFonts w:hint="eastAsia" w:ascii="黑体" w:eastAsia="黑体"/>
          <w:bCs/>
          <w:color w:val="auto"/>
          <w:sz w:val="28"/>
          <w:szCs w:val="28"/>
          <w:lang w:val="en-US" w:eastAsia="zh-CN"/>
        </w:rPr>
      </w:r>
      <w:r/>
    </w:p>
    <w:p>
      <w:pPr>
        <w:jc w:val="center"/>
        <w:rPr>
          <w:rFonts w:hint="eastAsia" w:ascii="黑体" w:eastAsia="黑体"/>
          <w:bCs/>
          <w:color w:val="auto"/>
          <w:sz w:val="28"/>
          <w:szCs w:val="28"/>
          <w:lang w:val="en-US" w:eastAsia="zh-CN"/>
        </w:rPr>
      </w:pPr>
      <w:r>
        <w:rPr>
          <w:rFonts w:hint="eastAsia" w:ascii="黑体" w:eastAsia="黑体"/>
          <w:bCs/>
          <w:color w:val="auto"/>
          <w:sz w:val="28"/>
          <w:szCs w:val="28"/>
          <w:lang w:val="en-US" w:eastAsia="zh-CN"/>
        </w:rPr>
      </w:r>
      <w:r/>
    </w:p>
    <w:p>
      <w:pPr>
        <w:jc w:val="center"/>
        <w:rPr>
          <w:rFonts w:hint="eastAsia" w:ascii="黑体" w:eastAsia="黑体"/>
          <w:bCs/>
          <w:color w:val="auto"/>
          <w:sz w:val="28"/>
          <w:szCs w:val="28"/>
        </w:rPr>
      </w:pPr>
      <w:r>
        <w:rPr>
          <w:rFonts w:hint="eastAsia" w:ascii="黑体" w:eastAsia="黑体"/>
          <w:bCs/>
          <w:color w:val="auto"/>
          <w:sz w:val="28"/>
          <w:szCs w:val="28"/>
          <w:lang w:val="en-US" w:eastAsia="zh-CN"/>
        </w:rPr>
        <w:t xml:space="preserve">第一章 </w:t>
      </w:r>
      <w:r>
        <w:rPr>
          <w:rFonts w:hint="eastAsia" w:ascii="黑体" w:eastAsia="黑体"/>
          <w:bCs/>
          <w:color w:val="auto"/>
          <w:sz w:val="28"/>
          <w:szCs w:val="28"/>
        </w:rPr>
        <w:t xml:space="preserve">投标邀请函</w:t>
      </w:r>
      <w:r/>
    </w:p>
    <w:p>
      <w:pPr>
        <w:ind w:firstLine="480"/>
        <w:spacing w:line="360" w:lineRule="exact"/>
        <w:widowControl/>
        <w:rPr>
          <w:rFonts w:hint="eastAsia" w:ascii="宋体" w:hAnsi="宋体"/>
          <w:bCs/>
          <w:color w:val="auto"/>
          <w:sz w:val="24"/>
          <w:szCs w:val="24"/>
          <w:highlight w:val="none"/>
          <w:lang w:eastAsia="zh-CN"/>
        </w:rPr>
      </w:pPr>
      <w:r>
        <w:rPr>
          <w:rFonts w:hint="eastAsia" w:hAnsi="宋体" w:cs="宋体"/>
          <w:color w:val="auto"/>
          <w:sz w:val="24"/>
          <w:lang w:eastAsia="zh-CN"/>
        </w:rPr>
        <w:t xml:space="preserve">江苏博智工程咨询有限公司</w:t>
      </w:r>
      <w:r>
        <w:rPr>
          <w:rFonts w:hint="eastAsia" w:hAnsi="宋体" w:cs="宋体"/>
          <w:color w:val="auto"/>
          <w:sz w:val="24"/>
        </w:rPr>
        <w:t xml:space="preserve">受</w:t>
      </w:r>
      <w:r>
        <w:rPr>
          <w:rFonts w:hint="eastAsia" w:hAnsi="宋体" w:cs="宋体"/>
          <w:color w:val="auto"/>
          <w:sz w:val="24"/>
          <w:lang w:eastAsia="zh-CN"/>
        </w:rPr>
        <w:t xml:space="preserve">无锡市公安局梁溪分局</w:t>
      </w:r>
      <w:r>
        <w:rPr>
          <w:rFonts w:hint="eastAsia" w:hAnsi="宋体" w:cs="宋体"/>
          <w:color w:val="auto"/>
          <w:sz w:val="24"/>
        </w:rPr>
        <w:t xml:space="preserve">的委托，对</w:t>
      </w:r>
      <w:r>
        <w:rPr>
          <w:rFonts w:hint="eastAsia" w:hAnsi="宋体" w:cs="宋体"/>
          <w:color w:val="auto"/>
          <w:sz w:val="24"/>
          <w:szCs w:val="24"/>
          <w:highlight w:val="none"/>
          <w:lang w:eastAsia="zh-CN"/>
        </w:rPr>
        <w:t xml:space="preserve">南禅寺派出所业务用房异地重建工程(二期)家具采购</w:t>
      </w:r>
      <w:r>
        <w:rPr>
          <w:rFonts w:hint="eastAsia" w:hAnsi="宋体" w:cs="宋体"/>
          <w:color w:val="auto"/>
          <w:sz w:val="24"/>
        </w:rPr>
        <w:t xml:space="preserve">进行公开招标</w:t>
      </w:r>
      <w:r>
        <w:rPr>
          <w:rFonts w:hint="eastAsia" w:hAnsi="宋体" w:cs="宋体"/>
          <w:color w:val="auto"/>
          <w:sz w:val="24"/>
          <w:lang w:val="en-US" w:eastAsia="zh-CN"/>
        </w:rPr>
        <w:t xml:space="preserve">采购</w:t>
      </w:r>
      <w:r>
        <w:rPr>
          <w:rFonts w:hint="eastAsia" w:hAnsi="宋体" w:cs="宋体"/>
          <w:color w:val="auto"/>
          <w:sz w:val="24"/>
        </w:rPr>
        <w:t xml:space="preserve">，</w:t>
      </w:r>
      <w:r>
        <w:rPr>
          <w:rFonts w:hint="eastAsia" w:ascii="宋体" w:hAnsi="宋体"/>
          <w:bCs/>
          <w:color w:val="auto"/>
          <w:sz w:val="24"/>
          <w:szCs w:val="24"/>
          <w:highlight w:val="none"/>
        </w:rPr>
        <w:t xml:space="preserve">欢迎符合相关条件的供应商参加投标</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lang w:eastAsia="zh-CN"/>
        </w:rPr>
        <w:t xml:space="preserve">南禅寺派出所业务用房异地重建工程(二期)家具采购</w:t>
      </w:r>
      <w:r>
        <w:rPr>
          <w:rFonts w:hint="eastAsia" w:ascii="宋体" w:hAnsi="宋体" w:eastAsia="宋体" w:cs="宋体"/>
          <w:color w:val="auto"/>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日</w:t>
      </w:r>
      <w:r>
        <w:rPr>
          <w:rFonts w:hint="eastAsia"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w:t>
      </w:r>
      <w:r>
        <w:rPr>
          <w:rFonts w:hint="eastAsia" w:ascii="宋体" w:hAnsi="宋体"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hAnsi="宋体" w:cs="宋体"/>
          <w:color w:val="auto"/>
          <w:sz w:val="24"/>
          <w:szCs w:val="24"/>
          <w:highlight w:val="none"/>
          <w:lang w:eastAsia="zh-CN"/>
        </w:rPr>
        <w:t xml:space="preserve">南禅寺派出所业务用房异地重建工程(二期)家具采购</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JSZC-320213-BZDL-G2026-0023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cs="Times New Roman"/>
          <w:bCs/>
          <w:color w:val="auto"/>
          <w:sz w:val="24"/>
          <w:lang w:val="en-US" w:eastAsia="zh-CN"/>
        </w:rPr>
        <w:t xml:space="preserve">239.00万元</w:t>
      </w:r>
      <w:r/>
    </w:p>
    <w:p>
      <w:pPr>
        <w:ind w:firstLine="480"/>
        <w:jc w:val="left"/>
        <w:spacing w:line="360" w:lineRule="auto"/>
        <w:shd w:val="clear" w:color="auto" w:fill="ffffff"/>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w:t>
      </w:r>
      <w:r>
        <w:rPr>
          <w:rFonts w:hint="eastAsia" w:ascii="宋体" w:hAnsi="Times New Roman" w:eastAsia="宋体" w:cs="Times New Roman"/>
          <w:bCs/>
          <w:color w:val="auto"/>
          <w:sz w:val="24"/>
          <w:lang w:val="en-US" w:eastAsia="zh-CN"/>
        </w:rPr>
        <w:t xml:space="preserve">项目最高限价：</w:t>
      </w:r>
      <w:r>
        <w:rPr>
          <w:rFonts w:hint="eastAsia" w:cs="Times New Roman"/>
          <w:bCs/>
          <w:color w:val="auto"/>
          <w:sz w:val="24"/>
          <w:lang w:val="en-US" w:eastAsia="zh-CN"/>
        </w:rPr>
        <w:t xml:space="preserve">236.00万元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采购需求：详见招</w:t>
      </w:r>
      <w:r>
        <w:rPr>
          <w:rFonts w:hint="eastAsia" w:ascii="宋体" w:hAnsi="宋体" w:cs="宋体"/>
          <w:color w:val="auto"/>
          <w:sz w:val="24"/>
          <w:szCs w:val="24"/>
          <w:highlight w:val="none"/>
        </w:rPr>
        <w:t xml:space="preserve">标文件</w:t>
      </w:r>
      <w:r>
        <w:rPr>
          <w:rFonts w:hint="eastAsia" w:ascii="宋体" w:hAnsi="宋体" w:cs="宋体"/>
          <w:b/>
          <w:bCs/>
          <w:color w:val="auto"/>
          <w:sz w:val="24"/>
          <w:szCs w:val="24"/>
          <w:highlight w:val="none"/>
        </w:rPr>
        <w:t xml:space="preserve">第四章《采购需求》</w:t>
      </w:r>
      <w:r>
        <w:rPr>
          <w:rFonts w:hint="eastAsia" w:ascii="宋体" w:hAnsi="宋体"/>
          <w:color w:val="auto"/>
          <w:sz w:val="24"/>
          <w:highlight w:val="none"/>
        </w:rPr>
        <w:t xml:space="preserve">；</w:t>
      </w:r>
      <w:r/>
    </w:p>
    <w:p>
      <w:pPr>
        <w:ind w:firstLine="480"/>
        <w:jc w:val="left"/>
        <w:spacing w:line="360" w:lineRule="auto"/>
        <w:shd w:val="clear" w:color="auto" w:fill="ffffff"/>
        <w:widowControl/>
        <w:rPr>
          <w:rFonts w:hint="eastAsia" w:ascii="宋体" w:hAnsi="宋体" w:eastAsia="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.本项目标的所属行业：</w:t>
      </w:r>
      <w:r>
        <w:rPr>
          <w:rFonts w:hint="eastAsia" w:ascii="宋体" w:hAnsi="宋体" w:cs="宋体"/>
          <w:color w:val="auto"/>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auto"/>
          <w:sz w:val="24"/>
          <w:szCs w:val="24"/>
          <w:highlight w:val="none"/>
        </w:rPr>
        <w:t xml:space="preserve">。</w:t>
      </w:r>
      <w:r/>
    </w:p>
    <w:p>
      <w:pPr>
        <w:ind w:firstLine="480"/>
        <w:jc w:val="left"/>
        <w:spacing w:line="360" w:lineRule="auto"/>
        <w:shd w:val="clear" w:color="auto" w:fill="ffffff"/>
        <w:widowControl/>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u w:val="single"/>
        </w:rPr>
        <w:t xml:space="preserve">不接受 </w:t>
      </w:r>
      <w:r>
        <w:rPr>
          <w:rFonts w:hint="eastAsia" w:ascii="宋体" w:hAnsi="宋体" w:cs="宋体"/>
          <w:color w:val="auto"/>
          <w:sz w:val="24"/>
          <w:szCs w:val="24"/>
          <w:highlight w:val="none"/>
        </w:rPr>
        <w:t xml:space="preserve">联合投标。</w:t>
      </w:r>
      <w:r>
        <w:rPr>
          <w:rFonts w:hint="eastAsia" w:ascii="宋体" w:hAnsi="宋体" w:eastAsia="宋体" w:cs="宋体"/>
          <w:color w:val="auto"/>
          <w:sz w:val="24"/>
          <w:szCs w:val="24"/>
          <w:highlight w:val="none"/>
          <w:lang w:val="en-US" w:eastAsia="zh-CN"/>
        </w:rPr>
        <w:t xml:space="preserve">      </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（二）投标人资格要求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2.1中小企业政策：本项目专门面向中小企业采购（残疾人福利性单位、监狱企业视同小型、微型企业）</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1"/>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hAnsi="宋体" w:eastAsia="宋体" w:cs="宋体"/>
          <w:bCs/>
          <w:color w:val="auto"/>
          <w:sz w:val="24"/>
          <w:szCs w:val="24"/>
          <w:highlight w:val="none"/>
          <w:lang w:val="en-US" w:eastAsia="zh-CN"/>
        </w:rPr>
        <w:t xml:space="preserve">无</w:t>
      </w:r>
      <w:r>
        <w:rPr>
          <w:rFonts w:hint="eastAsia" w:hAnsi="宋体" w:eastAsia="宋体" w:cs="宋体"/>
          <w:bCs/>
          <w:color w:val="auto"/>
          <w:sz w:val="24"/>
          <w:szCs w:val="24"/>
          <w:highlight w:val="none"/>
          <w:lang w:eastAsia="zh-CN"/>
        </w:rPr>
        <w:t xml:space="preserve">。</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（三）获取采购文件的时间期限</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1.时间：202</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年</w:t>
      </w:r>
      <w:r>
        <w:rPr>
          <w:rFonts w:hint="eastAsia" w:hAnsi="宋体" w:cs="Times New Roman"/>
          <w:bCs/>
          <w:color w:val="auto"/>
          <w:sz w:val="24"/>
          <w:szCs w:val="24"/>
          <w:highlight w:val="none"/>
          <w:lang w:val="en-US" w:eastAsia="zh-CN"/>
        </w:rPr>
        <w:t xml:space="preserve">8</w:t>
      </w:r>
      <w:r>
        <w:rPr>
          <w:rFonts w:hint="eastAsia" w:ascii="宋体" w:hAnsi="宋体" w:cs="Times New Roman"/>
          <w:bCs/>
          <w:color w:val="auto"/>
          <w:sz w:val="24"/>
          <w:szCs w:val="24"/>
          <w:highlight w:val="none"/>
        </w:rPr>
        <w:t xml:space="preserve">月</w:t>
      </w:r>
      <w:r>
        <w:rPr>
          <w:rFonts w:hint="eastAsia" w:hAnsi="宋体" w:cs="Times New Roman"/>
          <w:bCs/>
          <w:color w:val="auto"/>
          <w:sz w:val="24"/>
          <w:szCs w:val="24"/>
          <w:highlight w:val="none"/>
          <w:lang w:val="en-US" w:eastAsia="zh-CN"/>
        </w:rPr>
        <w:t xml:space="preserve">31</w:t>
      </w:r>
      <w:r>
        <w:rPr>
          <w:rFonts w:hint="eastAsia" w:ascii="宋体" w:hAnsi="宋体" w:cs="Times New Roman"/>
          <w:bCs/>
          <w:color w:val="auto"/>
          <w:sz w:val="24"/>
          <w:szCs w:val="24"/>
          <w:highlight w:val="none"/>
        </w:rPr>
        <w:t xml:space="preserve">日</w:t>
      </w:r>
      <w:r>
        <w:rPr>
          <w:rFonts w:hint="eastAsia" w:hAnsi="宋体" w:cs="Times New Roman"/>
          <w:bCs/>
          <w:color w:val="auto"/>
          <w:sz w:val="24"/>
          <w:szCs w:val="24"/>
          <w:highlight w:val="none"/>
          <w:lang w:val="en-US" w:eastAsia="zh-CN"/>
        </w:rPr>
        <w:t xml:space="preserve">09</w:t>
      </w:r>
      <w:r>
        <w:rPr>
          <w:rFonts w:hint="eastAsia" w:ascii="宋体" w:hAnsi="宋体" w:cs="Times New Roman"/>
          <w:bCs/>
          <w:color w:val="auto"/>
          <w:sz w:val="24"/>
          <w:szCs w:val="24"/>
          <w:highlight w:val="none"/>
        </w:rPr>
        <w:t xml:space="preserve">点30分（北京时间），截止时间后上传的任何投标文件恕不接受。</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24"/>
        <w:ind w:firstLine="452"/>
        <w:keepLines w:val="0"/>
        <w:keepNext w:val="0"/>
        <w:spacing w:before="0" w:after="0" w:line="360" w:lineRule="auto"/>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eastAsia="zh-CN"/>
        </w:rPr>
        <w:t xml:space="preserve">（五）公告期限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（六）</w:t>
      </w:r>
      <w:r>
        <w:rPr>
          <w:rFonts w:hint="eastAsia" w:ascii="宋体" w:hAnsi="宋体" w:cs="宋体"/>
          <w:b/>
          <w:bCs/>
          <w:color w:val="auto"/>
          <w:sz w:val="24"/>
          <w:szCs w:val="24"/>
          <w:highlight w:val="none"/>
        </w:rPr>
        <w:t xml:space="preserve">其他补充事宜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hint="eastAsia" w:ascii="宋体" w:hAnsi="宋体"/>
          <w:b/>
          <w:bCs/>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b/>
          <w:bCs/>
          <w:color w:val="auto"/>
          <w:sz w:val="24"/>
          <w:szCs w:val="24"/>
          <w:highlight w:val="none"/>
        </w:rPr>
        <w:t xml:space="preserve">本次招标联系方式</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en-US" w:eastAsia="zh-CN"/>
        </w:rPr>
        <w:t xml:space="preserve">信息</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hAnsi="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hAnsi="宋体" w:cs="宋体"/>
          <w:color w:val="auto"/>
          <w:sz w:val="24"/>
          <w:lang w:eastAsia="zh-CN"/>
        </w:rPr>
        <w:t xml:space="preserve">无锡市公安局</w:t>
      </w:r>
      <w:r>
        <w:rPr>
          <w:rFonts w:hint="eastAsia" w:hAnsi="宋体" w:cs="宋体"/>
          <w:color w:val="auto"/>
          <w:sz w:val="24"/>
          <w:szCs w:val="24"/>
          <w:highlight w:val="none"/>
          <w:lang w:eastAsia="zh-CN"/>
        </w:rPr>
        <w:t xml:space="preserve">梁溪分局</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val="en-US" w:eastAsia="zh-CN"/>
        </w:rPr>
        <w:t xml:space="preserve">无锡市</w:t>
      </w:r>
      <w:r>
        <w:rPr>
          <w:rFonts w:hint="eastAsia" w:hAnsi="宋体" w:cs="宋体"/>
          <w:color w:val="auto"/>
          <w:sz w:val="24"/>
          <w:szCs w:val="24"/>
          <w:highlight w:val="none"/>
          <w:lang w:val="en-US" w:eastAsia="zh-CN"/>
        </w:rPr>
        <w:t xml:space="preserve">梁溪区广瑞路6号</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eastAsia="宋体" w:cs="宋体"/>
          <w:i w:val="0"/>
          <w:iCs w:val="0"/>
          <w:caps w:val="0"/>
          <w:color w:val="auto"/>
          <w:spacing w:val="0"/>
          <w:sz w:val="24"/>
          <w:szCs w:val="24"/>
          <w:highlight w:val="none"/>
          <w:shd w:val="clear" w:color="auto" w:fill="auto"/>
        </w:rPr>
        <w:t xml:space="preserve">虞</w:t>
      </w:r>
      <w:r>
        <w:rPr>
          <w:rFonts w:hint="eastAsia" w:hAnsi="宋体" w:cs="宋体"/>
          <w:i w:val="0"/>
          <w:iCs w:val="0"/>
          <w:caps w:val="0"/>
          <w:color w:val="auto"/>
          <w:spacing w:val="0"/>
          <w:sz w:val="24"/>
          <w:szCs w:val="24"/>
          <w:highlight w:val="none"/>
          <w:shd w:val="clear" w:color="auto" w:fill="auto"/>
          <w:lang w:val="en-US" w:eastAsia="zh-CN"/>
        </w:rPr>
        <w:t xml:space="preserve">潇明</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eastAsia="宋体" w:cs="宋体"/>
          <w:i w:val="0"/>
          <w:iCs w:val="0"/>
          <w:caps w:val="0"/>
          <w:color w:val="auto"/>
          <w:spacing w:val="0"/>
          <w:sz w:val="24"/>
          <w:szCs w:val="24"/>
          <w:highlight w:val="none"/>
          <w:shd w:val="clear" w:color="auto" w:fill="auto"/>
        </w:rPr>
        <w:t xml:space="preserve">0510</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82220815</w:t>
      </w:r>
      <w:r>
        <w:rPr>
          <w:rFonts w:hint="eastAsia" w:hAnsi="宋体" w:cs="宋体"/>
          <w:color w:val="auto"/>
          <w:sz w:val="24"/>
          <w:szCs w:val="24"/>
          <w:highlight w:val="none"/>
          <w:lang w:val="en-US" w:eastAsia="zh-CN"/>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名称：</w:t>
      </w:r>
      <w:r>
        <w:rPr>
          <w:rFonts w:hint="eastAsia" w:hAnsi="宋体" w:cs="宋体"/>
          <w:color w:val="auto"/>
          <w:sz w:val="24"/>
          <w:szCs w:val="24"/>
          <w:highlight w:val="none"/>
          <w:lang w:val="en-US" w:eastAsia="zh-CN"/>
        </w:rPr>
        <w:t xml:space="preserve">江苏博智工程咨询有限公司</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w:t>
      </w:r>
      <w:r>
        <w:rPr>
          <w:rFonts w:hint="eastAsia" w:hAnsi="宋体" w:cs="宋体"/>
          <w:color w:val="auto"/>
          <w:sz w:val="24"/>
          <w:szCs w:val="24"/>
          <w:highlight w:val="none"/>
          <w:lang w:val="en-US" w:eastAsia="zh-CN"/>
        </w:rPr>
        <w:t xml:space="preserve">高浪东路508号A座22楼</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臧允楠</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0510-8</w:t>
      </w:r>
      <w:r>
        <w:rPr>
          <w:rFonts w:hint="eastAsia" w:hAnsi="宋体" w:cs="宋体"/>
          <w:color w:val="auto"/>
          <w:sz w:val="24"/>
          <w:szCs w:val="24"/>
          <w:highlight w:val="none"/>
          <w:lang w:val="en-US" w:eastAsia="zh-CN"/>
        </w:rPr>
        <w:t xml:space="preserve">2820918</w:t>
      </w:r>
      <w:r>
        <w:rPr>
          <w:rFonts w:hint="eastAsia" w:ascii="宋体" w:hAnsi="宋体" w:eastAsia="宋体" w:cs="宋体"/>
          <w:bCs/>
          <w:color w:val="auto"/>
          <w:sz w:val="24"/>
          <w:highlight w:val="none"/>
        </w:rPr>
        <w:t xml:space="preserve">  </w:t>
      </w:r>
      <w:r>
        <w:rPr>
          <w:rFonts w:hint="eastAsia" w:ascii="宋体" w:hAnsi="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邮箱：</w:t>
      </w:r>
      <w:r>
        <w:rPr>
          <w:rFonts w:hint="eastAsia" w:hAnsi="宋体" w:cs="宋体"/>
          <w:color w:val="auto"/>
          <w:sz w:val="24"/>
          <w:szCs w:val="24"/>
          <w:highlight w:val="none"/>
          <w:lang w:val="en-US" w:eastAsia="zh-CN"/>
        </w:rPr>
        <w:t xml:space="preserve">1058184069</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qq</w:t>
      </w:r>
      <w:r>
        <w:rPr>
          <w:rFonts w:hint="eastAsia" w:ascii="宋体" w:hAnsi="宋体" w:eastAsia="宋体" w:cs="宋体"/>
          <w:color w:val="auto"/>
          <w:sz w:val="24"/>
          <w:szCs w:val="24"/>
          <w:highlight w:val="none"/>
        </w:rPr>
        <w:t xml:space="preserve">.com</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（八）其他</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hAnsi="宋体"/>
          <w:bCs/>
          <w:color w:val="auto"/>
          <w:sz w:val="24"/>
          <w:szCs w:val="24"/>
          <w:highlight w:val="none"/>
          <w:lang w:eastAsia="zh-CN"/>
        </w:rPr>
        <w:t xml:space="preserve">江苏博智工程咨询有限公司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（五）其他事项</w:t>
      </w:r>
      <w:r/>
    </w:p>
    <w:p>
      <w:pPr>
        <w:ind w:firstLine="72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cs="Times New Roman"/>
          <w:color w:val="auto"/>
          <w:sz w:val="24"/>
          <w:szCs w:val="24"/>
          <w:highlight w:val="none"/>
        </w:rPr>
        <w:t xml:space="preserve">纸质投标文件：本项目为不见面开标，</w:t>
      </w:r>
      <w:r>
        <w:rPr>
          <w:rFonts w:hint="eastAsia" w:ascii="宋体" w:hAnsi="宋体" w:eastAsia="宋体" w:cs="Times New Roman"/>
          <w:color w:val="auto"/>
          <w:sz w:val="24"/>
          <w:szCs w:val="24"/>
          <w:highlight w:val="none"/>
        </w:rPr>
        <w:t xml:space="preserve">投标</w:t>
      </w:r>
      <w:r>
        <w:rPr>
          <w:rFonts w:hint="eastAsia" w:ascii="宋体" w:hAnsi="宋体" w:cs="Times New Roman"/>
          <w:color w:val="auto"/>
          <w:sz w:val="24"/>
          <w:szCs w:val="24"/>
          <w:highlight w:val="none"/>
        </w:rPr>
        <w:t xml:space="preserve">人无需递交纸质投标文件至现场，</w:t>
      </w:r>
      <w:r>
        <w:rPr>
          <w:rFonts w:hint="eastAsia" w:ascii="宋体" w:hAnsi="宋体" w:cs="Times New Roman"/>
          <w:b/>
          <w:color w:val="auto"/>
          <w:sz w:val="24"/>
          <w:szCs w:val="24"/>
          <w:highlight w:val="none"/>
        </w:rPr>
        <w:t xml:space="preserve">中标后中标供应商向</w:t>
      </w:r>
      <w:r>
        <w:rPr>
          <w:rFonts w:hint="eastAsia" w:ascii="宋体" w:hAnsi="宋体" w:eastAsia="宋体" w:cs="Times New Roman"/>
          <w:b/>
          <w:color w:val="auto"/>
          <w:sz w:val="24"/>
          <w:szCs w:val="24"/>
          <w:highlight w:val="none"/>
        </w:rPr>
        <w:t xml:space="preserve">采购代理机构</w:t>
      </w:r>
      <w:r>
        <w:rPr>
          <w:rFonts w:hint="eastAsia" w:ascii="宋体" w:hAnsi="宋体" w:cs="Times New Roman"/>
          <w:b/>
          <w:color w:val="auto"/>
          <w:sz w:val="24"/>
          <w:szCs w:val="24"/>
          <w:highlight w:val="none"/>
        </w:rPr>
        <w:t xml:space="preserve">提供与电子投标文件完全一致的纸质投标文件（</w:t>
      </w:r>
      <w:r>
        <w:rPr>
          <w:rFonts w:hint="eastAsia" w:ascii="宋体" w:hAnsi="宋体" w:cs="Times New Roman"/>
          <w:b/>
          <w:color w:val="auto"/>
          <w:sz w:val="24"/>
          <w:szCs w:val="24"/>
          <w:highlight w:val="none"/>
          <w:lang w:val="en-US" w:eastAsia="zh-CN"/>
        </w:rPr>
        <w:t xml:space="preserve">3</w:t>
      </w:r>
      <w:r>
        <w:rPr>
          <w:rFonts w:hint="eastAsia" w:ascii="宋体" w:hAnsi="宋体" w:cs="Times New Roman"/>
          <w:b/>
          <w:color w:val="auto"/>
          <w:sz w:val="24"/>
          <w:szCs w:val="24"/>
          <w:highlight w:val="none"/>
        </w:rPr>
        <w:t xml:space="preserve">份：一正、</w:t>
      </w:r>
      <w:r>
        <w:rPr>
          <w:rFonts w:hint="eastAsia" w:ascii="宋体" w:hAnsi="宋体" w:cs="Times New Roman"/>
          <w:b/>
          <w:color w:val="auto"/>
          <w:sz w:val="24"/>
          <w:szCs w:val="24"/>
          <w:highlight w:val="none"/>
          <w:lang w:val="en-US" w:eastAsia="zh-CN"/>
        </w:rPr>
        <w:t xml:space="preserve">二</w:t>
      </w:r>
      <w:r>
        <w:rPr>
          <w:rFonts w:hint="eastAsia" w:ascii="宋体" w:hAnsi="宋体" w:cs="Times New Roman"/>
          <w:b/>
          <w:color w:val="auto"/>
          <w:sz w:val="24"/>
          <w:szCs w:val="24"/>
          <w:highlight w:val="none"/>
        </w:rPr>
        <w:t xml:space="preserve">副）。</w:t>
      </w:r>
      <w:r/>
    </w:p>
    <w:p>
      <w:pPr>
        <w:ind w:firstLine="720"/>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cs="Times New Roman"/>
          <w:color w:val="auto"/>
          <w:sz w:val="24"/>
          <w:szCs w:val="24"/>
          <w:highlight w:val="none"/>
        </w:rPr>
        <w:t xml:space="preserve">）供应商请仔细阅读供应商注册流程和招标文件中关于电子开评标等相关事项，如有问题可发送邮件或电话咨询。</w:t>
      </w:r>
      <w:r/>
    </w:p>
    <w:p>
      <w:pPr>
        <w:ind w:firstLine="720"/>
        <w:spacing w:line="360" w:lineRule="exact"/>
        <w:widowControl/>
        <w:rPr>
          <w:rFonts w:hint="eastAsia" w:ascii="宋体" w:hAnsi="宋体"/>
          <w:bCs/>
          <w:color w:val="auto"/>
          <w:sz w:val="24"/>
          <w:szCs w:val="24"/>
          <w:highlight w:val="none"/>
          <w:lang w:eastAsia="zh-CN"/>
        </w:rPr>
      </w:pPr>
      <w:r>
        <w:rPr>
          <w:rFonts w:hint="eastAsia" w:ascii="宋体" w:hAnsi="宋体" w:eastAsia="宋体" w:cs="宋体"/>
          <w:color w:val="auto"/>
          <w:sz w:val="24"/>
          <w:szCs w:val="24"/>
          <w:highlight w:val="none"/>
        </w:rPr>
        <w:t xml:space="preserve">4）本招标文件中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480"/>
        <w:spacing w:line="360" w:lineRule="exact"/>
        <w:widowControl/>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r>
      <w:r/>
    </w:p>
    <w:p>
      <w:pPr>
        <w:jc w:val="both"/>
        <w:spacing w:line="360" w:lineRule="auto"/>
        <w:rPr>
          <w:rFonts w:hAnsi="宋体"/>
          <w:b/>
          <w:color w:val="auto"/>
          <w:sz w:val="44"/>
          <w:szCs w:val="44"/>
        </w:rPr>
        <w:sectPr>
          <w:footerReference w:type="default" r:id="rId12"/>
          <w:footnotePr/>
          <w:endnotePr/>
          <w:type w:val="nextPage"/>
          <w:pgSz w:w="11906" w:h="16838" w:orient="portrait"/>
          <w:pgMar w:top="1701" w:right="1286" w:bottom="1701" w:left="1440" w:header="851" w:footer="992" w:gutter="0"/>
          <w:pgNumType w:start="1"/>
          <w:cols w:num="1" w:sep="0" w:space="1701" w:equalWidth="1"/>
          <w:docGrid w:linePitch="360"/>
        </w:sectPr>
      </w:pPr>
      <w:r>
        <w:rPr>
          <w:rFonts w:hAnsi="宋体"/>
          <w:b/>
          <w:color w:val="auto"/>
          <w:sz w:val="44"/>
          <w:szCs w:val="44"/>
        </w:rPr>
      </w:r>
      <w:r/>
    </w:p>
    <w:p>
      <w:pPr>
        <w:jc w:val="center"/>
        <w:spacing w:line="360" w:lineRule="auto"/>
        <w:rPr>
          <w:rFonts w:hAnsi="宋体"/>
          <w:b/>
          <w:color w:val="auto"/>
          <w:sz w:val="44"/>
          <w:szCs w:val="44"/>
        </w:rPr>
        <w:outlineLvl w:val="0"/>
      </w:pPr>
      <w:r>
        <w:rPr>
          <w:rFonts w:hint="eastAsia" w:ascii="黑体" w:eastAsia="黑体"/>
          <w:bCs/>
          <w:color w:val="auto"/>
          <w:sz w:val="28"/>
          <w:szCs w:val="28"/>
        </w:rPr>
        <w:t xml:space="preserve">第二章  投标人须知</w:t>
      </w:r>
      <w:r/>
    </w:p>
    <w:p>
      <w:pPr>
        <w:pStyle w:val="924"/>
        <w:ind w:firstLine="452"/>
        <w:keepLines w:val="0"/>
        <w:keepNext w:val="0"/>
        <w:spacing w:before="0" w:after="0" w:line="360" w:lineRule="auto"/>
        <w:rPr>
          <w:color w:val="auto"/>
          <w:sz w:val="30"/>
          <w:szCs w:val="30"/>
          <w:highlight w:val="none"/>
          <w:lang w:eastAsia="zh-CN"/>
        </w:rPr>
      </w:pPr>
      <w:r/>
      <w:bookmarkStart w:id="0" w:name="_Toc20823275"/>
      <w:r/>
      <w:bookmarkStart w:id="1" w:name="_Toc120614214"/>
      <w:r/>
      <w:bookmarkStart w:id="2" w:name="_Toc16938519"/>
      <w:r/>
      <w:bookmarkStart w:id="3" w:name="_Toc513029203"/>
      <w:r>
        <w:rPr>
          <w:rFonts w:hint="eastAsia"/>
          <w:color w:val="auto"/>
          <w:sz w:val="30"/>
          <w:szCs w:val="30"/>
          <w:highlight w:val="none"/>
          <w:lang w:eastAsia="zh-CN"/>
        </w:rPr>
        <w:t xml:space="preserve">一、总则</w:t>
      </w:r>
      <w:bookmarkEnd w:id="0"/>
      <w:r/>
      <w:bookmarkEnd w:id="1"/>
      <w:r/>
      <w:bookmarkEnd w:id="2"/>
      <w:r/>
      <w:bookmarkEnd w:id="3"/>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4" w:name="_Hlt16619475"/>
      <w:r/>
      <w:bookmarkEnd w:id="4"/>
      <w:r/>
      <w:bookmarkStart w:id="5" w:name="_Toc16938520"/>
      <w:r/>
      <w:bookmarkStart w:id="6" w:name="_Toc513029204"/>
      <w:r/>
      <w:bookmarkStart w:id="7" w:name="_Toc20823276"/>
      <w:r>
        <w:rPr>
          <w:rFonts w:hint="eastAsia" w:ascii="宋体" w:hAnsi="宋体" w:eastAsia="宋体"/>
          <w:bCs w:val="0"/>
          <w:color w:val="auto"/>
          <w:highlight w:val="none"/>
          <w:lang w:eastAsia="zh-CN"/>
        </w:rPr>
        <w:t xml:space="preserve">1.招标方式</w:t>
      </w:r>
      <w:bookmarkEnd w:id="5"/>
      <w:r/>
      <w:bookmarkEnd w:id="6"/>
      <w:r/>
      <w:bookmarkEnd w:id="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8" w:name="_Toc16938521"/>
      <w:r/>
      <w:bookmarkStart w:id="9" w:name="_Toc20823277"/>
      <w:r/>
      <w:bookmarkStart w:id="10" w:name="_Toc513029205"/>
      <w:r>
        <w:rPr>
          <w:rFonts w:hint="eastAsia" w:ascii="宋体" w:hAnsi="宋体" w:eastAsia="宋体"/>
          <w:bCs w:val="0"/>
          <w:color w:val="auto"/>
          <w:highlight w:val="none"/>
          <w:lang w:eastAsia="zh-CN"/>
        </w:rPr>
        <w:t xml:space="preserve">2.</w:t>
      </w:r>
      <w:bookmarkEnd w:id="8"/>
      <w:r/>
      <w:bookmarkEnd w:id="9"/>
      <w:r/>
      <w:bookmarkEnd w:id="10"/>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1" w:name="_Toc20823278"/>
      <w:r/>
      <w:bookmarkStart w:id="12" w:name="_Toc16938522"/>
      <w:r/>
      <w:bookmarkStart w:id="13" w:name="_Toc513029206"/>
      <w:r>
        <w:rPr>
          <w:rFonts w:hint="eastAsia" w:ascii="宋体" w:hAnsi="宋体" w:eastAsia="宋体"/>
          <w:bCs w:val="0"/>
          <w:color w:val="auto"/>
          <w:highlight w:val="none"/>
          <w:lang w:eastAsia="zh-CN"/>
        </w:rPr>
        <w:t xml:space="preserve">3.适用法律</w:t>
      </w:r>
      <w:bookmarkEnd w:id="11"/>
      <w:r/>
      <w:bookmarkEnd w:id="12"/>
      <w:r/>
      <w:bookmarkEnd w:id="1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513029207"/>
      <w:r/>
      <w:bookmarkStart w:id="15" w:name="_Toc462564067"/>
      <w:r/>
      <w:bookmarkStart w:id="16" w:name="_Toc16938523"/>
      <w:r/>
      <w:bookmarkStart w:id="17" w:name="_Toc20823279"/>
      <w:r>
        <w:rPr>
          <w:rFonts w:hint="eastAsia" w:ascii="宋体" w:hAnsi="宋体" w:eastAsia="宋体"/>
          <w:bCs w:val="0"/>
          <w:color w:val="auto"/>
          <w:highlight w:val="none"/>
          <w:lang w:eastAsia="zh-CN"/>
        </w:rPr>
        <w:t xml:space="preserve">4.投标费用</w:t>
      </w:r>
      <w:bookmarkEnd w:id="14"/>
      <w:r/>
      <w:bookmarkEnd w:id="15"/>
      <w:r/>
      <w:bookmarkEnd w:id="16"/>
      <w:r/>
      <w:bookmarkEnd w:id="17"/>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hAnsi="宋体"/>
          <w:color w:val="auto"/>
          <w:sz w:val="24"/>
          <w:highlight w:val="none"/>
          <w:lang w:val="en-US" w:eastAsia="zh-CN"/>
        </w:rPr>
        <w:t xml:space="preserve">江苏博智工程咨询有限公司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strike/>
          <w:color w:val="auto"/>
          <w:sz w:val="24"/>
          <w:highlight w:val="none"/>
        </w:rPr>
      </w:pPr>
      <w:r>
        <w:rPr>
          <w:rFonts w:hint="eastAsia" w:ascii="宋体" w:hAnsi="宋体"/>
          <w:color w:val="auto"/>
          <w:sz w:val="24"/>
          <w:highlight w:val="none"/>
        </w:rPr>
        <w:t xml:space="preserve">4.2本项目采购代理服务费由</w:t>
      </w:r>
      <w:r>
        <w:rPr>
          <w:rFonts w:hint="eastAsia" w:hAnsi="宋体"/>
          <w:color w:val="auto"/>
          <w:sz w:val="24"/>
          <w:highlight w:val="none"/>
          <w:lang w:val="en-US" w:eastAsia="zh-CN"/>
        </w:rPr>
        <w:t xml:space="preserve">中标人</w:t>
      </w:r>
      <w:r>
        <w:rPr>
          <w:rFonts w:hint="eastAsia" w:ascii="宋体" w:hAnsi="宋体"/>
          <w:color w:val="auto"/>
          <w:sz w:val="24"/>
          <w:highlight w:val="none"/>
        </w:rPr>
        <w:t xml:space="preserve">支付。</w:t>
      </w:r>
      <w:r>
        <w:rPr>
          <w:rFonts w:hint="eastAsia" w:ascii="宋体" w:hAnsi="宋体" w:eastAsia="宋体" w:cs="Times New Roman"/>
          <w:bCs/>
          <w:color w:val="auto"/>
          <w:sz w:val="24"/>
          <w:szCs w:val="21"/>
          <w:highlight w:val="none"/>
          <w:lang w:eastAsia="zh-CN"/>
        </w:rPr>
        <w:t xml:space="preserve">按下列费率打6.4折计取：100万元以下1.5%,100万-500万1.1%</w:t>
      </w:r>
      <w:r>
        <w:rPr>
          <w:rFonts w:hint="eastAsia" w:ascii="宋体" w:hAnsi="宋体" w:eastAsia="宋体" w:cs="Times New Roman"/>
          <w:bCs/>
          <w:color w:val="auto"/>
          <w:sz w:val="24"/>
          <w:szCs w:val="21"/>
          <w:highlight w:val="none"/>
        </w:rPr>
        <w:t xml:space="preserve">。</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24"/>
        <w:ind w:firstLine="452"/>
        <w:keepLines w:val="0"/>
        <w:keepNext w:val="0"/>
        <w:spacing w:before="0" w:after="0" w:line="360" w:lineRule="auto"/>
        <w:rPr>
          <w:color w:val="auto"/>
          <w:sz w:val="30"/>
          <w:szCs w:val="30"/>
          <w:highlight w:val="none"/>
          <w:lang w:eastAsia="zh-CN"/>
        </w:rPr>
      </w:pPr>
      <w:r/>
      <w:bookmarkStart w:id="18" w:name="_Toc120614215"/>
      <w:r/>
      <w:bookmarkStart w:id="19" w:name="_Toc20823281"/>
      <w:r/>
      <w:bookmarkStart w:id="20" w:name="_Toc16938525"/>
      <w:r/>
      <w:bookmarkStart w:id="21" w:name="_Toc513029209"/>
      <w:r>
        <w:rPr>
          <w:rFonts w:hint="eastAsia"/>
          <w:color w:val="auto"/>
          <w:sz w:val="30"/>
          <w:szCs w:val="30"/>
          <w:highlight w:val="none"/>
          <w:lang w:eastAsia="zh-CN"/>
        </w:rPr>
        <w:t xml:space="preserve">二、招标文件</w:t>
      </w:r>
      <w:bookmarkEnd w:id="18"/>
      <w:r/>
      <w:bookmarkEnd w:id="19"/>
      <w:r/>
      <w:bookmarkEnd w:id="20"/>
      <w:r/>
      <w:bookmarkEnd w:id="21"/>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22" w:name="_Toc513029210"/>
      <w:r/>
      <w:bookmarkStart w:id="23" w:name="_Toc16938526"/>
      <w:r/>
      <w:bookmarkStart w:id="24" w:name="_Toc20823282"/>
      <w:r>
        <w:rPr>
          <w:rFonts w:hint="eastAsia" w:ascii="宋体" w:hAnsi="宋体" w:eastAsia="宋体"/>
          <w:bCs w:val="0"/>
          <w:color w:val="auto"/>
          <w:highlight w:val="none"/>
          <w:lang w:eastAsia="zh-CN"/>
        </w:rPr>
        <w:t xml:space="preserve">6.招标文件构成</w:t>
      </w:r>
      <w:bookmarkEnd w:id="22"/>
      <w:r/>
      <w:bookmarkEnd w:id="23"/>
      <w:r/>
      <w:bookmarkEnd w:id="2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hAnsi="宋体"/>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25" w:name="_Toc462564070"/>
      <w:r/>
      <w:bookmarkStart w:id="26" w:name="_Toc16938527"/>
      <w:r/>
      <w:bookmarkStart w:id="27" w:name="_Toc20823283"/>
      <w:r/>
      <w:bookmarkStart w:id="28" w:name="_Toc513029211"/>
      <w:r>
        <w:rPr>
          <w:rFonts w:hint="eastAsia" w:ascii="宋体" w:hAnsi="宋体" w:eastAsia="宋体"/>
          <w:bCs w:val="0"/>
          <w:color w:val="auto"/>
          <w:highlight w:val="none"/>
          <w:lang w:eastAsia="zh-CN"/>
        </w:rPr>
        <w:t xml:space="preserve">7.招标文件的澄清</w:t>
      </w:r>
      <w:bookmarkEnd w:id="25"/>
      <w:r/>
      <w:bookmarkEnd w:id="26"/>
      <w:r/>
      <w:bookmarkEnd w:id="27"/>
      <w:r/>
      <w:bookmarkEnd w:id="28"/>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29" w:name="_Toc462564071"/>
      <w:r/>
      <w:bookmarkStart w:id="30" w:name="_Toc16938528"/>
      <w:r/>
      <w:bookmarkStart w:id="31" w:name="_Toc513029212"/>
      <w:r/>
      <w:bookmarkStart w:id="32" w:name="_Toc20823284"/>
      <w:r>
        <w:rPr>
          <w:rFonts w:hint="eastAsia" w:ascii="宋体" w:hAnsi="宋体" w:eastAsia="宋体"/>
          <w:bCs w:val="0"/>
          <w:color w:val="auto"/>
          <w:highlight w:val="none"/>
          <w:lang w:eastAsia="zh-CN"/>
        </w:rPr>
        <w:t xml:space="preserve">8.招标文件的修改</w:t>
      </w:r>
      <w:bookmarkEnd w:id="29"/>
      <w:r/>
      <w:bookmarkEnd w:id="30"/>
      <w:r/>
      <w:bookmarkEnd w:id="31"/>
      <w:r/>
      <w:bookmarkEnd w:id="32"/>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4"/>
        <w:ind w:firstLine="452"/>
        <w:keepLines w:val="0"/>
        <w:keepNext w:val="0"/>
        <w:spacing w:before="0" w:after="0" w:line="360" w:lineRule="auto"/>
        <w:rPr>
          <w:color w:val="auto"/>
          <w:sz w:val="30"/>
          <w:szCs w:val="30"/>
          <w:highlight w:val="none"/>
          <w:lang w:eastAsia="zh-CN"/>
        </w:rPr>
      </w:pPr>
      <w:r/>
      <w:bookmarkStart w:id="33" w:name="_Toc462564072"/>
      <w:r/>
      <w:bookmarkStart w:id="34" w:name="_Toc513029213"/>
      <w:r/>
      <w:bookmarkStart w:id="35" w:name="_Toc20823285"/>
      <w:r/>
      <w:bookmarkStart w:id="36" w:name="_Toc16938529"/>
      <w:r/>
      <w:bookmarkStart w:id="37" w:name="_Toc120614216"/>
      <w:r>
        <w:rPr>
          <w:rFonts w:hint="eastAsia"/>
          <w:color w:val="auto"/>
          <w:sz w:val="30"/>
          <w:szCs w:val="30"/>
          <w:highlight w:val="none"/>
          <w:lang w:eastAsia="zh-CN"/>
        </w:rPr>
        <w:t xml:space="preserve">三、投标文件的编制</w:t>
      </w:r>
      <w:bookmarkEnd w:id="33"/>
      <w:r/>
      <w:bookmarkEnd w:id="34"/>
      <w:r/>
      <w:bookmarkEnd w:id="35"/>
      <w:r/>
      <w:bookmarkEnd w:id="36"/>
      <w:r/>
      <w:bookmarkEnd w:id="37"/>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38" w:name="_Toc16938530"/>
      <w:r/>
      <w:bookmarkStart w:id="39" w:name="_Toc20823286"/>
      <w:r/>
      <w:bookmarkStart w:id="40" w:name="_Toc462564073"/>
      <w:r/>
      <w:bookmarkStart w:id="41" w:name="_Toc513029214"/>
      <w:r>
        <w:rPr>
          <w:rFonts w:hint="eastAsia" w:ascii="宋体" w:hAnsi="宋体" w:eastAsia="宋体"/>
          <w:bCs w:val="0"/>
          <w:color w:val="auto"/>
          <w:highlight w:val="none"/>
          <w:lang w:eastAsia="zh-CN"/>
        </w:rPr>
        <w:t xml:space="preserve">9.投标文件的语言及度量衡单位</w:t>
      </w:r>
      <w:bookmarkEnd w:id="38"/>
      <w:r/>
      <w:bookmarkEnd w:id="39"/>
      <w:r/>
      <w:bookmarkEnd w:id="40"/>
      <w:r/>
      <w:bookmarkEnd w:id="41"/>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42" w:name="_Toc20823287"/>
      <w:r/>
      <w:bookmarkStart w:id="43" w:name="_Toc462564074"/>
      <w:r/>
      <w:bookmarkStart w:id="44" w:name="_Toc16938531"/>
      <w:r/>
      <w:bookmarkStart w:id="45" w:name="_Toc513029215"/>
      <w:r>
        <w:rPr>
          <w:rFonts w:hint="eastAsia" w:ascii="宋体" w:hAnsi="宋体" w:eastAsia="宋体"/>
          <w:bCs w:val="0"/>
          <w:color w:val="auto"/>
          <w:highlight w:val="none"/>
          <w:lang w:eastAsia="zh-CN"/>
        </w:rPr>
        <w:t xml:space="preserve">10.投标文件构成</w:t>
      </w:r>
      <w:bookmarkEnd w:id="42"/>
      <w:r/>
      <w:bookmarkEnd w:id="43"/>
      <w:r/>
      <w:bookmarkEnd w:id="44"/>
      <w:r/>
      <w:bookmarkEnd w:id="4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46" w:name="_Hlt26668975"/>
      <w:r/>
      <w:bookmarkEnd w:id="46"/>
      <w:r/>
      <w:bookmarkStart w:id="47" w:name="_Hlt26954838"/>
      <w:r/>
      <w:bookmarkEnd w:id="47"/>
      <w:r/>
      <w:bookmarkStart w:id="48" w:name="_Hlt26670360"/>
      <w:r/>
      <w:bookmarkEnd w:id="48"/>
      <w:r/>
      <w:bookmarkStart w:id="49" w:name="_Toc14577354"/>
      <w:r/>
      <w:bookmarkStart w:id="50" w:name="_Toc49090509"/>
      <w:r/>
      <w:bookmarkStart w:id="51" w:name="_Toc513029219"/>
      <w:r/>
      <w:bookmarkStart w:id="52" w:name="_Toc14577357"/>
      <w:r/>
      <w:bookmarkStart w:id="53" w:name="_Toc513029216"/>
      <w:r/>
      <w:bookmarkStart w:id="54" w:name="_Toc49090507"/>
      <w:r>
        <w:rPr>
          <w:rFonts w:hint="eastAsia" w:ascii="宋体" w:hAnsi="宋体" w:eastAsia="宋体"/>
          <w:bCs w:val="0"/>
          <w:color w:val="auto"/>
          <w:highlight w:val="none"/>
          <w:lang w:eastAsia="zh-CN"/>
        </w:rPr>
        <w:t xml:space="preserve">11.证明投标人及投标标的符合招标文件规定的文件</w:t>
      </w:r>
      <w:bookmarkEnd w:id="49"/>
      <w:r/>
      <w:bookmarkEnd w:id="50"/>
      <w:r/>
      <w:bookmarkEnd w:id="51"/>
      <w:r/>
      <w:bookmarkEnd w:id="52"/>
      <w:r/>
      <w:bookmarkEnd w:id="53"/>
      <w:r/>
      <w:bookmarkEnd w:id="54"/>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55" w:name="_Toc14577359"/>
      <w:r/>
      <w:bookmarkStart w:id="56"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55"/>
      <w:r/>
      <w:bookmarkEnd w:id="56"/>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13.分项报价表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57" w:name="_Hlt26954840"/>
      <w:r/>
      <w:bookmarkEnd w:id="57"/>
      <w:r>
        <w:rPr>
          <w:rFonts w:hint="eastAsia" w:ascii="宋体" w:hAnsi="宋体"/>
          <w:color w:val="auto"/>
          <w:sz w:val="24"/>
          <w:highlight w:val="none"/>
        </w:rPr>
        <w:t xml:space="preserve">标人应按照招标文件规定格式填报</w:t>
      </w:r>
      <w:bookmarkStart w:id="58" w:name="_Hlt26670399"/>
      <w:r/>
      <w:bookmarkEnd w:id="58"/>
      <w:r>
        <w:rPr>
          <w:rFonts w:hint="eastAsia" w:ascii="宋体" w:hAnsi="宋体"/>
          <w:color w:val="auto"/>
          <w:sz w:val="24"/>
          <w:highlight w:val="none"/>
        </w:rPr>
        <w:t xml:space="preserve">分项报价表。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59" w:name="_Hlt26670482"/>
      <w:r/>
      <w:bookmarkEnd w:id="59"/>
      <w:r/>
      <w:bookmarkStart w:id="60" w:name="_Hlt26670425"/>
      <w:r/>
      <w:bookmarkEnd w:id="60"/>
      <w:r/>
      <w:bookmarkStart w:id="61" w:name="_Hlt26954731"/>
      <w:r/>
      <w:bookmarkEnd w:id="61"/>
      <w:r/>
      <w:bookmarkStart w:id="62" w:name="_Hlt26954846"/>
      <w:r/>
      <w:bookmarkEnd w:id="62"/>
      <w:r/>
      <w:bookmarkStart w:id="63" w:name="_Hlt26670403"/>
      <w:r/>
      <w:bookmarkEnd w:id="63"/>
      <w:r/>
      <w:bookmarkStart w:id="64" w:name="_Hlt26954848"/>
      <w:r/>
      <w:bookmarkEnd w:id="64"/>
      <w:r/>
      <w:bookmarkStart w:id="65" w:name="_Hlt26670486"/>
      <w:r/>
      <w:bookmarkEnd w:id="65"/>
      <w:r/>
      <w:bookmarkStart w:id="66" w:name="_Hlt26668983"/>
      <w:r/>
      <w:bookmarkEnd w:id="66"/>
      <w:r/>
      <w:bookmarkStart w:id="67" w:name="_Hlt26954844"/>
      <w:r/>
      <w:bookmarkEnd w:id="67"/>
      <w:r/>
      <w:bookmarkStart w:id="68" w:name="_Hlt26954842"/>
      <w:r/>
      <w:bookmarkEnd w:id="68"/>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360" w:lineRule="auto"/>
        <w:widowControl w:val="off"/>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69" w:name="_Hlt26670489"/>
      <w:r/>
      <w:bookmarkEnd w:id="69"/>
      <w:r/>
      <w:bookmarkStart w:id="70" w:name="_Hlt26954850"/>
      <w:r/>
      <w:bookmarkEnd w:id="70"/>
      <w:r/>
      <w:bookmarkStart w:id="71" w:name="_Hlt26954734"/>
      <w:r/>
      <w:bookmarkEnd w:id="71"/>
      <w:r/>
      <w:bookmarkStart w:id="72" w:name="_Toc49090511"/>
      <w:r/>
      <w:bookmarkStart w:id="73" w:name="_Toc14577360"/>
      <w:r>
        <w:rPr>
          <w:rFonts w:hint="eastAsia" w:ascii="宋体" w:hAnsi="宋体" w:eastAsia="宋体"/>
          <w:bCs w:val="0"/>
          <w:color w:val="auto"/>
          <w:highlight w:val="none"/>
          <w:lang w:eastAsia="zh-CN"/>
        </w:rPr>
        <w:t xml:space="preserve">15.投标有效期</w:t>
      </w:r>
      <w:bookmarkEnd w:id="72"/>
      <w:r/>
      <w:bookmarkEnd w:id="73"/>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4"/>
        <w:ind w:firstLine="452"/>
        <w:keepLines w:val="0"/>
        <w:keepNext w:val="0"/>
        <w:spacing w:before="0" w:after="0" w:line="360" w:lineRule="auto"/>
        <w:rPr>
          <w:color w:val="auto"/>
          <w:sz w:val="30"/>
          <w:szCs w:val="30"/>
          <w:highlight w:val="none"/>
          <w:lang w:eastAsia="zh-CN"/>
        </w:rPr>
      </w:pPr>
      <w:r/>
      <w:bookmarkStart w:id="74" w:name="_Hlt26954739"/>
      <w:r/>
      <w:bookmarkEnd w:id="74"/>
      <w:r/>
      <w:bookmarkStart w:id="75" w:name="_Hlt26954852"/>
      <w:r/>
      <w:bookmarkEnd w:id="75"/>
      <w:r/>
      <w:bookmarkStart w:id="76" w:name="_Toc16938540"/>
      <w:r/>
      <w:bookmarkStart w:id="77" w:name="_Toc513029224"/>
      <w:r/>
      <w:bookmarkStart w:id="78" w:name="_Toc120614217"/>
      <w:r/>
      <w:bookmarkStart w:id="79" w:name="_Toc20823296"/>
      <w:r>
        <w:rPr>
          <w:rFonts w:hint="eastAsia"/>
          <w:color w:val="auto"/>
          <w:sz w:val="30"/>
          <w:szCs w:val="30"/>
          <w:highlight w:val="none"/>
          <w:lang w:eastAsia="zh-CN"/>
        </w:rPr>
        <w:t xml:space="preserve">四、投标文件的递交</w:t>
      </w:r>
      <w:bookmarkEnd w:id="76"/>
      <w:r/>
      <w:bookmarkEnd w:id="77"/>
      <w:r/>
      <w:bookmarkEnd w:id="78"/>
      <w:r/>
      <w:bookmarkEnd w:id="79"/>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80" w:name="_Toc513029225"/>
      <w:r/>
      <w:bookmarkStart w:id="81" w:name="_Toc20823297"/>
      <w:r/>
      <w:bookmarkStart w:id="82" w:name="_Toc16938541"/>
      <w:r/>
      <w:bookmarkStart w:id="83" w:name="_Toc462564084"/>
      <w:r>
        <w:rPr>
          <w:rFonts w:hint="eastAsia" w:ascii="宋体" w:hAnsi="宋体" w:eastAsia="宋体"/>
          <w:bCs w:val="0"/>
          <w:color w:val="auto"/>
          <w:highlight w:val="none"/>
          <w:lang w:eastAsia="zh-CN"/>
        </w:rPr>
        <w:t xml:space="preserve">17.投标文件</w:t>
      </w:r>
      <w:bookmarkEnd w:id="80"/>
      <w:r/>
      <w:bookmarkEnd w:id="81"/>
      <w:r/>
      <w:bookmarkEnd w:id="82"/>
      <w:r/>
      <w:bookmarkEnd w:id="83"/>
      <w:r>
        <w:rPr>
          <w:rFonts w:hint="eastAsia" w:ascii="宋体" w:hAnsi="宋体" w:eastAsia="宋体"/>
          <w:bCs w:val="0"/>
          <w:color w:val="auto"/>
          <w:highlight w:val="none"/>
          <w:lang w:eastAsia="zh-CN"/>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27"/>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84" w:name="_Toc16938542"/>
      <w:r/>
      <w:bookmarkStart w:id="85" w:name="_Toc513029226"/>
      <w:r/>
      <w:bookmarkStart w:id="86" w:name="_Toc20823298"/>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84"/>
      <w:r/>
      <w:bookmarkEnd w:id="85"/>
      <w:r/>
      <w:bookmarkEnd w:id="86"/>
      <w:r>
        <w:rPr>
          <w:rFonts w:hint="eastAsia" w:ascii="宋体" w:hAnsi="宋体" w:eastAsia="宋体"/>
          <w:bCs w:val="0"/>
          <w:color w:val="auto"/>
          <w:highlight w:val="none"/>
          <w:lang w:eastAsia="zh-CN"/>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87" w:name="_Toc513029227"/>
      <w:r/>
      <w:bookmarkStart w:id="88" w:name="_Toc20823299"/>
      <w:r/>
      <w:bookmarkStart w:id="89" w:name="_Toc16938543"/>
      <w:r>
        <w:rPr>
          <w:rFonts w:hint="eastAsia" w:ascii="宋体" w:hAnsi="宋体" w:eastAsia="宋体"/>
          <w:bCs w:val="0"/>
          <w:color w:val="auto"/>
          <w:highlight w:val="none"/>
          <w:lang w:eastAsia="zh-CN"/>
        </w:rPr>
        <w:t xml:space="preserve">19.投标文件</w:t>
      </w:r>
      <w:bookmarkEnd w:id="87"/>
      <w:r/>
      <w:bookmarkEnd w:id="88"/>
      <w:r/>
      <w:bookmarkEnd w:id="89"/>
      <w:r>
        <w:rPr>
          <w:rFonts w:hint="eastAsia" w:ascii="宋体" w:hAnsi="宋体" w:eastAsia="宋体"/>
          <w:bCs w:val="0"/>
          <w:color w:val="auto"/>
          <w:highlight w:val="none"/>
          <w:lang w:eastAsia="zh-CN"/>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90" w:name="_Toc513029228"/>
      <w:r/>
      <w:bookmarkStart w:id="91" w:name="_Toc20823300"/>
      <w:r/>
      <w:bookmarkStart w:id="92" w:name="_Toc16938544"/>
      <w:r>
        <w:rPr>
          <w:rFonts w:hint="eastAsia" w:ascii="宋体" w:hAnsi="宋体" w:eastAsia="宋体"/>
          <w:bCs w:val="0"/>
          <w:color w:val="auto"/>
          <w:highlight w:val="none"/>
          <w:lang w:eastAsia="zh-CN"/>
        </w:rPr>
        <w:t xml:space="preserve">20.投标文件的撤回和修改</w:t>
      </w:r>
      <w:bookmarkEnd w:id="90"/>
      <w:r/>
      <w:bookmarkEnd w:id="91"/>
      <w:r/>
      <w:bookmarkEnd w:id="9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24"/>
        <w:ind w:firstLine="452"/>
        <w:keepLines w:val="0"/>
        <w:keepNext w:val="0"/>
        <w:spacing w:before="0" w:after="0" w:line="360" w:lineRule="auto"/>
        <w:rPr>
          <w:color w:val="auto"/>
          <w:sz w:val="30"/>
          <w:szCs w:val="30"/>
          <w:highlight w:val="none"/>
          <w:lang w:eastAsia="zh-CN"/>
        </w:rPr>
      </w:pPr>
      <w:r/>
      <w:bookmarkStart w:id="93" w:name="_Toc513029229"/>
      <w:r/>
      <w:bookmarkStart w:id="94" w:name="_Toc20823301"/>
      <w:r/>
      <w:bookmarkStart w:id="95" w:name="_Toc16938545"/>
      <w:r/>
      <w:bookmarkStart w:id="96" w:name="_Toc120614218"/>
      <w:r>
        <w:rPr>
          <w:rFonts w:hint="eastAsia"/>
          <w:color w:val="auto"/>
          <w:sz w:val="30"/>
          <w:szCs w:val="30"/>
          <w:highlight w:val="none"/>
          <w:lang w:eastAsia="zh-CN"/>
        </w:rPr>
        <w:t xml:space="preserve">五、开标与评标</w:t>
      </w:r>
      <w:bookmarkEnd w:id="93"/>
      <w:r/>
      <w:bookmarkEnd w:id="94"/>
      <w:r/>
      <w:bookmarkEnd w:id="95"/>
      <w:r/>
      <w:bookmarkEnd w:id="96"/>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97" w:name="_Toc20823302"/>
      <w:r/>
      <w:bookmarkStart w:id="98" w:name="_Toc16938546"/>
      <w:r/>
      <w:bookmarkStart w:id="99" w:name="_Toc513029230"/>
      <w:r>
        <w:rPr>
          <w:rFonts w:hint="eastAsia" w:ascii="宋体" w:hAnsi="宋体" w:eastAsia="宋体"/>
          <w:bCs w:val="0"/>
          <w:color w:val="auto"/>
          <w:highlight w:val="none"/>
          <w:lang w:eastAsia="zh-CN"/>
        </w:rPr>
        <w:t xml:space="preserve">21.开标</w:t>
      </w:r>
      <w:bookmarkEnd w:id="97"/>
      <w:r/>
      <w:bookmarkEnd w:id="98"/>
      <w:r/>
      <w:bookmarkEnd w:id="99"/>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00" w:name="_Toc20823303"/>
      <w:r/>
      <w:bookmarkStart w:id="101" w:name="_Toc16938547"/>
      <w:r/>
      <w:bookmarkStart w:id="102"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0"/>
      <w:r/>
      <w:bookmarkEnd w:id="101"/>
      <w:r/>
      <w:bookmarkEnd w:id="10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03" w:name="_Toc513029232"/>
      <w:r/>
      <w:bookmarkStart w:id="104" w:name="_Toc16938548"/>
      <w:r/>
      <w:bookmarkStart w:id="105" w:name="_Toc20823304"/>
      <w:r>
        <w:rPr>
          <w:rFonts w:hint="eastAsia" w:ascii="宋体" w:hAnsi="宋体" w:eastAsia="宋体"/>
          <w:bCs w:val="0"/>
          <w:color w:val="auto"/>
          <w:highlight w:val="none"/>
          <w:lang w:eastAsia="zh-CN"/>
        </w:rPr>
        <w:t xml:space="preserve">24.投标文件的澄清</w:t>
      </w:r>
      <w:bookmarkEnd w:id="103"/>
      <w:r/>
      <w:bookmarkEnd w:id="104"/>
      <w:r/>
      <w:bookmarkEnd w:id="105"/>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06" w:name="_Toc513029233"/>
      <w:r/>
      <w:bookmarkStart w:id="107" w:name="_Toc16938549"/>
      <w:r/>
      <w:bookmarkStart w:id="108" w:name="_Toc20823305"/>
      <w:r>
        <w:rPr>
          <w:rFonts w:hint="eastAsia" w:ascii="宋体" w:hAnsi="宋体" w:eastAsia="宋体"/>
          <w:bCs w:val="0"/>
          <w:color w:val="auto"/>
          <w:highlight w:val="none"/>
          <w:lang w:eastAsia="zh-CN"/>
        </w:rPr>
        <w:t xml:space="preserve">25.对投标文件的初审</w:t>
      </w:r>
      <w:bookmarkEnd w:id="106"/>
      <w:r/>
      <w:bookmarkEnd w:id="107"/>
      <w:r/>
      <w:bookmarkEnd w:id="108"/>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09" w:name="_Toc513029234"/>
      <w:r/>
      <w:bookmarkStart w:id="110" w:name="_Toc16938550"/>
      <w:r/>
      <w:bookmarkStart w:id="111"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09"/>
      <w:r/>
      <w:bookmarkEnd w:id="110"/>
      <w:r/>
      <w:bookmarkEnd w:id="111"/>
      <w:r>
        <w:rPr>
          <w:rFonts w:hint="eastAsia" w:ascii="宋体" w:hAnsi="宋体" w:eastAsia="宋体"/>
          <w:bCs w:val="0"/>
          <w:color w:val="auto"/>
          <w:highlight w:val="none"/>
          <w:lang w:eastAsia="zh-CN"/>
        </w:rPr>
        <w:t xml:space="preserve">.无效投标条款和废标条款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hint="eastAsia"/>
          <w:color w:val="auto"/>
          <w:highlight w:val="none"/>
        </w:rPr>
        <w:fldChar w:fldCharType="begin"/>
      </w:r>
      <w:r>
        <w:rPr>
          <w:color w:val="auto"/>
          <w:highlight w:val="none"/>
        </w:rPr>
        <w:instrText xml:space="preserve"> HYPERLINK "http://www.creditchina.gov.cn" \o "http://www.creditchina.gov.cn" </w:instrText>
      </w:r>
      <w:r>
        <w:rPr>
          <w:rFonts w:hint="eastAsia"/>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360" w:lineRule="auto"/>
        <w:widowControl w:val="off"/>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26.1.23投标系统中不同投标人的MAC地址或标书制作工具客户端标识码一致的，其投标无效。IP地址一致的，评标委员会应要求投标供应商进行澄清说明，投标供应商如未按规定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澄清、说明和补正的，其投标无效（按规定</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澄清、说明和补正且经评标委员会一致认为不构成“视为投标人相互串通投标情形”的除外）。</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澄清、说明和补正的，其投标无效（按规定</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澄清、说明和补正且经评标委员会一致认为不构成“视为投标人相互串通投标情形”的除外）。</w:t>
      </w:r>
      <w:r/>
    </w:p>
    <w:p>
      <w:pPr>
        <w:ind w:firstLine="480"/>
        <w:keepLines w:val="0"/>
        <w:keepNext w:val="0"/>
        <w:pageBreakBefore w:val="0"/>
        <w:spacing w:line="360" w:lineRule="auto"/>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4"/>
        <w:ind w:firstLine="452"/>
        <w:keepLines w:val="0"/>
        <w:keepNext w:val="0"/>
        <w:spacing w:before="0" w:after="0" w:line="360" w:lineRule="auto"/>
        <w:rPr>
          <w:color w:val="auto"/>
          <w:sz w:val="30"/>
          <w:szCs w:val="30"/>
          <w:highlight w:val="none"/>
          <w:lang w:eastAsia="zh-CN"/>
        </w:rPr>
      </w:pPr>
      <w:r/>
      <w:bookmarkStart w:id="112" w:name="_Toc120614219"/>
      <w:r>
        <w:rPr>
          <w:rFonts w:hint="eastAsia"/>
          <w:color w:val="auto"/>
          <w:sz w:val="30"/>
          <w:szCs w:val="30"/>
          <w:highlight w:val="none"/>
          <w:lang w:eastAsia="zh-CN"/>
        </w:rPr>
        <w:t xml:space="preserve">六、定标</w:t>
      </w:r>
      <w:bookmarkEnd w:id="112"/>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13" w:name="_Toc513029238"/>
      <w:r/>
      <w:bookmarkStart w:id="114" w:name="_Toc16938554"/>
      <w:r/>
      <w:bookmarkStart w:id="115" w:name="_Toc20823310"/>
      <w:r>
        <w:rPr>
          <w:rFonts w:hint="eastAsia" w:ascii="宋体" w:hAnsi="宋体" w:eastAsia="宋体"/>
          <w:bCs w:val="0"/>
          <w:color w:val="auto"/>
          <w:highlight w:val="none"/>
          <w:lang w:eastAsia="zh-CN"/>
        </w:rPr>
        <w:t xml:space="preserve">27</w:t>
      </w:r>
      <w:bookmarkEnd w:id="113"/>
      <w:r>
        <w:rPr>
          <w:rFonts w:hint="eastAsia" w:ascii="宋体" w:hAnsi="宋体" w:eastAsia="宋体"/>
          <w:bCs w:val="0"/>
          <w:color w:val="auto"/>
          <w:highlight w:val="none"/>
          <w:lang w:eastAsia="zh-CN"/>
        </w:rPr>
        <w:t xml:space="preserve">.确定</w:t>
      </w:r>
      <w:bookmarkEnd w:id="114"/>
      <w:r/>
      <w:bookmarkEnd w:id="115"/>
      <w:r>
        <w:rPr>
          <w:rFonts w:hint="eastAsia" w:ascii="宋体" w:hAnsi="宋体" w:eastAsia="宋体"/>
          <w:bCs w:val="0"/>
          <w:color w:val="auto"/>
          <w:highlight w:val="none"/>
          <w:lang w:eastAsia="zh-CN"/>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27.5.4不同投标人的投标文件异常一致或者投标报价呈规律性差异。</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4"/>
        <w:ind w:firstLine="452"/>
        <w:keepLines w:val="0"/>
        <w:keepNext w:val="0"/>
        <w:spacing w:before="0" w:after="0" w:line="360" w:lineRule="auto"/>
        <w:rPr>
          <w:color w:val="auto"/>
          <w:sz w:val="30"/>
          <w:szCs w:val="30"/>
          <w:highlight w:val="none"/>
          <w:lang w:eastAsia="zh-CN"/>
        </w:rPr>
      </w:pPr>
      <w:r/>
      <w:bookmarkStart w:id="116" w:name="_Toc20823308"/>
      <w:r/>
      <w:bookmarkStart w:id="117" w:name="_Toc16938552"/>
      <w:r/>
      <w:bookmarkStart w:id="118" w:name="_Toc120614220"/>
      <w:r/>
      <w:bookmarkStart w:id="119" w:name="_Toc513029236"/>
      <w:r>
        <w:rPr>
          <w:rFonts w:hint="eastAsia"/>
          <w:color w:val="auto"/>
          <w:sz w:val="30"/>
          <w:szCs w:val="30"/>
          <w:highlight w:val="none"/>
          <w:lang w:eastAsia="zh-CN"/>
        </w:rPr>
        <w:t xml:space="preserve">七、授予合同</w:t>
      </w:r>
      <w:bookmarkEnd w:id="116"/>
      <w:r/>
      <w:bookmarkEnd w:id="117"/>
      <w:r/>
      <w:bookmarkEnd w:id="118"/>
      <w:r/>
      <w:bookmarkEnd w:id="119"/>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20" w:name="_Toc20823309"/>
      <w:r/>
      <w:bookmarkStart w:id="121" w:name="_Toc16938553"/>
      <w:r/>
      <w:bookmarkStart w:id="122" w:name="_Toc513029237"/>
      <w:r>
        <w:rPr>
          <w:rFonts w:hint="eastAsia" w:ascii="宋体" w:hAnsi="宋体" w:eastAsia="宋体"/>
          <w:bCs w:val="0"/>
          <w:color w:val="auto"/>
          <w:highlight w:val="none"/>
          <w:lang w:eastAsia="zh-CN"/>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bookmarkEnd w:id="120"/>
      <w:r/>
      <w:bookmarkEnd w:id="121"/>
      <w:r/>
      <w:bookmarkEnd w:id="122"/>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2"/>
        </w:numPr>
        <w:jc w:val="center"/>
        <w:spacing w:line="360" w:lineRule="auto"/>
        <w:rPr>
          <w:rFonts w:hint="eastAsia" w:ascii="黑体" w:hAnsi="黑体" w:eastAsia="黑体" w:cs="黑体"/>
          <w:color w:val="auto"/>
          <w:sz w:val="36"/>
          <w:szCs w:val="36"/>
          <w:highlight w:val="none"/>
        </w:rPr>
      </w:pPr>
      <w:r/>
      <w:bookmarkStart w:id="123" w:name="_Toc16938559"/>
      <w:r/>
      <w:bookmarkStart w:id="124" w:name="_Toc513029243"/>
      <w:r/>
      <w:bookmarkStart w:id="125" w:name="_Toc20823315"/>
      <w:r>
        <w:rPr>
          <w:rFonts w:hint="eastAsia" w:ascii="黑体" w:hAnsi="黑体" w:eastAsia="黑体" w:cs="黑体"/>
          <w:color w:val="auto"/>
          <w:sz w:val="36"/>
          <w:szCs w:val="36"/>
          <w:highlight w:val="none"/>
        </w:rPr>
        <w:t xml:space="preserve"> 合同文本</w:t>
      </w:r>
      <w:r/>
    </w:p>
    <w:p>
      <w:pPr>
        <w:jc w:val="center"/>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（格式，投标时不需填写）</w:t>
      </w:r>
      <w:bookmarkEnd w:id="123"/>
      <w:r/>
      <w:bookmarkEnd w:id="124"/>
      <w:r/>
      <w:bookmarkEnd w:id="125"/>
      <w:r/>
      <w:r/>
    </w:p>
    <w:p>
      <w:pPr>
        <w:ind w:firstLine="48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根据项目编号</w:t>
      </w:r>
      <w:r>
        <w:rPr>
          <w:rFonts w:hint="eastAsia" w:ascii="宋体" w:hAnsi="宋体"/>
          <w:bCs/>
          <w:color w:val="auto"/>
          <w:sz w:val="24"/>
          <w:u w:val="single"/>
        </w:rPr>
        <w:t xml:space="preserve">             </w:t>
      </w:r>
      <w:r>
        <w:rPr>
          <w:rFonts w:hint="eastAsia" w:ascii="宋体" w:hAnsi="宋体"/>
          <w:bCs/>
          <w:color w:val="auto"/>
          <w:sz w:val="24"/>
        </w:rPr>
        <w:t xml:space="preserve">招标文件和该文件的中标通知书及供方投标文件，供需双方就此</w:t>
      </w:r>
      <w:r>
        <w:rPr>
          <w:rFonts w:hint="eastAsia" w:ascii="宋体" w:hAnsi="宋体"/>
          <w:bCs/>
          <w:color w:val="auto"/>
          <w:sz w:val="24"/>
          <w:u w:val="single"/>
        </w:rPr>
        <w:t xml:space="preserve">            </w:t>
      </w:r>
      <w:r>
        <w:rPr>
          <w:rFonts w:hint="eastAsia" w:ascii="宋体" w:hAnsi="宋体"/>
          <w:bCs/>
          <w:color w:val="auto"/>
          <w:sz w:val="24"/>
        </w:rPr>
        <w:t xml:space="preserve">及相关问题，同意按下列条款规定执行。</w:t>
      </w:r>
      <w:r/>
    </w:p>
    <w:p>
      <w:pPr>
        <w:ind w:firstLine="525"/>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（一）</w:t>
      </w:r>
      <w:r>
        <w:rPr>
          <w:rFonts w:ascii="宋体" w:hAnsi="宋体"/>
          <w:bCs/>
          <w:color w:val="auto"/>
          <w:sz w:val="24"/>
        </w:rPr>
        <w:t xml:space="preserve"> </w:t>
      </w:r>
      <w:r>
        <w:rPr>
          <w:rFonts w:hint="eastAsia" w:ascii="宋体" w:hAnsi="宋体"/>
          <w:bCs/>
          <w:color w:val="auto"/>
          <w:sz w:val="24"/>
        </w:rPr>
        <w:t xml:space="preserve">合同内容：</w:t>
      </w:r>
      <w:r>
        <w:rPr>
          <w:rFonts w:ascii="宋体" w:hAnsi="宋体"/>
          <w:bCs/>
          <w:color w:val="auto"/>
          <w:sz w:val="24"/>
        </w:rPr>
        <w:t xml:space="preserve"> </w:t>
      </w:r>
      <w:r>
        <w:rPr>
          <w:rFonts w:hint="eastAsia" w:ascii="宋体" w:hAnsi="宋体"/>
          <w:bCs/>
          <w:color w:val="auto"/>
          <w:sz w:val="24"/>
        </w:rPr>
        <w:t xml:space="preserve">需方向供方购买</w:t>
      </w:r>
      <w:r>
        <w:rPr>
          <w:rFonts w:ascii="宋体" w:hAnsi="宋体"/>
          <w:bCs/>
          <w:color w:val="auto"/>
          <w:sz w:val="24"/>
          <w:u w:val="single"/>
        </w:rPr>
        <w:t xml:space="preserve">                       </w:t>
      </w:r>
      <w:r>
        <w:rPr>
          <w:rFonts w:hint="eastAsia" w:ascii="宋体" w:hAnsi="宋体"/>
          <w:bCs/>
          <w:color w:val="auto"/>
          <w:sz w:val="24"/>
        </w:rPr>
        <w:t xml:space="preserve">。</w:t>
      </w:r>
      <w:r/>
    </w:p>
    <w:p>
      <w:pPr>
        <w:ind w:firstLine="525"/>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（二）</w:t>
      </w:r>
      <w:r>
        <w:rPr>
          <w:rFonts w:ascii="宋体" w:hAnsi="宋体"/>
          <w:bCs/>
          <w:color w:val="auto"/>
          <w:sz w:val="24"/>
        </w:rPr>
        <w:t xml:space="preserve"> </w:t>
      </w:r>
      <w:r>
        <w:rPr>
          <w:rFonts w:hint="eastAsia" w:ascii="宋体" w:hAnsi="宋体"/>
          <w:bCs/>
          <w:color w:val="auto"/>
          <w:sz w:val="24"/>
        </w:rPr>
        <w:t xml:space="preserve">价格及支付：</w:t>
      </w:r>
      <w:r/>
    </w:p>
    <w:p>
      <w:pPr>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color w:val="auto"/>
          <w:sz w:val="24"/>
        </w:rPr>
      </w:pPr>
      <w:r>
        <w:rPr>
          <w:rFonts w:ascii="宋体" w:hAnsi="宋体"/>
          <w:bCs/>
          <w:color w:val="auto"/>
          <w:sz w:val="24"/>
        </w:rPr>
        <w:t xml:space="preserve">1.</w:t>
      </w:r>
      <w:r>
        <w:rPr>
          <w:rFonts w:hint="eastAsia" w:ascii="宋体" w:hAnsi="宋体"/>
          <w:bCs/>
          <w:color w:val="auto"/>
          <w:sz w:val="24"/>
        </w:rPr>
        <w:t xml:space="preserve">按此次中标价格执行，合同总标的额为</w:t>
      </w:r>
      <w:r>
        <w:rPr>
          <w:rFonts w:ascii="宋体" w:hAnsi="宋体"/>
          <w:bCs/>
          <w:color w:val="auto"/>
          <w:sz w:val="24"/>
          <w:u w:val="single"/>
        </w:rPr>
        <w:t xml:space="preserve">             </w:t>
      </w:r>
      <w:r>
        <w:rPr>
          <w:rFonts w:hint="eastAsia" w:ascii="宋体" w:hAnsi="宋体"/>
          <w:bCs/>
          <w:color w:val="auto"/>
          <w:sz w:val="24"/>
        </w:rPr>
        <w:t xml:space="preserve">元。</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付款方式：</w:t>
      </w:r>
      <w:r>
        <w:rPr>
          <w:rFonts w:hint="eastAsia" w:ascii="宋体" w:hAnsi="宋体" w:cs="宋体"/>
          <w:color w:val="auto"/>
          <w:sz w:val="24"/>
          <w:szCs w:val="24"/>
          <w:u w:val="single"/>
        </w:rPr>
        <w:t xml:space="preserve">                                                       </w:t>
      </w:r>
      <w:r/>
    </w:p>
    <w:p>
      <w:pPr>
        <w:ind w:firstLine="566"/>
        <w:jc w:val="left"/>
        <w:keepLines w:val="0"/>
        <w:keepNext w:val="0"/>
        <w:pageBreakBefore w:val="0"/>
        <w:spacing w:line="360" w:lineRule="auto"/>
        <w:widowControl w:val="off"/>
        <w:tabs>
          <w:tab w:val="left" w:pos="0" w:leader="none"/>
        </w:tabs>
        <w:rPr>
          <w:rFonts w:ascii="宋体"/>
          <w:bCs/>
          <w:color w:val="auto"/>
          <w:sz w:val="24"/>
        </w:rPr>
      </w:pPr>
      <w:r>
        <w:rPr>
          <w:rFonts w:hint="eastAsia" w:ascii="宋体" w:hAnsi="宋体"/>
          <w:bCs/>
          <w:color w:val="auto"/>
          <w:sz w:val="24"/>
        </w:rPr>
        <w:t xml:space="preserve">（三） 知识产权</w:t>
      </w:r>
      <w:r/>
    </w:p>
    <w:p>
      <w:pPr>
        <w:ind w:firstLine="480"/>
        <w:jc w:val="left"/>
        <w:keepLines w:val="0"/>
        <w:keepNext w:val="0"/>
        <w:pageBreakBefore w:val="0"/>
        <w:spacing w:line="360" w:lineRule="auto"/>
        <w:widowControl w:val="off"/>
        <w:tabs>
          <w:tab w:val="left" w:pos="945" w:leader="none"/>
        </w:tabs>
        <w:rPr>
          <w:rFonts w:ascii="宋体"/>
          <w:bCs/>
          <w:color w:val="auto"/>
          <w:sz w:val="24"/>
        </w:rPr>
      </w:pPr>
      <w:r>
        <w:rPr>
          <w:rFonts w:hint="eastAsia" w:ascii="宋体" w:hAnsi="宋体"/>
          <w:bCs/>
          <w:color w:val="auto"/>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566"/>
        <w:jc w:val="left"/>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（四） 质量与检验：</w:t>
      </w:r>
      <w:r/>
    </w:p>
    <w:p>
      <w:pPr>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color w:val="auto"/>
          <w:sz w:val="24"/>
        </w:rPr>
      </w:pPr>
      <w:r>
        <w:rPr>
          <w:rFonts w:hint="eastAsia" w:ascii="宋体" w:hAnsi="宋体"/>
          <w:bCs/>
          <w:color w:val="auto"/>
          <w:sz w:val="24"/>
        </w:rPr>
        <w:t xml:space="preserve">1.供方应严格按照招标文件的有关规定和供方投标文件提供合格的货物及服务。</w:t>
      </w:r>
      <w:r>
        <w:rPr>
          <w:rFonts w:ascii="宋体" w:hAnsi="宋体"/>
          <w:bCs/>
          <w:color w:val="auto"/>
          <w:sz w:val="24"/>
        </w:rPr>
        <w:t xml:space="preserve">                                   </w:t>
      </w:r>
      <w:r/>
    </w:p>
    <w:p>
      <w:pPr>
        <w:ind w:firstLine="520"/>
        <w:jc w:val="left"/>
        <w:keepLines w:val="0"/>
        <w:keepNext w:val="0"/>
        <w:pageBreakBefore w:val="0"/>
        <w:spacing w:line="360" w:lineRule="auto"/>
        <w:widowControl w:val="off"/>
        <w:tabs>
          <w:tab w:val="left" w:pos="1050" w:leader="none"/>
          <w:tab w:val="left" w:pos="1155" w:leader="none"/>
        </w:tabs>
        <w:rPr>
          <w:rFonts w:ascii="宋体"/>
          <w:bCs/>
          <w:color w:val="auto"/>
          <w:sz w:val="24"/>
        </w:rPr>
      </w:pPr>
      <w:r>
        <w:rPr>
          <w:rFonts w:hint="eastAsia" w:ascii="宋体" w:hAnsi="宋体"/>
          <w:bCs/>
          <w:color w:val="auto"/>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keepLines w:val="0"/>
        <w:keepNext w:val="0"/>
        <w:pageBreakBefore w:val="0"/>
        <w:spacing w:line="360" w:lineRule="auto"/>
        <w:widowControl w:val="off"/>
        <w:tabs>
          <w:tab w:val="left" w:pos="420" w:leader="none"/>
          <w:tab w:val="left" w:pos="1050" w:leader="none"/>
          <w:tab w:val="left" w:pos="1155" w:leader="none"/>
        </w:tabs>
        <w:rPr>
          <w:rFonts w:ascii="宋体"/>
          <w:bCs/>
          <w:color w:val="auto"/>
          <w:sz w:val="24"/>
        </w:rPr>
      </w:pPr>
      <w:r>
        <w:rPr>
          <w:rFonts w:hint="eastAsia" w:ascii="宋体" w:hAnsi="宋体"/>
          <w:bCs/>
          <w:color w:val="auto"/>
          <w:sz w:val="24"/>
        </w:rPr>
        <w:t xml:space="preserve">3.货物的到货验收包括：数量、外观、质量、性能、随机备件、装箱单、质量证书等随机资料及包装完整无破损。</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hint="eastAsia" w:ascii="宋体" w:hAnsi="宋体"/>
          <w:bCs/>
          <w:color w:val="auto"/>
          <w:sz w:val="24"/>
        </w:rPr>
        <w:t xml:space="preserve">4.货物和系统调试验收标准：按行业通行标准、厂方出厂标准、招标文件要求和供方投标文件的承诺，并不低于国家相关标准。</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hint="eastAsia" w:ascii="宋体" w:hAnsi="宋体"/>
          <w:bCs/>
          <w:color w:val="auto"/>
          <w:sz w:val="24"/>
        </w:rPr>
        <w:t xml:space="preserve">5.货物运到需方指定地点并经需方验证签收后，由于需方保管不善造成的质量问题，供方应负责修理，但有关费用由需方承担。</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ascii="宋体" w:hAnsi="宋体"/>
          <w:bCs/>
          <w:color w:val="auto"/>
          <w:sz w:val="24"/>
        </w:rPr>
        <w:t xml:space="preserve">6. </w:t>
      </w:r>
      <w:r>
        <w:rPr>
          <w:rFonts w:hint="eastAsia" w:ascii="宋体" w:hAnsi="宋体"/>
          <w:bCs/>
          <w:color w:val="auto"/>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color w:val="auto"/>
          <w:sz w:val="24"/>
        </w:rPr>
        <w:t xml:space="preserve">。供方在接到需方书面异议后应立即整改，否则承担违约责任。</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ascii="宋体" w:hAnsi="宋体"/>
          <w:bCs/>
          <w:color w:val="auto"/>
          <w:sz w:val="24"/>
        </w:rPr>
        <w:t xml:space="preserve">7. </w:t>
      </w:r>
      <w:r>
        <w:rPr>
          <w:rFonts w:hint="eastAsia" w:ascii="宋体" w:hAnsi="宋体"/>
          <w:bCs/>
          <w:color w:val="auto"/>
          <w:sz w:val="24"/>
        </w:rPr>
        <w:t xml:space="preserve">需方不得擅自变更招投标文件约定的性能、指标等相关内容，如有变更应按《中华人民共和国政府采购法》、财政部《政府采购货物和服务招标投标管理办法》的相关程序执行。</w:t>
      </w:r>
      <w:r/>
    </w:p>
    <w:p>
      <w:pPr>
        <w:ind w:left="-2" w:firstLine="52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（五）</w:t>
      </w:r>
      <w:r>
        <w:rPr>
          <w:rFonts w:ascii="宋体" w:hAnsi="宋体"/>
          <w:bCs/>
          <w:color w:val="auto"/>
          <w:sz w:val="24"/>
        </w:rPr>
        <w:t xml:space="preserve"> </w:t>
      </w:r>
      <w:r>
        <w:rPr>
          <w:rFonts w:hint="eastAsia" w:ascii="宋体" w:hAnsi="宋体"/>
          <w:bCs/>
          <w:color w:val="auto"/>
          <w:sz w:val="24"/>
        </w:rPr>
        <w:t xml:space="preserve">交货条件：</w:t>
      </w:r>
      <w:r/>
    </w:p>
    <w:p>
      <w:pPr>
        <w:ind w:firstLine="520"/>
        <w:keepLines w:val="0"/>
        <w:keepNext w:val="0"/>
        <w:pageBreakBefore w:val="0"/>
        <w:spacing w:line="360" w:lineRule="auto"/>
        <w:widowControl w:val="off"/>
        <w:tabs>
          <w:tab w:val="left" w:pos="420" w:leader="none"/>
          <w:tab w:val="left" w:pos="1155" w:leader="none"/>
        </w:tabs>
        <w:rPr>
          <w:rFonts w:ascii="宋体"/>
          <w:bCs/>
          <w:color w:val="auto"/>
          <w:sz w:val="24"/>
        </w:rPr>
      </w:pPr>
      <w:r>
        <w:rPr>
          <w:rFonts w:hint="eastAsia" w:ascii="宋体" w:hAnsi="宋体"/>
          <w:bCs/>
          <w:color w:val="auto"/>
          <w:sz w:val="24"/>
        </w:rPr>
        <w:t xml:space="preserve">1.交货日期（或完工期）：</w:t>
      </w:r>
      <w:r>
        <w:rPr>
          <w:rFonts w:hint="eastAsia" w:ascii="宋体" w:hAnsi="宋体"/>
          <w:bCs/>
          <w:color w:val="auto"/>
          <w:sz w:val="24"/>
          <w:highlight w:val="none"/>
          <w:lang w:val="en-US" w:eastAsia="zh-CN"/>
        </w:rPr>
        <w:t xml:space="preserve">合同签订生效后30</w:t>
      </w:r>
      <w:r>
        <w:rPr>
          <w:rFonts w:hint="eastAsia" w:ascii="宋体" w:hAnsi="宋体"/>
          <w:bCs/>
          <w:color w:val="auto"/>
          <w:sz w:val="24"/>
          <w:highlight w:val="none"/>
        </w:rPr>
        <w:t xml:space="preserve">日历天安装完毕交付使用</w:t>
      </w:r>
      <w:r>
        <w:rPr>
          <w:rFonts w:hint="eastAsia" w:ascii="宋体" w:hAnsi="宋体"/>
          <w:bCs/>
          <w:color w:val="auto"/>
          <w:sz w:val="24"/>
          <w:highlight w:val="none"/>
          <w:lang w:eastAsia="zh-CN"/>
        </w:rPr>
        <w:t xml:space="preserve">，因供应商工期</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lang w:eastAsia="zh-CN"/>
        </w:rPr>
        <w:t xml:space="preserve">质量违约原因影响</w:t>
      </w:r>
      <w:r>
        <w:rPr>
          <w:rFonts w:hint="eastAsia" w:ascii="宋体" w:hAnsi="宋体"/>
          <w:bCs/>
          <w:color w:val="auto"/>
          <w:sz w:val="24"/>
          <w:highlight w:val="none"/>
          <w:lang w:val="en-US" w:eastAsia="zh-CN"/>
        </w:rPr>
        <w:t xml:space="preserve">派出所办公</w:t>
      </w:r>
      <w:r>
        <w:rPr>
          <w:rFonts w:hint="eastAsia" w:ascii="宋体" w:hAnsi="宋体"/>
          <w:bCs/>
          <w:color w:val="auto"/>
          <w:sz w:val="24"/>
          <w:highlight w:val="none"/>
          <w:lang w:eastAsia="zh-CN"/>
        </w:rPr>
        <w:t xml:space="preserve">计划开展的，由供应商承担损失（包括采取临时性、替代性方案所支出的花费）</w:t>
      </w:r>
      <w:r>
        <w:rPr>
          <w:rFonts w:hint="eastAsia" w:ascii="宋体" w:hAnsi="宋体" w:cs="宋体"/>
          <w:color w:val="auto"/>
          <w:sz w:val="24"/>
          <w:highlight w:val="none"/>
        </w:rPr>
        <w:t xml:space="preserve">；</w:t>
      </w:r>
      <w:r/>
    </w:p>
    <w:p>
      <w:pPr>
        <w:ind w:firstLine="520"/>
        <w:keepLines w:val="0"/>
        <w:keepNext w:val="0"/>
        <w:pageBreakBefore w:val="0"/>
        <w:spacing w:line="360" w:lineRule="auto"/>
        <w:widowControl w:val="off"/>
        <w:tabs>
          <w:tab w:val="left" w:pos="1155" w:leader="none"/>
        </w:tabs>
        <w:rPr>
          <w:rFonts w:ascii="宋体"/>
          <w:bCs/>
          <w:color w:val="auto"/>
          <w:sz w:val="24"/>
        </w:rPr>
      </w:pPr>
      <w:r>
        <w:rPr>
          <w:rFonts w:hint="eastAsia" w:ascii="宋体" w:hAnsi="宋体"/>
          <w:bCs/>
          <w:color w:val="auto"/>
          <w:sz w:val="24"/>
        </w:rPr>
        <w:t xml:space="preserve">2.供方在验收时应先用信函、传真、电子邮件等书面方式通知需方。</w:t>
      </w:r>
      <w:r/>
    </w:p>
    <w:p>
      <w:pPr>
        <w:ind w:firstLine="520"/>
        <w:keepLines w:val="0"/>
        <w:keepNext w:val="0"/>
        <w:pageBreakBefore w:val="0"/>
        <w:spacing w:line="360" w:lineRule="auto"/>
        <w:widowControl w:val="off"/>
        <w:tabs>
          <w:tab w:val="left" w:pos="1155" w:leader="none"/>
        </w:tabs>
        <w:rPr>
          <w:rFonts w:ascii="宋体"/>
          <w:bCs/>
          <w:color w:val="auto"/>
          <w:sz w:val="24"/>
        </w:rPr>
      </w:pPr>
      <w:r>
        <w:rPr>
          <w:rFonts w:ascii="宋体" w:hAnsi="宋体"/>
          <w:bCs/>
          <w:color w:val="auto"/>
          <w:sz w:val="24"/>
        </w:rPr>
        <w:t xml:space="preserve">3. </w:t>
      </w:r>
      <w:r>
        <w:rPr>
          <w:rFonts w:hint="eastAsia" w:ascii="宋体" w:hAnsi="宋体"/>
          <w:bCs/>
          <w:color w:val="auto"/>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keepLines w:val="0"/>
        <w:keepNext w:val="0"/>
        <w:pageBreakBefore w:val="0"/>
        <w:spacing w:line="360" w:lineRule="auto"/>
        <w:widowControl w:val="off"/>
        <w:tabs>
          <w:tab w:val="left" w:pos="1155" w:leader="none"/>
        </w:tabs>
        <w:rPr>
          <w:rFonts w:ascii="宋体"/>
          <w:bCs/>
          <w:color w:val="auto"/>
          <w:sz w:val="24"/>
        </w:rPr>
      </w:pPr>
      <w:r>
        <w:rPr>
          <w:rFonts w:ascii="宋体" w:hAnsi="宋体"/>
          <w:bCs/>
          <w:color w:val="auto"/>
          <w:sz w:val="24"/>
        </w:rPr>
        <w:t xml:space="preserve">4.</w:t>
      </w:r>
      <w:r>
        <w:rPr>
          <w:rFonts w:ascii="楷体_GB2312" w:eastAsia="楷体_GB2312"/>
          <w:bCs/>
          <w:color w:val="auto"/>
          <w:sz w:val="28"/>
        </w:rPr>
        <w:t xml:space="preserve"> </w:t>
      </w:r>
      <w:r>
        <w:rPr>
          <w:rFonts w:hint="eastAsia" w:ascii="宋体" w:hAnsi="宋体"/>
          <w:bCs/>
          <w:color w:val="auto"/>
          <w:sz w:val="24"/>
        </w:rPr>
        <w:t xml:space="preserve">货物交货时，所有货物必须带有货物质量检验合格证书、中文质保单、装箱单、中文货物安装使用说明书。其他附件所有部件必须原包装。</w:t>
      </w:r>
      <w:r/>
    </w:p>
    <w:p>
      <w:pPr>
        <w:ind w:left="2" w:firstLine="520"/>
        <w:keepLines w:val="0"/>
        <w:keepNext w:val="0"/>
        <w:pageBreakBefore w:val="0"/>
        <w:spacing w:line="360" w:lineRule="auto"/>
        <w:widowControl w:val="off"/>
        <w:tabs>
          <w:tab w:val="left" w:pos="945" w:leader="none"/>
          <w:tab w:val="left" w:pos="1155" w:leader="none"/>
        </w:tabs>
        <w:rPr>
          <w:rFonts w:ascii="宋体"/>
          <w:bCs/>
          <w:color w:val="auto"/>
          <w:sz w:val="24"/>
        </w:rPr>
      </w:pPr>
      <w:r>
        <w:rPr>
          <w:rFonts w:ascii="宋体" w:hAnsi="宋体"/>
          <w:bCs/>
          <w:color w:val="auto"/>
          <w:sz w:val="24"/>
        </w:rPr>
        <w:t xml:space="preserve">5. </w:t>
      </w:r>
      <w:r>
        <w:rPr>
          <w:rFonts w:hint="eastAsia" w:ascii="宋体" w:hAnsi="宋体"/>
          <w:bCs/>
          <w:color w:val="auto"/>
          <w:sz w:val="24"/>
        </w:rPr>
        <w:t xml:space="preserve">运输及到货地点：由供方负责办理运输并承担所有费用，直接送到需方指定地点，即：以合同书上的地点为准。</w:t>
      </w:r>
      <w:r>
        <w:rPr>
          <w:rFonts w:ascii="宋体" w:hAnsi="宋体"/>
          <w:bCs/>
          <w:color w:val="auto"/>
          <w:sz w:val="24"/>
        </w:rPr>
        <w:t xml:space="preserve">                    </w:t>
      </w:r>
      <w:r/>
    </w:p>
    <w:p>
      <w:pPr>
        <w:ind w:firstLine="48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（六）</w:t>
      </w:r>
      <w:r>
        <w:rPr>
          <w:rFonts w:ascii="宋体" w:hAnsi="宋体"/>
          <w:bCs/>
          <w:color w:val="auto"/>
          <w:sz w:val="24"/>
        </w:rPr>
        <w:t xml:space="preserve"> </w:t>
      </w:r>
      <w:r>
        <w:rPr>
          <w:rFonts w:hint="eastAsia" w:ascii="宋体" w:hAnsi="宋体"/>
          <w:bCs/>
          <w:color w:val="auto"/>
          <w:sz w:val="24"/>
        </w:rPr>
        <w:t xml:space="preserve">安装调试及售后服务：</w:t>
      </w:r>
      <w:r/>
    </w:p>
    <w:p>
      <w:pPr>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供方负责本项目的安装和调试，并保证其提供的货物符合国家、行业、地方、招投标文件及合同规定的质量、性能和标准，并正确且安全地安装。</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供方提供的服务全部按照国家有关法律法规规章和“三包”规定以及按招标文件要求和供方投标文件中的承诺执行。</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质保期后的货物维护由双方协商再定。</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4</w:t>
      </w:r>
      <w:r>
        <w:rPr>
          <w:rFonts w:ascii="宋体" w:hAnsi="宋体"/>
          <w:bCs/>
          <w:color w:val="auto"/>
          <w:sz w:val="24"/>
        </w:rPr>
        <w:t xml:space="preserve">.</w:t>
      </w:r>
      <w:r>
        <w:rPr>
          <w:rFonts w:hint="eastAsia" w:ascii="宋体" w:hAnsi="宋体"/>
          <w:bCs/>
          <w:color w:val="auto"/>
          <w:sz w:val="24"/>
        </w:rPr>
        <w:t xml:space="preserve">需方应向供方现场调试的技术人员及维修人员提供方便条件，有关费用由供方负责。</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5</w:t>
      </w:r>
      <w:r>
        <w:rPr>
          <w:rFonts w:ascii="宋体" w:hAnsi="宋体"/>
          <w:bCs/>
          <w:color w:val="auto"/>
          <w:sz w:val="24"/>
        </w:rPr>
        <w:t xml:space="preserve">.</w:t>
      </w:r>
      <w:r>
        <w:rPr>
          <w:rFonts w:hint="eastAsia" w:ascii="宋体" w:hAnsi="宋体"/>
          <w:bCs/>
          <w:color w:val="auto"/>
          <w:sz w:val="24"/>
        </w:rPr>
        <w:t xml:space="preserve">需方如要求供方提供招标文件及供方投标文件以外的其他服务，其费用另定。</w:t>
      </w:r>
      <w:r/>
    </w:p>
    <w:p>
      <w:pPr>
        <w:ind w:firstLine="48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（七）</w:t>
      </w:r>
      <w:r>
        <w:rPr>
          <w:rFonts w:ascii="宋体" w:hAnsi="宋体"/>
          <w:bCs/>
          <w:color w:val="auto"/>
          <w:sz w:val="24"/>
        </w:rPr>
        <w:t xml:space="preserve"> </w:t>
      </w:r>
      <w:r>
        <w:rPr>
          <w:rFonts w:hint="eastAsia" w:ascii="宋体" w:hAnsi="宋体"/>
          <w:bCs/>
          <w:color w:val="auto"/>
          <w:sz w:val="24"/>
        </w:rPr>
        <w:t xml:space="preserve">违约责任：</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如供方逾期交货且未经需方同意延长交货时间，除不可抗力外，每逾期一日，供方应按照逾期2000元/天标准累计计算向需方支付违约金。逾期超过</w:t>
      </w:r>
      <w:r>
        <w:rPr>
          <w:rFonts w:ascii="宋体" w:hAnsi="宋体"/>
          <w:bCs/>
          <w:color w:val="auto"/>
          <w:sz w:val="24"/>
        </w:rPr>
        <w:t xml:space="preserve">20</w:t>
      </w:r>
      <w:r>
        <w:rPr>
          <w:rFonts w:hint="eastAsia" w:ascii="宋体" w:hAnsi="宋体"/>
          <w:bCs/>
          <w:color w:val="auto"/>
          <w:sz w:val="24"/>
        </w:rPr>
        <w:t xml:space="preserve">个工作日的，需方有权解除合同，需方如已支付费用的，供方全部返还；且供方应按照合同总价的</w:t>
      </w:r>
      <w:r>
        <w:rPr>
          <w:rFonts w:ascii="宋体" w:hAnsi="宋体"/>
          <w:bCs/>
          <w:color w:val="auto"/>
          <w:sz w:val="24"/>
        </w:rPr>
        <w:t xml:space="preserve">30%</w:t>
      </w:r>
      <w:r>
        <w:rPr>
          <w:rFonts w:hint="eastAsia" w:ascii="宋体" w:hAnsi="宋体"/>
          <w:bCs/>
          <w:color w:val="auto"/>
          <w:sz w:val="24"/>
        </w:rPr>
        <w:t xml:space="preserve">向需方支付违约金，如给需方造成损失的，还应赔偿损失。</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供方如无不可抗力，又未履行招标文件、投标文件和合同条款的，一经查实，由供方赔偿由此给需方造成的损失，并按照合同总价的</w:t>
      </w:r>
      <w:r>
        <w:rPr>
          <w:rFonts w:ascii="宋体" w:hAnsi="宋体"/>
          <w:bCs/>
          <w:color w:val="auto"/>
          <w:sz w:val="24"/>
        </w:rPr>
        <w:t xml:space="preserve">30%</w:t>
      </w:r>
      <w:r>
        <w:rPr>
          <w:rFonts w:hint="eastAsia" w:ascii="宋体" w:hAnsi="宋体"/>
          <w:bCs/>
          <w:color w:val="auto"/>
          <w:sz w:val="24"/>
        </w:rPr>
        <w:t xml:space="preserve">向需方支付违约金，因招、投标产生的其他责任及后果按招标文件的相关要求及处理方式执行。</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4</w:t>
      </w:r>
      <w:r>
        <w:rPr>
          <w:rFonts w:ascii="宋体" w:hAnsi="宋体"/>
          <w:bCs/>
          <w:color w:val="auto"/>
          <w:sz w:val="24"/>
        </w:rPr>
        <w:t xml:space="preserve">.</w:t>
      </w:r>
      <w:r>
        <w:rPr>
          <w:rFonts w:hint="eastAsia" w:ascii="宋体" w:hAnsi="宋体"/>
          <w:bCs/>
          <w:color w:val="auto"/>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rPr>
        <w:t xml:space="preserve">20%</w:t>
      </w:r>
      <w:r>
        <w:rPr>
          <w:rFonts w:hint="eastAsia" w:ascii="宋体" w:hAnsi="宋体"/>
          <w:bCs/>
          <w:color w:val="auto"/>
          <w:sz w:val="24"/>
        </w:rPr>
        <w:t xml:space="preserve">向需方支付违约金，如给需方造成其他损失的，供方还应负责赔偿。</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5</w:t>
      </w:r>
      <w:r>
        <w:rPr>
          <w:rFonts w:ascii="宋体" w:hAnsi="宋体"/>
          <w:bCs/>
          <w:color w:val="auto"/>
          <w:sz w:val="24"/>
        </w:rPr>
        <w:t xml:space="preserve">.</w:t>
      </w:r>
      <w:r>
        <w:rPr>
          <w:rFonts w:hint="eastAsia" w:ascii="宋体" w:hAnsi="宋体"/>
          <w:bCs/>
          <w:color w:val="auto"/>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6</w:t>
      </w:r>
      <w:r>
        <w:rPr>
          <w:rFonts w:ascii="宋体" w:hAnsi="宋体"/>
          <w:bCs/>
          <w:color w:val="auto"/>
          <w:sz w:val="24"/>
        </w:rPr>
        <w:t xml:space="preserve">.</w:t>
      </w:r>
      <w:r>
        <w:rPr>
          <w:rFonts w:hint="eastAsia" w:ascii="宋体" w:hAnsi="宋体"/>
          <w:bCs/>
          <w:color w:val="auto"/>
          <w:sz w:val="24"/>
        </w:rPr>
        <w:t xml:space="preserve">招标文件及合同中所述之“不可抗力”系指不可预见、不可避免、不可克服的事件，包括但不限于：战争、洪水、台风、地震及其他</w:t>
      </w:r>
      <w:r>
        <w:rPr>
          <w:rFonts w:hint="eastAsia" w:ascii="宋体" w:hAnsi="宋体"/>
          <w:bCs/>
          <w:color w:val="auto"/>
          <w:sz w:val="24"/>
          <w:lang w:eastAsia="zh-CN"/>
        </w:rPr>
        <w:t xml:space="preserve">法律法规</w:t>
      </w:r>
      <w:r>
        <w:rPr>
          <w:rFonts w:hint="eastAsia" w:ascii="宋体" w:hAnsi="宋体"/>
          <w:bCs/>
          <w:color w:val="auto"/>
          <w:sz w:val="24"/>
        </w:rPr>
        <w:t xml:space="preserve">规定的事件。</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7</w:t>
      </w:r>
      <w:r>
        <w:rPr>
          <w:rFonts w:ascii="宋体" w:hAnsi="宋体"/>
          <w:bCs/>
          <w:color w:val="auto"/>
          <w:sz w:val="24"/>
        </w:rPr>
        <w:t xml:space="preserve">.</w:t>
      </w:r>
      <w:r>
        <w:rPr>
          <w:rFonts w:hint="eastAsia" w:ascii="宋体" w:hAnsi="宋体"/>
          <w:bCs/>
          <w:color w:val="auto"/>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52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（八）</w:t>
      </w:r>
      <w:r>
        <w:rPr>
          <w:rFonts w:ascii="宋体" w:hAnsi="宋体"/>
          <w:bCs/>
          <w:color w:val="auto"/>
          <w:sz w:val="24"/>
        </w:rPr>
        <w:t xml:space="preserve"> </w:t>
      </w:r>
      <w:r>
        <w:rPr>
          <w:rFonts w:hint="eastAsia" w:ascii="宋体" w:hAnsi="宋体"/>
          <w:bCs/>
          <w:color w:val="auto"/>
          <w:sz w:val="24"/>
        </w:rPr>
        <w:t xml:space="preserve">合同生效及其它：</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合同经供需双方代表签字并盖章，且在需方收到供方提交的履约保证金并报送采购中心备案后即生效。</w:t>
      </w:r>
      <w:r>
        <w:rPr>
          <w:rFonts w:hint="eastAsia" w:ascii="宋体" w:hAnsi="宋体"/>
          <w:color w:val="auto"/>
          <w:sz w:val="24"/>
        </w:rPr>
        <w:t xml:space="preserve">履约保证金在本项目验收合格后，无息退还。</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color w:val="auto"/>
          <w:sz w:val="24"/>
        </w:rPr>
        <w:t xml:space="preserve">向无锡仲裁委员会申请仲裁</w:t>
      </w:r>
      <w:r>
        <w:rPr>
          <w:rFonts w:hint="eastAsia" w:ascii="宋体" w:hAnsi="宋体"/>
          <w:bCs/>
          <w:color w:val="auto"/>
          <w:sz w:val="24"/>
        </w:rPr>
        <w:t xml:space="preserve">，仲裁期间，除仲裁委员会要求停止履行合同或出现一方确实无法继续履行合同的情形外，本合同应继续履行。</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4</w:t>
      </w:r>
      <w:r>
        <w:rPr>
          <w:rFonts w:ascii="宋体" w:hAnsi="宋体"/>
          <w:bCs/>
          <w:color w:val="auto"/>
          <w:sz w:val="24"/>
        </w:rPr>
        <w:t xml:space="preserve">.</w:t>
      </w:r>
      <w:r>
        <w:rPr>
          <w:rFonts w:hint="eastAsia" w:ascii="宋体" w:hAnsi="宋体"/>
          <w:bCs/>
          <w:color w:val="auto"/>
          <w:sz w:val="24"/>
        </w:rPr>
        <w:t xml:space="preserve">供需双方确认：对本合同条款及后果均已知悉，一致确认不存在欺诈、胁迫、乘人之危、重大误解、显失公平等任何可能导致合同无效或被撤销的情形</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bCs/>
          <w:color w:val="auto"/>
          <w:sz w:val="24"/>
        </w:rPr>
      </w:pPr>
      <w:r>
        <w:rPr>
          <w:rFonts w:hint="eastAsia" w:ascii="宋体" w:hAnsi="宋体"/>
          <w:bCs/>
          <w:color w:val="auto"/>
          <w:sz w:val="24"/>
        </w:rPr>
      </w:r>
      <w:r/>
    </w:p>
    <w:p>
      <w:pPr>
        <w:pStyle w:val="928"/>
        <w:ind w:left="480" w:hanging="480"/>
        <w:spacing w:before="120" w:after="120" w:line="400" w:lineRule="exact"/>
        <w:rPr>
          <w:rFonts w:hint="eastAsia" w:hAnsi="宋体" w:cs="宋体"/>
          <w:color w:val="auto"/>
          <w:sz w:val="24"/>
          <w:szCs w:val="24"/>
        </w:rPr>
      </w:pPr>
      <w:r>
        <w:rPr>
          <w:rFonts w:hint="eastAsia" w:hAnsi="宋体" w:cs="宋体"/>
          <w:color w:val="auto"/>
          <w:sz w:val="24"/>
          <w:szCs w:val="24"/>
        </w:rPr>
        <w:t xml:space="preserve">甲方：                                   乙方： </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地址：                                   地址： </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法定代表人或授权代表：                   法定代表人或授权代表：</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联系电话：                               联系电话：</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见证方：                                 签订日期：       年  月  日</w:t>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numPr>
          <w:ilvl w:val="0"/>
          <w:numId w:val="2"/>
        </w:numPr>
        <w:ind w:left="0" w:firstLine="0"/>
        <w:jc w:val="center"/>
        <w:keepLines w:val="0"/>
        <w:keepNext w:val="0"/>
        <w:pageBreakBefore w:val="0"/>
        <w:spacing w:line="360" w:lineRule="auto"/>
        <w:tabs>
          <w:tab w:val="left" w:pos="525" w:leader="none"/>
          <w:tab w:val="left" w:pos="945" w:leader="none"/>
        </w:tabs>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本项目为</w:t>
      </w:r>
      <w:r>
        <w:rPr>
          <w:rFonts w:hint="eastAsia" w:hAnsi="宋体" w:cs="宋体"/>
          <w:color w:val="auto"/>
          <w:sz w:val="24"/>
          <w:szCs w:val="24"/>
          <w:highlight w:val="none"/>
          <w:lang w:eastAsia="zh-CN"/>
        </w:rPr>
        <w:t xml:space="preserve">南禅寺派出所业务用房异地重建工程(二期)家具采购</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本项目中的核心产品为</w:t>
      </w:r>
      <w:r>
        <w:rPr>
          <w:rFonts w:hint="eastAsia" w:ascii="宋体" w:hAnsi="宋体" w:eastAsia="宋体" w:cs="宋体"/>
          <w:b/>
          <w:bCs/>
          <w:color w:val="auto"/>
          <w:sz w:val="24"/>
          <w:szCs w:val="24"/>
          <w:highlight w:val="none"/>
          <w:lang w:val="en-US" w:eastAsia="zh-CN"/>
        </w:rPr>
        <w:t xml:space="preserve">序号60 屏风工作位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序号</w:t>
      </w:r>
      <w:r>
        <w:rPr>
          <w:rFonts w:hint="eastAsia" w:hAnsi="宋体" w:cs="宋体"/>
          <w:b/>
          <w:bCs/>
          <w:color w:val="auto"/>
          <w:sz w:val="24"/>
          <w:szCs w:val="24"/>
          <w:highlight w:val="none"/>
          <w:lang w:val="en-US" w:eastAsia="zh-CN"/>
        </w:rPr>
        <w:t xml:space="preserve">81</w:t>
      </w:r>
      <w:r>
        <w:rPr>
          <w:rFonts w:hint="eastAsia" w:ascii="宋体" w:hAnsi="宋体" w:eastAsia="宋体" w:cs="宋体"/>
          <w:b/>
          <w:bCs/>
          <w:color w:val="auto"/>
          <w:sz w:val="24"/>
          <w:szCs w:val="24"/>
          <w:highlight w:val="none"/>
          <w:lang w:val="en-US" w:eastAsia="zh-CN"/>
        </w:rPr>
        <w:t xml:space="preserve"> 床，序号</w:t>
      </w:r>
      <w:r>
        <w:rPr>
          <w:rFonts w:hint="eastAsia" w:hAnsi="宋体" w:cs="宋体"/>
          <w:b/>
          <w:bCs/>
          <w:color w:val="auto"/>
          <w:sz w:val="24"/>
          <w:szCs w:val="24"/>
          <w:highlight w:val="none"/>
          <w:lang w:val="en-US" w:eastAsia="zh-CN"/>
        </w:rPr>
        <w:t xml:space="preserve">85</w:t>
      </w:r>
      <w:r>
        <w:rPr>
          <w:rFonts w:hint="eastAsia" w:ascii="宋体" w:hAnsi="宋体" w:eastAsia="宋体" w:cs="宋体"/>
          <w:b/>
          <w:bCs/>
          <w:color w:val="auto"/>
          <w:sz w:val="24"/>
          <w:szCs w:val="24"/>
          <w:highlight w:val="none"/>
          <w:lang w:val="en-US" w:eastAsia="zh-CN"/>
        </w:rPr>
        <w:t xml:space="preserve"> 衣柜 </w:t>
      </w:r>
      <w:r>
        <w:rPr>
          <w:rFonts w:hint="eastAsia" w:ascii="宋体" w:hAnsi="宋体" w:eastAsia="宋体" w:cs="宋体"/>
          <w:color w:val="auto"/>
          <w:sz w:val="24"/>
          <w:szCs w:val="24"/>
          <w:highlight w:val="none"/>
        </w:rPr>
        <w:t xml:space="preserve">。投标人所投内容必须满足以下要求，不得有负偏离。</w:t>
      </w:r>
      <w:r/>
    </w:p>
    <w:p>
      <w:pPr>
        <w:numPr>
          <w:ilvl w:val="0"/>
          <w:numId w:val="3"/>
        </w:numPr>
        <w:spacing w:after="5"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项目基本情况：</w:t>
      </w:r>
      <w:r/>
    </w:p>
    <w:p>
      <w:pPr>
        <w:pStyle w:val="929"/>
        <w:numPr>
          <w:ilvl w:val="0"/>
          <w:numId w:val="4"/>
        </w:numPr>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项目地址：南禅寺派出所</w:t>
      </w:r>
      <w:r/>
    </w:p>
    <w:p>
      <w:pPr>
        <w:pStyle w:val="929"/>
        <w:numPr>
          <w:ilvl w:val="0"/>
          <w:numId w:val="0"/>
        </w:numPr>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2、采购范围：清单范围内的</w:t>
      </w:r>
      <w:r>
        <w:rPr>
          <w:rFonts w:hint="eastAsia" w:ascii="宋体" w:hAnsi="宋体" w:cs="宋体"/>
          <w:color w:val="auto"/>
          <w:sz w:val="24"/>
          <w:szCs w:val="24"/>
          <w:highlight w:val="none"/>
          <w:lang w:eastAsia="zh-CN"/>
        </w:rPr>
        <w:t xml:space="preserve">南禅寺派出所业务用房异地重建工程(二期)家具采购</w:t>
      </w:r>
      <w:r>
        <w:rPr>
          <w:rFonts w:hint="eastAsia" w:ascii="宋体" w:hAnsi="宋体" w:eastAsia="宋体" w:cs="宋体"/>
          <w:color w:val="auto"/>
          <w:sz w:val="24"/>
          <w:szCs w:val="24"/>
          <w:highlight w:val="none"/>
        </w:rPr>
        <w:t xml:space="preserve">。</w:t>
      </w:r>
      <w:r/>
    </w:p>
    <w:p>
      <w:pPr>
        <w:pStyle w:val="929"/>
        <w:ind w:firstLine="480"/>
        <w:jc w:val="left"/>
        <w:spacing w:line="360" w:lineRule="auto"/>
        <w:tabs>
          <w:tab w:val="left" w:pos="1080"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、供货期：</w:t>
      </w:r>
      <w:r>
        <w:rPr>
          <w:rFonts w:hint="default" w:ascii="宋体" w:hAnsi="宋体" w:eastAsia="宋体" w:cs="宋体"/>
          <w:b w:val="0"/>
          <w:bCs/>
          <w:color w:val="auto"/>
          <w:sz w:val="24"/>
          <w:szCs w:val="24"/>
          <w:highlight w:val="none"/>
          <w:lang w:val="en-US" w:eastAsia="zh-CN"/>
        </w:rPr>
        <w:t xml:space="preserve">合同签订生效后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日历天安装完毕交付使用</w:t>
      </w:r>
      <w:r>
        <w:rPr>
          <w:rFonts w:hint="eastAsia" w:ascii="宋体" w:hAnsi="宋体" w:cs="宋体"/>
          <w:color w:val="auto"/>
          <w:sz w:val="24"/>
          <w:szCs w:val="24"/>
          <w:highlight w:val="none"/>
          <w:lang w:eastAsia="zh-CN"/>
        </w:rPr>
        <w:t xml:space="preserve">，因供应商工期</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eastAsia="zh-CN"/>
        </w:rPr>
        <w:t xml:space="preserve">质量违约原因影响</w:t>
      </w:r>
      <w:r>
        <w:rPr>
          <w:rFonts w:hint="eastAsia" w:ascii="宋体" w:hAnsi="宋体" w:cs="宋体"/>
          <w:color w:val="auto"/>
          <w:sz w:val="24"/>
          <w:szCs w:val="24"/>
          <w:highlight w:val="none"/>
          <w:lang w:val="en-US" w:eastAsia="zh-CN"/>
        </w:rPr>
        <w:t xml:space="preserve">派出所办公</w:t>
      </w:r>
      <w:r>
        <w:rPr>
          <w:rFonts w:hint="eastAsia" w:ascii="宋体" w:hAnsi="宋体" w:cs="宋体"/>
          <w:color w:val="auto"/>
          <w:sz w:val="24"/>
          <w:szCs w:val="24"/>
          <w:highlight w:val="none"/>
          <w:lang w:eastAsia="zh-CN"/>
        </w:rPr>
        <w:t xml:space="preserve">计划开展的，由供应商承担损失（包括采取临时性、替代性方案所支出的花费）。</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4、项目整体免费质保期：项目质保期为自验收合格之日起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5、质量及验收：采购人根据国家有关规定、招标文件、中标方的投标文件以及合同约定的内容和验收标准进</w:t>
      </w:r>
      <w:r>
        <w:rPr>
          <w:rFonts w:hint="eastAsia" w:ascii="宋体" w:hAnsi="宋体" w:eastAsia="宋体" w:cs="宋体"/>
          <w:color w:val="auto"/>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9"/>
        <w:ind w:firstLine="480"/>
        <w:jc w:val="left"/>
        <w:spacing w:line="360" w:lineRule="auto"/>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付款方式：</w:t>
      </w:r>
      <w:r>
        <w:rPr>
          <w:rFonts w:hint="eastAsia" w:ascii="宋体" w:hAnsi="宋体"/>
          <w:color w:val="auto"/>
          <w:sz w:val="24"/>
          <w:szCs w:val="24"/>
          <w:highlight w:val="none"/>
          <w:lang w:val="en-US" w:eastAsia="zh-CN"/>
        </w:rPr>
        <w:t xml:space="preserve">供货到位、安装验收合格后</w:t>
      </w:r>
      <w:r>
        <w:rPr>
          <w:rFonts w:hint="eastAsia" w:ascii="宋体" w:hAnsi="宋体" w:eastAsia="宋体"/>
          <w:color w:val="auto"/>
          <w:sz w:val="24"/>
          <w:szCs w:val="24"/>
          <w:highlight w:val="none"/>
        </w:rPr>
        <w:t xml:space="preserve">采购人支付合同价款的30%，</w:t>
      </w:r>
      <w:r>
        <w:rPr>
          <w:rFonts w:hint="eastAsia" w:ascii="宋体" w:hAnsi="宋体"/>
          <w:color w:val="auto"/>
          <w:sz w:val="24"/>
          <w:szCs w:val="24"/>
          <w:highlight w:val="none"/>
          <w:lang w:val="en-US" w:eastAsia="zh-CN"/>
        </w:rPr>
        <w:t xml:space="preserve">审计结束后支付审定价的95%</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质保期到期</w:t>
      </w:r>
      <w:r>
        <w:rPr>
          <w:rFonts w:hint="eastAsia" w:ascii="宋体" w:hAnsi="宋体" w:eastAsia="宋体"/>
          <w:color w:val="auto"/>
          <w:sz w:val="24"/>
          <w:szCs w:val="24"/>
          <w:highlight w:val="none"/>
        </w:rPr>
        <w:t xml:space="preserve">付清余款。采购人原则上应当自收到发票后10个工作日内将资金支付到合同约定的供应商账户。若中标人未能按期开具发票，采购人可顺延付款。</w:t>
      </w:r>
      <w:r/>
    </w:p>
    <w:p>
      <w:pPr>
        <w:pStyle w:val="929"/>
        <w:ind w:left="0" w:firstLine="0"/>
        <w:jc w:val="left"/>
        <w:spacing w:line="360" w:lineRule="auto"/>
        <w:tabs>
          <w:tab w:val="left" w:pos="1080" w:leader="none"/>
        </w:tabs>
        <w:rPr>
          <w:rFonts w:hint="eastAsia" w:ascii="宋体" w:hAnsi="宋体" w:eastAsia="宋体" w:cs="宋体"/>
          <w:color w:val="auto"/>
          <w:sz w:val="24"/>
          <w:szCs w:val="24"/>
          <w:highlight w:val="none"/>
          <w:lang w:eastAsia="zh-CN" w:bidi="ar"/>
        </w:rPr>
        <w:outlineLvl w:val="0"/>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二</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采购清单及技术参数</w:t>
      </w:r>
      <w:r>
        <w:rPr>
          <w:rFonts w:hint="eastAsia" w:ascii="宋体" w:hAnsi="宋体" w:cs="宋体"/>
          <w:color w:val="auto"/>
          <w:sz w:val="24"/>
          <w:szCs w:val="24"/>
          <w:highlight w:val="none"/>
          <w:lang w:eastAsia="zh-CN" w:bidi="ar"/>
        </w:rPr>
        <w:t xml:space="preserve">：</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1.本项目中所有产品均须符合国家环保等相关标准。</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2.清单中图片款式仅</w:t>
      </w:r>
      <w:r>
        <w:rPr>
          <w:rFonts w:hint="eastAsia" w:ascii="宋体" w:hAnsi="宋体" w:cs="宋体"/>
          <w:color w:val="auto"/>
          <w:sz w:val="24"/>
          <w:szCs w:val="24"/>
          <w:highlight w:val="none"/>
          <w:lang w:val="en-US" w:eastAsia="zh-CN" w:bidi="ar"/>
        </w:rPr>
        <w:t xml:space="preserve">做</w:t>
      </w:r>
      <w:r>
        <w:rPr>
          <w:rFonts w:hint="eastAsia" w:ascii="宋体" w:hAnsi="宋体" w:eastAsia="宋体" w:cs="宋体"/>
          <w:color w:val="auto"/>
          <w:sz w:val="24"/>
          <w:szCs w:val="24"/>
          <w:highlight w:val="none"/>
          <w:lang w:bidi="ar"/>
        </w:rPr>
        <w:t xml:space="preserve">参考，如有疑义，供货时以采购方要求为准，投标单价不变更。如投标单位提供的货物</w:t>
      </w:r>
      <w:r>
        <w:rPr>
          <w:rFonts w:hint="eastAsia" w:ascii="宋体" w:hAnsi="宋体" w:cs="宋体"/>
          <w:color w:val="auto"/>
          <w:sz w:val="24"/>
          <w:szCs w:val="24"/>
          <w:highlight w:val="none"/>
          <w:lang w:val="en-US" w:eastAsia="zh-CN" w:bidi="ar"/>
        </w:rPr>
        <w:t xml:space="preserve">低于采购需求内产品技术要求及参数</w:t>
      </w:r>
      <w:r>
        <w:rPr>
          <w:rFonts w:hint="eastAsia" w:ascii="宋体" w:hAnsi="宋体" w:eastAsia="宋体" w:cs="宋体"/>
          <w:color w:val="auto"/>
          <w:sz w:val="24"/>
          <w:szCs w:val="24"/>
          <w:highlight w:val="none"/>
          <w:lang w:bidi="ar"/>
        </w:rPr>
        <w:t xml:space="preserve">，采购方有权退货，造成的一切后果由投标单位负责。货到后由采购单位确认货品的材质与质量。</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4.采购项目清单：详见清单附件。</w:t>
      </w:r>
      <w:r/>
    </w:p>
    <w:p>
      <w:pPr>
        <w:pStyle w:val="915"/>
        <w:ind w:left="0" w:firstLine="480"/>
        <w:rPr>
          <w:rFonts w:hint="eastAsia" w:hAnsi="宋体" w:cs="宋体"/>
          <w:color w:val="auto"/>
          <w:sz w:val="24"/>
          <w:szCs w:val="24"/>
          <w:highlight w:val="none"/>
          <w:lang w:val="en-US" w:eastAsia="zh-CN" w:bidi="ar"/>
        </w:rPr>
      </w:pPr>
      <w:r>
        <w:rPr>
          <w:rFonts w:hint="eastAsia" w:hAnsi="宋体" w:cs="宋体"/>
          <w:color w:val="auto"/>
          <w:sz w:val="24"/>
          <w:szCs w:val="24"/>
          <w:highlight w:val="none"/>
          <w:lang w:val="en-US" w:eastAsia="zh-CN" w:bidi="ar"/>
        </w:rPr>
        <w:t xml:space="preserve">5.产品技术要求及参数：</w:t>
      </w:r>
      <w:r/>
    </w:p>
    <w:tbl>
      <w:tblPr>
        <w:tblStyle w:val="922"/>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2"/>
      </w:tblGrid>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hAnsi="宋体" w:cs="宋体"/>
                <w:color w:val="auto"/>
                <w:sz w:val="24"/>
                <w:highlight w:val="none"/>
              </w:rPr>
              <w:t xml:space="preserve">1、刨花板：检测项包含甲醛释放量≤0.025mg/m³；挥发性有机化合物：苯、甲苯、二甲苯皆未检出</w:t>
            </w:r>
            <w:r>
              <w:rPr>
                <w:rFonts w:hint="eastAsia" w:hAnsi="宋体" w:cs="宋体"/>
                <w:color w:val="auto"/>
                <w:sz w:val="24"/>
                <w:highlight w:val="none"/>
                <w:lang w:val="en-US" w:eastAsia="zh-CN"/>
              </w:rPr>
              <w:t xml:space="preserve">,</w:t>
            </w:r>
            <w:r>
              <w:rPr>
                <w:rFonts w:hint="eastAsia" w:hAnsi="宋体" w:cs="宋体"/>
                <w:color w:val="auto"/>
                <w:sz w:val="24"/>
                <w:highlight w:val="none"/>
              </w:rPr>
              <w:t xml:space="preserve">TVOC≤100μg/m³；外观质量检测不少于10项皆符合要求；理化性能检测不少于15项</w:t>
            </w:r>
            <w:r>
              <w:rPr>
                <w:rFonts w:hint="eastAsia" w:hAnsi="宋体" w:cs="宋体"/>
                <w:color w:val="auto"/>
                <w:sz w:val="24"/>
                <w:highlight w:val="none"/>
                <w:lang w:val="en-US" w:eastAsia="zh-CN"/>
              </w:rPr>
              <w:t xml:space="preserve">:</w:t>
            </w:r>
            <w:r>
              <w:rPr>
                <w:rFonts w:hint="eastAsia" w:hAnsi="宋体" w:cs="宋体"/>
                <w:color w:val="auto"/>
                <w:sz w:val="24"/>
                <w:highlight w:val="none"/>
              </w:rPr>
              <w:t xml:space="preserve">其中包含表面耐香烟灼烧、表面耐干热、表面耐污染腐蚀、表面耐龟裂、表面耐水蒸气皆达到4级及以上；抗菌性能（大肠杆菌）≥99%。</w:t>
            </w:r>
            <w:r/>
          </w:p>
        </w:tc>
      </w:tr>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ascii="宋体" w:hAnsi="宋体" w:eastAsia="宋体" w:cs="宋体"/>
                <w:color w:val="auto"/>
                <w:sz w:val="24"/>
                <w:highlight w:val="none"/>
              </w:rPr>
              <w:t xml:space="preserve">2、PVC封边条：检测项包含氙弧灯老化试验120h；抑菌率-金黄色葡萄球菌≥90%；理化性能：耐干热性、耐龟裂性、耐光色牢度均≥4级；有害物质限量：甲醛释放量、氯乙烯单体、可迁移元素（铅、镉、铬、汞、砷、钡、锑、硒）、邻苯二甲酸酯（邻苯二甲酸丁苄酯 、邻苯二甲酸二丁酯 、邻苯二甲酸二酯）总量、邻苯二甲酸酯（邻苯二甲酸二异壬酯、邻苯二甲酸二异癸酯、邻苯二甲酸二辛酯）总量、多溴联苯、多溴联苯醚皆未检出。</w:t>
            </w:r>
            <w:r/>
          </w:p>
        </w:tc>
      </w:tr>
      <w:tr>
        <w:trPr>
          <w:trHeight w:val="1590"/>
        </w:trPr>
        <w:tc>
          <w:tcPr>
            <w:tcW w:w="9522" w:type="dxa"/>
            <w:textDirection w:val="lrTb"/>
            <w:noWrap w:val="false"/>
          </w:tcPr>
          <w:p>
            <w:pPr>
              <w:spacing w:after="0" w:line="360" w:lineRule="auto"/>
              <w:rPr>
                <w:rFonts w:hint="eastAsia" w:ascii="宋体" w:hAnsi="宋体" w:eastAsia="宋体" w:cs="宋体"/>
                <w:color w:val="auto"/>
                <w:sz w:val="24"/>
                <w:szCs w:val="20"/>
                <w:highlight w:val="none"/>
                <w:vertAlign w:val="baseline"/>
                <w:lang w:val="en-US" w:eastAsia="zh-CN" w:bidi="ar"/>
              </w:rPr>
            </w:pPr>
            <w:r>
              <w:rPr>
                <w:rFonts w:hint="eastAsia" w:ascii="宋体" w:hAnsi="宋体" w:eastAsia="宋体" w:cs="宋体"/>
                <w:color w:val="auto"/>
                <w:sz w:val="24"/>
                <w:highlight w:val="none"/>
              </w:rPr>
              <w:t xml:space="preserve">3、超纤皮：检测项包含摩擦色牢度：干擦、湿擦、碱性汗液皆符合要求；耐光性≥5级；耐折牢度（50000次）符合要求；耐磨性符合要求；禁用偶氮染料未检出、游离甲醛、挥发性有机物、可萃取重金属（铅、镉）皆未检出。</w:t>
            </w:r>
            <w:r/>
          </w:p>
        </w:tc>
      </w:tr>
      <w:tr>
        <w:trPr>
          <w:trHeight w:val="1530"/>
        </w:trPr>
        <w:tc>
          <w:tcPr>
            <w:tcW w:w="9522" w:type="dxa"/>
            <w:textDirection w:val="lrTb"/>
            <w:noWrap w:val="false"/>
          </w:tcPr>
          <w:p>
            <w:pPr>
              <w:spacing w:after="0" w:line="360" w:lineRule="auto"/>
              <w:rPr>
                <w:rFonts w:hint="eastAsia" w:ascii="宋体" w:hAnsi="宋体" w:eastAsia="宋体" w:cs="宋体"/>
                <w:color w:val="auto"/>
                <w:sz w:val="24"/>
                <w:szCs w:val="20"/>
                <w:highlight w:val="none"/>
                <w:vertAlign w:val="baseline"/>
                <w:lang w:val="en-US" w:eastAsia="zh-CN" w:bidi="ar"/>
              </w:rPr>
            </w:pPr>
            <w:r>
              <w:rPr>
                <w:rFonts w:hint="eastAsia" w:ascii="宋体" w:hAnsi="宋体" w:eastAsia="宋体" w:cs="宋体"/>
                <w:color w:val="auto"/>
                <w:sz w:val="24"/>
                <w:highlight w:val="none"/>
              </w:rPr>
              <w:t xml:space="preserve">4、阻尼铰链：检测项包含垂直静载</w:t>
            </w:r>
            <w:r>
              <w:rPr>
                <w:rFonts w:hint="eastAsia" w:ascii="宋体" w:hAnsi="宋体" w:eastAsia="宋体" w:cs="宋体"/>
                <w:color w:val="auto"/>
                <w:sz w:val="24"/>
                <w:highlight w:val="none"/>
                <w:lang w:val="en-US" w:eastAsia="zh-CN"/>
              </w:rPr>
              <w:t xml:space="preserve">荷</w:t>
            </w:r>
            <w:r>
              <w:rPr>
                <w:rFonts w:hint="eastAsia" w:ascii="宋体" w:hAnsi="宋体" w:eastAsia="宋体" w:cs="宋体"/>
                <w:color w:val="auto"/>
                <w:sz w:val="24"/>
                <w:highlight w:val="none"/>
              </w:rPr>
              <w:t xml:space="preserve">、水平静载</w:t>
            </w:r>
            <w:r>
              <w:rPr>
                <w:rFonts w:hint="eastAsia" w:ascii="宋体" w:hAnsi="宋体" w:eastAsia="宋体" w:cs="宋体"/>
                <w:color w:val="auto"/>
                <w:sz w:val="24"/>
                <w:highlight w:val="none"/>
                <w:lang w:val="en-US" w:eastAsia="zh-CN"/>
              </w:rPr>
              <w:t xml:space="preserve">荷</w:t>
            </w:r>
            <w:r>
              <w:rPr>
                <w:rFonts w:hint="eastAsia" w:ascii="宋体" w:hAnsi="宋体" w:eastAsia="宋体" w:cs="宋体"/>
                <w:color w:val="auto"/>
                <w:sz w:val="24"/>
                <w:highlight w:val="none"/>
              </w:rPr>
              <w:t xml:space="preserve">、耐久性（100000次）、耐腐蚀皆符合要求；中性盐雾试验（300h）耐腐蚀等级达到10级；乙酸盐雾试验（300h）耐腐蚀等级达到10级。</w:t>
            </w:r>
            <w:r/>
          </w:p>
        </w:tc>
      </w:tr>
      <w:tr>
        <w:trPr>
          <w:trHeight w:val="2344"/>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水性面漆：检测项包含VOC含量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250</w:t>
            </w:r>
            <w:r>
              <w:rPr>
                <w:rFonts w:hint="eastAsia" w:ascii="宋体" w:hAnsi="宋体" w:eastAsia="宋体" w:cs="宋体"/>
                <w:color w:val="auto"/>
                <w:sz w:val="24"/>
                <w:highlight w:val="none"/>
              </w:rPr>
              <w:t xml:space="preserve">g/</w:t>
            </w:r>
            <w:r>
              <w:rPr>
                <w:rFonts w:hint="eastAsia" w:ascii="宋体" w:hAnsi="宋体" w:eastAsia="宋体" w:cs="宋体"/>
                <w:color w:val="auto"/>
                <w:sz w:val="24"/>
                <w:highlight w:val="none"/>
                <w:lang w:val="en-US" w:eastAsia="zh-CN"/>
              </w:rPr>
              <w:t xml:space="preserve">L；甲醛含量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rPr>
              <w:t xml:space="preserve">mg/</w:t>
            </w:r>
            <w:r>
              <w:rPr>
                <w:rFonts w:hint="eastAsia" w:ascii="宋体" w:hAnsi="宋体" w:eastAsia="宋体" w:cs="宋体"/>
                <w:color w:val="auto"/>
                <w:sz w:val="24"/>
                <w:highlight w:val="none"/>
                <w:lang w:val="en-US" w:eastAsia="zh-CN"/>
              </w:rPr>
              <w:t xml:space="preserve">kg；总铅含量未检出；可溶性重金属（镉、铬、汞）含量未检出；乙二醇醚及醚酯总和含量未检出、苯系物总和含量未检出；烷基酚聚氧乙烯醚总和含量未检出；贮存稳定性、耐冻融性、抗粘连性、耐划伤性、耐水性、耐碱性、耐醇性、耐污染性、耐干热性、耐黄变性（168h）皆符合要求。</w:t>
            </w:r>
            <w:r/>
          </w:p>
        </w:tc>
      </w:tr>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屏风工作位：检测项包含邻边垂直度；翘曲度；平整度；分缝；底脚着地平稳性；金属件（电镀件、喷漆/塑涂层）；木制件（封边、贴面、包边、倒棱、零部件的结合、漆膜/油漆涂层）；可触及区域；结构安全；金属喷漆/塑涂层；金属电镀层-抗盐雾；木制件表面涂层；桌几类强度和耐久性检测项不少于8项；苯未检出；甲苯未检出；可迁移有害元素（锑、砷、钡、镉、铬、铅、汞、硒）未检出；甲醛释放量≤0.04mg/m³；二甲苯≤0.10mg/m³；总挥发性有机化合物≤0.25mg/m³。</w:t>
            </w:r>
            <w:r/>
          </w:p>
        </w:tc>
      </w:tr>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hAnsi="宋体" w:cs="宋体"/>
                <w:color w:val="auto"/>
                <w:sz w:val="24"/>
                <w:highlight w:val="none"/>
                <w:lang w:val="en-US" w:eastAsia="zh-CN"/>
              </w:rPr>
              <w:t xml:space="preserve">7</w:t>
            </w:r>
            <w:r>
              <w:rPr>
                <w:rFonts w:hint="eastAsia" w:hAnsi="宋体" w:cs="宋体"/>
                <w:color w:val="auto"/>
                <w:sz w:val="24"/>
                <w:highlight w:val="none"/>
              </w:rPr>
              <w:t xml:space="preserve">、</w:t>
            </w:r>
            <w:r>
              <w:rPr>
                <w:rFonts w:hint="eastAsia" w:hAnsi="宋体" w:cs="宋体"/>
                <w:color w:val="auto"/>
                <w:sz w:val="24"/>
                <w:highlight w:val="none"/>
                <w:lang w:val="en-US" w:eastAsia="zh-CN"/>
              </w:rPr>
              <w:t xml:space="preserve">办公桌（主管桌）：检测项包含甲醛释放量</w:t>
            </w:r>
            <w:r>
              <w:rPr>
                <w:rFonts w:hint="eastAsia" w:hAnsi="宋体" w:cs="宋体"/>
                <w:color w:val="auto"/>
                <w:sz w:val="24"/>
                <w:highlight w:val="none"/>
              </w:rPr>
              <w:t xml:space="preserve">≤0.</w:t>
            </w:r>
            <w:r>
              <w:rPr>
                <w:rFonts w:hint="eastAsia" w:hAnsi="宋体" w:cs="宋体"/>
                <w:color w:val="auto"/>
                <w:sz w:val="24"/>
                <w:highlight w:val="none"/>
                <w:lang w:val="en-US" w:eastAsia="zh-CN"/>
              </w:rPr>
              <w:t xml:space="preserve">04</w:t>
            </w:r>
            <w:r>
              <w:rPr>
                <w:rFonts w:hint="eastAsia" w:hAnsi="宋体" w:cs="宋体"/>
                <w:color w:val="auto"/>
                <w:sz w:val="24"/>
                <w:highlight w:val="none"/>
              </w:rPr>
              <w:t xml:space="preserve">mg/m³</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苯未检出</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甲苯未检出</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二甲苯</w:t>
            </w:r>
            <w:r>
              <w:rPr>
                <w:rFonts w:hint="eastAsia" w:hAnsi="宋体" w:cs="宋体"/>
                <w:color w:val="auto"/>
                <w:sz w:val="24"/>
                <w:highlight w:val="none"/>
              </w:rPr>
              <w:t xml:space="preserve">≤0.</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mg/m³</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总挥发性有机化合物</w:t>
            </w:r>
            <w:r>
              <w:rPr>
                <w:rFonts w:hint="eastAsia" w:hAnsi="宋体" w:cs="宋体"/>
                <w:color w:val="auto"/>
                <w:sz w:val="24"/>
                <w:highlight w:val="none"/>
              </w:rPr>
              <w:t xml:space="preserve">≤0.25mg/m³</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家具涂层可迁移元素（铅、镉、铬、汞、锑、钡、硒、砷）皆未检出；</w:t>
            </w:r>
            <w:r>
              <w:rPr>
                <w:rFonts w:hint="eastAsia" w:hAnsi="宋体" w:cs="宋体"/>
                <w:color w:val="auto"/>
                <w:sz w:val="24"/>
                <w:highlight w:val="none"/>
              </w:rPr>
              <w:t xml:space="preserve">邻边垂直度；翘曲度；平整度；</w:t>
            </w:r>
            <w:r>
              <w:rPr>
                <w:rFonts w:hint="eastAsia" w:hAnsi="宋体" w:cs="宋体"/>
                <w:color w:val="auto"/>
                <w:sz w:val="24"/>
                <w:highlight w:val="none"/>
                <w:lang w:val="en-US" w:eastAsia="zh-CN"/>
              </w:rPr>
              <w:t xml:space="preserve">位差度；</w:t>
            </w:r>
            <w:r>
              <w:rPr>
                <w:rFonts w:hint="eastAsia" w:hAnsi="宋体" w:cs="宋体"/>
                <w:color w:val="auto"/>
                <w:sz w:val="24"/>
                <w:highlight w:val="none"/>
              </w:rPr>
              <w:t xml:space="preserve">分缝；底脚着地平稳性；</w:t>
            </w:r>
            <w:r>
              <w:rPr>
                <w:rFonts w:hint="eastAsia" w:hAnsi="宋体" w:cs="宋体"/>
                <w:color w:val="auto"/>
                <w:sz w:val="24"/>
                <w:highlight w:val="none"/>
                <w:lang w:val="en-US" w:eastAsia="zh-CN"/>
              </w:rPr>
              <w:t xml:space="preserve">金属件、木制件及塑料件外观检测；</w:t>
            </w:r>
            <w:r>
              <w:rPr>
                <w:rFonts w:hint="eastAsia" w:hAnsi="宋体" w:cs="宋体"/>
                <w:color w:val="auto"/>
                <w:sz w:val="24"/>
                <w:highlight w:val="none"/>
              </w:rPr>
              <w:t xml:space="preserve">金属喷漆/塑涂层；金属电镀层-抗盐雾；木制件表面</w:t>
            </w:r>
            <w:r>
              <w:rPr>
                <w:rFonts w:hint="eastAsia" w:hAnsi="宋体" w:cs="宋体"/>
                <w:color w:val="auto"/>
                <w:sz w:val="24"/>
                <w:highlight w:val="none"/>
                <w:lang w:val="en-US" w:eastAsia="zh-CN"/>
              </w:rPr>
              <w:t xml:space="preserve">装饰</w:t>
            </w:r>
            <w:r>
              <w:rPr>
                <w:rFonts w:hint="eastAsia" w:hAnsi="宋体" w:cs="宋体"/>
                <w:color w:val="auto"/>
                <w:sz w:val="24"/>
                <w:highlight w:val="none"/>
              </w:rPr>
              <w:t xml:space="preserve">层；桌类强度和耐久性检测项不少于</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项；</w:t>
            </w:r>
            <w:r>
              <w:rPr>
                <w:rFonts w:hint="eastAsia" w:hAnsi="宋体" w:cs="宋体"/>
                <w:color w:val="auto"/>
                <w:sz w:val="24"/>
                <w:highlight w:val="none"/>
                <w:lang w:val="en-US" w:eastAsia="zh-CN"/>
              </w:rPr>
              <w:t xml:space="preserve">柜</w:t>
            </w:r>
            <w:r>
              <w:rPr>
                <w:rFonts w:hint="eastAsia" w:hAnsi="宋体" w:cs="宋体"/>
                <w:color w:val="auto"/>
                <w:sz w:val="24"/>
                <w:highlight w:val="none"/>
              </w:rPr>
              <w:t xml:space="preserve">类强度和耐久性检测项不少于</w:t>
            </w: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项；</w:t>
            </w:r>
            <w:r>
              <w:rPr>
                <w:rFonts w:hint="eastAsia" w:hAnsi="宋体" w:cs="宋体"/>
                <w:color w:val="auto"/>
                <w:sz w:val="24"/>
                <w:highlight w:val="none"/>
                <w:lang w:val="en-US" w:eastAsia="zh-CN"/>
              </w:rPr>
              <w:t xml:space="preserve">结构安全检测项不少于8项。</w:t>
            </w:r>
            <w:r/>
          </w:p>
        </w:tc>
      </w:tr>
      <w:tr>
        <w:trPr/>
        <w:tc>
          <w:tcPr>
            <w:tcW w:w="9522" w:type="dxa"/>
            <w:textDirection w:val="lrTb"/>
            <w:noWrap w:val="false"/>
          </w:tcPr>
          <w:p>
            <w:pPr>
              <w:spacing w:after="0" w:line="360" w:lineRule="auto"/>
              <w:rPr>
                <w:rFonts w:hint="eastAsia" w:ascii="宋体" w:hAnsi="宋体" w:eastAsia="宋体" w:cs="宋体"/>
                <w:color w:val="auto"/>
                <w:sz w:val="24"/>
                <w:szCs w:val="20"/>
                <w:highlight w:val="none"/>
                <w:vertAlign w:val="baseline"/>
                <w:lang w:val="en-US" w:eastAsia="zh-CN" w:bidi="ar"/>
              </w:rPr>
            </w:pPr>
            <w:r>
              <w:rPr>
                <w:rFonts w:hint="eastAsia" w:ascii="宋体" w:hAnsi="宋体" w:eastAsia="宋体" w:cs="宋体"/>
                <w:color w:val="auto"/>
                <w:sz w:val="24"/>
                <w:highlight w:val="none"/>
                <w:lang w:val="en-US" w:eastAsia="zh-CN"/>
              </w:rPr>
              <w:t xml:space="preserve">8、办公椅（转椅、职员椅）：检测项包含甲醛释放量</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04</w:t>
            </w:r>
            <w:r>
              <w:rPr>
                <w:rFonts w:hint="eastAsia" w:ascii="宋体" w:hAnsi="宋体" w:eastAsia="宋体" w:cs="宋体"/>
                <w:color w:val="auto"/>
                <w:sz w:val="24"/>
                <w:highlight w:val="none"/>
              </w:rPr>
              <w:t xml:space="preserve">mg/m³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苯未检出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甲苯未检出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二甲苯</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mg/m³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总挥发性有机化合物</w:t>
            </w:r>
            <w:r>
              <w:rPr>
                <w:rFonts w:hint="eastAsia" w:ascii="宋体" w:hAnsi="宋体" w:eastAsia="宋体" w:cs="宋体"/>
                <w:color w:val="auto"/>
                <w:sz w:val="24"/>
                <w:highlight w:val="none"/>
              </w:rPr>
              <w:t xml:space="preserve">≤0.25mg/m³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塑料件外观；软、硬包件外观；金属件外观；涂层和镀层；安全性要求；力学性能检测项不少于5项。</w:t>
            </w:r>
            <w:r/>
          </w:p>
        </w:tc>
      </w:tr>
      <w:tr>
        <w:trPr/>
        <w:tc>
          <w:tcPr>
            <w:tcW w:w="9522" w:type="dxa"/>
            <w:textDirection w:val="lrTb"/>
            <w:noWrap w:val="false"/>
          </w:tcPr>
          <w:p>
            <w:pPr>
              <w:ind w:left="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床：检测项包含甲醛释放量≤0.04mg/m³；苯≤0.03mg/m³；甲苯≤0.08mg/m³；二甲苯≤0.10mg/m³；总挥发性有机化合物≤0.25mg/m³；翘曲度；平整度；邻边垂直度；底脚平稳性；木材含水率；木材外观要求；软硬质覆面人造板；漆膜；木工要求；木制件表面理化性能-软硬质覆面；单层床强度和耐久性检测项不少于7项；结构安全性。</w:t>
            </w:r>
            <w:r/>
          </w:p>
        </w:tc>
      </w:tr>
      <w:tr>
        <w:trPr/>
        <w:tc>
          <w:tcPr>
            <w:tcW w:w="9522" w:type="dxa"/>
            <w:textDirection w:val="lrTb"/>
            <w:noWrap w:val="false"/>
          </w:tcPr>
          <w:p>
            <w:pPr>
              <w:ind w:left="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衣柜：检测项包含甲醛释放量≤0.04mg/m³；苯≤0.03mg/m³；甲苯≤0.08mg/m³；二甲苯≤0.10mg/m³；总挥发性有机化合物≤0.25mg/m³；翘曲度；平整度；邻边垂直度；位差度；分缝；底脚平稳性；软硬质覆面人造板；五金件外观要求；木工要求；木制件表面理化性能-软硬质覆面；柜架类强度和耐久性检测项不少于10项；柜架类稳定性；结构安全性。</w:t>
            </w:r>
            <w:r/>
          </w:p>
        </w:tc>
      </w:tr>
    </w:tbl>
    <w:p>
      <w:pPr>
        <w:pStyle w:val="929"/>
        <w:ind w:firstLine="480"/>
        <w:jc w:val="left"/>
        <w:spacing w:line="360" w:lineRule="auto"/>
        <w:tabs>
          <w:tab w:val="left" w:pos="1080" w:leader="none"/>
        </w:tabs>
        <w:rPr>
          <w:rFonts w:hint="eastAsia" w:ascii="宋体" w:hAnsi="宋体" w:cs="宋体"/>
          <w:color w:val="auto"/>
          <w:sz w:val="24"/>
          <w:szCs w:val="24"/>
          <w:highlight w:val="none"/>
          <w:lang w:eastAsia="zh-CN"/>
        </w:rPr>
        <w:outlineLvl w:val="0"/>
      </w:pPr>
      <w:r>
        <w:rPr>
          <w:rFonts w:hint="eastAsia" w:ascii="宋体" w:hAnsi="宋体" w:eastAsia="宋体" w:cs="Times New Roman"/>
          <w:b w:val="0"/>
          <w:bCs/>
          <w:color w:val="auto"/>
          <w:sz w:val="24"/>
          <w:szCs w:val="24"/>
          <w:highlight w:val="none"/>
        </w:rPr>
        <w:t xml:space="preserve">本项目中所有产品均须符合国家环保等相关标准，</w:t>
      </w:r>
      <w:r>
        <w:rPr>
          <w:rFonts w:hint="eastAsia" w:ascii="宋体" w:hAnsi="宋体" w:eastAsia="宋体" w:cs="Times New Roman"/>
          <w:b/>
          <w:bCs w:val="0"/>
          <w:color w:val="auto"/>
          <w:sz w:val="24"/>
          <w:szCs w:val="24"/>
          <w:highlight w:val="none"/>
        </w:rPr>
        <w:t xml:space="preserve">承诺中标后提供满足参数要求的检测报告，未提供承诺，视为无效投标文件。承诺书格式自拟。</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有关说明</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1、所有家具</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均应出自投标人或制造商，不得私自添加或更改，保证所有家具及部件均是全新的</w:t>
      </w:r>
      <w:r>
        <w:rPr>
          <w:rFonts w:hint="eastAsia" w:ascii="宋体" w:hAnsi="宋体" w:eastAsia="宋体" w:cs="宋体"/>
          <w:color w:val="auto"/>
          <w:sz w:val="24"/>
          <w:szCs w:val="24"/>
          <w:highlight w:val="none"/>
          <w:lang w:val="en-US" w:eastAsia="zh-CN"/>
        </w:rPr>
        <w:t xml:space="preserve">合格品</w:t>
      </w:r>
      <w:r>
        <w:rPr>
          <w:rFonts w:hint="eastAsia" w:ascii="宋体" w:hAnsi="宋体" w:eastAsia="宋体" w:cs="宋体"/>
          <w:color w:val="auto"/>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有权拒绝接收。</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在合同签订前，</w:t>
      </w:r>
      <w:r>
        <w:rPr>
          <w:rFonts w:hint="eastAsia" w:ascii="宋体" w:hAnsi="宋体" w:eastAsia="宋体" w:cs="宋体"/>
          <w:color w:val="auto"/>
          <w:sz w:val="24"/>
          <w:szCs w:val="24"/>
          <w:highlight w:val="none"/>
        </w:rPr>
        <w:t xml:space="preserve">将对排名第一的中标候选人的投标文件中检测报告进行核查（第一中标候选人接到采购人或招标</w:t>
      </w:r>
      <w:r>
        <w:rPr>
          <w:rFonts w:hint="eastAsia" w:ascii="宋体" w:hAnsi="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通知后需立即将检测报告原件送至采购人或招标</w:t>
      </w:r>
      <w:r>
        <w:rPr>
          <w:rFonts w:hint="eastAsia" w:ascii="宋体" w:hAnsi="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项目联系人），若有虚假，该中标候选人承担由此带来的所有损失。中标人履约时，在家具进场后，采购人将随机抽样（不少于5类）送检测机构做破坏性检测，</w:t>
      </w:r>
      <w:r>
        <w:rPr>
          <w:rFonts w:hint="eastAsia" w:ascii="宋体" w:hAnsi="宋体" w:eastAsia="宋体" w:cs="宋体"/>
          <w:color w:val="auto"/>
          <w:sz w:val="24"/>
          <w:szCs w:val="24"/>
          <w:highlight w:val="none"/>
          <w:lang w:eastAsia="zh-CN"/>
        </w:rPr>
        <w:t xml:space="preserve">检测不合格的由中标人重新送货后进行</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eastAsia="zh-CN"/>
        </w:rPr>
        <w:t xml:space="preserve">次检测，仍不合格由中标人承担全部后果。家具安装完毕后，提供2次空气检测（甲醛、苯类（含甲苯、二甲苯）、TVOC），</w:t>
      </w:r>
      <w:r>
        <w:rPr>
          <w:rFonts w:hint="eastAsia" w:ascii="宋体" w:hAnsi="宋体" w:eastAsia="宋体" w:cs="宋体"/>
          <w:color w:val="auto"/>
          <w:sz w:val="24"/>
          <w:szCs w:val="24"/>
          <w:highlight w:val="none"/>
          <w:lang w:val="en-US" w:eastAsia="zh-CN"/>
        </w:rPr>
        <w:t xml:space="preserve">每次检测</w:t>
      </w:r>
      <w:r>
        <w:rPr>
          <w:rFonts w:hint="eastAsia" w:ascii="宋体" w:hAnsi="宋体" w:eastAsia="宋体" w:cs="宋体"/>
          <w:color w:val="auto"/>
          <w:sz w:val="24"/>
          <w:szCs w:val="24"/>
          <w:highlight w:val="none"/>
          <w:lang w:eastAsia="zh-CN"/>
        </w:rPr>
        <w:t xml:space="preserve">不少于10个场所，执行标准为《室内空气质量标准》GB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18883-2022。</w:t>
      </w:r>
      <w:r>
        <w:rPr>
          <w:rFonts w:hint="eastAsia" w:ascii="宋体" w:hAnsi="宋体" w:eastAsia="宋体" w:cs="宋体"/>
          <w:color w:val="auto"/>
          <w:sz w:val="24"/>
          <w:szCs w:val="24"/>
          <w:highlight w:val="none"/>
        </w:rPr>
        <w:t xml:space="preserve">检测时间、检测场所由采购人</w:t>
      </w:r>
      <w:r>
        <w:rPr>
          <w:rFonts w:hint="eastAsia" w:ascii="宋体" w:hAnsi="宋体" w:eastAsia="宋体" w:cs="宋体"/>
          <w:color w:val="auto"/>
          <w:sz w:val="24"/>
          <w:szCs w:val="24"/>
          <w:highlight w:val="none"/>
          <w:lang w:val="en-US" w:eastAsia="zh-CN"/>
        </w:rPr>
        <w:t xml:space="preserve">选</w:t>
      </w:r>
      <w:r>
        <w:rPr>
          <w:rFonts w:hint="eastAsia" w:ascii="宋体" w:hAnsi="宋体" w:eastAsia="宋体" w:cs="宋体"/>
          <w:color w:val="auto"/>
          <w:sz w:val="24"/>
          <w:szCs w:val="24"/>
          <w:highlight w:val="none"/>
        </w:rPr>
        <w:t xml:space="preserve">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检测机构必须</w:t>
      </w:r>
      <w:r>
        <w:rPr>
          <w:rFonts w:hint="eastAsia" w:ascii="宋体" w:hAnsi="宋体" w:eastAsia="宋体" w:cs="宋体"/>
          <w:color w:val="auto"/>
          <w:sz w:val="24"/>
          <w:szCs w:val="24"/>
          <w:highlight w:val="none"/>
        </w:rPr>
        <w:t xml:space="preserve">委托取得相关资质的第三方机构对其进行检测、认证。检测不合格的由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重新送货后进行</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rPr>
        <w:t xml:space="preserve">次检测，仍不合格由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承担全部后果。上述所有检测费用均包含在报价中。</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3、本项目固定单价，按实结算。投标总报价包括全部产品、辅助材料、备品、备件、安装、调试、人工、机械、运输、仓储、</w:t>
      </w:r>
      <w:r>
        <w:rPr>
          <w:rFonts w:hint="eastAsia" w:ascii="宋体" w:hAnsi="宋体" w:eastAsia="宋体" w:cs="宋体"/>
          <w:color w:val="auto"/>
          <w:sz w:val="24"/>
          <w:szCs w:val="24"/>
          <w:highlight w:val="none"/>
          <w:lang w:val="en-US" w:eastAsia="zh-CN"/>
        </w:rPr>
        <w:t xml:space="preserve">检测费用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4、通过中国海关报关验放进入中国境内且产自关境外的产品不在本项目的报价范围。</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
          <w:bCs/>
          <w:color w:val="auto"/>
          <w:sz w:val="24"/>
          <w:szCs w:val="24"/>
          <w:highlight w:val="none"/>
        </w:rPr>
        <w:t xml:space="preserve">（投标时须提供投标型号节能产品证书扫描件）</w:t>
      </w:r>
      <w:r>
        <w:rPr>
          <w:rFonts w:hint="eastAsia" w:ascii="宋体" w:hAnsi="宋体" w:eastAsia="宋体" w:cs="宋体"/>
          <w:color w:val="auto"/>
          <w:sz w:val="24"/>
          <w:szCs w:val="24"/>
          <w:highlight w:val="none"/>
        </w:rPr>
        <w:t xml:space="preserve">，认证机构详见市场监管总局发布的《参与实施政府采购节能产品认证机构名录》和《参与实施政府采购环境标志产品认证机构名录》。</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、本项目合同履行地点：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必须按采购人要求将本项目中货物送到指定地点（包括可能的分布范围），并分地实施安装调试。</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、包装和运输要求：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须为其提供的家具在最终验收前做好防潮、防湿、防腐、防锈及防碰撞等保护措施。因未做好保护措施导致的损失和由此产生的费用均由中标人承担。</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、售后要求：</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（1）质保期内，每半年须组织售后服务人员对所供货物进行巡检一次。质保期满后的维修内容减免上门费及人工费等费用，仅按原材料的价格收取维修费用，零配件应保证 5 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（2）免费质保期内如有质量问题时（使用不当除外），供应商将免费修复、更换，同一问题二次修复后仍有问题时，则全套更换。</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应按其投标文件中的承诺，进行其他售后服务工作。包括但不限于免费提供对采购方操作人员的免费应用技术培训，时间、地点由客户协商而定。</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、结算时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应协助采购人完成履约验收并无条件接受采购人组织的审计，以审计报告结果作为最终结算依据。</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政策要求（包括但不限于下列具体政策要求）</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bookmarkStart w:id="126" w:name="四．合同书"/>
      <w:r/>
      <w:bookmarkEnd w:id="126"/>
      <w:r/>
      <w:bookmarkStart w:id="127" w:name="三．项目技术配置和有关说明"/>
      <w:r/>
      <w:bookmarkEnd w:id="127"/>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认证机构详见市场监管总局发布的《参与实施政府采购节能产品认证机构名录》和《参与实施政府采购环境标志产品认证机构名录》。</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中小企业应当依法经营，诚实守信，按照合同约定提供合格的货物、工程和服务。</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根据《关于推动解决政府采购异常低价问题的通知》（财库〔2026〕2号）要求，</w:t>
      </w:r>
      <w:r>
        <w:rPr>
          <w:rFonts w:hint="eastAsia" w:ascii="宋体" w:hAnsi="宋体" w:eastAsia="宋体" w:cs="宋体"/>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sectPr>
          <w:footerReference w:type="default" r:id="rId13"/>
          <w:footnotePr/>
          <w:endnotePr/>
          <w:type w:val="nextPage"/>
          <w:pgSz w:w="11907" w:h="16839" w:orient="portrait"/>
          <w:pgMar w:top="1417" w:right="1134" w:bottom="1134" w:left="1134" w:header="0" w:footer="405"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pStyle w:val="921"/>
        <w:numPr>
          <w:ilvl w:val="0"/>
          <w:numId w:val="0"/>
        </w:numPr>
        <w:ind w:left="420" w:firstLine="0"/>
        <w:rPr>
          <w:rFonts w:hint="eastAsia" w:ascii="宋体" w:hAnsi="宋体" w:eastAsia="宋体" w:cs="宋体"/>
          <w:b/>
          <w:bCs w:val="0"/>
          <w:color w:val="auto"/>
          <w:sz w:val="28"/>
          <w:szCs w:val="28"/>
          <w:highlight w:val="none"/>
          <w:lang w:val="en-US" w:eastAsia="zh-CN"/>
        </w:rPr>
        <w:outlineLvl w:val="0"/>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五</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采购清单</w:t>
      </w:r>
      <w:r>
        <w:rPr>
          <w:rFonts w:hint="eastAsia" w:ascii="宋体" w:hAnsi="宋体" w:eastAsia="宋体" w:cs="宋体"/>
          <w:b/>
          <w:bCs w:val="0"/>
          <w:color w:val="auto"/>
          <w:sz w:val="28"/>
          <w:szCs w:val="28"/>
          <w:highlight w:val="none"/>
          <w:lang w:val="en-US" w:eastAsia="zh-CN"/>
        </w:rPr>
        <w:t xml:space="preserve">（以下</w:t>
      </w:r>
      <w:r>
        <w:rPr>
          <w:rFonts w:hint="eastAsia" w:ascii="宋体" w:hAnsi="宋体" w:cs="宋体"/>
          <w:b/>
          <w:bCs w:val="0"/>
          <w:color w:val="auto"/>
          <w:sz w:val="28"/>
          <w:szCs w:val="28"/>
          <w:highlight w:val="none"/>
          <w:lang w:val="en-US" w:eastAsia="zh-CN"/>
        </w:rPr>
        <w:t xml:space="preserve">标“</w:t>
      </w:r>
      <w:r>
        <w:rPr>
          <w:rFonts w:hint="eastAsia" w:ascii="宋体" w:hAnsi="宋体" w:eastAsia="宋体" w:cs="宋体"/>
          <w:b/>
          <w:bCs w:val="0"/>
          <w:color w:val="auto"/>
          <w:sz w:val="28"/>
          <w:szCs w:val="28"/>
          <w:highlight w:val="none"/>
          <w:lang w:val="en-US" w:eastAsia="zh-CN"/>
        </w:rPr>
        <w:t xml:space="preserve">▲</w:t>
      </w:r>
      <w:r>
        <w:rPr>
          <w:rFonts w:hint="eastAsia" w:ascii="宋体" w:hAnsi="宋体" w:cs="宋体"/>
          <w:b/>
          <w:bCs w:val="0"/>
          <w:color w:val="auto"/>
          <w:sz w:val="28"/>
          <w:szCs w:val="28"/>
          <w:highlight w:val="none"/>
          <w:lang w:val="en-US" w:eastAsia="zh-CN"/>
        </w:rPr>
        <w:t xml:space="preserve">”</w:t>
      </w:r>
      <w:r>
        <w:rPr>
          <w:rFonts w:hint="eastAsia" w:ascii="宋体" w:hAnsi="宋体" w:eastAsia="宋体" w:cs="宋体"/>
          <w:b/>
          <w:bCs w:val="0"/>
          <w:color w:val="auto"/>
          <w:sz w:val="28"/>
          <w:szCs w:val="28"/>
          <w:highlight w:val="none"/>
          <w:lang w:val="en-US" w:eastAsia="zh-CN"/>
        </w:rPr>
        <w:t xml:space="preserve">内容不得有负偏离，否则按无效投标处理。结算时按实际数量按实结算。）</w:t>
      </w:r>
      <w:r/>
    </w:p>
    <w:p>
      <w:pPr>
        <w:pStyle w:val="921"/>
        <w:numPr>
          <w:ilvl w:val="0"/>
          <w:numId w:val="0"/>
        </w:numPr>
        <w:ind w:left="420" w:firstLine="0"/>
        <w:rPr>
          <w:rFonts w:hint="default" w:ascii="宋体" w:hAnsi="宋体" w:eastAsia="宋体" w:cs="宋体"/>
          <w:b/>
          <w:bCs w:val="0"/>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备注：图片及尺寸仅供参考，具体以现场丈量及实际供货为准</w:t>
      </w:r>
      <w:r>
        <w:rPr>
          <w:rFonts w:hint="eastAsia" w:ascii="宋体" w:hAnsi="宋体" w:cs="宋体"/>
          <w:b w:val="0"/>
          <w:bCs/>
          <w:color w:val="auto"/>
          <w:sz w:val="28"/>
          <w:szCs w:val="28"/>
          <w:highlight w:val="none"/>
          <w:lang w:val="en-US" w:eastAsia="zh-CN"/>
        </w:rPr>
        <w:t xml:space="preserve">，所供产品须符合国家相关质量标准</w:t>
      </w:r>
      <w:r/>
    </w:p>
    <w:tbl>
      <w:tblPr>
        <w:tblStyle w:val="914"/>
        <w:tblW w:w="147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6"/>
        <w:gridCol w:w="837"/>
        <w:gridCol w:w="3423"/>
        <w:gridCol w:w="1200"/>
        <w:gridCol w:w="7285"/>
        <w:gridCol w:w="698"/>
        <w:gridCol w:w="698"/>
      </w:tblGrid>
      <w:tr>
        <w:trPr>
          <w:jc w:val="center"/>
          <w:trHeight w:val="552"/>
          <w:tblHead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数量</w:t>
            </w:r>
            <w:r/>
          </w:p>
        </w:tc>
      </w:tr>
      <w:tr>
        <w:trPr>
          <w:jc w:val="center"/>
          <w:trHeight w:val="259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登记台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207010</wp:posOffset>
                      </wp:positionV>
                      <wp:extent cx="1857375" cy="1212850"/>
                      <wp:effectExtent l="0" t="0" r="9525" b="6350"/>
                      <wp:wrapNone/>
                      <wp:docPr id="1"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6"/>
                              <a:stretch/>
                            </pic:blipFill>
                            <pic:spPr bwMode="auto">
                              <a:xfrm>
                                <a:off x="0" y="0"/>
                                <a:ext cx="1857375" cy="12128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6.2pt;mso-position-horizontal:absolute;mso-position-vertical-relative:text;margin-top:16.3pt;mso-position-vertical:absolute;width:146.2pt;height:95.5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厚度28-35mm</w:t>
            </w:r>
            <w:r>
              <w:rPr>
                <w:rFonts w:hint="eastAsia" w:ascii="宋体" w:hAnsi="宋体" w:eastAsia="宋体" w:cs="宋体"/>
                <w:i w:val="0"/>
                <w:iCs w:val="0"/>
                <w:color w:val="auto"/>
                <w:sz w:val="18"/>
                <w:szCs w:val="18"/>
                <w:highlight w:val="none"/>
                <w:u w:val="none"/>
                <w:lang w:val="en-US" w:eastAsia="zh-CN" w:bidi="ar"/>
              </w:rPr>
              <w:t xml:space="preserve">,台面上部采用</w:t>
            </w:r>
            <w:r>
              <w:rPr>
                <w:rFonts w:hint="eastAsia" w:hAnsi="宋体" w:cs="宋体"/>
                <w:i w:val="0"/>
                <w:iCs w:val="0"/>
                <w:color w:val="auto"/>
                <w:sz w:val="18"/>
                <w:szCs w:val="18"/>
                <w:highlight w:val="none"/>
                <w:u w:val="none"/>
                <w:lang w:val="en-US" w:eastAsia="zh-CN" w:bidi="ar"/>
              </w:rPr>
              <w:t xml:space="preserve">9-12mm厚岩板</w:t>
            </w:r>
            <w:r>
              <w:rPr>
                <w:rFonts w:hint="eastAsia" w:ascii="宋体" w:hAnsi="宋体" w:eastAsia="宋体" w:cs="宋体"/>
                <w:i w:val="0"/>
                <w:iCs w:val="0"/>
                <w:color w:val="auto"/>
                <w:sz w:val="18"/>
                <w:szCs w:val="18"/>
                <w:highlight w:val="none"/>
                <w:u w:val="none"/>
                <w:lang w:val="en-US" w:eastAsia="zh-CN" w:bidi="ar"/>
              </w:rPr>
              <w:t xml:space="preserve">,下部采用ENF级中纤板,甲醛释放量≤0.025mg/m3,符合GB/T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2)桌脚:木质下脚,主体使用ENF级中纤板/杨木薄片,边部倒角R2mm,环保油漆涂饰,甲醛释放量≤0.025mg/m3,符合GB/T 39600-2021《人造板及其制品甲醛释放量分级》标准，三面外包岩板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64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尿检台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59690</wp:posOffset>
                      </wp:positionH>
                      <wp:positionV relativeFrom="paragraph">
                        <wp:posOffset>149860</wp:posOffset>
                      </wp:positionV>
                      <wp:extent cx="1857375" cy="1212850"/>
                      <wp:effectExtent l="0" t="0" r="9525" b="6350"/>
                      <wp:wrapNone/>
                      <wp:docPr id="2" name="图片_2"/>
                      <wp:cNvGraphicFramePr/>
                      <a:graphic xmlns:a="http://schemas.openxmlformats.org/drawingml/2006/main">
                        <a:graphicData uri="http://schemas.openxmlformats.org/drawingml/2006/picture">
                          <pic:pic xmlns:pic="http://schemas.openxmlformats.org/drawingml/2006/picture">
                            <pic:nvPicPr>
                              <pic:cNvPr id="3" name="图片_2"/>
                              <pic:cNvPicPr/>
                              <pic:nvPr/>
                            </pic:nvPicPr>
                            <pic:blipFill>
                              <a:blip r:embed="rId16"/>
                              <a:stretch/>
                            </pic:blipFill>
                            <pic:spPr bwMode="auto">
                              <a:xfrm>
                                <a:off x="0" y="0"/>
                                <a:ext cx="1857375"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7pt;mso-position-horizontal:absolute;mso-position-vertical-relative:text;margin-top:11.8pt;mso-position-vertical:absolute;width:146.2pt;height:95.5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厚度28-35mm</w:t>
            </w:r>
            <w:r>
              <w:rPr>
                <w:rFonts w:hint="eastAsia" w:ascii="宋体" w:hAnsi="宋体" w:eastAsia="宋体" w:cs="宋体"/>
                <w:i w:val="0"/>
                <w:iCs w:val="0"/>
                <w:color w:val="auto"/>
                <w:sz w:val="18"/>
                <w:szCs w:val="18"/>
                <w:highlight w:val="none"/>
                <w:u w:val="none"/>
                <w:lang w:val="en-US" w:eastAsia="zh-CN" w:bidi="ar"/>
              </w:rPr>
              <w:t xml:space="preserve">,台面上部采用</w:t>
            </w:r>
            <w:r>
              <w:rPr>
                <w:rFonts w:hint="eastAsia" w:hAnsi="宋体" w:cs="宋体"/>
                <w:i w:val="0"/>
                <w:iCs w:val="0"/>
                <w:color w:val="auto"/>
                <w:sz w:val="18"/>
                <w:szCs w:val="18"/>
                <w:highlight w:val="none"/>
                <w:u w:val="none"/>
                <w:lang w:val="en-US" w:eastAsia="zh-CN" w:bidi="ar"/>
              </w:rPr>
              <w:t xml:space="preserve">9-12mm厚岩板</w:t>
            </w:r>
            <w:r>
              <w:rPr>
                <w:rFonts w:hint="eastAsia" w:ascii="宋体" w:hAnsi="宋体" w:eastAsia="宋体" w:cs="宋体"/>
                <w:i w:val="0"/>
                <w:iCs w:val="0"/>
                <w:color w:val="auto"/>
                <w:sz w:val="18"/>
                <w:szCs w:val="18"/>
                <w:highlight w:val="none"/>
                <w:u w:val="none"/>
                <w:lang w:val="en-US" w:eastAsia="zh-CN" w:bidi="ar"/>
              </w:rPr>
              <w:t xml:space="preserve">,下部采用ENF级中纤板,甲醛释放量≤0.025mg/m3,符合GB/T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2)桌脚:木质下脚,主体使用ENF级中纤板/杨木薄片,边部倒角R2mm,环保油漆涂饰,甲醛释放量≤0.025mg/m3,符合GB/T 39600-2021《人造板及其制品甲醛释放量分级》标准，三面外包岩板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18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658495</wp:posOffset>
                      </wp:positionH>
                      <wp:positionV relativeFrom="paragraph">
                        <wp:posOffset>119380</wp:posOffset>
                      </wp:positionV>
                      <wp:extent cx="721360" cy="941070"/>
                      <wp:effectExtent l="0" t="0" r="2540" b="11430"/>
                      <wp:wrapNone/>
                      <wp:docPr id="3" name="ID_11212C3AFB31465B9678031D19D0EDBE"/>
                      <wp:cNvGraphicFramePr/>
                      <a:graphic xmlns:a="http://schemas.openxmlformats.org/drawingml/2006/main">
                        <a:graphicData uri="http://schemas.openxmlformats.org/drawingml/2006/picture">
                          <pic:pic xmlns:pic="http://schemas.openxmlformats.org/drawingml/2006/picture">
                            <pic:nvPicPr>
                              <pic:cNvPr id="4" name="ID_11212C3AFB31465B9678031D19D0EDBE"/>
                              <pic:cNvPicPr/>
                              <pic:nvPr/>
                            </pic:nvPicPr>
                            <pic:blipFill>
                              <a:blip r:embed="rId17"/>
                              <a:stretch/>
                            </pic:blipFill>
                            <pic:spPr bwMode="auto">
                              <a:xfrm>
                                <a:off x="0" y="0"/>
                                <a:ext cx="721360" cy="94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51.8pt;mso-position-horizontal:absolute;mso-position-vertical-relative:text;margin-top:9.4pt;mso-position-vertical:absolute;width:56.8pt;height:74.1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615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545</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1)面料:靠背使用优质网布面料,</w:t>
            </w:r>
            <w:r>
              <w:rPr>
                <w:rFonts w:hint="eastAsia" w:hAnsi="宋体" w:cs="宋体"/>
                <w:i w:val="0"/>
                <w:iCs w:val="0"/>
                <w:color w:val="auto"/>
                <w:sz w:val="18"/>
                <w:szCs w:val="18"/>
                <w:highlight w:val="none"/>
                <w:u w:val="none"/>
                <w:lang w:val="en-US" w:eastAsia="zh-CN" w:bidi="ar"/>
              </w:rPr>
              <w:t xml:space="preserve">坐垫</w:t>
            </w:r>
            <w:r>
              <w:rPr>
                <w:rFonts w:hint="eastAsia" w:ascii="宋体" w:hAnsi="宋体" w:eastAsia="宋体" w:cs="宋体"/>
                <w:i w:val="0"/>
                <w:iCs w:val="0"/>
                <w:color w:val="auto"/>
                <w:sz w:val="18"/>
                <w:szCs w:val="18"/>
                <w:highlight w:val="none"/>
                <w:u w:val="none"/>
                <w:lang w:val="en-US" w:eastAsia="zh-CN" w:bidi="ar"/>
              </w:rPr>
              <w:t xml:space="preserve">可选网布或麻绒面料,干擦色牢度≥4级,甲醛含量0,芳香胺有害物质含量0,符合GB 18401-2010《国家纺织产品基本安全技术规范》标准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2)椅背:尼龙+30%玻纤一体成型背框,通过1001N强度测试及12万次疲劳测试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4)扶手:PP固定扶手,可通过水平方向667N、垂直方向1125N力学测试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r>
      <w:tr>
        <w:trPr>
          <w:jc w:val="center"/>
          <w:trHeight w:val="215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联排椅4人位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323215</wp:posOffset>
                      </wp:positionV>
                      <wp:extent cx="1731010" cy="935990"/>
                      <wp:effectExtent l="0" t="0" r="2540" b="16510"/>
                      <wp:wrapNone/>
                      <wp:docPr id="4" name="图片_8"/>
                      <wp:cNvGraphicFramePr/>
                      <a:graphic xmlns:a="http://schemas.openxmlformats.org/drawingml/2006/main">
                        <a:graphicData uri="http://schemas.openxmlformats.org/drawingml/2006/picture">
                          <pic:pic xmlns:pic="http://schemas.openxmlformats.org/drawingml/2006/picture">
                            <pic:nvPicPr>
                              <pic:cNvPr id="5" name="图片_8"/>
                              <pic:cNvPicPr/>
                              <pic:nvPr/>
                            </pic:nvPicPr>
                            <pic:blipFill>
                              <a:blip r:embed="rId18"/>
                              <a:stretch/>
                            </pic:blipFill>
                            <pic:spPr bwMode="auto">
                              <a:xfrm>
                                <a:off x="0" y="0"/>
                                <a:ext cx="1731010" cy="935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8.9pt;mso-position-horizontal:absolute;mso-position-vertical-relative:text;margin-top:25.4pt;mso-position-vertical:absolute;width:136.3pt;height:73.7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1)支撑脚:镁合金一体压铸成型,表面静电粉末喷涂,附着力≥2级,耐腐蚀100h后无锈蚀、剥落、起皱,符合GB/T3325-2024《金属家具通用技术条件》标准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2)扶手:镁合金一体压铸成型,表面静电粉末喷涂,附着力≥2级,耐腐蚀100h后无锈蚀、剥落、起皱,符合GB/T3325-2024《金属家具通用技术条件》标准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3)横梁:优质冷轧钢,壁厚≥1.8mm,表面静电粉末喷涂，化学成分比例符合GB/T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4)座背:采用PU一体发泡成型,整体厚度≥20mm,甲醛释放量≤0.120mg/m2h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208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联排椅3人位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256540</wp:posOffset>
                      </wp:positionH>
                      <wp:positionV relativeFrom="paragraph">
                        <wp:posOffset>135255</wp:posOffset>
                      </wp:positionV>
                      <wp:extent cx="1524635" cy="910590"/>
                      <wp:effectExtent l="0" t="0" r="18415" b="3810"/>
                      <wp:wrapNone/>
                      <wp:docPr id="5" name="图片_76"/>
                      <wp:cNvGraphicFramePr/>
                      <a:graphic xmlns:a="http://schemas.openxmlformats.org/drawingml/2006/main">
                        <a:graphicData uri="http://schemas.openxmlformats.org/drawingml/2006/picture">
                          <pic:pic xmlns:pic="http://schemas.openxmlformats.org/drawingml/2006/picture">
                            <pic:nvPicPr>
                              <pic:cNvPr id="6" name="图片_76"/>
                              <pic:cNvPicPr/>
                              <pic:nvPr/>
                            </pic:nvPicPr>
                            <pic:blipFill>
                              <a:blip r:embed="rId19"/>
                              <a:stretch/>
                            </pic:blipFill>
                            <pic:spPr bwMode="auto">
                              <a:xfrm>
                                <a:off x="0" y="0"/>
                                <a:ext cx="1524635" cy="910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0.2pt;mso-position-horizontal:absolute;mso-position-vertical-relative:text;margin-top:10.7pt;mso-position-vertical:absolute;width:120.0pt;height:71.7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1)支撑脚:镁合金一体压铸成型,表面静电粉末喷涂,附着力≥2级,耐腐蚀100h后无锈蚀、剥落、起皱,符合GB/T3325-2024《金属家具通用技术条件》标准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2)扶手:镁合金一体压铸成型,表面静电粉末喷涂,附着力≥2级,耐腐蚀100h后无锈蚀、剥落、起皱,符合GB/T3325-2024《金属家具通用技术条件》标准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3)横梁:优质冷轧钢,壁厚≥1.8mm,表面静电粉末喷涂，化学成分比例符合GB/T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4)座背:采用PU一体发泡成型,整体厚度≥20mm,甲醛释放量≤0.120mg/m2h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209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联排椅2人位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297815</wp:posOffset>
                      </wp:positionH>
                      <wp:positionV relativeFrom="paragraph">
                        <wp:posOffset>152400</wp:posOffset>
                      </wp:positionV>
                      <wp:extent cx="1461770" cy="962660"/>
                      <wp:effectExtent l="0" t="0" r="5080" b="8890"/>
                      <wp:wrapNone/>
                      <wp:docPr id="6" name="图片_3"/>
                      <wp:cNvGraphicFramePr/>
                      <a:graphic xmlns:a="http://schemas.openxmlformats.org/drawingml/2006/main">
                        <a:graphicData uri="http://schemas.openxmlformats.org/drawingml/2006/picture">
                          <pic:pic xmlns:pic="http://schemas.openxmlformats.org/drawingml/2006/picture">
                            <pic:nvPicPr>
                              <pic:cNvPr id="7" name="图片_3"/>
                              <pic:cNvPicPr/>
                              <pic:nvPr/>
                            </pic:nvPicPr>
                            <pic:blipFill>
                              <a:blip r:embed="rId20"/>
                              <a:stretch/>
                            </pic:blipFill>
                            <pic:spPr bwMode="auto">
                              <a:xfrm>
                                <a:off x="0" y="0"/>
                                <a:ext cx="1461770" cy="962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3.4pt;mso-position-horizontal:absolute;mso-position-vertical-relative:text;margin-top:12.0pt;mso-position-vertical:absolute;width:115.1pt;height:75.8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1)支撑脚:镁合金一体压铸成型,表面静电粉末喷涂,附着力≥2级,耐腐蚀100h后无锈蚀、剥落、起皱,符合GB/T3325-2024《金属家具通用技术条件》标准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2)扶手:镁合金一体压铸成型,表面静电粉末喷涂,附着力≥2级,耐腐蚀100h后无锈蚀、剥落、起皱,符合GB/T3325-2024《金属家具通用技术条件》标准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3)横梁:优质冷轧钢,壁厚≥1.8mm,表面静电粉末喷涂，化学成分比例符合GB/T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4)座背:采用PU一体发泡成型,整体厚度≥20mm,甲醛释放量≤0.120mg/m2h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72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民警椅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748030</wp:posOffset>
                      </wp:positionH>
                      <wp:positionV relativeFrom="paragraph">
                        <wp:posOffset>64135</wp:posOffset>
                      </wp:positionV>
                      <wp:extent cx="593725" cy="957580"/>
                      <wp:effectExtent l="0" t="0" r="15875" b="13970"/>
                      <wp:wrapNone/>
                      <wp:docPr id="7" name="Picture_4"/>
                      <wp:cNvGraphicFramePr/>
                      <a:graphic xmlns:a="http://schemas.openxmlformats.org/drawingml/2006/main">
                        <a:graphicData uri="http://schemas.openxmlformats.org/drawingml/2006/picture">
                          <pic:pic xmlns:pic="http://schemas.openxmlformats.org/drawingml/2006/picture">
                            <pic:nvPicPr>
                              <pic:cNvPr id="8" name="Picture_4"/>
                              <pic:cNvPicPr/>
                              <pic:nvPr/>
                            </pic:nvPicPr>
                            <pic:blipFill>
                              <a:blip r:embed="rId21"/>
                              <a:stretch/>
                            </pic:blipFill>
                            <pic:spPr bwMode="auto">
                              <a:xfrm>
                                <a:off x="0" y="0"/>
                                <a:ext cx="593725" cy="957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58.9pt;mso-position-horizontal:absolute;mso-position-vertical-relative:text;margin-top:5.0pt;mso-position-vertical:absolute;width:46.8pt;height:75.4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1)基材:采用天然优质白蜡木,经干燥、防虫、防腐处理,纹理自然清晰,结构稳定,环保油漆涂饰,符合GB/T 3324-2024《木家具通用技术条件》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1)涂装工艺:木纹色采用两底一面的本色涂装工艺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61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讯问椅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296545</wp:posOffset>
                      </wp:positionH>
                      <wp:positionV relativeFrom="paragraph">
                        <wp:posOffset>128270</wp:posOffset>
                      </wp:positionV>
                      <wp:extent cx="1355725" cy="1356995"/>
                      <wp:effectExtent l="0" t="0" r="15875" b="14604"/>
                      <wp:wrapNone/>
                      <wp:docPr id="8" name="Picture_1"/>
                      <wp:cNvGraphicFramePr/>
                      <a:graphic xmlns:a="http://schemas.openxmlformats.org/drawingml/2006/main">
                        <a:graphicData uri="http://schemas.openxmlformats.org/drawingml/2006/picture">
                          <pic:pic xmlns:pic="http://schemas.openxmlformats.org/drawingml/2006/picture">
                            <pic:nvPicPr>
                              <pic:cNvPr id="9" name="Picture_1"/>
                              <pic:cNvPicPr/>
                              <pic:nvPr/>
                            </pic:nvPicPr>
                            <pic:blipFill>
                              <a:blip r:embed="rId22"/>
                              <a:stretch/>
                            </pic:blipFill>
                            <pic:spPr bwMode="auto">
                              <a:xfrm>
                                <a:off x="0" y="0"/>
                                <a:ext cx="1355725" cy="135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3.3pt;mso-position-horizontal:absolute;mso-position-vertical-relative:text;margin-top:10.1pt;mso-position-vertical:absolute;width:106.8pt;height:106.8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820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66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会客桌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358775</wp:posOffset>
                      </wp:positionH>
                      <wp:positionV relativeFrom="paragraph">
                        <wp:posOffset>143510</wp:posOffset>
                      </wp:positionV>
                      <wp:extent cx="1235075" cy="765175"/>
                      <wp:effectExtent l="0" t="0" r="3175" b="15875"/>
                      <wp:wrapNone/>
                      <wp:docPr id="9" name="图片_1_SpCnt_1"/>
                      <wp:cNvGraphicFramePr/>
                      <a:graphic xmlns:a="http://schemas.openxmlformats.org/drawingml/2006/main">
                        <a:graphicData uri="http://schemas.openxmlformats.org/drawingml/2006/picture">
                          <pic:pic xmlns:pic="http://schemas.openxmlformats.org/drawingml/2006/picture">
                            <pic:nvPicPr>
                              <pic:cNvPr id="10" name="图片_1_SpCnt_1"/>
                              <pic:cNvPicPr/>
                              <pic:nvPr/>
                            </pic:nvPicPr>
                            <pic:blipFill>
                              <a:blip r:embed="rId23"/>
                              <a:stretch/>
                            </pic:blipFill>
                            <pic:spPr bwMode="auto">
                              <a:xfrm>
                                <a:off x="0" y="0"/>
                                <a:ext cx="1235075"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8.2pt;mso-position-horizontal:absolute;mso-position-vertical-relative:text;margin-top:11.3pt;mso-position-vertical:absolute;width:97.2pt;height:60.2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86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会客桌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335280</wp:posOffset>
                      </wp:positionH>
                      <wp:positionV relativeFrom="paragraph">
                        <wp:posOffset>70485</wp:posOffset>
                      </wp:positionV>
                      <wp:extent cx="1262380" cy="935990"/>
                      <wp:effectExtent l="0" t="0" r="13970" b="16510"/>
                      <wp:wrapNone/>
                      <wp:docPr id="10" name="图片_1_SpCnt_2"/>
                      <wp:cNvGraphicFramePr/>
                      <a:graphic xmlns:a="http://schemas.openxmlformats.org/drawingml/2006/main">
                        <a:graphicData uri="http://schemas.openxmlformats.org/drawingml/2006/picture">
                          <pic:pic xmlns:pic="http://schemas.openxmlformats.org/drawingml/2006/picture">
                            <pic:nvPicPr>
                              <pic:cNvPr id="11" name="图片_1_SpCnt_2"/>
                              <pic:cNvPicPr/>
                              <pic:nvPr/>
                            </pic:nvPicPr>
                            <pic:blipFill>
                              <a:blip r:embed="rId24"/>
                              <a:stretch/>
                            </pic:blipFill>
                            <pic:spPr bwMode="auto">
                              <a:xfrm>
                                <a:off x="0" y="0"/>
                                <a:ext cx="1262380" cy="935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6.4pt;mso-position-horizontal:absolute;mso-position-vertical-relative:text;margin-top:5.5pt;mso-position-vertical:absolute;width:99.4pt;height:73.7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1250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80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坐凳</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182245</wp:posOffset>
                      </wp:positionH>
                      <wp:positionV relativeFrom="paragraph">
                        <wp:posOffset>193040</wp:posOffset>
                      </wp:positionV>
                      <wp:extent cx="1699260" cy="1384935"/>
                      <wp:effectExtent l="0" t="0" r="15240" b="5715"/>
                      <wp:wrapNone/>
                      <wp:docPr id="11" name="图片_1_SpCnt_3"/>
                      <wp:cNvGraphicFramePr/>
                      <a:graphic xmlns:a="http://schemas.openxmlformats.org/drawingml/2006/main">
                        <a:graphicData uri="http://schemas.openxmlformats.org/drawingml/2006/picture">
                          <pic:pic xmlns:pic="http://schemas.openxmlformats.org/drawingml/2006/picture">
                            <pic:nvPicPr>
                              <pic:cNvPr id="12" name="图片_1_SpCnt_3"/>
                              <pic:cNvPicPr/>
                              <pic:nvPr/>
                            </pic:nvPicPr>
                            <pic:blipFill>
                              <a:blip r:embed="rId25"/>
                              <a:stretch/>
                            </pic:blipFill>
                            <pic:spPr bwMode="auto">
                              <a:xfrm>
                                <a:off x="0" y="0"/>
                                <a:ext cx="1699260" cy="138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3pt;mso-position-horizontal:absolute;mso-position-vertical-relative:text;margin-top:15.2pt;mso-position-vertical:absolute;width:133.8pt;height:109.0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3000/2850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71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坐凳2</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125095</wp:posOffset>
                      </wp:positionH>
                      <wp:positionV relativeFrom="paragraph">
                        <wp:posOffset>193040</wp:posOffset>
                      </wp:positionV>
                      <wp:extent cx="1833245" cy="1432560"/>
                      <wp:effectExtent l="0" t="0" r="14604" b="15240"/>
                      <wp:wrapNone/>
                      <wp:docPr id="12" name="图片_2_SpCnt_1"/>
                      <wp:cNvGraphicFramePr/>
                      <a:graphic xmlns:a="http://schemas.openxmlformats.org/drawingml/2006/main">
                        <a:graphicData uri="http://schemas.openxmlformats.org/drawingml/2006/picture">
                          <pic:pic xmlns:pic="http://schemas.openxmlformats.org/drawingml/2006/picture">
                            <pic:nvPicPr>
                              <pic:cNvPr id="13" name="图片_2_SpCnt_1"/>
                              <pic:cNvPicPr/>
                              <pic:nvPr/>
                            </pic:nvPicPr>
                            <pic:blipFill>
                              <a:blip r:embed="rId25"/>
                              <a:stretch/>
                            </pic:blipFill>
                            <pic:spPr bwMode="auto">
                              <a:xfrm>
                                <a:off x="0" y="0"/>
                                <a:ext cx="1833245" cy="1432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9.8pt;mso-position-horizontal:absolute;mso-position-vertical-relative:text;margin-top:15.2pt;mso-position-vertical:absolute;width:144.3pt;height:112.8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2940/5440/2240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77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坐凳3</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115570</wp:posOffset>
                      </wp:positionH>
                      <wp:positionV relativeFrom="paragraph">
                        <wp:posOffset>135890</wp:posOffset>
                      </wp:positionV>
                      <wp:extent cx="1776095" cy="1403985"/>
                      <wp:effectExtent l="0" t="0" r="14604" b="5715"/>
                      <wp:wrapNone/>
                      <wp:docPr id="13" name="图片_3_SpCnt_1"/>
                      <wp:cNvGraphicFramePr/>
                      <a:graphic xmlns:a="http://schemas.openxmlformats.org/drawingml/2006/main">
                        <a:graphicData uri="http://schemas.openxmlformats.org/drawingml/2006/picture">
                          <pic:pic xmlns:pic="http://schemas.openxmlformats.org/drawingml/2006/picture">
                            <pic:nvPicPr>
                              <pic:cNvPr id="14" name="图片_3_SpCnt_1"/>
                              <pic:cNvPicPr/>
                              <pic:nvPr/>
                            </pic:nvPicPr>
                            <pic:blipFill>
                              <a:blip r:embed="rId25"/>
                              <a:stretch/>
                            </pic:blipFill>
                            <pic:spPr bwMode="auto">
                              <a:xfrm>
                                <a:off x="0" y="0"/>
                                <a:ext cx="1776095" cy="1403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9.1pt;mso-position-horizontal:absolute;mso-position-vertical-relative:text;margin-top:10.7pt;mso-position-vertical:absolute;width:139.8pt;height:110.5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1520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jc w:val="center"/>
          <w:trHeight w:val="233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215900</wp:posOffset>
                      </wp:positionH>
                      <wp:positionV relativeFrom="paragraph">
                        <wp:posOffset>54610</wp:posOffset>
                      </wp:positionV>
                      <wp:extent cx="692150" cy="1323340"/>
                      <wp:effectExtent l="0" t="0" r="12700" b="10160"/>
                      <wp:wrapNone/>
                      <wp:docPr id="14" name="图片_1_SpCnt_4"/>
                      <wp:cNvGraphicFramePr/>
                      <a:graphic xmlns:a="http://schemas.openxmlformats.org/drawingml/2006/main">
                        <a:graphicData uri="http://schemas.openxmlformats.org/drawingml/2006/picture">
                          <pic:pic xmlns:pic="http://schemas.openxmlformats.org/drawingml/2006/picture">
                            <pic:nvPicPr>
                              <pic:cNvPr id="15" name="图片_1_SpCnt_4"/>
                              <pic:cNvPicPr/>
                              <pic:nvPr/>
                            </pic:nvPicPr>
                            <pic:blipFill>
                              <a:blip r:embed="rId26"/>
                              <a:stretch/>
                            </pic:blipFill>
                            <pic:spPr bwMode="auto">
                              <a:xfrm>
                                <a:off x="0" y="0"/>
                                <a:ext cx="692150" cy="1323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7.0pt;mso-position-horizontal:absolute;mso-position-vertical-relative:text;margin-top:4.3pt;mso-position-vertical:absolute;width:54.5pt;height:104.2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1141095</wp:posOffset>
                      </wp:positionH>
                      <wp:positionV relativeFrom="paragraph">
                        <wp:posOffset>64135</wp:posOffset>
                      </wp:positionV>
                      <wp:extent cx="784860" cy="1291590"/>
                      <wp:effectExtent l="0" t="0" r="15240" b="3810"/>
                      <wp:wrapNone/>
                      <wp:docPr id="15" name="图片_12"/>
                      <wp:cNvGraphicFramePr/>
                      <a:graphic xmlns:a="http://schemas.openxmlformats.org/drawingml/2006/main">
                        <a:graphicData uri="http://schemas.openxmlformats.org/drawingml/2006/picture">
                          <pic:pic xmlns:pic="http://schemas.openxmlformats.org/drawingml/2006/picture">
                            <pic:nvPicPr>
                              <pic:cNvPr id="16" name="图片_12"/>
                              <pic:cNvPicPr/>
                              <pic:nvPr/>
                            </pic:nvPicPr>
                            <pic:blipFill>
                              <a:blip r:embed="rId27"/>
                              <a:stretch/>
                            </pic:blipFill>
                            <pic:spPr bwMode="auto">
                              <a:xfrm>
                                <a:off x="0" y="0"/>
                                <a:ext cx="784860" cy="129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89.8pt;mso-position-horizontal:absolute;mso-position-vertical-relative:text;margin-top:5.0pt;mso-position-vertical:absolute;width:61.8pt;height:101.7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2)封边:柜体采用优质PVC封边条,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4)拉手:斜切边拉手</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214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606425</wp:posOffset>
                      </wp:positionH>
                      <wp:positionV relativeFrom="paragraph">
                        <wp:posOffset>119380</wp:posOffset>
                      </wp:positionV>
                      <wp:extent cx="714375" cy="1113790"/>
                      <wp:effectExtent l="0" t="0" r="9525" b="10160"/>
                      <wp:wrapNone/>
                      <wp:docPr id="16" name="图片_5"/>
                      <wp:cNvGraphicFramePr/>
                      <a:graphic xmlns:a="http://schemas.openxmlformats.org/drawingml/2006/main">
                        <a:graphicData uri="http://schemas.openxmlformats.org/drawingml/2006/picture">
                          <pic:pic xmlns:pic="http://schemas.openxmlformats.org/drawingml/2006/picture">
                            <pic:nvPicPr>
                              <pic:cNvPr id="17" name="图片_5"/>
                              <pic:cNvPicPr/>
                              <pic:nvPr/>
                            </pic:nvPicPr>
                            <pic:blipFill>
                              <a:blip r:embed="rId28"/>
                              <a:stretch/>
                            </pic:blipFill>
                            <pic:spPr bwMode="auto">
                              <a:xfrm>
                                <a:off x="0" y="0"/>
                                <a:ext cx="714375" cy="1113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47.8pt;mso-position-horizontal:absolute;mso-position-vertical-relative:text;margin-top:9.4pt;mso-position-vertical:absolute;width:56.2pt;height:87.7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2)单层承重500kg</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565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55245</wp:posOffset>
                      </wp:positionH>
                      <wp:positionV relativeFrom="paragraph">
                        <wp:posOffset>1083310</wp:posOffset>
                      </wp:positionV>
                      <wp:extent cx="1952625" cy="1289685"/>
                      <wp:effectExtent l="0" t="0" r="9525" b="5715"/>
                      <wp:wrapNone/>
                      <wp:docPr id="17" name="图片_3_SpCnt_2"/>
                      <wp:cNvGraphicFramePr/>
                      <a:graphic xmlns:a="http://schemas.openxmlformats.org/drawingml/2006/main">
                        <a:graphicData uri="http://schemas.openxmlformats.org/drawingml/2006/picture">
                          <pic:pic xmlns:pic="http://schemas.openxmlformats.org/drawingml/2006/picture">
                            <pic:nvPicPr>
                              <pic:cNvPr id="18" name="图片_3_SpCnt_2"/>
                              <pic:cNvPicPr/>
                              <pic:nvPr/>
                            </pic:nvPicPr>
                            <pic:blipFill>
                              <a:blip r:embed="rId29"/>
                              <a:stretch/>
                            </pic:blipFill>
                            <pic:spPr bwMode="auto">
                              <a:xfrm>
                                <a:off x="0" y="0"/>
                                <a:ext cx="1952625" cy="1289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4.3pt;mso-position-horizontal:absolute;mso-position-vertical-relative:text;margin-top:85.3pt;mso-position-vertical:absolute;width:153.8pt;height:101.5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5)锁具:机械密码锁,使用寿命＞1万次,符合QB/T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7)铝条:采用AL6063-T5铝合金,截面</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~1.5mm,表面氧化处理,耐盐雾腐蚀性24h无泛白、变色,符合GB/T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3)斜切工艺:</w:t>
            </w:r>
            <w:r>
              <w:rPr>
                <w:rFonts w:hint="eastAsia" w:hAnsi="宋体" w:cs="宋体"/>
                <w:i w:val="0"/>
                <w:iCs w:val="0"/>
                <w:color w:val="auto"/>
                <w:sz w:val="18"/>
                <w:szCs w:val="18"/>
                <w:highlight w:val="none"/>
                <w:u w:val="none"/>
                <w:lang w:val="en-US" w:eastAsia="zh-CN" w:bidi="ar"/>
              </w:rPr>
              <w:t xml:space="preserve">板件边部≥5mm厚</w:t>
            </w:r>
            <w:r>
              <w:rPr>
                <w:rFonts w:hint="eastAsia" w:ascii="宋体" w:hAnsi="宋体" w:eastAsia="宋体" w:cs="宋体"/>
                <w:i w:val="0"/>
                <w:iCs w:val="0"/>
                <w:color w:val="auto"/>
                <w:sz w:val="18"/>
                <w:szCs w:val="18"/>
                <w:highlight w:val="none"/>
                <w:u w:val="none"/>
                <w:lang w:val="en-US" w:eastAsia="zh-CN" w:bidi="ar"/>
              </w:rPr>
              <w:t xml:space="preserve">,斜切45°,斜切距离13mm,光滑平整、不易破损、脱落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jc w:val="center"/>
          <w:trHeight w:val="229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382270</wp:posOffset>
                      </wp:positionH>
                      <wp:positionV relativeFrom="paragraph">
                        <wp:posOffset>108585</wp:posOffset>
                      </wp:positionV>
                      <wp:extent cx="1085850" cy="1236980"/>
                      <wp:effectExtent l="0" t="0" r="0" b="1270"/>
                      <wp:wrapNone/>
                      <wp:docPr id="18" name="ID_0A30C8219EA940E0B5EDCF49E21CED4D"/>
                      <wp:cNvGraphicFramePr/>
                      <a:graphic xmlns:a="http://schemas.openxmlformats.org/drawingml/2006/main">
                        <a:graphicData uri="http://schemas.openxmlformats.org/drawingml/2006/picture">
                          <pic:pic xmlns:pic="http://schemas.openxmlformats.org/drawingml/2006/picture">
                            <pic:nvPicPr>
                              <pic:cNvPr id="19" name="ID_0A30C8219EA940E0B5EDCF49E21CED4D"/>
                              <pic:cNvPicPr/>
                              <pic:nvPr/>
                            </pic:nvPicPr>
                            <pic:blipFill>
                              <a:blip r:embed="rId30"/>
                              <a:stretch/>
                            </pic:blipFill>
                            <pic:spPr bwMode="auto">
                              <a:xfrm>
                                <a:off x="0" y="0"/>
                                <a:ext cx="1085850" cy="1236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30.1pt;mso-position-horizontal:absolute;mso-position-vertical-relative:text;margin-top:8.5pt;mso-position-vertical:absolute;width:85.5pt;height:97.4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590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730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2)椅身:</w:t>
            </w:r>
            <w:r>
              <w:rPr>
                <w:rFonts w:hint="eastAsia" w:hAnsi="宋体" w:cs="宋体"/>
                <w:i w:val="0"/>
                <w:iCs w:val="0"/>
                <w:color w:val="auto"/>
                <w:sz w:val="18"/>
                <w:szCs w:val="18"/>
                <w:highlight w:val="none"/>
                <w:u w:val="none"/>
                <w:lang w:val="en-US" w:eastAsia="zh-CN" w:bidi="ar"/>
              </w:rPr>
              <w:t xml:space="preserve">12-15mm单层板+裁切棉</w:t>
            </w:r>
            <w:r>
              <w:rPr>
                <w:rFonts w:hint="eastAsia" w:ascii="宋体" w:hAnsi="宋体" w:eastAsia="宋体" w:cs="宋体"/>
                <w:i w:val="0"/>
                <w:iCs w:val="0"/>
                <w:color w:val="auto"/>
                <w:sz w:val="18"/>
                <w:szCs w:val="18"/>
                <w:highlight w:val="none"/>
                <w:u w:val="none"/>
                <w:lang w:val="en-US" w:eastAsia="zh-CN" w:bidi="ar"/>
              </w:rPr>
              <w:t xml:space="preserve">,座面密度≥45kg/m3,回弹性≥40%，甲醛散发≤10mg/kg，通过GB/T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3573"/>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事务和填单座椅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440690</wp:posOffset>
                      </wp:positionH>
                      <wp:positionV relativeFrom="paragraph">
                        <wp:posOffset>497840</wp:posOffset>
                      </wp:positionV>
                      <wp:extent cx="1146175" cy="1322070"/>
                      <wp:effectExtent l="0" t="0" r="15875" b="11430"/>
                      <wp:wrapNone/>
                      <wp:docPr id="19" name="ID_7712B82A52174A30A0C565E21F6BD1E4"/>
                      <wp:cNvGraphicFramePr/>
                      <a:graphic xmlns:a="http://schemas.openxmlformats.org/drawingml/2006/main">
                        <a:graphicData uri="http://schemas.openxmlformats.org/drawingml/2006/picture">
                          <pic:pic xmlns:pic="http://schemas.openxmlformats.org/drawingml/2006/picture">
                            <pic:nvPicPr>
                              <pic:cNvPr id="20" name="ID_7712B82A52174A30A0C565E21F6BD1E4"/>
                              <pic:cNvPicPr/>
                              <pic:nvPr/>
                            </pic:nvPicPr>
                            <pic:blipFill>
                              <a:blip r:embed="rId31"/>
                              <a:stretch/>
                            </pic:blipFill>
                            <pic:spPr bwMode="auto">
                              <a:xfrm>
                                <a:off x="0" y="0"/>
                                <a:ext cx="1146175" cy="1322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34.7pt;mso-position-horizontal:absolute;mso-position-vertical-relative:text;margin-top:39.2pt;mso-position-vertical:absolute;width:90.2pt;height:104.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580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640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2)椅背:ABS成型背框,一体成型定型绵,密度≥55kg/m3,回弹性≥40%,甲醛散发≤10mg/kg，通过GB/T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6)下架:铝合金沙发脚,表面电镀,涂层耐盐雾100h,椅架通过136kg冲击实验,符合GB/T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r>
      <w:tr>
        <w:trPr>
          <w:jc w:val="center"/>
          <w:trHeight w:val="166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填写台吧桌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221615</wp:posOffset>
                      </wp:positionH>
                      <wp:positionV relativeFrom="paragraph">
                        <wp:posOffset>154305</wp:posOffset>
                      </wp:positionV>
                      <wp:extent cx="1644015" cy="780415"/>
                      <wp:effectExtent l="0" t="0" r="13335" b="635"/>
                      <wp:wrapNone/>
                      <wp:docPr id="20" name="图片_79"/>
                      <wp:cNvGraphicFramePr/>
                      <a:graphic xmlns:a="http://schemas.openxmlformats.org/drawingml/2006/main">
                        <a:graphicData uri="http://schemas.openxmlformats.org/drawingml/2006/picture">
                          <pic:pic xmlns:pic="http://schemas.openxmlformats.org/drawingml/2006/picture">
                            <pic:nvPicPr>
                              <pic:cNvPr id="21" name="图片_79"/>
                              <pic:cNvPicPr/>
                              <pic:nvPr/>
                            </pic:nvPicPr>
                            <pic:blipFill>
                              <a:blip r:embed="rId32"/>
                              <a:stretch/>
                            </pic:blipFill>
                            <pic:spPr bwMode="auto">
                              <a:xfrm>
                                <a:off x="0" y="0"/>
                                <a:ext cx="1644015"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7.4pt;mso-position-horizontal:absolute;mso-position-vertical-relative:text;margin-top:12.1pt;mso-position-vertical:absolute;width:129.4pt;height:61.4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3600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59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填写台吧椅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424180</wp:posOffset>
                      </wp:positionH>
                      <wp:positionV relativeFrom="paragraph">
                        <wp:posOffset>220980</wp:posOffset>
                      </wp:positionV>
                      <wp:extent cx="1175385" cy="1234440"/>
                      <wp:effectExtent l="0" t="0" r="5715" b="3810"/>
                      <wp:wrapNone/>
                      <wp:docPr id="21" name="图片_87"/>
                      <wp:cNvGraphicFramePr/>
                      <a:graphic xmlns:a="http://schemas.openxmlformats.org/drawingml/2006/main">
                        <a:graphicData uri="http://schemas.openxmlformats.org/drawingml/2006/picture">
                          <pic:pic xmlns:pic="http://schemas.openxmlformats.org/drawingml/2006/picture">
                            <pic:nvPicPr>
                              <pic:cNvPr id="22" name="图片_87"/>
                              <pic:cNvPicPr/>
                              <pic:nvPr/>
                            </pic:nvPicPr>
                            <pic:blipFill>
                              <a:blip r:embed="rId33"/>
                              <a:stretch/>
                            </pic:blipFill>
                            <pic:spPr bwMode="auto">
                              <a:xfrm>
                                <a:off x="0" y="0"/>
                                <a:ext cx="1175385"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33.4pt;mso-position-horizontal:absolute;mso-position-vertical-relative:text;margin-top:17.4pt;mso-position-vertical:absolute;width:92.5pt;height:97.2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660/920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2)海绵:靠背采用发泡成型定型海绵,密度≥45kg/m3,回弹性≥40%,通过防火性能检测,座垫配置E1级曲木板,可通过136kg冲击测试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3)沙发脚:铝合金沙发脚,表面电镀,涂层耐盐雾100h,椅架通过136kg冲击实验,符合GB/T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4)气杆:自动回位气杆,360°旋转,表面抛光,符合QB/T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03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便民柜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490855</wp:posOffset>
                      </wp:positionV>
                      <wp:extent cx="1900555" cy="781685"/>
                      <wp:effectExtent l="0" t="0" r="4445" b="18415"/>
                      <wp:wrapNone/>
                      <wp:docPr id="22" name="图片_11"/>
                      <wp:cNvGraphicFramePr/>
                      <a:graphic xmlns:a="http://schemas.openxmlformats.org/drawingml/2006/main">
                        <a:graphicData uri="http://schemas.openxmlformats.org/drawingml/2006/picture">
                          <pic:pic xmlns:pic="http://schemas.openxmlformats.org/drawingml/2006/picture">
                            <pic:nvPicPr>
                              <pic:cNvPr id="23" name="图片_11"/>
                              <pic:cNvPicPr/>
                              <pic:nvPr/>
                            </pic:nvPicPr>
                            <pic:blipFill>
                              <a:blip r:embed="rId34"/>
                              <a:stretch/>
                            </pic:blipFill>
                            <pic:spPr bwMode="auto">
                              <a:xfrm>
                                <a:off x="0" y="0"/>
                                <a:ext cx="190055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3.8pt;mso-position-horizontal:absolute;mso-position-vertical-relative:text;margin-top:38.6pt;mso-position-vertical:absolute;width:149.7pt;height:61.5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310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导办台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372110</wp:posOffset>
                      </wp:positionH>
                      <wp:positionV relativeFrom="paragraph">
                        <wp:posOffset>279400</wp:posOffset>
                      </wp:positionV>
                      <wp:extent cx="1417955" cy="1458595"/>
                      <wp:effectExtent l="0" t="0" r="10795" b="8255"/>
                      <wp:wrapNone/>
                      <wp:docPr id="23" name="图片_12_SpCnt_1"/>
                      <wp:cNvGraphicFramePr/>
                      <a:graphic xmlns:a="http://schemas.openxmlformats.org/drawingml/2006/main">
                        <a:graphicData uri="http://schemas.openxmlformats.org/drawingml/2006/picture">
                          <pic:pic xmlns:pic="http://schemas.openxmlformats.org/drawingml/2006/picture">
                            <pic:nvPicPr>
                              <pic:cNvPr id="24" name="图片_12_SpCnt_1"/>
                              <pic:cNvPicPr/>
                              <pic:nvPr/>
                            </pic:nvPicPr>
                            <pic:blipFill>
                              <a:blip r:embed="rId35"/>
                              <a:stretch/>
                            </pic:blipFill>
                            <pic:spPr bwMode="auto">
                              <a:xfrm>
                                <a:off x="0" y="0"/>
                                <a:ext cx="1417955" cy="1458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9.3pt;mso-position-horizontal:absolute;mso-position-vertical-relative:text;margin-top:22.0pt;mso-position-vertical:absolute;width:111.6pt;height:114.8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1350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11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417830</wp:posOffset>
                      </wp:positionH>
                      <wp:positionV relativeFrom="paragraph">
                        <wp:posOffset>569595</wp:posOffset>
                      </wp:positionV>
                      <wp:extent cx="1189355" cy="1423035"/>
                      <wp:effectExtent l="0" t="0" r="10795" b="5715"/>
                      <wp:wrapNone/>
                      <wp:docPr id="24" name="ID_9F6428C4BEC547DB9E7D262FD00E5ED1"/>
                      <wp:cNvGraphicFramePr/>
                      <a:graphic xmlns:a="http://schemas.openxmlformats.org/drawingml/2006/main">
                        <a:graphicData uri="http://schemas.openxmlformats.org/drawingml/2006/picture">
                          <pic:pic xmlns:pic="http://schemas.openxmlformats.org/drawingml/2006/picture">
                            <pic:nvPicPr>
                              <pic:cNvPr id="25" name="ID_9F6428C4BEC547DB9E7D262FD00E5ED1"/>
                              <pic:cNvPicPr/>
                              <pic:nvPr/>
                            </pic:nvPicPr>
                            <pic:blipFill>
                              <a:blip r:embed="rId36"/>
                              <a:stretch/>
                            </pic:blipFill>
                            <pic:spPr bwMode="auto">
                              <a:xfrm>
                                <a:off x="0" y="0"/>
                                <a:ext cx="1189354"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32.9pt;mso-position-horizontal:absolute;mso-position-vertical-relative:text;margin-top:44.8pt;mso-position-vertical:absolute;width:93.6pt;height:112.0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655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（1000-1095）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1)面料:靠背使用优质网布面料,座垫可选网布或麻绒面料,干擦色牢度≥4级,甲醛含量0,芳香胺有害物质含量0,符合GB 18401-2010《国家纺织产品基本安全技术规范》标准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2)椅背:尼龙+30%玻纤一体成型背框,通过1001N强度测试及12万次疲劳测试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4)扶手:PP固定扶手,可通过水平方向667N、垂直方向1125N力学测试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7)五星脚:</w:t>
            </w:r>
            <w:r>
              <w:rPr>
                <w:rFonts w:hint="eastAsia" w:hAnsi="宋体" w:cs="宋体"/>
                <w:i w:val="0"/>
                <w:iCs w:val="0"/>
                <w:color w:val="auto"/>
                <w:sz w:val="18"/>
                <w:szCs w:val="18"/>
                <w:highlight w:val="none"/>
                <w:u w:val="none"/>
                <w:lang w:val="en-US" w:eastAsia="zh-CN" w:bidi="ar"/>
              </w:rPr>
              <w:t xml:space="preserve">直径640-720mm</w:t>
            </w:r>
            <w:r>
              <w:rPr>
                <w:rFonts w:hint="eastAsia" w:ascii="宋体" w:hAnsi="宋体" w:eastAsia="宋体" w:cs="宋体"/>
                <w:i w:val="0"/>
                <w:iCs w:val="0"/>
                <w:color w:val="auto"/>
                <w:sz w:val="18"/>
                <w:szCs w:val="18"/>
                <w:highlight w:val="none"/>
                <w:u w:val="none"/>
                <w:lang w:val="en-US" w:eastAsia="zh-CN" w:bidi="ar"/>
              </w:rPr>
              <w:t xml:space="preserve">尼龙五星脚,通过垂直方向11120N静压测试,涂层耐腐蚀100h后无锈蚀、剥落、起皱,符合GB/T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8)椅轮:PA轮,通过耐久98000次无障碍往返,2000次有障碍往返,有害物质限量未检出，符合;GB 18584-2024《家具中有害物质限量》标准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r>
      <w:tr>
        <w:trPr>
          <w:jc w:val="center"/>
          <w:trHeight w:val="399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客椅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245745</wp:posOffset>
                      </wp:positionH>
                      <wp:positionV relativeFrom="paragraph">
                        <wp:posOffset>451485</wp:posOffset>
                      </wp:positionV>
                      <wp:extent cx="1522730" cy="1637030"/>
                      <wp:effectExtent l="0" t="0" r="1270" b="1270"/>
                      <wp:wrapNone/>
                      <wp:docPr id="25" name="图片_6"/>
                      <wp:cNvGraphicFramePr/>
                      <a:graphic xmlns:a="http://schemas.openxmlformats.org/drawingml/2006/main">
                        <a:graphicData uri="http://schemas.openxmlformats.org/drawingml/2006/picture">
                          <pic:pic xmlns:pic="http://schemas.openxmlformats.org/drawingml/2006/picture">
                            <pic:nvPicPr>
                              <pic:cNvPr id="26" name="图片_6"/>
                              <pic:cNvPicPr/>
                              <pic:nvPr/>
                            </pic:nvPicPr>
                            <pic:blipFill>
                              <a:blip r:embed="rId37"/>
                              <a:stretch/>
                            </pic:blipFill>
                            <pic:spPr bwMode="auto">
                              <a:xfrm>
                                <a:off x="0" y="0"/>
                                <a:ext cx="1522730" cy="163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9.3pt;mso-position-horizontal:absolute;mso-position-vertical-relative:text;margin-top:35.5pt;mso-position-vertical:absolute;width:119.9pt;height:128.9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621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44450</wp:posOffset>
                      </wp:positionH>
                      <wp:positionV relativeFrom="paragraph">
                        <wp:posOffset>1590040</wp:posOffset>
                      </wp:positionV>
                      <wp:extent cx="1958340" cy="1067435"/>
                      <wp:effectExtent l="0" t="0" r="3810" b="18415"/>
                      <wp:wrapNone/>
                      <wp:docPr id="26" name="图片_11_SpCnt_1"/>
                      <wp:cNvGraphicFramePr/>
                      <a:graphic xmlns:a="http://schemas.openxmlformats.org/drawingml/2006/main">
                        <a:graphicData uri="http://schemas.openxmlformats.org/drawingml/2006/picture">
                          <pic:pic xmlns:pic="http://schemas.openxmlformats.org/drawingml/2006/picture">
                            <pic:nvPicPr>
                              <pic:cNvPr id="27" name="图片_11_SpCnt_1"/>
                              <pic:cNvPicPr/>
                              <pic:nvPr/>
                            </pic:nvPicPr>
                            <pic:blipFill>
                              <a:blip r:embed="rId38"/>
                              <a:stretch/>
                            </pic:blipFill>
                            <pic:spPr bwMode="auto">
                              <a:xfrm>
                                <a:off x="0" y="0"/>
                                <a:ext cx="1958340" cy="1067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3.5pt;mso-position-horizontal:absolute;mso-position-vertical-relative:text;margin-top:125.2pt;mso-position-vertical:absolute;width:154.2pt;height:84.0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8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679450</wp:posOffset>
                      </wp:positionV>
                      <wp:extent cx="1833245" cy="1817370"/>
                      <wp:effectExtent l="0" t="0" r="14604" b="11430"/>
                      <wp:wrapNone/>
                      <wp:docPr id="27" name="图片_19"/>
                      <wp:cNvGraphicFramePr/>
                      <a:graphic xmlns:a="http://schemas.openxmlformats.org/drawingml/2006/main">
                        <a:graphicData uri="http://schemas.openxmlformats.org/drawingml/2006/picture">
                          <pic:pic xmlns:pic="http://schemas.openxmlformats.org/drawingml/2006/picture">
                            <pic:nvPicPr>
                              <pic:cNvPr id="28" name="图片_19"/>
                              <pic:cNvPicPr/>
                              <pic:nvPr/>
                            </pic:nvPicPr>
                            <pic:blipFill>
                              <a:blip r:embed="rId39"/>
                              <a:stretch/>
                            </pic:blipFill>
                            <pic:spPr bwMode="auto">
                              <a:xfrm>
                                <a:off x="0" y="0"/>
                                <a:ext cx="1833245" cy="181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8.9pt;mso-position-horizontal:absolute;mso-position-vertical-relative:text;margin-top:53.5pt;mso-position-vertical:absolute;width:144.3pt;height:143.1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518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718820</wp:posOffset>
                      </wp:positionV>
                      <wp:extent cx="1873885" cy="1816100"/>
                      <wp:effectExtent l="0" t="0" r="12065" b="12700"/>
                      <wp:wrapNone/>
                      <wp:docPr id="28" name="图片_19_SpCnt_1"/>
                      <wp:cNvGraphicFramePr/>
                      <a:graphic xmlns:a="http://schemas.openxmlformats.org/drawingml/2006/main">
                        <a:graphicData uri="http://schemas.openxmlformats.org/drawingml/2006/picture">
                          <pic:pic xmlns:pic="http://schemas.openxmlformats.org/drawingml/2006/picture">
                            <pic:nvPicPr>
                              <pic:cNvPr id="29" name="图片_19_SpCnt_1"/>
                              <pic:cNvPicPr/>
                              <pic:nvPr/>
                            </pic:nvPicPr>
                            <pic:blipFill>
                              <a:blip r:embed="rId40"/>
                              <a:stretch/>
                            </pic:blipFill>
                            <pic:spPr bwMode="auto">
                              <a:xfrm>
                                <a:off x="0" y="0"/>
                                <a:ext cx="1873885" cy="181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6.2pt;mso-position-horizontal:absolute;mso-position-vertical-relative:text;margin-top:56.6pt;mso-position-vertical:absolute;width:147.5pt;height:143.0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611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923290</wp:posOffset>
                      </wp:positionV>
                      <wp:extent cx="1776095" cy="2011680"/>
                      <wp:effectExtent l="0" t="0" r="14604" b="7620"/>
                      <wp:wrapNone/>
                      <wp:docPr id="29" name="图片_15"/>
                      <wp:cNvGraphicFramePr/>
                      <a:graphic xmlns:a="http://schemas.openxmlformats.org/drawingml/2006/main">
                        <a:graphicData uri="http://schemas.openxmlformats.org/drawingml/2006/picture">
                          <pic:pic xmlns:pic="http://schemas.openxmlformats.org/drawingml/2006/picture">
                            <pic:nvPicPr>
                              <pic:cNvPr id="30" name="图片_15"/>
                              <pic:cNvPicPr/>
                              <pic:nvPr/>
                            </pic:nvPicPr>
                            <pic:blipFill>
                              <a:blip r:embed="rId41"/>
                              <a:stretch/>
                            </pic:blipFill>
                            <pic:spPr bwMode="auto">
                              <a:xfrm>
                                <a:off x="0" y="0"/>
                                <a:ext cx="1776095" cy="201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7.4pt;mso-position-horizontal:absolute;mso-position-vertical-relative:text;margin-top:72.7pt;mso-position-vertical:absolute;width:139.8pt;height:158.4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1)柜体:基材采用优质冷轧钢板,表面静电粉末喷涂,喷涂完成后整体厚度不低于0.8mm,化学成分比例符合GB/T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3)锁具:正面锁,锁头与门板齐平,整洁安全,使用寿命＞2万次,符合QB/T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4)把手:ABS材质,表面光滑平整,无气泡、杂质等不良,耐老化性能不低于500h,满足GB/T 32487-2016 《塑料家具通用技术条件》标准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1)拼接工艺:三面拼接工艺,背部与侧板拼接,焊接固定</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2)薄边工艺:超薄边框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1)名片夹配置:门板上配置名片夹,PC材质,颜色透明,内部含有名片纸,可填写用户信息</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2)开合功能:暗弹式塑料拉手,把手与门板齐平,翻板翻转灵活盖住把手,内部不易积灰,整洁美观安全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4)仪容镜配置:门板上配置仪容镜,卡扣式安装,可手动拿取</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5)调节功能:外置式底座,柜体与底座分开,使用螺丝连接,适用于多种使用环境,内部调节高度,底座可更换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6)连接孔配置:顶部配置连接孔,用于连接软包、顶板、上柜</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7)敲落孔配置:左右侧边配置连接孔,用于相邻柜子左右连接</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jc w:val="center"/>
          <w:trHeight w:val="302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165100</wp:posOffset>
                      </wp:positionH>
                      <wp:positionV relativeFrom="paragraph">
                        <wp:posOffset>537210</wp:posOffset>
                      </wp:positionV>
                      <wp:extent cx="1681480" cy="1681480"/>
                      <wp:effectExtent l="0" t="0" r="13970" b="13970"/>
                      <wp:wrapNone/>
                      <wp:docPr id="30" name="图片_19_SpCnt_2"/>
                      <wp:cNvGraphicFramePr/>
                      <a:graphic xmlns:a="http://schemas.openxmlformats.org/drawingml/2006/main">
                        <a:graphicData uri="http://schemas.openxmlformats.org/drawingml/2006/picture">
                          <pic:pic xmlns:pic="http://schemas.openxmlformats.org/drawingml/2006/picture">
                            <pic:nvPicPr>
                              <pic:cNvPr id="31" name="图片_19_SpCnt_2"/>
                              <pic:cNvPicPr/>
                              <pic:nvPr/>
                            </pic:nvPicPr>
                            <pic:blipFill>
                              <a:blip r:embed="rId42"/>
                              <a:stretch/>
                            </pic:blipFill>
                            <pic:spPr bwMode="auto">
                              <a:xfrm>
                                <a:off x="0" y="0"/>
                                <a:ext cx="1681480" cy="168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13.0pt;mso-position-horizontal:absolute;mso-position-vertical-relative:text;margin-top:42.3pt;mso-position-vertical:absolute;width:132.4pt;height:132.4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1)床板:</w:t>
            </w:r>
            <w:r>
              <w:rPr>
                <w:rFonts w:hint="eastAsia" w:hAnsi="宋体" w:cs="宋体"/>
                <w:i w:val="0"/>
                <w:iCs w:val="0"/>
                <w:color w:val="auto"/>
                <w:sz w:val="18"/>
                <w:szCs w:val="18"/>
                <w:highlight w:val="none"/>
                <w:u w:val="none"/>
                <w:lang w:val="en-US" w:eastAsia="zh-CN" w:bidi="ar"/>
              </w:rPr>
              <w:t xml:space="preserve">采用杉木床板</w:t>
            </w:r>
            <w:r>
              <w:rPr>
                <w:rFonts w:hint="eastAsia" w:ascii="宋体" w:hAnsi="宋体" w:eastAsia="宋体" w:cs="宋体"/>
                <w:i w:val="0"/>
                <w:iCs w:val="0"/>
                <w:color w:val="auto"/>
                <w:sz w:val="18"/>
                <w:szCs w:val="18"/>
                <w:highlight w:val="none"/>
                <w:u w:val="none"/>
                <w:lang w:val="en-US" w:eastAsia="zh-CN" w:bidi="ar"/>
              </w:rPr>
              <w:t xml:space="preserve">,</w:t>
            </w:r>
            <w:r>
              <w:rPr>
                <w:rFonts w:hint="eastAsia" w:hAnsi="宋体" w:cs="宋体"/>
                <w:i w:val="0"/>
                <w:iCs w:val="0"/>
                <w:color w:val="auto"/>
                <w:sz w:val="18"/>
                <w:szCs w:val="18"/>
                <w:highlight w:val="none"/>
                <w:u w:val="none"/>
                <w:lang w:val="en-US" w:eastAsia="zh-CN" w:bidi="ar"/>
              </w:rPr>
              <w:t xml:space="preserve">含11根及以上板条</w:t>
            </w:r>
            <w:r>
              <w:rPr>
                <w:rFonts w:hint="eastAsia" w:ascii="宋体" w:hAnsi="宋体" w:eastAsia="宋体" w:cs="宋体"/>
                <w:i w:val="0"/>
                <w:iCs w:val="0"/>
                <w:color w:val="auto"/>
                <w:sz w:val="18"/>
                <w:szCs w:val="18"/>
                <w:highlight w:val="none"/>
                <w:u w:val="none"/>
                <w:lang w:val="en-US" w:eastAsia="zh-CN" w:bidi="ar"/>
              </w:rPr>
              <w:t xml:space="preserve">,厚度≥15mm,间隙≤10mm,</w:t>
            </w:r>
            <w:r>
              <w:rPr>
                <w:rFonts w:hint="eastAsia" w:hAnsi="宋体" w:cs="宋体"/>
                <w:i w:val="0"/>
                <w:iCs w:val="0"/>
                <w:color w:val="auto"/>
                <w:sz w:val="18"/>
                <w:szCs w:val="18"/>
                <w:highlight w:val="none"/>
                <w:u w:val="none"/>
                <w:lang w:val="en-US" w:eastAsia="zh-CN" w:bidi="ar"/>
              </w:rPr>
              <w:t xml:space="preserve">包含不少于5根木档支撑</w:t>
            </w:r>
            <w:r>
              <w:rPr>
                <w:rFonts w:hint="eastAsia" w:ascii="宋体" w:hAnsi="宋体" w:eastAsia="宋体" w:cs="宋体"/>
                <w:i w:val="0"/>
                <w:iCs w:val="0"/>
                <w:color w:val="auto"/>
                <w:sz w:val="18"/>
                <w:szCs w:val="18"/>
                <w:highlight w:val="none"/>
                <w:u w:val="none"/>
                <w:lang w:val="en-US" w:eastAsia="zh-CN" w:bidi="ar"/>
              </w:rPr>
              <w:t xml:space="preserve">,板面腐朽面积不超过材面面积20%,任意材长1m范围内活节个数不超过6个,或者尺寸不得超过板宽的1/3,符合GB/T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2)边立柱:Q195材质扇形安全圆角钢管,</w:t>
            </w:r>
            <w:r>
              <w:rPr>
                <w:rFonts w:hint="eastAsia" w:hAnsi="宋体" w:cs="宋体"/>
                <w:i w:val="0"/>
                <w:iCs w:val="0"/>
                <w:color w:val="auto"/>
                <w:sz w:val="18"/>
                <w:szCs w:val="18"/>
                <w:highlight w:val="none"/>
                <w:u w:val="none"/>
                <w:lang w:val="en-US" w:eastAsia="zh-CN" w:bidi="ar"/>
              </w:rPr>
              <w:t xml:space="preserve">壁厚1.2-1.5mm,</w:t>
            </w:r>
            <w:r>
              <w:rPr>
                <w:rFonts w:hint="eastAsia" w:ascii="宋体" w:hAnsi="宋体" w:eastAsia="宋体" w:cs="宋体"/>
                <w:i w:val="0"/>
                <w:iCs w:val="0"/>
                <w:color w:val="auto"/>
                <w:sz w:val="18"/>
                <w:szCs w:val="18"/>
                <w:highlight w:val="none"/>
                <w:u w:val="none"/>
                <w:lang w:val="en-US" w:eastAsia="zh-CN" w:bidi="ar"/>
              </w:rPr>
              <w:t xml:space="preserve">立柱上下封口采用优质ABS塑料的静音内外塞</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3)床板支撑杆:Q195材质矩形钢管,</w:t>
            </w:r>
            <w:r>
              <w:rPr>
                <w:rFonts w:hint="eastAsia" w:hAnsi="宋体" w:cs="宋体"/>
                <w:i w:val="0"/>
                <w:iCs w:val="0"/>
                <w:color w:val="auto"/>
                <w:sz w:val="18"/>
                <w:szCs w:val="18"/>
                <w:highlight w:val="none"/>
                <w:u w:val="none"/>
                <w:lang w:val="en-US" w:eastAsia="zh-CN" w:bidi="ar"/>
              </w:rPr>
              <w:t xml:space="preserve">壁厚1.2-1.5mm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高150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1)床垫:1000g棕垫，表面采用白色针织面料,无明显破损、污渍、发霉现象;主体无明显色差,干擦色牢度≥3级,甲醛释放量≤0.05mg/㎡h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07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184150</wp:posOffset>
                      </wp:positionH>
                      <wp:positionV relativeFrom="paragraph">
                        <wp:posOffset>129540</wp:posOffset>
                      </wp:positionV>
                      <wp:extent cx="1575435" cy="1084580"/>
                      <wp:effectExtent l="0" t="0" r="5715" b="1270"/>
                      <wp:wrapNone/>
                      <wp:docPr id="31" name="图片_58"/>
                      <wp:cNvGraphicFramePr/>
                      <a:graphic xmlns:a="http://schemas.openxmlformats.org/drawingml/2006/main">
                        <a:graphicData uri="http://schemas.openxmlformats.org/drawingml/2006/picture">
                          <pic:pic xmlns:pic="http://schemas.openxmlformats.org/drawingml/2006/picture">
                            <pic:nvPicPr>
                              <pic:cNvPr id="32" name="图片_58"/>
                              <pic:cNvPicPr/>
                              <pic:nvPr/>
                            </pic:nvPicPr>
                            <pic:blipFill>
                              <a:blip r:embed="rId43"/>
                              <a:stretch/>
                            </pic:blipFill>
                            <pic:spPr bwMode="auto">
                              <a:xfrm>
                                <a:off x="0" y="0"/>
                                <a:ext cx="1575435"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14.5pt;mso-position-horizontal:absolute;mso-position-vertical-relative:text;margin-top:10.2pt;mso-position-vertical:absolute;width:124.0pt;height:85.4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3)导轨:优质导轨,耐久性≥8万次,涂层耐盐雾300h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235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442595</wp:posOffset>
                      </wp:positionH>
                      <wp:positionV relativeFrom="paragraph">
                        <wp:posOffset>129540</wp:posOffset>
                      </wp:positionV>
                      <wp:extent cx="1069340" cy="1276350"/>
                      <wp:effectExtent l="0" t="0" r="16510" b="0"/>
                      <wp:wrapNone/>
                      <wp:docPr id="32" name="图片_59"/>
                      <wp:cNvGraphicFramePr/>
                      <a:graphic xmlns:a="http://schemas.openxmlformats.org/drawingml/2006/main">
                        <a:graphicData uri="http://schemas.openxmlformats.org/drawingml/2006/picture">
                          <pic:pic xmlns:pic="http://schemas.openxmlformats.org/drawingml/2006/picture">
                            <pic:nvPicPr>
                              <pic:cNvPr id="33" name="图片_59"/>
                              <pic:cNvPicPr/>
                              <pic:nvPr/>
                            </pic:nvPicPr>
                            <pic:blipFill>
                              <a:blip r:embed="rId44"/>
                              <a:stretch/>
                            </pic:blipFill>
                            <pic:spPr bwMode="auto">
                              <a:xfrm>
                                <a:off x="0" y="0"/>
                                <a:ext cx="106934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34.9pt;mso-position-horizontal:absolute;mso-position-vertical-relative:text;margin-top:10.2pt;mso-position-vertical:absolute;width:84.2pt;height:100.5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3)沙发脚:天然榉木沙发脚,环保油漆涂饰,甲醛释放量≤0.025mg/m3,符合QB/T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577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919480</wp:posOffset>
                      </wp:positionV>
                      <wp:extent cx="1891665" cy="975995"/>
                      <wp:effectExtent l="0" t="0" r="13335" b="14604"/>
                      <wp:wrapNone/>
                      <wp:docPr id="33" name="图片_85"/>
                      <wp:cNvGraphicFramePr/>
                      <a:graphic xmlns:a="http://schemas.openxmlformats.org/drawingml/2006/main">
                        <a:graphicData uri="http://schemas.openxmlformats.org/drawingml/2006/picture">
                          <pic:pic xmlns:pic="http://schemas.openxmlformats.org/drawingml/2006/picture">
                            <pic:nvPicPr>
                              <pic:cNvPr id="34" name="图片_85"/>
                              <pic:cNvPicPr/>
                              <pic:nvPr/>
                            </pic:nvPicPr>
                            <pic:blipFill>
                              <a:blip r:embed="rId45"/>
                              <a:stretch/>
                            </pic:blipFill>
                            <pic:spPr bwMode="auto">
                              <a:xfrm>
                                <a:off x="0" y="0"/>
                                <a:ext cx="1891665" cy="975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5.8pt;mso-position-horizontal:absolute;mso-position-vertical-relative:text;margin-top:72.4pt;mso-position-vertical:absolute;width:148.9pt;height:76.8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3)屏风框架:采用AL6063-T5铝合金,型材截面壁厚1mm~1.5mm,表面喷砂氧化或静电粉末喷涂处理,符合GB/T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4)桌上屏:单层钢化玻璃,单面磨砂,厚度5mm,符合GB 11614-2022《平板玻璃》标准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5)柜体:主体面材采用浸渍胶膜纸饰面板,表面稳定性好,层次感优,耐污抗磨性强;基材采用ENF级刨花板,甲醛释放量≤0.025mg/m3,符合GB/T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6)柜脚:PP材质,耐冷热循环,应无裂纹、鼓泡、变色、起皱,符合GB/T 32487-2016《塑料家具通用技术条件》标准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7)锁具:正面锁,使用寿命＞2万次,符合QB/T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9)电源插座：PC材质</w:t>
            </w:r>
            <w:r>
              <w:rPr>
                <w:rFonts w:hint="eastAsia" w:hAnsi="宋体" w:cs="宋体"/>
                <w:i w:val="0"/>
                <w:iCs w:val="0"/>
                <w:color w:val="auto"/>
                <w:sz w:val="18"/>
                <w:szCs w:val="18"/>
                <w:highlight w:val="none"/>
                <w:u w:val="none"/>
                <w:lang w:val="en-US" w:eastAsia="zh-CN" w:bidi="ar"/>
              </w:rPr>
              <w:t xml:space="preserve">，2个USB充电接口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3)45°拼接工艺:屏风顶侧连接采用45°拼接工艺,框架一体化,光滑无缝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jc w:val="center"/>
          <w:trHeight w:val="458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633095</wp:posOffset>
                      </wp:positionV>
                      <wp:extent cx="1350010" cy="1610360"/>
                      <wp:effectExtent l="0" t="0" r="2540" b="8890"/>
                      <wp:wrapNone/>
                      <wp:docPr id="34" name="ID_430538DFF0874A64A6A1AF2860F06C04"/>
                      <wp:cNvGraphicFramePr/>
                      <a:graphic xmlns:a="http://schemas.openxmlformats.org/drawingml/2006/main">
                        <a:graphicData uri="http://schemas.openxmlformats.org/drawingml/2006/picture">
                          <pic:pic xmlns:pic="http://schemas.openxmlformats.org/drawingml/2006/picture">
                            <pic:nvPicPr>
                              <pic:cNvPr id="35" name="ID_430538DFF0874A64A6A1AF2860F06C04"/>
                              <pic:cNvPicPr/>
                              <pic:nvPr/>
                            </pic:nvPicPr>
                            <pic:blipFill>
                              <a:blip r:embed="rId46"/>
                              <a:stretch/>
                            </pic:blipFill>
                            <pic:spPr bwMode="auto">
                              <a:xfrm>
                                <a:off x="0" y="0"/>
                                <a:ext cx="1350010" cy="161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9.9pt;mso-position-horizontal:absolute;mso-position-vertical-relative:text;margin-top:49.8pt;mso-position-vertical:absolute;width:106.3pt;height:126.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595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1110-1165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2)椅背:ABS成型背框,一体成型定型绵,密度≥55kg/m3,回弹性≥40%,甲醛散发≤10mg/kg，通过GB/T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6)五星脚:直径</w:t>
            </w:r>
            <w:r>
              <w:rPr>
                <w:rFonts w:hint="eastAsia" w:hAnsi="宋体" w:cs="宋体"/>
                <w:i w:val="0"/>
                <w:iCs w:val="0"/>
                <w:color w:val="auto"/>
                <w:sz w:val="18"/>
                <w:szCs w:val="18"/>
                <w:highlight w:val="none"/>
                <w:u w:val="none"/>
                <w:lang w:val="en-US" w:eastAsia="zh-CN" w:bidi="ar"/>
              </w:rPr>
              <w:t xml:space="preserve">≥700mm铝合金</w:t>
            </w:r>
            <w:r>
              <w:rPr>
                <w:rFonts w:hint="eastAsia" w:ascii="宋体" w:hAnsi="宋体" w:eastAsia="宋体" w:cs="宋体"/>
                <w:i w:val="0"/>
                <w:iCs w:val="0"/>
                <w:color w:val="auto"/>
                <w:sz w:val="18"/>
                <w:szCs w:val="18"/>
                <w:highlight w:val="none"/>
                <w:u w:val="none"/>
                <w:lang w:val="en-US" w:eastAsia="zh-CN" w:bidi="ar"/>
              </w:rPr>
              <w:t xml:space="preserve">五星脚,通过垂直方向11120N静压测试,耐腐蚀等级达10级，符合;GB/T 10125-2021《人造气氛腐蚀试验 盐雾试验》；GB/T 6461-2002《金属基体上金属和其他无机覆盖层经腐蚀试验后的试样和试件的评级》标准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1)底盘调节:STG背座同步倾仰,四档位置锁定,旋钮可调节倾仰松紧力度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jc w:val="center"/>
          <w:trHeight w:val="286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523240</wp:posOffset>
                      </wp:positionH>
                      <wp:positionV relativeFrom="paragraph">
                        <wp:posOffset>145415</wp:posOffset>
                      </wp:positionV>
                      <wp:extent cx="1086485" cy="1622425"/>
                      <wp:effectExtent l="0" t="0" r="18415" b="15875"/>
                      <wp:wrapNone/>
                      <wp:docPr id="35" name="图片_10"/>
                      <wp:cNvGraphicFramePr/>
                      <a:graphic xmlns:a="http://schemas.openxmlformats.org/drawingml/2006/main">
                        <a:graphicData uri="http://schemas.openxmlformats.org/drawingml/2006/picture">
                          <pic:pic xmlns:pic="http://schemas.openxmlformats.org/drawingml/2006/picture">
                            <pic:nvPicPr>
                              <pic:cNvPr id="36" name="图片_10"/>
                              <pic:cNvPicPr/>
                              <pic:nvPr/>
                            </pic:nvPicPr>
                            <pic:blipFill>
                              <a:blip r:embed="rId47"/>
                              <a:stretch/>
                            </pic:blipFill>
                            <pic:spPr bwMode="auto">
                              <a:xfrm>
                                <a:off x="0" y="0"/>
                                <a:ext cx="1086485" cy="162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41.2pt;mso-position-horizontal:absolute;mso-position-vertical-relative:text;margin-top:11.4pt;mso-position-vertical:absolute;width:85.5pt;height:127.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268605</wp:posOffset>
                      </wp:positionH>
                      <wp:positionV relativeFrom="paragraph">
                        <wp:posOffset>43815</wp:posOffset>
                      </wp:positionV>
                      <wp:extent cx="1442720" cy="1436370"/>
                      <wp:effectExtent l="0" t="0" r="5080" b="11430"/>
                      <wp:wrapNone/>
                      <wp:docPr id="36" name="图片_11_SpCnt_2"/>
                      <wp:cNvGraphicFramePr/>
                      <a:graphic xmlns:a="http://schemas.openxmlformats.org/drawingml/2006/main">
                        <a:graphicData uri="http://schemas.openxmlformats.org/drawingml/2006/picture">
                          <pic:pic xmlns:pic="http://schemas.openxmlformats.org/drawingml/2006/picture">
                            <pic:nvPicPr>
                              <pic:cNvPr id="37" name="图片_11_SpCnt_2"/>
                              <pic:cNvPicPr/>
                              <pic:nvPr/>
                            </pic:nvPicPr>
                            <pic:blipFill>
                              <a:blip r:embed="rId48"/>
                              <a:stretch/>
                            </pic:blipFill>
                            <pic:spPr bwMode="auto">
                              <a:xfrm>
                                <a:off x="0" y="0"/>
                                <a:ext cx="1442720" cy="1436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21.1pt;mso-position-horizontal:absolute;mso-position-vertical-relative:text;margin-top:3.4pt;mso-position-vertical:absolute;width:113.6pt;height:113.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jc w:val="center"/>
          <w:trHeight w:val="386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483870</wp:posOffset>
                      </wp:positionV>
                      <wp:extent cx="1891665" cy="1439545"/>
                      <wp:effectExtent l="0" t="0" r="13335" b="8255"/>
                      <wp:wrapNone/>
                      <wp:docPr id="37" name="图片_12_SpCnt_2"/>
                      <wp:cNvGraphicFramePr/>
                      <a:graphic xmlns:a="http://schemas.openxmlformats.org/drawingml/2006/main">
                        <a:graphicData uri="http://schemas.openxmlformats.org/drawingml/2006/picture">
                          <pic:pic xmlns:pic="http://schemas.openxmlformats.org/drawingml/2006/picture">
                            <pic:nvPicPr>
                              <pic:cNvPr id="38" name="图片_12_SpCnt_2"/>
                              <pic:cNvPicPr/>
                              <pic:nvPr/>
                            </pic:nvPicPr>
                            <pic:blipFill>
                              <a:blip r:embed="rId49"/>
                              <a:stretch/>
                            </pic:blipFill>
                            <pic:spPr bwMode="auto">
                              <a:xfrm>
                                <a:off x="0" y="0"/>
                                <a:ext cx="1891665" cy="1439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6.2pt;mso-position-horizontal:absolute;mso-position-vertical-relative:text;margin-top:38.1pt;mso-position-vertical:absolute;width:148.9pt;height:113.3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厚度≥50mm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2)封边:天然木皮封边条,厚度≥1mm,甲醛释放量≤0.5mg/L,符合QB/T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4)脚架:主体使用ENF级中纤板/刨花板,边部倒角R2mm,甲醛释放量≤0.025mg/m3,符合GB/T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1)拼接工艺:木皮拼接采用无线拼接,自然顺畅</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2)加工中心:台面采用五轴加工中心加工,形状、边型、开槽、打孔一次性完成</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4)涂装工艺:实色漆采用五底一面的封闭实色漆涂装工艺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1)走线:台面取电，下脚走线</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334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431800</wp:posOffset>
                      </wp:positionH>
                      <wp:positionV relativeFrom="paragraph">
                        <wp:posOffset>300990</wp:posOffset>
                      </wp:positionV>
                      <wp:extent cx="1125855" cy="1459230"/>
                      <wp:effectExtent l="0" t="0" r="17145" b="7620"/>
                      <wp:wrapNone/>
                      <wp:docPr id="38" name="组合_54"/>
                      <wp:cNvGraphicFramePr/>
                      <a:graphic xmlns:a="http://schemas.openxmlformats.org/drawingml/2006/main">
                        <a:graphicData uri="http://schemas.openxmlformats.org/drawingml/2006/picture">
                          <pic:pic xmlns:pic="http://schemas.openxmlformats.org/drawingml/2006/picture">
                            <pic:nvPicPr>
                              <pic:cNvPr id="39" name="组合_54"/>
                              <pic:cNvPicPr/>
                              <pic:nvPr/>
                            </pic:nvPicPr>
                            <pic:blipFill>
                              <a:blip r:embed="rId50"/>
                              <a:stretch/>
                            </pic:blipFill>
                            <pic:spPr bwMode="auto">
                              <a:xfrm>
                                <a:off x="0" y="0"/>
                                <a:ext cx="1125855" cy="1459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34.0pt;mso-position-horizontal:absolute;mso-position-vertical-relative:text;margin-top:23.7pt;mso-position-vertical:absolute;width:88.6pt;height:114.9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595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1110-1165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2)椅背:ABS成型背框,一体成型定型绵,密度≥55kg/m3,回弹性≥40%,甲醛散发≤10mg/kg，通过GB/T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6)下架:铝合金沙发脚,表面电镀,涂层耐盐雾100h,椅架通过136kg冲击实验,符合GB/T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r>
      <w:tr>
        <w:trPr>
          <w:jc w:val="center"/>
          <w:trHeight w:val="298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663575</wp:posOffset>
                      </wp:positionV>
                      <wp:extent cx="1979930" cy="711200"/>
                      <wp:effectExtent l="0" t="0" r="1270" b="12700"/>
                      <wp:wrapNone/>
                      <wp:docPr id="39" name="图片_88"/>
                      <wp:cNvGraphicFramePr/>
                      <a:graphic xmlns:a="http://schemas.openxmlformats.org/drawingml/2006/main">
                        <a:graphicData uri="http://schemas.openxmlformats.org/drawingml/2006/picture">
                          <pic:pic xmlns:pic="http://schemas.openxmlformats.org/drawingml/2006/picture">
                            <pic:nvPicPr>
                              <pic:cNvPr id="40" name="图片_88"/>
                              <pic:cNvPicPr/>
                              <pic:nvPr/>
                            </pic:nvPicPr>
                            <pic:blipFill>
                              <a:blip r:embed="rId51"/>
                              <a:stretch/>
                            </pic:blipFill>
                            <pic:spPr bwMode="auto">
                              <a:xfrm>
                                <a:off x="0" y="0"/>
                                <a:ext cx="1979930" cy="711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2.9pt;mso-position-horizontal:absolute;mso-position-vertical-relative:text;margin-top:52.2pt;mso-position-vertical:absolute;width:155.9pt;height:56.0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控制台配置说明：钢木铝结合全拆装模块化拼装结构。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框架：一级冷轧镀锌钢板，达到中性和铜加速盐雾及乙酸盐雾测试达到10级冲压，折弯成型，主体框架冷轧钢不低于2.0mm；主承重支撑件为3.0mm冷轧钢板；外表层酸洗、磷化、防静电喷塑。强弱电线槽：主框架上装有强弱电分离的走线槽，（线槽内预留86盒安装位），可实现强弱电分离走线，可在不同的位置以使布线方便有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前后门板：均采用</w:t>
            </w:r>
            <w:r>
              <w:rPr>
                <w:rFonts w:hint="eastAsia" w:hAnsi="宋体" w:cs="宋体"/>
                <w:i w:val="0"/>
                <w:iCs w:val="0"/>
                <w:color w:val="auto"/>
                <w:sz w:val="18"/>
                <w:szCs w:val="18"/>
                <w:highlight w:val="none"/>
                <w:u w:val="none"/>
                <w:lang w:val="en-US" w:eastAsia="zh-CN" w:bidi="ar"/>
              </w:rPr>
              <w:t xml:space="preserve">1.5-2.0mm厚冷轧钢板</w:t>
            </w:r>
            <w:r>
              <w:rPr>
                <w:rFonts w:hint="eastAsia" w:ascii="宋体" w:hAnsi="宋体" w:eastAsia="宋体" w:cs="宋体"/>
                <w:i w:val="0"/>
                <w:iCs w:val="0"/>
                <w:color w:val="auto"/>
                <w:sz w:val="18"/>
                <w:szCs w:val="18"/>
                <w:highlight w:val="none"/>
                <w:u w:val="none"/>
                <w:lang w:val="en-US" w:eastAsia="zh-CN" w:bidi="ar"/>
              </w:rPr>
              <w:t xml:space="preserve">，设计强性通气孔，实现快速通风，满足电器设备7*24小时高负荷运转，门板连接铰链：使用高档进口的无声液压铰链安装，保证其100000次无障碍开启。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台面板：采用面贴优质三聚氰胺实木颗粒刨花板，甲醛释放量≤0.124mg/m³，总会发有机化合物（TVOC）符合国家要求，上下表面为高压耐磨0.8MM耐火板（HPL），整体厚度为</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27mm，台面设计过线毛刷走线槽，达到洁净桌面的操作使用需求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台面封边：台面边缘使用软质聚氨酯鸭嘴包边，防磕碰，增加肘臂舒适度。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r>
      <w:tr>
        <w:trPr>
          <w:jc w:val="center"/>
          <w:trHeight w:val="306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观摩台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559435</wp:posOffset>
                      </wp:positionV>
                      <wp:extent cx="1895475" cy="788035"/>
                      <wp:effectExtent l="0" t="0" r="9525" b="12065"/>
                      <wp:wrapNone/>
                      <wp:docPr id="40" name="图片_90"/>
                      <wp:cNvGraphicFramePr/>
                      <a:graphic xmlns:a="http://schemas.openxmlformats.org/drawingml/2006/main">
                        <a:graphicData uri="http://schemas.openxmlformats.org/drawingml/2006/picture">
                          <pic:pic xmlns:pic="http://schemas.openxmlformats.org/drawingml/2006/picture">
                            <pic:nvPicPr>
                              <pic:cNvPr id="41" name="图片_90"/>
                              <pic:cNvPicPr/>
                              <pic:nvPr/>
                            </pic:nvPicPr>
                            <pic:blipFill>
                              <a:blip r:embed="rId52"/>
                              <a:stretch/>
                            </pic:blipFill>
                            <pic:spPr bwMode="auto">
                              <a:xfrm>
                                <a:off x="0" y="0"/>
                                <a:ext cx="1895474" cy="788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8.0pt;mso-position-horizontal:absolute;mso-position-vertical-relative:text;margin-top:44.0pt;mso-position-vertical:absolute;width:149.2pt;height:62.0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控制台配置说明：钢木铝结合全拆装模块化拼装结构。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框架：一级冷轧镀锌钢板，达到中性和铜加速盐雾及乙酸盐雾测试达到10级冲压，折弯成型，主体框架冷轧钢不低于2.0mm；主承重支撑件为3.0mm冷轧钢板；外表层酸洗、磷化、防静电喷塑。强弱电线槽：主框架上装有强弱电分离的走线槽，（线槽内预留86盒安装位），可实现强弱电分离走线，可在不同的位置以使布线方便有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前后门板：均采用</w:t>
            </w:r>
            <w:r>
              <w:rPr>
                <w:rFonts w:hint="eastAsia" w:hAnsi="宋体" w:cs="宋体"/>
                <w:i w:val="0"/>
                <w:iCs w:val="0"/>
                <w:color w:val="auto"/>
                <w:sz w:val="18"/>
                <w:szCs w:val="18"/>
                <w:highlight w:val="none"/>
                <w:u w:val="none"/>
                <w:lang w:val="en-US" w:eastAsia="zh-CN" w:bidi="ar"/>
              </w:rPr>
              <w:t xml:space="preserve">1.5-2.0mm厚冷轧钢板</w:t>
            </w:r>
            <w:r>
              <w:rPr>
                <w:rFonts w:hint="eastAsia" w:ascii="宋体" w:hAnsi="宋体" w:eastAsia="宋体" w:cs="宋体"/>
                <w:i w:val="0"/>
                <w:iCs w:val="0"/>
                <w:color w:val="auto"/>
                <w:sz w:val="18"/>
                <w:szCs w:val="18"/>
                <w:highlight w:val="none"/>
                <w:u w:val="none"/>
                <w:lang w:val="en-US" w:eastAsia="zh-CN" w:bidi="ar"/>
              </w:rPr>
              <w:t xml:space="preserve">，设计强性通气孔，实现快速通风，满足电器设备7*24小时高负荷运转，门板连接铰链：使用高档进口的无声液压铰链安装，保证其100000次无障碍开启。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板：采用面贴优质三聚氰胺实木颗粒刨花板，甲醛释放量≤0.124mg/m³，总会发有机化合物（TVOC）符合国家要求，上下表面为高压耐磨0.8MM耐火板（HPL），整体厚度为27mm，台面设计过线毛刷走线槽，达到洁净桌面的操作使用需求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台面封边：台面边缘使用软质聚氨酯鸭嘴包边，防磕碰，增加肘臂舒适度。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jc w:val="center"/>
          <w:trHeight w:val="248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325120</wp:posOffset>
                      </wp:positionH>
                      <wp:positionV relativeFrom="paragraph">
                        <wp:posOffset>173990</wp:posOffset>
                      </wp:positionV>
                      <wp:extent cx="1350645" cy="1280160"/>
                      <wp:effectExtent l="0" t="0" r="1905" b="15240"/>
                      <wp:wrapNone/>
                      <wp:docPr id="41" name="图片_32"/>
                      <wp:cNvGraphicFramePr/>
                      <a:graphic xmlns:a="http://schemas.openxmlformats.org/drawingml/2006/main">
                        <a:graphicData uri="http://schemas.openxmlformats.org/drawingml/2006/picture">
                          <pic:pic xmlns:pic="http://schemas.openxmlformats.org/drawingml/2006/picture">
                            <pic:nvPicPr>
                              <pic:cNvPr id="42" name="图片_32"/>
                              <pic:cNvPicPr/>
                              <pic:nvPr/>
                            </pic:nvPicPr>
                            <pic:blipFill>
                              <a:blip r:embed="rId53"/>
                              <a:stretch/>
                            </pic:blipFill>
                            <pic:spPr bwMode="auto">
                              <a:xfrm>
                                <a:off x="0" y="0"/>
                                <a:ext cx="1350645" cy="128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25.6pt;mso-position-horizontal:absolute;mso-position-vertical-relative:text;margin-top:13.7pt;mso-position-vertical:absolute;width:106.3pt;height:100.8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1700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4)脚架:主体使用ENF级中纤板/刨花板,封边采用天然木皮封边,边部倒角R2mm,甲醛释放量≤0.025mg/m3,符合GB/T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50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旁听桌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392430</wp:posOffset>
                      </wp:positionV>
                      <wp:extent cx="1886585" cy="996950"/>
                      <wp:effectExtent l="0" t="0" r="18415" b="12700"/>
                      <wp:wrapNone/>
                      <wp:docPr id="42" name="图片_1_SpCnt_5"/>
                      <wp:cNvGraphicFramePr/>
                      <a:graphic xmlns:a="http://schemas.openxmlformats.org/drawingml/2006/main">
                        <a:graphicData uri="http://schemas.openxmlformats.org/drawingml/2006/picture">
                          <pic:pic xmlns:pic="http://schemas.openxmlformats.org/drawingml/2006/picture">
                            <pic:nvPicPr>
                              <pic:cNvPr id="43" name="图片_1_SpCnt_5"/>
                              <pic:cNvPicPr/>
                              <pic:nvPr/>
                            </pic:nvPicPr>
                            <pic:blipFill>
                              <a:blip r:embed="rId54"/>
                              <a:stretch/>
                            </pic:blipFill>
                            <pic:spPr bwMode="auto">
                              <a:xfrm>
                                <a:off x="0" y="0"/>
                                <a:ext cx="1886585" cy="996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6.7pt;mso-position-horizontal:absolute;mso-position-vertical-relative:text;margin-top:30.9pt;mso-position-vertical:absolute;width:148.5pt;height:78.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4)脚架:主体使用ENF级中纤板/刨花板,封边采用天然木皮封边,边部倒角R2mm,甲醛释放量≤0.025mg/m3,符合GB/T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03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615315</wp:posOffset>
                      </wp:positionH>
                      <wp:positionV relativeFrom="paragraph">
                        <wp:posOffset>123825</wp:posOffset>
                      </wp:positionV>
                      <wp:extent cx="818515" cy="1097915"/>
                      <wp:effectExtent l="0" t="0" r="635" b="6985"/>
                      <wp:wrapNone/>
                      <wp:docPr id="43" name="ID_8F2528643BD04CB98BB95BD8FCFFEBB3"/>
                      <wp:cNvGraphicFramePr/>
                      <a:graphic xmlns:a="http://schemas.openxmlformats.org/drawingml/2006/main">
                        <a:graphicData uri="http://schemas.openxmlformats.org/drawingml/2006/picture">
                          <pic:pic xmlns:pic="http://schemas.openxmlformats.org/drawingml/2006/picture">
                            <pic:nvPicPr>
                              <pic:cNvPr id="44" name="ID_8F2528643BD04CB98BB95BD8FCFFEBB3"/>
                              <pic:cNvPicPr/>
                              <pic:nvPr/>
                            </pic:nvPicPr>
                            <pic:blipFill>
                              <a:blip r:embed="rId55"/>
                              <a:stretch/>
                            </pic:blipFill>
                            <pic:spPr bwMode="auto">
                              <a:xfrm>
                                <a:off x="0" y="0"/>
                                <a:ext cx="818515" cy="1097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48.4pt;mso-position-horizontal:absolute;mso-position-vertical-relative:text;margin-top:9.8pt;mso-position-vertical:absolute;width:64.5pt;height:86.5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580*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2)椅身:</w:t>
            </w:r>
            <w:r>
              <w:rPr>
                <w:rFonts w:hint="eastAsia" w:hAnsi="宋体" w:cs="宋体"/>
                <w:i w:val="0"/>
                <w:iCs w:val="0"/>
                <w:color w:val="auto"/>
                <w:sz w:val="18"/>
                <w:szCs w:val="18"/>
                <w:highlight w:val="none"/>
                <w:u w:val="none"/>
                <w:lang w:val="en-US" w:eastAsia="zh-CN" w:bidi="ar"/>
              </w:rPr>
              <w:t xml:space="preserve">12-15mm单层板+裁切棉</w:t>
            </w:r>
            <w:r>
              <w:rPr>
                <w:rFonts w:hint="eastAsia" w:ascii="宋体" w:hAnsi="宋体" w:eastAsia="宋体" w:cs="宋体"/>
                <w:i w:val="0"/>
                <w:iCs w:val="0"/>
                <w:color w:val="auto"/>
                <w:sz w:val="18"/>
                <w:szCs w:val="18"/>
                <w:highlight w:val="none"/>
                <w:u w:val="none"/>
                <w:lang w:val="en-US" w:eastAsia="zh-CN" w:bidi="ar"/>
              </w:rPr>
              <w:t xml:space="preserve">,座面密度≥45kg/m3,回弹性≥40%，甲醛散发≤10mg/kg，通过GB/T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r>
      <w:tr>
        <w:trPr>
          <w:jc w:val="center"/>
          <w:trHeight w:val="144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244475</wp:posOffset>
                      </wp:positionH>
                      <wp:positionV relativeFrom="paragraph">
                        <wp:posOffset>389890</wp:posOffset>
                      </wp:positionV>
                      <wp:extent cx="1430655" cy="1134745"/>
                      <wp:effectExtent l="0" t="0" r="17145" b="8255"/>
                      <wp:wrapNone/>
                      <wp:docPr id="44" name="图片_216"/>
                      <wp:cNvGraphicFramePr/>
                      <a:graphic xmlns:a="http://schemas.openxmlformats.org/drawingml/2006/main">
                        <a:graphicData uri="http://schemas.openxmlformats.org/drawingml/2006/picture">
                          <pic:pic xmlns:pic="http://schemas.openxmlformats.org/drawingml/2006/picture">
                            <pic:nvPicPr>
                              <pic:cNvPr id="45" name="图片_216"/>
                              <pic:cNvPicPr/>
                              <pic:nvPr/>
                            </pic:nvPicPr>
                            <pic:blipFill>
                              <a:blip r:embed="rId56"/>
                              <a:stretch/>
                            </pic:blipFill>
                            <pic:spPr bwMode="auto">
                              <a:xfrm>
                                <a:off x="0" y="0"/>
                                <a:ext cx="1430655" cy="1134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9.2pt;mso-position-horizontal:absolute;mso-position-vertical-relative:text;margin-top:30.7pt;mso-position-vertical:absolute;width:112.6pt;height:89.3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right w:val="single" w:color="000000" w:sz="4" w:space="0"/>
            </w:tcBorders>
            <w:tcW w:w="7285"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1)台面:厚度18mm,面材采用浸渍胶膜纸饰面板,表面稳定性好,层次感优,耐污抗磨性强;基材采用ENF级刨花板,甲醛释放量≤0.025mg/m3,符合GB/T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3)下架:</w:t>
            </w:r>
            <w:r>
              <w:rPr>
                <w:rFonts w:hint="eastAsia" w:hAnsi="宋体" w:cs="宋体"/>
                <w:i w:val="0"/>
                <w:iCs w:val="0"/>
                <w:color w:val="auto"/>
                <w:sz w:val="18"/>
                <w:szCs w:val="18"/>
                <w:highlight w:val="none"/>
                <w:u w:val="none"/>
                <w:lang w:val="en-US" w:eastAsia="zh-CN" w:bidi="ar"/>
              </w:rPr>
              <w:t xml:space="preserve">横梁采用优质</w:t>
            </w:r>
            <w:r>
              <w:rPr>
                <w:rFonts w:hint="eastAsia" w:ascii="宋体" w:hAnsi="宋体" w:eastAsia="宋体" w:cs="宋体"/>
                <w:i w:val="0"/>
                <w:iCs w:val="0"/>
                <w:color w:val="auto"/>
                <w:sz w:val="18"/>
                <w:szCs w:val="18"/>
                <w:highlight w:val="none"/>
                <w:u w:val="none"/>
                <w:lang w:val="en-US" w:eastAsia="zh-CN" w:bidi="ar"/>
              </w:rPr>
              <w:t xml:space="preserve">Q195矩形钢管焊接一体成型,立柱采用优质Q195圆管与横梁通过螺丝连接;整体静电粉末喷涂,满足GB/T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r>
      <w:tr>
        <w:trPr>
          <w:jc w:val="center"/>
          <w:trHeight w:val="153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left w:val="single" w:color="000000" w:sz="4" w:space="0"/>
              <w:bottom w:val="single" w:color="000000" w:sz="4" w:space="0"/>
              <w:right w:val="single" w:color="000000" w:sz="4" w:space="0"/>
            </w:tcBorders>
            <w:tcW w:w="7285" w:type="dxa"/>
            <w:vAlign w:val="center"/>
            <w:vMerge w:val="continue"/>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253"/>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521335</wp:posOffset>
                      </wp:positionH>
                      <wp:positionV relativeFrom="paragraph">
                        <wp:posOffset>137795</wp:posOffset>
                      </wp:positionV>
                      <wp:extent cx="984885" cy="1115060"/>
                      <wp:effectExtent l="0" t="0" r="5715" b="8890"/>
                      <wp:wrapNone/>
                      <wp:docPr id="45" name="ID_9ABF5C3C56A248DA99A76F0EEE3D82B3"/>
                      <wp:cNvGraphicFramePr/>
                      <a:graphic xmlns:a="http://schemas.openxmlformats.org/drawingml/2006/main">
                        <a:graphicData uri="http://schemas.openxmlformats.org/drawingml/2006/picture">
                          <pic:pic xmlns:pic="http://schemas.openxmlformats.org/drawingml/2006/picture">
                            <pic:nvPicPr>
                              <pic:cNvPr id="46" name="ID_9ABF5C3C56A248DA99A76F0EEE3D82B3"/>
                              <pic:cNvPicPr/>
                              <pic:nvPr/>
                            </pic:nvPicPr>
                            <pic:blipFill>
                              <a:blip r:embed="rId57"/>
                              <a:stretch/>
                            </pic:blipFill>
                            <pic:spPr bwMode="auto">
                              <a:xfrm>
                                <a:off x="0" y="0"/>
                                <a:ext cx="984885" cy="1115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41.0pt;mso-position-horizontal:absolute;mso-position-vertical-relative:text;margin-top:10.8pt;mso-position-vertical:absolute;width:77.5pt;height:87.8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445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565</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1)椅身:PP+20%玻纤一体成型椅身,椅背通过通过1001N强度测试及12万次疲劳测试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2)椅架:钢架,圆管直径</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13mm,壁厚</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1.8mm,表面电镀,涂层耐盐雾18h,椅架通过136kg冲击实验</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3)脚钉:PP固定脚钉</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r>
      <w:tr>
        <w:trPr>
          <w:jc w:val="center"/>
          <w:trHeight w:val="26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182880</wp:posOffset>
                      </wp:positionV>
                      <wp:extent cx="1884045" cy="1320800"/>
                      <wp:effectExtent l="0" t="0" r="1905" b="12700"/>
                      <wp:wrapNone/>
                      <wp:docPr id="46" name="图片_21"/>
                      <wp:cNvGraphicFramePr/>
                      <a:graphic xmlns:a="http://schemas.openxmlformats.org/drawingml/2006/main">
                        <a:graphicData uri="http://schemas.openxmlformats.org/drawingml/2006/picture">
                          <pic:pic xmlns:pic="http://schemas.openxmlformats.org/drawingml/2006/picture">
                            <pic:nvPicPr>
                              <pic:cNvPr id="47" name="图片_21"/>
                              <pic:cNvPicPr/>
                              <pic:nvPr/>
                            </pic:nvPicPr>
                            <pic:blipFill>
                              <a:blip r:embed="rId58"/>
                              <a:stretch/>
                            </pic:blipFill>
                            <pic:spPr bwMode="auto">
                              <a:xfrm>
                                <a:off x="0" y="0"/>
                                <a:ext cx="1884045" cy="1320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8.0pt;mso-position-horizontal:absolute;mso-position-vertical-relative:text;margin-top:14.4pt;mso-position-vertical:absolute;width:148.3pt;height:104.0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厚度28-35mm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2)桌脚:木质下脚,主体使用ENF级中纤板/杨木薄片,边部倒角R2mm,环保油漆涂饰,甲醛释放量≤0.025mg/m3,符合GB/T 39600-2021《人造板及其制品甲醛释放量分级》标准，三面外包岩板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4)转盘采用</w:t>
            </w:r>
            <w:r>
              <w:rPr>
                <w:rFonts w:hint="eastAsia" w:hAnsi="宋体" w:cs="宋体"/>
                <w:i w:val="0"/>
                <w:iCs w:val="0"/>
                <w:color w:val="auto"/>
                <w:sz w:val="18"/>
                <w:szCs w:val="18"/>
                <w:highlight w:val="none"/>
                <w:u w:val="none"/>
                <w:lang w:val="en-US" w:eastAsia="zh-CN" w:bidi="ar"/>
              </w:rPr>
              <w:t xml:space="preserve">9-12mm厚岩板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30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473075</wp:posOffset>
                      </wp:positionH>
                      <wp:positionV relativeFrom="paragraph">
                        <wp:posOffset>62865</wp:posOffset>
                      </wp:positionV>
                      <wp:extent cx="1079500" cy="1299210"/>
                      <wp:effectExtent l="0" t="0" r="6350" b="15240"/>
                      <wp:wrapNone/>
                      <wp:docPr id="47" name="图片_87_SpCnt_1"/>
                      <wp:cNvGraphicFramePr/>
                      <a:graphic xmlns:a="http://schemas.openxmlformats.org/drawingml/2006/main">
                        <a:graphicData uri="http://schemas.openxmlformats.org/drawingml/2006/picture">
                          <pic:pic xmlns:pic="http://schemas.openxmlformats.org/drawingml/2006/picture">
                            <pic:nvPicPr>
                              <pic:cNvPr id="48" name="图片_87_SpCnt_1"/>
                              <pic:cNvPicPr/>
                              <pic:nvPr/>
                            </pic:nvPicPr>
                            <pic:blipFill>
                              <a:blip r:embed="rId59"/>
                              <a:stretch/>
                            </pic:blipFill>
                            <pic:spPr bwMode="auto">
                              <a:xfrm>
                                <a:off x="0" y="0"/>
                                <a:ext cx="1079500" cy="129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37.2pt;mso-position-horizontal:absolute;mso-position-vertical-relative:text;margin-top:5.0pt;mso-position-vertical:absolute;width:85.0pt;height:102.3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3)沙发脚:天然榉木沙发脚,环保油漆涂饰,甲醛释放量≤0.025mg/m3,符合QB/T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jc w:val="center"/>
          <w:trHeight w:val="480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814705</wp:posOffset>
                      </wp:positionV>
                      <wp:extent cx="2018030" cy="1510665"/>
                      <wp:effectExtent l="0" t="0" r="1270" b="13335"/>
                      <wp:wrapNone/>
                      <wp:docPr id="48" name="图片_3_SpCnt_3"/>
                      <wp:cNvGraphicFramePr/>
                      <a:graphic xmlns:a="http://schemas.openxmlformats.org/drawingml/2006/main">
                        <a:graphicData uri="http://schemas.openxmlformats.org/drawingml/2006/picture">
                          <pic:pic xmlns:pic="http://schemas.openxmlformats.org/drawingml/2006/picture">
                            <pic:nvPicPr>
                              <pic:cNvPr id="49" name="图片_3_SpCnt_3"/>
                              <pic:cNvPicPr/>
                              <pic:nvPr/>
                            </pic:nvPicPr>
                            <pic:blipFill>
                              <a:blip r:embed="rId60"/>
                              <a:stretch/>
                            </pic:blipFill>
                            <pic:spPr bwMode="auto">
                              <a:xfrm>
                                <a:off x="0" y="0"/>
                                <a:ext cx="2018030" cy="1510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0.5pt;mso-position-horizontal:absolute;mso-position-vertical-relative:text;margin-top:64.1pt;mso-position-vertical:absolute;width:158.9pt;height:118.9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1300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,台面主要基材使用ENF级中纤板,甲醛释放量≤0.025mg/m3,符合GB/T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2)台面封边:天然木皮封边条,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5)导轨:进口三节轨,耐久性耐久性≥8万次,涂层耐盐雾300h符合QB/T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6)铰链:进口阻尼缓冲铰链,耐久性≥10万次,符合QB/T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8)线盒:多功能线盒,含3个电源模块、1个HDMI模块、2个网络模块（CAT.6）,2个USB充电接口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546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268605</wp:posOffset>
                      </wp:positionH>
                      <wp:positionV relativeFrom="paragraph">
                        <wp:posOffset>766445</wp:posOffset>
                      </wp:positionV>
                      <wp:extent cx="1631950" cy="2012315"/>
                      <wp:effectExtent l="0" t="0" r="6350" b="6985"/>
                      <wp:wrapNone/>
                      <wp:docPr id="49" name="ID_2DFF957173114E2E975A732AFA5B0E5C"/>
                      <wp:cNvGraphicFramePr/>
                      <a:graphic xmlns:a="http://schemas.openxmlformats.org/drawingml/2006/main">
                        <a:graphicData uri="http://schemas.openxmlformats.org/drawingml/2006/picture">
                          <pic:pic xmlns:pic="http://schemas.openxmlformats.org/drawingml/2006/picture">
                            <pic:nvPicPr>
                              <pic:cNvPr id="50" name="ID_2DFF957173114E2E975A732AFA5B0E5C"/>
                              <pic:cNvPicPr/>
                              <pic:nvPr/>
                            </pic:nvPicPr>
                            <pic:blipFill>
                              <a:blip r:embed="rId61"/>
                              <a:stretch/>
                            </pic:blipFill>
                            <pic:spPr bwMode="auto">
                              <a:xfrm>
                                <a:off x="0" y="0"/>
                                <a:ext cx="1631950" cy="201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21.1pt;mso-position-horizontal:absolute;mso-position-vertical-relative:text;margin-top:60.3pt;mso-position-vertical:absolute;width:128.5pt;height:158.4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665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1200-1265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1)皮革:接触面使用头层荔枝纹牛皮,非接触面使用聚氯乙烯（PVC）人造革,牛皮干擦色牢度≥4级,湿擦色牢度≥3级,耐磨性500r无明显损伤、剥落,游离甲醛未检出,符合GB/T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2)软包填充:靠背表层使用高品质鸭绒+6D聚酯纤维织物,柔软舒适,符合GB/T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3)软包填充:座垫表层使用高品质鸭绒+6D聚酯纤维织物,柔软舒适,符合GB/T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4)背垫:裁切棉,密度26kg/m3±1.5,回弹性≥40%,通过CA TB117-2013防火性能检测,背垫配置E1级曲木板,通过445N载荷,120000次耐久测试,符合QB/T 2280-2016 《办公家具 办公椅》标准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6)扶手:软包固定扶手,可通过水平方向667N、垂直方向1125N力学测试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9)五星脚:直径</w:t>
            </w:r>
            <w:r>
              <w:rPr>
                <w:rFonts w:hint="eastAsia" w:hAnsi="宋体" w:cs="宋体"/>
                <w:i w:val="0"/>
                <w:iCs w:val="0"/>
                <w:color w:val="auto"/>
                <w:sz w:val="18"/>
                <w:szCs w:val="18"/>
                <w:highlight w:val="none"/>
                <w:u w:val="none"/>
                <w:lang w:val="en-US" w:eastAsia="zh-CN" w:bidi="ar"/>
              </w:rPr>
              <w:t xml:space="preserve">≥700mm铝合金</w:t>
            </w:r>
            <w:r>
              <w:rPr>
                <w:rFonts w:hint="eastAsia" w:ascii="宋体" w:hAnsi="宋体" w:eastAsia="宋体" w:cs="宋体"/>
                <w:i w:val="0"/>
                <w:iCs w:val="0"/>
                <w:color w:val="auto"/>
                <w:sz w:val="18"/>
                <w:szCs w:val="18"/>
                <w:highlight w:val="none"/>
                <w:u w:val="none"/>
                <w:lang w:val="en-US" w:eastAsia="zh-CN" w:bidi="ar"/>
              </w:rPr>
              <w:t xml:space="preserve">五星脚,通过垂直方向11120N静压测试,耐腐蚀等级达10级，符合;GB/T 10125-2021《人造气氛腐蚀试验 盐雾试验》；GB/T 6461-2002《金属基体上金属和其他无机覆盖层经腐蚀试验后的试样和试件的评级》标准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1)底盘调节:KTG前置式倾仰,四档档位置锁定,自负重机构无需调节倾仰力度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85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会客椅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404495</wp:posOffset>
                      </wp:positionH>
                      <wp:positionV relativeFrom="paragraph">
                        <wp:posOffset>205105</wp:posOffset>
                      </wp:positionV>
                      <wp:extent cx="1132205" cy="1498600"/>
                      <wp:effectExtent l="0" t="0" r="10795" b="6350"/>
                      <wp:wrapNone/>
                      <wp:docPr id="50" name="ID_CE3023B1894D4784B88F3C3BD53AADBC"/>
                      <wp:cNvGraphicFramePr/>
                      <a:graphic xmlns:a="http://schemas.openxmlformats.org/drawingml/2006/main">
                        <a:graphicData uri="http://schemas.openxmlformats.org/drawingml/2006/picture">
                          <pic:pic xmlns:pic="http://schemas.openxmlformats.org/drawingml/2006/picture">
                            <pic:nvPicPr>
                              <pic:cNvPr id="51" name="ID_CE3023B1894D4784B88F3C3BD53AADBC"/>
                              <pic:cNvPicPr/>
                              <pic:nvPr/>
                            </pic:nvPicPr>
                            <pic:blipFill>
                              <a:blip r:embed="rId62"/>
                              <a:srcRect l="0" t="17433" r="0" b="0"/>
                              <a:stretch/>
                            </pic:blipFill>
                            <pic:spPr bwMode="auto">
                              <a:xfrm>
                                <a:off x="0" y="0"/>
                                <a:ext cx="1132205" cy="149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31.8pt;mso-position-horizontal:absolute;mso-position-vertical-relative:text;margin-top:16.1pt;mso-position-vertical:absolute;width:89.1pt;height:118.0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665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730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2)椅身:</w:t>
            </w:r>
            <w:r>
              <w:rPr>
                <w:rFonts w:hint="eastAsia" w:hAnsi="宋体" w:cs="宋体"/>
                <w:i w:val="0"/>
                <w:iCs w:val="0"/>
                <w:color w:val="auto"/>
                <w:sz w:val="18"/>
                <w:szCs w:val="18"/>
                <w:highlight w:val="none"/>
                <w:u w:val="none"/>
                <w:lang w:val="en-US" w:eastAsia="zh-CN" w:bidi="ar"/>
              </w:rPr>
              <w:t xml:space="preserve">12-15mm单层板+裁切棉</w:t>
            </w:r>
            <w:r>
              <w:rPr>
                <w:rFonts w:hint="eastAsia" w:ascii="宋体" w:hAnsi="宋体" w:eastAsia="宋体" w:cs="宋体"/>
                <w:i w:val="0"/>
                <w:iCs w:val="0"/>
                <w:color w:val="auto"/>
                <w:sz w:val="18"/>
                <w:szCs w:val="18"/>
                <w:highlight w:val="none"/>
                <w:u w:val="none"/>
                <w:lang w:val="en-US" w:eastAsia="zh-CN" w:bidi="ar"/>
              </w:rPr>
              <w:t xml:space="preserve">,座面密度≥45kg/m3,回弹性≥40%，甲醛散发≤10mg/kg，通过GB/T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70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双人位沙发</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673735</wp:posOffset>
                      </wp:positionV>
                      <wp:extent cx="1741170" cy="1071880"/>
                      <wp:effectExtent l="0" t="0" r="11430" b="13970"/>
                      <wp:wrapNone/>
                      <wp:docPr id="51" name="ID_98B275CF311C487A955AD5876755EFC4"/>
                      <wp:cNvGraphicFramePr/>
                      <a:graphic xmlns:a="http://schemas.openxmlformats.org/drawingml/2006/main">
                        <a:graphicData uri="http://schemas.openxmlformats.org/drawingml/2006/picture">
                          <pic:pic xmlns:pic="http://schemas.openxmlformats.org/drawingml/2006/picture">
                            <pic:nvPicPr>
                              <pic:cNvPr id="52" name="ID_98B275CF311C487A955AD5876755EFC4"/>
                              <pic:cNvPicPr/>
                              <pic:nvPr/>
                            </pic:nvPicPr>
                            <pic:blipFill>
                              <a:blip r:embed="rId63"/>
                              <a:stretch/>
                            </pic:blipFill>
                            <pic:spPr bwMode="auto">
                              <a:xfrm>
                                <a:off x="0" y="0"/>
                                <a:ext cx="1741170" cy="1071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11.4pt;mso-position-horizontal:absolute;mso-position-vertical-relative:text;margin-top:53.0pt;mso-position-vertical:absolute;width:137.1pt;height:84.4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1560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855</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4)沙发脚:钢制沙发脚,表面静电粉末喷涂,</w:t>
            </w:r>
            <w:r>
              <w:rPr>
                <w:rFonts w:hint="eastAsia" w:hAnsi="宋体" w:cs="宋体"/>
                <w:i w:val="0"/>
                <w:iCs w:val="0"/>
                <w:color w:val="auto"/>
                <w:sz w:val="18"/>
                <w:szCs w:val="18"/>
                <w:highlight w:val="none"/>
                <w:u w:val="none"/>
                <w:lang w:val="en-US" w:eastAsia="zh-CN" w:bidi="ar"/>
              </w:rPr>
              <w:t xml:space="preserve">壁厚1.8-2.0mm</w:t>
            </w:r>
            <w:r>
              <w:rPr>
                <w:rFonts w:hint="eastAsia" w:ascii="宋体" w:hAnsi="宋体" w:eastAsia="宋体" w:cs="宋体"/>
                <w:i w:val="0"/>
                <w:iCs w:val="0"/>
                <w:color w:val="auto"/>
                <w:sz w:val="18"/>
                <w:szCs w:val="18"/>
                <w:highlight w:val="none"/>
                <w:u w:val="none"/>
                <w:lang w:val="en-US" w:eastAsia="zh-CN" w:bidi="ar"/>
              </w:rPr>
              <w:t xml:space="preserve">空心跑道管,涂层耐盐雾18h,符合QB/T 1952.1-2023《软体家具 沙发》标准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5)软包填充:靠背软包整体使用切割回弹海绵+6D聚酯纤维织物,柔软舒适,符合GB/T 10802-2023《通用软质聚氨酯泡沫塑料》标准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61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734060</wp:posOffset>
                      </wp:positionV>
                      <wp:extent cx="1823085" cy="1019810"/>
                      <wp:effectExtent l="0" t="0" r="5715" b="8890"/>
                      <wp:wrapNone/>
                      <wp:docPr id="52" name="图片_24"/>
                      <wp:cNvGraphicFramePr/>
                      <a:graphic xmlns:a="http://schemas.openxmlformats.org/drawingml/2006/main">
                        <a:graphicData uri="http://schemas.openxmlformats.org/drawingml/2006/picture">
                          <pic:pic xmlns:pic="http://schemas.openxmlformats.org/drawingml/2006/picture">
                            <pic:nvPicPr>
                              <pic:cNvPr id="53" name="图片_24"/>
                              <pic:cNvPicPr/>
                              <pic:nvPr/>
                            </pic:nvPicPr>
                            <pic:blipFill>
                              <a:blip r:embed="rId64"/>
                              <a:stretch/>
                            </pic:blipFill>
                            <pic:spPr bwMode="auto">
                              <a:xfrm>
                                <a:off x="0" y="0"/>
                                <a:ext cx="1823085"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8.9pt;mso-position-horizontal:absolute;mso-position-vertical-relative:text;margin-top:57.8pt;mso-position-vertical:absolute;width:143.5pt;height:80.3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3)导轨:进口三节轨,耐久性耐久性≥8万次,涂层耐盐雾300h符合QB/T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05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391795</wp:posOffset>
                      </wp:positionH>
                      <wp:positionV relativeFrom="paragraph">
                        <wp:posOffset>377190</wp:posOffset>
                      </wp:positionV>
                      <wp:extent cx="1294765" cy="1257935"/>
                      <wp:effectExtent l="0" t="0" r="635" b="18415"/>
                      <wp:wrapNone/>
                      <wp:docPr id="53" name="图片_25"/>
                      <wp:cNvGraphicFramePr/>
                      <a:graphic xmlns:a="http://schemas.openxmlformats.org/drawingml/2006/main">
                        <a:graphicData uri="http://schemas.openxmlformats.org/drawingml/2006/picture">
                          <pic:pic xmlns:pic="http://schemas.openxmlformats.org/drawingml/2006/picture">
                            <pic:nvPicPr>
                              <pic:cNvPr id="54" name="图片_25"/>
                              <pic:cNvPicPr/>
                              <pic:nvPr/>
                            </pic:nvPicPr>
                            <pic:blipFill>
                              <a:blip r:embed="rId65"/>
                              <a:stretch/>
                            </pic:blipFill>
                            <pic:spPr bwMode="auto">
                              <a:xfrm>
                                <a:off x="0" y="0"/>
                                <a:ext cx="1294765" cy="1257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30.8pt;mso-position-horizontal:absolute;mso-position-vertical-relative:text;margin-top:29.7pt;mso-position-vertical:absolute;width:101.9pt;height:99.0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3)铰链:进口阻尼缓冲铰链,耐久性≥10万次,符合QB/T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04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背柜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512445</wp:posOffset>
                      </wp:positionV>
                      <wp:extent cx="1979295" cy="934720"/>
                      <wp:effectExtent l="0" t="0" r="1905" b="17780"/>
                      <wp:wrapNone/>
                      <wp:docPr id="54" name="图片_26"/>
                      <wp:cNvGraphicFramePr/>
                      <a:graphic xmlns:a="http://schemas.openxmlformats.org/drawingml/2006/main">
                        <a:graphicData uri="http://schemas.openxmlformats.org/drawingml/2006/picture">
                          <pic:pic xmlns:pic="http://schemas.openxmlformats.org/drawingml/2006/picture">
                            <pic:nvPicPr>
                              <pic:cNvPr id="55" name="图片_26"/>
                              <pic:cNvPicPr/>
                              <pic:nvPr/>
                            </pic:nvPicPr>
                            <pic:blipFill>
                              <a:blip r:embed="rId66"/>
                              <a:stretch/>
                            </pic:blipFill>
                            <pic:spPr bwMode="auto">
                              <a:xfrm>
                                <a:off x="0" y="0"/>
                                <a:ext cx="1979294" cy="934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4pt;mso-position-horizontal:absolute;mso-position-vertical-relative:text;margin-top:40.4pt;mso-position-vertical:absolute;width:155.8pt;height:73.6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3)铰链:进口阻尼缓冲铰链,耐久性≥10万次,符合QB/T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395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1037590</wp:posOffset>
                      </wp:positionH>
                      <wp:positionV relativeFrom="paragraph">
                        <wp:posOffset>554355</wp:posOffset>
                      </wp:positionV>
                      <wp:extent cx="993775" cy="1581150"/>
                      <wp:effectExtent l="0" t="0" r="15875" b="0"/>
                      <wp:wrapNone/>
                      <wp:docPr id="55" name="图片_117"/>
                      <wp:cNvGraphicFramePr/>
                      <a:graphic xmlns:a="http://schemas.openxmlformats.org/drawingml/2006/main">
                        <a:graphicData uri="http://schemas.openxmlformats.org/drawingml/2006/picture">
                          <pic:pic xmlns:pic="http://schemas.openxmlformats.org/drawingml/2006/picture">
                            <pic:nvPicPr>
                              <pic:cNvPr id="56" name="图片_117"/>
                              <pic:cNvPicPr/>
                              <pic:nvPr/>
                            </pic:nvPicPr>
                            <pic:blipFill>
                              <a:blip r:embed="rId67"/>
                              <a:stretch/>
                            </pic:blipFill>
                            <pic:spPr bwMode="auto">
                              <a:xfrm>
                                <a:off x="0" y="0"/>
                                <a:ext cx="99377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81.7pt;mso-position-horizontal:absolute;mso-position-vertical-relative:text;margin-top:43.6pt;mso-position-vertical:absolute;width:78.2pt;height:124.5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100965</wp:posOffset>
                      </wp:positionH>
                      <wp:positionV relativeFrom="paragraph">
                        <wp:posOffset>556895</wp:posOffset>
                      </wp:positionV>
                      <wp:extent cx="906780" cy="1597660"/>
                      <wp:effectExtent l="0" t="0" r="7620" b="2540"/>
                      <wp:wrapNone/>
                      <wp:docPr id="56" name="图片_27"/>
                      <wp:cNvGraphicFramePr/>
                      <a:graphic xmlns:a="http://schemas.openxmlformats.org/drawingml/2006/main">
                        <a:graphicData uri="http://schemas.openxmlformats.org/drawingml/2006/picture">
                          <pic:pic xmlns:pic="http://schemas.openxmlformats.org/drawingml/2006/picture">
                            <pic:nvPicPr>
                              <pic:cNvPr id="57" name="图片_27"/>
                              <pic:cNvPicPr/>
                              <pic:nvPr/>
                            </pic:nvPicPr>
                            <pic:blipFill>
                              <a:blip r:embed="rId68"/>
                              <a:stretch/>
                            </pic:blipFill>
                            <pic:spPr bwMode="auto">
                              <a:xfrm>
                                <a:off x="0" y="0"/>
                                <a:ext cx="906780" cy="159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7.9pt;mso-position-horizontal:absolute;mso-position-vertical-relative:text;margin-top:43.9pt;mso-position-vertical:absolute;width:71.4pt;height:125.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3)铰链:进口阻尼缓冲铰链,耐久性≥10万次,符合QB/T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4)导轨:进口三节轨,耐久性耐久性≥8万次,涂层耐盐雾300h符合QB/T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r>
      <w:tr>
        <w:trPr>
          <w:jc w:val="center"/>
          <w:trHeight w:val="479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812800</wp:posOffset>
                      </wp:positionV>
                      <wp:extent cx="1970405" cy="1545590"/>
                      <wp:effectExtent l="0" t="0" r="10795" b="16510"/>
                      <wp:wrapNone/>
                      <wp:docPr id="57" name="图片_4"/>
                      <wp:cNvGraphicFramePr/>
                      <a:graphic xmlns:a="http://schemas.openxmlformats.org/drawingml/2006/main">
                        <a:graphicData uri="http://schemas.openxmlformats.org/drawingml/2006/picture">
                          <pic:pic xmlns:pic="http://schemas.openxmlformats.org/drawingml/2006/picture">
                            <pic:nvPicPr>
                              <pic:cNvPr id="58" name="图片_4"/>
                              <pic:cNvPicPr/>
                              <pic:nvPr/>
                            </pic:nvPicPr>
                            <pic:blipFill>
                              <a:blip r:embed="rId69"/>
                              <a:stretch/>
                            </pic:blipFill>
                            <pic:spPr bwMode="auto">
                              <a:xfrm>
                                <a:off x="0" y="0"/>
                                <a:ext cx="1970405" cy="154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5.1pt;mso-position-horizontal:absolute;mso-position-vertical-relative:text;margin-top:64.0pt;mso-position-vertical:absolute;width:155.2pt;height:121.7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,台面主要基材使用ENF级中纤板,甲醛释放量≤0.025mg/m3,符合GB/T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2)台面封边:天然木皮封边条,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5)导轨:进口三节轨,耐久性耐久性≥8万次,涂层耐盐雾300h符合QB/T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6)铰链:进口阻尼缓冲铰链,耐久性≥10万次,符合QB/T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8)线盒:多功能线盒,含3个电源模块、1个HDMI模块、2个网络模块（CAT.6）,2个USB充电接口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546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304165</wp:posOffset>
                      </wp:positionH>
                      <wp:positionV relativeFrom="paragraph">
                        <wp:posOffset>840105</wp:posOffset>
                      </wp:positionV>
                      <wp:extent cx="1393190" cy="1814195"/>
                      <wp:effectExtent l="0" t="0" r="16510" b="14604"/>
                      <wp:wrapNone/>
                      <wp:docPr id="58" name="ID_EA67F4F36E1F42949E42158474189937"/>
                      <wp:cNvGraphicFramePr/>
                      <a:graphic xmlns:a="http://schemas.openxmlformats.org/drawingml/2006/main">
                        <a:graphicData uri="http://schemas.openxmlformats.org/drawingml/2006/picture">
                          <pic:pic xmlns:pic="http://schemas.openxmlformats.org/drawingml/2006/picture">
                            <pic:nvPicPr>
                              <pic:cNvPr id="59" name="ID_EA67F4F36E1F42949E42158474189937"/>
                              <pic:cNvPicPr/>
                              <pic:nvPr/>
                            </pic:nvPicPr>
                            <pic:blipFill>
                              <a:blip r:embed="rId70"/>
                              <a:stretch/>
                            </pic:blipFill>
                            <pic:spPr bwMode="auto">
                              <a:xfrm>
                                <a:off x="0" y="0"/>
                                <a:ext cx="1393190" cy="181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23.9pt;mso-position-horizontal:absolute;mso-position-vertical-relative:text;margin-top:66.1pt;mso-position-vertical:absolute;width:109.7pt;height:142.8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710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1140-1205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1)皮革:接触面使用头层荔枝纹牛皮,非接触面使用聚氯乙烯（PVC）人造革,牛皮干擦色牢度≥4级,湿擦色牢度≥3级,耐磨性500r无明显损伤、剥落,游离甲醛未检出,符合GB/T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2)软包填充:靠背表层使用高品质鸭绒+6D聚酯纤维织物,柔软舒适,符合GB/T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3)软包填充:座垫表层使用高品质鸭绒+6D聚酯纤维织物,柔软舒适,符合GB/T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4)背垫:裁切棉,密度26kg/m3±1.5,回弹性≥40%,通过CA TB117-2013防火性能检测,背垫配置E1级曲木板,通过445N载荷,120000次耐久测试,符合QB/T 2280-2016 《办公家具 办公椅》标准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6)扶手:软包固定扶手,可通过水平方向667N、垂直方向1125N力学测试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9)五星脚:直径</w:t>
            </w:r>
            <w:r>
              <w:rPr>
                <w:rFonts w:hint="eastAsia" w:hAnsi="宋体" w:cs="宋体"/>
                <w:i w:val="0"/>
                <w:iCs w:val="0"/>
                <w:color w:val="auto"/>
                <w:sz w:val="18"/>
                <w:szCs w:val="18"/>
                <w:highlight w:val="none"/>
                <w:u w:val="none"/>
                <w:lang w:val="en-US" w:eastAsia="zh-CN" w:bidi="ar"/>
              </w:rPr>
              <w:t xml:space="preserve">≥700mm铝合金</w:t>
            </w:r>
            <w:r>
              <w:rPr>
                <w:rFonts w:hint="eastAsia" w:ascii="宋体" w:hAnsi="宋体" w:eastAsia="宋体" w:cs="宋体"/>
                <w:i w:val="0"/>
                <w:iCs w:val="0"/>
                <w:color w:val="auto"/>
                <w:sz w:val="18"/>
                <w:szCs w:val="18"/>
                <w:highlight w:val="none"/>
                <w:u w:val="none"/>
                <w:lang w:val="en-US" w:eastAsia="zh-CN" w:bidi="ar"/>
              </w:rPr>
              <w:t xml:space="preserve">五星脚,通过垂直方向11120N静压测试,耐腐蚀等级达10级，符合;GB/T 10125-2021《人造气氛腐蚀试验 盐雾试验》；GB/T 6461-2002《金属基体上金属和其他无机覆盖层经腐蚀试验后的试样和试件的评级》标准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1)底盘调节:KTG前置式倾仰,四档档位置锁定,自负重机构无需调节倾仰力度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76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318770</wp:posOffset>
                      </wp:positionH>
                      <wp:positionV relativeFrom="paragraph">
                        <wp:posOffset>359410</wp:posOffset>
                      </wp:positionV>
                      <wp:extent cx="1305560" cy="1659890"/>
                      <wp:effectExtent l="0" t="0" r="8890" b="0"/>
                      <wp:wrapNone/>
                      <wp:docPr id="59" name="图片_30"/>
                      <wp:cNvGraphicFramePr/>
                      <a:graphic xmlns:a="http://schemas.openxmlformats.org/drawingml/2006/main">
                        <a:graphicData uri="http://schemas.openxmlformats.org/drawingml/2006/picture">
                          <pic:pic xmlns:pic="http://schemas.openxmlformats.org/drawingml/2006/picture">
                            <pic:nvPicPr>
                              <pic:cNvPr id="60" name="图片_30"/>
                              <pic:cNvPicPr/>
                              <pic:nvPr/>
                            </pic:nvPicPr>
                            <pic:blipFill>
                              <a:blip r:embed="rId71"/>
                              <a:stretch/>
                            </pic:blipFill>
                            <pic:spPr bwMode="auto">
                              <a:xfrm>
                                <a:off x="0" y="0"/>
                                <a:ext cx="1305560" cy="16598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25.1pt;mso-position-horizontal:absolute;mso-position-vertical-relative:text;margin-top:28.3pt;mso-position-vertical:absolute;width:102.8pt;height:130.7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3)铰链:进口阻尼缓冲铰链,耐久性≥10万次,符合QB/T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633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88900</wp:posOffset>
                      </wp:positionH>
                      <wp:positionV relativeFrom="paragraph">
                        <wp:posOffset>1257300</wp:posOffset>
                      </wp:positionV>
                      <wp:extent cx="1878330" cy="1340485"/>
                      <wp:effectExtent l="0" t="0" r="7620" b="12065"/>
                      <wp:wrapNone/>
                      <wp:docPr id="60" name="图片_91"/>
                      <wp:cNvGraphicFramePr/>
                      <a:graphic xmlns:a="http://schemas.openxmlformats.org/drawingml/2006/main">
                        <a:graphicData uri="http://schemas.openxmlformats.org/drawingml/2006/picture">
                          <pic:pic xmlns:pic="http://schemas.openxmlformats.org/drawingml/2006/picture">
                            <pic:nvPicPr>
                              <pic:cNvPr id="61" name="图片_91"/>
                              <pic:cNvPicPr/>
                              <pic:nvPr/>
                            </pic:nvPicPr>
                            <pic:blipFill>
                              <a:blip r:embed="rId72"/>
                              <a:stretch/>
                            </pic:blipFill>
                            <pic:spPr bwMode="auto">
                              <a:xfrm>
                                <a:off x="0" y="0"/>
                                <a:ext cx="1878330" cy="1340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7.0pt;mso-position-horizontal:absolute;mso-position-vertical-relative:text;margin-top:99.0pt;mso-position-vertical:absolute;width:147.9pt;height:105.5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3)屏风框架:采用AL6063-T5铝合金,型材截面壁厚1mm~1.5mm,表面喷砂氧化或静电粉末喷涂处理,符合GB/T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4)桌上屏:单层钢化玻璃,单面磨砂,厚度5mm,符合GB 11614-2022《平板玻璃》标准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5)柜体:主体面材采用浸渍胶膜纸饰面板,表面稳定性好,层次感优,耐污抗磨性强;基材采用ENF级刨花板,甲醛释放量≤0.025mg/m3,符合GB/T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6)柜脚:PP材质,耐冷热循环,应无裂纹、鼓泡、变色、起皱,符合GB/T 32487-2016《塑料家具通用技术条件》标准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7)锁具:正面锁,使用寿命＞2万次,符合QB/T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9)电源插座：PC材质</w:t>
            </w:r>
            <w:r>
              <w:rPr>
                <w:rFonts w:hint="eastAsia" w:hAnsi="宋体" w:cs="宋体"/>
                <w:i w:val="0"/>
                <w:iCs w:val="0"/>
                <w:color w:val="auto"/>
                <w:sz w:val="18"/>
                <w:szCs w:val="18"/>
                <w:highlight w:val="none"/>
                <w:u w:val="none"/>
                <w:lang w:val="en-US" w:eastAsia="zh-CN" w:bidi="ar"/>
              </w:rPr>
              <w:t xml:space="preserve">，2个USB充电接口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3)45°拼接工艺:屏风顶侧连接采用45°拼接工艺,框架一体化,光滑无缝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r>
      <w:tr>
        <w:trPr>
          <w:jc w:val="center"/>
          <w:trHeight w:val="315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茶水柜/打印机柜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330200</wp:posOffset>
                      </wp:positionH>
                      <wp:positionV relativeFrom="paragraph">
                        <wp:posOffset>269240</wp:posOffset>
                      </wp:positionV>
                      <wp:extent cx="1393190" cy="1445895"/>
                      <wp:effectExtent l="0" t="0" r="16510" b="1905"/>
                      <wp:wrapNone/>
                      <wp:docPr id="61" name="图片_94"/>
                      <wp:cNvGraphicFramePr/>
                      <a:graphic xmlns:a="http://schemas.openxmlformats.org/drawingml/2006/main">
                        <a:graphicData uri="http://schemas.openxmlformats.org/drawingml/2006/picture">
                          <pic:pic xmlns:pic="http://schemas.openxmlformats.org/drawingml/2006/picture">
                            <pic:nvPicPr>
                              <pic:cNvPr id="62" name="图片_94"/>
                              <pic:cNvPicPr/>
                              <pic:nvPr/>
                            </pic:nvPicPr>
                            <pic:blipFill>
                              <a:blip r:embed="rId73"/>
                              <a:stretch/>
                            </pic:blipFill>
                            <pic:spPr bwMode="auto">
                              <a:xfrm>
                                <a:off x="0" y="0"/>
                                <a:ext cx="1393190" cy="1445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26.0pt;mso-position-horizontal:absolute;mso-position-vertical-relative:text;margin-top:21.2pt;mso-position-vertical:absolute;width:109.7pt;height:113.8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jc w:val="center"/>
          <w:trHeight w:val="323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163195</wp:posOffset>
                      </wp:positionV>
                      <wp:extent cx="1167130" cy="1674495"/>
                      <wp:effectExtent l="0" t="0" r="13970" b="1905"/>
                      <wp:wrapNone/>
                      <wp:docPr id="62" name="图片_33"/>
                      <wp:cNvGraphicFramePr/>
                      <a:graphic xmlns:a="http://schemas.openxmlformats.org/drawingml/2006/main">
                        <a:graphicData uri="http://schemas.openxmlformats.org/drawingml/2006/picture">
                          <pic:pic xmlns:pic="http://schemas.openxmlformats.org/drawingml/2006/picture">
                            <pic:nvPicPr>
                              <pic:cNvPr id="63" name="图片_33"/>
                              <pic:cNvPicPr/>
                              <pic:nvPr/>
                            </pic:nvPicPr>
                            <pic:blipFill>
                              <a:blip r:embed="rId74"/>
                              <a:stretch/>
                            </pic:blipFill>
                            <pic:spPr bwMode="auto">
                              <a:xfrm>
                                <a:off x="0" y="0"/>
                                <a:ext cx="1167130" cy="1674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9.0pt;mso-position-horizontal:absolute;mso-position-vertical-relative:text;margin-top:12.8pt;mso-position-vertical:absolute;width:91.9pt;height:131.8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r>
      <w:tr>
        <w:trPr>
          <w:jc w:val="center"/>
          <w:trHeight w:val="242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132715</wp:posOffset>
                      </wp:positionH>
                      <wp:positionV relativeFrom="paragraph">
                        <wp:posOffset>469900</wp:posOffset>
                      </wp:positionV>
                      <wp:extent cx="1868805" cy="1510665"/>
                      <wp:effectExtent l="0" t="0" r="17145" b="13335"/>
                      <wp:wrapNone/>
                      <wp:docPr id="63" name="图片_1_SpCnt_6"/>
                      <wp:cNvGraphicFramePr/>
                      <a:graphic xmlns:a="http://schemas.openxmlformats.org/drawingml/2006/main">
                        <a:graphicData uri="http://schemas.openxmlformats.org/drawingml/2006/picture">
                          <pic:pic xmlns:pic="http://schemas.openxmlformats.org/drawingml/2006/picture">
                            <pic:nvPicPr>
                              <pic:cNvPr id="64" name="图片_1_SpCnt_6"/>
                              <pic:cNvPicPr/>
                              <pic:nvPr/>
                            </pic:nvPicPr>
                            <pic:blipFill>
                              <a:blip r:embed="rId75"/>
                              <a:stretch/>
                            </pic:blipFill>
                            <pic:spPr bwMode="auto">
                              <a:xfrm>
                                <a:off x="0" y="0"/>
                                <a:ext cx="1868805" cy="1510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10.4pt;mso-position-horizontal:absolute;mso-position-vertical-relative:text;margin-top:37.0pt;mso-position-vertical:absolute;width:147.2pt;height:118.9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1)床头:</w:t>
            </w:r>
            <w:r>
              <w:rPr>
                <w:rFonts w:hint="eastAsia" w:hAnsi="宋体" w:cs="宋体"/>
                <w:i w:val="0"/>
                <w:iCs w:val="0"/>
                <w:color w:val="auto"/>
                <w:sz w:val="18"/>
                <w:szCs w:val="18"/>
                <w:highlight w:val="none"/>
                <w:u w:val="none"/>
                <w:lang w:val="en-US" w:eastAsia="zh-CN" w:bidi="ar"/>
              </w:rPr>
              <w:t xml:space="preserve">采用18-25mm厚浸渍胶</w:t>
            </w:r>
            <w:r>
              <w:rPr>
                <w:rFonts w:hint="eastAsia" w:ascii="宋体" w:hAnsi="宋体" w:eastAsia="宋体" w:cs="宋体"/>
                <w:i w:val="0"/>
                <w:iCs w:val="0"/>
                <w:color w:val="auto"/>
                <w:sz w:val="18"/>
                <w:szCs w:val="18"/>
                <w:highlight w:val="none"/>
                <w:u w:val="none"/>
                <w:lang w:val="en-US" w:eastAsia="zh-CN" w:bidi="ar"/>
              </w:rPr>
              <w:t xml:space="preserve">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2)床板:</w:t>
            </w:r>
            <w:r>
              <w:rPr>
                <w:rFonts w:hint="eastAsia" w:hAnsi="宋体" w:cs="宋体"/>
                <w:i w:val="0"/>
                <w:iCs w:val="0"/>
                <w:color w:val="auto"/>
                <w:sz w:val="18"/>
                <w:szCs w:val="18"/>
                <w:highlight w:val="none"/>
                <w:u w:val="none"/>
                <w:lang w:val="en-US" w:eastAsia="zh-CN" w:bidi="ar"/>
              </w:rPr>
              <w:t xml:space="preserve">采用12-18mm厚浸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3)床帮:</w:t>
            </w:r>
            <w:r>
              <w:rPr>
                <w:rFonts w:hint="eastAsia" w:hAnsi="宋体" w:cs="宋体"/>
                <w:i w:val="0"/>
                <w:iCs w:val="0"/>
                <w:color w:val="auto"/>
                <w:sz w:val="18"/>
                <w:szCs w:val="18"/>
                <w:highlight w:val="none"/>
                <w:u w:val="none"/>
                <w:lang w:val="en-US" w:eastAsia="zh-CN" w:bidi="ar"/>
              </w:rPr>
              <w:t xml:space="preserve">采用25-30mm厚浸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137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高150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1)床垫:1200g棕垫，表面采用白色针织面料,无明显破损、污渍、发霉现象;主体无明显色差,干擦色牢度≥3级,甲醛释放量≤0.05mg/㎡h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338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977900</wp:posOffset>
                      </wp:positionH>
                      <wp:positionV relativeFrom="paragraph">
                        <wp:posOffset>478155</wp:posOffset>
                      </wp:positionV>
                      <wp:extent cx="1094105" cy="1187450"/>
                      <wp:effectExtent l="0" t="0" r="10795" b="12700"/>
                      <wp:wrapNone/>
                      <wp:docPr id="64" name="图片_104"/>
                      <wp:cNvGraphicFramePr/>
                      <a:graphic xmlns:a="http://schemas.openxmlformats.org/drawingml/2006/main">
                        <a:graphicData uri="http://schemas.openxmlformats.org/drawingml/2006/picture">
                          <pic:pic xmlns:pic="http://schemas.openxmlformats.org/drawingml/2006/picture">
                            <pic:nvPicPr>
                              <pic:cNvPr id="65" name="图片_104"/>
                              <pic:cNvPicPr/>
                              <pic:nvPr/>
                            </pic:nvPicPr>
                            <pic:blipFill>
                              <a:blip r:embed="rId76"/>
                              <a:stretch/>
                            </pic:blipFill>
                            <pic:spPr bwMode="auto">
                              <a:xfrm>
                                <a:off x="0" y="0"/>
                                <a:ext cx="1094105"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77.0pt;mso-position-horizontal:absolute;mso-position-vertical-relative:text;margin-top:37.6pt;mso-position-vertical:absolute;width:86.1pt;height:93.5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514350</wp:posOffset>
                      </wp:positionV>
                      <wp:extent cx="950595" cy="1170305"/>
                      <wp:effectExtent l="0" t="0" r="1905" b="10795"/>
                      <wp:wrapNone/>
                      <wp:docPr id="65" name="图片_30_SpCnt_1"/>
                      <wp:cNvGraphicFramePr/>
                      <a:graphic xmlns:a="http://schemas.openxmlformats.org/drawingml/2006/main">
                        <a:graphicData uri="http://schemas.openxmlformats.org/drawingml/2006/picture">
                          <pic:pic xmlns:pic="http://schemas.openxmlformats.org/drawingml/2006/picture">
                            <pic:nvPicPr>
                              <pic:cNvPr id="66" name="图片_30_SpCnt_1"/>
                              <pic:cNvPicPr/>
                              <pic:nvPr/>
                            </pic:nvPicPr>
                            <pic:blipFill>
                              <a:blip r:embed="rId77"/>
                              <a:stretch/>
                            </pic:blipFill>
                            <pic:spPr bwMode="auto">
                              <a:xfrm>
                                <a:off x="0" y="0"/>
                                <a:ext cx="950595" cy="1170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1.8pt;mso-position-horizontal:absolute;mso-position-vertical-relative:text;margin-top:40.5pt;mso-position-vertical:absolute;width:74.8pt;height:92.1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686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48260</wp:posOffset>
                      </wp:positionH>
                      <wp:positionV relativeFrom="paragraph">
                        <wp:posOffset>1322070</wp:posOffset>
                      </wp:positionV>
                      <wp:extent cx="1964690" cy="1696720"/>
                      <wp:effectExtent l="0" t="0" r="16510" b="17780"/>
                      <wp:wrapNone/>
                      <wp:docPr id="66" name="图片_96"/>
                      <wp:cNvGraphicFramePr/>
                      <a:graphic xmlns:a="http://schemas.openxmlformats.org/drawingml/2006/main">
                        <a:graphicData uri="http://schemas.openxmlformats.org/drawingml/2006/picture">
                          <pic:pic xmlns:pic="http://schemas.openxmlformats.org/drawingml/2006/picture">
                            <pic:nvPicPr>
                              <pic:cNvPr id="67" name="图片_96"/>
                              <pic:cNvPicPr/>
                              <pic:nvPr/>
                            </pic:nvPicPr>
                            <pic:blipFill>
                              <a:blip r:embed="rId78"/>
                              <a:stretch/>
                            </pic:blipFill>
                            <pic:spPr bwMode="auto">
                              <a:xfrm>
                                <a:off x="0" y="0"/>
                                <a:ext cx="1964690" cy="169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3.8pt;mso-position-horizontal:absolute;mso-position-vertical-relative:text;margin-top:104.1pt;mso-position-vertical:absolute;width:154.7pt;height:133.6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4)挡板:</w:t>
            </w:r>
            <w:r>
              <w:rPr>
                <w:rFonts w:hint="eastAsia" w:hAnsi="宋体" w:cs="宋体"/>
                <w:i w:val="0"/>
                <w:iCs w:val="0"/>
                <w:color w:val="auto"/>
                <w:sz w:val="18"/>
                <w:szCs w:val="18"/>
                <w:highlight w:val="none"/>
                <w:u w:val="none"/>
                <w:lang w:val="en-US" w:eastAsia="zh-CN" w:bidi="ar"/>
              </w:rPr>
              <w:t xml:space="preserve">厚度12-16mm,采用</w:t>
            </w:r>
            <w:r>
              <w:rPr>
                <w:rFonts w:hint="eastAsia" w:ascii="宋体" w:hAnsi="宋体" w:eastAsia="宋体" w:cs="宋体"/>
                <w:i w:val="0"/>
                <w:iCs w:val="0"/>
                <w:color w:val="auto"/>
                <w:sz w:val="18"/>
                <w:szCs w:val="18"/>
                <w:highlight w:val="none"/>
                <w:u w:val="none"/>
                <w:lang w:val="en-US" w:eastAsia="zh-CN" w:bidi="ar"/>
              </w:rPr>
              <w:t xml:space="preserve">聚酯纤维,甲醛释放量为0,阻燃等级优,吸音降噪功能良好</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7)铰链:进口阻尼缓冲铰链,耐久性≥4万次,符合QB/T 2189-2013《家具五金 杯状暗铰链》标准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8)锁具:机械密码锁,使用寿命＞1万次,符合QB/T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9)线盒:普通翻盖线盒,材质铝合金，附着力≥2级,涂层耐腐蚀100h后无锈蚀、剥落、起皱,符合GB/T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p>
            <w:r>
              <w:rPr>
                <w:rFonts w:hint="eastAsia" w:ascii="宋体" w:hAnsi="宋体" w:eastAsia="宋体" w:cs="宋体"/>
                <w:i w:val="0"/>
                <w:iCs w:val="0"/>
                <w:color w:val="auto"/>
                <w:sz w:val="18"/>
                <w:szCs w:val="18"/>
                <w:highlight w:val="none"/>
                <w:u w:val="none"/>
                <w:lang w:val="en-US" w:eastAsia="zh-CN" w:bidi="ar"/>
              </w:rPr>
              <w:t xml:space="preserve">4)斜切工艺:</w:t>
            </w:r>
            <w:r>
              <w:rPr>
                <w:rFonts w:hint="eastAsia" w:hAnsi="宋体" w:cs="宋体"/>
                <w:i w:val="0"/>
                <w:iCs w:val="0"/>
                <w:color w:val="auto"/>
                <w:sz w:val="18"/>
                <w:szCs w:val="18"/>
                <w:highlight w:val="none"/>
                <w:u w:val="none"/>
                <w:lang w:val="en-US" w:eastAsia="zh-CN" w:bidi="ar"/>
              </w:rPr>
              <w:t xml:space="preserve">板件边部≥5mm厚</w:t>
            </w:r>
            <w:r>
              <w:rPr>
                <w:rFonts w:hint="eastAsia" w:ascii="宋体" w:hAnsi="宋体" w:eastAsia="宋体" w:cs="宋体"/>
                <w:i w:val="0"/>
                <w:iCs w:val="0"/>
                <w:color w:val="auto"/>
                <w:sz w:val="18"/>
                <w:szCs w:val="18"/>
                <w:highlight w:val="none"/>
                <w:u w:val="none"/>
                <w:lang w:val="en-US" w:eastAsia="zh-CN" w:bidi="ar"/>
              </w:rPr>
              <w:t xml:space="preserve">,斜切45°,斜切距离13mm,光滑平整、不易破损、脱落</w:t>
            </w:r>
            <w:r/>
          </w:p>
          <w:p>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356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479425</wp:posOffset>
                      </wp:positionH>
                      <wp:positionV relativeFrom="paragraph">
                        <wp:posOffset>340995</wp:posOffset>
                      </wp:positionV>
                      <wp:extent cx="1109980" cy="1592580"/>
                      <wp:effectExtent l="0" t="0" r="13970" b="7620"/>
                      <wp:wrapNone/>
                      <wp:docPr id="67" name="ID_02D4A39BC65C4725A2EF4F71030C3D43"/>
                      <wp:cNvGraphicFramePr/>
                      <a:graphic xmlns:a="http://schemas.openxmlformats.org/drawingml/2006/main">
                        <a:graphicData uri="http://schemas.openxmlformats.org/drawingml/2006/picture">
                          <pic:pic xmlns:pic="http://schemas.openxmlformats.org/drawingml/2006/picture">
                            <pic:nvPicPr>
                              <pic:cNvPr id="68" name="ID_02D4A39BC65C4725A2EF4F71030C3D43"/>
                              <pic:cNvPicPr/>
                              <pic:nvPr/>
                            </pic:nvPicPr>
                            <pic:blipFill>
                              <a:blip r:embed="rId79"/>
                              <a:stretch/>
                            </pic:blipFill>
                            <pic:spPr bwMode="auto">
                              <a:xfrm>
                                <a:off x="0" y="0"/>
                                <a:ext cx="1109980" cy="1592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37.8pt;mso-position-horizontal:absolute;mso-position-vertical-relative:text;margin-top:26.8pt;mso-position-vertical:absolute;width:87.4pt;height:12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665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（1020-1115）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1)面料:靠背使用优质网布面料,座垫可选网布或麻绒面料,干擦色牢度≥4级,甲醛含量0,芳香胺有害物质含量0,符合GB 18401-2010《国家纺织产品基本安全技术规范》标准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2)椅背:尼龙+30%玻纤一体成型背框,通过1001N强度测试及12万次疲劳测试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4)扶手:PP固定扶手,可通过水平方向667N、垂直方向1125N力学测试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6)气杆:韩国进口三级气杆,行程66±3mm,升降平稳,无漏声、噪声,通过耐久30万次升降,，耐高低温性能，符合GB/T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7)五星脚:</w:t>
            </w:r>
            <w:r>
              <w:rPr>
                <w:rFonts w:hint="eastAsia" w:hAnsi="宋体" w:cs="宋体"/>
                <w:i w:val="0"/>
                <w:iCs w:val="0"/>
                <w:color w:val="auto"/>
                <w:sz w:val="18"/>
                <w:szCs w:val="18"/>
                <w:highlight w:val="none"/>
                <w:u w:val="none"/>
                <w:lang w:val="en-US" w:eastAsia="zh-CN" w:bidi="ar"/>
              </w:rPr>
              <w:t xml:space="preserve">直径640-720mm</w:t>
            </w:r>
            <w:r>
              <w:rPr>
                <w:rFonts w:hint="eastAsia" w:ascii="宋体" w:hAnsi="宋体" w:eastAsia="宋体" w:cs="宋体"/>
                <w:i w:val="0"/>
                <w:iCs w:val="0"/>
                <w:color w:val="auto"/>
                <w:sz w:val="18"/>
                <w:szCs w:val="18"/>
                <w:highlight w:val="none"/>
                <w:u w:val="none"/>
                <w:lang w:val="en-US" w:eastAsia="zh-CN" w:bidi="ar"/>
              </w:rPr>
              <w:t xml:space="preserve">尼龙五星脚,通过垂直方向11120N静压测试,涂层耐腐蚀100h后无锈蚀、剥落、起皱,符合GB/T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1)头枕调节:上下调节50mm。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445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460375</wp:posOffset>
                      </wp:positionV>
                      <wp:extent cx="1861820" cy="1449705"/>
                      <wp:effectExtent l="0" t="0" r="5080" b="17145"/>
                      <wp:wrapNone/>
                      <wp:docPr id="68" name="图片_69"/>
                      <wp:cNvGraphicFramePr/>
                      <a:graphic xmlns:a="http://schemas.openxmlformats.org/drawingml/2006/main">
                        <a:graphicData uri="http://schemas.openxmlformats.org/drawingml/2006/picture">
                          <pic:pic xmlns:pic="http://schemas.openxmlformats.org/drawingml/2006/picture">
                            <pic:nvPicPr>
                              <pic:cNvPr id="69" name="图片_69"/>
                              <pic:cNvPicPr/>
                              <pic:nvPr/>
                            </pic:nvPicPr>
                            <pic:blipFill>
                              <a:blip r:embed="rId80"/>
                              <a:stretch/>
                            </pic:blipFill>
                            <pic:spPr bwMode="auto">
                              <a:xfrm>
                                <a:off x="0" y="0"/>
                                <a:ext cx="1861819" cy="1449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9.8pt;mso-position-horizontal:absolute;mso-position-vertical-relative:text;margin-top:36.2pt;mso-position-vertical:absolute;width:146.6pt;height:114.1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78105</wp:posOffset>
                      </wp:positionV>
                      <wp:extent cx="1450975" cy="1137285"/>
                      <wp:effectExtent l="0" t="0" r="15875" b="5715"/>
                      <wp:wrapNone/>
                      <wp:docPr id="69" name="图片_37"/>
                      <wp:cNvGraphicFramePr/>
                      <a:graphic xmlns:a="http://schemas.openxmlformats.org/drawingml/2006/main">
                        <a:graphicData uri="http://schemas.openxmlformats.org/drawingml/2006/picture">
                          <pic:pic xmlns:pic="http://schemas.openxmlformats.org/drawingml/2006/picture">
                            <pic:nvPicPr>
                              <pic:cNvPr id="70" name="图片_37"/>
                              <pic:cNvPicPr/>
                              <pic:nvPr/>
                            </pic:nvPicPr>
                            <pic:blipFill>
                              <a:blip r:embed="rId81"/>
                              <a:stretch/>
                            </pic:blipFill>
                            <pic:spPr bwMode="auto">
                              <a:xfrm>
                                <a:off x="0" y="0"/>
                                <a:ext cx="1450975"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22.2pt;mso-position-horizontal:absolute;mso-position-vertical-relative:text;margin-top:6.1pt;mso-position-vertical:absolute;width:114.2pt;height:89.5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1)床头:</w:t>
            </w:r>
            <w:r>
              <w:rPr>
                <w:rFonts w:hint="eastAsia" w:hAnsi="宋体" w:cs="宋体"/>
                <w:i w:val="0"/>
                <w:iCs w:val="0"/>
                <w:color w:val="auto"/>
                <w:sz w:val="18"/>
                <w:szCs w:val="18"/>
                <w:highlight w:val="none"/>
                <w:u w:val="none"/>
                <w:lang w:val="en-US" w:eastAsia="zh-CN" w:bidi="ar"/>
              </w:rPr>
              <w:t xml:space="preserve">采用18-25mm厚浸渍胶</w:t>
            </w:r>
            <w:r>
              <w:rPr>
                <w:rFonts w:hint="eastAsia" w:ascii="宋体" w:hAnsi="宋体" w:eastAsia="宋体" w:cs="宋体"/>
                <w:i w:val="0"/>
                <w:iCs w:val="0"/>
                <w:color w:val="auto"/>
                <w:sz w:val="18"/>
                <w:szCs w:val="18"/>
                <w:highlight w:val="none"/>
                <w:u w:val="none"/>
                <w:lang w:val="en-US" w:eastAsia="zh-CN" w:bidi="ar"/>
              </w:rPr>
              <w:t xml:space="preserve">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2)床板:</w:t>
            </w:r>
            <w:r>
              <w:rPr>
                <w:rFonts w:hint="eastAsia" w:hAnsi="宋体" w:cs="宋体"/>
                <w:i w:val="0"/>
                <w:iCs w:val="0"/>
                <w:color w:val="auto"/>
                <w:sz w:val="18"/>
                <w:szCs w:val="18"/>
                <w:highlight w:val="none"/>
                <w:u w:val="none"/>
                <w:lang w:val="en-US" w:eastAsia="zh-CN" w:bidi="ar"/>
              </w:rPr>
              <w:t xml:space="preserve">采用12-18mm厚浸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3)床帮:</w:t>
            </w:r>
            <w:r>
              <w:rPr>
                <w:rFonts w:hint="eastAsia" w:hAnsi="宋体" w:cs="宋体"/>
                <w:i w:val="0"/>
                <w:iCs w:val="0"/>
                <w:color w:val="auto"/>
                <w:sz w:val="18"/>
                <w:szCs w:val="18"/>
                <w:highlight w:val="none"/>
                <w:u w:val="none"/>
                <w:lang w:val="en-US" w:eastAsia="zh-CN" w:bidi="ar"/>
              </w:rPr>
              <w:t xml:space="preserve">采用25-30mm厚浸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190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327025</wp:posOffset>
                      </wp:positionH>
                      <wp:positionV relativeFrom="paragraph">
                        <wp:posOffset>143510</wp:posOffset>
                      </wp:positionV>
                      <wp:extent cx="1323975" cy="942975"/>
                      <wp:effectExtent l="0" t="0" r="9525" b="9525"/>
                      <wp:wrapNone/>
                      <wp:docPr id="70" name="图片_37_SpCnt_1"/>
                      <wp:cNvGraphicFramePr/>
                      <a:graphic xmlns:a="http://schemas.openxmlformats.org/drawingml/2006/main">
                        <a:graphicData uri="http://schemas.openxmlformats.org/drawingml/2006/picture">
                          <pic:pic xmlns:pic="http://schemas.openxmlformats.org/drawingml/2006/picture">
                            <pic:nvPicPr>
                              <pic:cNvPr id="71" name="图片_37_SpCnt_1"/>
                              <pic:cNvPicPr/>
                              <pic:nvPr/>
                            </pic:nvPicPr>
                            <pic:blipFill>
                              <a:blip r:embed="rId82"/>
                              <a:stretch/>
                            </pic:blipFill>
                            <pic:spPr bwMode="auto">
                              <a:xfrm>
                                <a:off x="0" y="0"/>
                                <a:ext cx="1323974"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25.8pt;mso-position-horizontal:absolute;mso-position-vertical-relative:text;margin-top:11.3pt;mso-position-vertical:absolute;width:104.2pt;height:74.2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床垫</w:t>
            </w: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高150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1)床垫:1200g棕垫，表面采用白色针织面料,无明显破损、污渍、发霉现象;主体无明显色差,干擦色牢度≥3级,甲醛释放量≤0.05mg/㎡h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245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156845</wp:posOffset>
                      </wp:positionV>
                      <wp:extent cx="1945005" cy="1238250"/>
                      <wp:effectExtent l="0" t="0" r="17145" b="0"/>
                      <wp:wrapNone/>
                      <wp:docPr id="71" name="图片_44"/>
                      <wp:cNvGraphicFramePr/>
                      <a:graphic xmlns:a="http://schemas.openxmlformats.org/drawingml/2006/main">
                        <a:graphicData uri="http://schemas.openxmlformats.org/drawingml/2006/picture">
                          <pic:pic xmlns:pic="http://schemas.openxmlformats.org/drawingml/2006/picture">
                            <pic:nvPicPr>
                              <pic:cNvPr id="72" name="图片_44"/>
                              <pic:cNvPicPr/>
                              <pic:nvPr/>
                            </pic:nvPicPr>
                            <pic:blipFill>
                              <a:blip r:embed="rId83"/>
                              <a:stretch/>
                            </pic:blipFill>
                            <pic:spPr bwMode="auto">
                              <a:xfrm>
                                <a:off x="0" y="0"/>
                                <a:ext cx="194500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4.8pt;mso-position-horizontal:absolute;mso-position-vertical-relative:text;margin-top:12.3pt;mso-position-vertical:absolute;width:153.2pt;height:97.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3450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3)导轨:优质导轨,耐久性≥8万次,涂层耐盐雾300h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98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530860</wp:posOffset>
                      </wp:positionH>
                      <wp:positionV relativeFrom="paragraph">
                        <wp:posOffset>120650</wp:posOffset>
                      </wp:positionV>
                      <wp:extent cx="946785" cy="1052195"/>
                      <wp:effectExtent l="0" t="0" r="5715" b="14604"/>
                      <wp:wrapNone/>
                      <wp:docPr id="72" name="图片_2_SpCnt_2"/>
                      <wp:cNvGraphicFramePr/>
                      <a:graphic xmlns:a="http://schemas.openxmlformats.org/drawingml/2006/main">
                        <a:graphicData uri="http://schemas.openxmlformats.org/drawingml/2006/picture">
                          <pic:pic xmlns:pic="http://schemas.openxmlformats.org/drawingml/2006/picture">
                            <pic:nvPicPr>
                              <pic:cNvPr id="73" name="图片_2_SpCnt_2"/>
                              <pic:cNvPicPr/>
                              <pic:nvPr/>
                            </pic:nvPicPr>
                            <pic:blipFill>
                              <a:blip r:embed="rId84"/>
                              <a:stretch/>
                            </pic:blipFill>
                            <pic:spPr bwMode="auto">
                              <a:xfrm>
                                <a:off x="0" y="0"/>
                                <a:ext cx="946785"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41.8pt;mso-position-horizontal:absolute;mso-position-vertical-relative:text;margin-top:9.5pt;mso-position-vertical:absolute;width:74.5pt;height:82.8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760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1)皮革:沙发整体使用超纤皮,干擦色牢度≥4级,湿擦色牢度≥3级,耐磨性（H-18,500g,200r）产品表面不破</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2)海绵:采用优质回弹海绵,座面密度≥30kg/m3,其他部位≥20kg/m3</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3)软包填充:靠背软包整体使用切割回弹海绵+6D聚酯纤维织物,柔软舒适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4)沙发架:天然白蜡木架,环保油漆涂饰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205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560070</wp:posOffset>
                      </wp:positionH>
                      <wp:positionV relativeFrom="paragraph">
                        <wp:posOffset>186690</wp:posOffset>
                      </wp:positionV>
                      <wp:extent cx="890905" cy="916305"/>
                      <wp:effectExtent l="0" t="0" r="4445" b="17145"/>
                      <wp:wrapNone/>
                      <wp:docPr id="73" name="图片_3_SpCnt_4"/>
                      <wp:cNvGraphicFramePr/>
                      <a:graphic xmlns:a="http://schemas.openxmlformats.org/drawingml/2006/main">
                        <a:graphicData uri="http://schemas.openxmlformats.org/drawingml/2006/picture">
                          <pic:pic xmlns:pic="http://schemas.openxmlformats.org/drawingml/2006/picture">
                            <pic:nvPicPr>
                              <pic:cNvPr id="74" name="图片_3_SpCnt_4"/>
                              <pic:cNvPicPr/>
                              <pic:nvPr/>
                            </pic:nvPicPr>
                            <pic:blipFill>
                              <a:blip r:embed="rId85"/>
                              <a:stretch/>
                            </pic:blipFill>
                            <pic:spPr bwMode="auto">
                              <a:xfrm>
                                <a:off x="0" y="0"/>
                                <a:ext cx="890905"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44.1pt;mso-position-horizontal:absolute;mso-position-vertical-relative:text;margin-top:14.7pt;mso-position-vertical:absolute;width:70.1pt;height:72.1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1)基材:采用天然优质白蜡木,经干燥、防虫、防腐处理,纹理自然清晰,结构稳定,环保油漆涂饰,符合GB/T 3324-2024《木家具通用技术条件》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1)涂装工艺:木纹色采用两底一面的本色涂装工艺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183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511175</wp:posOffset>
                      </wp:positionH>
                      <wp:positionV relativeFrom="paragraph">
                        <wp:posOffset>73660</wp:posOffset>
                      </wp:positionV>
                      <wp:extent cx="971550" cy="1029970"/>
                      <wp:effectExtent l="0" t="0" r="0" b="17780"/>
                      <wp:wrapNone/>
                      <wp:docPr id="74" name="图片_3_SpCnt_5"/>
                      <wp:cNvGraphicFramePr/>
                      <a:graphic xmlns:a="http://schemas.openxmlformats.org/drawingml/2006/main">
                        <a:graphicData uri="http://schemas.openxmlformats.org/drawingml/2006/picture">
                          <pic:pic xmlns:pic="http://schemas.openxmlformats.org/drawingml/2006/picture">
                            <pic:nvPicPr>
                              <pic:cNvPr id="75" name="图片_3_SpCnt_5"/>
                              <pic:cNvPicPr/>
                              <pic:nvPr/>
                            </pic:nvPicPr>
                            <pic:blipFill>
                              <a:blip r:embed="rId86"/>
                              <a:stretch/>
                            </pic:blipFill>
                            <pic:spPr bwMode="auto">
                              <a:xfrm>
                                <a:off x="0" y="0"/>
                                <a:ext cx="97155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40.2pt;mso-position-horizontal:absolute;mso-position-vertical-relative:text;margin-top:5.8pt;mso-position-vertical:absolute;width:76.5pt;height:81.1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岩板面：采用高密度岩板台面，硬度高、耐刮耐磨、防渗透易打理，耐高温不变色，纹理自然逼真，防水防污，日常污渍一擦即净，质感高级且经久耐用。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碳素铁脚：选用加厚碳素钢架脚，承重稳固、韧性强不易变形，防锈耐腐蚀，焊接工艺精细，平稳不摇晃，简约百搭，结实耐用使用寿命长。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445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按摩椅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212090</wp:posOffset>
                      </wp:positionH>
                      <wp:positionV relativeFrom="paragraph">
                        <wp:posOffset>554355</wp:posOffset>
                      </wp:positionV>
                      <wp:extent cx="1597025" cy="1688465"/>
                      <wp:effectExtent l="0" t="0" r="3175" b="6985"/>
                      <wp:wrapNone/>
                      <wp:docPr id="75" name="图片_7"/>
                      <wp:cNvGraphicFramePr/>
                      <a:graphic xmlns:a="http://schemas.openxmlformats.org/drawingml/2006/main">
                        <a:graphicData uri="http://schemas.openxmlformats.org/drawingml/2006/picture">
                          <pic:pic xmlns:pic="http://schemas.openxmlformats.org/drawingml/2006/picture">
                            <pic:nvPicPr>
                              <pic:cNvPr id="76" name="图片_7"/>
                              <pic:cNvPicPr/>
                              <pic:nvPr/>
                            </pic:nvPicPr>
                            <pic:blipFill>
                              <a:blip r:embed="rId87"/>
                              <a:stretch/>
                            </pic:blipFill>
                            <pic:spPr bwMode="auto">
                              <a:xfrm>
                                <a:off x="0" y="0"/>
                                <a:ext cx="1597025" cy="1688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6.7pt;mso-position-horizontal:absolute;mso-position-vertical-relative:text;margin-top:43.6pt;mso-position-vertical:absolute;width:125.8pt;height:132.9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基材：主体框架多采用加厚实木、高密度环保板材或冷轧加厚钢管，结构稳固承重性强，韧性高、不易变形，防腐防潮，长期使用不易松动异响，为整机提供稳定支撑。</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皮革：优选耐磨透气仿真皮、PU 皮或纳帕皮，触感柔软细腻，亲肤不闷汗，具备耐磨、抗老化、防刮裂、易清洁的特性，拉伸韧性好，久坐不起皮、不龟裂。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电机：搭载静音纯铜机芯电机，动力强劲且运行平稳，能耗低、散热性能好，耐用寿命长，运行过程噪音小，按摩力度输出均匀稳定，支持多模式调节不易卡顿故障。</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 机械手按摩：采用 3D 仿生机械手设计，可实现前后、上下、深浅多维立体游走按摩，贴合人体肩颈、背部、腰臀曲线，模拟真人揉捏、推拿、捶打、指压等手法，深度渗透肌肉筋膜，按摩贴合度高、体感更自然。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腰部加热、背部加热：内置恒温热敷模块，覆盖背部与腰部关键穴位区域，恒温暖流渗透腰背经络，驱散寒湿、舒缓腰背僵硬酸痛，温控适中不烫肤，久坐放松更舒适。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按摩点位调节、局部热疗、气囊力度调节、蓝牙连接：支持精准按摩点位自定义调节，可定点针对酸痛部位按摩；配备独立局部热疗功能，可单独开启对应区域热敷；气囊支持多档力度可调，适配不同身形与受力需求；内置蓝牙连接功能，可连接手机播放音乐，边按摩边聆听，沉浸式放松。</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档调节：整机按摩力度、气囊强度、行走速度均支持3 档档位调节，分轻柔、适中、强劲三档，老少皆宜，可根据自身耐受度自由切换适配。</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343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623570</wp:posOffset>
                      </wp:positionV>
                      <wp:extent cx="1964055" cy="915035"/>
                      <wp:effectExtent l="0" t="0" r="17145" b="18415"/>
                      <wp:wrapNone/>
                      <wp:docPr id="76" name="图片_4_SpCnt_1"/>
                      <wp:cNvGraphicFramePr/>
                      <a:graphic xmlns:a="http://schemas.openxmlformats.org/drawingml/2006/main">
                        <a:graphicData uri="http://schemas.openxmlformats.org/drawingml/2006/picture">
                          <pic:pic xmlns:pic="http://schemas.openxmlformats.org/drawingml/2006/picture">
                            <pic:nvPicPr>
                              <pic:cNvPr id="77" name="图片_4_SpCnt_1"/>
                              <pic:cNvPicPr/>
                              <pic:nvPr/>
                            </pic:nvPicPr>
                            <pic:blipFill>
                              <a:blip r:embed="rId88"/>
                              <a:stretch/>
                            </pic:blipFill>
                            <pic:spPr bwMode="auto">
                              <a:xfrm>
                                <a:off x="0" y="0"/>
                                <a:ext cx="1964055"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3.4pt;mso-position-horizontal:absolute;mso-position-vertical-relative:text;margin-top:49.1pt;mso-position-vertical:absolute;width:154.7pt;height:72.0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D430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4)沙发脚:钢制沙发脚,表面静电粉末喷涂,</w:t>
            </w:r>
            <w:r>
              <w:rPr>
                <w:rFonts w:hint="eastAsia" w:hAnsi="宋体" w:cs="宋体"/>
                <w:i w:val="0"/>
                <w:iCs w:val="0"/>
                <w:color w:val="auto"/>
                <w:sz w:val="18"/>
                <w:szCs w:val="18"/>
                <w:highlight w:val="none"/>
                <w:u w:val="none"/>
                <w:lang w:val="en-US" w:eastAsia="zh-CN" w:bidi="ar"/>
              </w:rPr>
              <w:t xml:space="preserve">壁厚1.8-2.0mm</w:t>
            </w:r>
            <w:r>
              <w:rPr>
                <w:rFonts w:hint="eastAsia" w:ascii="宋体" w:hAnsi="宋体" w:eastAsia="宋体" w:cs="宋体"/>
                <w:i w:val="0"/>
                <w:iCs w:val="0"/>
                <w:color w:val="auto"/>
                <w:sz w:val="18"/>
                <w:szCs w:val="18"/>
                <w:highlight w:val="none"/>
                <w:u w:val="none"/>
                <w:lang w:val="en-US" w:eastAsia="zh-CN" w:bidi="ar"/>
              </w:rPr>
              <w:t xml:space="preserve">空心跑道管,涂层耐盐雾18h,符合QB/T 1952.1-2023《软体家具 沙发》标准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5)软包填充:靠背软包整体使用切割回弹海绵+6D聚酯纤维织物,柔软舒适,符合GB/T 10802-2023《通用软质聚氨酯泡沫塑料》标准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62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密集柜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116205</wp:posOffset>
                      </wp:positionH>
                      <wp:positionV relativeFrom="paragraph">
                        <wp:posOffset>108585</wp:posOffset>
                      </wp:positionV>
                      <wp:extent cx="1834515" cy="1415415"/>
                      <wp:effectExtent l="0" t="0" r="13335" b="13335"/>
                      <wp:wrapNone/>
                      <wp:docPr id="77" name="图片_24_SpCnt_1"/>
                      <wp:cNvGraphicFramePr/>
                      <a:graphic xmlns:a="http://schemas.openxmlformats.org/drawingml/2006/main">
                        <a:graphicData uri="http://schemas.openxmlformats.org/drawingml/2006/picture">
                          <pic:pic xmlns:pic="http://schemas.openxmlformats.org/drawingml/2006/picture">
                            <pic:nvPicPr>
                              <pic:cNvPr id="91" name="图片_24_SpCnt_1"/>
                              <pic:cNvPicPr/>
                              <pic:nvPr/>
                            </pic:nvPicPr>
                            <pic:blipFill>
                              <a:blip r:embed="rId89"/>
                              <a:stretch/>
                            </pic:blipFill>
                            <pic:spPr bwMode="auto">
                              <a:xfrm>
                                <a:off x="0" y="0"/>
                                <a:ext cx="1834515" cy="1415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9.2pt;mso-position-horizontal:absolute;mso-position-vertical-relative:text;margin-top:8.5pt;mso-position-vertical:absolute;width:144.4pt;height:111.4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w:t>
            </w:r>
            <w:r>
              <w:rPr>
                <w:rFonts w:hint="eastAsia" w:hAnsi="宋体" w:cs="宋体"/>
                <w:i w:val="0"/>
                <w:iCs w:val="0"/>
                <w:color w:val="auto"/>
                <w:sz w:val="18"/>
                <w:szCs w:val="18"/>
                <w:u w:val="none"/>
                <w:lang w:val="en-US" w:eastAsia="zh-CN" w:bidi="ar"/>
              </w:rPr>
              <w:t xml:space="preserve">1</w:t>
            </w:r>
            <w:r>
              <w:rPr>
                <w:rFonts w:hint="eastAsia" w:ascii="宋体" w:hAnsi="宋体" w:eastAsia="宋体" w:cs="宋体"/>
                <w:i w:val="0"/>
                <w:iCs w:val="0"/>
                <w:color w:val="auto"/>
                <w:sz w:val="18"/>
                <w:szCs w:val="18"/>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1.用料厚度为</w:t>
            </w:r>
            <w:r>
              <w:rPr>
                <w:rFonts w:hint="eastAsia" w:hAnsi="宋体" w:cs="宋体"/>
                <w:i w:val="0"/>
                <w:iCs w:val="0"/>
                <w:color w:val="auto"/>
                <w:sz w:val="18"/>
                <w:szCs w:val="18"/>
                <w:highlight w:val="none"/>
                <w:u w:val="none"/>
                <w:lang w:val="en-US" w:eastAsia="zh-CN" w:bidi="ar"/>
              </w:rPr>
              <w:t xml:space="preserve">≥0.7mm优质冷轧钢板</w:t>
            </w:r>
            <w:r>
              <w:rPr>
                <w:rFonts w:hint="eastAsia" w:ascii="宋体" w:hAnsi="宋体" w:eastAsia="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2.总承板手动盘采用双向超越离合器结构，传动采用三分力、三变速、中间驱动方式。底盘传动系统由伞齿轮组传动，伞齿轮经机械精加工,锻压成型,回火去应力、滚齿、去毛刺、齿部经高频淬火硬度达 HRC60-62。伞齿轮传动与传统密集架底盘采用的链条传动相比，有传动精确平稳、噪音低、手摇力度更好、移动速度更合理、传递扭力更大省力等特点。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材料经除油、去锈、磷化等十道工序前处理，采用国际最新流行色亚光静电自动喷粉，高温固化而成，提高其防锈蚀性能。架体外观设计要求精美，线条流畅，库房整洁美观，操作轻便灵活，运行平稳；具有良好的防盗、防光、防高温、防火、防潮、防尘、防鼠、防虫功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r>
      <w:tr>
        <w:trPr>
          <w:jc w:val="center"/>
          <w:trHeight w:val="649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上下铺床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1292225</wp:posOffset>
                      </wp:positionV>
                      <wp:extent cx="1916430" cy="2312670"/>
                      <wp:effectExtent l="0" t="0" r="7620" b="11430"/>
                      <wp:wrapNone/>
                      <wp:docPr id="78" name="图片_45"/>
                      <wp:cNvGraphicFramePr/>
                      <a:graphic xmlns:a="http://schemas.openxmlformats.org/drawingml/2006/main">
                        <a:graphicData uri="http://schemas.openxmlformats.org/drawingml/2006/picture">
                          <pic:pic xmlns:pic="http://schemas.openxmlformats.org/drawingml/2006/picture">
                            <pic:nvPicPr>
                              <pic:cNvPr id="92" name="图片_45"/>
                              <pic:cNvPicPr/>
                              <pic:nvPr/>
                            </pic:nvPicPr>
                            <pic:blipFill>
                              <a:blip r:embed="rId90"/>
                              <a:stretch/>
                            </pic:blipFill>
                            <pic:spPr bwMode="auto">
                              <a:xfrm>
                                <a:off x="0" y="0"/>
                                <a:ext cx="1916430" cy="2312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5.8pt;mso-position-horizontal:absolute;mso-position-vertical-relative:text;margin-top:101.8pt;mso-position-vertical:absolute;width:150.9pt;height:182.1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3)床板:</w:t>
            </w:r>
            <w:r>
              <w:rPr>
                <w:rFonts w:hint="eastAsia" w:hAnsi="宋体" w:cs="宋体"/>
                <w:i w:val="0"/>
                <w:iCs w:val="0"/>
                <w:color w:val="auto"/>
                <w:sz w:val="18"/>
                <w:szCs w:val="18"/>
                <w:highlight w:val="none"/>
                <w:u w:val="none"/>
                <w:lang w:val="en-US" w:eastAsia="zh-CN" w:bidi="ar"/>
              </w:rPr>
              <w:t xml:space="preserve">采用杉木床板</w:t>
            </w:r>
            <w:r>
              <w:rPr>
                <w:rFonts w:hint="eastAsia" w:ascii="宋体" w:hAnsi="宋体" w:eastAsia="宋体" w:cs="宋体"/>
                <w:i w:val="0"/>
                <w:iCs w:val="0"/>
                <w:color w:val="auto"/>
                <w:sz w:val="18"/>
                <w:szCs w:val="18"/>
                <w:highlight w:val="none"/>
                <w:u w:val="none"/>
                <w:lang w:val="en-US" w:eastAsia="zh-CN" w:bidi="ar"/>
              </w:rPr>
              <w:t xml:space="preserve">,</w:t>
            </w:r>
            <w:r>
              <w:rPr>
                <w:rFonts w:hint="eastAsia" w:hAnsi="宋体" w:cs="宋体"/>
                <w:i w:val="0"/>
                <w:iCs w:val="0"/>
                <w:color w:val="auto"/>
                <w:sz w:val="18"/>
                <w:szCs w:val="18"/>
                <w:highlight w:val="none"/>
                <w:u w:val="none"/>
                <w:lang w:val="en-US" w:eastAsia="zh-CN" w:bidi="ar"/>
              </w:rPr>
              <w:t xml:space="preserve">含11根及以上板条</w:t>
            </w:r>
            <w:r>
              <w:rPr>
                <w:rFonts w:hint="eastAsia" w:ascii="宋体" w:hAnsi="宋体" w:eastAsia="宋体" w:cs="宋体"/>
                <w:i w:val="0"/>
                <w:iCs w:val="0"/>
                <w:color w:val="auto"/>
                <w:sz w:val="18"/>
                <w:szCs w:val="18"/>
                <w:highlight w:val="none"/>
                <w:u w:val="none"/>
                <w:lang w:val="en-US" w:eastAsia="zh-CN" w:bidi="ar"/>
              </w:rPr>
              <w:t xml:space="preserve">,厚度≥15mm,间隙≤10mm,</w:t>
            </w:r>
            <w:r>
              <w:rPr>
                <w:rFonts w:hint="eastAsia" w:hAnsi="宋体" w:cs="宋体"/>
                <w:i w:val="0"/>
                <w:iCs w:val="0"/>
                <w:color w:val="auto"/>
                <w:sz w:val="18"/>
                <w:szCs w:val="18"/>
                <w:highlight w:val="none"/>
                <w:u w:val="none"/>
                <w:lang w:val="en-US" w:eastAsia="zh-CN" w:bidi="ar"/>
              </w:rPr>
              <w:t xml:space="preserve">包含不少于5根木档支撑</w:t>
            </w:r>
            <w:r>
              <w:rPr>
                <w:rFonts w:hint="eastAsia" w:ascii="宋体" w:hAnsi="宋体" w:eastAsia="宋体" w:cs="宋体"/>
                <w:i w:val="0"/>
                <w:iCs w:val="0"/>
                <w:color w:val="auto"/>
                <w:sz w:val="18"/>
                <w:szCs w:val="18"/>
                <w:highlight w:val="none"/>
                <w:u w:val="none"/>
                <w:lang w:val="en-US" w:eastAsia="zh-CN" w:bidi="ar"/>
              </w:rPr>
              <w:t xml:space="preserve">,板面腐朽面积不超过材面面积20%,任意材长1m范围内活节个数不超过6个,或者尺寸不得超过板宽的1/3,符合GB/T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4)边立柱:Q195材质扇形安全圆角钢管,</w:t>
            </w:r>
            <w:r>
              <w:rPr>
                <w:rFonts w:hint="eastAsia" w:hAnsi="宋体" w:cs="宋体"/>
                <w:i w:val="0"/>
                <w:iCs w:val="0"/>
                <w:color w:val="auto"/>
                <w:sz w:val="18"/>
                <w:szCs w:val="18"/>
                <w:highlight w:val="none"/>
                <w:u w:val="none"/>
                <w:lang w:val="en-US" w:eastAsia="zh-CN" w:bidi="ar"/>
              </w:rPr>
              <w:t xml:space="preserve">壁厚1.2-1.5mm,</w:t>
            </w:r>
            <w:r>
              <w:rPr>
                <w:rFonts w:hint="eastAsia" w:ascii="宋体" w:hAnsi="宋体" w:eastAsia="宋体" w:cs="宋体"/>
                <w:i w:val="0"/>
                <w:iCs w:val="0"/>
                <w:color w:val="auto"/>
                <w:sz w:val="18"/>
                <w:szCs w:val="18"/>
                <w:highlight w:val="none"/>
                <w:u w:val="none"/>
                <w:lang w:val="en-US" w:eastAsia="zh-CN" w:bidi="ar"/>
              </w:rPr>
              <w:t xml:space="preserve">高度2100mm,立柱上下封口采用优质ABS塑料的静音内外塞</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5)中立柱:Q195材质六边异形钢管,壁厚1.2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mm,高度1773mm,立柱上下封口采用优质ABS塑料的静音内外塞</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6)爬梯:边管使用Q195材质圆形钢管,壁厚1.2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mm;支撑杆使用Q195材质矩形钢管,壁厚1.2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7)蚊帐支架:Q195材质圆形钢管,壁厚1.2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8)床板支撑杆:Q195材质矩形钢管,</w:t>
            </w:r>
            <w:r>
              <w:rPr>
                <w:rFonts w:hint="eastAsia" w:hAnsi="宋体" w:cs="宋体"/>
                <w:i w:val="0"/>
                <w:iCs w:val="0"/>
                <w:color w:val="auto"/>
                <w:sz w:val="18"/>
                <w:szCs w:val="18"/>
                <w:highlight w:val="none"/>
                <w:u w:val="none"/>
                <w:lang w:val="en-US" w:eastAsia="zh-CN" w:bidi="ar"/>
              </w:rPr>
              <w:t xml:space="preserve">壁厚1.2-1.6mm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9)护栏:床挺使用Q195材质P形钢管,壁厚1.2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mm,离地高度1700mm;护栏使用Q195材质方形钢管,壁厚1.2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mm;护栏板使用ENF级浸渍胶膜纸饰面板饰面刨花板,厚度18mm;护栏整体高度377mm,与立柱采用卡扣式安装</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r>
      <w:tr>
        <w:trPr>
          <w:jc w:val="center"/>
          <w:trHeight w:val="114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床垫</w:t>
            </w: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1)床垫:1000g棕垫，表面采用白色针织面料,无明显破损、污渍、发霉现象;主体无明显色差,干擦色牢度≥3级,甲醛释放量≤0.05mg/㎡h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jc w:val="center"/>
          <w:trHeight w:val="3833"/>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993775</wp:posOffset>
                      </wp:positionH>
                      <wp:positionV relativeFrom="paragraph">
                        <wp:posOffset>371475</wp:posOffset>
                      </wp:positionV>
                      <wp:extent cx="986790" cy="1575435"/>
                      <wp:effectExtent l="0" t="0" r="3810" b="5715"/>
                      <wp:wrapNone/>
                      <wp:docPr id="79" name="图片_123"/>
                      <wp:cNvGraphicFramePr/>
                      <a:graphic xmlns:a="http://schemas.openxmlformats.org/drawingml/2006/main">
                        <a:graphicData uri="http://schemas.openxmlformats.org/drawingml/2006/picture">
                          <pic:pic xmlns:pic="http://schemas.openxmlformats.org/drawingml/2006/picture">
                            <pic:nvPicPr>
                              <pic:cNvPr id="93" name="图片_123"/>
                              <pic:cNvPicPr/>
                              <pic:nvPr/>
                            </pic:nvPicPr>
                            <pic:blipFill>
                              <a:blip r:embed="rId91"/>
                              <a:stretch/>
                            </pic:blipFill>
                            <pic:spPr bwMode="auto">
                              <a:xfrm>
                                <a:off x="0" y="0"/>
                                <a:ext cx="986790" cy="1575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78.2pt;mso-position-horizontal:absolute;mso-position-vertical-relative:text;margin-top:29.2pt;mso-position-vertical:absolute;width:77.7pt;height:124.0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313055</wp:posOffset>
                      </wp:positionV>
                      <wp:extent cx="941070" cy="1650365"/>
                      <wp:effectExtent l="0" t="0" r="11430" b="6985"/>
                      <wp:wrapNone/>
                      <wp:docPr id="80" name="图片_46"/>
                      <wp:cNvGraphicFramePr/>
                      <a:graphic xmlns:a="http://schemas.openxmlformats.org/drawingml/2006/main">
                        <a:graphicData uri="http://schemas.openxmlformats.org/drawingml/2006/picture">
                          <pic:pic xmlns:pic="http://schemas.openxmlformats.org/drawingml/2006/picture">
                            <pic:nvPicPr>
                              <pic:cNvPr id="94" name="图片_46"/>
                              <pic:cNvPicPr/>
                              <pic:nvPr/>
                            </pic:nvPicPr>
                            <pic:blipFill>
                              <a:blip r:embed="rId92"/>
                              <a:stretch/>
                            </pic:blipFill>
                            <pic:spPr bwMode="auto">
                              <a:xfrm>
                                <a:off x="0" y="0"/>
                                <a:ext cx="941070" cy="1650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1.6pt;mso-position-horizontal:absolute;mso-position-vertical-relative:text;margin-top:24.6pt;mso-position-vertical:absolute;width:74.1pt;height:129.9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7）通风面板：ABS塑料</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bCs/>
                <w:i w:val="0"/>
                <w:iCs w:val="0"/>
                <w:color w:val="auto"/>
                <w:sz w:val="18"/>
                <w:szCs w:val="18"/>
                <w:highlight w:val="none"/>
                <w:u w:val="none"/>
                <w:lang w:val="en-US"/>
              </w:rPr>
              <w:suppressLineNumbers w:val="0"/>
            </w:pPr>
            <w:r>
              <w:rPr>
                <w:rFonts w:hint="eastAsia" w:hAnsi="宋体" w:cs="宋体"/>
                <w:b/>
                <w:bCs/>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483235</wp:posOffset>
                      </wp:positionV>
                      <wp:extent cx="1841500" cy="1503045"/>
                      <wp:effectExtent l="0" t="0" r="6350" b="1905"/>
                      <wp:wrapNone/>
                      <wp:docPr id="81" name="图片_37_SpCnt_2"/>
                      <wp:cNvGraphicFramePr/>
                      <a:graphic xmlns:a="http://schemas.openxmlformats.org/drawingml/2006/main">
                        <a:graphicData uri="http://schemas.openxmlformats.org/drawingml/2006/picture">
                          <pic:pic xmlns:pic="http://schemas.openxmlformats.org/drawingml/2006/picture">
                            <pic:nvPicPr>
                              <pic:cNvPr id="95" name="图片_37_SpCnt_2"/>
                              <pic:cNvPicPr/>
                              <pic:nvPr/>
                            </pic:nvPicPr>
                            <pic:blipFill>
                              <a:blip r:embed="rId93"/>
                              <a:stretch/>
                            </pic:blipFill>
                            <pic:spPr bwMode="auto">
                              <a:xfrm>
                                <a:off x="0" y="0"/>
                                <a:ext cx="1841500" cy="150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9.4pt;mso-position-horizontal:absolute;mso-position-vertical-relative:text;margin-top:38.0pt;mso-position-vertical:absolute;width:145.0pt;height:118.3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1)床头:</w:t>
            </w:r>
            <w:r>
              <w:rPr>
                <w:rFonts w:hint="eastAsia" w:hAnsi="宋体" w:cs="宋体"/>
                <w:i w:val="0"/>
                <w:iCs w:val="0"/>
                <w:color w:val="auto"/>
                <w:sz w:val="18"/>
                <w:szCs w:val="18"/>
                <w:highlight w:val="none"/>
                <w:u w:val="none"/>
                <w:lang w:val="en-US" w:eastAsia="zh-CN" w:bidi="ar"/>
              </w:rPr>
              <w:t xml:space="preserve">采用18-25mm厚浸渍胶</w:t>
            </w:r>
            <w:r>
              <w:rPr>
                <w:rFonts w:hint="eastAsia" w:ascii="宋体" w:hAnsi="宋体" w:eastAsia="宋体" w:cs="宋体"/>
                <w:i w:val="0"/>
                <w:iCs w:val="0"/>
                <w:color w:val="auto"/>
                <w:sz w:val="18"/>
                <w:szCs w:val="18"/>
                <w:highlight w:val="none"/>
                <w:u w:val="none"/>
                <w:lang w:val="en-US" w:eastAsia="zh-CN" w:bidi="ar"/>
              </w:rPr>
              <w:t xml:space="preserve">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2)床板:</w:t>
            </w:r>
            <w:r>
              <w:rPr>
                <w:rFonts w:hint="eastAsia" w:hAnsi="宋体" w:cs="宋体"/>
                <w:i w:val="0"/>
                <w:iCs w:val="0"/>
                <w:color w:val="auto"/>
                <w:sz w:val="18"/>
                <w:szCs w:val="18"/>
                <w:highlight w:val="none"/>
                <w:u w:val="none"/>
                <w:lang w:val="en-US" w:eastAsia="zh-CN" w:bidi="ar"/>
              </w:rPr>
              <w:t xml:space="preserve">采用12-18mm厚浸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3)床帮:</w:t>
            </w:r>
            <w:r>
              <w:rPr>
                <w:rFonts w:hint="eastAsia" w:hAnsi="宋体" w:cs="宋体"/>
                <w:i w:val="0"/>
                <w:iCs w:val="0"/>
                <w:color w:val="auto"/>
                <w:sz w:val="18"/>
                <w:szCs w:val="18"/>
                <w:highlight w:val="none"/>
                <w:u w:val="none"/>
                <w:lang w:val="en-US" w:eastAsia="zh-CN" w:bidi="ar"/>
              </w:rPr>
              <w:t xml:space="preserve">采用25-30mm厚浸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hAnsi="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床垫</w:t>
            </w: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高15</w:t>
            </w:r>
            <w:r>
              <w:rPr>
                <w:rFonts w:hint="eastAsia" w:ascii="宋体" w:hAnsi="宋体" w:eastAsia="宋体" w:cs="宋体"/>
                <w:i w:val="0"/>
                <w:iCs w:val="0"/>
                <w:color w:val="auto"/>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1)床垫:1200g棕垫，表面采用白色针织面料,无明显破损、污渍、发霉现象;主体无明显色差,干擦色牢度≥3级,甲醛释放量≤0.05mg/㎡h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jc w:val="center"/>
          <w:trHeight w:val="219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414020</wp:posOffset>
                      </wp:positionH>
                      <wp:positionV relativeFrom="paragraph">
                        <wp:posOffset>113665</wp:posOffset>
                      </wp:positionV>
                      <wp:extent cx="1297305" cy="1188085"/>
                      <wp:effectExtent l="0" t="0" r="17145" b="12065"/>
                      <wp:wrapNone/>
                      <wp:docPr id="82" name="图片_44_SpCnt_1"/>
                      <wp:cNvGraphicFramePr/>
                      <a:graphic xmlns:a="http://schemas.openxmlformats.org/drawingml/2006/main">
                        <a:graphicData uri="http://schemas.openxmlformats.org/drawingml/2006/picture">
                          <pic:pic xmlns:pic="http://schemas.openxmlformats.org/drawingml/2006/picture">
                            <pic:nvPicPr>
                              <pic:cNvPr id="96" name="图片_44_SpCnt_1"/>
                              <pic:cNvPicPr/>
                              <pic:nvPr/>
                            </pic:nvPicPr>
                            <pic:blipFill>
                              <a:blip r:embed="rId94"/>
                              <a:stretch/>
                            </pic:blipFill>
                            <pic:spPr bwMode="auto">
                              <a:xfrm>
                                <a:off x="0" y="0"/>
                                <a:ext cx="1297305"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32.6pt;mso-position-horizontal:absolute;mso-position-vertical-relative:text;margin-top:8.9pt;mso-position-vertical:absolute;width:102.1pt;height:93.5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3)导轨:优质导轨,耐久性≥8万次,涂层耐盐雾300h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r>
      <w:tr>
        <w:trPr>
          <w:jc w:val="center"/>
          <w:trHeight w:val="312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1095375</wp:posOffset>
                      </wp:positionH>
                      <wp:positionV relativeFrom="paragraph">
                        <wp:posOffset>589280</wp:posOffset>
                      </wp:positionV>
                      <wp:extent cx="956945" cy="1023620"/>
                      <wp:effectExtent l="0" t="0" r="14604" b="5080"/>
                      <wp:wrapNone/>
                      <wp:docPr id="83" name="图片_8_SpCnt_1"/>
                      <wp:cNvGraphicFramePr/>
                      <a:graphic xmlns:a="http://schemas.openxmlformats.org/drawingml/2006/main">
                        <a:graphicData uri="http://schemas.openxmlformats.org/drawingml/2006/picture">
                          <pic:pic xmlns:pic="http://schemas.openxmlformats.org/drawingml/2006/picture">
                            <pic:nvPicPr>
                              <pic:cNvPr id="97" name="图片_8_SpCnt_1"/>
                              <pic:cNvPicPr/>
                              <pic:nvPr/>
                            </pic:nvPicPr>
                            <pic:blipFill>
                              <a:blip r:embed="rId95"/>
                              <a:stretch/>
                            </pic:blipFill>
                            <pic:spPr bwMode="auto">
                              <a:xfrm>
                                <a:off x="0" y="0"/>
                                <a:ext cx="956945" cy="102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86.2pt;mso-position-horizontal:absolute;mso-position-vertical-relative:text;margin-top:46.4pt;mso-position-vertical:absolute;width:75.3pt;height:80.6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wp:posOffset>
                      </wp:positionH>
                      <wp:positionV relativeFrom="paragraph">
                        <wp:posOffset>544830</wp:posOffset>
                      </wp:positionV>
                      <wp:extent cx="974725" cy="1036955"/>
                      <wp:effectExtent l="0" t="0" r="15875" b="10795"/>
                      <wp:wrapNone/>
                      <wp:docPr id="84" name="图片_49"/>
                      <wp:cNvGraphicFramePr/>
                      <a:graphic xmlns:a="http://schemas.openxmlformats.org/drawingml/2006/main">
                        <a:graphicData uri="http://schemas.openxmlformats.org/drawingml/2006/picture">
                          <pic:pic xmlns:pic="http://schemas.openxmlformats.org/drawingml/2006/picture">
                            <pic:nvPicPr>
                              <pic:cNvPr id="98" name="图片_49"/>
                              <pic:cNvPicPr/>
                              <pic:nvPr/>
                            </pic:nvPicPr>
                            <pic:blipFill>
                              <a:blip r:embed="rId96"/>
                              <a:stretch/>
                            </pic:blipFill>
                            <pic:spPr bwMode="auto">
                              <a:xfrm>
                                <a:off x="0" y="0"/>
                                <a:ext cx="974725" cy="1036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3.6pt;mso-position-horizontal:absolute;mso-position-vertical-relative:text;margin-top:42.9pt;mso-position-vertical:absolute;width:76.8pt;height:81.6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5)通风面板：abs塑料</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bCs/>
                <w:i w:val="0"/>
                <w:iCs w:val="0"/>
                <w:color w:val="auto"/>
                <w:sz w:val="18"/>
                <w:szCs w:val="18"/>
                <w:highlight w:val="none"/>
                <w:u w:val="none"/>
                <w:lang w:val="en-US"/>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8</w:t>
            </w:r>
            <w:r>
              <w:rPr>
                <w:rFonts w:hint="eastAsia" w:hAnsi="宋体" w:cs="宋体"/>
                <w:b/>
                <w:bCs/>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975995</wp:posOffset>
                      </wp:positionH>
                      <wp:positionV relativeFrom="paragraph">
                        <wp:posOffset>86360</wp:posOffset>
                      </wp:positionV>
                      <wp:extent cx="984885" cy="1570355"/>
                      <wp:effectExtent l="0" t="0" r="5715" b="10795"/>
                      <wp:wrapNone/>
                      <wp:docPr id="85" name="图片_121"/>
                      <wp:cNvGraphicFramePr/>
                      <a:graphic xmlns:a="http://schemas.openxmlformats.org/drawingml/2006/main">
                        <a:graphicData uri="http://schemas.openxmlformats.org/drawingml/2006/picture">
                          <pic:pic xmlns:pic="http://schemas.openxmlformats.org/drawingml/2006/picture">
                            <pic:nvPicPr>
                              <pic:cNvPr id="99" name="图片_121"/>
                              <pic:cNvPicPr/>
                              <pic:nvPr/>
                            </pic:nvPicPr>
                            <pic:blipFill>
                              <a:blip r:embed="rId97"/>
                              <a:stretch/>
                            </pic:blipFill>
                            <pic:spPr bwMode="auto">
                              <a:xfrm>
                                <a:off x="0" y="0"/>
                                <a:ext cx="984885" cy="1570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76.8pt;mso-position-horizontal:absolute;mso-position-vertical-relative:text;margin-top:6.8pt;mso-position-vertical:absolute;width:77.5pt;height:123.6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48895</wp:posOffset>
                      </wp:positionH>
                      <wp:positionV relativeFrom="paragraph">
                        <wp:posOffset>34290</wp:posOffset>
                      </wp:positionV>
                      <wp:extent cx="975360" cy="1630045"/>
                      <wp:effectExtent l="0" t="0" r="15240" b="8255"/>
                      <wp:wrapNone/>
                      <wp:docPr id="86" name="图片_59_SpCnt_1"/>
                      <wp:cNvGraphicFramePr/>
                      <a:graphic xmlns:a="http://schemas.openxmlformats.org/drawingml/2006/main">
                        <a:graphicData uri="http://schemas.openxmlformats.org/drawingml/2006/picture">
                          <pic:pic xmlns:pic="http://schemas.openxmlformats.org/drawingml/2006/picture">
                            <pic:nvPicPr>
                              <pic:cNvPr id="100" name="图片_59_SpCnt_1"/>
                              <pic:cNvPicPr/>
                              <pic:nvPr/>
                            </pic:nvPicPr>
                            <pic:blipFill>
                              <a:blip r:embed="rId98"/>
                              <a:stretch/>
                            </pic:blipFill>
                            <pic:spPr bwMode="auto">
                              <a:xfrm>
                                <a:off x="0" y="0"/>
                                <a:ext cx="975360" cy="163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3.8pt;mso-position-horizontal:absolute;mso-position-vertical-relative:text;margin-top:2.7pt;mso-position-vertical:absolute;width:76.8pt;height:128.3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5)挂衣杆配置:柜内配置横向固定式挂衣杆,材质不锈钢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1037590</wp:posOffset>
                      </wp:positionH>
                      <wp:positionV relativeFrom="paragraph">
                        <wp:posOffset>88900</wp:posOffset>
                      </wp:positionV>
                      <wp:extent cx="993775" cy="1581150"/>
                      <wp:effectExtent l="0" t="0" r="15875" b="0"/>
                      <wp:wrapNone/>
                      <wp:docPr id="87" name="图片_117"/>
                      <wp:cNvGraphicFramePr/>
                      <a:graphic xmlns:a="http://schemas.openxmlformats.org/drawingml/2006/main">
                        <a:graphicData uri="http://schemas.openxmlformats.org/drawingml/2006/picture">
                          <pic:pic xmlns:pic="http://schemas.openxmlformats.org/drawingml/2006/picture">
                            <pic:nvPicPr>
                              <pic:cNvPr id="101" name="图片_117"/>
                              <pic:cNvPicPr/>
                              <pic:nvPr/>
                            </pic:nvPicPr>
                            <pic:blipFill>
                              <a:blip r:embed="rId67"/>
                              <a:stretch/>
                            </pic:blipFill>
                            <pic:spPr bwMode="auto">
                              <a:xfrm>
                                <a:off x="0" y="0"/>
                                <a:ext cx="99377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81.7pt;mso-position-horizontal:absolute;mso-position-vertical-relative:text;margin-top:7.0pt;mso-position-vertical:absolute;width:78.2pt;height:124.5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100965</wp:posOffset>
                      </wp:positionH>
                      <wp:positionV relativeFrom="paragraph">
                        <wp:posOffset>80645</wp:posOffset>
                      </wp:positionV>
                      <wp:extent cx="906780" cy="1597660"/>
                      <wp:effectExtent l="0" t="0" r="7620" b="2540"/>
                      <wp:wrapNone/>
                      <wp:docPr id="88" name="图片_27"/>
                      <wp:cNvGraphicFramePr/>
                      <a:graphic xmlns:a="http://schemas.openxmlformats.org/drawingml/2006/main">
                        <a:graphicData uri="http://schemas.openxmlformats.org/drawingml/2006/picture">
                          <pic:pic xmlns:pic="http://schemas.openxmlformats.org/drawingml/2006/picture">
                            <pic:nvPicPr>
                              <pic:cNvPr id="102" name="图片_27"/>
                              <pic:cNvPicPr/>
                              <pic:nvPr/>
                            </pic:nvPicPr>
                            <pic:blipFill>
                              <a:blip r:embed="rId68"/>
                              <a:stretch/>
                            </pic:blipFill>
                            <pic:spPr bwMode="auto">
                              <a:xfrm>
                                <a:off x="0" y="0"/>
                                <a:ext cx="906780" cy="159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7.9pt;mso-position-horizontal:absolute;mso-position-vertical-relative:text;margin-top:6.3pt;mso-position-vertical:absolute;width:71.4pt;height:125.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5)挂衣杆配置:柜内配置横向固定式挂衣杆,材质不锈钢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val="0"/>
                <w:bCs w:val="0"/>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户外长桌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334645</wp:posOffset>
                      </wp:positionV>
                      <wp:extent cx="1830070" cy="1168400"/>
                      <wp:effectExtent l="0" t="0" r="17780" b="12700"/>
                      <wp:wrapNone/>
                      <wp:docPr id="89" name="图片_1"/>
                      <wp:cNvGraphicFramePr/>
                      <a:graphic xmlns:a="http://schemas.openxmlformats.org/drawingml/2006/main">
                        <a:graphicData uri="http://schemas.openxmlformats.org/drawingml/2006/picture">
                          <pic:pic xmlns:pic="http://schemas.openxmlformats.org/drawingml/2006/picture">
                            <pic:nvPicPr>
                              <pic:cNvPr id="106" name="图片_1"/>
                              <pic:cNvPicPr/>
                              <pic:nvPr/>
                            </pic:nvPicPr>
                            <pic:blipFill>
                              <a:blip r:embed="rId99"/>
                              <a:stretch/>
                            </pic:blipFill>
                            <pic:spPr bwMode="auto">
                              <a:xfrm>
                                <a:off x="0" y="0"/>
                                <a:ext cx="183007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1312;o:allowoverlap:true;o:allowincell:true;mso-position-horizontal-relative:text;margin-left:15.4pt;mso-position-horizontal:absolute;mso-position-vertical-relative:text;margin-top:26.3pt;mso-position-vertical:absolute;width:144.1pt;height:92.0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材质：国标#6063铝合金；</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外框颜色：碳黑色静电喷涂配银灰条;</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台面：平铺岩板；马肚边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val="0"/>
                <w:bCs w:val="0"/>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户外圆桌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291465</wp:posOffset>
                      </wp:positionH>
                      <wp:positionV relativeFrom="paragraph">
                        <wp:posOffset>215900</wp:posOffset>
                      </wp:positionV>
                      <wp:extent cx="1732280" cy="1465580"/>
                      <wp:effectExtent l="0" t="0" r="1270" b="1270"/>
                      <wp:wrapNone/>
                      <wp:docPr id="90" name="图片_3"/>
                      <wp:cNvGraphicFramePr/>
                      <a:graphic xmlns:a="http://schemas.openxmlformats.org/drawingml/2006/main">
                        <a:graphicData uri="http://schemas.openxmlformats.org/drawingml/2006/picture">
                          <pic:pic xmlns:pic="http://schemas.openxmlformats.org/drawingml/2006/picture">
                            <pic:nvPicPr>
                              <pic:cNvPr id="107" name="图片_3"/>
                              <pic:cNvPicPr/>
                              <pic:nvPr/>
                            </pic:nvPicPr>
                            <pic:blipFill>
                              <a:blip r:embed="rId100"/>
                              <a:stretch/>
                            </pic:blipFill>
                            <pic:spPr bwMode="auto">
                              <a:xfrm>
                                <a:off x="0" y="0"/>
                                <a:ext cx="1732280"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2336;o:allowoverlap:true;o:allowincell:true;mso-position-horizontal-relative:text;margin-left:22.9pt;mso-position-horizontal:absolute;mso-position-vertical-relative:text;margin-top:17.0pt;mso-position-vertical:absolute;width:136.4pt;height:115.4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材质：国标#6063铝合金；</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外框颜色：砂纹白/碳灰色静电喷涂；</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台面：岩板（白色雪山云/黑色砚金砂）</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val="0"/>
                <w:bCs w:val="0"/>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346710</wp:posOffset>
                      </wp:positionH>
                      <wp:positionV relativeFrom="paragraph">
                        <wp:posOffset>163830</wp:posOffset>
                      </wp:positionV>
                      <wp:extent cx="1585595" cy="1358265"/>
                      <wp:effectExtent l="0" t="0" r="14604" b="13335"/>
                      <wp:wrapNone/>
                      <wp:docPr id="91" name="图片_2"/>
                      <wp:cNvGraphicFramePr/>
                      <a:graphic xmlns:a="http://schemas.openxmlformats.org/drawingml/2006/main">
                        <a:graphicData uri="http://schemas.openxmlformats.org/drawingml/2006/picture">
                          <pic:pic xmlns:pic="http://schemas.openxmlformats.org/drawingml/2006/picture">
                            <pic:nvPicPr>
                              <pic:cNvPr id="108" name="图片_2"/>
                              <pic:cNvPicPr/>
                              <pic:nvPr/>
                            </pic:nvPicPr>
                            <pic:blipFill>
                              <a:blip r:embed="rId101"/>
                              <a:stretch/>
                            </pic:blipFill>
                            <pic:spPr bwMode="auto">
                              <a:xfrm>
                                <a:off x="0" y="0"/>
                                <a:ext cx="1585595" cy="1358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3360;o:allowoverlap:true;o:allowincell:true;mso-position-horizontal-relative:text;margin-left:27.3pt;mso-position-horizontal:absolute;mso-position-vertical-relative:text;margin-top:12.9pt;mso-position-vertical:absolute;width:124.8pt;height:106.9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520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材质：国标#6063铝合金；</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外框颜色：碳灰色静电喷涂;</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编织材料：优质带芯涤纶编织绳，浅灰色；</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软包：配一座，国产布料坐垫，厚度5cm的海绵</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bl>
    <w:p>
      <w:pPr>
        <w:rPr>
          <w:rFonts w:hint="eastAsia" w:ascii="宋体" w:hAnsi="宋体" w:eastAsia="宋体" w:cs="宋体"/>
          <w:color w:val="auto"/>
          <w:sz w:val="20"/>
          <w:szCs w:val="11"/>
        </w:rPr>
        <w:sectPr>
          <w:footerReference w:type="default" r:id="rId14"/>
          <w:footnotePr/>
          <w:endnotePr/>
          <w:type w:val="nextPage"/>
          <w:pgSz w:w="16837" w:h="11905" w:orient="landscape"/>
          <w:pgMar w:top="510" w:right="1134" w:bottom="510" w:left="1134" w:header="0" w:footer="345" w:gutter="0"/>
          <w:cols w:num="1" w:sep="0" w:space="720" w:equalWidth="1"/>
          <w:docGrid w:linePitch="360"/>
        </w:sectPr>
      </w:pPr>
      <w:r>
        <w:rPr>
          <w:rFonts w:hint="eastAsia" w:ascii="宋体" w:hAnsi="宋体" w:eastAsia="宋体" w:cs="宋体"/>
          <w:color w:val="auto"/>
          <w:sz w:val="20"/>
          <w:szCs w:val="11"/>
        </w:rPr>
      </w:r>
      <w:r/>
    </w:p>
    <w:p>
      <w:pPr>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rPr>
      </w:pPr>
      <w:r>
        <w:rPr>
          <w:rFonts w:hint="eastAsia" w:ascii="宋体" w:hAnsi="宋体" w:eastAsia="宋体" w:cs="宋体"/>
          <w:b/>
          <w:color w:val="auto"/>
          <w:sz w:val="24"/>
          <w:szCs w:val="24"/>
          <w:lang w:val="en-US" w:eastAsia="zh-CN"/>
        </w:rPr>
        <w:t xml:space="preserve">第三部分、</w:t>
      </w:r>
      <w:r>
        <w:rPr>
          <w:rFonts w:hint="eastAsia" w:ascii="宋体" w:hAnsi="宋体" w:eastAsia="宋体" w:cs="宋体"/>
          <w:b/>
          <w:color w:val="auto"/>
          <w:sz w:val="24"/>
          <w:szCs w:val="24"/>
        </w:rPr>
        <w:t xml:space="preserve">政府采购政策（包括但不限于下列具体政策要求）</w:t>
      </w:r>
      <w:r/>
    </w:p>
    <w:p>
      <w:pPr>
        <w:numPr>
          <w:ilvl w:val="1"/>
          <w:numId w:val="5"/>
        </w:numPr>
        <w:ind w:left="0" w:firstLine="525"/>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5"/>
        </w:numPr>
        <w:ind w:left="0" w:firstLine="525"/>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28" w:name="OLE_LINK1"/>
      <w:r/>
      <w:bookmarkStart w:id="129" w:name="OLE_LINK2"/>
      <w:r>
        <w:rPr>
          <w:rFonts w:hint="eastAsia" w:ascii="宋体"/>
          <w:bCs/>
          <w:color w:val="auto"/>
          <w:sz w:val="24"/>
          <w:szCs w:val="24"/>
          <w:highlight w:val="none"/>
        </w:rPr>
        <w:t xml:space="preserve">《保障中小企业款项支付条例》（中华人民共和国国务院令第802号）</w:t>
      </w:r>
      <w:bookmarkEnd w:id="128"/>
      <w:r/>
      <w:bookmarkEnd w:id="129"/>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30"/>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930"/>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930"/>
        <w:spacing w:before="0" w:after="0"/>
        <w:rPr>
          <w:rFonts w:cs="Arial"/>
          <w:color w:val="auto"/>
          <w:highlight w:val="none"/>
        </w:rPr>
      </w:pPr>
      <w:r>
        <w:rPr>
          <w:rFonts w:hint="eastAsia" w:cs="Arial"/>
          <w:color w:val="auto"/>
          <w:highlight w:val="none"/>
        </w:rPr>
        <w:t xml:space="preserve">比较与评价采用综合评分法。</w:t>
      </w:r>
      <w:r/>
    </w:p>
    <w:p>
      <w:pPr>
        <w:pStyle w:val="930"/>
        <w:spacing w:before="0" w:after="0"/>
        <w:rPr>
          <w:rStyle w:val="931"/>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30"/>
        <w:spacing w:before="0" w:after="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0"/>
        <w:ind w:left="0" w:firstLine="0"/>
        <w:spacing w:before="0" w:after="0"/>
        <w:rPr>
          <w:rFonts w:hint="eastAsia" w:cs="Arial"/>
          <w:b/>
          <w:color w:val="auto"/>
          <w:sz w:val="30"/>
          <w:szCs w:val="30"/>
          <w:highlight w:val="none"/>
        </w:rPr>
      </w:pPr>
      <w:r>
        <w:rPr>
          <w:rFonts w:hint="eastAsia" w:cs="Arial"/>
          <w:b/>
          <w:color w:val="auto"/>
          <w:sz w:val="30"/>
          <w:szCs w:val="30"/>
          <w:highlight w:val="none"/>
        </w:rPr>
      </w:r>
      <w:r/>
    </w:p>
    <w:p>
      <w:pPr>
        <w:pStyle w:val="930"/>
        <w:ind w:left="0" w:firstLine="301"/>
        <w:spacing w:before="0" w:after="0"/>
        <w:rPr>
          <w:rFonts w:cs="Arial"/>
          <w:b/>
          <w:color w:val="auto"/>
          <w:sz w:val="30"/>
          <w:szCs w:val="30"/>
          <w:highlight w:val="none"/>
        </w:rPr>
      </w:pPr>
      <w:r>
        <w:rPr>
          <w:rFonts w:hint="eastAsia" w:cs="Arial"/>
          <w:b/>
          <w:color w:val="auto"/>
          <w:sz w:val="30"/>
          <w:szCs w:val="30"/>
          <w:highlight w:val="none"/>
        </w:rPr>
        <w:t xml:space="preserve">第二部分评标标准</w:t>
      </w:r>
      <w:r/>
    </w:p>
    <w:p>
      <w:pPr>
        <w:pStyle w:val="930"/>
        <w:ind w:firstLine="562"/>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1000000×[1-（10%+20%）]=700000元</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6"/>
        </w:numPr>
        <w:ind w:firstLine="472"/>
        <w:keepLines w:val="0"/>
        <w:keepNext w:val="0"/>
        <w:pageBreakBefore w:val="0"/>
        <w:spacing w:line="360" w:lineRule="auto"/>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评</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标准：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一</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价格                                       </w:t>
      </w:r>
      <w:r>
        <w:rPr>
          <w:rFonts w:hint="eastAsia" w:hAnsi="宋体" w:cs="宋体"/>
          <w:color w:val="auto"/>
          <w:sz w:val="24"/>
          <w:highlight w:val="none"/>
          <w:lang w:val="en-US" w:eastAsia="zh-CN"/>
        </w:rPr>
        <w:t xml:space="preserve"> 50</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二</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投标人综合情况                              </w:t>
      </w:r>
      <w:r>
        <w:rPr>
          <w:rFonts w:hint="eastAsia" w:hAnsi="宋体" w:cs="宋体"/>
          <w:color w:val="auto"/>
          <w:sz w:val="24"/>
          <w:highlight w:val="none"/>
          <w:lang w:val="en-US" w:eastAsia="zh-CN"/>
        </w:rPr>
        <w:t xml:space="preserve">4</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三</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项目方案                                    4</w:t>
      </w: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1、价格（</w:t>
      </w:r>
      <w:r>
        <w:rPr>
          <w:rFonts w:hint="eastAsia" w:hAnsi="宋体" w:cs="宋体"/>
          <w:color w:val="auto"/>
          <w:sz w:val="24"/>
          <w:highlight w:val="none"/>
          <w:lang w:val="en-US" w:eastAsia="zh-CN"/>
        </w:rPr>
        <w:t xml:space="preserve">50</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投标报价得分=(评标基准价／投标报价)×价格权值×100。</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2</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投标人综合情况（</w:t>
      </w:r>
      <w:r>
        <w:rPr>
          <w:rFonts w:hint="eastAsia" w:hAnsi="宋体" w:cs="宋体"/>
          <w:color w:val="auto"/>
          <w:sz w:val="24"/>
          <w:highlight w:val="none"/>
          <w:lang w:val="en-US" w:eastAsia="zh-CN"/>
        </w:rPr>
        <w:t xml:space="preserve">4</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2.1 产品认证</w:t>
      </w:r>
      <w:r/>
    </w:p>
    <w:p>
      <w:pPr>
        <w:jc w:val="both"/>
        <w:spacing w:line="360" w:lineRule="auto"/>
        <w:rPr>
          <w:rFonts w:hint="eastAsia" w:hAnsi="宋体" w:cs="宋体"/>
          <w:color w:val="auto"/>
          <w:sz w:val="24"/>
          <w:highlight w:val="none"/>
        </w:rPr>
      </w:pPr>
      <w:r/>
      <w:bookmarkStart w:id="139" w:name="_GoBack"/>
      <w:r>
        <w:rPr>
          <w:rFonts w:hint="eastAsia" w:hAnsi="宋体" w:cs="宋体"/>
          <w:color w:val="auto"/>
          <w:sz w:val="24"/>
          <w:highlight w:val="none"/>
        </w:rPr>
        <w:t xml:space="preserve">①投标单位提供中国环保认证证书（CQC）：</w:t>
      </w:r>
      <w:r>
        <w:rPr>
          <w:rFonts w:hint="eastAsia" w:hAnsi="宋体" w:cs="宋体"/>
          <w:color w:val="auto"/>
          <w:sz w:val="24"/>
          <w:highlight w:val="none"/>
          <w:lang w:val="en-US" w:eastAsia="zh-CN"/>
        </w:rPr>
        <w:t xml:space="preserve">认证单元涵盖需求内产品品类，每有1个</w:t>
      </w:r>
      <w:r>
        <w:rPr>
          <w:rFonts w:hint="eastAsia" w:hAnsi="宋体" w:cs="宋体"/>
          <w:color w:val="auto"/>
          <w:sz w:val="24"/>
          <w:highlight w:val="none"/>
        </w:rPr>
        <w:t xml:space="preserve">得</w:t>
      </w:r>
      <w:r>
        <w:rPr>
          <w:rFonts w:hint="eastAsia" w:hAnsi="宋体" w:cs="宋体"/>
          <w:color w:val="auto"/>
          <w:sz w:val="24"/>
          <w:highlight w:val="none"/>
          <w:lang w:val="en-US" w:eastAsia="zh-CN"/>
        </w:rPr>
        <w:t xml:space="preserve">0.5</w:t>
      </w:r>
      <w:r>
        <w:rPr>
          <w:rFonts w:hint="eastAsia" w:hAnsi="宋体" w:cs="宋体"/>
          <w:color w:val="auto"/>
          <w:sz w:val="24"/>
          <w:highlight w:val="none"/>
        </w:rPr>
        <w:t xml:space="preserve">分，最多得</w:t>
      </w: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分。   </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② 投标单位提供</w:t>
      </w:r>
      <w:r>
        <w:rPr>
          <w:rFonts w:hint="eastAsia" w:hAnsi="宋体" w:cs="宋体"/>
          <w:color w:val="auto"/>
          <w:sz w:val="24"/>
          <w:highlight w:val="none"/>
          <w:lang w:val="en-US" w:eastAsia="zh-CN"/>
        </w:rPr>
        <w:t xml:space="preserve">中国绿色产品认证</w:t>
      </w:r>
      <w:r>
        <w:rPr>
          <w:rFonts w:hint="eastAsia" w:hAnsi="宋体" w:cs="宋体"/>
          <w:color w:val="auto"/>
          <w:sz w:val="24"/>
          <w:highlight w:val="none"/>
        </w:rPr>
        <w:t xml:space="preserve">证书：认证单元</w:t>
      </w:r>
      <w:r>
        <w:rPr>
          <w:rFonts w:hint="eastAsia" w:hAnsi="宋体" w:cs="宋体"/>
          <w:color w:val="auto"/>
          <w:sz w:val="24"/>
          <w:highlight w:val="none"/>
          <w:lang w:val="en-US" w:eastAsia="zh-CN"/>
        </w:rPr>
        <w:t xml:space="preserve">涵盖需求内产品品类，每有1个</w:t>
      </w:r>
      <w:r>
        <w:rPr>
          <w:rFonts w:hint="eastAsia" w:hAnsi="宋体" w:cs="宋体"/>
          <w:color w:val="auto"/>
          <w:sz w:val="24"/>
          <w:highlight w:val="none"/>
        </w:rPr>
        <w:t xml:space="preserve">得</w:t>
      </w:r>
      <w:r>
        <w:rPr>
          <w:rFonts w:hint="eastAsia" w:hAnsi="宋体" w:cs="宋体"/>
          <w:color w:val="auto"/>
          <w:sz w:val="24"/>
          <w:highlight w:val="none"/>
          <w:lang w:val="en-US" w:eastAsia="zh-CN"/>
        </w:rPr>
        <w:t xml:space="preserve">1</w:t>
      </w:r>
      <w:r>
        <w:rPr>
          <w:rFonts w:hint="eastAsia" w:hAnsi="宋体" w:cs="宋体"/>
          <w:color w:val="auto"/>
          <w:sz w:val="24"/>
          <w:highlight w:val="none"/>
        </w:rPr>
        <w:t xml:space="preserve">分，最多得</w:t>
      </w: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分。 </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注：认证证书须提供国家认证监督委员会官网查询截图，无查询截图不得分。</w:t>
      </w:r>
      <w:bookmarkEnd w:id="139"/>
      <w:r/>
      <w:r/>
    </w:p>
    <w:p>
      <w:pPr>
        <w:jc w:val="both"/>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、技术方案（4</w:t>
      </w: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分）：</w:t>
      </w:r>
      <w:r>
        <w:rPr>
          <w:rFonts w:hint="eastAsia" w:hAnsi="宋体" w:cs="宋体"/>
          <w:color w:val="auto"/>
          <w:sz w:val="24"/>
          <w:highlight w:val="none"/>
          <w:lang w:val="en-US" w:eastAsia="zh-CN"/>
        </w:rPr>
        <w:t xml:space="preserve">无方案不得分，内容前后不得矛盾且重复。</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1、项目实施方案（</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分）：需包括①项目实施进度方案；②</w:t>
      </w:r>
      <w:r>
        <w:rPr>
          <w:rFonts w:hint="eastAsia" w:ascii="宋体" w:hAnsi="宋体" w:eastAsia="宋体" w:cs="宋体"/>
          <w:bCs/>
          <w:color w:val="auto"/>
          <w:sz w:val="24"/>
          <w:szCs w:val="24"/>
          <w:lang w:val="en-US" w:eastAsia="zh-CN"/>
        </w:rPr>
        <w:t xml:space="preserve">项目分解节点方案；</w:t>
      </w:r>
      <w:r>
        <w:rPr>
          <w:rFonts w:hint="eastAsia" w:hAnsi="宋体" w:cs="宋体"/>
          <w:color w:val="auto"/>
          <w:sz w:val="24"/>
          <w:highlight w:val="none"/>
        </w:rPr>
        <w:t xml:space="preserve">③仓库管理及运输计划；④主要技术措施保障。</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w:t>
      </w: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分；以上内容存在1处瑕疵的该条得</w:t>
      </w: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分；以上内容存在2处瑕疵的该条得</w:t>
      </w:r>
      <w:r>
        <w:rPr>
          <w:rFonts w:hint="eastAsia" w:hAnsi="宋体" w:cs="宋体"/>
          <w:color w:val="auto"/>
          <w:sz w:val="24"/>
          <w:highlight w:val="none"/>
          <w:lang w:val="en-US" w:eastAsia="zh-CN"/>
        </w:rPr>
        <w:t xml:space="preserve">1</w:t>
      </w:r>
      <w:r>
        <w:rPr>
          <w:rFonts w:hint="eastAsia" w:hAnsi="宋体" w:cs="宋体"/>
          <w:color w:val="auto"/>
          <w:sz w:val="24"/>
          <w:highlight w:val="none"/>
        </w:rPr>
        <w:t xml:space="preserve">分；未进行阐述或不满足采购需求或内容存在3处及以上瑕疵的该条得0分；本项最高得</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2、安装方案（</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分）：需包括①送货安装方案；② 货物配送措施；③现场安装保护</w:t>
      </w:r>
      <w:r>
        <w:rPr>
          <w:rFonts w:hint="eastAsia" w:hAnsi="宋体" w:cs="宋体"/>
          <w:color w:val="auto"/>
          <w:sz w:val="24"/>
          <w:highlight w:val="none"/>
          <w:lang w:eastAsia="zh-CN"/>
        </w:rPr>
        <w:t xml:space="preserve">；</w:t>
      </w:r>
      <w:r>
        <w:rPr>
          <w:rFonts w:hint="eastAsia" w:ascii="宋体" w:hAnsi="宋体" w:cs="宋体"/>
          <w:color w:val="auto"/>
          <w:sz w:val="24"/>
          <w:szCs w:val="24"/>
          <w:lang w:bidi="ar"/>
        </w:rPr>
        <w:t xml:space="preserve">④专业安装队伍</w:t>
      </w:r>
      <w:r>
        <w:rPr>
          <w:rFonts w:hint="eastAsia" w:hAnsi="宋体" w:cs="宋体"/>
          <w:color w:val="auto"/>
          <w:sz w:val="24"/>
          <w:szCs w:val="24"/>
          <w:lang w:eastAsia="zh-CN" w:bidi="ar"/>
        </w:rPr>
        <w:t xml:space="preserve">；</w:t>
      </w:r>
      <w:r>
        <w:rPr>
          <w:rFonts w:hint="eastAsia" w:ascii="宋体" w:hAnsi="宋体" w:cs="宋体"/>
          <w:color w:val="auto"/>
          <w:sz w:val="24"/>
          <w:szCs w:val="24"/>
          <w:highlight w:val="none"/>
        </w:rPr>
        <w:t xml:space="preserve">⑤机械设备及材料投入</w:t>
      </w:r>
      <w:r>
        <w:rPr>
          <w:rFonts w:hint="eastAsia" w:hAnsi="宋体" w:cs="宋体"/>
          <w:color w:val="auto"/>
          <w:sz w:val="24"/>
          <w:szCs w:val="24"/>
          <w:highlight w:val="none"/>
          <w:lang w:eastAsia="zh-CN"/>
        </w:rPr>
        <w:t xml:space="preserve">；⑥</w:t>
      </w:r>
      <w:r>
        <w:rPr>
          <w:rFonts w:hint="eastAsia" w:hAnsi="宋体" w:cs="宋体"/>
          <w:color w:val="auto"/>
          <w:sz w:val="24"/>
          <w:szCs w:val="24"/>
          <w:highlight w:val="none"/>
          <w:lang w:val="en-US" w:eastAsia="zh-CN"/>
        </w:rPr>
        <w:t xml:space="preserve">现场</w:t>
      </w:r>
      <w:r>
        <w:rPr>
          <w:rFonts w:hint="eastAsia" w:hAnsi="宋体" w:cs="宋体"/>
          <w:color w:val="auto"/>
          <w:sz w:val="24"/>
          <w:highlight w:val="none"/>
        </w:rPr>
        <w:t xml:space="preserve">异常问题处理。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3、</w:t>
      </w:r>
      <w:r>
        <w:rPr>
          <w:rFonts w:hint="eastAsia" w:hAnsi="宋体" w:cs="宋体"/>
          <w:color w:val="auto"/>
          <w:sz w:val="24"/>
          <w:highlight w:val="none"/>
          <w:lang w:val="en-US" w:eastAsia="zh-CN"/>
        </w:rPr>
        <w:t xml:space="preserve">供货与交付</w:t>
      </w:r>
      <w:r>
        <w:rPr>
          <w:rFonts w:hint="eastAsia" w:hAnsi="宋体" w:cs="宋体"/>
          <w:color w:val="auto"/>
          <w:sz w:val="24"/>
          <w:highlight w:val="none"/>
        </w:rPr>
        <w:t xml:space="preserve">方案（</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分）：需包括①</w:t>
      </w:r>
      <w:r>
        <w:rPr>
          <w:rFonts w:hint="eastAsia" w:ascii="宋体" w:hAnsi="宋体" w:cs="宋体"/>
          <w:color w:val="auto"/>
          <w:sz w:val="24"/>
          <w:szCs w:val="24"/>
          <w:highlight w:val="none"/>
        </w:rPr>
        <w:t xml:space="preserve">施工前准备</w:t>
      </w:r>
      <w:r>
        <w:rPr>
          <w:rFonts w:hint="eastAsia" w:hAnsi="宋体" w:cs="宋体"/>
          <w:color w:val="auto"/>
          <w:sz w:val="24"/>
          <w:highlight w:val="none"/>
        </w:rPr>
        <w:t xml:space="preserve">②</w:t>
      </w:r>
      <w:r>
        <w:rPr>
          <w:rFonts w:hint="eastAsia" w:ascii="宋体" w:hAnsi="宋体" w:cs="宋体"/>
          <w:color w:val="auto"/>
          <w:sz w:val="24"/>
          <w:szCs w:val="24"/>
          <w:highlight w:val="none"/>
        </w:rPr>
        <w:t xml:space="preserve">施工总体布置</w:t>
      </w:r>
      <w:r>
        <w:rPr>
          <w:rFonts w:hint="eastAsia" w:hAnsi="宋体" w:cs="宋体"/>
          <w:color w:val="auto"/>
          <w:sz w:val="24"/>
          <w:szCs w:val="24"/>
          <w:highlight w:val="none"/>
          <w:lang w:val="en-US" w:eastAsia="zh-CN"/>
        </w:rPr>
        <w:t xml:space="preserve">方案</w:t>
      </w:r>
      <w:r>
        <w:rPr>
          <w:rFonts w:hint="eastAsia" w:hAnsi="宋体" w:cs="宋体"/>
          <w:color w:val="auto"/>
          <w:sz w:val="24"/>
          <w:highlight w:val="none"/>
        </w:rPr>
        <w:t xml:space="preserve">；③成品安全性能管控；④纠正和预防措施</w:t>
      </w:r>
      <w:r>
        <w:rPr>
          <w:rFonts w:hint="eastAsia" w:hAnsi="宋体" w:cs="宋体"/>
          <w:color w:val="auto"/>
          <w:sz w:val="24"/>
          <w:highlight w:val="none"/>
          <w:lang w:eastAsia="zh-CN"/>
        </w:rPr>
        <w:t xml:space="preserve">；</w:t>
      </w:r>
      <w:r>
        <w:rPr>
          <w:rFonts w:hint="eastAsia" w:ascii="宋体" w:hAnsi="宋体" w:eastAsia="宋体" w:cs="宋体"/>
          <w:color w:val="auto"/>
          <w:sz w:val="24"/>
          <w:szCs w:val="24"/>
          <w:lang w:val="en-US" w:eastAsia="zh-CN"/>
        </w:rPr>
        <w:t xml:space="preserve">⑤应急保障措施</w:t>
      </w:r>
      <w:r>
        <w:rPr>
          <w:rFonts w:hint="eastAsia" w:hAnsi="宋体" w:cs="宋体"/>
          <w:color w:val="auto"/>
          <w:sz w:val="24"/>
          <w:szCs w:val="24"/>
          <w:lang w:val="en-US" w:eastAsia="zh-CN"/>
        </w:rPr>
        <w:t xml:space="preserve">；</w:t>
      </w:r>
      <w:r>
        <w:rPr>
          <w:rFonts w:hint="eastAsia" w:hAnsi="宋体" w:cs="宋体"/>
          <w:color w:val="auto"/>
          <w:sz w:val="24"/>
          <w:szCs w:val="24"/>
          <w:highlight w:val="none"/>
          <w:lang w:eastAsia="zh-CN"/>
        </w:rPr>
        <w:t xml:space="preserve">⑥</w:t>
      </w:r>
      <w:r>
        <w:rPr>
          <w:rFonts w:hint="eastAsia" w:ascii="宋体" w:hAnsi="宋体" w:cs="宋体"/>
          <w:color w:val="auto"/>
          <w:sz w:val="24"/>
          <w:szCs w:val="24"/>
          <w:highlight w:val="none"/>
        </w:rPr>
        <w:t xml:space="preserve">安全文明</w:t>
      </w:r>
      <w:r>
        <w:rPr>
          <w:rFonts w:hint="eastAsia" w:ascii="宋体" w:hAnsi="宋体" w:cs="宋体"/>
          <w:color w:val="auto"/>
          <w:sz w:val="24"/>
          <w:szCs w:val="24"/>
          <w:highlight w:val="none"/>
          <w:lang w:val="en-US" w:eastAsia="zh-CN"/>
        </w:rPr>
        <w:t xml:space="preserve">供货</w:t>
      </w:r>
      <w:r>
        <w:rPr>
          <w:rFonts w:hint="eastAsia" w:ascii="宋体" w:hAnsi="宋体" w:cs="宋体"/>
          <w:color w:val="auto"/>
          <w:sz w:val="24"/>
          <w:szCs w:val="24"/>
          <w:highlight w:val="none"/>
        </w:rPr>
        <w:t xml:space="preserve">措施</w:t>
      </w:r>
      <w:r>
        <w:rPr>
          <w:rFonts w:hint="eastAsia" w:hAnsi="宋体" w:cs="宋体"/>
          <w:color w:val="auto"/>
          <w:sz w:val="24"/>
          <w:highlight w:val="none"/>
        </w:rPr>
        <w:t xml:space="preserve"> 。</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4、售后服务管理及措施(</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分)：需包括①售后服务内容；②投诉处理流程及解决方案；③</w:t>
      </w:r>
      <w:r>
        <w:rPr>
          <w:rFonts w:hint="eastAsia" w:hAnsi="宋体" w:cs="宋体"/>
          <w:color w:val="auto"/>
          <w:sz w:val="24"/>
          <w:highlight w:val="none"/>
          <w:lang w:val="en-US" w:eastAsia="zh-CN"/>
        </w:rPr>
        <w:t xml:space="preserve">同类产品的</w:t>
      </w:r>
      <w:r>
        <w:rPr>
          <w:rFonts w:hint="eastAsia" w:hAnsi="宋体" w:cs="宋体"/>
          <w:color w:val="auto"/>
          <w:sz w:val="24"/>
          <w:highlight w:val="none"/>
        </w:rPr>
        <w:t xml:space="preserve">使用说明及保养；④</w:t>
      </w:r>
      <w:r>
        <w:rPr>
          <w:rFonts w:hint="eastAsia" w:ascii="宋体" w:hAnsi="宋体" w:eastAsia="宋体" w:cs="宋体"/>
          <w:color w:val="auto"/>
          <w:sz w:val="24"/>
          <w:szCs w:val="24"/>
          <w:lang w:val="en-US" w:eastAsia="zh-CN"/>
        </w:rPr>
        <w:t xml:space="preserve">质保期满后的服务内容；⑤</w:t>
      </w:r>
      <w:r>
        <w:rPr>
          <w:rFonts w:hint="eastAsia" w:hAnsi="宋体" w:cs="宋体"/>
          <w:color w:val="auto"/>
          <w:sz w:val="24"/>
          <w:highlight w:val="none"/>
        </w:rPr>
        <w:t xml:space="preserve">增值服务方案。</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分。</w:t>
      </w:r>
      <w:r/>
    </w:p>
    <w:p>
      <w:pPr>
        <w:jc w:val="both"/>
        <w:spacing w:line="360" w:lineRule="auto"/>
        <w:rPr>
          <w:rFonts w:hint="eastAsia" w:ascii="黑体" w:eastAsia="黑体"/>
          <w:bCs/>
          <w:color w:val="auto"/>
          <w:sz w:val="36"/>
          <w:szCs w:val="36"/>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930"/>
        <w:ind w:firstLine="602"/>
        <w:spacing w:before="0" w:after="0"/>
        <w:rPr>
          <w:rFonts w:cs="Arial"/>
          <w:b/>
          <w:color w:val="auto"/>
          <w:sz w:val="30"/>
          <w:szCs w:val="30"/>
          <w:highlight w:val="none"/>
        </w:rPr>
      </w:pPr>
      <w:r/>
      <w:bookmarkStart w:id="130" w:name="_Hlt26671244"/>
      <w:r/>
      <w:bookmarkEnd w:id="130"/>
      <w:r/>
      <w:bookmarkStart w:id="131" w:name="_Hlt26955039"/>
      <w:r/>
      <w:bookmarkEnd w:id="131"/>
      <w:r>
        <w:rPr>
          <w:rFonts w:hint="eastAsia" w:cs="Arial"/>
          <w:b/>
          <w:color w:val="auto"/>
          <w:sz w:val="30"/>
          <w:szCs w:val="30"/>
          <w:highlight w:val="none"/>
        </w:rPr>
        <w:t xml:space="preserve">第一部分投标文件内容</w:t>
      </w:r>
      <w:r/>
    </w:p>
    <w:p>
      <w:pPr>
        <w:pStyle w:val="930"/>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1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0"/>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3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930"/>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0"/>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64"/>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被授权人具有与本企业签订的劳动合同或供应商为其缴纳的由相关部门出具的近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中任意一个月份（不含投标当月）的社保缴费证明；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86"/>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ind w:firstLine="0"/>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val="false"/>
          </w:tcPr>
          <w:p>
            <w:pPr>
              <w:pStyle w:val="930"/>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0"/>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ind w:firstLine="0"/>
              <w:jc w:val="both"/>
              <w:spacing w:before="0" w:after="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本项目要求的特定资格证明文件</w:t>
            </w:r>
            <w:r/>
          </w:p>
        </w:tc>
        <w:tc>
          <w:tcPr>
            <w:tcW w:w="2449" w:type="dxa"/>
            <w:vAlign w:val="center"/>
            <w:textDirection w:val="lrTb"/>
            <w:noWrap w:val="false"/>
          </w:tcPr>
          <w:p>
            <w:pPr>
              <w:pStyle w:val="930"/>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30"/>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930"/>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numPr>
          <w:ilvl w:val="0"/>
          <w:numId w:val="8"/>
        </w:num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符合性证明文件及其他证明文件</w:t>
      </w:r>
      <w:r/>
    </w:p>
    <w:p>
      <w:pPr>
        <w:rPr>
          <w:rFonts w:hint="eastAsia"/>
          <w:b/>
          <w:color w:val="auto"/>
          <w:sz w:val="28"/>
          <w:szCs w:val="28"/>
          <w:highlight w:val="none"/>
        </w:rPr>
      </w:pPr>
      <w:r>
        <w:rPr>
          <w:rFonts w:hint="eastAsia"/>
          <w:b/>
          <w:color w:val="auto"/>
          <w:sz w:val="28"/>
          <w:szCs w:val="28"/>
        </w:rPr>
        <w:t xml:space="preserve">（一）符合性证明文件</w:t>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0"/>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30"/>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30"/>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30"/>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30"/>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930"/>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4</w:t>
            </w:r>
            <w:r/>
          </w:p>
        </w:tc>
        <w:tc>
          <w:tcPr>
            <w:tcW w:w="6095" w:type="dxa"/>
            <w:vAlign w:val="center"/>
            <w:textDirection w:val="lrTb"/>
            <w:noWrap w:val="false"/>
          </w:tcPr>
          <w:p>
            <w:pPr>
              <w:pStyle w:val="930"/>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30"/>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30"/>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930"/>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30"/>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360" w:lineRule="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w:t>
      </w:r>
      <w:r>
        <w:rPr>
          <w:rFonts w:hint="eastAsia" w:ascii="宋体" w:hAnsi="宋体" w:eastAsia="宋体" w:cs="Times New Roman"/>
          <w:color w:val="auto"/>
          <w:sz w:val="24"/>
          <w:szCs w:val="24"/>
          <w:highlight w:val="none"/>
        </w:rPr>
        <w:t xml:space="preserve">，必须按给定格式的要求正确填报并提供，相应格式见本章第二部分），否则投标文件无效。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上述符合性证明文件第</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项，《采购需求》中如有要求提供证明材料的，须按要求提供，否则投标文件无效。</w:t>
      </w:r>
      <w:r/>
    </w:p>
    <w:p>
      <w:pPr>
        <w:numPr>
          <w:ilvl w:val="0"/>
          <w:numId w:val="9"/>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项按《采购需求》中的相应要求（如有）进行提供</w:t>
      </w:r>
      <w:r>
        <w:rPr>
          <w:rFonts w:hint="eastAsia" w:ascii="宋体" w:hAnsi="宋体" w:eastAsia="宋体" w:cs="Times New Roman"/>
          <w:color w:val="auto"/>
          <w:sz w:val="24"/>
          <w:szCs w:val="24"/>
          <w:highlight w:val="none"/>
          <w:lang w:eastAsia="zh-CN"/>
        </w:rPr>
        <w:t xml:space="preserve">。</w:t>
      </w:r>
      <w:r/>
    </w:p>
    <w:p>
      <w:pPr>
        <w:rPr>
          <w:rFonts w:hint="eastAsia"/>
          <w:b/>
          <w:color w:val="auto"/>
          <w:sz w:val="28"/>
          <w:szCs w:val="28"/>
        </w:rPr>
      </w:pPr>
      <w:r>
        <w:rPr>
          <w:rFonts w:hint="eastAsia"/>
          <w:b/>
          <w:color w:val="auto"/>
          <w:sz w:val="28"/>
          <w:szCs w:val="28"/>
        </w:rPr>
        <w:t xml:space="preserve">（二）其他证明文件</w:t>
      </w:r>
      <w:r/>
    </w:p>
    <w:p>
      <w:pPr>
        <w:ind w:left="480"/>
        <w:spacing w:line="500" w:lineRule="exact"/>
        <w:rPr>
          <w:rFonts w:hint="eastAsia" w:ascii="宋体" w:hAnsi="宋体"/>
          <w:color w:val="auto"/>
          <w:sz w:val="24"/>
          <w:szCs w:val="24"/>
        </w:rPr>
      </w:pPr>
      <w:r>
        <w:rPr>
          <w:rFonts w:hint="eastAsia" w:ascii="宋体" w:hAnsi="宋体"/>
          <w:color w:val="auto"/>
          <w:sz w:val="24"/>
          <w:szCs w:val="24"/>
        </w:rPr>
        <w:t xml:space="preserve">1.《评标方法与评标标准》中涉及的证明文件。</w:t>
      </w:r>
      <w:r/>
    </w:p>
    <w:p>
      <w:pPr>
        <w:ind w:left="480"/>
        <w:spacing w:line="500" w:lineRule="exact"/>
        <w:rPr>
          <w:rFonts w:ascii="宋体" w:hAnsi="宋体" w:cs="宋体"/>
          <w:color w:val="auto"/>
          <w:sz w:val="24"/>
          <w:szCs w:val="24"/>
        </w:rPr>
      </w:pPr>
      <w:r>
        <w:rPr>
          <w:rFonts w:hint="eastAsia" w:ascii="宋体" w:hAnsi="宋体" w:cs="宋体"/>
          <w:color w:val="auto"/>
          <w:sz w:val="24"/>
          <w:szCs w:val="24"/>
        </w:rPr>
        <w:t xml:space="preserve">2.投标人认为如有其他应附的文件可自拟并自行添加。</w:t>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spacing w:line="360" w:lineRule="auto"/>
        <w:rPr>
          <w:rFonts w:hint="eastAsia" w:cs="Arial"/>
          <w:b/>
          <w:color w:val="auto"/>
          <w:sz w:val="30"/>
          <w:szCs w:val="30"/>
          <w:highlight w:val="none"/>
        </w:rPr>
      </w:pPr>
      <w:r>
        <w:rPr>
          <w:rFonts w:hint="eastAsia" w:cs="Arial"/>
          <w:b/>
          <w:color w:val="auto"/>
          <w:sz w:val="30"/>
          <w:szCs w:val="30"/>
          <w:highlight w:val="none"/>
        </w:rPr>
      </w:r>
      <w:r/>
    </w:p>
    <w:p>
      <w:pPr>
        <w:spacing w:line="360" w:lineRule="auto"/>
        <w:rPr>
          <w:rFonts w:cs="Arial"/>
          <w:b/>
          <w:color w:val="auto"/>
          <w:sz w:val="30"/>
          <w:szCs w:val="30"/>
          <w:highlight w:val="none"/>
        </w:rPr>
      </w:pPr>
      <w:r>
        <w:rPr>
          <w:rFonts w:hint="eastAsia" w:cs="Arial"/>
          <w:b/>
          <w:color w:val="auto"/>
          <w:sz w:val="30"/>
          <w:szCs w:val="30"/>
          <w:highlight w:val="none"/>
        </w:rPr>
        <w:t xml:space="preserve">第二部分投标文件格式</w:t>
      </w:r>
      <w:r/>
    </w:p>
    <w:p>
      <w:pPr>
        <w:pStyle w:val="930"/>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hint="eastAsia" w:hAnsi="宋体"/>
          <w:b/>
          <w:bCs/>
          <w:color w:val="auto"/>
          <w:sz w:val="24"/>
          <w:szCs w:val="24"/>
        </w:rPr>
      </w:pPr>
      <w:r>
        <w:rPr>
          <w:rFonts w:hint="eastAsia" w:hAnsi="宋体"/>
          <w:b/>
          <w:bCs/>
          <w:color w:val="auto"/>
          <w:sz w:val="24"/>
          <w:szCs w:val="24"/>
        </w:rPr>
      </w:r>
      <w:r/>
    </w:p>
    <w:p>
      <w:pPr>
        <w:rPr>
          <w:rFonts w:hint="eastAsia" w:ascii="黑体" w:eastAsia="黑体"/>
          <w:bCs/>
          <w:color w:val="auto"/>
          <w:sz w:val="32"/>
        </w:rPr>
      </w:pPr>
      <w:r>
        <w:rPr>
          <w:rFonts w:hint="eastAsia" w:ascii="黑体" w:eastAsia="黑体"/>
          <w:bCs/>
          <w:color w:val="auto"/>
          <w:sz w:val="32"/>
        </w:rPr>
      </w:r>
      <w:r/>
    </w:p>
    <w:p>
      <w:pPr>
        <w:rPr>
          <w:rFonts w:hint="eastAsia" w:ascii="黑体" w:eastAsia="黑体"/>
          <w:bCs/>
          <w:color w:val="auto"/>
          <w:sz w:val="32"/>
        </w:rPr>
      </w:pPr>
      <w:r>
        <w:rPr>
          <w:rFonts w:hint="eastAsia" w:ascii="黑体" w:eastAsia="黑体"/>
          <w:bCs/>
          <w:color w:val="auto"/>
          <w:sz w:val="32"/>
        </w:rPr>
      </w:r>
      <w:r/>
    </w:p>
    <w:p>
      <w:pPr>
        <w:rPr>
          <w:rFonts w:hint="eastAsia" w:ascii="黑体" w:eastAsia="黑体"/>
          <w:bCs/>
          <w:color w:val="auto"/>
          <w:sz w:val="32"/>
        </w:rPr>
      </w:pPr>
      <w:r>
        <w:rPr>
          <w:rFonts w:hint="eastAsia" w:ascii="黑体" w:eastAsia="黑体"/>
          <w:bCs/>
          <w:color w:val="auto"/>
          <w:sz w:val="32"/>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投</w:t>
      </w:r>
      <w:r/>
    </w:p>
    <w:p>
      <w:pPr>
        <w:jc w:val="center"/>
        <w:spacing w:line="360" w:lineRule="auto"/>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标</w:t>
      </w:r>
      <w:r/>
    </w:p>
    <w:p>
      <w:pPr>
        <w:jc w:val="center"/>
        <w:spacing w:line="360" w:lineRule="auto"/>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文</w:t>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件</w:t>
      </w:r>
      <w:r/>
    </w:p>
    <w:p>
      <w:pPr>
        <w:spacing w:line="360" w:lineRule="auto"/>
        <w:rPr>
          <w:rFonts w:hint="eastAsia" w:ascii="黑体" w:hAnsi="黑体" w:eastAsia="黑体" w:cs="黑体"/>
          <w:bCs/>
          <w:color w:val="auto"/>
          <w:sz w:val="28"/>
          <w:highlight w:val="none"/>
        </w:rPr>
      </w:pPr>
      <w:r>
        <w:rPr>
          <w:rFonts w:hint="eastAsia" w:ascii="黑体" w:hAnsi="黑体" w:eastAsia="黑体" w:cs="黑体"/>
          <w:bCs/>
          <w:color w:val="auto"/>
          <w:sz w:val="28"/>
          <w:highlight w:val="none"/>
        </w:rPr>
      </w:r>
      <w:r/>
    </w:p>
    <w:p>
      <w:pPr>
        <w:ind w:firstLine="2715"/>
        <w:spacing w:line="360" w:lineRule="auto"/>
        <w:rPr>
          <w:rFonts w:hint="eastAsia" w:ascii="黑体" w:hAnsi="黑体" w:eastAsia="黑体" w:cs="黑体"/>
          <w:bCs/>
          <w:color w:val="auto"/>
          <w:sz w:val="28"/>
          <w:szCs w:val="28"/>
          <w:highlight w:val="none"/>
        </w:rPr>
      </w:pPr>
      <w:r/>
      <w:bookmarkStart w:id="132" w:name="_Hlk165208193"/>
      <w:r>
        <w:rPr>
          <w:rFonts w:hint="eastAsia" w:ascii="黑体" w:hAnsi="黑体" w:eastAsia="黑体" w:cs="黑体"/>
          <w:bCs/>
          <w:color w:val="auto"/>
          <w:sz w:val="28"/>
          <w:szCs w:val="28"/>
          <w:highlight w:val="none"/>
        </w:rPr>
        <w:t xml:space="preserve">项目编号： </w:t>
      </w:r>
      <w:r/>
    </w:p>
    <w:p>
      <w:pPr>
        <w:ind w:firstLine="271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 </w:t>
      </w:r>
      <w:r/>
    </w:p>
    <w:p>
      <w:pPr>
        <w:ind w:firstLine="271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w:t>
      </w:r>
      <w:r>
        <w:rPr>
          <w:rFonts w:hint="eastAsia" w:ascii="黑体" w:hAnsi="黑体" w:eastAsia="黑体" w:cs="黑体"/>
          <w:bCs/>
          <w:color w:val="auto"/>
          <w:sz w:val="28"/>
          <w:szCs w:val="28"/>
          <w:highlight w:val="none"/>
          <w:lang w:val="en-US" w:eastAsia="zh-CN"/>
        </w:rPr>
        <w:t xml:space="preserve"> </w:t>
      </w:r>
      <w:r>
        <w:rPr>
          <w:rFonts w:hint="eastAsia" w:ascii="黑体" w:hAnsi="黑体" w:eastAsia="黑体" w:cs="黑体"/>
          <w:bCs/>
          <w:color w:val="auto"/>
          <w:sz w:val="28"/>
          <w:szCs w:val="28"/>
          <w:highlight w:val="none"/>
        </w:rPr>
        <w:t xml:space="preserve">标</w:t>
      </w:r>
      <w:r>
        <w:rPr>
          <w:rFonts w:hint="eastAsia" w:ascii="黑体" w:hAnsi="黑体" w:eastAsia="黑体" w:cs="黑体"/>
          <w:bCs/>
          <w:color w:val="auto"/>
          <w:sz w:val="28"/>
          <w:szCs w:val="28"/>
          <w:highlight w:val="none"/>
          <w:lang w:val="en-US" w:eastAsia="zh-CN"/>
        </w:rPr>
        <w:t xml:space="preserve"> </w:t>
      </w:r>
      <w:r>
        <w:rPr>
          <w:rFonts w:hint="eastAsia" w:ascii="黑体" w:hAnsi="黑体" w:eastAsia="黑体" w:cs="黑体"/>
          <w:bCs/>
          <w:color w:val="auto"/>
          <w:sz w:val="28"/>
          <w:szCs w:val="28"/>
          <w:highlight w:val="none"/>
        </w:rPr>
        <w:t xml:space="preserve">人： </w:t>
      </w:r>
      <w:r/>
    </w:p>
    <w:p>
      <w:pPr>
        <w:ind w:firstLine="2715"/>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日    期：</w:t>
      </w:r>
      <w:bookmarkEnd w:id="132"/>
      <w:r/>
      <w:r/>
    </w:p>
    <w:p>
      <w:pPr>
        <w:jc w:val="center"/>
        <w:rPr>
          <w:rFonts w:hint="eastAsia" w:ascii="黑体" w:hAnsi="黑体" w:eastAsia="黑体" w:cs="黑体"/>
          <w:bCs/>
          <w:color w:val="auto"/>
          <w:sz w:val="36"/>
          <w:szCs w:val="36"/>
        </w:rPr>
      </w:pPr>
      <w:r>
        <w:rPr>
          <w:rFonts w:hint="eastAsia" w:ascii="黑体" w:hAnsi="黑体" w:eastAsia="黑体" w:cs="黑体"/>
          <w:bCs/>
          <w:color w:val="auto"/>
          <w:sz w:val="36"/>
          <w:szCs w:val="36"/>
        </w:rPr>
      </w:r>
      <w:r/>
    </w:p>
    <w:p>
      <w:pPr>
        <w:spacing w:line="360" w:lineRule="auto"/>
        <w:rPr>
          <w:rFonts w:ascii="黑体" w:eastAsia="黑体"/>
          <w:bCs/>
          <w:color w:val="auto"/>
          <w:sz w:val="28"/>
          <w:szCs w:val="28"/>
          <w:highlight w:val="none"/>
        </w:rPr>
      </w:pPr>
      <w:r/>
      <w:bookmarkStart w:id="133" w:name="一．报价函（格式）"/>
      <w:r/>
      <w:bookmarkEnd w:id="133"/>
      <w:r>
        <w:rPr>
          <w:rFonts w:hint="eastAsia" w:ascii="宋体" w:hAnsi="宋体" w:cs="宋体"/>
          <w:b/>
          <w:color w:val="auto"/>
          <w:sz w:val="28"/>
          <w:szCs w:val="28"/>
          <w:highlight w:val="none"/>
        </w:rPr>
        <w:t xml:space="preserve">二、授权委托书（给定格式）：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授权委托书</w:t>
      </w:r>
      <w:r/>
    </w:p>
    <w:p>
      <w:pPr>
        <w:pStyle w:val="932"/>
        <w:rPr>
          <w:color w:val="auto"/>
          <w:highlight w:val="none"/>
        </w:rPr>
      </w:pPr>
      <w:r>
        <w:rPr>
          <w:color w:val="auto"/>
          <w:highlight w:val="none"/>
        </w:rPr>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s="宋体"/>
          <w:bCs/>
          <w:color w:val="auto"/>
          <w:sz w:val="24"/>
          <w:szCs w:val="24"/>
          <w:highlight w:val="none"/>
        </w:rPr>
        <w:t xml:space="preserve">兹授权：</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933"/>
        <w:numPr>
          <w:ilvl w:val="0"/>
          <w:numId w:val="10"/>
        </w:numPr>
        <w:ind w:left="420"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若投标人为事业单位或其他组织或分支机构（仅限招标文件注明允许分支机构</w:t>
      </w:r>
      <w:r>
        <w:rPr>
          <w:rFonts w:hint="eastAsia" w:ascii="宋体" w:hAnsi="宋体" w:eastAsia="宋体" w:cs="宋体"/>
          <w:color w:val="auto"/>
          <w:sz w:val="24"/>
          <w:szCs w:val="24"/>
          <w:highlight w:val="none"/>
        </w:rPr>
        <w:t xml:space="preserve">投标情形的），则法定代表人处的签字人可为单位负责人。</w:t>
      </w:r>
      <w:r/>
    </w:p>
    <w:p>
      <w:pPr>
        <w:pStyle w:val="933"/>
        <w:numPr>
          <w:ilvl w:val="0"/>
          <w:numId w:val="10"/>
        </w:numPr>
        <w:ind w:left="420"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pStyle w:val="933"/>
        <w:numPr>
          <w:ilvl w:val="0"/>
          <w:numId w:val="10"/>
        </w:numPr>
        <w:ind w:left="420"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供应商为自然人情形的，可不提供本《授权委托书》。</w:t>
      </w:r>
      <w:r/>
    </w:p>
    <w:p>
      <w:pPr>
        <w:pStyle w:val="933"/>
        <w:numPr>
          <w:ilvl w:val="0"/>
          <w:numId w:val="10"/>
        </w:numPr>
        <w:ind w:left="420" w:firstLine="480"/>
        <w:spacing w:line="360" w:lineRule="auto"/>
        <w:tabs>
          <w:tab w:val="left" w:pos="360"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可在中国大陆有效居留的许可证明。</w:t>
      </w:r>
      <w:r/>
    </w:p>
    <w:p>
      <w:pPr>
        <w:ind w:firstLine="0"/>
        <w:jc w:val="both"/>
        <w:widowControl w:val="off"/>
        <w:tabs>
          <w:tab w:val="left" w:pos="360" w:leader="none"/>
        </w:tabs>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both"/>
        <w:widowControl w:val="off"/>
        <w:tabs>
          <w:tab w:val="left" w:pos="360" w:leader="none"/>
        </w:tabs>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left"/>
        <w:widowControl/>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br w:type="page" w:clear="all"/>
      </w:r>
      <w:r/>
    </w:p>
    <w:p>
      <w:pPr>
        <w:ind w:firstLine="0"/>
        <w:jc w:val="both"/>
        <w:widowControl w:val="off"/>
        <w:tabs>
          <w:tab w:val="left" w:pos="360" w:leader="none"/>
        </w:tabs>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三、资格声明函（给定格式）：</w:t>
      </w:r>
      <w:r/>
    </w:p>
    <w:p>
      <w:pPr>
        <w:jc w:val="center"/>
        <w:rPr>
          <w:rFonts w:ascii="黑体" w:hAnsi="Calibri" w:eastAsia="黑体" w:cs="Times New Roman"/>
          <w:bCs/>
          <w:color w:val="auto"/>
          <w:sz w:val="28"/>
          <w:szCs w:val="28"/>
          <w:highlight w:val="none"/>
        </w:rPr>
        <w:outlineLvl w:val="9"/>
      </w:pPr>
      <w:r>
        <w:rPr>
          <w:rFonts w:hint="eastAsia" w:ascii="黑体" w:hAnsi="Calibri" w:eastAsia="黑体" w:cs="Times New Roman"/>
          <w:bCs/>
          <w:color w:val="auto"/>
          <w:sz w:val="28"/>
          <w:szCs w:val="28"/>
          <w:highlight w:val="none"/>
        </w:rPr>
        <w:t xml:space="preserve">资格声明函</w:t>
      </w:r>
      <w:r/>
    </w:p>
    <w:p>
      <w:pPr>
        <w:jc w:val="center"/>
        <w:spacing w:line="480" w:lineRule="auto"/>
        <w:rPr>
          <w:rFonts w:ascii="宋体" w:hAnsi="Calibri" w:eastAsia="宋体" w:cs="Times New Roman"/>
          <w:bCs/>
          <w:color w:val="auto"/>
          <w:sz w:val="24"/>
          <w:szCs w:val="24"/>
          <w:highlight w:val="none"/>
        </w:rPr>
      </w:pPr>
      <w:r>
        <w:rPr>
          <w:rFonts w:ascii="宋体" w:hAnsi="Calibri" w:eastAsia="宋体" w:cs="Times New Roman"/>
          <w:bCs/>
          <w:color w:val="auto"/>
          <w:sz w:val="24"/>
          <w:szCs w:val="24"/>
          <w:highlight w:val="none"/>
        </w:rPr>
      </w:r>
      <w:r/>
    </w:p>
    <w:p>
      <w:pPr>
        <w:keepLines w:val="0"/>
        <w:keepNext w:val="0"/>
        <w:pageBreakBefore w:val="0"/>
        <w:spacing w:line="360" w:lineRule="auto"/>
        <w:widowControl w:val="off"/>
        <w:rPr>
          <w:rFonts w:ascii="宋体" w:hAnsi="Calibri"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江苏博智工程咨询有限公司</w:t>
      </w: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我公司（单位、联合体）针对本次项目</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进行投标，并作如下声明</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2.本公司（单位、联合体）具备本次项目履行合同所必需的设备和专业技术能力。</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keepLines w:val="0"/>
        <w:keepNext w:val="0"/>
        <w:pageBreakBefore w:val="0"/>
        <w:spacing w:line="360" w:lineRule="auto"/>
        <w:widowControl w:val="off"/>
        <w:rPr>
          <w:rFonts w:ascii="宋体" w:hAnsi="Calibri"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keepLines w:val="0"/>
        <w:keepNext w:val="0"/>
        <w:pageBreakBefore w:val="0"/>
        <w:spacing w:line="360" w:lineRule="auto"/>
        <w:widowControl w:val="off"/>
        <w:rPr>
          <w:rFonts w:ascii="宋体" w:hAnsi="Calibri" w:eastAsia="宋体" w:cs="Times New Roman"/>
          <w:bCs/>
          <w:color w:val="auto"/>
          <w:sz w:val="24"/>
          <w:szCs w:val="24"/>
          <w:highlight w:val="none"/>
        </w:rPr>
      </w:pPr>
      <w:r>
        <w:rPr>
          <w:rFonts w:ascii="宋体" w:hAnsi="Calibri" w:eastAsia="宋体" w:cs="Times New Roman"/>
          <w:bCs/>
          <w:color w:val="auto"/>
          <w:sz w:val="24"/>
          <w:szCs w:val="24"/>
          <w:highlight w:val="none"/>
        </w:rPr>
      </w:r>
      <w:r/>
    </w:p>
    <w:p>
      <w:pPr>
        <w:keepLines w:val="0"/>
        <w:keepNext w:val="0"/>
        <w:pageBreakBefore w:val="0"/>
        <w:spacing w:line="360" w:lineRule="auto"/>
        <w:widowControl w:val="off"/>
        <w:rPr>
          <w:rFonts w:ascii="宋体" w:hAnsi="Calibri"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投标人名称（盖章）：</w:t>
      </w:r>
      <w:r/>
    </w:p>
    <w:p>
      <w:pPr>
        <w:jc w:val="left"/>
        <w:keepLines w:val="0"/>
        <w:keepNext w:val="0"/>
        <w:pageBreakBefore w:val="0"/>
        <w:spacing w:line="360" w:lineRule="auto"/>
        <w:widowControl w:val="off"/>
        <w:rPr>
          <w:rFonts w:hint="eastAsia" w:ascii="Calibri"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 </w:t>
      </w:r>
      <w:r/>
    </w:p>
    <w:p>
      <w:pPr>
        <w:spacing w:line="360" w:lineRule="auto"/>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p>
      <w:pPr>
        <w:spacing w:line="360" w:lineRule="auto"/>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p>
      <w:pPr>
        <w:spacing w:line="360" w:lineRule="auto"/>
        <w:rPr>
          <w:rFonts w:ascii="黑体" w:hAnsi="Calibri" w:eastAsia="黑体" w:cs="Times New Roman"/>
          <w:bCs/>
          <w:color w:val="auto"/>
          <w:sz w:val="28"/>
          <w:szCs w:val="28"/>
          <w:highlight w:val="none"/>
        </w:rPr>
      </w:pPr>
      <w:r>
        <w:rPr>
          <w:rFonts w:hint="eastAsia" w:ascii="宋体" w:hAnsi="宋体" w:eastAsia="宋体" w:cs="宋体"/>
          <w:bCs/>
          <w:color w:val="auto"/>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w:t>
      </w:r>
      <w:r>
        <w:rPr>
          <w:rFonts w:hint="eastAsia" w:ascii="黑体" w:hAnsi="Calibri" w:eastAsia="黑体" w:cs="Times New Roman"/>
          <w:bCs/>
          <w:color w:val="auto"/>
          <w:sz w:val="28"/>
          <w:szCs w:val="28"/>
          <w:highlight w:val="none"/>
          <w:lang w:val="en-US" w:eastAsia="zh-CN"/>
        </w:rPr>
        <w:t xml:space="preserve">货物</w:t>
      </w:r>
      <w:r>
        <w:rPr>
          <w:rFonts w:ascii="黑体" w:hAnsi="Calibri" w:eastAsia="黑体" w:cs="Times New Roman"/>
          <w:bCs/>
          <w:color w:val="auto"/>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 （标的名称） ，属于（采购文件中明确的所属行业）行业；制造商为（企业名称），从业人员 人，营业收入为 万元，资产总额为 万元1，属于（中型企业、小型企业、微型企业）；</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（标的名称） ，属于（采购文件中明确的所属行业）行业；制造商为（企业名称），从业人员 人，营业收入为 万元，资产总额为 万元，属于（中型企业、小型企业、微型企业）；</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企业名称（盖章）：</w:t>
      </w:r>
      <w:r/>
    </w:p>
    <w:p>
      <w:pPr>
        <w:ind w:firstLine="480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ind w:firstLine="420"/>
        <w:spacing w:line="360" w:lineRule="auto"/>
        <w:rPr>
          <w:rFonts w:ascii="Calibri" w:hAnsi="Calibri" w:eastAsia="宋体" w:cs="Times New Roman"/>
          <w:color w:val="auto"/>
          <w:sz w:val="21"/>
          <w:szCs w:val="22"/>
          <w:highlight w:val="none"/>
        </w:rPr>
      </w:pPr>
      <w:r>
        <w:rPr>
          <w:rFonts w:ascii="Calibri" w:hAnsi="Calibri" w:eastAsia="宋体" w:cs="Times New Roman"/>
          <w:color w:val="auto"/>
          <w:sz w:val="21"/>
          <w:szCs w:val="22"/>
          <w:highlight w:val="none"/>
        </w:rPr>
      </w:r>
      <w:r/>
    </w:p>
    <w:p>
      <w:pPr>
        <w:ind w:firstLine="420"/>
        <w:spacing w:line="360" w:lineRule="auto"/>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（2）从业人员、营业收入、资产总额填报上一年度数据，无上一年度数据的新成立企业可不填报。</w:t>
      </w:r>
      <w:r/>
    </w:p>
    <w:p>
      <w:pPr>
        <w:spacing w:line="360" w:lineRule="auto"/>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（3）在货物采购项目中，供应商提供的货物既有中小企业制造货物，也有大型企业制造货物的，不享受本办法规定的中小企业扶持政策。</w:t>
      </w:r>
      <w:r/>
    </w:p>
    <w:p>
      <w:pPr>
        <w:spacing w:line="360" w:lineRule="auto"/>
        <w:rPr>
          <w:rFonts w:hint="eastAsia" w:ascii="Calibri" w:hAnsi="Calibri" w:eastAsia="宋体" w:cs="Times New Roman"/>
          <w:color w:val="auto"/>
          <w:sz w:val="21"/>
          <w:szCs w:val="22"/>
          <w:highlight w:val="none"/>
          <w:lang w:eastAsia="zh-CN"/>
        </w:rPr>
      </w:pPr>
      <w:r>
        <w:rPr>
          <w:rFonts w:hint="eastAsia" w:ascii="Calibri" w:hAnsi="Calibri" w:eastAsia="宋体" w:cs="Times New Roman"/>
          <w:color w:val="auto"/>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color w:val="auto"/>
          <w:sz w:val="21"/>
          <w:szCs w:val="22"/>
          <w:highlight w:val="none"/>
          <w:lang w:eastAsia="zh-CN"/>
        </w:rPr>
        <w:t xml:space="preserve">，将</w:t>
      </w:r>
      <w:r>
        <w:rPr>
          <w:rFonts w:hint="eastAsia" w:ascii="Calibri" w:hAnsi="Calibri" w:eastAsia="宋体" w:cs="Times New Roman"/>
          <w:color w:val="auto"/>
          <w:sz w:val="21"/>
          <w:szCs w:val="22"/>
          <w:highlight w:val="none"/>
        </w:rPr>
        <w:t xml:space="preserve">依照《中华人民共和国政府采购法》等国家有关规定追究相应责任</w:t>
      </w:r>
      <w:r>
        <w:rPr>
          <w:rFonts w:hint="eastAsia" w:ascii="Calibri" w:hAnsi="Calibri" w:eastAsia="宋体" w:cs="Times New Roman"/>
          <w:color w:val="auto"/>
          <w:sz w:val="21"/>
          <w:szCs w:val="22"/>
          <w:highlight w:val="none"/>
          <w:lang w:eastAsia="zh-CN"/>
        </w:rPr>
        <w:t xml:space="preserve">。</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b/>
          <w:color w:val="auto"/>
          <w:sz w:val="30"/>
          <w:szCs w:val="30"/>
          <w:highlight w:val="none"/>
        </w:rPr>
      </w:pP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hAnsi="宋体"/>
          <w:bCs/>
          <w:color w:val="auto"/>
          <w:sz w:val="24"/>
          <w:szCs w:val="24"/>
          <w:highlight w:val="none"/>
          <w:lang w:val="en-US" w:eastAsia="zh-CN"/>
        </w:rPr>
        <w:t xml:space="preserve">江苏博智工程咨询有限公司</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34"/>
          <w:rFonts w:hint="eastAsia"/>
          <w:bCs/>
          <w:color w:val="auto"/>
          <w:highlight w:val="none"/>
        </w:rPr>
      </w:pPr>
      <w:r>
        <w:rPr>
          <w:rFonts w:hint="eastAsia" w:ascii="宋体" w:hAnsi="宋体"/>
          <w:bCs/>
          <w:color w:val="auto"/>
          <w:sz w:val="24"/>
          <w:szCs w:val="24"/>
          <w:highlight w:val="none"/>
        </w:rPr>
        <w:t xml:space="preserve">我方愿意提供</w:t>
      </w:r>
      <w:r>
        <w:rPr>
          <w:rFonts w:hint="eastAsia" w:hAnsi="宋体"/>
          <w:bCs/>
          <w:color w:val="auto"/>
          <w:sz w:val="24"/>
          <w:szCs w:val="24"/>
          <w:highlight w:val="none"/>
          <w:lang w:val="en-US" w:eastAsia="zh-CN"/>
        </w:rPr>
        <w:t xml:space="preserve">江苏博智工程咨询有限公司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针对本项目在此承诺：</w:t>
      </w:r>
      <w:r/>
    </w:p>
    <w:p>
      <w:pPr>
        <w:ind w:firstLine="480"/>
        <w:spacing w:line="480" w:lineRule="auto"/>
        <w:rPr>
          <w:rFonts w:ascii="宋体" w:hAnsi="宋体"/>
          <w:bCs/>
          <w:color w:val="auto"/>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对本项目所提供的货物均为原厂全新合格产品，提供的服务符合招标文件要求。</w:t>
      </w:r>
      <w:r/>
    </w:p>
    <w:p>
      <w:pPr>
        <w:ind w:firstLine="480"/>
        <w:spacing w:line="480" w:lineRule="auto"/>
        <w:rPr>
          <w:rFonts w:hint="eastAsia" w:ascii="宋体"/>
          <w:bCs/>
          <w:color w:val="auto"/>
          <w:sz w:val="24"/>
          <w:szCs w:val="24"/>
        </w:rPr>
      </w:pPr>
      <w:r>
        <w:rPr>
          <w:rFonts w:hint="eastAsia" w:ascii="宋体"/>
          <w:bCs/>
          <w:color w:val="auto"/>
          <w:sz w:val="24"/>
          <w:szCs w:val="24"/>
        </w:rPr>
        <w:t xml:space="preserve">2.本项目中如有涉及商品包装、快递包装要求的，本公司（单位</w:t>
      </w:r>
      <w:r>
        <w:rPr>
          <w:rFonts w:hint="eastAsia" w:ascii="宋体" w:hAnsi="宋体"/>
          <w:bCs/>
          <w:color w:val="auto"/>
          <w:sz w:val="24"/>
          <w:szCs w:val="24"/>
        </w:rPr>
        <w:t xml:space="preserve">、联合体</w:t>
      </w:r>
      <w:r>
        <w:rPr>
          <w:rFonts w:hint="eastAsia" w:ascii="宋体"/>
          <w:bCs/>
          <w:color w:val="auto"/>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rPr>
      </w:pPr>
      <w:r>
        <w:rPr>
          <w:rFonts w:hint="eastAsia" w:ascii="宋体" w:hAnsi="宋体"/>
          <w:color w:val="auto"/>
          <w:sz w:val="24"/>
          <w:szCs w:val="24"/>
        </w:rPr>
        <w:t xml:space="preserve">3.本项目中如有涉及数据中心相关设备、运维服务的，本公司（单位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w:t>
      </w:r>
      <w:r>
        <w:rPr>
          <w:rFonts w:hint="eastAsia" w:ascii="宋体" w:hAnsi="宋体"/>
          <w:bCs/>
          <w:color w:val="auto"/>
          <w:sz w:val="24"/>
          <w:szCs w:val="24"/>
        </w:rPr>
        <w:t xml:space="preserve">将按规定执行国家和我省VOCs含量限制标准；如非强制性标准的，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w:t>
      </w:r>
      <w:r>
        <w:rPr>
          <w:rFonts w:hint="eastAsia" w:ascii="宋体" w:hAnsi="宋体"/>
          <w:bCs/>
          <w:color w:val="auto"/>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auto"/>
          <w:sz w:val="24"/>
          <w:szCs w:val="24"/>
        </w:rPr>
      </w:pPr>
      <w:r>
        <w:rPr>
          <w:rFonts w:hint="eastAsia" w:ascii="宋体"/>
          <w:bCs/>
          <w:color w:val="auto"/>
          <w:sz w:val="24"/>
          <w:szCs w:val="24"/>
        </w:rPr>
        <w:t xml:space="preserve">5.</w:t>
      </w:r>
      <w:r>
        <w:rPr>
          <w:rFonts w:hint="eastAsia" w:ascii="宋体" w:hAnsi="宋体" w:cs="宋体"/>
          <w:color w:val="auto"/>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）将所投产品符合相关要求和标准。在满足</w:t>
      </w:r>
      <w:r>
        <w:rPr>
          <w:rFonts w:hint="eastAsia" w:ascii="宋体" w:hAnsi="宋体" w:cs="宋体"/>
          <w:color w:val="auto"/>
          <w:sz w:val="24"/>
          <w:szCs w:val="24"/>
        </w:rPr>
        <w:t xml:space="preserve">《需求标准》的前提下，如招标文件中对七种软硬件有其他要求的，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）所投产品将</w:t>
      </w:r>
      <w:r>
        <w:rPr>
          <w:rFonts w:hint="eastAsia" w:ascii="宋体" w:hAnsi="宋体" w:cs="宋体"/>
          <w:color w:val="auto"/>
          <w:sz w:val="24"/>
          <w:szCs w:val="24"/>
        </w:rPr>
        <w:t xml:space="preserve">满足招标文件要求。如采购人在</w:t>
      </w:r>
      <w:r>
        <w:rPr>
          <w:rFonts w:hint="eastAsia" w:ascii="宋体"/>
          <w:bCs/>
          <w:color w:val="auto"/>
          <w:sz w:val="24"/>
          <w:szCs w:val="24"/>
        </w:rPr>
        <w:t xml:space="preserve">合同中约定，</w:t>
      </w:r>
      <w:r>
        <w:rPr>
          <w:rFonts w:hint="eastAsia" w:ascii="宋体" w:hAnsi="宋体" w:cs="宋体"/>
          <w:color w:val="auto"/>
          <w:sz w:val="24"/>
          <w:szCs w:val="24"/>
        </w:rPr>
        <w:t xml:space="preserve">在</w:t>
      </w:r>
      <w:r>
        <w:rPr>
          <w:rFonts w:hint="eastAsia" w:ascii="宋体"/>
          <w:bCs/>
          <w:color w:val="auto"/>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rPr>
        <w:t xml:space="preserve">、联合体</w:t>
      </w:r>
      <w:r>
        <w:rPr>
          <w:rFonts w:hint="eastAsia" w:ascii="宋体"/>
          <w:bCs/>
          <w:color w:val="auto"/>
          <w:sz w:val="24"/>
          <w:szCs w:val="24"/>
        </w:rPr>
        <w:t xml:space="preserve">）将予以配合。</w:t>
      </w:r>
      <w:r/>
    </w:p>
    <w:p>
      <w:pPr>
        <w:ind w:firstLine="480"/>
        <w:spacing w:line="480" w:lineRule="auto"/>
        <w:rPr>
          <w:rFonts w:hint="eastAsia" w:ascii="宋体" w:hAnsi="宋体" w:cs="宋体"/>
          <w:color w:val="auto"/>
          <w:sz w:val="24"/>
          <w:szCs w:val="24"/>
        </w:rPr>
      </w:pPr>
      <w:r>
        <w:rPr>
          <w:rFonts w:hint="eastAsia" w:ascii="宋体"/>
          <w:bCs/>
          <w:color w:val="auto"/>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auto"/>
          <w:sz w:val="24"/>
          <w:szCs w:val="24"/>
        </w:rPr>
      </w:pPr>
      <w:r>
        <w:rPr>
          <w:rFonts w:hint="eastAsia" w:ascii="宋体"/>
          <w:bCs/>
          <w:color w:val="auto"/>
          <w:sz w:val="24"/>
          <w:szCs w:val="24"/>
        </w:rPr>
      </w:r>
      <w:r/>
    </w:p>
    <w:p>
      <w:pPr>
        <w:ind w:firstLine="480"/>
        <w:spacing w:line="360" w:lineRule="auto"/>
        <w:rPr>
          <w:rFonts w:ascii="宋体"/>
          <w:bCs/>
          <w:color w:val="auto"/>
          <w:sz w:val="24"/>
          <w:szCs w:val="24"/>
          <w:highlight w:val="none"/>
        </w:rPr>
      </w:pPr>
      <w:r>
        <w:rPr>
          <w:rFonts w:ascii="宋体"/>
          <w:bCs/>
          <w:color w:val="auto"/>
          <w:sz w:val="24"/>
          <w:szCs w:val="24"/>
        </w:rPr>
        <w:t xml:space="preserve">……</w:t>
      </w:r>
      <w:r>
        <w:rPr>
          <w:rFonts w:hint="eastAsia" w:ascii="宋体"/>
          <w:bCs/>
          <w:color w:val="auto"/>
          <w:sz w:val="24"/>
          <w:szCs w:val="24"/>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9"/>
      </w:pPr>
      <w:r/>
      <w:bookmarkStart w:id="134" w:name="_Toc120614284"/>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p>
    <w:p>
      <w:pPr>
        <w:spacing w:line="360" w:lineRule="auto"/>
        <w:rPr>
          <w:rFonts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货币单位：人民币元</w:t>
      </w:r>
      <w:r/>
    </w:p>
    <w:tbl>
      <w:tblPr>
        <w:tblStyle w:val="914"/>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rPr>
              <w:t xml:space="preserve">投标总报价</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小写</w:t>
            </w:r>
            <w:r>
              <w:rPr>
                <w:rFonts w:hint="eastAsia" w:ascii="宋体" w:hAnsi="宋体"/>
                <w:b/>
                <w:bCs/>
                <w:color w:val="auto"/>
                <w:sz w:val="24"/>
                <w:szCs w:val="24"/>
                <w:lang w:eastAsia="zh-CN"/>
              </w:rPr>
              <w:t xml:space="preserve">）</w:t>
            </w:r>
            <w:r/>
          </w:p>
        </w:tc>
      </w:tr>
      <w:tr>
        <w:trPr>
          <w:cantSplit/>
          <w:trHeight w:val="1630"/>
        </w:trPr>
        <w:tc>
          <w:tcPr>
            <w:tcW w:w="2929" w:type="dxa"/>
            <w:vAlign w:val="center"/>
            <w:textDirection w:val="lrTb"/>
            <w:noWrap w:val="false"/>
          </w:tcPr>
          <w:p>
            <w:pPr>
              <w:pStyle w:val="935"/>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黑体" w:eastAsia="黑体"/>
                <w:color w:val="auto"/>
                <w:sz w:val="24"/>
              </w:rPr>
              <w:t xml:space="preserve">投标总报价（大写）</w:t>
            </w:r>
            <w:r>
              <w:rPr>
                <w:rFonts w:hint="eastAsia" w:ascii="宋体" w:hAnsi="宋体"/>
                <w:bCs/>
                <w:color w:val="auto"/>
                <w:sz w:val="24"/>
                <w:szCs w:val="24"/>
              </w:rPr>
              <w:t xml:space="preserve">：</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left"/>
        <w:spacing w:line="360" w:lineRule="auto"/>
        <w:rPr>
          <w:rFonts w:ascii="宋体" w:hAnsi="宋体"/>
          <w:b/>
          <w:color w:val="auto"/>
          <w:sz w:val="24"/>
          <w:highlight w:val="none"/>
        </w:rPr>
      </w:pPr>
      <w:r>
        <w:rPr>
          <w:rFonts w:ascii="宋体" w:hAnsi="宋体"/>
          <w:b/>
          <w:color w:val="auto"/>
          <w:sz w:val="24"/>
          <w:highlight w:val="none"/>
        </w:rPr>
      </w:r>
      <w:bookmarkEnd w:id="134"/>
      <w:r/>
      <w:r/>
    </w:p>
    <w:p>
      <w:pPr>
        <w:spacing w:line="400" w:lineRule="exact"/>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b/>
          <w:color w:val="auto"/>
          <w:sz w:val="30"/>
          <w:szCs w:val="30"/>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九</w:t>
      </w:r>
      <w:r>
        <w:rPr>
          <w:rFonts w:hint="eastAsia"/>
          <w:b/>
          <w:color w:val="auto"/>
          <w:sz w:val="28"/>
          <w:szCs w:val="28"/>
          <w:highlight w:val="none"/>
          <w:lang w:eastAsia="zh-CN"/>
        </w:rPr>
        <w:t xml:space="preserve">）</w:t>
      </w:r>
      <w:r>
        <w:rPr>
          <w:rFonts w:hint="eastAsia" w:ascii="宋体"/>
          <w:b/>
          <w:color w:val="auto"/>
          <w:sz w:val="28"/>
          <w:szCs w:val="28"/>
          <w:highlight w:val="none"/>
          <w:lang w:val="en-US" w:eastAsia="zh-CN" w:bidi="ar-SA"/>
        </w:rPr>
        <w:t xml:space="preserve">分项报价表（给定格式）：</w:t>
      </w:r>
      <w:r/>
    </w:p>
    <w:p>
      <w:pPr>
        <w:ind w:firstLine="3373"/>
        <w:spacing w:line="360" w:lineRule="auto"/>
        <w:rPr>
          <w:rFonts w:hint="eastAsia" w:ascii="宋体" w:hAnsi="Times New Roman" w:eastAsia="宋体" w:cs="Times New Roman"/>
          <w:b/>
          <w:color w:val="auto"/>
          <w:sz w:val="28"/>
          <w:szCs w:val="28"/>
          <w:highlight w:val="none"/>
          <w:lang w:val="en-US" w:eastAsia="zh-CN" w:bidi="ar-SA"/>
        </w:rPr>
      </w:pPr>
      <w:r>
        <w:rPr>
          <w:rFonts w:hint="eastAsia" w:ascii="宋体" w:hAnsi="Times New Roman" w:eastAsia="宋体" w:cs="Times New Roman"/>
          <w:b/>
          <w:color w:val="auto"/>
          <w:sz w:val="28"/>
          <w:szCs w:val="28"/>
          <w:highlight w:val="none"/>
          <w:lang w:val="en-US" w:eastAsia="zh-CN" w:bidi="ar-SA"/>
        </w:rPr>
        <w:t xml:space="preserve">分项报价表</w:t>
      </w:r>
      <w:r/>
    </w:p>
    <w:p>
      <w:pPr>
        <w:ind w:left="0" w:firstLine="480"/>
        <w:jc w:val="both"/>
        <w:spacing w:after="120" w:line="360" w:lineRule="auto"/>
        <w:rPr>
          <w:rFonts w:hint="eastAsia" w:ascii="黑体" w:eastAsia="宋体"/>
          <w:b w:val="0"/>
          <w:bCs/>
          <w:i w:val="0"/>
          <w:strike w:val="0"/>
          <w:color w:val="auto"/>
          <w:sz w:val="24"/>
          <w:szCs w:val="24"/>
          <w:u w:val="none"/>
          <w:lang w:eastAsia="zh-CN"/>
        </w:rPr>
      </w:pPr>
      <w:r>
        <w:rPr>
          <w:rFonts w:hint="eastAsia" w:ascii="黑体" w:eastAsia="宋体"/>
          <w:b w:val="0"/>
          <w:bCs/>
          <w:i w:val="0"/>
          <w:strike w:val="0"/>
          <w:color w:val="auto"/>
          <w:sz w:val="24"/>
          <w:szCs w:val="24"/>
          <w:u w:val="none"/>
        </w:rPr>
        <w:t xml:space="preserve">项目编号：</w:t>
      </w:r>
      <w:r>
        <w:rPr>
          <w:rFonts w:hint="eastAsia" w:ascii="黑体"/>
          <w:b w:val="0"/>
          <w:bCs/>
          <w:i w:val="0"/>
          <w:strike w:val="0"/>
          <w:color w:val="auto"/>
          <w:sz w:val="24"/>
          <w:szCs w:val="24"/>
          <w:u w:val="none"/>
          <w:lang w:eastAsia="zh-CN"/>
        </w:rPr>
        <w:t xml:space="preserve">JSZC-320213-BZDL-G2026-0023</w:t>
      </w:r>
      <w:r/>
    </w:p>
    <w:tbl>
      <w:tblPr>
        <w:tblStyle w:val="914"/>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221"/>
        <w:gridCol w:w="262"/>
        <w:gridCol w:w="416"/>
        <w:gridCol w:w="889"/>
        <w:gridCol w:w="1020"/>
        <w:gridCol w:w="770"/>
        <w:gridCol w:w="414"/>
        <w:gridCol w:w="519"/>
        <w:gridCol w:w="490"/>
        <w:gridCol w:w="4067"/>
      </w:tblGrid>
      <w:tr>
        <w:trPr>
          <w:jc w:val="center"/>
          <w:trHeight w:val="307"/>
        </w:trPr>
        <w:tc>
          <w:tcPr>
            <w:tcMar>
              <w:left w:w="15" w:type="dxa"/>
              <w:top w:w="15" w:type="dxa"/>
              <w:right w:w="15" w:type="dxa"/>
              <w:bottom w:w="0" w:type="dxa"/>
            </w:tcMar>
            <w:tcW w:w="221"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262" w:type="dxa"/>
            <w:vAlign w:val="center"/>
            <w:textDirection w:val="lrTb"/>
            <w:noWrap/>
          </w:tcPr>
          <w:p>
            <w:pPr>
              <w:jc w:val="center"/>
              <w:spacing w:before="5"/>
              <w:rPr>
                <w:rFonts w:hint="eastAsia" w:eastAsia="宋体"/>
                <w:color w:val="auto"/>
                <w:sz w:val="18"/>
                <w:lang w:eastAsia="zh-CN"/>
              </w:rPr>
            </w:pPr>
            <w:r>
              <w:rPr>
                <w:rFonts w:hint="eastAsia"/>
                <w:color w:val="auto"/>
                <w:sz w:val="18"/>
                <w:lang w:val="en-US" w:eastAsia="zh-CN"/>
              </w:rPr>
              <w:t xml:space="preserve">区域</w:t>
            </w:r>
            <w:r/>
          </w:p>
        </w:tc>
        <w:tc>
          <w:tcPr>
            <w:tcMar>
              <w:left w:w="15" w:type="dxa"/>
              <w:top w:w="15" w:type="dxa"/>
              <w:right w:w="15" w:type="dxa"/>
              <w:bottom w:w="0" w:type="dxa"/>
            </w:tcMar>
            <w:tcW w:w="416" w:type="dxa"/>
            <w:vAlign w:val="center"/>
            <w:textDirection w:val="lrTb"/>
            <w:noWrap/>
          </w:tcPr>
          <w:p>
            <w:pPr>
              <w:jc w:val="center"/>
              <w:spacing w:before="5"/>
              <w:rPr>
                <w:rFonts w:ascii="宋体"/>
                <w:color w:val="auto"/>
                <w:sz w:val="18"/>
                <w:lang w:val="en-US" w:eastAsia="zh-CN" w:bidi="ar-SA"/>
              </w:rPr>
            </w:pPr>
            <w:r>
              <w:rPr>
                <w:rFonts w:hint="eastAsia"/>
                <w:color w:val="auto"/>
                <w:sz w:val="18"/>
              </w:rPr>
              <w:t xml:space="preserve">名称</w:t>
            </w:r>
            <w:r/>
          </w:p>
        </w:tc>
        <w:tc>
          <w:tcPr>
            <w:tcMar>
              <w:left w:w="15" w:type="dxa"/>
              <w:top w:w="15" w:type="dxa"/>
              <w:right w:w="15" w:type="dxa"/>
              <w:bottom w:w="0" w:type="dxa"/>
            </w:tcMar>
            <w:tcW w:w="889" w:type="dxa"/>
            <w:vAlign w:val="center"/>
            <w:textDirection w:val="lrTb"/>
            <w:noWrap/>
          </w:tcPr>
          <w:p>
            <w:pPr>
              <w:jc w:val="center"/>
              <w:spacing w:before="5"/>
              <w:rPr>
                <w:rFonts w:hint="eastAsia" w:ascii="宋体"/>
                <w:color w:val="auto"/>
                <w:sz w:val="18"/>
                <w:lang w:val="en-US" w:eastAsia="zh-CN" w:bidi="ar-SA"/>
              </w:rPr>
            </w:pPr>
            <w:r>
              <w:rPr>
                <w:rFonts w:hint="eastAsia"/>
                <w:color w:val="auto"/>
                <w:sz w:val="18"/>
              </w:rPr>
              <w:t xml:space="preserve">品牌型号</w:t>
            </w:r>
            <w:r/>
          </w:p>
        </w:tc>
        <w:tc>
          <w:tcPr>
            <w:tcMar>
              <w:left w:w="15" w:type="dxa"/>
              <w:top w:w="15" w:type="dxa"/>
              <w:right w:w="15" w:type="dxa"/>
              <w:bottom w:w="0" w:type="dxa"/>
            </w:tcMar>
            <w:tcW w:w="1020" w:type="dxa"/>
            <w:vAlign w:val="center"/>
            <w:textDirection w:val="lrTb"/>
            <w:noWrap/>
          </w:tcPr>
          <w:p>
            <w:pPr>
              <w:jc w:val="center"/>
              <w:spacing w:before="5"/>
              <w:rPr>
                <w:rFonts w:hint="eastAsia" w:eastAsia="宋体"/>
                <w:color w:val="auto"/>
                <w:sz w:val="18"/>
                <w:lang w:eastAsia="zh-CN"/>
              </w:rPr>
            </w:pPr>
            <w:r>
              <w:rPr>
                <w:rFonts w:hint="eastAsia"/>
                <w:color w:val="auto"/>
                <w:sz w:val="18"/>
                <w:lang w:val="en-US" w:eastAsia="zh-CN"/>
              </w:rPr>
              <w:t xml:space="preserve">尺寸（长×宽×高）</w:t>
            </w:r>
            <w:r/>
          </w:p>
        </w:tc>
        <w:tc>
          <w:tcPr>
            <w:tcMar>
              <w:left w:w="15" w:type="dxa"/>
              <w:top w:w="15" w:type="dxa"/>
              <w:right w:w="15" w:type="dxa"/>
              <w:bottom w:w="0" w:type="dxa"/>
            </w:tcMar>
            <w:tcW w:w="770" w:type="dxa"/>
            <w:vAlign w:val="center"/>
            <w:textDirection w:val="lrTb"/>
            <w:noWrap/>
          </w:tcPr>
          <w:p>
            <w:pPr>
              <w:jc w:val="center"/>
              <w:spacing w:before="5"/>
              <w:rPr>
                <w:color w:val="auto"/>
                <w:sz w:val="18"/>
              </w:rPr>
            </w:pPr>
            <w:r>
              <w:rPr>
                <w:rFonts w:hint="eastAsia"/>
                <w:color w:val="auto"/>
                <w:sz w:val="18"/>
              </w:rPr>
              <w:t xml:space="preserve">材质说明</w:t>
            </w:r>
            <w:r/>
          </w:p>
        </w:tc>
        <w:tc>
          <w:tcPr>
            <w:tcW w:w="414" w:type="dxa"/>
            <w:vAlign w:val="center"/>
            <w:textDirection w:val="lrTb"/>
            <w:noWrap w:val="false"/>
          </w:tcPr>
          <w:p>
            <w:pPr>
              <w:jc w:val="center"/>
              <w:spacing w:before="5"/>
              <w:rPr>
                <w:rFonts w:hint="eastAsia" w:eastAsia="宋体"/>
                <w:color w:val="auto"/>
                <w:sz w:val="18"/>
                <w:lang w:eastAsia="zh-CN"/>
              </w:rPr>
            </w:pPr>
            <w:r>
              <w:rPr>
                <w:rFonts w:hint="eastAsia"/>
                <w:color w:val="auto"/>
                <w:sz w:val="18"/>
                <w:lang w:val="en-US" w:eastAsia="zh-CN"/>
              </w:rPr>
              <w:t xml:space="preserve">单位</w:t>
            </w:r>
            <w:r/>
          </w:p>
        </w:tc>
        <w:tc>
          <w:tcPr>
            <w:tcMar>
              <w:left w:w="15" w:type="dxa"/>
              <w:top w:w="15" w:type="dxa"/>
              <w:right w:w="15" w:type="dxa"/>
              <w:bottom w:w="0" w:type="dxa"/>
            </w:tcMar>
            <w:tcW w:w="519" w:type="dxa"/>
            <w:vAlign w:val="center"/>
            <w:textDirection w:val="lrTb"/>
            <w:noWrap/>
          </w:tcPr>
          <w:p>
            <w:pPr>
              <w:jc w:val="center"/>
              <w:spacing w:before="5"/>
              <w:rPr>
                <w:color w:val="auto"/>
                <w:sz w:val="18"/>
              </w:rPr>
            </w:pPr>
            <w:r>
              <w:rPr>
                <w:rFonts w:hint="eastAsia"/>
                <w:color w:val="auto"/>
                <w:sz w:val="18"/>
              </w:rPr>
              <w:t xml:space="preserve">数量</w:t>
            </w:r>
            <w:r/>
          </w:p>
        </w:tc>
        <w:tc>
          <w:tcPr>
            <w:tcW w:w="490"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4067"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jc w:val="center"/>
          <w:trHeight w:val="391"/>
        </w:trPr>
        <w:tc>
          <w:tcPr>
            <w:tcMar>
              <w:left w:w="15" w:type="dxa"/>
              <w:top w:w="15" w:type="dxa"/>
              <w:right w:w="15" w:type="dxa"/>
              <w:bottom w:w="0" w:type="dxa"/>
            </w:tcMar>
            <w:tcW w:w="221" w:type="dxa"/>
            <w:vAlign w:val="center"/>
            <w:textDirection w:val="lrTb"/>
            <w:noWrap/>
          </w:tcPr>
          <w:p>
            <w:pPr>
              <w:pStyle w:val="936"/>
              <w:spacing w:before="5"/>
              <w:tabs>
                <w:tab w:val="clear" w:pos="4153" w:leader="none"/>
                <w:tab w:val="clear" w:pos="8306" w:leader="none"/>
              </w:tabs>
              <w:rPr>
                <w:rFonts w:ascii="宋体"/>
                <w:color w:val="auto"/>
              </w:rPr>
              <w:pBdr>
                <w:bottom w:val="none" w:color="000000" w:sz="0" w:space="0"/>
              </w:pBdr>
            </w:pPr>
            <w:r>
              <w:rPr>
                <w:rFonts w:ascii="宋体"/>
                <w:color w:val="auto"/>
              </w:rPr>
            </w:r>
            <w:r/>
          </w:p>
        </w:tc>
        <w:tc>
          <w:tcPr>
            <w:tcMar>
              <w:left w:w="15" w:type="dxa"/>
              <w:top w:w="15" w:type="dxa"/>
              <w:right w:w="15" w:type="dxa"/>
              <w:bottom w:w="0" w:type="dxa"/>
            </w:tcMar>
            <w:tcW w:w="262" w:type="dxa"/>
            <w:vAlign w:val="center"/>
            <w:textDirection w:val="lrTb"/>
            <w:noWrap/>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416"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889"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1020"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770" w:type="dxa"/>
            <w:vAlign w:val="top"/>
            <w:textDirection w:val="lrTb"/>
            <w:noWrap w:val="false"/>
          </w:tcPr>
          <w:p>
            <w:pPr>
              <w:jc w:val="center"/>
              <w:rPr>
                <w:rFonts w:hint="eastAsia" w:ascii="黑体" w:eastAsia="黑体"/>
                <w:b/>
                <w:bCs/>
                <w:color w:val="auto"/>
              </w:rPr>
            </w:pPr>
            <w:r>
              <w:rPr>
                <w:rFonts w:hint="eastAsia" w:ascii="黑体" w:eastAsia="黑体"/>
                <w:b/>
                <w:bCs/>
                <w:color w:val="auto"/>
              </w:rPr>
            </w:r>
            <w:r/>
          </w:p>
        </w:tc>
        <w:tc>
          <w:tcPr>
            <w:tcW w:w="41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519" w:type="dxa"/>
            <w:vAlign w:val="center"/>
            <w:textDirection w:val="lrTb"/>
            <w:noWrap/>
          </w:tcPr>
          <w:p>
            <w:pPr>
              <w:jc w:val="center"/>
              <w:rPr>
                <w:rFonts w:hint="eastAsia" w:ascii="黑体" w:eastAsia="黑体"/>
                <w:b/>
                <w:bCs/>
                <w:color w:val="auto"/>
              </w:rPr>
            </w:pPr>
            <w:r>
              <w:rPr>
                <w:rFonts w:hint="eastAsia" w:ascii="黑体" w:eastAsia="黑体"/>
                <w:b/>
                <w:bCs/>
                <w:color w:val="auto"/>
              </w:rPr>
            </w:r>
            <w:r/>
          </w:p>
        </w:tc>
        <w:tc>
          <w:tcPr>
            <w:tcW w:w="490"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4067"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jc w:val="center"/>
          <w:trHeight w:val="391"/>
        </w:trPr>
        <w:tc>
          <w:tcPr>
            <w:tcMar>
              <w:left w:w="15" w:type="dxa"/>
              <w:top w:w="15" w:type="dxa"/>
              <w:right w:w="15" w:type="dxa"/>
              <w:bottom w:w="0" w:type="dxa"/>
            </w:tcMar>
            <w:tcW w:w="221" w:type="dxa"/>
            <w:vAlign w:val="center"/>
            <w:textDirection w:val="lrTb"/>
            <w:noWrap/>
          </w:tcPr>
          <w:p>
            <w:pPr>
              <w:pStyle w:val="936"/>
              <w:spacing w:before="5"/>
              <w:tabs>
                <w:tab w:val="clear" w:pos="4153" w:leader="none"/>
                <w:tab w:val="clear" w:pos="8306" w:leader="none"/>
              </w:tabs>
              <w:rPr>
                <w:rFonts w:ascii="宋体"/>
                <w:color w:val="auto"/>
              </w:rPr>
              <w:pBdr>
                <w:bottom w:val="none" w:color="000000" w:sz="0" w:space="0"/>
              </w:pBdr>
            </w:pPr>
            <w:r>
              <w:rPr>
                <w:rFonts w:ascii="宋体"/>
                <w:color w:val="auto"/>
              </w:rPr>
            </w:r>
            <w:r/>
          </w:p>
        </w:tc>
        <w:tc>
          <w:tcPr>
            <w:tcMar>
              <w:left w:w="15" w:type="dxa"/>
              <w:top w:w="15" w:type="dxa"/>
              <w:right w:w="15" w:type="dxa"/>
              <w:bottom w:w="0" w:type="dxa"/>
            </w:tcMar>
            <w:tcW w:w="262" w:type="dxa"/>
            <w:vAlign w:val="center"/>
            <w:textDirection w:val="lrTb"/>
            <w:noWrap/>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416"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889"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1020"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770" w:type="dxa"/>
            <w:vAlign w:val="top"/>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41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519"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490"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4067"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jc w:val="center"/>
        </w:trPr>
        <w:tc>
          <w:tcPr>
            <w:gridSpan w:val="10"/>
            <w:tcMar>
              <w:left w:w="15" w:type="dxa"/>
              <w:top w:w="15" w:type="dxa"/>
              <w:right w:w="15" w:type="dxa"/>
              <w:bottom w:w="0" w:type="dxa"/>
            </w:tcMar>
            <w:tcW w:w="9068"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rPr>
                <w:rFonts w:ascii="黑体" w:hAnsi="宋体" w:eastAsia="黑体"/>
                <w:b/>
                <w:bCs/>
                <w:color w:val="auto"/>
                <w:sz w:val="24"/>
                <w:szCs w:val="24"/>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line="400" w:lineRule="exact"/>
        <w:rPr>
          <w:rFonts w:ascii="黑体" w:eastAsia="黑体"/>
          <w:bCs/>
          <w:color w:val="auto"/>
          <w:sz w:val="24"/>
          <w:szCs w:val="24"/>
        </w:rPr>
      </w:pPr>
      <w:r>
        <w:rPr>
          <w:rFonts w:ascii="黑体" w:eastAsia="黑体"/>
          <w:bCs/>
          <w:color w:val="auto"/>
          <w:sz w:val="24"/>
          <w:szCs w:val="24"/>
        </w:rPr>
      </w:r>
      <w:r/>
    </w:p>
    <w:p>
      <w:pPr>
        <w:ind w:left="0" w:firstLine="480"/>
        <w:jc w:val="both"/>
        <w:spacing w:after="120" w:line="360" w:lineRule="auto"/>
        <w:rPr>
          <w:rFonts w:ascii="宋体" w:hAnsi="宋体"/>
          <w:bCs/>
          <w:color w:val="auto"/>
        </w:rPr>
      </w:pPr>
      <w:r>
        <w:rPr>
          <w:rFonts w:hint="eastAsia" w:ascii="黑体" w:eastAsia="宋体"/>
          <w:b w:val="0"/>
          <w:bCs/>
          <w:i w:val="0"/>
          <w:strike w:val="0"/>
          <w:color w:val="auto"/>
          <w:sz w:val="24"/>
          <w:szCs w:val="24"/>
          <w:u w:val="none"/>
        </w:rPr>
        <w:t xml:space="preserve">投标人名称（盖章）：</w:t>
      </w:r>
      <w:r/>
    </w:p>
    <w:p>
      <w:pPr>
        <w:ind w:firstLine="315"/>
        <w:spacing w:line="400" w:lineRule="exact"/>
        <w:rPr>
          <w:rFonts w:hint="eastAsia" w:ascii="宋体" w:hAnsi="宋体" w:eastAsia="宋体" w:cs="Times New Roman"/>
          <w:bCs/>
          <w:color w:val="auto"/>
          <w:sz w:val="21"/>
          <w:szCs w:val="21"/>
          <w:highlight w:val="none"/>
          <w:lang w:val="en-US" w:eastAsia="zh-CN"/>
        </w:rPr>
        <w:outlineLvl w:val="9"/>
      </w:pPr>
      <w:r>
        <w:rPr>
          <w:rFonts w:hint="eastAsia" w:ascii="宋体" w:hAnsi="宋体" w:eastAsia="宋体" w:cs="Times New Roman"/>
          <w:bCs/>
          <w:color w:val="auto"/>
          <w:sz w:val="21"/>
          <w:szCs w:val="21"/>
          <w:highlight w:val="none"/>
          <w:lang w:val="en-US" w:eastAsia="zh-CN"/>
        </w:rPr>
        <w:t xml:space="preserve">注：（1）投</w:t>
      </w:r>
      <w:r>
        <w:rPr>
          <w:rFonts w:hint="eastAsia" w:ascii="宋体" w:hAnsi="宋体" w:eastAsia="宋体" w:cs="Times New Roman"/>
          <w:bCs/>
          <w:color w:val="auto"/>
          <w:sz w:val="21"/>
          <w:szCs w:val="21"/>
          <w:highlight w:val="none"/>
          <w:lang w:val="en-US" w:eastAsia="zh-CN"/>
        </w:rPr>
        <w:t xml:space="preserve">标人本项目提供的货物全部由符合政策要求的中小企业制造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w:t>
      </w:r>
      <w:r>
        <w:rPr>
          <w:rFonts w:hint="eastAsia" w:hAnsi="宋体" w:cs="Times New Roman"/>
          <w:bCs/>
          <w:color w:val="auto"/>
          <w:sz w:val="21"/>
          <w:szCs w:val="21"/>
          <w:highlight w:val="none"/>
          <w:lang w:val="en-US" w:eastAsia="zh-CN"/>
        </w:rPr>
        <w:t xml:space="preserve">江苏博智工程咨询有限公司</w:t>
      </w:r>
      <w:r>
        <w:rPr>
          <w:rFonts w:hint="eastAsia" w:ascii="宋体" w:hAnsi="宋体" w:eastAsia="宋体" w:cs="Times New Roman"/>
          <w:bCs/>
          <w:color w:val="auto"/>
          <w:sz w:val="21"/>
          <w:szCs w:val="21"/>
          <w:highlight w:val="none"/>
          <w:lang w:val="en-US" w:eastAsia="zh-CN"/>
        </w:rPr>
        <w:t xml:space="preserve">有权将相关内容进行公示；</w:t>
      </w:r>
      <w:r/>
    </w:p>
    <w:p>
      <w:pPr>
        <w:ind w:firstLine="315"/>
        <w:spacing w:line="400" w:lineRule="exact"/>
        <w:rPr>
          <w:rFonts w:hint="eastAsia" w:ascii="宋体" w:hAnsi="宋体" w:eastAsia="宋体" w:cs="Times New Roman"/>
          <w:bCs/>
          <w:color w:val="auto"/>
          <w:sz w:val="21"/>
          <w:szCs w:val="21"/>
          <w:highlight w:val="none"/>
          <w:lang w:val="en-US" w:eastAsia="zh-CN"/>
        </w:rPr>
        <w:outlineLvl w:val="9"/>
      </w:pPr>
      <w:r>
        <w:rPr>
          <w:rFonts w:hint="eastAsia" w:ascii="宋体" w:hAnsi="宋体" w:eastAsia="宋体" w:cs="Times New Roman"/>
          <w:bCs/>
          <w:color w:val="auto"/>
          <w:sz w:val="21"/>
          <w:szCs w:val="21"/>
          <w:highlight w:val="none"/>
          <w:lang w:val="en-US" w:eastAsia="zh-CN"/>
        </w:rPr>
        <w:t xml:space="preserve">（2）投标人应当根据“项目技术要求和有关说明”的内容在上表中详细填写；</w:t>
      </w:r>
      <w:r/>
    </w:p>
    <w:p>
      <w:pPr>
        <w:ind w:firstLine="315"/>
        <w:spacing w:line="400" w:lineRule="exact"/>
        <w:rPr>
          <w:rFonts w:hint="eastAsia" w:ascii="宋体" w:hAnsi="宋体" w:eastAsia="宋体" w:cs="Times New Roman"/>
          <w:bCs/>
          <w:color w:val="auto"/>
          <w:sz w:val="21"/>
          <w:szCs w:val="21"/>
          <w:highlight w:val="none"/>
          <w:lang w:val="en-US" w:eastAsia="zh-CN"/>
        </w:rPr>
        <w:outlineLvl w:val="9"/>
      </w:pPr>
      <w:r>
        <w:rPr>
          <w:rFonts w:hint="eastAsia" w:ascii="宋体" w:hAnsi="宋体" w:eastAsia="宋体" w:cs="Times New Roman"/>
          <w:bCs/>
          <w:color w:val="auto"/>
          <w:sz w:val="21"/>
          <w:szCs w:val="21"/>
          <w:highlight w:val="none"/>
          <w:lang w:val="en-US" w:eastAsia="zh-CN"/>
        </w:rPr>
        <w:t xml:space="preserve">（3）表格不够可自行延长。</w:t>
      </w:r>
      <w:r/>
    </w:p>
    <w:p>
      <w:pPr>
        <w:ind w:firstLine="315"/>
        <w:spacing w:line="400" w:lineRule="exact"/>
        <w:rPr>
          <w:rFonts w:hint="eastAsia" w:ascii="宋体" w:hAnsi="宋体" w:eastAsia="宋体" w:cs="Times New Roman"/>
          <w:bCs/>
          <w:color w:val="auto"/>
          <w:sz w:val="21"/>
          <w:szCs w:val="21"/>
          <w:highlight w:val="none"/>
        </w:rPr>
        <w:outlineLvl w:val="9"/>
      </w:pPr>
      <w:r>
        <w:rPr>
          <w:rFonts w:hint="eastAsia" w:ascii="宋体" w:hAnsi="宋体" w:eastAsia="宋体" w:cs="Times New Roman"/>
          <w:bCs/>
          <w:color w:val="auto"/>
          <w:sz w:val="21"/>
          <w:szCs w:val="21"/>
          <w:highlight w:val="none"/>
          <w:lang w:val="en-US" w:eastAsia="zh-CN"/>
        </w:rPr>
        <w:t xml:space="preserve">（4）</w:t>
      </w:r>
      <w:r>
        <w:rPr>
          <w:rFonts w:hint="eastAsia" w:ascii="宋体" w:hAnsi="宋体" w:eastAsia="宋体" w:cs="Times New Roman"/>
          <w:bCs/>
          <w:color w:val="auto"/>
          <w:sz w:val="21"/>
          <w:szCs w:val="2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left="0" w:firstLine="420"/>
        <w:jc w:val="both"/>
        <w:spacing w:after="120" w:line="360" w:lineRule="auto"/>
        <w:widowControl w:val="off"/>
        <w:rPr>
          <w:rFonts w:hint="eastAsia" w:ascii="黑体" w:eastAsia="宋体"/>
          <w:b w:val="0"/>
          <w:bCs/>
          <w:i w:val="0"/>
          <w:strike w:val="0"/>
          <w:color w:val="auto"/>
          <w:sz w:val="24"/>
          <w:u w:val="none"/>
          <w:lang w:val="en-US" w:eastAsia="zh-CN" w:bidi="ar-SA"/>
        </w:rPr>
      </w:pPr>
      <w:r>
        <w:rPr>
          <w:rFonts w:hint="eastAsia" w:ascii="宋体" w:hAnsi="宋体" w:eastAsia="宋体" w:cs="Times New Roman"/>
          <w:bCs/>
          <w:color w:val="auto"/>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auto"/>
          <w:sz w:val="21"/>
          <w:szCs w:val="21"/>
          <w:highlight w:val="none"/>
          <w:u w:val="single"/>
        </w:rPr>
        <w:t xml:space="preserve">货物成本之和</w:t>
      </w:r>
      <w:r>
        <w:rPr>
          <w:rFonts w:hint="eastAsia" w:ascii="宋体" w:hAnsi="宋体" w:eastAsia="宋体" w:cs="Times New Roman"/>
          <w:bCs/>
          <w:color w:val="auto"/>
          <w:sz w:val="21"/>
          <w:szCs w:val="21"/>
          <w:highlight w:val="none"/>
          <w:u w:val="single"/>
        </w:rPr>
        <w:t xml:space="preserve">；“全部产品成本之和”是指货物或服务项目（或者采购包）中包含的</w:t>
      </w:r>
      <w:r>
        <w:rPr>
          <w:rFonts w:hint="eastAsia" w:ascii="宋体" w:hAnsi="宋体" w:eastAsia="宋体" w:cs="Times New Roman"/>
          <w:b/>
          <w:bCs/>
          <w:color w:val="auto"/>
          <w:sz w:val="21"/>
          <w:szCs w:val="21"/>
          <w:highlight w:val="none"/>
          <w:u w:val="single"/>
        </w:rPr>
        <w:t xml:space="preserve">全部货物、服务产品的成本之和</w:t>
      </w:r>
      <w:r>
        <w:rPr>
          <w:rFonts w:hint="eastAsia" w:ascii="宋体" w:hAnsi="宋体" w:eastAsia="宋体" w:cs="Times New Roman"/>
          <w:bCs/>
          <w:color w:val="auto"/>
          <w:sz w:val="21"/>
          <w:szCs w:val="21"/>
          <w:highlight w:val="none"/>
          <w:u w:val="single"/>
        </w:rPr>
        <w:t xml:space="preserve">。</w:t>
      </w:r>
      <w:r/>
    </w:p>
    <w:p>
      <w:pPr>
        <w:rPr>
          <w:b/>
          <w:color w:val="auto"/>
          <w:sz w:val="28"/>
          <w:szCs w:val="28"/>
          <w:highlight w:val="none"/>
        </w:rPr>
        <w:outlineLvl w:val="9"/>
      </w:pPr>
      <w:r>
        <w:rPr>
          <w:rFonts w:ascii="宋体" w:hAnsi="Calibri"/>
          <w:bCs/>
          <w:color w:val="auto"/>
        </w:rPr>
        <w:br w:type="page" w:clear="all"/>
      </w: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十</w:t>
      </w:r>
      <w:r>
        <w:rPr>
          <w:rFonts w:hint="eastAsia"/>
          <w:b/>
          <w:color w:val="auto"/>
          <w:sz w:val="28"/>
          <w:szCs w:val="28"/>
          <w:highlight w:val="none"/>
          <w:lang w:eastAsia="zh-CN"/>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914"/>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注：（1）本表不得删除；</w:t>
      </w:r>
      <w:r/>
    </w:p>
    <w:p>
      <w:pPr>
        <w:ind w:firstLine="420"/>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）如无任何偏离，请于本表 “偏离说明”中注明“无偏离”；</w:t>
      </w:r>
      <w:r/>
    </w:p>
    <w:p>
      <w:pPr>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）如有</w:t>
      </w:r>
      <w:r>
        <w:rPr>
          <w:rFonts w:hint="eastAsia" w:ascii="宋体" w:hAnsi="宋体" w:eastAsia="宋体" w:cs="宋体"/>
          <w:bCs/>
          <w:color w:val="auto"/>
          <w:sz w:val="21"/>
          <w:szCs w:val="21"/>
          <w:lang w:val="en-US" w:eastAsia="zh-CN"/>
        </w:rPr>
        <w:t xml:space="preserve">任何</w:t>
      </w:r>
      <w:r>
        <w:rPr>
          <w:rFonts w:hint="eastAsia" w:ascii="宋体" w:hAnsi="宋体" w:eastAsia="宋体" w:cs="宋体"/>
          <w:bCs/>
          <w:color w:val="auto"/>
          <w:sz w:val="21"/>
          <w:szCs w:val="21"/>
        </w:rPr>
        <w:t xml:space="preserve">偏离项，请于本表中列明偏离内容，如需要可自行延长，其余无偏离内容</w:t>
      </w:r>
      <w:r>
        <w:rPr>
          <w:rFonts w:hint="eastAsia" w:ascii="宋体" w:hAnsi="宋体" w:eastAsia="宋体" w:cs="宋体"/>
          <w:bCs/>
          <w:color w:val="auto"/>
          <w:sz w:val="21"/>
          <w:szCs w:val="21"/>
          <w:lang w:eastAsia="zh-CN"/>
        </w:rPr>
        <w:t xml:space="preserve">无需</w:t>
      </w:r>
      <w:r>
        <w:rPr>
          <w:rFonts w:hint="eastAsia" w:ascii="宋体" w:hAnsi="宋体" w:eastAsia="宋体" w:cs="宋体"/>
          <w:bCs/>
          <w:color w:val="auto"/>
          <w:sz w:val="21"/>
          <w:szCs w:val="21"/>
        </w:rPr>
        <w:t xml:space="preserve">赘述。</w:t>
      </w:r>
      <w:bookmarkStart w:id="135" w:name="_Hlt26609389"/>
      <w:r/>
      <w:bookmarkEnd w:id="135"/>
      <w:r/>
      <w:bookmarkStart w:id="136" w:name="_格式2__法定代表人授权书"/>
      <w:r/>
      <w:bookmarkEnd w:id="136"/>
      <w:r/>
      <w:bookmarkStart w:id="137" w:name="_Hlt26671374"/>
      <w:r/>
      <w:bookmarkEnd w:id="137"/>
      <w:r/>
      <w:bookmarkStart w:id="138" w:name="_Hlt26955066"/>
      <w:r/>
      <w:bookmarkEnd w:id="138"/>
      <w:r/>
      <w:r/>
    </w:p>
    <w:p>
      <w:pPr>
        <w:pStyle w:val="932"/>
        <w:ind w:left="0" w:firstLine="0"/>
        <w:rPr>
          <w:rFonts w:hint="eastAsia"/>
          <w:color w:val="auto"/>
          <w:highlight w:val="none"/>
        </w:rPr>
      </w:pPr>
      <w:r>
        <w:rPr>
          <w:rFonts w:hint="eastAsia"/>
          <w:color w:val="auto"/>
          <w:highlight w:val="none"/>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lang w:eastAsia="zh-CN"/>
        </w:rPr>
      </w:pPr>
      <w:r>
        <w:rPr>
          <w:rFonts w:hint="eastAsia" w:ascii="黑体" w:hAnsi="宋体" w:eastAsia="黑体"/>
          <w:bCs/>
          <w:color w:val="auto"/>
          <w:sz w:val="24"/>
          <w:szCs w:val="24"/>
        </w:rPr>
        <w:t xml:space="preserve">附件：技术标投标文件（格式</w:t>
      </w:r>
      <w:r>
        <w:rPr>
          <w:rFonts w:hint="eastAsia" w:ascii="黑体" w:hAnsi="宋体" w:eastAsia="黑体"/>
          <w:bCs/>
          <w:color w:val="auto"/>
          <w:sz w:val="24"/>
          <w:szCs w:val="24"/>
          <w:lang w:eastAsia="zh-CN"/>
        </w:rPr>
        <w:t xml:space="preserve">）</w:t>
      </w:r>
      <w:r/>
    </w:p>
    <w:p>
      <w:pPr>
        <w:rPr>
          <w:rFonts w:hint="eastAsia" w:eastAsiaTheme="minorEastAsia"/>
          <w:lang w:eastAsia="zh-CN"/>
        </w:rPr>
      </w:pPr>
      <w:r>
        <w:rPr>
          <w:rFonts w:hint="eastAsia" w:eastAsiaTheme="minorEastAsia"/>
          <w:lang w:eastAsia="zh-CN"/>
        </w:rPr>
      </w:r>
      <w:r/>
    </w:p>
    <w:sectPr>
      <w:headerReference w:type="default" r:id="rId10"/>
      <w:headerReference w:type="first" r:id="rId11"/>
      <w:footerReference w:type="default" r:id="rId15"/>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华文中宋">
    <w:panose1 w:val="02010600040101010101"/>
  </w:font>
  <w:font w:name="黑体">
    <w:panose1 w:val="02010609060101010101"/>
  </w:font>
  <w:font w:name="MS Sans Serif">
    <w:panose1 w:val="020B0503020202020204"/>
  </w:font>
  <w:font w:name="Times New Roman">
    <w:panose1 w:val="02020603050405020304"/>
  </w:font>
  <w:font w:name="宋体">
    <w:panose1 w:val="02010600030101010101"/>
  </w:font>
  <w:font w:name="inherit">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spacing w:line="176" w:lineRule="auto"/>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7" w:lineRule="auto"/>
      <w:rPr>
        <w:rFonts w:ascii="宋体" w:hAnsi="宋体" w:cs="宋体"/>
        <w:sz w:val="15"/>
        <w:szCs w:val="15"/>
      </w:rPr>
    </w:pPr>
    <w:r>
      <w:rPr>
        <w:rFonts w:ascii="宋体" w:hAnsi="宋体" w:cs="宋体"/>
        <w:sz w:val="15"/>
        <w:szCs w:val="1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rPr>
    </w:pPr>
    <w:r>
      <w:rPr>
        <w:rFonts w:hint="eastAsia"/>
      </w:rPr>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eastAsia="华文新魏"/>
        <w:sz w:val="21"/>
      </w:rPr>
      <w:pBdr>
        <w:bottom w:val="none" w:color="auto" w:sz="0" w:space="1"/>
      </w:pBdr>
    </w:pP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eastAsia="华文新魏"/>
        <w:sz w:val="21"/>
      </w:rPr>
    </w:pPr>
    <w:r>
      <w:rPr>
        <w:rFonts w:hint="eastAsia" w:eastAsia="华文新魏"/>
        <w:sz w:val="18"/>
        <w:szCs w:val="18"/>
        <w:lang w:eastAsia="zh-CN"/>
      </w:rPr>
      <w:t xml:space="preserve">JSZC-320213-BZDL-G2026-0023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南禅寺派出所业务用房异地重建工程(二期)家具采购</w:t>
    </w:r>
    <w:r>
      <w:rPr>
        <w:rFonts w:hint="eastAsia" w:eastAsia="华文新魏"/>
        <w:sz w:val="18"/>
        <w:szCs w:val="18"/>
      </w:rPr>
      <w:t xml:space="preserve">  </w:t>
    </w:r>
    <w:r>
      <w:rPr>
        <w:rFonts w:hint="eastAsia" w:eastAsia="华文新魏"/>
        <w:sz w:val="21"/>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0"/>
  </w:num>
  <w:num w:numId="2">
    <w:abstractNumId w:val="4"/>
  </w:num>
  <w:num w:numId="3">
    <w:abstractNumId w:val="5"/>
  </w:num>
  <w:num w:numId="4">
    <w:abstractNumId w:val="1"/>
  </w:num>
  <w:num w:numId="5">
    <w:abstractNumId w:val="7"/>
  </w:num>
  <w:num w:numId="6">
    <w:abstractNumId w:val="9"/>
  </w:num>
  <w:num w:numId="7">
    <w:abstractNumId w:val="0"/>
  </w:num>
  <w:num w:numId="8">
    <w:abstractNumId w:val="8"/>
  </w:num>
  <w:num w:numId="9">
    <w:abstractNumId w:val="3"/>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2"/>
    <w:next w:val="912"/>
    <w:link w:val="739"/>
    <w:uiPriority w:val="9"/>
    <w:qFormat/>
    <w:pPr>
      <w:keepLines/>
      <w:keepNext/>
      <w:spacing w:before="480" w:after="200"/>
      <w:outlineLvl w:val="0"/>
    </w:pPr>
    <w:rPr>
      <w:rFonts w:ascii="Arial" w:hAnsi="Arial" w:eastAsia="Arial" w:cs="Arial"/>
      <w:sz w:val="40"/>
      <w:szCs w:val="40"/>
    </w:rPr>
  </w:style>
  <w:style w:type="character" w:styleId="739">
    <w:name w:val="Heading 1 Char"/>
    <w:basedOn w:val="913"/>
    <w:link w:val="738"/>
    <w:uiPriority w:val="9"/>
    <w:rPr>
      <w:rFonts w:ascii="Arial" w:hAnsi="Arial" w:eastAsia="Arial" w:cs="Arial"/>
      <w:sz w:val="40"/>
      <w:szCs w:val="40"/>
    </w:rPr>
  </w:style>
  <w:style w:type="paragraph" w:styleId="740">
    <w:name w:val="Heading 2"/>
    <w:basedOn w:val="912"/>
    <w:next w:val="912"/>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basedOn w:val="913"/>
    <w:link w:val="740"/>
    <w:uiPriority w:val="9"/>
    <w:rPr>
      <w:rFonts w:ascii="Arial" w:hAnsi="Arial" w:eastAsia="Arial" w:cs="Arial"/>
      <w:sz w:val="34"/>
    </w:rPr>
  </w:style>
  <w:style w:type="paragraph" w:styleId="742">
    <w:name w:val="Heading 3"/>
    <w:basedOn w:val="912"/>
    <w:next w:val="912"/>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basedOn w:val="913"/>
    <w:link w:val="742"/>
    <w:uiPriority w:val="9"/>
    <w:rPr>
      <w:rFonts w:ascii="Arial" w:hAnsi="Arial" w:eastAsia="Arial" w:cs="Arial"/>
      <w:sz w:val="30"/>
      <w:szCs w:val="30"/>
    </w:rPr>
  </w:style>
  <w:style w:type="paragraph" w:styleId="744">
    <w:name w:val="Heading 4"/>
    <w:basedOn w:val="912"/>
    <w:next w:val="912"/>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basedOn w:val="913"/>
    <w:link w:val="744"/>
    <w:uiPriority w:val="9"/>
    <w:rPr>
      <w:rFonts w:ascii="Arial" w:hAnsi="Arial" w:eastAsia="Arial" w:cs="Arial"/>
      <w:b/>
      <w:bCs/>
      <w:sz w:val="26"/>
      <w:szCs w:val="26"/>
    </w:rPr>
  </w:style>
  <w:style w:type="paragraph" w:styleId="746">
    <w:name w:val="Heading 5"/>
    <w:basedOn w:val="912"/>
    <w:next w:val="912"/>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3"/>
    <w:link w:val="746"/>
    <w:uiPriority w:val="9"/>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3"/>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3"/>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3"/>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3"/>
    <w:link w:val="754"/>
    <w:uiPriority w:val="9"/>
    <w:rPr>
      <w:rFonts w:ascii="Arial" w:hAnsi="Arial" w:eastAsia="Arial" w:cs="Arial"/>
      <w:i/>
      <w:iCs/>
      <w:sz w:val="21"/>
      <w:szCs w:val="21"/>
    </w:rPr>
  </w:style>
  <w:style w:type="paragraph" w:styleId="756">
    <w:name w:val="No Spacing"/>
    <w:uiPriority w:val="1"/>
    <w:qFormat/>
    <w:pPr>
      <w:spacing w:before="0" w:after="0" w:line="240" w:lineRule="auto"/>
    </w:pPr>
  </w:style>
  <w:style w:type="paragraph" w:styleId="757">
    <w:name w:val="Title"/>
    <w:basedOn w:val="912"/>
    <w:next w:val="912"/>
    <w:link w:val="758"/>
    <w:uiPriority w:val="10"/>
    <w:qFormat/>
    <w:pPr>
      <w:contextualSpacing/>
      <w:spacing w:before="300" w:after="200"/>
    </w:pPr>
    <w:rPr>
      <w:sz w:val="48"/>
      <w:szCs w:val="48"/>
    </w:rPr>
  </w:style>
  <w:style w:type="character" w:styleId="758">
    <w:name w:val="Title Char"/>
    <w:basedOn w:val="913"/>
    <w:link w:val="757"/>
    <w:uiPriority w:val="10"/>
    <w:rPr>
      <w:sz w:val="48"/>
      <w:szCs w:val="48"/>
    </w:rPr>
  </w:style>
  <w:style w:type="character" w:styleId="759">
    <w:name w:val="Subtitle Char"/>
    <w:basedOn w:val="913"/>
    <w:link w:val="917"/>
    <w:uiPriority w:val="11"/>
    <w:rPr>
      <w:sz w:val="24"/>
      <w:szCs w:val="24"/>
    </w:rPr>
  </w:style>
  <w:style w:type="paragraph" w:styleId="760">
    <w:name w:val="Quote"/>
    <w:basedOn w:val="912"/>
    <w:next w:val="912"/>
    <w:link w:val="761"/>
    <w:uiPriority w:val="29"/>
    <w:qFormat/>
    <w:pPr>
      <w:ind w:left="720" w:right="720"/>
    </w:pPr>
    <w:rPr>
      <w:i/>
    </w:rPr>
  </w:style>
  <w:style w:type="character" w:styleId="761">
    <w:name w:val="Quote Char"/>
    <w:link w:val="760"/>
    <w:uiPriority w:val="29"/>
    <w:rPr>
      <w:i/>
    </w:rPr>
  </w:style>
  <w:style w:type="paragraph" w:styleId="762">
    <w:name w:val="Intense Quote"/>
    <w:basedOn w:val="912"/>
    <w:next w:val="912"/>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12"/>
    <w:link w:val="765"/>
    <w:uiPriority w:val="99"/>
    <w:unhideWhenUsed/>
    <w:pPr>
      <w:spacing w:after="0" w:line="240" w:lineRule="auto"/>
      <w:tabs>
        <w:tab w:val="center" w:pos="7143" w:leader="none"/>
        <w:tab w:val="right" w:pos="14287" w:leader="none"/>
      </w:tabs>
    </w:pPr>
  </w:style>
  <w:style w:type="character" w:styleId="765">
    <w:name w:val="Header Char"/>
    <w:basedOn w:val="913"/>
    <w:link w:val="764"/>
    <w:uiPriority w:val="99"/>
  </w:style>
  <w:style w:type="character" w:styleId="766">
    <w:name w:val="Footer Char"/>
    <w:basedOn w:val="913"/>
    <w:link w:val="920"/>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920"/>
    <w:uiPriority w:val="99"/>
  </w:style>
  <w:style w:type="table" w:styleId="769">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5">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6">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7">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8">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9">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0">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7">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0">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1">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2">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3">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4">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5">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7">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8">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9">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0">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1">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2">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1">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2">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3">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4">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5">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6">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8">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9">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0">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1">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2">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3">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5">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9">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2">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6">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3"/>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3"/>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link w:val="939"/>
    <w:uiPriority w:val="0"/>
    <w:qFormat/>
    <w:pPr>
      <w:jc w:val="both"/>
      <w:widowControl w:val="off"/>
    </w:pPr>
    <w:rPr>
      <w:rFonts w:hint="default" w:ascii="宋体" w:hAnsi="Times New Roman" w:eastAsia="宋体" w:cs="Times New Roman"/>
      <w:sz w:val="34"/>
      <w:lang w:val="en-US" w:eastAsia="zh-CN" w:bidi="ar-SA"/>
    </w:rPr>
  </w:style>
  <w:style w:type="character" w:styleId="913" w:default="1">
    <w:name w:val="Default Paragraph Font"/>
    <w:uiPriority w:val="0"/>
    <w:semiHidden/>
    <w:qFormat/>
  </w:style>
  <w:style w:type="table" w:styleId="914" w:default="1">
    <w:name w:val="Normal Table"/>
    <w:uiPriority w:val="0"/>
    <w:semiHidden/>
    <w:qFormat/>
    <w:tblPr>
      <w:tblCellMar>
        <w:left w:w="108" w:type="dxa"/>
        <w:top w:w="0" w:type="dxa"/>
        <w:right w:w="108" w:type="dxa"/>
        <w:bottom w:w="0" w:type="dxa"/>
      </w:tblCellMar>
    </w:tblPr>
  </w:style>
  <w:style w:type="paragraph" w:styleId="915">
    <w:name w:val="index 5"/>
    <w:basedOn w:val="912"/>
    <w:next w:val="912"/>
    <w:uiPriority w:val="0"/>
    <w:qFormat/>
    <w:pPr>
      <w:ind w:left="800"/>
    </w:pPr>
  </w:style>
  <w:style w:type="paragraph" w:styleId="916">
    <w:name w:val="Body Text"/>
    <w:basedOn w:val="912"/>
    <w:next w:val="917"/>
    <w:uiPriority w:val="0"/>
    <w:semiHidden/>
    <w:qFormat/>
    <w:rPr>
      <w:rFonts w:ascii="宋体" w:hAnsi="宋体" w:eastAsia="宋体" w:cs="宋体"/>
      <w:sz w:val="24"/>
      <w:szCs w:val="24"/>
      <w:lang w:val="en-US" w:eastAsia="en-US" w:bidi="ar-SA"/>
    </w:rPr>
  </w:style>
  <w:style w:type="paragraph" w:styleId="917">
    <w:name w:val="Subtitle"/>
    <w:basedOn w:val="912"/>
    <w:next w:val="912"/>
    <w:uiPriority w:val="11"/>
    <w:qFormat/>
    <w:pPr>
      <w:spacing w:before="200" w:after="200"/>
    </w:pPr>
    <w:rPr>
      <w:sz w:val="24"/>
      <w:szCs w:val="24"/>
    </w:rPr>
  </w:style>
  <w:style w:type="paragraph" w:styleId="918">
    <w:name w:val="Body Text Indent"/>
    <w:basedOn w:val="912"/>
    <w:next w:val="919"/>
    <w:uiPriority w:val="0"/>
    <w:qFormat/>
    <w:pPr>
      <w:ind w:firstLine="540"/>
      <w:spacing w:line="360" w:lineRule="auto"/>
      <w:widowControl/>
    </w:pPr>
    <w:rPr>
      <w:rFonts w:ascii="宋体" w:hAnsi="MS Sans Serif"/>
      <w:spacing w:val="12"/>
      <w:sz w:val="24"/>
    </w:rPr>
  </w:style>
  <w:style w:type="paragraph" w:styleId="919">
    <w:name w:val="envelope return"/>
    <w:basedOn w:val="912"/>
    <w:uiPriority w:val="0"/>
    <w:qFormat/>
    <w:rPr>
      <w:rFonts w:ascii="Arial" w:hAnsi="Arial"/>
    </w:rPr>
  </w:style>
  <w:style w:type="paragraph" w:styleId="920">
    <w:name w:val="Footer"/>
    <w:basedOn w:val="912"/>
    <w:uiPriority w:val="0"/>
    <w:qFormat/>
    <w:pPr>
      <w:jc w:val="left"/>
      <w:tabs>
        <w:tab w:val="center" w:pos="4153" w:leader="none"/>
        <w:tab w:val="right" w:pos="8306" w:leader="none"/>
      </w:tabs>
    </w:pPr>
    <w:rPr>
      <w:sz w:val="18"/>
    </w:rPr>
  </w:style>
  <w:style w:type="paragraph" w:styleId="921">
    <w:name w:val="Body Text First Indent 2"/>
    <w:basedOn w:val="918"/>
    <w:uiPriority w:val="0"/>
    <w:qFormat/>
    <w:pPr>
      <w:ind w:left="420" w:firstLine="420"/>
      <w:spacing w:after="120" w:line="240" w:lineRule="auto"/>
      <w:widowControl w:val="off"/>
    </w:pPr>
    <w:rPr>
      <w:rFonts w:ascii="Times New Roman" w:hAnsi="Times New Roman"/>
      <w:spacing w:val="0"/>
      <w:sz w:val="20"/>
      <w:lang w:val="en-US" w:eastAsia="zh-CN"/>
    </w:rPr>
  </w:style>
  <w:style w:type="table" w:styleId="9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customStyle="1">
    <w:name w:val="已访问的超链接1"/>
    <w:link w:val="912"/>
    <w:uiPriority w:val="0"/>
    <w:qFormat/>
    <w:rPr>
      <w:rFonts w:hint="default" w:ascii="宋体" w:hAnsi="Times New Roman" w:eastAsia="宋体" w:cs="Times New Roman"/>
      <w:sz w:val="34"/>
      <w:lang w:val="en-US" w:eastAsia="zh-CN" w:bidi="ar-SA"/>
    </w:rPr>
  </w:style>
  <w:style w:type="paragraph" w:styleId="924" w:customStyle="1">
    <w:name w:val="标题 312"/>
    <w:basedOn w:val="912"/>
    <w:next w:val="912"/>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925" w:customStyle="1">
    <w:name w:val="标题 41"/>
    <w:basedOn w:val="912"/>
    <w:next w:val="926"/>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926" w:customStyle="1">
    <w:name w:val="正文缩进1"/>
    <w:basedOn w:val="912"/>
    <w:uiPriority w:val="0"/>
    <w:qFormat/>
    <w:pPr>
      <w:ind w:firstLine="420"/>
    </w:pPr>
    <w:rPr>
      <w:rFonts w:ascii="Times New Roman" w:hAnsi="Times New Roman" w:eastAsia="宋体" w:cs="Times New Roman"/>
      <w:sz w:val="20"/>
      <w:szCs w:val="21"/>
      <w:lang w:eastAsia="en-US"/>
    </w:rPr>
  </w:style>
  <w:style w:type="paragraph" w:styleId="927" w:customStyle="1">
    <w:name w:val="无间隔1"/>
    <w:uiPriority w:val="1"/>
    <w:qFormat/>
    <w:rPr>
      <w:rFonts w:hint="default" w:ascii="Times New Roman" w:hAnsi="Times New Roman" w:eastAsia="宋体" w:cs="黑体"/>
      <w:sz w:val="22"/>
      <w:szCs w:val="22"/>
      <w:lang w:val="en-US" w:eastAsia="zh-CN" w:bidi="ar-SA"/>
    </w:rPr>
  </w:style>
  <w:style w:type="paragraph" w:styleId="928" w:customStyle="1">
    <w:name w:val="纯文本1"/>
    <w:basedOn w:val="912"/>
    <w:uiPriority w:val="0"/>
    <w:qFormat/>
    <w:rPr>
      <w:rFonts w:ascii="宋体" w:hAnsi="Courier New"/>
      <w:sz w:val="20"/>
    </w:rPr>
  </w:style>
  <w:style w:type="paragraph" w:styleId="929">
    <w:name w:val="List Paragraph"/>
    <w:basedOn w:val="912"/>
    <w:next w:val="915"/>
    <w:uiPriority w:val="0"/>
    <w:qFormat/>
    <w:pPr>
      <w:ind w:firstLine="420"/>
    </w:pPr>
    <w:rPr>
      <w:rFonts w:ascii="Calibri" w:hAnsi="Calibri"/>
      <w:szCs w:val="22"/>
    </w:rPr>
  </w:style>
  <w:style w:type="paragraph" w:styleId="930" w:customStyle="1">
    <w:name w:val="普通正文"/>
    <w:basedOn w:val="912"/>
    <w:uiPriority w:val="0"/>
    <w:qFormat/>
    <w:pPr>
      <w:ind w:firstLine="480"/>
      <w:jc w:val="left"/>
      <w:spacing w:before="120" w:after="120" w:line="360" w:lineRule="auto"/>
    </w:pPr>
    <w:rPr>
      <w:rFonts w:ascii="Arial" w:hAnsi="Arial"/>
      <w:sz w:val="24"/>
    </w:rPr>
  </w:style>
  <w:style w:type="character" w:styleId="931" w:customStyle="1">
    <w:name w:val="批注引用1"/>
    <w:link w:val="912"/>
    <w:uiPriority w:val="0"/>
    <w:semiHidden/>
    <w:qFormat/>
    <w:rPr>
      <w:rFonts w:ascii="Calibri" w:hAnsi="Calibri" w:eastAsia="宋体" w:cs="Times New Roman"/>
      <w:sz w:val="21"/>
      <w:szCs w:val="22"/>
    </w:rPr>
  </w:style>
  <w:style w:type="paragraph" w:styleId="932" w:customStyle="1">
    <w:name w:val="索引 41"/>
    <w:basedOn w:val="912"/>
    <w:next w:val="912"/>
    <w:uiPriority w:val="99"/>
    <w:qFormat/>
    <w:pPr>
      <w:ind w:left="600"/>
    </w:pPr>
    <w:rPr>
      <w:szCs w:val="24"/>
    </w:rPr>
  </w:style>
  <w:style w:type="paragraph" w:styleId="933" w:customStyle="1">
    <w:name w:val="Char"/>
    <w:basedOn w:val="912"/>
    <w:uiPriority w:val="0"/>
    <w:qFormat/>
    <w:pPr>
      <w:ind w:left="420" w:firstLine="420"/>
      <w:spacing w:line="240" w:lineRule="atLeast"/>
    </w:pPr>
    <w:rPr>
      <w:szCs w:val="21"/>
    </w:rPr>
  </w:style>
  <w:style w:type="character" w:styleId="934" w:customStyle="1">
    <w:name w:val="HTML 打字机1"/>
    <w:link w:val="912"/>
    <w:uiPriority w:val="99"/>
    <w:qFormat/>
    <w:rPr>
      <w:rFonts w:ascii="宋体" w:hAnsi="宋体" w:eastAsia="宋体" w:cs="宋体"/>
      <w:sz w:val="24"/>
      <w:szCs w:val="24"/>
    </w:rPr>
  </w:style>
  <w:style w:type="paragraph" w:styleId="935" w:customStyle="1">
    <w:name w:val="普通文字"/>
    <w:basedOn w:val="912"/>
    <w:next w:val="912"/>
    <w:uiPriority w:val="99"/>
    <w:qFormat/>
    <w:rPr>
      <w:rFonts w:ascii="宋体" w:hAnsi="Times New Roman" w:eastAsia="宋体" w:cs="Times New Roman"/>
      <w:sz w:val="24"/>
      <w:szCs w:val="20"/>
    </w:rPr>
  </w:style>
  <w:style w:type="paragraph" w:styleId="936" w:customStyle="1">
    <w:name w:val="页眉11"/>
    <w:basedOn w:val="912"/>
    <w:uiPriority w:val="0"/>
    <w:qFormat/>
    <w:pPr>
      <w:jc w:val="center"/>
      <w:tabs>
        <w:tab w:val="center" w:pos="4153" w:leader="none"/>
        <w:tab w:val="right" w:pos="8306" w:leader="none"/>
      </w:tabs>
      <w:pBdr>
        <w:bottom w:val="single" w:color="000000" w:sz="6" w:space="1"/>
      </w:pBdr>
    </w:pPr>
    <w:rPr>
      <w:rFonts w:ascii="Times New Roman"/>
      <w:sz w:val="18"/>
      <w:szCs w:val="18"/>
    </w:rPr>
  </w:style>
  <w:style w:type="paragraph" w:styleId="937" w:customStyle="1">
    <w:name w:val="页脚11"/>
    <w:basedOn w:val="912"/>
    <w:uiPriority w:val="99"/>
    <w:qFormat/>
    <w:pPr>
      <w:jc w:val="left"/>
      <w:tabs>
        <w:tab w:val="center" w:pos="4153" w:leader="none"/>
        <w:tab w:val="right" w:pos="8306" w:leader="none"/>
      </w:tabs>
    </w:pPr>
    <w:rPr>
      <w:rFonts w:ascii="Times New Roman"/>
      <w:sz w:val="18"/>
      <w:szCs w:val="18"/>
    </w:rPr>
  </w:style>
  <w:style w:type="character" w:styleId="938" w:customStyle="1">
    <w:name w:val="页码1"/>
    <w:basedOn w:val="939"/>
    <w:link w:val="912"/>
    <w:uiPriority w:val="99"/>
    <w:qFormat/>
  </w:style>
  <w:style w:type="character" w:styleId="939" w:customStyle="1">
    <w:name w:val="默认段落字体1"/>
    <w:link w:val="912"/>
    <w:uiPriority w:val="0"/>
    <w:qFormat/>
    <w:rPr>
      <w:sz w:val="24"/>
    </w:rPr>
  </w:style>
  <w:style w:type="paragraph" w:styleId="940" w:customStyle="1">
    <w:name w:val="页脚1"/>
    <w:basedOn w:val="912"/>
    <w:next w:val="941"/>
    <w:uiPriority w:val="99"/>
    <w:qFormat/>
    <w:pPr>
      <w:jc w:val="left"/>
      <w:tabs>
        <w:tab w:val="center" w:pos="4153" w:leader="none"/>
        <w:tab w:val="right" w:pos="8306" w:leader="none"/>
      </w:tabs>
    </w:pPr>
    <w:rPr>
      <w:sz w:val="18"/>
      <w:szCs w:val="18"/>
    </w:rPr>
  </w:style>
  <w:style w:type="paragraph" w:styleId="941" w:customStyle="1">
    <w:name w:val="TOC Heading1"/>
    <w:next w:val="912"/>
    <w:uiPriority w:val="0"/>
    <w:qFormat/>
    <w:rPr>
      <w:rFonts w:hint="default" w:ascii="Times New Roman" w:hAnsi="Times New Roman" w:eastAsia="宋体" w:cs="Times New Roman"/>
      <w:sz w:val="32"/>
      <w:lang w:val="en-US" w:eastAsia="zh-CN" w:bidi="ar-SA"/>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胖火</dc:creator>
  <cp:lastModifiedBy>臧允楠</cp:lastModifiedBy>
  <cp:revision>6</cp:revision>
  <dcterms:created xsi:type="dcterms:W3CDTF">2026-08-07T02:58:00Z</dcterms:created>
  <dcterms:modified xsi:type="dcterms:W3CDTF">2026-08-10T02:39:27Z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92E21B23159542F6AC6E723BD3AD7868_11</vt:lpwstr>
  </property>
  <property fmtid="{D5CDD505-2E9C-101B-9397-08002B2CF9AE}" pid="4" name="KSOTemplateDocerSaveRecord">
    <vt:lpwstr>eyJoZGlkIjoiYTc5N2UzZGUzMzU0NjRjYjBmOWRlNTQ1YzIzZjlhZDAiLCJ1c2VySWQiOiIyNDg3ODQzODIifQ==</vt:lpwstr>
  </property>
</Properties>
</file>