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eastAsia="黑体"/>
          <w:b/>
          <w:bCs/>
          <w:sz w:val="84"/>
          <w:szCs w:val="24"/>
        </w:rPr>
      </w:pPr>
      <w:r>
        <w:rPr>
          <w:rFonts w:eastAsia="黑体"/>
          <w:b/>
          <w:bCs/>
          <w:sz w:val="84"/>
          <w:szCs w:val="24"/>
        </w:rPr>
      </w:r>
      <w:r/>
    </w:p>
    <w:p>
      <w:pPr>
        <w:jc w:val="center"/>
        <w:spacing w:before="120" w:after="120" w:line="360" w:lineRule="auto"/>
        <w:rPr>
          <w:rFonts w:eastAsia="黑体"/>
          <w:b/>
          <w:bCs/>
          <w:sz w:val="84"/>
          <w:szCs w:val="24"/>
        </w:rPr>
      </w:pPr>
      <w:r>
        <w:rPr>
          <w:rFonts w:eastAsia="黑体"/>
          <w:b/>
          <w:bCs/>
          <w:sz w:val="84"/>
          <w:szCs w:val="24"/>
        </w:rPr>
        <w:t xml:space="preserve">竞争性磋商文件</w:t>
      </w:r>
      <w:r/>
    </w:p>
    <w:p>
      <w:pPr>
        <w:ind w:firstLine="643"/>
        <w:jc w:val="left"/>
        <w:spacing w:before="120" w:after="120" w:line="360" w:lineRule="auto"/>
        <w:rPr>
          <w:b/>
          <w:sz w:val="32"/>
          <w:szCs w:val="32"/>
        </w:rPr>
      </w:pPr>
      <w:r>
        <w:rPr>
          <w:b/>
          <w:bCs/>
          <w:sz w:val="32"/>
          <w:szCs w:val="24"/>
        </w:rPr>
        <w:t xml:space="preserve">项目名称：</w:t>
      </w:r>
      <w:r>
        <w:rPr>
          <w:rFonts w:hint="eastAsia"/>
          <w:b/>
          <w:sz w:val="32"/>
          <w:szCs w:val="32"/>
        </w:rPr>
        <w:t xml:space="preserve">低空警航安全</w:t>
      </w:r>
      <w:r>
        <w:rPr>
          <w:rFonts w:hint="eastAsia"/>
          <w:b/>
          <w:sz w:val="32"/>
          <w:szCs w:val="32"/>
        </w:rPr>
        <w:t xml:space="preserve">守护项目</w:t>
      </w:r>
      <w:r/>
    </w:p>
    <w:p>
      <w:pPr>
        <w:ind w:firstLine="643"/>
        <w:jc w:val="left"/>
        <w:spacing w:before="120" w:after="120" w:line="360" w:lineRule="auto"/>
        <w:rPr>
          <w:b/>
          <w:bCs/>
          <w:sz w:val="32"/>
          <w:szCs w:val="24"/>
        </w:rPr>
      </w:pPr>
      <w:r>
        <w:rPr>
          <w:b/>
          <w:bCs/>
          <w:sz w:val="32"/>
          <w:szCs w:val="24"/>
        </w:rPr>
        <w:t xml:space="preserve">项目编号：</w:t>
      </w:r>
      <w:r>
        <w:rPr>
          <w:b/>
          <w:bCs/>
          <w:sz w:val="32"/>
          <w:szCs w:val="24"/>
        </w:rPr>
        <w:t xml:space="preserve">JSZC-320481-JZCG-C2026-0010</w:t>
      </w:r>
      <w:r/>
    </w:p>
    <w:p>
      <w:pPr>
        <w:ind w:firstLine="1470"/>
        <w:jc w:val="left"/>
        <w:spacing w:before="120" w:after="120" w:line="360" w:lineRule="auto"/>
        <w:rPr>
          <w:b/>
          <w:sz w:val="30"/>
          <w:szCs w:val="30"/>
        </w:rPr>
      </w:pPr>
      <w:r>
        <w:rPr>
          <w:szCs w:val="21"/>
        </w:rPr>
        <w:t xml:space="preserve">    </w:t>
      </w:r>
      <w:r>
        <w:rPr>
          <w:b/>
          <w:sz w:val="30"/>
          <w:szCs w:val="30"/>
        </w:rPr>
        <w:t xml:space="preserve">     </w:t>
      </w:r>
      <w:r/>
    </w:p>
    <w:p>
      <w:pPr>
        <w:jc w:val="left"/>
        <w:spacing w:line="360" w:lineRule="auto"/>
        <w:rPr>
          <w:sz w:val="24"/>
          <w:szCs w:val="24"/>
        </w:rPr>
      </w:pPr>
      <w:r>
        <w:rPr>
          <w:sz w:val="24"/>
          <w:szCs w:val="24"/>
        </w:rPr>
      </w:r>
      <w:r/>
    </w:p>
    <w:p>
      <w:pPr>
        <w:jc w:val="left"/>
        <w:spacing w:line="360" w:lineRule="auto"/>
        <w:rPr>
          <w:sz w:val="24"/>
          <w:szCs w:val="24"/>
        </w:rPr>
      </w:pPr>
      <w:r>
        <w:rPr>
          <w:sz w:val="24"/>
          <w:szCs w:val="24"/>
        </w:rPr>
      </w:r>
      <w:r/>
    </w:p>
    <w:p>
      <w:pPr>
        <w:jc w:val="left"/>
        <w:spacing w:line="360" w:lineRule="auto"/>
        <w:rPr>
          <w:sz w:val="24"/>
          <w:szCs w:val="24"/>
        </w:rPr>
      </w:pPr>
      <w:r>
        <w:rPr>
          <w:sz w:val="24"/>
          <w:szCs w:val="24"/>
        </w:rPr>
      </w:r>
      <w:r/>
    </w:p>
    <w:p>
      <w:pPr>
        <w:jc w:val="left"/>
        <w:spacing w:line="360" w:lineRule="auto"/>
        <w:rPr>
          <w:sz w:val="24"/>
          <w:szCs w:val="24"/>
        </w:rPr>
      </w:pPr>
      <w:r>
        <w:rPr>
          <w:sz w:val="24"/>
          <w:szCs w:val="24"/>
        </w:rPr>
      </w:r>
      <w:r/>
    </w:p>
    <w:p>
      <w:pPr>
        <w:jc w:val="left"/>
        <w:spacing w:line="360" w:lineRule="auto"/>
        <w:rPr>
          <w:sz w:val="24"/>
          <w:szCs w:val="24"/>
        </w:rPr>
      </w:pPr>
      <w:r>
        <w:rPr>
          <w:sz w:val="24"/>
          <w:szCs w:val="24"/>
        </w:rPr>
      </w:r>
      <w:r/>
    </w:p>
    <w:p>
      <w:pPr>
        <w:jc w:val="left"/>
        <w:spacing w:line="360" w:lineRule="auto"/>
        <w:rPr>
          <w:sz w:val="24"/>
          <w:szCs w:val="24"/>
        </w:rPr>
      </w:pPr>
      <w:r>
        <w:rPr>
          <w:sz w:val="24"/>
          <w:szCs w:val="24"/>
        </w:rPr>
      </w:r>
      <w:r/>
    </w:p>
    <w:p>
      <w:pPr>
        <w:jc w:val="left"/>
        <w:spacing w:line="360" w:lineRule="auto"/>
        <w:rPr>
          <w:sz w:val="24"/>
          <w:szCs w:val="24"/>
        </w:rPr>
      </w:pPr>
      <w:r>
        <w:rPr>
          <w:sz w:val="24"/>
          <w:szCs w:val="24"/>
        </w:rPr>
      </w:r>
      <w:r/>
    </w:p>
    <w:p>
      <w:pPr>
        <w:jc w:val="center"/>
        <w:spacing w:before="120" w:after="120" w:line="360" w:lineRule="auto"/>
        <w:rPr>
          <w:b/>
          <w:bCs/>
          <w:sz w:val="32"/>
          <w:szCs w:val="24"/>
        </w:rPr>
      </w:pPr>
      <w:r>
        <w:rPr>
          <w:b/>
          <w:bCs/>
          <w:sz w:val="32"/>
          <w:szCs w:val="24"/>
        </w:rPr>
        <w:t xml:space="preserve">溧阳市政府采购中心</w:t>
      </w:r>
      <w:r/>
    </w:p>
    <w:p>
      <w:pPr>
        <w:jc w:val="center"/>
        <w:spacing w:before="120" w:after="120" w:line="360" w:lineRule="auto"/>
        <w:rPr>
          <w:b/>
          <w:bCs/>
          <w:sz w:val="32"/>
          <w:szCs w:val="24"/>
        </w:rPr>
      </w:pPr>
      <w:r>
        <w:rPr>
          <w:rFonts w:hint="eastAsia"/>
          <w:b/>
          <w:bCs/>
          <w:sz w:val="32"/>
          <w:szCs w:val="24"/>
        </w:rPr>
        <w:t xml:space="preserve">202</w:t>
      </w:r>
      <w:r>
        <w:rPr>
          <w:rFonts w:hint="eastAsia"/>
          <w:b/>
          <w:bCs/>
          <w:sz w:val="32"/>
          <w:szCs w:val="24"/>
        </w:rPr>
        <w:t xml:space="preserve">6</w:t>
      </w:r>
      <w:r>
        <w:rPr>
          <w:rFonts w:hint="eastAsia"/>
          <w:b/>
          <w:bCs/>
          <w:sz w:val="32"/>
          <w:szCs w:val="24"/>
        </w:rPr>
        <w:t xml:space="preserve"> 年</w:t>
      </w:r>
      <w:r>
        <w:rPr>
          <w:rFonts w:hint="eastAsia"/>
          <w:b/>
          <w:bCs/>
          <w:sz w:val="32"/>
          <w:szCs w:val="24"/>
        </w:rPr>
        <w:t xml:space="preserve">07</w:t>
      </w:r>
      <w:r>
        <w:rPr>
          <w:rFonts w:hint="eastAsia"/>
          <w:b/>
          <w:bCs/>
          <w:sz w:val="32"/>
          <w:szCs w:val="24"/>
        </w:rPr>
        <w:t xml:space="preserve">月</w:t>
      </w:r>
      <w:r/>
    </w:p>
    <w:p>
      <w:pPr>
        <w:jc w:val="left"/>
        <w:spacing w:before="120" w:after="120" w:line="360" w:lineRule="auto"/>
        <w:rPr>
          <w:sz w:val="24"/>
          <w:szCs w:val="24"/>
          <w:u w:val="single"/>
        </w:rPr>
      </w:pPr>
      <w:r>
        <w:rPr>
          <w:sz w:val="24"/>
          <w:szCs w:val="24"/>
        </w:rPr>
        <w:t xml:space="preserve">                        </w:t>
      </w:r>
      <w:r/>
    </w:p>
    <w:p>
      <w:pPr>
        <w:jc w:val="center"/>
        <w:spacing w:before="120" w:after="120" w:line="360" w:lineRule="auto"/>
        <w:rPr>
          <w:sz w:val="24"/>
          <w:szCs w:val="24"/>
        </w:rPr>
      </w:pPr>
      <w:r>
        <w:rPr>
          <w:sz w:val="24"/>
          <w:szCs w:val="24"/>
        </w:rPr>
      </w:r>
      <w:r/>
    </w:p>
    <w:p>
      <w:pPr>
        <w:jc w:val="center"/>
        <w:spacing w:line="480" w:lineRule="auto"/>
        <w:rPr>
          <w:szCs w:val="21"/>
        </w:rPr>
      </w:pPr>
      <w:r>
        <w:rPr>
          <w:szCs w:val="21"/>
        </w:rPr>
      </w:r>
      <w:r/>
    </w:p>
    <w:p>
      <w:pPr>
        <w:jc w:val="center"/>
        <w:spacing w:line="480" w:lineRule="auto"/>
        <w:rPr>
          <w:szCs w:val="21"/>
        </w:rPr>
      </w:pPr>
      <w:r>
        <w:rPr>
          <w:szCs w:val="21"/>
        </w:rPr>
      </w:r>
      <w:r/>
    </w:p>
    <w:p>
      <w:pPr>
        <w:jc w:val="center"/>
        <w:spacing w:line="480" w:lineRule="auto"/>
        <w:rPr>
          <w:szCs w:val="21"/>
        </w:rPr>
      </w:pPr>
      <w:r>
        <w:rPr>
          <w:szCs w:val="21"/>
        </w:rPr>
      </w:r>
      <w:r/>
    </w:p>
    <w:p>
      <w:pPr>
        <w:jc w:val="center"/>
        <w:spacing w:line="480" w:lineRule="auto"/>
        <w:rPr>
          <w:szCs w:val="21"/>
        </w:rPr>
      </w:pPr>
      <w:r>
        <w:rPr>
          <w:szCs w:val="21"/>
        </w:rPr>
      </w:r>
      <w:r/>
    </w:p>
    <w:p>
      <w:pPr>
        <w:jc w:val="center"/>
        <w:spacing w:line="480" w:lineRule="auto"/>
        <w:rPr>
          <w:szCs w:val="21"/>
        </w:rPr>
      </w:pPr>
      <w:r>
        <w:rPr>
          <w:szCs w:val="21"/>
        </w:rPr>
      </w:r>
      <w:r/>
    </w:p>
    <w:p>
      <w:pPr>
        <w:spacing w:line="480" w:lineRule="auto"/>
        <w:rPr>
          <w:rFonts w:eastAsia="黑体"/>
          <w:b/>
          <w:sz w:val="44"/>
          <w:szCs w:val="21"/>
        </w:rPr>
      </w:pPr>
      <w:r/>
      <w:bookmarkStart w:id="0" w:name="_Toc120614210"/>
      <w:r/>
      <w:bookmarkStart w:id="1" w:name="_Toc479757206"/>
      <w:r/>
      <w:bookmarkStart w:id="2" w:name="_Toc513029200"/>
      <w:r/>
      <w:bookmarkStart w:id="3" w:name="_Toc16938516"/>
      <w:r/>
      <w:bookmarkStart w:id="4" w:name="_Toc523127445"/>
      <w:r/>
      <w:bookmarkStart w:id="5" w:name="_Toc20823272"/>
      <w:r/>
      <w:r/>
    </w:p>
    <w:sdt>
      <w:sdtPr>
        <w15:appearance w15:val="boundingBox"/>
        <w15:color w:val="dbdbdb"/>
        <w:id w:val="147476106"/>
        <w:docPartObj>
          <w:docPartGallery w:val="Table of Contents"/>
          <w:docPartUnique w:val="true"/>
        </w:docPartObj>
        <w:rPr>
          <w:rFonts w:hint="eastAsia" w:ascii="黑体" w:hAnsi="黑体" w:eastAsia="黑体" w:cs="黑体"/>
          <w:sz w:val="48"/>
          <w:szCs w:val="48"/>
        </w:rPr>
      </w:sdtPr>
      <w:sdtContent>
        <w:p>
          <w:pPr>
            <w:jc w:val="center"/>
            <w:rPr>
              <w:rFonts w:ascii="黑体" w:hAnsi="黑体" w:eastAsia="黑体" w:cs="黑体"/>
              <w:sz w:val="48"/>
              <w:szCs w:val="48"/>
            </w:rPr>
          </w:pPr>
          <w:r>
            <w:rPr>
              <w:rFonts w:hint="eastAsia" w:ascii="黑体" w:hAnsi="黑体" w:eastAsia="黑体" w:cs="黑体"/>
              <w:sz w:val="48"/>
              <w:szCs w:val="48"/>
            </w:rPr>
            <w:t xml:space="preserve">总</w:t>
          </w:r>
          <w:r>
            <w:rPr>
              <w:rFonts w:hint="eastAsia" w:ascii="黑体" w:hAnsi="黑体" w:eastAsia="黑体" w:cs="黑体"/>
              <w:sz w:val="48"/>
              <w:szCs w:val="48"/>
            </w:rPr>
            <w:t xml:space="preserve"> </w:t>
          </w:r>
          <w:r>
            <w:rPr>
              <w:rFonts w:hint="eastAsia" w:ascii="黑体" w:hAnsi="黑体" w:eastAsia="黑体" w:cs="黑体"/>
              <w:sz w:val="48"/>
              <w:szCs w:val="48"/>
            </w:rPr>
            <w:t xml:space="preserve">目</w:t>
          </w:r>
          <w:r>
            <w:rPr>
              <w:rFonts w:hint="eastAsia" w:ascii="黑体" w:hAnsi="黑体" w:eastAsia="黑体" w:cs="黑体"/>
              <w:sz w:val="48"/>
              <w:szCs w:val="48"/>
            </w:rPr>
            <w:t xml:space="preserve"> </w:t>
          </w:r>
          <w:r>
            <w:rPr>
              <w:rFonts w:hint="eastAsia" w:ascii="黑体" w:hAnsi="黑体" w:eastAsia="黑体" w:cs="黑体"/>
              <w:sz w:val="48"/>
              <w:szCs w:val="48"/>
            </w:rPr>
            <w:t xml:space="preserve">录</w:t>
          </w:r>
          <w:r/>
        </w:p>
        <w:p>
          <w:pPr>
            <w:pStyle w:val="787"/>
            <w:tabs>
              <w:tab w:val="right" w:pos="8307" w:leader="dot"/>
              <w:tab w:val="clear" w:pos="8720" w:leader="none"/>
            </w:tabs>
          </w:pPr>
          <w:r>
            <w:rPr>
              <w:rFonts w:eastAsia="黑体"/>
              <w:b/>
              <w:sz w:val="44"/>
              <w:szCs w:val="21"/>
            </w:rPr>
            <w:fldChar w:fldCharType="begin"/>
          </w:r>
          <w:r>
            <w:rPr>
              <w:rFonts w:eastAsia="黑体"/>
              <w:b/>
              <w:sz w:val="44"/>
              <w:szCs w:val="21"/>
            </w:rPr>
            <w:instrText xml:space="preserve">TOC \o "1-1" \h \u </w:instrText>
          </w:r>
          <w:r>
            <w:rPr>
              <w:rFonts w:eastAsia="黑体"/>
              <w:b/>
              <w:sz w:val="44"/>
              <w:szCs w:val="21"/>
            </w:rPr>
            <w:fldChar w:fldCharType="separate"/>
          </w:r>
          <w:r/>
        </w:p>
        <w:p>
          <w:pPr>
            <w:pStyle w:val="787"/>
            <w:spacing w:line="360" w:lineRule="auto"/>
            <w:tabs>
              <w:tab w:val="right" w:pos="8307" w:leader="dot"/>
              <w:tab w:val="clear" w:pos="8720" w:leader="none"/>
            </w:tabs>
            <w:rPr>
              <w:rFonts w:ascii="黑体" w:hAnsi="黑体" w:eastAsia="黑体" w:cs="黑体"/>
              <w:sz w:val="36"/>
              <w:szCs w:val="36"/>
            </w:rPr>
          </w:pPr>
          <w:r/>
          <w:hyperlink w:tooltip="#_Toc32244" w:anchor="_Toc32244" w:history="1">
            <w:r>
              <w:rPr>
                <w:rFonts w:hint="eastAsia" w:ascii="黑体" w:hAnsi="黑体" w:eastAsia="黑体" w:cs="黑体"/>
                <w:sz w:val="36"/>
                <w:szCs w:val="36"/>
              </w:rPr>
              <w:t xml:space="preserve">第一章</w:t>
            </w:r>
            <w:r>
              <w:rPr>
                <w:rFonts w:hint="eastAsia" w:ascii="黑体" w:hAnsi="黑体" w:eastAsia="黑体" w:cs="黑体"/>
                <w:sz w:val="36"/>
                <w:szCs w:val="36"/>
              </w:rPr>
              <w:t xml:space="preserve">  </w:t>
            </w:r>
            <w:r>
              <w:rPr>
                <w:rFonts w:hint="eastAsia" w:ascii="黑体" w:hAnsi="黑体" w:eastAsia="黑体" w:cs="黑体"/>
                <w:sz w:val="36"/>
                <w:szCs w:val="36"/>
              </w:rPr>
              <w:t xml:space="preserve">磋商邀请</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_Toc32244 \h </w:instrText>
            </w:r>
            <w:r>
              <w:rPr>
                <w:rFonts w:hint="eastAsia" w:ascii="黑体" w:hAnsi="黑体" w:eastAsia="黑体" w:cs="黑体"/>
                <w:sz w:val="36"/>
                <w:szCs w:val="36"/>
              </w:rPr>
            </w:r>
            <w:r>
              <w:rPr>
                <w:rFonts w:hint="eastAsia" w:ascii="黑体" w:hAnsi="黑体" w:eastAsia="黑体" w:cs="黑体"/>
                <w:sz w:val="36"/>
                <w:szCs w:val="36"/>
              </w:rPr>
              <w:fldChar w:fldCharType="separate"/>
            </w:r>
            <w:r>
              <w:rPr>
                <w:rFonts w:hint="eastAsia" w:ascii="黑体" w:hAnsi="黑体" w:eastAsia="黑体" w:cs="黑体"/>
                <w:sz w:val="36"/>
                <w:szCs w:val="36"/>
              </w:rPr>
              <w:t xml:space="preserve">3</w:t>
            </w:r>
            <w:r>
              <w:rPr>
                <w:rFonts w:hint="eastAsia" w:ascii="黑体" w:hAnsi="黑体" w:eastAsia="黑体" w:cs="黑体"/>
                <w:sz w:val="36"/>
                <w:szCs w:val="36"/>
              </w:rPr>
              <w:fldChar w:fldCharType="end"/>
            </w:r>
          </w:hyperlink>
          <w:r/>
          <w:r/>
        </w:p>
        <w:p>
          <w:pPr>
            <w:pStyle w:val="787"/>
            <w:spacing w:line="360" w:lineRule="auto"/>
            <w:tabs>
              <w:tab w:val="right" w:pos="8307" w:leader="dot"/>
              <w:tab w:val="clear" w:pos="8720" w:leader="none"/>
            </w:tabs>
            <w:rPr>
              <w:rFonts w:ascii="黑体" w:hAnsi="黑体" w:eastAsia="黑体" w:cs="黑体"/>
              <w:sz w:val="36"/>
              <w:szCs w:val="36"/>
            </w:rPr>
          </w:pPr>
          <w:r/>
          <w:hyperlink w:tooltip="#_Toc26516" w:anchor="_Toc26516" w:history="1">
            <w:r>
              <w:rPr>
                <w:rFonts w:hint="eastAsia" w:ascii="黑体" w:hAnsi="黑体" w:eastAsia="黑体" w:cs="黑体"/>
                <w:sz w:val="36"/>
                <w:szCs w:val="36"/>
              </w:rPr>
              <w:t xml:space="preserve">第二章</w:t>
            </w:r>
            <w:r>
              <w:rPr>
                <w:rFonts w:hint="eastAsia" w:ascii="黑体" w:hAnsi="黑体" w:eastAsia="黑体" w:cs="黑体"/>
                <w:sz w:val="36"/>
                <w:szCs w:val="36"/>
              </w:rPr>
              <w:t xml:space="preserve">  </w:t>
            </w:r>
            <w:r>
              <w:rPr>
                <w:rFonts w:hint="eastAsia" w:ascii="黑体" w:hAnsi="黑体" w:eastAsia="黑体" w:cs="黑体"/>
                <w:sz w:val="36"/>
                <w:szCs w:val="36"/>
              </w:rPr>
              <w:t xml:space="preserve">供应商须知</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_Toc26516 \h </w:instrText>
            </w:r>
            <w:r>
              <w:rPr>
                <w:rFonts w:hint="eastAsia" w:ascii="黑体" w:hAnsi="黑体" w:eastAsia="黑体" w:cs="黑体"/>
                <w:sz w:val="36"/>
                <w:szCs w:val="36"/>
              </w:rPr>
            </w:r>
            <w:r>
              <w:rPr>
                <w:rFonts w:hint="eastAsia" w:ascii="黑体" w:hAnsi="黑体" w:eastAsia="黑体" w:cs="黑体"/>
                <w:sz w:val="36"/>
                <w:szCs w:val="36"/>
              </w:rPr>
              <w:fldChar w:fldCharType="separate"/>
            </w:r>
            <w:r>
              <w:rPr>
                <w:rFonts w:hint="eastAsia" w:ascii="黑体" w:hAnsi="黑体" w:eastAsia="黑体" w:cs="黑体"/>
                <w:sz w:val="36"/>
                <w:szCs w:val="36"/>
              </w:rPr>
              <w:t xml:space="preserve">8</w:t>
            </w:r>
            <w:r>
              <w:rPr>
                <w:rFonts w:hint="eastAsia" w:ascii="黑体" w:hAnsi="黑体" w:eastAsia="黑体" w:cs="黑体"/>
                <w:sz w:val="36"/>
                <w:szCs w:val="36"/>
              </w:rPr>
              <w:fldChar w:fldCharType="end"/>
            </w:r>
          </w:hyperlink>
          <w:r/>
          <w:r/>
        </w:p>
        <w:p>
          <w:pPr>
            <w:pStyle w:val="787"/>
            <w:spacing w:line="360" w:lineRule="auto"/>
            <w:tabs>
              <w:tab w:val="right" w:pos="8307" w:leader="dot"/>
              <w:tab w:val="clear" w:pos="8720" w:leader="none"/>
            </w:tabs>
            <w:rPr>
              <w:rFonts w:ascii="黑体" w:hAnsi="黑体" w:eastAsia="黑体" w:cs="黑体"/>
              <w:sz w:val="36"/>
              <w:szCs w:val="36"/>
            </w:rPr>
          </w:pPr>
          <w:r/>
          <w:hyperlink w:tooltip="#_Toc24317" w:anchor="_Toc24317" w:history="1">
            <w:r>
              <w:rPr>
                <w:rFonts w:hint="eastAsia" w:ascii="黑体" w:hAnsi="黑体" w:eastAsia="黑体" w:cs="黑体"/>
                <w:sz w:val="36"/>
                <w:szCs w:val="36"/>
              </w:rPr>
              <w:t xml:space="preserve">第三章</w:t>
            </w:r>
            <w:r>
              <w:rPr>
                <w:rFonts w:hint="eastAsia" w:ascii="黑体" w:hAnsi="黑体" w:eastAsia="黑体" w:cs="黑体"/>
                <w:sz w:val="36"/>
                <w:szCs w:val="36"/>
              </w:rPr>
              <w:t xml:space="preserve">  </w:t>
            </w:r>
            <w:r>
              <w:rPr>
                <w:rFonts w:hint="eastAsia" w:ascii="黑体" w:hAnsi="黑体" w:eastAsia="黑体" w:cs="黑体"/>
                <w:sz w:val="36"/>
                <w:szCs w:val="36"/>
              </w:rPr>
              <w:t xml:space="preserve">合</w:t>
            </w:r>
            <w:r>
              <w:rPr>
                <w:rFonts w:hint="eastAsia" w:ascii="黑体" w:hAnsi="黑体" w:eastAsia="黑体" w:cs="黑体"/>
                <w:sz w:val="36"/>
                <w:szCs w:val="36"/>
              </w:rPr>
              <w:t xml:space="preserve">同文本</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_Toc24317 \h </w:instrText>
            </w:r>
            <w:r>
              <w:rPr>
                <w:rFonts w:hint="eastAsia" w:ascii="黑体" w:hAnsi="黑体" w:eastAsia="黑体" w:cs="黑体"/>
                <w:sz w:val="36"/>
                <w:szCs w:val="36"/>
              </w:rPr>
            </w:r>
            <w:r>
              <w:rPr>
                <w:rFonts w:hint="eastAsia" w:ascii="黑体" w:hAnsi="黑体" w:eastAsia="黑体" w:cs="黑体"/>
                <w:sz w:val="36"/>
                <w:szCs w:val="36"/>
              </w:rPr>
              <w:fldChar w:fldCharType="separate"/>
            </w:r>
            <w:r>
              <w:rPr>
                <w:rFonts w:hint="eastAsia" w:ascii="黑体" w:hAnsi="黑体" w:eastAsia="黑体" w:cs="黑体"/>
                <w:sz w:val="36"/>
                <w:szCs w:val="36"/>
              </w:rPr>
              <w:t xml:space="preserve">25</w:t>
            </w:r>
            <w:r>
              <w:rPr>
                <w:rFonts w:hint="eastAsia" w:ascii="黑体" w:hAnsi="黑体" w:eastAsia="黑体" w:cs="黑体"/>
                <w:sz w:val="36"/>
                <w:szCs w:val="36"/>
              </w:rPr>
              <w:fldChar w:fldCharType="end"/>
            </w:r>
          </w:hyperlink>
          <w:r/>
          <w:r/>
        </w:p>
        <w:p>
          <w:pPr>
            <w:pStyle w:val="787"/>
            <w:spacing w:line="360" w:lineRule="auto"/>
            <w:tabs>
              <w:tab w:val="right" w:pos="8307" w:leader="dot"/>
              <w:tab w:val="clear" w:pos="8720" w:leader="none"/>
            </w:tabs>
            <w:rPr>
              <w:rFonts w:ascii="黑体" w:hAnsi="黑体" w:eastAsia="黑体" w:cs="黑体"/>
              <w:sz w:val="36"/>
              <w:szCs w:val="36"/>
            </w:rPr>
          </w:pPr>
          <w:r/>
          <w:hyperlink w:tooltip="#_Toc23059" w:anchor="_Toc23059" w:history="1">
            <w:r>
              <w:rPr>
                <w:rFonts w:hint="eastAsia" w:ascii="黑体" w:hAnsi="黑体" w:eastAsia="黑体" w:cs="黑体"/>
                <w:sz w:val="36"/>
                <w:szCs w:val="36"/>
              </w:rPr>
              <w:t xml:space="preserve">第四章</w:t>
            </w:r>
            <w:r>
              <w:rPr>
                <w:rFonts w:hint="eastAsia" w:ascii="黑体" w:hAnsi="黑体" w:eastAsia="黑体" w:cs="黑体"/>
                <w:sz w:val="36"/>
                <w:szCs w:val="36"/>
              </w:rPr>
              <w:t xml:space="preserve">  </w:t>
            </w:r>
            <w:r>
              <w:rPr>
                <w:rFonts w:hint="eastAsia" w:ascii="黑体" w:hAnsi="黑体" w:eastAsia="黑体" w:cs="黑体"/>
                <w:sz w:val="36"/>
                <w:szCs w:val="36"/>
              </w:rPr>
              <w:t xml:space="preserve">采购需求</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_Toc23059 \h </w:instrText>
            </w:r>
            <w:r>
              <w:rPr>
                <w:rFonts w:hint="eastAsia" w:ascii="黑体" w:hAnsi="黑体" w:eastAsia="黑体" w:cs="黑体"/>
                <w:sz w:val="36"/>
                <w:szCs w:val="36"/>
              </w:rPr>
            </w:r>
            <w:r>
              <w:rPr>
                <w:rFonts w:hint="eastAsia" w:ascii="黑体" w:hAnsi="黑体" w:eastAsia="黑体" w:cs="黑体"/>
                <w:sz w:val="36"/>
                <w:szCs w:val="36"/>
              </w:rPr>
              <w:fldChar w:fldCharType="separate"/>
            </w:r>
            <w:r>
              <w:rPr>
                <w:rFonts w:hint="eastAsia" w:ascii="黑体" w:hAnsi="黑体" w:eastAsia="黑体" w:cs="黑体"/>
                <w:sz w:val="36"/>
                <w:szCs w:val="36"/>
              </w:rPr>
              <w:t xml:space="preserve">29</w:t>
            </w:r>
            <w:r>
              <w:rPr>
                <w:rFonts w:hint="eastAsia" w:ascii="黑体" w:hAnsi="黑体" w:eastAsia="黑体" w:cs="黑体"/>
                <w:sz w:val="36"/>
                <w:szCs w:val="36"/>
              </w:rPr>
              <w:fldChar w:fldCharType="end"/>
            </w:r>
          </w:hyperlink>
          <w:r/>
          <w:r/>
        </w:p>
        <w:p>
          <w:pPr>
            <w:pStyle w:val="787"/>
            <w:spacing w:line="360" w:lineRule="auto"/>
            <w:tabs>
              <w:tab w:val="right" w:pos="8307" w:leader="dot"/>
              <w:tab w:val="clear" w:pos="8720" w:leader="none"/>
            </w:tabs>
            <w:rPr>
              <w:rFonts w:ascii="黑体" w:hAnsi="黑体" w:eastAsia="黑体" w:cs="黑体"/>
              <w:sz w:val="36"/>
              <w:szCs w:val="36"/>
            </w:rPr>
          </w:pPr>
          <w:r/>
          <w:hyperlink w:tooltip="#_Toc2634" w:anchor="_Toc2634" w:history="1">
            <w:r>
              <w:rPr>
                <w:rFonts w:hint="eastAsia" w:ascii="黑体" w:hAnsi="黑体" w:eastAsia="黑体" w:cs="黑体"/>
                <w:sz w:val="36"/>
                <w:szCs w:val="36"/>
              </w:rPr>
              <w:t xml:space="preserve">第五章</w:t>
            </w:r>
            <w:r>
              <w:rPr>
                <w:rFonts w:hint="eastAsia" w:ascii="黑体" w:hAnsi="黑体" w:eastAsia="黑体" w:cs="黑体"/>
                <w:sz w:val="36"/>
                <w:szCs w:val="36"/>
              </w:rPr>
              <w:t xml:space="preserve">  </w:t>
            </w:r>
            <w:r>
              <w:rPr>
                <w:rFonts w:hint="eastAsia" w:ascii="黑体" w:hAnsi="黑体" w:eastAsia="黑体" w:cs="黑体"/>
                <w:sz w:val="36"/>
                <w:szCs w:val="36"/>
              </w:rPr>
              <w:t xml:space="preserve">评审方法与评审标准</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_Toc2634 \h </w:instrText>
            </w:r>
            <w:r>
              <w:rPr>
                <w:rFonts w:hint="eastAsia" w:ascii="黑体" w:hAnsi="黑体" w:eastAsia="黑体" w:cs="黑体"/>
                <w:sz w:val="36"/>
                <w:szCs w:val="36"/>
              </w:rPr>
            </w:r>
            <w:r>
              <w:rPr>
                <w:rFonts w:hint="eastAsia" w:ascii="黑体" w:hAnsi="黑体" w:eastAsia="黑体" w:cs="黑体"/>
                <w:sz w:val="36"/>
                <w:szCs w:val="36"/>
              </w:rPr>
              <w:fldChar w:fldCharType="separate"/>
            </w:r>
            <w:r>
              <w:rPr>
                <w:rFonts w:hint="eastAsia" w:ascii="黑体" w:hAnsi="黑体" w:eastAsia="黑体" w:cs="黑体"/>
                <w:sz w:val="36"/>
                <w:szCs w:val="36"/>
              </w:rPr>
              <w:t xml:space="preserve">35</w:t>
            </w:r>
            <w:r>
              <w:rPr>
                <w:rFonts w:hint="eastAsia" w:ascii="黑体" w:hAnsi="黑体" w:eastAsia="黑体" w:cs="黑体"/>
                <w:sz w:val="36"/>
                <w:szCs w:val="36"/>
              </w:rPr>
              <w:fldChar w:fldCharType="end"/>
            </w:r>
          </w:hyperlink>
          <w:r/>
          <w:r/>
        </w:p>
        <w:p>
          <w:pPr>
            <w:pStyle w:val="787"/>
            <w:spacing w:line="360" w:lineRule="auto"/>
            <w:tabs>
              <w:tab w:val="right" w:pos="8307" w:leader="dot"/>
              <w:tab w:val="clear" w:pos="8720" w:leader="none"/>
            </w:tabs>
          </w:pPr>
          <w:r/>
          <w:hyperlink w:tooltip="#_Toc1261" w:anchor="_Toc1261" w:history="1">
            <w:r>
              <w:rPr>
                <w:rFonts w:hint="eastAsia" w:ascii="黑体" w:hAnsi="黑体" w:eastAsia="黑体" w:cs="黑体"/>
                <w:sz w:val="36"/>
                <w:szCs w:val="36"/>
              </w:rPr>
              <w:t xml:space="preserve">第六章</w:t>
            </w:r>
            <w:r>
              <w:rPr>
                <w:rFonts w:hint="eastAsia" w:ascii="黑体" w:hAnsi="黑体" w:eastAsia="黑体" w:cs="黑体"/>
                <w:sz w:val="36"/>
                <w:szCs w:val="36"/>
              </w:rPr>
              <w:t xml:space="preserve">  </w:t>
            </w:r>
            <w:r>
              <w:rPr>
                <w:rFonts w:hint="eastAsia" w:ascii="黑体" w:hAnsi="黑体" w:eastAsia="黑体" w:cs="黑体"/>
                <w:sz w:val="36"/>
                <w:szCs w:val="36"/>
              </w:rPr>
              <w:t xml:space="preserve">响应文件格式</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_Toc1261 \h </w:instrText>
            </w:r>
            <w:r>
              <w:rPr>
                <w:rFonts w:hint="eastAsia" w:ascii="黑体" w:hAnsi="黑体" w:eastAsia="黑体" w:cs="黑体"/>
                <w:sz w:val="36"/>
                <w:szCs w:val="36"/>
              </w:rPr>
            </w:r>
            <w:r>
              <w:rPr>
                <w:rFonts w:hint="eastAsia" w:ascii="黑体" w:hAnsi="黑体" w:eastAsia="黑体" w:cs="黑体"/>
                <w:sz w:val="36"/>
                <w:szCs w:val="36"/>
              </w:rPr>
              <w:fldChar w:fldCharType="separate"/>
            </w:r>
            <w:r>
              <w:rPr>
                <w:rFonts w:hint="eastAsia" w:ascii="黑体" w:hAnsi="黑体" w:eastAsia="黑体" w:cs="黑体"/>
                <w:sz w:val="36"/>
                <w:szCs w:val="36"/>
              </w:rPr>
              <w:t xml:space="preserve">40</w:t>
            </w:r>
            <w:r>
              <w:rPr>
                <w:rFonts w:hint="eastAsia" w:ascii="黑体" w:hAnsi="黑体" w:eastAsia="黑体" w:cs="黑体"/>
                <w:sz w:val="36"/>
                <w:szCs w:val="36"/>
              </w:rPr>
              <w:fldChar w:fldCharType="end"/>
            </w:r>
          </w:hyperlink>
          <w:r/>
          <w:r/>
        </w:p>
        <w:p>
          <w:pPr>
            <w:rPr>
              <w:szCs w:val="21"/>
            </w:rPr>
          </w:pPr>
          <w:r>
            <w:rPr>
              <w:rFonts w:eastAsia="黑体"/>
              <w:szCs w:val="21"/>
            </w:rPr>
            <w:fldChar w:fldCharType="end"/>
          </w:r>
          <w:r/>
        </w:p>
      </w:sdtContent>
    </w:sdt>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rFonts w:eastAsia="黑体"/>
          <w:sz w:val="44"/>
          <w:szCs w:val="44"/>
        </w:rPr>
      </w:pPr>
      <w:r/>
      <w:bookmarkStart w:id="6" w:name="_Toc32244"/>
      <w:r>
        <w:rPr>
          <w:rFonts w:eastAsia="黑体"/>
          <w:sz w:val="44"/>
          <w:szCs w:val="44"/>
        </w:rPr>
        <w:br w:type="page" w:clear="all"/>
      </w:r>
      <w:r/>
    </w:p>
    <w:p>
      <w:pPr>
        <w:jc w:val="center"/>
        <w:keepNext/>
        <w:spacing w:before="240" w:after="240"/>
        <w:rPr>
          <w:rFonts w:eastAsia="黑体"/>
          <w:bCs/>
          <w:sz w:val="44"/>
          <w:szCs w:val="44"/>
        </w:rPr>
        <w:outlineLvl w:val="0"/>
      </w:pPr>
      <w:r>
        <w:rPr>
          <w:rFonts w:eastAsia="黑体"/>
          <w:sz w:val="44"/>
          <w:szCs w:val="44"/>
        </w:rPr>
        <w:t xml:space="preserve">第一章</w:t>
      </w:r>
      <w:r>
        <w:rPr>
          <w:rFonts w:eastAsia="黑体"/>
          <w:sz w:val="44"/>
          <w:szCs w:val="44"/>
        </w:rPr>
        <w:t xml:space="preserve">  </w:t>
      </w:r>
      <w:bookmarkEnd w:id="0"/>
      <w:r>
        <w:rPr>
          <w:rFonts w:eastAsia="黑体"/>
          <w:sz w:val="44"/>
          <w:szCs w:val="44"/>
        </w:rPr>
        <w:t xml:space="preserve">磋商邀请</w:t>
      </w:r>
      <w:bookmarkEnd w:id="6"/>
      <w:r/>
      <w:r/>
    </w:p>
    <w:p>
      <w:pPr>
        <w:ind w:firstLine="480"/>
        <w:spacing w:line="360" w:lineRule="auto"/>
        <w:rPr>
          <w:sz w:val="24"/>
          <w:szCs w:val="24"/>
        </w:rPr>
      </w:pPr>
      <w:r>
        <w:rPr>
          <w:sz w:val="24"/>
          <w:szCs w:val="24"/>
        </w:rPr>
        <w:t xml:space="preserve">受</w:t>
      </w:r>
      <w:r>
        <w:rPr>
          <w:rFonts w:hint="eastAsia"/>
          <w:sz w:val="24"/>
          <w:szCs w:val="24"/>
        </w:rPr>
        <w:t xml:space="preserve">溧阳市公安局</w:t>
      </w:r>
      <w:r>
        <w:rPr>
          <w:sz w:val="24"/>
          <w:szCs w:val="24"/>
        </w:rPr>
        <w:t xml:space="preserve">的委托，溧阳市政府采购中心就</w:t>
      </w:r>
      <w:r>
        <w:rPr>
          <w:rFonts w:hint="eastAsia"/>
          <w:sz w:val="24"/>
          <w:szCs w:val="24"/>
          <w:u w:val="single"/>
        </w:rPr>
        <w:t xml:space="preserve">低空警航安全</w:t>
      </w:r>
      <w:r>
        <w:rPr>
          <w:rFonts w:hint="eastAsia"/>
          <w:sz w:val="24"/>
          <w:szCs w:val="24"/>
          <w:u w:val="single"/>
        </w:rPr>
        <w:t xml:space="preserve">守护项目</w:t>
      </w:r>
      <w:r>
        <w:rPr>
          <w:sz w:val="24"/>
          <w:szCs w:val="24"/>
        </w:rPr>
        <w:t xml:space="preserve">(</w:t>
      </w:r>
      <w:r>
        <w:rPr>
          <w:rFonts w:hint="eastAsia"/>
          <w:sz w:val="24"/>
          <w:szCs w:val="24"/>
        </w:rPr>
        <w:t xml:space="preserve">项目编号：</w:t>
      </w:r>
      <w:r>
        <w:rPr>
          <w:sz w:val="24"/>
          <w:szCs w:val="24"/>
        </w:rPr>
        <w:t xml:space="preserve">JSZC-320481-JZCG-C2026-0010</w:t>
      </w:r>
      <w:r>
        <w:rPr>
          <w:sz w:val="24"/>
          <w:szCs w:val="24"/>
        </w:rPr>
        <w:t xml:space="preserve">)</w:t>
      </w:r>
      <w:r>
        <w:rPr>
          <w:sz w:val="24"/>
          <w:szCs w:val="24"/>
        </w:rPr>
        <w:t xml:space="preserve">进行竞争性磋商采购，欢迎符合条件的供应商参加磋商。</w:t>
      </w:r>
      <w:r/>
    </w:p>
    <w:p>
      <w:pPr>
        <w:spacing w:line="360" w:lineRule="auto"/>
        <w:rPr>
          <w:sz w:val="24"/>
          <w:szCs w:val="24"/>
        </w:rPr>
        <w:pBdr>
          <w:top w:val="single" w:color="auto" w:sz="4" w:space="1"/>
          <w:left w:val="single" w:color="auto" w:sz="4" w:space="4"/>
          <w:bottom w:val="single" w:color="auto" w:sz="4" w:space="1"/>
          <w:right w:val="single" w:color="auto" w:sz="4" w:space="4"/>
        </w:pBdr>
      </w:pPr>
      <w:r>
        <w:rPr>
          <w:sz w:val="24"/>
          <w:szCs w:val="24"/>
        </w:rPr>
        <w:t xml:space="preserve">项目概况</w:t>
      </w:r>
      <w:r/>
    </w:p>
    <w:p>
      <w:pPr>
        <w:ind w:firstLine="480"/>
        <w:spacing w:line="360" w:lineRule="auto"/>
        <w:rPr>
          <w:sz w:val="24"/>
          <w:szCs w:val="24"/>
        </w:rPr>
        <w:pBdr>
          <w:top w:val="single" w:color="auto" w:sz="4" w:space="1"/>
          <w:left w:val="single" w:color="auto" w:sz="4" w:space="4"/>
          <w:bottom w:val="single" w:color="auto" w:sz="4" w:space="1"/>
          <w:right w:val="single" w:color="auto" w:sz="4" w:space="4"/>
        </w:pBdr>
      </w:pPr>
      <w:r>
        <w:rPr>
          <w:sz w:val="24"/>
          <w:szCs w:val="24"/>
          <w:u w:val="single"/>
        </w:rPr>
        <w:t xml:space="preserve"> </w:t>
      </w:r>
      <w:r>
        <w:rPr>
          <w:rFonts w:hint="eastAsia"/>
          <w:sz w:val="24"/>
          <w:szCs w:val="24"/>
          <w:u w:val="single"/>
        </w:rPr>
        <w:t xml:space="preserve">低空警航安全</w:t>
      </w:r>
      <w:r>
        <w:rPr>
          <w:rFonts w:hint="eastAsia"/>
          <w:sz w:val="24"/>
          <w:szCs w:val="24"/>
          <w:u w:val="single"/>
        </w:rPr>
        <w:t xml:space="preserve">守护项目</w:t>
      </w:r>
      <w:r>
        <w:rPr>
          <w:sz w:val="24"/>
          <w:szCs w:val="24"/>
        </w:rPr>
        <w:t xml:space="preserve">竞争性磋商项目的潜在供应商可在</w:t>
      </w:r>
      <w:r>
        <w:rPr>
          <w:sz w:val="24"/>
          <w:szCs w:val="24"/>
          <w:u w:val="single"/>
        </w:rPr>
        <w:t xml:space="preserve">“</w:t>
      </w:r>
      <w:r>
        <w:rPr>
          <w:sz w:val="24"/>
          <w:szCs w:val="24"/>
          <w:u w:val="single"/>
        </w:rPr>
        <w:t xml:space="preserve">江苏政府采购网、常州市政府采购网</w:t>
      </w:r>
      <w:r>
        <w:rPr>
          <w:sz w:val="24"/>
          <w:szCs w:val="24"/>
          <w:u w:val="single"/>
        </w:rPr>
        <w:t xml:space="preserve">”</w:t>
      </w:r>
      <w:r>
        <w:rPr>
          <w:sz w:val="24"/>
          <w:szCs w:val="24"/>
          <w:u w:val="single"/>
        </w:rPr>
        <w:t xml:space="preserve">自行免费下载</w:t>
      </w:r>
      <w:r>
        <w:rPr>
          <w:sz w:val="24"/>
          <w:szCs w:val="24"/>
        </w:rPr>
        <w:t xml:space="preserve">磋商文件，并于</w:t>
      </w:r>
      <w:r>
        <w:rPr>
          <w:sz w:val="24"/>
          <w:szCs w:val="24"/>
          <w:u w:val="single"/>
        </w:rPr>
        <w:t xml:space="preserve">202</w:t>
      </w:r>
      <w:r>
        <w:rPr>
          <w:rFonts w:hint="eastAsia"/>
          <w:sz w:val="24"/>
          <w:szCs w:val="24"/>
          <w:u w:val="single"/>
        </w:rPr>
        <w:t xml:space="preserve">6</w:t>
      </w:r>
      <w:r>
        <w:rPr>
          <w:sz w:val="24"/>
          <w:szCs w:val="24"/>
          <w:u w:val="single"/>
        </w:rPr>
        <w:t xml:space="preserve">年</w:t>
      </w:r>
      <w:r>
        <w:rPr>
          <w:sz w:val="24"/>
          <w:szCs w:val="24"/>
          <w:u w:val="single"/>
        </w:rPr>
        <w:t xml:space="preserve">7</w:t>
      </w:r>
      <w:r>
        <w:rPr>
          <w:sz w:val="24"/>
          <w:szCs w:val="24"/>
          <w:u w:val="single"/>
        </w:rPr>
        <w:t xml:space="preserve">月</w:t>
      </w:r>
      <w:r>
        <w:rPr>
          <w:sz w:val="24"/>
          <w:szCs w:val="24"/>
          <w:u w:val="single"/>
        </w:rPr>
        <w:t xml:space="preserve">31</w:t>
      </w:r>
      <w:r>
        <w:rPr>
          <w:sz w:val="24"/>
          <w:szCs w:val="24"/>
          <w:u w:val="single"/>
        </w:rPr>
        <w:t xml:space="preserve">日</w:t>
      </w:r>
      <w:r>
        <w:rPr>
          <w:bCs/>
          <w:sz w:val="24"/>
          <w:szCs w:val="24"/>
          <w:u w:val="single"/>
        </w:rPr>
        <w:t xml:space="preserve">09</w:t>
      </w:r>
      <w:r>
        <w:rPr>
          <w:bCs/>
          <w:sz w:val="24"/>
          <w:szCs w:val="24"/>
          <w:u w:val="single"/>
        </w:rPr>
        <w:t xml:space="preserve">点</w:t>
      </w:r>
      <w:r>
        <w:rPr>
          <w:bCs/>
          <w:sz w:val="24"/>
          <w:szCs w:val="24"/>
          <w:u w:val="single"/>
        </w:rPr>
        <w:t xml:space="preserve">00</w:t>
      </w:r>
      <w:r>
        <w:rPr>
          <w:bCs/>
          <w:sz w:val="24"/>
          <w:szCs w:val="24"/>
          <w:u w:val="single"/>
        </w:rPr>
        <w:t xml:space="preserve">分</w:t>
      </w:r>
      <w:r>
        <w:rPr>
          <w:bCs/>
          <w:sz w:val="24"/>
          <w:szCs w:val="24"/>
          <w:u w:val="single"/>
        </w:rPr>
        <w:t xml:space="preserve">（</w:t>
      </w:r>
      <w:r>
        <w:rPr>
          <w:bCs/>
          <w:sz w:val="24"/>
          <w:szCs w:val="24"/>
        </w:rPr>
        <w:t xml:space="preserve">北京时间）前递交响应文件</w:t>
      </w:r>
      <w:r>
        <w:rPr>
          <w:sz w:val="24"/>
          <w:szCs w:val="24"/>
        </w:rPr>
        <w:t xml:space="preserve">。</w:t>
      </w:r>
      <w:r/>
    </w:p>
    <w:p>
      <w:pPr>
        <w:keepLines/>
        <w:keepNext/>
        <w:spacing w:before="120" w:after="120" w:line="360" w:lineRule="auto"/>
        <w:rPr>
          <w:b/>
          <w:bCs/>
          <w:sz w:val="32"/>
          <w:szCs w:val="32"/>
        </w:rPr>
        <w:outlineLvl w:val="2"/>
      </w:pPr>
      <w:r/>
      <w:bookmarkStart w:id="7" w:name="_Toc38985263"/>
      <w:r/>
      <w:bookmarkStart w:id="8" w:name="_Toc28359002"/>
      <w:r/>
      <w:bookmarkStart w:id="9" w:name="_Toc35393621"/>
      <w:r/>
      <w:bookmarkStart w:id="10" w:name="_Toc28359079"/>
      <w:r/>
      <w:bookmarkStart w:id="11" w:name="_Toc35393790"/>
      <w:r/>
      <w:bookmarkStart w:id="12" w:name="_Hlk24379207"/>
      <w:r>
        <w:rPr>
          <w:b/>
          <w:bCs/>
          <w:sz w:val="32"/>
          <w:szCs w:val="32"/>
        </w:rPr>
        <w:t xml:space="preserve">一、项目基本情况</w:t>
      </w:r>
      <w:bookmarkEnd w:id="7"/>
      <w:r/>
      <w:bookmarkEnd w:id="8"/>
      <w:r/>
      <w:bookmarkEnd w:id="9"/>
      <w:r/>
      <w:bookmarkEnd w:id="10"/>
      <w:r/>
      <w:bookmarkEnd w:id="11"/>
      <w:r/>
      <w:r/>
    </w:p>
    <w:p>
      <w:pPr>
        <w:ind w:firstLine="480"/>
        <w:spacing w:line="360" w:lineRule="auto"/>
        <w:rPr>
          <w:sz w:val="24"/>
          <w:szCs w:val="24"/>
        </w:rPr>
      </w:pPr>
      <w:r>
        <w:rPr>
          <w:sz w:val="24"/>
          <w:szCs w:val="24"/>
        </w:rPr>
        <w:t xml:space="preserve">1.</w:t>
      </w:r>
      <w:r>
        <w:rPr>
          <w:sz w:val="24"/>
          <w:szCs w:val="24"/>
        </w:rPr>
        <w:t xml:space="preserve">项目编号：</w:t>
      </w:r>
      <w:r>
        <w:rPr>
          <w:sz w:val="24"/>
          <w:szCs w:val="24"/>
        </w:rPr>
        <w:t xml:space="preserve">JSZC-320481-JZCG-C2026-0010</w:t>
      </w:r>
      <w:r/>
    </w:p>
    <w:p>
      <w:pPr>
        <w:ind w:firstLine="480"/>
        <w:spacing w:line="360" w:lineRule="auto"/>
        <w:rPr>
          <w:sz w:val="24"/>
          <w:szCs w:val="24"/>
          <w:u w:val="single"/>
        </w:rPr>
      </w:pPr>
      <w:r>
        <w:rPr>
          <w:sz w:val="24"/>
          <w:szCs w:val="24"/>
        </w:rPr>
        <w:t xml:space="preserve">2.</w:t>
      </w:r>
      <w:r>
        <w:rPr>
          <w:sz w:val="24"/>
          <w:szCs w:val="24"/>
        </w:rPr>
        <w:t xml:space="preserve">项目名称：</w:t>
      </w:r>
      <w:bookmarkEnd w:id="12"/>
      <w:r>
        <w:rPr>
          <w:rFonts w:hint="eastAsia"/>
          <w:sz w:val="24"/>
          <w:szCs w:val="24"/>
          <w:u w:val="single"/>
        </w:rPr>
        <w:t xml:space="preserve">低空警航安全</w:t>
      </w:r>
      <w:r>
        <w:rPr>
          <w:rFonts w:hint="eastAsia"/>
          <w:sz w:val="24"/>
          <w:szCs w:val="24"/>
          <w:u w:val="single"/>
        </w:rPr>
        <w:t xml:space="preserve">守护项目</w:t>
      </w:r>
      <w:r/>
    </w:p>
    <w:p>
      <w:pPr>
        <w:ind w:firstLine="480"/>
        <w:spacing w:line="360" w:lineRule="auto"/>
        <w:rPr>
          <w:sz w:val="24"/>
          <w:szCs w:val="24"/>
        </w:rPr>
      </w:pPr>
      <w:r>
        <w:rPr>
          <w:sz w:val="24"/>
          <w:szCs w:val="24"/>
        </w:rPr>
        <w:t xml:space="preserve">3.</w:t>
      </w:r>
      <w:r>
        <w:rPr>
          <w:sz w:val="24"/>
          <w:szCs w:val="24"/>
        </w:rPr>
        <w:t xml:space="preserve">预算金额：</w:t>
      </w:r>
      <w:r>
        <w:rPr>
          <w:rFonts w:hint="eastAsia"/>
          <w:sz w:val="24"/>
          <w:szCs w:val="24"/>
        </w:rPr>
        <w:t xml:space="preserve">280</w:t>
      </w:r>
      <w:r>
        <w:rPr>
          <w:sz w:val="24"/>
          <w:szCs w:val="24"/>
        </w:rPr>
        <w:t xml:space="preserve">万元</w:t>
      </w:r>
      <w:r>
        <w:rPr>
          <w:sz w:val="24"/>
          <w:szCs w:val="24"/>
        </w:rPr>
        <w:t xml:space="preserve"> </w:t>
      </w:r>
      <w:r/>
    </w:p>
    <w:p>
      <w:pPr>
        <w:ind w:firstLine="480"/>
        <w:spacing w:line="360" w:lineRule="auto"/>
        <w:rPr>
          <w:sz w:val="24"/>
          <w:szCs w:val="24"/>
        </w:rPr>
      </w:pPr>
      <w:r>
        <w:rPr>
          <w:rFonts w:hint="eastAsia"/>
          <w:sz w:val="24"/>
          <w:szCs w:val="24"/>
        </w:rPr>
        <w:t xml:space="preserve">4</w:t>
      </w:r>
      <w:r>
        <w:rPr>
          <w:sz w:val="24"/>
          <w:szCs w:val="24"/>
        </w:rPr>
        <w:t xml:space="preserve">.</w:t>
      </w:r>
      <w:r>
        <w:rPr>
          <w:sz w:val="24"/>
          <w:szCs w:val="24"/>
        </w:rPr>
        <w:t xml:space="preserve">最高限价：</w:t>
      </w:r>
      <w:r>
        <w:rPr>
          <w:rFonts w:hint="eastAsia"/>
          <w:sz w:val="24"/>
          <w:szCs w:val="24"/>
        </w:rPr>
        <w:t xml:space="preserve">273</w:t>
      </w:r>
      <w:r>
        <w:rPr>
          <w:sz w:val="24"/>
          <w:szCs w:val="24"/>
        </w:rPr>
        <w:t xml:space="preserve">万元</w:t>
      </w:r>
      <w:r/>
    </w:p>
    <w:p>
      <w:pPr>
        <w:ind w:firstLine="480"/>
        <w:spacing w:line="360" w:lineRule="auto"/>
        <w:rPr>
          <w:sz w:val="24"/>
          <w:szCs w:val="24"/>
        </w:rPr>
      </w:pPr>
      <w:r>
        <w:rPr>
          <w:sz w:val="24"/>
          <w:szCs w:val="24"/>
        </w:rPr>
        <w:t xml:space="preserve">5.</w:t>
      </w:r>
      <w:r>
        <w:rPr>
          <w:sz w:val="24"/>
          <w:szCs w:val="24"/>
        </w:rPr>
        <w:t xml:space="preserve">采购需求（简介）：</w:t>
      </w:r>
      <w:r/>
    </w:p>
    <w:tbl>
      <w:tblPr>
        <w:tblW w:w="526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26"/>
        <w:gridCol w:w="1202"/>
        <w:gridCol w:w="1783"/>
        <w:gridCol w:w="938"/>
        <w:gridCol w:w="4183"/>
      </w:tblGrid>
      <w:tr>
        <w:trPr>
          <w:trHeight w:val="693"/>
        </w:trPr>
        <w:tc>
          <w:tcPr>
            <w:tcW w:w="358" w:type="pct"/>
            <w:vAlign w:val="center"/>
            <w:textDirection w:val="lrTb"/>
            <w:noWrap w:val="false"/>
          </w:tcPr>
          <w:p>
            <w:pPr>
              <w:jc w:val="center"/>
              <w:rPr>
                <w:bCs/>
                <w:sz w:val="24"/>
                <w:szCs w:val="24"/>
              </w:rPr>
            </w:pPr>
            <w:r>
              <w:rPr>
                <w:bCs/>
                <w:sz w:val="24"/>
                <w:szCs w:val="24"/>
              </w:rPr>
              <w:t xml:space="preserve">包号</w:t>
            </w:r>
            <w:r/>
          </w:p>
        </w:tc>
        <w:tc>
          <w:tcPr>
            <w:tcW w:w="688" w:type="pct"/>
            <w:vAlign w:val="center"/>
            <w:textDirection w:val="lrTb"/>
            <w:noWrap w:val="false"/>
          </w:tcPr>
          <w:p>
            <w:pPr>
              <w:jc w:val="center"/>
              <w:rPr>
                <w:bCs/>
                <w:sz w:val="24"/>
                <w:szCs w:val="24"/>
              </w:rPr>
            </w:pPr>
            <w:r>
              <w:rPr>
                <w:bCs/>
                <w:sz w:val="24"/>
                <w:szCs w:val="24"/>
              </w:rPr>
              <w:t xml:space="preserve">标的名称</w:t>
            </w:r>
            <w:r/>
          </w:p>
        </w:tc>
        <w:tc>
          <w:tcPr>
            <w:tcW w:w="1021" w:type="pct"/>
            <w:vAlign w:val="center"/>
            <w:textDirection w:val="lrTb"/>
            <w:noWrap w:val="false"/>
          </w:tcPr>
          <w:p>
            <w:pPr>
              <w:rPr>
                <w:bCs/>
                <w:sz w:val="24"/>
                <w:szCs w:val="24"/>
              </w:rPr>
            </w:pPr>
            <w:r>
              <w:rPr>
                <w:bCs/>
                <w:sz w:val="24"/>
                <w:szCs w:val="24"/>
              </w:rPr>
              <w:t xml:space="preserve">采购</w:t>
            </w:r>
            <w:r>
              <w:rPr>
                <w:bCs/>
                <w:sz w:val="24"/>
                <w:szCs w:val="24"/>
              </w:rPr>
              <w:t xml:space="preserve">包预算</w:t>
            </w:r>
            <w:r>
              <w:rPr>
                <w:bCs/>
                <w:sz w:val="24"/>
                <w:szCs w:val="24"/>
              </w:rPr>
              <w:t xml:space="preserve">金额（万元）</w:t>
            </w:r>
            <w:r/>
          </w:p>
        </w:tc>
        <w:tc>
          <w:tcPr>
            <w:tcW w:w="537" w:type="pct"/>
            <w:vAlign w:val="center"/>
            <w:textDirection w:val="lrTb"/>
            <w:noWrap w:val="false"/>
          </w:tcPr>
          <w:p>
            <w:pPr>
              <w:jc w:val="center"/>
              <w:rPr>
                <w:bCs/>
                <w:sz w:val="24"/>
                <w:szCs w:val="24"/>
              </w:rPr>
            </w:pPr>
            <w:r>
              <w:rPr>
                <w:bCs/>
                <w:sz w:val="24"/>
                <w:szCs w:val="24"/>
              </w:rPr>
              <w:t xml:space="preserve">数量</w:t>
            </w:r>
            <w:r/>
          </w:p>
        </w:tc>
        <w:tc>
          <w:tcPr>
            <w:tcW w:w="2394" w:type="pct"/>
            <w:vAlign w:val="center"/>
            <w:textDirection w:val="lrTb"/>
            <w:noWrap w:val="false"/>
          </w:tcPr>
          <w:p>
            <w:pPr>
              <w:jc w:val="center"/>
              <w:rPr>
                <w:sz w:val="24"/>
                <w:szCs w:val="24"/>
              </w:rPr>
            </w:pPr>
            <w:r>
              <w:rPr>
                <w:sz w:val="24"/>
                <w:szCs w:val="24"/>
              </w:rPr>
              <w:t xml:space="preserve">简要技术需求或服务要求</w:t>
            </w:r>
            <w:r/>
          </w:p>
        </w:tc>
      </w:tr>
      <w:tr>
        <w:trPr>
          <w:trHeight w:val="1928"/>
        </w:trPr>
        <w:tc>
          <w:tcPr>
            <w:tcW w:w="358" w:type="pct"/>
            <w:vAlign w:val="center"/>
            <w:textDirection w:val="lrTb"/>
            <w:noWrap w:val="false"/>
          </w:tcPr>
          <w:p>
            <w:pPr>
              <w:jc w:val="center"/>
              <w:rPr>
                <w:bCs/>
                <w:szCs w:val="21"/>
              </w:rPr>
            </w:pPr>
            <w:r>
              <w:rPr>
                <w:bCs/>
                <w:szCs w:val="21"/>
              </w:rPr>
              <w:t xml:space="preserve">01</w:t>
            </w:r>
            <w:r/>
          </w:p>
        </w:tc>
        <w:tc>
          <w:tcPr>
            <w:tcW w:w="688" w:type="pct"/>
            <w:vAlign w:val="center"/>
            <w:textDirection w:val="lrTb"/>
            <w:noWrap w:val="false"/>
          </w:tcPr>
          <w:p>
            <w:pPr>
              <w:rPr>
                <w:bCs/>
                <w:szCs w:val="21"/>
              </w:rPr>
            </w:pPr>
            <w:r>
              <w:rPr>
                <w:rFonts w:hint="eastAsia"/>
                <w:spacing w:val="2"/>
                <w:sz w:val="24"/>
              </w:rPr>
              <w:t xml:space="preserve">低空警航安全</w:t>
            </w:r>
            <w:r>
              <w:rPr>
                <w:rFonts w:hint="eastAsia"/>
                <w:spacing w:val="2"/>
                <w:sz w:val="24"/>
              </w:rPr>
              <w:t xml:space="preserve">守护项目</w:t>
            </w:r>
            <w:r/>
          </w:p>
        </w:tc>
        <w:tc>
          <w:tcPr>
            <w:tcW w:w="1021" w:type="pct"/>
            <w:vAlign w:val="center"/>
            <w:textDirection w:val="lrTb"/>
            <w:noWrap w:val="false"/>
          </w:tcPr>
          <w:p>
            <w:pPr>
              <w:jc w:val="center"/>
              <w:rPr>
                <w:sz w:val="24"/>
              </w:rPr>
            </w:pPr>
            <w:r>
              <w:rPr>
                <w:rFonts w:hint="eastAsia"/>
                <w:sz w:val="24"/>
              </w:rPr>
              <w:t xml:space="preserve">280</w:t>
            </w:r>
            <w:r/>
          </w:p>
        </w:tc>
        <w:tc>
          <w:tcPr>
            <w:tcW w:w="537" w:type="pct"/>
            <w:vAlign w:val="center"/>
            <w:textDirection w:val="lrTb"/>
            <w:noWrap w:val="false"/>
          </w:tcPr>
          <w:p>
            <w:pPr>
              <w:jc w:val="center"/>
              <w:rPr>
                <w:sz w:val="24"/>
              </w:rPr>
            </w:pPr>
            <w:r>
              <w:rPr>
                <w:sz w:val="24"/>
              </w:rPr>
              <w:t xml:space="preserve">1</w:t>
            </w:r>
            <w:r/>
          </w:p>
        </w:tc>
        <w:tc>
          <w:tcPr>
            <w:tcW w:w="2394" w:type="pct"/>
            <w:vAlign w:val="center"/>
            <w:textDirection w:val="lrTb"/>
            <w:noWrap w:val="false"/>
          </w:tcPr>
          <w:p>
            <w:pPr>
              <w:rPr>
                <w:szCs w:val="21"/>
              </w:rPr>
            </w:pPr>
            <w:r>
              <w:rPr>
                <w:rFonts w:hint="eastAsia"/>
                <w:spacing w:val="2"/>
                <w:sz w:val="24"/>
              </w:rPr>
              <w:t xml:space="preserve">为有力保障人民群众头顶上的安全，严防无人机黑飞、滋扰行为发生，拟采购具备无人机应用侦测、反制、网络监管等功能的应用平台软件一套、配套系统及相关服务</w:t>
            </w:r>
            <w:r>
              <w:rPr>
                <w:rFonts w:hint="eastAsia"/>
                <w:spacing w:val="2"/>
                <w:sz w:val="24"/>
              </w:rPr>
              <w:t xml:space="preserve">。</w:t>
            </w:r>
            <w:r/>
          </w:p>
        </w:tc>
      </w:tr>
    </w:tbl>
    <w:p>
      <w:pPr>
        <w:ind w:firstLine="480"/>
        <w:spacing w:line="360" w:lineRule="auto"/>
        <w:rPr>
          <w:sz w:val="24"/>
          <w:szCs w:val="24"/>
          <w:u w:val="single"/>
        </w:rPr>
      </w:pPr>
      <w:r>
        <w:rPr>
          <w:sz w:val="24"/>
          <w:szCs w:val="24"/>
        </w:rPr>
        <w:t xml:space="preserve">（详细内容见本磋商文件第四章）</w:t>
      </w:r>
      <w:r/>
    </w:p>
    <w:p>
      <w:pPr>
        <w:ind w:firstLine="480"/>
        <w:spacing w:line="360" w:lineRule="auto"/>
        <w:rPr>
          <w:sz w:val="24"/>
          <w:szCs w:val="24"/>
          <w:u w:val="single"/>
        </w:rPr>
      </w:pPr>
      <w:r>
        <w:rPr>
          <w:sz w:val="24"/>
          <w:szCs w:val="24"/>
        </w:rPr>
        <w:t xml:space="preserve">6.</w:t>
      </w:r>
      <w:r>
        <w:rPr>
          <w:sz w:val="24"/>
          <w:szCs w:val="24"/>
        </w:rPr>
        <w:t xml:space="preserve">合同履行期限：</w:t>
      </w:r>
      <w:r>
        <w:rPr>
          <w:rFonts w:hint="eastAsia" w:ascii="宋体" w:hAnsi="宋体" w:cs="宋体"/>
          <w:sz w:val="24"/>
          <w:szCs w:val="21"/>
        </w:rPr>
        <w:t xml:space="preserve">2026</w:t>
      </w:r>
      <w:r>
        <w:rPr>
          <w:rFonts w:hint="eastAsia" w:ascii="宋体" w:hAnsi="宋体" w:cs="宋体"/>
          <w:sz w:val="24"/>
          <w:szCs w:val="21"/>
        </w:rPr>
        <w:t xml:space="preserve">年</w:t>
      </w:r>
      <w:r>
        <w:rPr>
          <w:rFonts w:hint="eastAsia" w:ascii="宋体" w:hAnsi="宋体" w:cs="宋体"/>
          <w:sz w:val="24"/>
          <w:szCs w:val="21"/>
        </w:rPr>
        <w:t xml:space="preserve">10</w:t>
      </w:r>
      <w:r>
        <w:rPr>
          <w:rFonts w:hint="eastAsia" w:ascii="宋体" w:hAnsi="宋体" w:cs="宋体"/>
          <w:sz w:val="24"/>
          <w:szCs w:val="21"/>
        </w:rPr>
        <w:t xml:space="preserve">月</w:t>
      </w:r>
      <w:r>
        <w:rPr>
          <w:rFonts w:hint="eastAsia" w:ascii="宋体" w:hAnsi="宋体" w:cs="宋体"/>
          <w:sz w:val="24"/>
          <w:szCs w:val="21"/>
        </w:rPr>
        <w:t xml:space="preserve">31</w:t>
      </w:r>
      <w:r>
        <w:rPr>
          <w:rFonts w:hint="eastAsia" w:ascii="宋体" w:hAnsi="宋体" w:cs="宋体"/>
          <w:sz w:val="24"/>
          <w:szCs w:val="21"/>
        </w:rPr>
        <w:t xml:space="preserve">日前完成。</w:t>
      </w:r>
      <w:r/>
    </w:p>
    <w:p>
      <w:pPr>
        <w:keepLines/>
        <w:keepNext/>
        <w:spacing w:before="120" w:after="120" w:line="360" w:lineRule="auto"/>
        <w:rPr>
          <w:b/>
          <w:bCs/>
          <w:sz w:val="32"/>
          <w:szCs w:val="32"/>
        </w:rPr>
        <w:outlineLvl w:val="2"/>
      </w:pPr>
      <w:r/>
      <w:bookmarkStart w:id="13" w:name="_Toc35393791"/>
      <w:r/>
      <w:bookmarkStart w:id="14" w:name="_Toc28359080"/>
      <w:r/>
      <w:bookmarkStart w:id="15" w:name="_Toc35393622"/>
      <w:r/>
      <w:bookmarkStart w:id="16" w:name="_Toc38985264"/>
      <w:r/>
      <w:bookmarkStart w:id="17" w:name="_Toc28359003"/>
      <w:r>
        <w:rPr>
          <w:b/>
          <w:bCs/>
          <w:sz w:val="32"/>
          <w:szCs w:val="32"/>
        </w:rPr>
        <w:t xml:space="preserve">二、申请人的资格要求</w:t>
      </w:r>
      <w:bookmarkEnd w:id="13"/>
      <w:r/>
      <w:bookmarkEnd w:id="14"/>
      <w:r/>
      <w:bookmarkEnd w:id="15"/>
      <w:r/>
      <w:bookmarkEnd w:id="16"/>
      <w:r/>
      <w:bookmarkEnd w:id="17"/>
      <w:r/>
      <w:r/>
    </w:p>
    <w:p>
      <w:pPr>
        <w:spacing w:line="360" w:lineRule="auto"/>
        <w:rPr>
          <w:sz w:val="24"/>
          <w:szCs w:val="24"/>
        </w:rPr>
      </w:pPr>
      <w:r/>
      <w:bookmarkStart w:id="18" w:name="_Toc35393792"/>
      <w:r/>
      <w:bookmarkStart w:id="19" w:name="_Toc28359081"/>
      <w:r/>
      <w:bookmarkStart w:id="20" w:name="_Toc28359004"/>
      <w:r/>
      <w:bookmarkStart w:id="21" w:name="_Toc38985265"/>
      <w:r/>
      <w:bookmarkStart w:id="22" w:name="_Toc35393623"/>
      <w:r>
        <w:rPr>
          <w:sz w:val="24"/>
          <w:szCs w:val="24"/>
        </w:rPr>
        <w:t xml:space="preserve">（一）通用资格要求</w:t>
      </w:r>
      <w:r/>
    </w:p>
    <w:p>
      <w:pPr>
        <w:ind w:firstLine="480"/>
        <w:spacing w:line="360" w:lineRule="auto"/>
        <w:rPr>
          <w:sz w:val="24"/>
          <w:szCs w:val="24"/>
        </w:rPr>
      </w:pPr>
      <w:r>
        <w:rPr>
          <w:sz w:val="24"/>
          <w:szCs w:val="24"/>
        </w:rPr>
        <w:t xml:space="preserve">1.</w:t>
      </w:r>
      <w:r>
        <w:rPr>
          <w:sz w:val="24"/>
          <w:szCs w:val="24"/>
        </w:rPr>
        <w:t xml:space="preserve">满足《中华人民共和国政府采购法》第二十二条规定，并提供供应商资格声明函。</w:t>
      </w:r>
      <w:r/>
    </w:p>
    <w:p>
      <w:pPr>
        <w:ind w:firstLine="480"/>
        <w:spacing w:line="360" w:lineRule="auto"/>
        <w:rPr>
          <w:rFonts w:eastAsia="华文新魏"/>
          <w:sz w:val="36"/>
          <w:szCs w:val="36"/>
        </w:rPr>
      </w:pPr>
      <w:r>
        <w:rPr>
          <w:sz w:val="24"/>
          <w:szCs w:val="24"/>
        </w:rPr>
        <w:t xml:space="preserve">2.</w:t>
      </w:r>
      <w:r>
        <w:rPr>
          <w:sz w:val="24"/>
          <w:szCs w:val="24"/>
        </w:rPr>
        <w:t xml:space="preserve">在</w:t>
      </w:r>
      <w:r>
        <w:rPr>
          <w:sz w:val="24"/>
          <w:szCs w:val="24"/>
        </w:rPr>
        <w:t xml:space="preserve">“</w:t>
      </w:r>
      <w:r>
        <w:rPr>
          <w:sz w:val="24"/>
          <w:szCs w:val="24"/>
        </w:rPr>
        <w:t xml:space="preserve">信用中国</w:t>
      </w:r>
      <w:r>
        <w:rPr>
          <w:sz w:val="24"/>
          <w:szCs w:val="24"/>
        </w:rPr>
        <w:t xml:space="preserve">”</w:t>
      </w:r>
      <w:r>
        <w:rPr>
          <w:sz w:val="24"/>
          <w:szCs w:val="24"/>
        </w:rPr>
        <w:t xml:space="preserve">网站（</w:t>
      </w:r>
      <w:r>
        <w:rPr>
          <w:sz w:val="24"/>
          <w:szCs w:val="24"/>
        </w:rPr>
        <w:t xml:space="preserve">www.creditchina.gov.cn</w:t>
      </w:r>
      <w:r>
        <w:rPr>
          <w:sz w:val="24"/>
          <w:szCs w:val="24"/>
        </w:rPr>
        <w:t xml:space="preserve">）查询，无被列入失信被执行</w:t>
      </w:r>
      <w:r>
        <w:rPr>
          <w:sz w:val="24"/>
          <w:szCs w:val="24"/>
        </w:rPr>
        <w:t xml:space="preserve">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b/>
          <w:sz w:val="24"/>
          <w:szCs w:val="24"/>
        </w:rPr>
      </w:pPr>
      <w:r>
        <w:rPr>
          <w:sz w:val="24"/>
          <w:szCs w:val="24"/>
        </w:rPr>
        <w:t xml:space="preserve">3.</w:t>
      </w:r>
      <w:r>
        <w:rPr>
          <w:sz w:val="24"/>
          <w:szCs w:val="24"/>
        </w:rPr>
        <w:t xml:space="preserve">落实政府采购政策需满足的资格要求：</w:t>
      </w:r>
      <w:r>
        <w:rPr>
          <w:b/>
          <w:sz w:val="24"/>
          <w:szCs w:val="24"/>
        </w:rPr>
        <w:t xml:space="preserve">本项目</w:t>
      </w:r>
      <w:r>
        <w:rPr>
          <w:b/>
          <w:sz w:val="24"/>
          <w:szCs w:val="24"/>
        </w:rPr>
        <w:t xml:space="preserve">不</w:t>
      </w:r>
      <w:r>
        <w:rPr>
          <w:b/>
          <w:sz w:val="24"/>
          <w:szCs w:val="24"/>
        </w:rPr>
        <w:t xml:space="preserve">专门面向中小企业采购。</w:t>
      </w:r>
      <w:r/>
    </w:p>
    <w:p>
      <w:pPr>
        <w:ind w:firstLine="480"/>
        <w:spacing w:line="360" w:lineRule="auto"/>
        <w:rPr>
          <w:color w:val="000000"/>
          <w:sz w:val="24"/>
        </w:rPr>
      </w:pPr>
      <w:r>
        <w:rPr>
          <w:sz w:val="24"/>
          <w:szCs w:val="24"/>
        </w:rPr>
        <w:t xml:space="preserve">4.</w:t>
      </w:r>
      <w:r>
        <w:rPr>
          <w:color w:val="000000"/>
          <w:sz w:val="24"/>
        </w:rPr>
        <w:t xml:space="preserve">本项目是否接受联合体：否。</w:t>
      </w:r>
      <w:r/>
    </w:p>
    <w:p>
      <w:pPr>
        <w:ind w:firstLine="480"/>
        <w:spacing w:line="360" w:lineRule="auto"/>
        <w:rPr>
          <w:sz w:val="24"/>
          <w:szCs w:val="24"/>
        </w:rPr>
      </w:pPr>
      <w:r>
        <w:rPr>
          <w:rFonts w:hint="eastAsia"/>
          <w:color w:val="000000"/>
          <w:sz w:val="24"/>
        </w:rPr>
        <w:t xml:space="preserve">5</w:t>
      </w:r>
      <w:r>
        <w:rPr>
          <w:rFonts w:hint="eastAsia"/>
          <w:color w:val="000000"/>
          <w:sz w:val="24"/>
        </w:rPr>
        <w:t xml:space="preserve">.</w:t>
      </w:r>
      <w:r>
        <w:rPr>
          <w:color w:val="000000"/>
          <w:sz w:val="24"/>
        </w:rPr>
        <w:t xml:space="preserve">本项目是否接受</w:t>
      </w:r>
      <w:r>
        <w:rPr>
          <w:rFonts w:hint="eastAsia"/>
          <w:color w:val="000000"/>
          <w:sz w:val="24"/>
        </w:rPr>
        <w:t xml:space="preserve">进口产品响应</w:t>
      </w:r>
      <w:r>
        <w:rPr>
          <w:color w:val="000000"/>
          <w:sz w:val="24"/>
        </w:rPr>
        <w:t xml:space="preserve">：否。</w:t>
      </w:r>
      <w:r/>
    </w:p>
    <w:p>
      <w:pPr>
        <w:ind w:firstLine="480"/>
        <w:spacing w:line="360" w:lineRule="auto"/>
        <w:tabs>
          <w:tab w:val="left" w:pos="900" w:leader="none"/>
          <w:tab w:val="left" w:pos="1134" w:leader="none"/>
          <w:tab w:val="left" w:pos="1589" w:leader="none"/>
          <w:tab w:val="left" w:pos="5521" w:leader="none"/>
        </w:tabs>
        <w:rPr>
          <w:sz w:val="24"/>
          <w:szCs w:val="24"/>
        </w:rPr>
      </w:pPr>
      <w:r>
        <w:rPr>
          <w:sz w:val="24"/>
          <w:szCs w:val="24"/>
        </w:rPr>
        <w:t xml:space="preserve">（二）本项目的特定资格要求</w:t>
      </w:r>
      <w:r>
        <w:rPr>
          <w:rFonts w:hint="eastAsia"/>
          <w:sz w:val="24"/>
          <w:szCs w:val="24"/>
        </w:rPr>
        <w:t xml:space="preserve">：</w:t>
      </w:r>
      <w:r/>
    </w:p>
    <w:p>
      <w:pPr>
        <w:ind w:firstLine="480"/>
        <w:spacing w:line="360" w:lineRule="auto"/>
        <w:tabs>
          <w:tab w:val="left" w:pos="900" w:leader="none"/>
          <w:tab w:val="left" w:pos="1134" w:leader="none"/>
          <w:tab w:val="left" w:pos="1589" w:leader="none"/>
          <w:tab w:val="left" w:pos="5521" w:leader="none"/>
        </w:tabs>
        <w:rPr>
          <w:sz w:val="24"/>
          <w:szCs w:val="24"/>
        </w:rPr>
      </w:pPr>
      <w:r>
        <w:rPr>
          <w:rFonts w:hint="eastAsia"/>
          <w:sz w:val="24"/>
          <w:szCs w:val="24"/>
        </w:rPr>
        <w:t xml:space="preserve">2</w:t>
      </w:r>
      <w:r>
        <w:rPr>
          <w:sz w:val="24"/>
          <w:szCs w:val="24"/>
        </w:rPr>
        <w:t xml:space="preserve">.1</w:t>
      </w:r>
      <w:r>
        <w:rPr>
          <w:sz w:val="24"/>
          <w:szCs w:val="24"/>
        </w:rPr>
        <w:t xml:space="preserve">本项目是否属于政府购买服务：</w:t>
      </w:r>
      <w:r>
        <w:rPr>
          <w:rFonts w:ascii="宋体" w:hAnsi="宋体"/>
          <w:sz w:val="24"/>
          <w:szCs w:val="24"/>
        </w:rPr>
        <w:t xml:space="preserve">是，公益一类事业单位、使用事业编制且由财政拨款保障的</w:t>
      </w:r>
      <w:r>
        <w:rPr>
          <w:rFonts w:ascii="宋体" w:hAnsi="宋体"/>
          <w:sz w:val="24"/>
          <w:szCs w:val="24"/>
        </w:rPr>
        <w:t xml:space="preserve">群团组织，不得作为承接主体</w:t>
      </w:r>
      <w:r>
        <w:rPr>
          <w:sz w:val="24"/>
          <w:szCs w:val="24"/>
        </w:rPr>
        <w:t xml:space="preserve">；</w:t>
      </w:r>
      <w:r/>
    </w:p>
    <w:p>
      <w:pPr>
        <w:ind w:firstLine="480"/>
        <w:spacing w:line="360" w:lineRule="auto"/>
        <w:rPr>
          <w:sz w:val="24"/>
          <w:szCs w:val="24"/>
        </w:rPr>
      </w:pPr>
      <w:r>
        <w:rPr>
          <w:rFonts w:hint="eastAsia"/>
          <w:sz w:val="24"/>
          <w:szCs w:val="24"/>
        </w:rPr>
        <w:t xml:space="preserve">2</w:t>
      </w:r>
      <w:r>
        <w:rPr>
          <w:sz w:val="24"/>
          <w:szCs w:val="24"/>
        </w:rPr>
        <w:t xml:space="preserve">.</w:t>
      </w:r>
      <w:r>
        <w:rPr>
          <w:rFonts w:hint="eastAsia"/>
          <w:sz w:val="24"/>
          <w:szCs w:val="24"/>
        </w:rPr>
        <w:t xml:space="preserve">2</w:t>
      </w:r>
      <w:r>
        <w:rPr>
          <w:sz w:val="24"/>
          <w:szCs w:val="24"/>
        </w:rPr>
        <w:t xml:space="preserve">其他特定资格要求：</w:t>
      </w:r>
      <w:r>
        <w:rPr>
          <w:rFonts w:hint="eastAsia"/>
          <w:sz w:val="24"/>
          <w:szCs w:val="24"/>
        </w:rPr>
        <w:t xml:space="preserve">无。</w:t>
      </w:r>
      <w:r/>
    </w:p>
    <w:p>
      <w:pPr>
        <w:keepLines/>
        <w:keepNext/>
        <w:spacing w:before="120" w:after="120" w:line="360" w:lineRule="auto"/>
        <w:rPr>
          <w:b/>
          <w:bCs/>
          <w:sz w:val="32"/>
          <w:szCs w:val="32"/>
        </w:rPr>
        <w:outlineLvl w:val="2"/>
      </w:pPr>
      <w:r>
        <w:rPr>
          <w:b/>
          <w:bCs/>
          <w:sz w:val="32"/>
          <w:szCs w:val="32"/>
        </w:rPr>
        <w:t xml:space="preserve">三、</w:t>
      </w:r>
      <w:r>
        <w:rPr>
          <w:b/>
          <w:bCs/>
          <w:sz w:val="32"/>
          <w:szCs w:val="32"/>
        </w:rPr>
        <w:t xml:space="preserve">获取</w:t>
      </w:r>
      <w:bookmarkEnd w:id="18"/>
      <w:r/>
      <w:bookmarkEnd w:id="19"/>
      <w:r/>
      <w:bookmarkEnd w:id="20"/>
      <w:r/>
      <w:bookmarkEnd w:id="21"/>
      <w:r/>
      <w:bookmarkEnd w:id="22"/>
      <w:r>
        <w:rPr>
          <w:b/>
          <w:bCs/>
          <w:sz w:val="32"/>
          <w:szCs w:val="32"/>
        </w:rPr>
        <w:t xml:space="preserve">磋商</w:t>
      </w:r>
      <w:r>
        <w:rPr>
          <w:b/>
          <w:bCs/>
          <w:sz w:val="32"/>
          <w:szCs w:val="32"/>
        </w:rPr>
        <w:t xml:space="preserve">文件</w:t>
      </w:r>
      <w:r/>
    </w:p>
    <w:p>
      <w:pPr>
        <w:ind w:firstLine="480"/>
        <w:spacing w:line="360" w:lineRule="auto"/>
        <w:rPr>
          <w:sz w:val="24"/>
          <w:szCs w:val="24"/>
        </w:rPr>
      </w:pPr>
      <w:r/>
      <w:bookmarkStart w:id="23" w:name="_Toc28359005"/>
      <w:r/>
      <w:bookmarkStart w:id="24" w:name="_Toc28359082"/>
      <w:r/>
      <w:bookmarkStart w:id="25" w:name="_Toc35393793"/>
      <w:r/>
      <w:bookmarkStart w:id="26" w:name="_Toc38985266"/>
      <w:r/>
      <w:bookmarkStart w:id="27" w:name="_Toc35393624"/>
      <w:r>
        <w:rPr>
          <w:sz w:val="24"/>
          <w:szCs w:val="24"/>
        </w:rPr>
        <w:t xml:space="preserve">1.</w:t>
      </w:r>
      <w:r>
        <w:rPr>
          <w:sz w:val="24"/>
          <w:szCs w:val="24"/>
        </w:rPr>
        <w:t xml:space="preserve">时间：自磋商文件公告发布之日起</w:t>
      </w:r>
      <w:r>
        <w:rPr>
          <w:rFonts w:hint="eastAsia"/>
          <w:sz w:val="24"/>
          <w:szCs w:val="24"/>
        </w:rPr>
        <w:t xml:space="preserve">5</w:t>
      </w:r>
      <w:r>
        <w:rPr>
          <w:rFonts w:hint="eastAsia"/>
          <w:sz w:val="24"/>
          <w:szCs w:val="24"/>
        </w:rPr>
        <w:t xml:space="preserve">个工作日</w:t>
      </w:r>
      <w:r>
        <w:rPr>
          <w:sz w:val="24"/>
          <w:szCs w:val="24"/>
        </w:rPr>
        <w:t xml:space="preserve">。</w:t>
      </w:r>
      <w:r/>
    </w:p>
    <w:p>
      <w:pPr>
        <w:ind w:firstLine="480"/>
        <w:spacing w:line="360" w:lineRule="auto"/>
        <w:rPr>
          <w:sz w:val="24"/>
          <w:szCs w:val="24"/>
        </w:rPr>
      </w:pPr>
      <w:r>
        <w:rPr>
          <w:sz w:val="24"/>
          <w:szCs w:val="24"/>
        </w:rPr>
        <w:t xml:space="preserve">2.</w:t>
      </w:r>
      <w:r>
        <w:rPr>
          <w:sz w:val="24"/>
          <w:szCs w:val="24"/>
        </w:rPr>
        <w:t xml:space="preserve">方式：在</w:t>
      </w:r>
      <w:r>
        <w:rPr>
          <w:sz w:val="24"/>
          <w:szCs w:val="24"/>
        </w:rPr>
        <w:t xml:space="preserve">“</w:t>
      </w:r>
      <w:r>
        <w:rPr>
          <w:sz w:val="24"/>
          <w:szCs w:val="24"/>
        </w:rPr>
        <w:t xml:space="preserve">江苏政府采购网、常州市政府采购网</w:t>
      </w:r>
      <w:r>
        <w:rPr>
          <w:sz w:val="24"/>
          <w:szCs w:val="24"/>
        </w:rPr>
        <w:t xml:space="preserve">”</w:t>
      </w:r>
      <w:r>
        <w:rPr>
          <w:sz w:val="24"/>
          <w:szCs w:val="24"/>
        </w:rPr>
        <w:t xml:space="preserve">自行免费下载磋商文件。</w:t>
      </w:r>
      <w:r/>
    </w:p>
    <w:p>
      <w:pPr>
        <w:keepLines/>
        <w:keepNext/>
        <w:spacing w:before="120" w:after="120" w:line="360" w:lineRule="auto"/>
        <w:rPr>
          <w:b/>
          <w:bCs/>
          <w:sz w:val="32"/>
          <w:szCs w:val="32"/>
        </w:rPr>
        <w:outlineLvl w:val="2"/>
      </w:pPr>
      <w:r>
        <w:rPr>
          <w:b/>
          <w:bCs/>
          <w:sz w:val="32"/>
          <w:szCs w:val="32"/>
        </w:rPr>
        <w:t xml:space="preserve">四、提交</w:t>
      </w:r>
      <w:bookmarkEnd w:id="23"/>
      <w:r/>
      <w:bookmarkEnd w:id="24"/>
      <w:r>
        <w:rPr>
          <w:b/>
          <w:bCs/>
          <w:sz w:val="32"/>
          <w:szCs w:val="32"/>
        </w:rPr>
        <w:t xml:space="preserve">响应文件截止时间</w:t>
      </w:r>
      <w:bookmarkEnd w:id="25"/>
      <w:r/>
      <w:bookmarkEnd w:id="26"/>
      <w:r/>
      <w:bookmarkEnd w:id="27"/>
      <w:r/>
      <w:r/>
    </w:p>
    <w:p>
      <w:pPr>
        <w:ind w:firstLine="480"/>
        <w:spacing w:line="360" w:lineRule="auto"/>
        <w:rPr>
          <w:bCs/>
          <w:sz w:val="24"/>
          <w:szCs w:val="24"/>
          <w:u w:val="single"/>
        </w:rPr>
      </w:pPr>
      <w:r>
        <w:rPr>
          <w:bCs/>
          <w:sz w:val="24"/>
          <w:szCs w:val="24"/>
        </w:rPr>
        <w:t xml:space="preserve">202</w:t>
      </w:r>
      <w:r>
        <w:rPr>
          <w:rFonts w:hint="eastAsia"/>
          <w:bCs/>
          <w:sz w:val="24"/>
          <w:szCs w:val="24"/>
        </w:rPr>
        <w:t xml:space="preserve">6</w:t>
      </w:r>
      <w:r>
        <w:rPr>
          <w:bCs/>
          <w:sz w:val="24"/>
          <w:szCs w:val="24"/>
        </w:rPr>
        <w:t xml:space="preserve">年</w:t>
      </w:r>
      <w:r>
        <w:rPr>
          <w:rFonts w:hint="eastAsia"/>
          <w:bCs/>
          <w:sz w:val="24"/>
          <w:szCs w:val="24"/>
        </w:rPr>
        <w:t xml:space="preserve"> </w:t>
      </w:r>
      <w:r>
        <w:rPr>
          <w:bCs/>
          <w:sz w:val="24"/>
          <w:szCs w:val="24"/>
        </w:rPr>
        <w:t xml:space="preserve">7</w:t>
      </w:r>
      <w:r>
        <w:rPr>
          <w:rFonts w:hint="eastAsia"/>
          <w:bCs/>
          <w:sz w:val="24"/>
          <w:szCs w:val="24"/>
        </w:rPr>
        <w:t xml:space="preserve"> </w:t>
      </w:r>
      <w:r>
        <w:rPr>
          <w:bCs/>
          <w:sz w:val="24"/>
          <w:szCs w:val="24"/>
        </w:rPr>
        <w:t xml:space="preserve">月</w:t>
      </w:r>
      <w:r>
        <w:rPr>
          <w:bCs/>
          <w:sz w:val="24"/>
          <w:szCs w:val="24"/>
        </w:rPr>
        <w:t xml:space="preserve"> </w:t>
      </w:r>
      <w:r>
        <w:rPr>
          <w:bCs/>
          <w:sz w:val="24"/>
          <w:szCs w:val="24"/>
        </w:rPr>
        <w:t xml:space="preserve">31</w:t>
      </w:r>
      <w:r>
        <w:rPr>
          <w:bCs/>
          <w:sz w:val="24"/>
          <w:szCs w:val="24"/>
        </w:rPr>
        <w:t xml:space="preserve"> </w:t>
      </w:r>
      <w:r>
        <w:rPr>
          <w:bCs/>
          <w:sz w:val="24"/>
          <w:szCs w:val="24"/>
        </w:rPr>
        <w:t xml:space="preserve">日</w:t>
      </w:r>
      <w:r>
        <w:rPr>
          <w:bCs/>
          <w:sz w:val="24"/>
          <w:szCs w:val="24"/>
        </w:rPr>
        <w:t xml:space="preserve"> </w:t>
      </w:r>
      <w:r>
        <w:rPr>
          <w:bCs/>
          <w:sz w:val="24"/>
          <w:szCs w:val="24"/>
        </w:rPr>
        <w:t xml:space="preserve">09</w:t>
      </w:r>
      <w:r>
        <w:rPr>
          <w:bCs/>
          <w:sz w:val="24"/>
          <w:szCs w:val="24"/>
        </w:rPr>
        <w:t xml:space="preserve"> </w:t>
      </w:r>
      <w:r>
        <w:rPr>
          <w:bCs/>
          <w:sz w:val="24"/>
          <w:szCs w:val="24"/>
        </w:rPr>
        <w:t xml:space="preserve">点</w:t>
      </w:r>
      <w:r>
        <w:rPr>
          <w:bCs/>
          <w:sz w:val="24"/>
          <w:szCs w:val="24"/>
        </w:rPr>
        <w:t xml:space="preserve">00</w:t>
      </w:r>
      <w:r>
        <w:rPr>
          <w:bCs/>
          <w:sz w:val="24"/>
          <w:szCs w:val="24"/>
        </w:rPr>
        <w:t xml:space="preserve"> </w:t>
      </w:r>
      <w:r>
        <w:rPr>
          <w:bCs/>
          <w:sz w:val="24"/>
          <w:szCs w:val="24"/>
        </w:rPr>
        <w:t xml:space="preserve">分（北京时间）。</w:t>
      </w:r>
      <w:r/>
    </w:p>
    <w:p>
      <w:pPr>
        <w:keepLines/>
        <w:keepNext/>
        <w:spacing w:before="120" w:after="120" w:line="360" w:lineRule="auto"/>
        <w:rPr>
          <w:b/>
          <w:bCs/>
          <w:sz w:val="32"/>
          <w:szCs w:val="32"/>
        </w:rPr>
        <w:outlineLvl w:val="2"/>
      </w:pPr>
      <w:r/>
      <w:bookmarkStart w:id="28" w:name="_Toc35393794"/>
      <w:r/>
      <w:bookmarkStart w:id="29" w:name="_Toc28359084"/>
      <w:r/>
      <w:bookmarkStart w:id="30" w:name="_Toc28359007"/>
      <w:r/>
      <w:bookmarkStart w:id="31" w:name="_Toc35393625"/>
      <w:r/>
      <w:bookmarkStart w:id="32" w:name="_Toc38985267"/>
      <w:r>
        <w:rPr>
          <w:b/>
          <w:bCs/>
          <w:sz w:val="32"/>
          <w:szCs w:val="32"/>
        </w:rPr>
        <w:t xml:space="preserve">五、公告期限</w:t>
      </w:r>
      <w:bookmarkEnd w:id="28"/>
      <w:r/>
      <w:bookmarkEnd w:id="29"/>
      <w:r/>
      <w:bookmarkEnd w:id="30"/>
      <w:r/>
      <w:bookmarkEnd w:id="31"/>
      <w:r/>
      <w:bookmarkEnd w:id="32"/>
      <w:r/>
      <w:r/>
    </w:p>
    <w:p>
      <w:pPr>
        <w:ind w:firstLine="480"/>
        <w:spacing w:line="360" w:lineRule="auto"/>
        <w:rPr>
          <w:sz w:val="24"/>
          <w:szCs w:val="24"/>
        </w:rPr>
      </w:pPr>
      <w:r/>
      <w:bookmarkStart w:id="33" w:name="_Toc35393795"/>
      <w:r/>
      <w:bookmarkStart w:id="34" w:name="_Toc38985268"/>
      <w:r/>
      <w:bookmarkStart w:id="35" w:name="_Toc35393626"/>
      <w:r>
        <w:rPr>
          <w:sz w:val="24"/>
          <w:szCs w:val="24"/>
        </w:rPr>
        <w:t xml:space="preserve">磋商公告及磋商文件公告期限为自本公告发布之日起</w:t>
      </w:r>
      <w:r>
        <w:rPr>
          <w:rFonts w:hint="eastAsia"/>
          <w:sz w:val="24"/>
          <w:szCs w:val="24"/>
        </w:rPr>
        <w:t xml:space="preserve">3</w:t>
      </w:r>
      <w:r>
        <w:rPr>
          <w:sz w:val="24"/>
          <w:szCs w:val="24"/>
        </w:rPr>
        <w:t xml:space="preserve">个工作日。</w:t>
      </w:r>
      <w:r/>
    </w:p>
    <w:p>
      <w:pPr>
        <w:keepLines/>
        <w:keepNext/>
        <w:spacing w:before="120" w:after="120" w:line="360" w:lineRule="auto"/>
        <w:rPr>
          <w:b/>
          <w:bCs/>
          <w:sz w:val="32"/>
          <w:szCs w:val="32"/>
        </w:rPr>
        <w:outlineLvl w:val="2"/>
      </w:pPr>
      <w:r>
        <w:rPr>
          <w:b/>
          <w:bCs/>
          <w:sz w:val="32"/>
          <w:szCs w:val="32"/>
        </w:rPr>
        <w:t xml:space="preserve">六、其他补充事宜</w:t>
      </w:r>
      <w:bookmarkEnd w:id="33"/>
      <w:r/>
      <w:bookmarkEnd w:id="34"/>
      <w:r/>
      <w:bookmarkEnd w:id="35"/>
      <w:r/>
      <w:r/>
    </w:p>
    <w:p>
      <w:pPr>
        <w:ind w:firstLine="480"/>
        <w:spacing w:line="360" w:lineRule="auto"/>
        <w:rPr>
          <w:sz w:val="24"/>
        </w:rPr>
      </w:pPr>
      <w:r/>
      <w:bookmarkStart w:id="36" w:name="_Toc28359008"/>
      <w:r/>
      <w:bookmarkStart w:id="37" w:name="_Toc35393627"/>
      <w:r/>
      <w:bookmarkStart w:id="38" w:name="_Toc38985269"/>
      <w:r/>
      <w:bookmarkStart w:id="39" w:name="_Toc28359085"/>
      <w:r/>
      <w:bookmarkStart w:id="40" w:name="_Toc35393796"/>
      <w:r>
        <w:rPr>
          <w:sz w:val="24"/>
        </w:rPr>
        <w:t xml:space="preserve">本项目采用不见面交易方式，请供应</w:t>
      </w:r>
      <w:r>
        <w:rPr>
          <w:sz w:val="24"/>
        </w:rPr>
        <w:t xml:space="preserve">商认真</w:t>
      </w:r>
      <w:r>
        <w:rPr>
          <w:sz w:val="24"/>
        </w:rPr>
        <w:t xml:space="preserve">学习</w:t>
      </w:r>
      <w:r>
        <w:rPr>
          <w:sz w:val="24"/>
        </w:rPr>
        <w:t xml:space="preserve">“</w:t>
      </w:r>
      <w:r>
        <w:rPr>
          <w:sz w:val="24"/>
        </w:rPr>
        <w:t xml:space="preserve">苏</w:t>
      </w:r>
      <w:r>
        <w:rPr>
          <w:sz w:val="24"/>
        </w:rPr>
        <w:t xml:space="preserve">采云</w:t>
      </w:r>
      <w:r>
        <w:rPr>
          <w:sz w:val="24"/>
        </w:rPr>
        <w:t xml:space="preserve">”</w:t>
      </w:r>
      <w:r>
        <w:rPr>
          <w:sz w:val="24"/>
        </w:rPr>
        <w:t xml:space="preserve">的相关操作手册，办理</w:t>
      </w:r>
      <w:r>
        <w:rPr>
          <w:sz w:val="24"/>
        </w:rPr>
        <w:t xml:space="preserve">CA</w:t>
      </w:r>
      <w:r>
        <w:rPr>
          <w:sz w:val="24"/>
        </w:rPr>
        <w:t xml:space="preserve">认证证书、进行</w:t>
      </w:r>
      <w:r>
        <w:rPr>
          <w:sz w:val="24"/>
        </w:rPr>
        <w:t xml:space="preserve">“</w:t>
      </w:r>
      <w:r>
        <w:rPr>
          <w:sz w:val="24"/>
        </w:rPr>
        <w:t xml:space="preserve">苏</w:t>
      </w:r>
      <w:r>
        <w:rPr>
          <w:sz w:val="24"/>
        </w:rPr>
        <w:t xml:space="preserve">采云</w:t>
      </w:r>
      <w:r>
        <w:rPr>
          <w:sz w:val="24"/>
        </w:rPr>
        <w:t xml:space="preserve">”</w:t>
      </w:r>
      <w:r>
        <w:rPr>
          <w:sz w:val="24"/>
        </w:rPr>
        <w:t xml:space="preserve">政府采购一体化平台注册绑定，并认真核实数字认证证书情况确认是否符合本项目电子化采购流程要求。</w:t>
      </w:r>
      <w:r/>
    </w:p>
    <w:p>
      <w:pPr>
        <w:ind w:firstLine="480"/>
        <w:spacing w:line="360" w:lineRule="auto"/>
        <w:rPr>
          <w:sz w:val="24"/>
        </w:rPr>
      </w:pPr>
      <w:r>
        <w:rPr>
          <w:sz w:val="24"/>
        </w:rPr>
        <w:t xml:space="preserve">技术保障服务：</w:t>
      </w:r>
      <w:r>
        <w:rPr>
          <w:sz w:val="24"/>
        </w:rPr>
        <w:t xml:space="preserve">“</w:t>
      </w:r>
      <w:r>
        <w:rPr>
          <w:sz w:val="24"/>
        </w:rPr>
        <w:t xml:space="preserve">苏</w:t>
      </w:r>
      <w:r>
        <w:rPr>
          <w:sz w:val="24"/>
        </w:rPr>
        <w:t xml:space="preserve">采云</w:t>
      </w:r>
      <w:r>
        <w:rPr>
          <w:sz w:val="24"/>
        </w:rPr>
        <w:t xml:space="preserve">”</w:t>
      </w:r>
      <w:r>
        <w:rPr>
          <w:sz w:val="24"/>
        </w:rPr>
        <w:t xml:space="preserve">系统使用期间，由系统开发商江苏富深协通科技股份有限公司提供技术保障服务，指导软件操作，维护系统稳定运行。</w:t>
      </w:r>
      <w:r/>
    </w:p>
    <w:p>
      <w:pPr>
        <w:ind w:firstLine="480"/>
        <w:spacing w:line="360" w:lineRule="auto"/>
        <w:rPr>
          <w:sz w:val="24"/>
        </w:rPr>
      </w:pPr>
      <w:r>
        <w:rPr>
          <w:sz w:val="24"/>
        </w:rPr>
        <w:t xml:space="preserve">运</w:t>
      </w:r>
      <w:r>
        <w:rPr>
          <w:sz w:val="24"/>
        </w:rPr>
        <w:t xml:space="preserve">维保障</w:t>
      </w:r>
      <w:r>
        <w:rPr>
          <w:sz w:val="24"/>
        </w:rPr>
        <w:t xml:space="preserve">联系方式：</w:t>
      </w:r>
      <w:r>
        <w:rPr>
          <w:sz w:val="24"/>
        </w:rPr>
        <w:t xml:space="preserve">0519-85588210</w:t>
      </w:r>
      <w:r>
        <w:rPr>
          <w:sz w:val="24"/>
        </w:rPr>
        <w:t xml:space="preserve">、</w:t>
      </w:r>
      <w:r>
        <w:rPr>
          <w:sz w:val="24"/>
        </w:rPr>
        <w:t xml:space="preserve">0519-85588163</w:t>
      </w:r>
      <w:r/>
    </w:p>
    <w:p>
      <w:pPr>
        <w:ind w:firstLine="480"/>
        <w:spacing w:line="360" w:lineRule="auto"/>
        <w:rPr>
          <w:sz w:val="24"/>
          <w:szCs w:val="24"/>
        </w:rPr>
      </w:pPr>
      <w:r>
        <w:rPr>
          <w:sz w:val="24"/>
          <w:szCs w:val="24"/>
        </w:rPr>
        <w:t xml:space="preserve">1.</w:t>
      </w:r>
      <w:r>
        <w:rPr>
          <w:rFonts w:hint="eastAsia"/>
          <w:sz w:val="24"/>
          <w:szCs w:val="24"/>
        </w:rPr>
        <w:t xml:space="preserve">对应流程：</w:t>
      </w:r>
      <w:r/>
    </w:p>
    <w:p>
      <w:pPr>
        <w:ind w:firstLine="480"/>
        <w:spacing w:line="360" w:lineRule="auto"/>
        <w:rPr>
          <w:sz w:val="24"/>
        </w:rPr>
      </w:pPr>
      <w:r>
        <w:rPr>
          <w:sz w:val="24"/>
        </w:rPr>
        <w:t xml:space="preserve">1.1</w:t>
      </w:r>
      <w:r>
        <w:rPr>
          <w:sz w:val="24"/>
        </w:rPr>
        <w:t xml:space="preserve">办理</w:t>
      </w:r>
      <w:r>
        <w:rPr>
          <w:sz w:val="24"/>
        </w:rPr>
        <w:t xml:space="preserve">CA</w:t>
      </w:r>
      <w:r>
        <w:rPr>
          <w:sz w:val="24"/>
        </w:rPr>
        <w:t xml:space="preserve">认证证书</w:t>
      </w:r>
      <w:r/>
    </w:p>
    <w:p>
      <w:pPr>
        <w:ind w:firstLine="480"/>
        <w:spacing w:line="360" w:lineRule="auto"/>
        <w:rPr>
          <w:sz w:val="24"/>
        </w:rPr>
      </w:pPr>
      <w:r>
        <w:rPr>
          <w:sz w:val="24"/>
        </w:rPr>
        <w:t xml:space="preserve">申请人登录常州政府采购网</w:t>
      </w:r>
      <w:r>
        <w:rPr>
          <w:sz w:val="24"/>
        </w:rPr>
        <w:t xml:space="preserve">“</w:t>
      </w:r>
      <w:r>
        <w:rPr>
          <w:sz w:val="24"/>
        </w:rPr>
        <w:t xml:space="preserve">下载中心</w:t>
      </w:r>
      <w:r>
        <w:rPr>
          <w:sz w:val="24"/>
        </w:rPr>
        <w:t xml:space="preserve">”</w:t>
      </w:r>
      <w:r>
        <w:rPr>
          <w:sz w:val="24"/>
        </w:rPr>
        <w:t xml:space="preserve">栏目，根据江苏省政府采购数字证书</w:t>
      </w:r>
      <w:r>
        <w:rPr>
          <w:sz w:val="24"/>
        </w:rPr>
        <w:t xml:space="preserve">CA</w:t>
      </w:r>
      <w:r>
        <w:rPr>
          <w:sz w:val="24"/>
        </w:rPr>
        <w:t xml:space="preserve">及</w:t>
      </w:r>
      <w:r>
        <w:rPr>
          <w:sz w:val="24"/>
        </w:rPr>
        <w:t xml:space="preserve">电子签章办理指南，按照程序要求办理。地址：锦绣路</w:t>
      </w:r>
      <w:r>
        <w:rPr>
          <w:sz w:val="24"/>
        </w:rPr>
        <w:t xml:space="preserve">2</w:t>
      </w:r>
      <w:r>
        <w:rPr>
          <w:sz w:val="24"/>
        </w:rPr>
        <w:t xml:space="preserve">号行政服务中心</w:t>
      </w:r>
      <w:r>
        <w:rPr>
          <w:sz w:val="24"/>
        </w:rPr>
        <w:t xml:space="preserve">1-1</w:t>
      </w:r>
      <w:r>
        <w:rPr>
          <w:sz w:val="24"/>
        </w:rPr>
        <w:t xml:space="preserve">号楼。</w:t>
      </w:r>
      <w:r>
        <w:rPr>
          <w:sz w:val="24"/>
        </w:rPr>
        <w:t xml:space="preserve">CA</w:t>
      </w:r>
      <w:r>
        <w:rPr>
          <w:sz w:val="24"/>
        </w:rPr>
        <w:t xml:space="preserve">办理窗口联系方式：</w:t>
      </w:r>
      <w:r>
        <w:rPr>
          <w:sz w:val="24"/>
        </w:rPr>
        <w:t xml:space="preserve">0519-85588120</w:t>
      </w:r>
      <w:r>
        <w:rPr>
          <w:sz w:val="24"/>
        </w:rPr>
        <w:t xml:space="preserve">。</w:t>
      </w:r>
      <w:r/>
    </w:p>
    <w:p>
      <w:pPr>
        <w:ind w:firstLine="480"/>
        <w:spacing w:line="360" w:lineRule="auto"/>
        <w:rPr>
          <w:sz w:val="24"/>
        </w:rPr>
      </w:pPr>
      <w:r>
        <w:rPr>
          <w:sz w:val="24"/>
        </w:rPr>
        <w:t xml:space="preserve">1.2</w:t>
      </w:r>
      <w:r>
        <w:rPr>
          <w:sz w:val="24"/>
        </w:rPr>
        <w:t xml:space="preserve">注册</w:t>
      </w:r>
      <w:r/>
    </w:p>
    <w:p>
      <w:pPr>
        <w:ind w:firstLine="480"/>
        <w:spacing w:line="360" w:lineRule="auto"/>
        <w:rPr>
          <w:sz w:val="24"/>
        </w:rPr>
      </w:pPr>
      <w:r>
        <w:rPr>
          <w:sz w:val="24"/>
        </w:rPr>
        <w:t xml:space="preserve">供应商登录常州市政府采购网</w:t>
      </w:r>
      <w:r>
        <w:rPr>
          <w:sz w:val="24"/>
        </w:rPr>
        <w:t xml:space="preserve">“</w:t>
      </w:r>
      <w:r>
        <w:rPr>
          <w:sz w:val="24"/>
        </w:rPr>
        <w:t xml:space="preserve">下载中心</w:t>
      </w:r>
      <w:r>
        <w:rPr>
          <w:sz w:val="24"/>
        </w:rPr>
        <w:t xml:space="preserve">”-“</w:t>
      </w:r>
      <w:r>
        <w:rPr>
          <w:sz w:val="24"/>
        </w:rPr>
        <w:t xml:space="preserve">苏</w:t>
      </w:r>
      <w:r>
        <w:rPr>
          <w:sz w:val="24"/>
        </w:rPr>
        <w:t xml:space="preserve">采云</w:t>
      </w:r>
      <w:r>
        <w:rPr>
          <w:sz w:val="24"/>
        </w:rPr>
        <w:t xml:space="preserve">”</w:t>
      </w:r>
      <w:r>
        <w:rPr>
          <w:sz w:val="24"/>
        </w:rPr>
        <w:t xml:space="preserve">系统（供应商）操作手册下载相关操作手册、操作视频等，查阅后进行自助注册。</w:t>
      </w:r>
      <w:r/>
    </w:p>
    <w:p>
      <w:pPr>
        <w:ind w:firstLine="480"/>
        <w:spacing w:line="360" w:lineRule="auto"/>
        <w:rPr>
          <w:sz w:val="24"/>
        </w:rPr>
      </w:pPr>
      <w:r>
        <w:rPr>
          <w:sz w:val="24"/>
        </w:rPr>
        <w:t xml:space="preserve">1.3</w:t>
      </w:r>
      <w:r>
        <w:rPr>
          <w:sz w:val="24"/>
        </w:rPr>
        <w:t xml:space="preserve">控件、客户端下载</w:t>
      </w:r>
      <w:r/>
    </w:p>
    <w:p>
      <w:pPr>
        <w:ind w:firstLine="480"/>
        <w:spacing w:line="360" w:lineRule="auto"/>
        <w:rPr>
          <w:sz w:val="24"/>
        </w:rPr>
      </w:pPr>
      <w:r>
        <w:rPr>
          <w:sz w:val="24"/>
        </w:rPr>
        <w:t xml:space="preserve">供应商登录常州市政府采购网</w:t>
      </w:r>
      <w:r>
        <w:rPr>
          <w:sz w:val="24"/>
        </w:rPr>
        <w:t xml:space="preserve">“</w:t>
      </w:r>
      <w:r>
        <w:rPr>
          <w:sz w:val="24"/>
        </w:rPr>
        <w:t xml:space="preserve">下载中心</w:t>
      </w:r>
      <w:r>
        <w:rPr>
          <w:sz w:val="24"/>
        </w:rPr>
        <w:t xml:space="preserve">”-</w:t>
      </w:r>
      <w:r>
        <w:rPr>
          <w:sz w:val="24"/>
        </w:rPr>
        <w:t xml:space="preserve">政府采购管理交易系统（苏</w:t>
      </w:r>
      <w:r>
        <w:rPr>
          <w:sz w:val="24"/>
        </w:rPr>
        <w:t xml:space="preserve">采云</w:t>
      </w:r>
      <w:r>
        <w:rPr>
          <w:sz w:val="24"/>
        </w:rPr>
        <w:t xml:space="preserve">）</w:t>
      </w:r>
      <w:r>
        <w:rPr>
          <w:sz w:val="24"/>
        </w:rPr>
        <w:t xml:space="preserve">CA</w:t>
      </w:r>
      <w:r>
        <w:rPr>
          <w:sz w:val="24"/>
        </w:rPr>
        <w:t xml:space="preserve">及签章控件驱动下载相关控件及客户端。</w:t>
      </w:r>
      <w:r/>
    </w:p>
    <w:p>
      <w:pPr>
        <w:ind w:firstLine="480"/>
        <w:spacing w:line="360" w:lineRule="auto"/>
        <w:rPr>
          <w:sz w:val="24"/>
        </w:rPr>
      </w:pPr>
      <w:r>
        <w:rPr>
          <w:sz w:val="24"/>
        </w:rPr>
        <w:t xml:space="preserve">1.4 </w:t>
      </w:r>
      <w:r>
        <w:rPr>
          <w:sz w:val="24"/>
        </w:rPr>
        <w:t xml:space="preserve">获取电子磋商文件</w:t>
      </w:r>
      <w:r/>
    </w:p>
    <w:p>
      <w:pPr>
        <w:ind w:firstLine="480"/>
        <w:spacing w:line="360" w:lineRule="auto"/>
        <w:rPr>
          <w:sz w:val="24"/>
        </w:rPr>
      </w:pPr>
      <w:r>
        <w:rPr>
          <w:sz w:val="24"/>
        </w:rPr>
        <w:t xml:space="preserve">供应商持</w:t>
      </w:r>
      <w:r>
        <w:rPr>
          <w:sz w:val="24"/>
        </w:rPr>
        <w:t xml:space="preserve">CA</w:t>
      </w:r>
      <w:r>
        <w:rPr>
          <w:sz w:val="24"/>
        </w:rPr>
        <w:t xml:space="preserve">数字认证证书登录</w:t>
      </w:r>
      <w:r>
        <w:rPr>
          <w:sz w:val="24"/>
        </w:rPr>
        <w:t xml:space="preserve">“</w:t>
      </w:r>
      <w:r>
        <w:rPr>
          <w:sz w:val="24"/>
        </w:rPr>
        <w:t xml:space="preserve">苏</w:t>
      </w:r>
      <w:r>
        <w:rPr>
          <w:sz w:val="24"/>
        </w:rPr>
        <w:t xml:space="preserve">采云</w:t>
      </w:r>
      <w:r>
        <w:rPr>
          <w:sz w:val="24"/>
        </w:rPr>
        <w:t xml:space="preserve">”</w:t>
      </w:r>
      <w:r>
        <w:rPr>
          <w:sz w:val="24"/>
        </w:rPr>
        <w:t xml:space="preserve">政府采购一体化平台获取电子磋商文件。未在规定期限</w:t>
      </w:r>
      <w:r>
        <w:rPr>
          <w:sz w:val="24"/>
        </w:rPr>
        <w:t xml:space="preserve">内通过</w:t>
      </w:r>
      <w:r>
        <w:rPr>
          <w:sz w:val="24"/>
        </w:rPr>
        <w:t xml:space="preserve">“</w:t>
      </w:r>
      <w:r>
        <w:rPr>
          <w:sz w:val="24"/>
        </w:rPr>
        <w:t xml:space="preserve">苏</w:t>
      </w:r>
      <w:r>
        <w:rPr>
          <w:sz w:val="24"/>
        </w:rPr>
        <w:t xml:space="preserve">采云</w:t>
      </w:r>
      <w:r>
        <w:rPr>
          <w:sz w:val="24"/>
        </w:rPr>
        <w:t xml:space="preserve">”</w:t>
      </w:r>
      <w:r>
        <w:rPr>
          <w:sz w:val="24"/>
        </w:rPr>
        <w:t xml:space="preserve">政府采购一体化平台</w:t>
      </w:r>
      <w:r>
        <w:rPr>
          <w:sz w:val="24"/>
        </w:rPr>
        <w:t xml:space="preserve">获取磋商</w:t>
      </w:r>
      <w:r>
        <w:rPr>
          <w:sz w:val="24"/>
        </w:rPr>
        <w:t xml:space="preserve">文件的响应无效。</w:t>
      </w:r>
      <w:r/>
    </w:p>
    <w:p>
      <w:pPr>
        <w:ind w:firstLine="480"/>
        <w:spacing w:line="360" w:lineRule="auto"/>
        <w:rPr>
          <w:sz w:val="24"/>
        </w:rPr>
      </w:pPr>
      <w:r>
        <w:rPr>
          <w:sz w:val="24"/>
        </w:rPr>
        <w:t xml:space="preserve">1.5</w:t>
      </w:r>
      <w:r>
        <w:rPr>
          <w:sz w:val="24"/>
        </w:rPr>
        <w:t xml:space="preserve">编制电子响应文件</w:t>
      </w:r>
      <w:r/>
    </w:p>
    <w:p>
      <w:pPr>
        <w:ind w:firstLine="480"/>
        <w:spacing w:line="360" w:lineRule="auto"/>
        <w:rPr>
          <w:sz w:val="24"/>
        </w:rPr>
      </w:pPr>
      <w:r>
        <w:rPr>
          <w:sz w:val="24"/>
        </w:rPr>
        <w:t xml:space="preserve"> </w:t>
      </w:r>
      <w:r>
        <w:rPr>
          <w:sz w:val="24"/>
        </w:rPr>
        <w:t xml:space="preserve">供应商应按照</w:t>
      </w:r>
      <w:r>
        <w:rPr>
          <w:sz w:val="24"/>
        </w:rPr>
        <w:t xml:space="preserve">“</w:t>
      </w:r>
      <w:r>
        <w:rPr>
          <w:sz w:val="24"/>
        </w:rPr>
        <w:t xml:space="preserve">苏</w:t>
      </w:r>
      <w:r>
        <w:rPr>
          <w:sz w:val="24"/>
        </w:rPr>
        <w:t xml:space="preserve">采云</w:t>
      </w:r>
      <w:r>
        <w:rPr>
          <w:sz w:val="24"/>
        </w:rPr>
        <w:t xml:space="preserve">”</w:t>
      </w:r>
      <w:r>
        <w:rPr>
          <w:sz w:val="24"/>
        </w:rPr>
        <w:t xml:space="preserve">系统（供应商）操作手册制作响应文件并进行线上响应，供应商电子响应文件需要加密并加盖电子签章，如无法按照要求在电子响应文件中加盖电子签章和加密，请及时通过技术支持服务热线联系技术人员。</w:t>
      </w:r>
      <w:r>
        <w:rPr>
          <w:sz w:val="24"/>
        </w:rPr>
        <w:t xml:space="preserve"> </w:t>
      </w:r>
      <w:r/>
    </w:p>
    <w:p>
      <w:pPr>
        <w:ind w:firstLine="480"/>
        <w:spacing w:line="360" w:lineRule="auto"/>
        <w:rPr>
          <w:sz w:val="24"/>
        </w:rPr>
      </w:pPr>
      <w:r>
        <w:rPr>
          <w:sz w:val="24"/>
        </w:rPr>
        <w:t xml:space="preserve">1.6</w:t>
      </w:r>
      <w:r>
        <w:rPr>
          <w:sz w:val="24"/>
        </w:rPr>
        <w:t xml:space="preserve">提交电子响应文件</w:t>
      </w:r>
      <w:r/>
    </w:p>
    <w:p>
      <w:pPr>
        <w:ind w:firstLine="480"/>
        <w:spacing w:line="360" w:lineRule="auto"/>
        <w:rPr>
          <w:sz w:val="24"/>
        </w:rPr>
      </w:pPr>
      <w:r>
        <w:rPr>
          <w:sz w:val="24"/>
        </w:rPr>
        <w:t xml:space="preserve">供应商应于响应截止时间前在</w:t>
      </w:r>
      <w:r>
        <w:rPr>
          <w:sz w:val="24"/>
        </w:rPr>
        <w:t xml:space="preserve">“</w:t>
      </w:r>
      <w:r>
        <w:rPr>
          <w:sz w:val="24"/>
        </w:rPr>
        <w:t xml:space="preserve">苏</w:t>
      </w:r>
      <w:r>
        <w:rPr>
          <w:sz w:val="24"/>
        </w:rPr>
        <w:t xml:space="preserve">采云</w:t>
      </w:r>
      <w:r>
        <w:rPr>
          <w:sz w:val="24"/>
        </w:rPr>
        <w:t xml:space="preserve">”</w:t>
      </w:r>
      <w:r>
        <w:rPr>
          <w:sz w:val="24"/>
        </w:rPr>
        <w:t xml:space="preserve">政府采购一体化平台提交电子响应文件，上传电子响应文件过程中请保持与互联网的连接畅通。</w:t>
      </w:r>
      <w:r/>
    </w:p>
    <w:p>
      <w:pPr>
        <w:ind w:firstLine="480"/>
        <w:spacing w:line="360" w:lineRule="auto"/>
        <w:rPr>
          <w:sz w:val="24"/>
        </w:rPr>
      </w:pPr>
      <w:r>
        <w:rPr>
          <w:sz w:val="24"/>
        </w:rPr>
        <w:t xml:space="preserve">1.7</w:t>
      </w:r>
      <w:r>
        <w:rPr>
          <w:sz w:val="24"/>
        </w:rPr>
        <w:t xml:space="preserve">电子开标</w:t>
      </w:r>
      <w:r/>
    </w:p>
    <w:p>
      <w:pPr>
        <w:ind w:firstLine="480"/>
        <w:spacing w:line="360" w:lineRule="auto"/>
        <w:rPr>
          <w:sz w:val="24"/>
        </w:rPr>
      </w:pPr>
      <w:r>
        <w:rPr>
          <w:sz w:val="24"/>
        </w:rPr>
        <w:t xml:space="preserve">供应商使用</w:t>
      </w:r>
      <w:r>
        <w:rPr>
          <w:sz w:val="24"/>
        </w:rPr>
        <w:t xml:space="preserve">CA</w:t>
      </w:r>
      <w:r>
        <w:rPr>
          <w:sz w:val="24"/>
        </w:rPr>
        <w:t xml:space="preserve">认证证书登录</w:t>
      </w:r>
      <w:r>
        <w:rPr>
          <w:sz w:val="24"/>
        </w:rPr>
        <w:t xml:space="preserve">“</w:t>
      </w:r>
      <w:r>
        <w:rPr>
          <w:sz w:val="24"/>
        </w:rPr>
        <w:t xml:space="preserve">苏</w:t>
      </w:r>
      <w:r>
        <w:rPr>
          <w:sz w:val="24"/>
        </w:rPr>
        <w:t xml:space="preserve">采云</w:t>
      </w:r>
      <w:r>
        <w:rPr>
          <w:sz w:val="24"/>
        </w:rPr>
        <w:t xml:space="preserve">”</w:t>
      </w:r>
      <w:r>
        <w:rPr>
          <w:sz w:val="24"/>
        </w:rPr>
        <w:t xml:space="preserve">政府采购一体化平台进行电子化不见面开标。</w:t>
      </w:r>
      <w:r>
        <w:rPr>
          <w:sz w:val="24"/>
        </w:rPr>
        <w:t xml:space="preserve"> </w:t>
      </w:r>
      <w:r/>
    </w:p>
    <w:p>
      <w:pPr>
        <w:ind w:firstLine="480"/>
        <w:spacing w:line="360" w:lineRule="auto"/>
        <w:rPr>
          <w:sz w:val="24"/>
        </w:rPr>
      </w:pPr>
      <w:r>
        <w:rPr>
          <w:sz w:val="24"/>
        </w:rPr>
        <w:t xml:space="preserve">1.8</w:t>
      </w:r>
      <w:r>
        <w:rPr>
          <w:sz w:val="24"/>
        </w:rPr>
        <w:t xml:space="preserve">注意事项</w:t>
      </w:r>
      <w:r/>
    </w:p>
    <w:p>
      <w:pPr>
        <w:ind w:firstLine="480"/>
        <w:spacing w:line="360" w:lineRule="auto"/>
        <w:rPr>
          <w:sz w:val="24"/>
        </w:rPr>
      </w:pPr>
      <w:r>
        <w:rPr>
          <w:sz w:val="24"/>
        </w:rPr>
        <w:t xml:space="preserve">供应商在开标前应当使用</w:t>
      </w:r>
      <w:r>
        <w:rPr>
          <w:sz w:val="24"/>
        </w:rPr>
        <w:t xml:space="preserve">“</w:t>
      </w:r>
      <w:r>
        <w:rPr>
          <w:sz w:val="24"/>
        </w:rPr>
        <w:t xml:space="preserve">验证</w:t>
      </w:r>
      <w:r>
        <w:rPr>
          <w:sz w:val="24"/>
        </w:rPr>
        <w:t xml:space="preserve">CA”</w:t>
      </w:r>
      <w:r>
        <w:rPr>
          <w:sz w:val="24"/>
        </w:rPr>
        <w:t xml:space="preserve">功能验证本地计算机的控件环境是否正常，并且在开标、评审过程中不可随意更换计算机，必须使用验证成功的计算机进行操作，否则造成相应后果由供应商自行承担。</w:t>
      </w:r>
      <w:r/>
    </w:p>
    <w:p>
      <w:pPr>
        <w:ind w:firstLine="480"/>
        <w:spacing w:line="360" w:lineRule="auto"/>
        <w:rPr>
          <w:sz w:val="24"/>
        </w:rPr>
      </w:pPr>
      <w:r>
        <w:rPr>
          <w:sz w:val="24"/>
        </w:rPr>
        <w:t xml:space="preserve">2.</w:t>
      </w:r>
      <w:r>
        <w:rPr>
          <w:sz w:val="24"/>
        </w:rPr>
        <w:t xml:space="preserve">关于常州市中小企业政府采购信用融资：</w:t>
      </w:r>
      <w:r/>
    </w:p>
    <w:p>
      <w:pPr>
        <w:ind w:firstLine="480"/>
        <w:spacing w:line="360" w:lineRule="auto"/>
        <w:rPr>
          <w:sz w:val="24"/>
          <w:lang w:bidi="ar"/>
        </w:rPr>
      </w:pPr>
      <w:r>
        <w:rPr>
          <w:sz w:val="24"/>
        </w:rPr>
        <w:t xml:space="preserve">根据《常州市财政局</w:t>
      </w:r>
      <w:r>
        <w:rPr>
          <w:sz w:val="24"/>
        </w:rPr>
        <w:t xml:space="preserve"> </w:t>
      </w:r>
      <w:r>
        <w:rPr>
          <w:sz w:val="24"/>
        </w:rPr>
        <w:t xml:space="preserve">中国人民银行常州市中心支行关于进一步推进政府采购信用融资工作的通知》（</w:t>
      </w:r>
      <w:r>
        <w:rPr>
          <w:sz w:val="24"/>
        </w:rPr>
        <w:t xml:space="preserve">常财购</w:t>
      </w:r>
      <w:r>
        <w:rPr>
          <w:sz w:val="24"/>
        </w:rPr>
        <w:t xml:space="preserve">〔</w:t>
      </w:r>
      <w:r>
        <w:rPr>
          <w:sz w:val="24"/>
        </w:rPr>
        <w:t xml:space="preserve">2021</w:t>
      </w:r>
      <w:r>
        <w:rPr>
          <w:sz w:val="24"/>
        </w:rPr>
        <w:t xml:space="preserve">〕</w:t>
      </w:r>
      <w:r>
        <w:rPr>
          <w:sz w:val="24"/>
        </w:rPr>
        <w:t xml:space="preserve">13</w:t>
      </w:r>
      <w:r>
        <w:rPr>
          <w:sz w:val="24"/>
        </w:rPr>
        <w:t xml:space="preserve">号）等有关文件精神，我市实行</w:t>
      </w:r>
      <w:r>
        <w:rPr>
          <w:sz w:val="24"/>
        </w:rPr>
        <w:t xml:space="preserve">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sz w:val="24"/>
        </w:rPr>
        <w:t xml:space="preserve">--</w:t>
      </w:r>
      <w:r>
        <w:rPr>
          <w:sz w:val="24"/>
        </w:rPr>
        <w:t xml:space="preserve">政采融资</w:t>
      </w:r>
      <w:r>
        <w:rPr>
          <w:sz w:val="24"/>
        </w:rPr>
        <w:t xml:space="preserve">平台栏目。</w:t>
      </w:r>
      <w:r/>
    </w:p>
    <w:p>
      <w:pPr>
        <w:keepLines/>
        <w:keepNext/>
        <w:spacing w:before="120" w:after="120"/>
        <w:rPr>
          <w:b/>
          <w:bCs/>
          <w:sz w:val="32"/>
          <w:szCs w:val="32"/>
        </w:rPr>
        <w:outlineLvl w:val="2"/>
      </w:pPr>
      <w:r>
        <w:rPr>
          <w:b/>
          <w:bCs/>
          <w:sz w:val="32"/>
          <w:szCs w:val="32"/>
        </w:rPr>
        <w:t xml:space="preserve">七、本次磋商联系方式</w:t>
      </w:r>
      <w:bookmarkEnd w:id="36"/>
      <w:r/>
      <w:bookmarkEnd w:id="37"/>
      <w:r/>
      <w:bookmarkEnd w:id="38"/>
      <w:r/>
      <w:bookmarkEnd w:id="39"/>
      <w:r/>
      <w:bookmarkEnd w:id="40"/>
      <w:r/>
      <w:r/>
    </w:p>
    <w:p>
      <w:pPr>
        <w:ind w:firstLine="480"/>
        <w:spacing w:line="360" w:lineRule="auto"/>
        <w:rPr>
          <w:sz w:val="24"/>
        </w:rPr>
      </w:pPr>
      <w:r>
        <w:rPr>
          <w:sz w:val="24"/>
        </w:rPr>
        <w:t xml:space="preserve">1.</w:t>
      </w:r>
      <w:r>
        <w:rPr>
          <w:sz w:val="24"/>
        </w:rPr>
        <w:t xml:space="preserve">采购人信息</w:t>
      </w:r>
      <w:r/>
    </w:p>
    <w:p>
      <w:pPr>
        <w:ind w:firstLine="480"/>
        <w:spacing w:line="360" w:lineRule="auto"/>
        <w:rPr>
          <w:sz w:val="24"/>
        </w:rPr>
      </w:pPr>
      <w:r>
        <w:rPr>
          <w:sz w:val="24"/>
        </w:rPr>
        <w:t xml:space="preserve">名</w:t>
      </w:r>
      <w:r>
        <w:rPr>
          <w:sz w:val="24"/>
        </w:rPr>
        <w:t xml:space="preserve"> </w:t>
      </w:r>
      <w:r>
        <w:rPr>
          <w:sz w:val="24"/>
        </w:rPr>
        <w:t xml:space="preserve">称：</w:t>
      </w:r>
      <w:r>
        <w:rPr>
          <w:rFonts w:hint="eastAsia"/>
          <w:sz w:val="24"/>
        </w:rPr>
        <w:t xml:space="preserve">溧阳市公安局</w:t>
      </w:r>
      <w:r>
        <w:rPr>
          <w:sz w:val="24"/>
        </w:rPr>
        <w:t xml:space="preserve">　　</w:t>
      </w:r>
      <w:r/>
    </w:p>
    <w:p>
      <w:pPr>
        <w:ind w:firstLine="480"/>
        <w:spacing w:line="360" w:lineRule="auto"/>
        <w:rPr>
          <w:sz w:val="24"/>
        </w:rPr>
      </w:pPr>
      <w:r>
        <w:rPr>
          <w:sz w:val="24"/>
        </w:rPr>
        <w:t xml:space="preserve">地址：</w:t>
      </w:r>
      <w:r>
        <w:rPr>
          <w:rFonts w:hint="eastAsia"/>
          <w:sz w:val="24"/>
        </w:rPr>
        <w:t xml:space="preserve">江苏省常州市溧阳市燕山中路</w:t>
      </w:r>
      <w:r>
        <w:rPr>
          <w:rFonts w:hint="eastAsia"/>
          <w:sz w:val="24"/>
        </w:rPr>
        <w:t xml:space="preserve">8</w:t>
      </w:r>
      <w:r>
        <w:rPr>
          <w:rFonts w:hint="eastAsia"/>
          <w:sz w:val="24"/>
        </w:rPr>
        <w:t xml:space="preserve">号</w:t>
      </w:r>
      <w:r>
        <w:rPr>
          <w:rFonts w:hint="eastAsia"/>
          <w:sz w:val="24"/>
        </w:rPr>
        <w:t xml:space="preserve"> </w:t>
      </w:r>
      <w:r/>
    </w:p>
    <w:p>
      <w:pPr>
        <w:ind w:firstLine="480"/>
        <w:spacing w:line="360" w:lineRule="auto"/>
        <w:rPr>
          <w:sz w:val="24"/>
        </w:rPr>
      </w:pPr>
      <w:r>
        <w:rPr>
          <w:rFonts w:hint="eastAsia"/>
          <w:bCs/>
          <w:sz w:val="24"/>
          <w:szCs w:val="24"/>
        </w:rPr>
        <w:t xml:space="preserve">联系人：</w:t>
      </w:r>
      <w:r>
        <w:rPr>
          <w:rFonts w:hint="eastAsia"/>
          <w:bCs/>
          <w:sz w:val="24"/>
          <w:szCs w:val="24"/>
        </w:rPr>
        <w:t xml:space="preserve">姚先生</w:t>
      </w:r>
      <w:r/>
    </w:p>
    <w:p>
      <w:pPr>
        <w:ind w:firstLine="480"/>
        <w:spacing w:line="360" w:lineRule="auto"/>
        <w:rPr>
          <w:sz w:val="24"/>
        </w:rPr>
      </w:pPr>
      <w:r>
        <w:rPr>
          <w:sz w:val="24"/>
        </w:rPr>
        <w:t xml:space="preserve">联系方式：</w:t>
      </w:r>
      <w:bookmarkStart w:id="41" w:name="_Toc28359009"/>
      <w:r/>
      <w:bookmarkStart w:id="42" w:name="_Toc28359086"/>
      <w:r>
        <w:rPr>
          <w:rFonts w:hint="eastAsia"/>
          <w:sz w:val="24"/>
        </w:rPr>
        <w:t xml:space="preserve">05</w:t>
      </w:r>
      <w:r>
        <w:rPr>
          <w:rFonts w:hint="eastAsia"/>
          <w:sz w:val="24"/>
        </w:rPr>
        <w:t xml:space="preserve">19-87266295</w:t>
      </w:r>
      <w:r/>
    </w:p>
    <w:p>
      <w:pPr>
        <w:ind w:firstLine="480"/>
        <w:spacing w:line="360" w:lineRule="auto"/>
        <w:rPr>
          <w:sz w:val="24"/>
        </w:rPr>
      </w:pPr>
      <w:r>
        <w:rPr>
          <w:sz w:val="24"/>
        </w:rPr>
        <w:t xml:space="preserve">2.</w:t>
      </w:r>
      <w:r>
        <w:rPr>
          <w:sz w:val="24"/>
        </w:rPr>
        <w:t xml:space="preserve">溧阳市政府采购中心信息</w:t>
      </w:r>
      <w:bookmarkEnd w:id="41"/>
      <w:r/>
      <w:bookmarkEnd w:id="42"/>
      <w:r/>
      <w:r/>
    </w:p>
    <w:p>
      <w:pPr>
        <w:ind w:firstLine="480"/>
        <w:spacing w:line="360" w:lineRule="auto"/>
        <w:rPr>
          <w:sz w:val="24"/>
        </w:rPr>
      </w:pPr>
      <w:r>
        <w:rPr>
          <w:sz w:val="24"/>
        </w:rPr>
        <w:t xml:space="preserve">地　址：溧阳</w:t>
      </w:r>
      <w:r>
        <w:rPr>
          <w:sz w:val="24"/>
        </w:rPr>
        <w:t xml:space="preserve">市琴园</w:t>
      </w:r>
      <w:r>
        <w:rPr>
          <w:sz w:val="24"/>
        </w:rPr>
        <w:t xml:space="preserve">路</w:t>
      </w:r>
      <w:r>
        <w:rPr>
          <w:sz w:val="24"/>
        </w:rPr>
        <w:t xml:space="preserve">8</w:t>
      </w:r>
      <w:r>
        <w:rPr>
          <w:sz w:val="24"/>
        </w:rPr>
        <w:t xml:space="preserve">号</w:t>
      </w:r>
      <w:r>
        <w:rPr>
          <w:sz w:val="24"/>
        </w:rPr>
        <w:t xml:space="preserve"> </w:t>
      </w:r>
      <w:r/>
    </w:p>
    <w:p>
      <w:pPr>
        <w:ind w:firstLine="480"/>
        <w:spacing w:line="360" w:lineRule="auto"/>
        <w:rPr>
          <w:sz w:val="24"/>
        </w:rPr>
      </w:pPr>
      <w:r>
        <w:rPr>
          <w:sz w:val="24"/>
        </w:rPr>
        <w:t xml:space="preserve">联系人：吕先生</w:t>
      </w:r>
      <w:r/>
    </w:p>
    <w:p>
      <w:pPr>
        <w:ind w:firstLine="480"/>
        <w:spacing w:line="360" w:lineRule="auto"/>
        <w:rPr>
          <w:sz w:val="24"/>
        </w:rPr>
      </w:pPr>
      <w:r>
        <w:rPr>
          <w:sz w:val="24"/>
        </w:rPr>
        <w:t xml:space="preserve">联系方式：</w:t>
      </w:r>
      <w:bookmarkStart w:id="43" w:name="_Toc28359010"/>
      <w:r/>
      <w:bookmarkStart w:id="44" w:name="_Toc28359087"/>
      <w:r>
        <w:rPr>
          <w:sz w:val="24"/>
        </w:rPr>
        <w:t xml:space="preserve">0519-87216894 </w:t>
      </w:r>
      <w:r/>
    </w:p>
    <w:p>
      <w:pPr>
        <w:ind w:firstLine="480"/>
        <w:spacing w:line="360" w:lineRule="auto"/>
        <w:rPr>
          <w:sz w:val="24"/>
          <w:szCs w:val="24"/>
        </w:rPr>
      </w:pPr>
      <w:r>
        <w:rPr>
          <w:sz w:val="24"/>
        </w:rPr>
        <w:t xml:space="preserve">电子化招投标技术支持电话：</w:t>
      </w:r>
      <w:r>
        <w:rPr>
          <w:sz w:val="24"/>
        </w:rPr>
        <w:t xml:space="preserve">0519-85588210</w:t>
      </w:r>
      <w:bookmarkEnd w:id="43"/>
      <w:r/>
      <w:bookmarkEnd w:id="44"/>
      <w:r/>
      <w:r/>
    </w:p>
    <w:p>
      <w:pPr>
        <w:keepLines/>
        <w:keepNext/>
        <w:spacing w:before="120" w:after="120" w:line="360" w:lineRule="auto"/>
        <w:rPr>
          <w:b/>
          <w:bCs/>
          <w:sz w:val="32"/>
          <w:szCs w:val="32"/>
        </w:rPr>
        <w:outlineLvl w:val="2"/>
      </w:pPr>
      <w:r>
        <w:rPr>
          <w:b/>
          <w:bCs/>
          <w:sz w:val="32"/>
          <w:szCs w:val="32"/>
        </w:rPr>
        <w:t xml:space="preserve">八、其他</w:t>
      </w:r>
      <w:r/>
    </w:p>
    <w:p>
      <w:pPr>
        <w:ind w:firstLine="480"/>
        <w:jc w:val="left"/>
        <w:spacing w:line="360" w:lineRule="auto"/>
        <w:tabs>
          <w:tab w:val="left" w:pos="900" w:leader="none"/>
        </w:tabs>
        <w:rPr>
          <w:bCs/>
          <w:sz w:val="24"/>
          <w:szCs w:val="24"/>
        </w:rPr>
      </w:pPr>
      <w:r>
        <w:rPr>
          <w:sz w:val="24"/>
          <w:szCs w:val="21"/>
        </w:rPr>
        <w:t xml:space="preserve">1.</w:t>
      </w:r>
      <w:r>
        <w:rPr>
          <w:bCs/>
          <w:sz w:val="24"/>
          <w:szCs w:val="24"/>
        </w:rPr>
        <w:t xml:space="preserve"> </w:t>
      </w:r>
      <w:r>
        <w:rPr>
          <w:bCs/>
          <w:sz w:val="24"/>
          <w:szCs w:val="24"/>
        </w:rPr>
        <w:t xml:space="preserve">根据省财政厅《关于更换全省政府采购交易系统</w:t>
      </w:r>
      <w:r>
        <w:rPr>
          <w:bCs/>
          <w:sz w:val="24"/>
          <w:szCs w:val="24"/>
        </w:rPr>
        <w:t xml:space="preserve">C A</w:t>
      </w:r>
      <w:r>
        <w:rPr>
          <w:bCs/>
          <w:sz w:val="24"/>
          <w:szCs w:val="24"/>
        </w:rPr>
        <w:t xml:space="preserve">数字证书和电子签章的通知》（</w:t>
      </w:r>
      <w:r>
        <w:rPr>
          <w:bCs/>
          <w:sz w:val="24"/>
          <w:szCs w:val="24"/>
        </w:rPr>
        <w:t xml:space="preserve">苏财购〔</w:t>
      </w:r>
      <w:r>
        <w:rPr>
          <w:bCs/>
          <w:sz w:val="24"/>
          <w:szCs w:val="24"/>
        </w:rPr>
        <w:t xml:space="preserve">2023</w:t>
      </w:r>
      <w:r>
        <w:rPr>
          <w:bCs/>
          <w:sz w:val="24"/>
          <w:szCs w:val="24"/>
        </w:rPr>
        <w:t xml:space="preserve">〕</w:t>
      </w:r>
      <w:r>
        <w:rPr>
          <w:bCs/>
          <w:sz w:val="24"/>
          <w:szCs w:val="24"/>
        </w:rPr>
        <w:t xml:space="preserve">101</w:t>
      </w:r>
      <w:r>
        <w:rPr>
          <w:bCs/>
          <w:sz w:val="24"/>
          <w:szCs w:val="24"/>
        </w:rPr>
        <w:t xml:space="preserve">号），</w:t>
      </w:r>
      <w:r>
        <w:rPr>
          <w:sz w:val="24"/>
          <w:szCs w:val="24"/>
        </w:rPr>
        <w:t xml:space="preserve">“</w:t>
      </w:r>
      <w:r>
        <w:rPr>
          <w:sz w:val="24"/>
          <w:szCs w:val="24"/>
        </w:rPr>
        <w:t xml:space="preserve">苏</w:t>
      </w:r>
      <w:r>
        <w:rPr>
          <w:sz w:val="24"/>
          <w:szCs w:val="24"/>
        </w:rPr>
        <w:t xml:space="preserve">采云</w:t>
      </w:r>
      <w:r>
        <w:rPr>
          <w:sz w:val="24"/>
          <w:szCs w:val="24"/>
        </w:rPr>
        <w:t xml:space="preserve">”</w:t>
      </w:r>
      <w:r>
        <w:rPr>
          <w:sz w:val="24"/>
          <w:szCs w:val="24"/>
        </w:rPr>
        <w:t xml:space="preserve">政府采购交易系统（以下简称苏</w:t>
      </w:r>
      <w:r>
        <w:rPr>
          <w:sz w:val="24"/>
          <w:szCs w:val="24"/>
        </w:rPr>
        <w:t xml:space="preserve">采云</w:t>
      </w:r>
      <w:r>
        <w:rPr>
          <w:sz w:val="24"/>
          <w:szCs w:val="24"/>
        </w:rPr>
        <w:t xml:space="preserve">系统）</w:t>
      </w:r>
      <w:r>
        <w:rPr>
          <w:bCs/>
          <w:sz w:val="24"/>
          <w:szCs w:val="24"/>
        </w:rPr>
        <w:t xml:space="preserve">的</w:t>
      </w:r>
      <w:r>
        <w:rPr>
          <w:bCs/>
          <w:sz w:val="24"/>
          <w:szCs w:val="24"/>
        </w:rPr>
        <w:t xml:space="preserve">CA</w:t>
      </w:r>
      <w:r>
        <w:rPr>
          <w:bCs/>
          <w:sz w:val="24"/>
          <w:szCs w:val="24"/>
        </w:rPr>
        <w:t xml:space="preserve">数字证书、电子签章已更换为江苏省电子政务证书认证中心</w:t>
      </w:r>
      <w:r>
        <w:rPr>
          <w:bCs/>
          <w:sz w:val="24"/>
          <w:szCs w:val="24"/>
        </w:rPr>
        <w:t xml:space="preserve">C A</w:t>
      </w:r>
      <w:r>
        <w:rPr>
          <w:bCs/>
          <w:sz w:val="24"/>
          <w:szCs w:val="24"/>
        </w:rPr>
        <w:t xml:space="preserve">和方正国际软件（北京）有限公司电子签章。如果供应商通过</w:t>
      </w:r>
      <w:r>
        <w:rPr>
          <w:sz w:val="24"/>
          <w:szCs w:val="24"/>
        </w:rPr>
        <w:t xml:space="preserve">苏</w:t>
      </w:r>
      <w:r>
        <w:rPr>
          <w:sz w:val="24"/>
          <w:szCs w:val="24"/>
        </w:rPr>
        <w:t xml:space="preserve">采云</w:t>
      </w:r>
      <w:r>
        <w:rPr>
          <w:sz w:val="24"/>
          <w:szCs w:val="24"/>
        </w:rPr>
        <w:t xml:space="preserve">系统</w:t>
      </w:r>
      <w:r>
        <w:rPr>
          <w:bCs/>
          <w:sz w:val="24"/>
          <w:szCs w:val="24"/>
        </w:rPr>
        <w:t xml:space="preserve">参与政府采购项目，需要更</w:t>
      </w:r>
      <w:r>
        <w:rPr>
          <w:bCs/>
          <w:sz w:val="24"/>
          <w:szCs w:val="24"/>
        </w:rPr>
        <w:t xml:space="preserve">换</w:t>
      </w:r>
      <w:r>
        <w:rPr>
          <w:bCs/>
          <w:sz w:val="24"/>
          <w:szCs w:val="24"/>
        </w:rPr>
        <w:t xml:space="preserve">CA</w:t>
      </w:r>
      <w:r>
        <w:rPr>
          <w:bCs/>
          <w:sz w:val="24"/>
          <w:szCs w:val="24"/>
        </w:rPr>
        <w:t xml:space="preserve">数字证书和电子签章。具体办理指南和操作手册见链接</w:t>
      </w:r>
      <w:r>
        <w:rPr>
          <w:rFonts w:hint="eastAsia"/>
          <w:bCs/>
          <w:sz w:val="24"/>
          <w:szCs w:val="24"/>
        </w:rPr>
        <w:t xml:space="preserve">：</w:t>
      </w:r>
      <w:r>
        <w:rPr>
          <w:bCs/>
          <w:sz w:val="24"/>
          <w:szCs w:val="24"/>
        </w:rPr>
        <w:t xml:space="preserve">http://www.ccgp-jiangsu.gov.cn/jiangsu/zlxz/ee/ee3a4bc5a3454aa2b0d9312</w:t>
      </w:r>
      <w:r>
        <w:rPr>
          <w:rFonts w:hint="eastAsia"/>
          <w:bCs/>
          <w:sz w:val="24"/>
          <w:szCs w:val="24"/>
        </w:rPr>
        <w:t xml:space="preserve"> </w:t>
      </w:r>
      <w:r>
        <w:rPr>
          <w:bCs/>
          <w:sz w:val="24"/>
          <w:szCs w:val="24"/>
        </w:rPr>
        <w:t xml:space="preserve">230633ce9.html</w:t>
      </w:r>
      <w:r>
        <w:rPr>
          <w:bCs/>
          <w:sz w:val="24"/>
          <w:szCs w:val="24"/>
        </w:rPr>
        <w:t xml:space="preserve">。</w:t>
      </w:r>
      <w:r/>
    </w:p>
    <w:p>
      <w:pPr>
        <w:ind w:firstLine="480"/>
        <w:spacing w:line="360" w:lineRule="auto"/>
        <w:tabs>
          <w:tab w:val="left" w:pos="900" w:leader="none"/>
        </w:tabs>
        <w:rPr>
          <w:sz w:val="24"/>
          <w:szCs w:val="24"/>
        </w:rPr>
      </w:pPr>
      <w:r>
        <w:rPr>
          <w:bCs/>
          <w:sz w:val="24"/>
          <w:szCs w:val="24"/>
        </w:rPr>
        <w:t xml:space="preserve">领取</w:t>
      </w:r>
      <w:r>
        <w:rPr>
          <w:bCs/>
          <w:sz w:val="24"/>
          <w:szCs w:val="24"/>
        </w:rPr>
        <w:t xml:space="preserve">CA</w:t>
      </w:r>
      <w:r>
        <w:rPr>
          <w:bCs/>
          <w:sz w:val="24"/>
          <w:szCs w:val="24"/>
        </w:rPr>
        <w:t xml:space="preserve">和办理电子签章（请至常州市锦绣路</w:t>
      </w:r>
      <w:r>
        <w:rPr>
          <w:bCs/>
          <w:sz w:val="24"/>
          <w:szCs w:val="24"/>
        </w:rPr>
        <w:t xml:space="preserve">2</w:t>
      </w:r>
      <w:r>
        <w:rPr>
          <w:bCs/>
          <w:sz w:val="24"/>
          <w:szCs w:val="24"/>
        </w:rPr>
        <w:t xml:space="preserve">号常州市政务服务中心</w:t>
      </w:r>
      <w:r>
        <w:rPr>
          <w:bCs/>
          <w:sz w:val="24"/>
          <w:szCs w:val="24"/>
        </w:rPr>
        <w:t xml:space="preserve">1-1</w:t>
      </w:r>
      <w:r>
        <w:rPr>
          <w:bCs/>
          <w:sz w:val="24"/>
          <w:szCs w:val="24"/>
        </w:rPr>
        <w:t xml:space="preserve">号楼四楼大厅</w:t>
      </w:r>
      <w:r>
        <w:rPr>
          <w:bCs/>
          <w:sz w:val="24"/>
          <w:szCs w:val="24"/>
        </w:rPr>
        <w:t xml:space="preserve">CA</w:t>
      </w:r>
      <w:r>
        <w:rPr>
          <w:bCs/>
          <w:sz w:val="24"/>
          <w:szCs w:val="24"/>
        </w:rPr>
        <w:t xml:space="preserve">办理窗口办理，窗口联系电话</w:t>
      </w:r>
      <w:r>
        <w:rPr>
          <w:bCs/>
          <w:sz w:val="24"/>
          <w:szCs w:val="24"/>
        </w:rPr>
        <w:t xml:space="preserve">0519-85588120</w:t>
      </w:r>
      <w:r>
        <w:rPr>
          <w:bCs/>
          <w:sz w:val="24"/>
          <w:szCs w:val="24"/>
        </w:rPr>
        <w:t xml:space="preserve">，其他联系方式见《苏</w:t>
      </w:r>
      <w:r>
        <w:rPr>
          <w:bCs/>
          <w:sz w:val="24"/>
          <w:szCs w:val="24"/>
        </w:rPr>
        <w:t xml:space="preserve">采云</w:t>
      </w:r>
      <w:r>
        <w:rPr>
          <w:bCs/>
          <w:sz w:val="24"/>
          <w:szCs w:val="24"/>
        </w:rPr>
        <w:t xml:space="preserve">系统供应商操作手册》（以下简称《操作手册》））、进行注册并按《操作手册》要求制作、上传电子投标文件。</w:t>
      </w:r>
      <w:r/>
    </w:p>
    <w:p>
      <w:pPr>
        <w:ind w:firstLine="480"/>
        <w:spacing w:line="360" w:lineRule="auto"/>
        <w:tabs>
          <w:tab w:val="left" w:pos="900" w:leader="none"/>
        </w:tabs>
        <w:rPr>
          <w:bCs/>
          <w:sz w:val="24"/>
          <w:szCs w:val="24"/>
        </w:rPr>
      </w:pPr>
      <w:r>
        <w:rPr>
          <w:bCs/>
          <w:sz w:val="24"/>
          <w:szCs w:val="24"/>
        </w:rPr>
        <w:t xml:space="preserve">2. </w:t>
      </w:r>
      <w:r>
        <w:rPr>
          <w:bCs/>
          <w:sz w:val="24"/>
          <w:szCs w:val="24"/>
        </w:rPr>
        <w:t xml:space="preserve">有关本次磋商的</w:t>
      </w:r>
      <w:r>
        <w:rPr>
          <w:bCs/>
          <w:sz w:val="24"/>
          <w:szCs w:val="24"/>
        </w:rPr>
        <w:t xml:space="preserve">事项若存在变动或修改，敬请及时关注常州市政府采购</w:t>
      </w:r>
      <w:r>
        <w:rPr>
          <w:bCs/>
          <w:sz w:val="24"/>
          <w:szCs w:val="24"/>
        </w:rPr>
        <w:t xml:space="preserve">中心在</w:t>
      </w:r>
      <w:r>
        <w:rPr>
          <w:bCs/>
          <w:sz w:val="24"/>
          <w:szCs w:val="24"/>
        </w:rPr>
        <w:t xml:space="preserve">“</w:t>
      </w:r>
      <w:r>
        <w:rPr>
          <w:bCs/>
          <w:sz w:val="24"/>
          <w:szCs w:val="24"/>
        </w:rPr>
        <w:t xml:space="preserve">江苏政府采购网、常州市政府采购网</w:t>
      </w:r>
      <w:r>
        <w:rPr>
          <w:bCs/>
          <w:sz w:val="24"/>
          <w:szCs w:val="24"/>
        </w:rPr>
        <w:t xml:space="preserve">”</w:t>
      </w:r>
      <w:r>
        <w:rPr>
          <w:bCs/>
          <w:sz w:val="24"/>
          <w:szCs w:val="24"/>
        </w:rPr>
        <w:t xml:space="preserve">发布的更正公告。</w:t>
      </w:r>
      <w:r/>
    </w:p>
    <w:p>
      <w:pPr>
        <w:ind w:firstLine="480"/>
        <w:spacing w:line="360" w:lineRule="auto"/>
        <w:tabs>
          <w:tab w:val="left" w:pos="900" w:leader="none"/>
        </w:tabs>
        <w:rPr>
          <w:bCs/>
          <w:sz w:val="24"/>
          <w:szCs w:val="24"/>
        </w:rPr>
      </w:pPr>
      <w:r>
        <w:rPr>
          <w:bCs/>
          <w:sz w:val="24"/>
          <w:szCs w:val="24"/>
        </w:rPr>
        <w:t xml:space="preserve">3. </w:t>
      </w:r>
      <w:r>
        <w:rPr>
          <w:bCs/>
          <w:sz w:val="24"/>
          <w:szCs w:val="24"/>
        </w:rPr>
        <w:t xml:space="preserve">本次磋商不</w:t>
      </w:r>
      <w:r>
        <w:rPr>
          <w:bCs/>
          <w:sz w:val="24"/>
          <w:szCs w:val="24"/>
        </w:rPr>
        <w:t xml:space="preserve">收取磋商</w:t>
      </w:r>
      <w:r>
        <w:rPr>
          <w:bCs/>
          <w:sz w:val="24"/>
          <w:szCs w:val="24"/>
        </w:rPr>
        <w:t xml:space="preserve">保证金。</w:t>
      </w:r>
      <w:r/>
    </w:p>
    <w:p>
      <w:pPr>
        <w:rPr>
          <w:rFonts w:eastAsia="黑体"/>
          <w:sz w:val="44"/>
          <w:szCs w:val="44"/>
        </w:rPr>
      </w:pPr>
      <w:r/>
      <w:bookmarkStart w:id="45" w:name="_Toc120614211"/>
      <w:r/>
      <w:bookmarkStart w:id="46" w:name="_Toc513029242"/>
      <w:r/>
      <w:bookmarkStart w:id="47" w:name="_Toc20823314"/>
      <w:r/>
      <w:bookmarkStart w:id="48" w:name="_Toc479757207"/>
      <w:r/>
      <w:bookmarkStart w:id="49" w:name="_Toc16938558"/>
      <w:r/>
      <w:bookmarkStart w:id="50" w:name="_Toc120614221"/>
      <w:r/>
      <w:bookmarkEnd w:id="1"/>
      <w:r/>
      <w:bookmarkEnd w:id="2"/>
      <w:r/>
      <w:bookmarkEnd w:id="3"/>
      <w:r/>
      <w:bookmarkEnd w:id="4"/>
      <w:r/>
      <w:bookmarkEnd w:id="5"/>
      <w:r>
        <w:rPr>
          <w:rFonts w:eastAsia="黑体"/>
          <w:sz w:val="44"/>
          <w:szCs w:val="44"/>
        </w:rPr>
        <w:br w:type="page" w:clear="all"/>
      </w:r>
      <w:r/>
    </w:p>
    <w:p>
      <w:pPr>
        <w:jc w:val="center"/>
        <w:keepNext/>
        <w:spacing w:before="240" w:after="240"/>
        <w:rPr>
          <w:rFonts w:eastAsia="黑体"/>
          <w:sz w:val="44"/>
          <w:szCs w:val="44"/>
        </w:rPr>
        <w:outlineLvl w:val="0"/>
      </w:pPr>
      <w:r/>
      <w:bookmarkStart w:id="51" w:name="_Toc26516"/>
      <w:r>
        <w:rPr>
          <w:rFonts w:eastAsia="黑体"/>
          <w:sz w:val="44"/>
          <w:szCs w:val="44"/>
        </w:rPr>
        <w:t xml:space="preserve">第二章</w:t>
      </w:r>
      <w:r>
        <w:rPr>
          <w:rFonts w:eastAsia="黑体"/>
          <w:sz w:val="44"/>
          <w:szCs w:val="44"/>
        </w:rPr>
        <w:t xml:space="preserve">  </w:t>
      </w:r>
      <w:bookmarkEnd w:id="45"/>
      <w:r>
        <w:rPr>
          <w:rFonts w:eastAsia="黑体"/>
          <w:sz w:val="44"/>
          <w:szCs w:val="44"/>
        </w:rPr>
        <w:t xml:space="preserve">供应商须知</w:t>
      </w:r>
      <w:bookmarkEnd w:id="51"/>
      <w:r/>
      <w:r/>
    </w:p>
    <w:p>
      <w:pPr>
        <w:keepLines/>
        <w:keepNext/>
        <w:spacing w:before="120" w:after="120" w:line="360" w:lineRule="auto"/>
        <w:rPr>
          <w:b/>
          <w:bCs/>
          <w:sz w:val="32"/>
          <w:szCs w:val="32"/>
        </w:rPr>
        <w:outlineLvl w:val="2"/>
      </w:pPr>
      <w:r/>
      <w:bookmarkStart w:id="52" w:name="_Toc20823275"/>
      <w:r/>
      <w:bookmarkStart w:id="53" w:name="_Toc120614214"/>
      <w:r/>
      <w:bookmarkStart w:id="54" w:name="_Toc513029203"/>
      <w:r/>
      <w:bookmarkStart w:id="55" w:name="_Toc16938519"/>
      <w:r>
        <w:rPr>
          <w:b/>
          <w:bCs/>
          <w:sz w:val="32"/>
          <w:szCs w:val="32"/>
        </w:rPr>
        <w:t xml:space="preserve">一、总则</w:t>
      </w:r>
      <w:bookmarkEnd w:id="52"/>
      <w:r/>
      <w:bookmarkEnd w:id="53"/>
      <w:r/>
      <w:bookmarkEnd w:id="54"/>
      <w:r/>
      <w:bookmarkEnd w:id="55"/>
      <w:r/>
      <w:r/>
    </w:p>
    <w:p>
      <w:pPr>
        <w:ind w:firstLine="560"/>
        <w:keepLines/>
        <w:keepNext/>
        <w:spacing w:line="360" w:lineRule="auto"/>
        <w:rPr>
          <w:rFonts w:eastAsia="黑体"/>
          <w:sz w:val="28"/>
          <w:szCs w:val="28"/>
        </w:rPr>
        <w:outlineLvl w:val="3"/>
      </w:pPr>
      <w:r/>
      <w:bookmarkStart w:id="56" w:name="_Hlt16619475"/>
      <w:r/>
      <w:bookmarkStart w:id="57" w:name="_Toc458694821"/>
      <w:r/>
      <w:bookmarkStart w:id="58" w:name="_Toc20823276"/>
      <w:r/>
      <w:bookmarkStart w:id="59" w:name="_Toc513029204"/>
      <w:r/>
      <w:bookmarkStart w:id="60" w:name="_Toc16938520"/>
      <w:r/>
      <w:bookmarkEnd w:id="56"/>
      <w:r>
        <w:rPr>
          <w:rFonts w:eastAsia="黑体"/>
          <w:sz w:val="28"/>
          <w:szCs w:val="28"/>
        </w:rPr>
        <w:t xml:space="preserve">1</w:t>
      </w:r>
      <w:bookmarkEnd w:id="57"/>
      <w:r>
        <w:rPr>
          <w:rFonts w:eastAsia="黑体"/>
          <w:sz w:val="28"/>
          <w:szCs w:val="28"/>
        </w:rPr>
        <w:t xml:space="preserve">、采购方式</w:t>
      </w:r>
      <w:bookmarkEnd w:id="58"/>
      <w:r/>
      <w:bookmarkEnd w:id="59"/>
      <w:r/>
      <w:bookmarkEnd w:id="60"/>
      <w:r/>
      <w:r/>
    </w:p>
    <w:p>
      <w:pPr>
        <w:ind w:firstLine="480"/>
        <w:spacing w:line="360" w:lineRule="auto"/>
        <w:rPr>
          <w:sz w:val="24"/>
          <w:szCs w:val="21"/>
        </w:rPr>
      </w:pPr>
      <w:r>
        <w:rPr>
          <w:sz w:val="24"/>
          <w:szCs w:val="21"/>
        </w:rPr>
        <w:t xml:space="preserve">1.1 </w:t>
      </w:r>
      <w:r>
        <w:rPr>
          <w:sz w:val="24"/>
          <w:szCs w:val="21"/>
        </w:rPr>
        <w:t xml:space="preserve">本次政府采购活动采取竞争性磋商</w:t>
      </w:r>
      <w:r>
        <w:rPr>
          <w:sz w:val="24"/>
          <w:szCs w:val="21"/>
        </w:rPr>
        <w:t xml:space="preserve">(</w:t>
      </w:r>
      <w:r>
        <w:rPr>
          <w:sz w:val="24"/>
          <w:szCs w:val="21"/>
        </w:rPr>
        <w:t xml:space="preserve">以下简称磋商</w:t>
      </w:r>
      <w:r>
        <w:rPr>
          <w:sz w:val="24"/>
          <w:szCs w:val="21"/>
        </w:rPr>
        <w:t xml:space="preserve">)</w:t>
      </w:r>
      <w:r>
        <w:rPr>
          <w:sz w:val="24"/>
          <w:szCs w:val="21"/>
        </w:rPr>
        <w:t xml:space="preserve">方式，本磋商文件仅适用于磋商公告中所述项目。</w:t>
      </w:r>
      <w:r/>
    </w:p>
    <w:p>
      <w:pPr>
        <w:ind w:firstLine="560"/>
        <w:keepLines/>
        <w:keepNext/>
        <w:spacing w:line="360" w:lineRule="auto"/>
        <w:rPr>
          <w:rFonts w:eastAsia="黑体"/>
          <w:sz w:val="28"/>
          <w:szCs w:val="28"/>
        </w:rPr>
        <w:outlineLvl w:val="3"/>
      </w:pPr>
      <w:r/>
      <w:bookmarkStart w:id="61" w:name="_Toc16938521"/>
      <w:r/>
      <w:bookmarkStart w:id="62" w:name="_Toc20823277"/>
      <w:r/>
      <w:bookmarkStart w:id="63" w:name="_Toc513029205"/>
      <w:r>
        <w:rPr>
          <w:rFonts w:eastAsia="黑体"/>
          <w:sz w:val="28"/>
          <w:szCs w:val="28"/>
        </w:rPr>
        <w:t xml:space="preserve">2</w:t>
      </w:r>
      <w:r>
        <w:rPr>
          <w:rFonts w:eastAsia="黑体"/>
          <w:sz w:val="28"/>
          <w:szCs w:val="28"/>
        </w:rPr>
        <w:t xml:space="preserve">、合格的</w:t>
      </w:r>
      <w:bookmarkEnd w:id="61"/>
      <w:r/>
      <w:bookmarkEnd w:id="62"/>
      <w:r/>
      <w:bookmarkEnd w:id="63"/>
      <w:r>
        <w:rPr>
          <w:rFonts w:eastAsia="黑体"/>
          <w:sz w:val="28"/>
          <w:szCs w:val="28"/>
        </w:rPr>
        <w:t xml:space="preserve">供应商</w:t>
      </w:r>
      <w:r/>
    </w:p>
    <w:p>
      <w:pPr>
        <w:ind w:firstLine="480"/>
        <w:spacing w:line="360" w:lineRule="auto"/>
        <w:rPr>
          <w:sz w:val="24"/>
          <w:szCs w:val="24"/>
        </w:rPr>
      </w:pPr>
      <w:r>
        <w:rPr>
          <w:sz w:val="24"/>
          <w:szCs w:val="24"/>
        </w:rPr>
        <w:t xml:space="preserve">2.1 </w:t>
      </w:r>
      <w:r>
        <w:rPr>
          <w:sz w:val="24"/>
          <w:szCs w:val="24"/>
        </w:rPr>
        <w:t xml:space="preserve">满足磋商公告中供应商资格要求的规定。</w:t>
      </w:r>
      <w:r/>
    </w:p>
    <w:p>
      <w:pPr>
        <w:ind w:firstLine="480"/>
        <w:spacing w:line="360" w:lineRule="auto"/>
        <w:rPr>
          <w:sz w:val="24"/>
          <w:szCs w:val="24"/>
        </w:rPr>
      </w:pPr>
      <w:r>
        <w:rPr>
          <w:sz w:val="24"/>
          <w:szCs w:val="24"/>
        </w:rPr>
        <w:t xml:space="preserve">2.2 </w:t>
      </w:r>
      <w:r>
        <w:rPr>
          <w:sz w:val="24"/>
          <w:szCs w:val="24"/>
        </w:rPr>
        <w:t xml:space="preserve">满足本磋商文件实质性要求和条件的规定。</w:t>
      </w:r>
      <w:r/>
    </w:p>
    <w:p>
      <w:pPr>
        <w:ind w:firstLine="560"/>
        <w:keepLines/>
        <w:keepNext/>
        <w:spacing w:line="360" w:lineRule="auto"/>
        <w:rPr>
          <w:rFonts w:eastAsia="黑体"/>
          <w:sz w:val="28"/>
          <w:szCs w:val="28"/>
        </w:rPr>
        <w:outlineLvl w:val="3"/>
      </w:pPr>
      <w:r/>
      <w:bookmarkStart w:id="64" w:name="_Toc20823278"/>
      <w:r/>
      <w:bookmarkStart w:id="65" w:name="_Toc513029206"/>
      <w:r/>
      <w:bookmarkStart w:id="66" w:name="_Toc16938522"/>
      <w:r>
        <w:rPr>
          <w:rFonts w:eastAsia="黑体"/>
          <w:sz w:val="28"/>
          <w:szCs w:val="28"/>
        </w:rPr>
        <w:t xml:space="preserve">3</w:t>
      </w:r>
      <w:r>
        <w:rPr>
          <w:rFonts w:eastAsia="黑体"/>
          <w:sz w:val="28"/>
          <w:szCs w:val="28"/>
        </w:rPr>
        <w:t xml:space="preserve">、适用法律</w:t>
      </w:r>
      <w:bookmarkEnd w:id="64"/>
      <w:r/>
      <w:bookmarkEnd w:id="65"/>
      <w:r/>
      <w:bookmarkEnd w:id="66"/>
      <w:r/>
      <w:r/>
    </w:p>
    <w:p>
      <w:pPr>
        <w:ind w:firstLine="480"/>
        <w:spacing w:line="360" w:lineRule="auto"/>
        <w:rPr>
          <w:sz w:val="24"/>
          <w:szCs w:val="21"/>
        </w:rPr>
      </w:pPr>
      <w:r>
        <w:rPr>
          <w:sz w:val="24"/>
          <w:szCs w:val="21"/>
        </w:rPr>
        <w:t xml:space="preserve">3.1 </w:t>
      </w:r>
      <w:r>
        <w:rPr>
          <w:sz w:val="24"/>
          <w:szCs w:val="21"/>
        </w:rPr>
        <w:t xml:space="preserve">本次磋商及由此产生的合同受中华人民共和国有关的法律法规制约和保护。</w:t>
      </w:r>
      <w:r/>
    </w:p>
    <w:p>
      <w:pPr>
        <w:ind w:firstLine="560"/>
        <w:keepLines/>
        <w:keepNext/>
        <w:spacing w:line="360" w:lineRule="auto"/>
        <w:rPr>
          <w:rFonts w:eastAsia="黑体"/>
          <w:sz w:val="28"/>
          <w:szCs w:val="28"/>
        </w:rPr>
        <w:outlineLvl w:val="3"/>
      </w:pPr>
      <w:r/>
      <w:bookmarkStart w:id="67" w:name="_Toc462564067"/>
      <w:r/>
      <w:bookmarkStart w:id="68" w:name="_Toc20823279"/>
      <w:r/>
      <w:bookmarkStart w:id="69" w:name="_Toc16938523"/>
      <w:r/>
      <w:bookmarkStart w:id="70" w:name="_Toc513029207"/>
      <w:r>
        <w:rPr>
          <w:rFonts w:eastAsia="黑体"/>
          <w:sz w:val="28"/>
          <w:szCs w:val="28"/>
        </w:rPr>
        <w:t xml:space="preserve">4</w:t>
      </w:r>
      <w:r>
        <w:rPr>
          <w:rFonts w:eastAsia="黑体"/>
          <w:sz w:val="28"/>
          <w:szCs w:val="28"/>
        </w:rPr>
        <w:t xml:space="preserve">、磋商费用</w:t>
      </w:r>
      <w:bookmarkEnd w:id="67"/>
      <w:r/>
      <w:bookmarkEnd w:id="68"/>
      <w:r/>
      <w:bookmarkEnd w:id="69"/>
      <w:r/>
      <w:bookmarkEnd w:id="70"/>
      <w:r/>
      <w:r/>
    </w:p>
    <w:p>
      <w:pPr>
        <w:ind w:firstLine="480"/>
        <w:spacing w:line="360" w:lineRule="auto"/>
        <w:rPr>
          <w:sz w:val="24"/>
          <w:szCs w:val="21"/>
        </w:rPr>
      </w:pPr>
      <w:r>
        <w:rPr>
          <w:bCs/>
          <w:sz w:val="24"/>
          <w:szCs w:val="21"/>
        </w:rPr>
        <w:t xml:space="preserve">4.1 </w:t>
      </w:r>
      <w:r>
        <w:rPr>
          <w:sz w:val="24"/>
          <w:szCs w:val="21"/>
        </w:rPr>
        <w:t xml:space="preserve">供应商应自行承担所有与参加本次磋商有关的费用，无论磋商过程中的做法和结果如何，溧阳市政府采购中心（以下简称采购中心）在任何情况下均无义务和责任承担这些费用。</w:t>
      </w:r>
      <w:r/>
    </w:p>
    <w:p>
      <w:pPr>
        <w:ind w:firstLine="480"/>
        <w:spacing w:line="360" w:lineRule="auto"/>
        <w:rPr>
          <w:sz w:val="24"/>
          <w:szCs w:val="21"/>
        </w:rPr>
      </w:pPr>
      <w:r>
        <w:rPr>
          <w:sz w:val="24"/>
          <w:szCs w:val="21"/>
        </w:rPr>
        <w:t xml:space="preserve">4.2</w:t>
      </w:r>
      <w:r>
        <w:rPr>
          <w:sz w:val="24"/>
          <w:szCs w:val="21"/>
        </w:rPr>
        <w:t xml:space="preserve">本次磋商采购中心和采购人不收取标书工本费与成交服务费。</w:t>
      </w:r>
      <w:r/>
    </w:p>
    <w:p>
      <w:pPr>
        <w:ind w:firstLine="602"/>
        <w:keepLines/>
        <w:keepNext/>
        <w:spacing w:line="360" w:lineRule="auto"/>
        <w:rPr>
          <w:rFonts w:eastAsia="黑体"/>
          <w:sz w:val="28"/>
          <w:szCs w:val="28"/>
        </w:rPr>
        <w:outlineLvl w:val="3"/>
      </w:pPr>
      <w:r>
        <w:rPr>
          <w:rFonts w:eastAsia="黑体"/>
          <w:b/>
          <w:bCs/>
          <w:sz w:val="30"/>
          <w:szCs w:val="28"/>
        </w:rPr>
        <w:t xml:space="preserve">5</w:t>
      </w:r>
      <w:r>
        <w:rPr>
          <w:rFonts w:eastAsia="黑体"/>
          <w:b/>
          <w:bCs/>
          <w:sz w:val="30"/>
          <w:szCs w:val="28"/>
        </w:rPr>
        <w:t xml:space="preserve">、</w:t>
      </w:r>
      <w:r>
        <w:rPr>
          <w:rFonts w:eastAsia="黑体"/>
          <w:sz w:val="28"/>
          <w:szCs w:val="28"/>
        </w:rPr>
        <w:t xml:space="preserve">磋商文件的约束力</w:t>
      </w:r>
      <w:r/>
    </w:p>
    <w:p>
      <w:pPr>
        <w:ind w:firstLine="480"/>
        <w:spacing w:line="360" w:lineRule="auto"/>
        <w:rPr>
          <w:sz w:val="24"/>
          <w:szCs w:val="24"/>
        </w:rPr>
      </w:pPr>
      <w:r>
        <w:rPr>
          <w:bCs/>
          <w:sz w:val="24"/>
          <w:szCs w:val="24"/>
        </w:rPr>
        <w:t xml:space="preserve">5.1 </w:t>
      </w:r>
      <w:r>
        <w:rPr>
          <w:sz w:val="24"/>
          <w:szCs w:val="24"/>
        </w:rPr>
        <w:t xml:space="preserve">供应商一旦参加本项目采购活动，即被认为接受了本磋商文件的规定和约束。</w:t>
      </w:r>
      <w:r/>
    </w:p>
    <w:p>
      <w:pPr>
        <w:keepLines/>
        <w:keepNext/>
        <w:spacing w:before="120" w:after="120" w:line="360" w:lineRule="auto"/>
        <w:rPr>
          <w:b/>
          <w:bCs/>
          <w:sz w:val="32"/>
          <w:szCs w:val="32"/>
        </w:rPr>
        <w:outlineLvl w:val="2"/>
      </w:pPr>
      <w:r/>
      <w:bookmarkStart w:id="71" w:name="_Toc120614215"/>
      <w:r/>
      <w:bookmarkStart w:id="72" w:name="_Toc513029209"/>
      <w:r/>
      <w:bookmarkStart w:id="73" w:name="_Toc16938525"/>
      <w:r/>
      <w:bookmarkStart w:id="74" w:name="_Toc20823281"/>
      <w:r>
        <w:rPr>
          <w:b/>
          <w:bCs/>
          <w:sz w:val="32"/>
          <w:szCs w:val="32"/>
        </w:rPr>
        <w:t xml:space="preserve">二、</w:t>
      </w:r>
      <w:bookmarkEnd w:id="71"/>
      <w:r/>
      <w:bookmarkEnd w:id="72"/>
      <w:r/>
      <w:bookmarkEnd w:id="73"/>
      <w:r/>
      <w:bookmarkEnd w:id="74"/>
      <w:r>
        <w:rPr>
          <w:b/>
          <w:bCs/>
          <w:sz w:val="32"/>
          <w:szCs w:val="32"/>
        </w:rPr>
        <w:t xml:space="preserve">磋商文件</w:t>
      </w:r>
      <w:r/>
    </w:p>
    <w:p>
      <w:pPr>
        <w:ind w:firstLine="560"/>
        <w:keepLines/>
        <w:keepNext/>
        <w:spacing w:line="360" w:lineRule="auto"/>
        <w:rPr>
          <w:rFonts w:eastAsia="黑体"/>
          <w:sz w:val="28"/>
          <w:szCs w:val="28"/>
        </w:rPr>
        <w:outlineLvl w:val="3"/>
      </w:pPr>
      <w:r/>
      <w:bookmarkStart w:id="75" w:name="_Toc20823282"/>
      <w:r/>
      <w:bookmarkStart w:id="76" w:name="_Toc513029210"/>
      <w:r/>
      <w:bookmarkStart w:id="77" w:name="_Toc16938526"/>
      <w:r>
        <w:rPr>
          <w:rFonts w:eastAsia="黑体"/>
          <w:sz w:val="28"/>
          <w:szCs w:val="28"/>
        </w:rPr>
        <w:t xml:space="preserve">6</w:t>
      </w:r>
      <w:r>
        <w:rPr>
          <w:rFonts w:eastAsia="黑体"/>
          <w:sz w:val="28"/>
          <w:szCs w:val="28"/>
        </w:rPr>
        <w:t xml:space="preserve">、磋商文件构成</w:t>
      </w:r>
      <w:bookmarkEnd w:id="75"/>
      <w:r/>
      <w:bookmarkEnd w:id="76"/>
      <w:r/>
      <w:bookmarkEnd w:id="77"/>
      <w:r/>
      <w:r/>
    </w:p>
    <w:p>
      <w:pPr>
        <w:ind w:firstLine="480"/>
        <w:spacing w:line="360" w:lineRule="auto"/>
        <w:rPr>
          <w:sz w:val="24"/>
          <w:szCs w:val="21"/>
        </w:rPr>
      </w:pPr>
      <w:r>
        <w:rPr>
          <w:bCs/>
          <w:sz w:val="24"/>
          <w:szCs w:val="21"/>
        </w:rPr>
        <w:t xml:space="preserve">6.1 </w:t>
      </w:r>
      <w:r>
        <w:rPr>
          <w:sz w:val="24"/>
          <w:szCs w:val="21"/>
        </w:rPr>
        <w:t xml:space="preserve">磋商文件由以下部分组成：</w:t>
      </w:r>
      <w:r/>
    </w:p>
    <w:p>
      <w:pPr>
        <w:ind w:firstLine="480"/>
        <w:spacing w:line="360" w:lineRule="auto"/>
        <w:rPr>
          <w:sz w:val="24"/>
          <w:szCs w:val="24"/>
        </w:rPr>
      </w:pPr>
      <w:r>
        <w:rPr>
          <w:sz w:val="24"/>
          <w:szCs w:val="24"/>
        </w:rPr>
        <w:t xml:space="preserve">（</w:t>
      </w:r>
      <w:r>
        <w:rPr>
          <w:sz w:val="24"/>
          <w:szCs w:val="24"/>
        </w:rPr>
        <w:t xml:space="preserve">1</w:t>
      </w:r>
      <w:r>
        <w:rPr>
          <w:sz w:val="24"/>
          <w:szCs w:val="24"/>
        </w:rPr>
        <w:t xml:space="preserve">）磋商邀请</w:t>
      </w:r>
      <w:r/>
    </w:p>
    <w:p>
      <w:pPr>
        <w:ind w:firstLine="480"/>
        <w:spacing w:line="360" w:lineRule="auto"/>
        <w:rPr>
          <w:sz w:val="24"/>
          <w:szCs w:val="24"/>
        </w:rPr>
      </w:pPr>
      <w:r>
        <w:rPr>
          <w:sz w:val="24"/>
          <w:szCs w:val="24"/>
        </w:rPr>
        <w:t xml:space="preserve">（</w:t>
      </w:r>
      <w:r>
        <w:rPr>
          <w:sz w:val="24"/>
          <w:szCs w:val="24"/>
        </w:rPr>
        <w:t xml:space="preserve">2</w:t>
      </w:r>
      <w:r>
        <w:rPr>
          <w:sz w:val="24"/>
          <w:szCs w:val="24"/>
        </w:rPr>
        <w:t xml:space="preserve">）供应商须知</w:t>
      </w:r>
      <w:r/>
    </w:p>
    <w:p>
      <w:pPr>
        <w:ind w:firstLine="480"/>
        <w:spacing w:line="360" w:lineRule="auto"/>
        <w:rPr>
          <w:sz w:val="24"/>
          <w:szCs w:val="24"/>
        </w:rPr>
      </w:pPr>
      <w:r>
        <w:rPr>
          <w:sz w:val="24"/>
          <w:szCs w:val="24"/>
        </w:rPr>
        <w:t xml:space="preserve">（</w:t>
      </w:r>
      <w:r>
        <w:rPr>
          <w:sz w:val="24"/>
          <w:szCs w:val="24"/>
        </w:rPr>
        <w:t xml:space="preserve">3</w:t>
      </w:r>
      <w:r>
        <w:rPr>
          <w:sz w:val="24"/>
          <w:szCs w:val="24"/>
        </w:rPr>
        <w:t xml:space="preserve">）合同文本</w:t>
      </w:r>
      <w:r/>
    </w:p>
    <w:p>
      <w:pPr>
        <w:ind w:firstLine="480"/>
        <w:spacing w:line="360" w:lineRule="auto"/>
        <w:rPr>
          <w:sz w:val="24"/>
          <w:szCs w:val="24"/>
        </w:rPr>
      </w:pPr>
      <w:r>
        <w:rPr>
          <w:sz w:val="24"/>
          <w:szCs w:val="24"/>
        </w:rPr>
        <w:t xml:space="preserve">（</w:t>
      </w:r>
      <w:r>
        <w:rPr>
          <w:sz w:val="24"/>
          <w:szCs w:val="24"/>
        </w:rPr>
        <w:t xml:space="preserve">4</w:t>
      </w:r>
      <w:r>
        <w:rPr>
          <w:sz w:val="24"/>
          <w:szCs w:val="24"/>
        </w:rPr>
        <w:t xml:space="preserve">）采购需求</w:t>
      </w:r>
      <w:r/>
    </w:p>
    <w:p>
      <w:pPr>
        <w:ind w:firstLine="480"/>
        <w:spacing w:line="360" w:lineRule="auto"/>
        <w:rPr>
          <w:sz w:val="24"/>
          <w:szCs w:val="24"/>
        </w:rPr>
      </w:pPr>
      <w:r>
        <w:rPr>
          <w:sz w:val="24"/>
          <w:szCs w:val="24"/>
        </w:rPr>
        <w:t xml:space="preserve">（</w:t>
      </w:r>
      <w:r>
        <w:rPr>
          <w:sz w:val="24"/>
          <w:szCs w:val="24"/>
        </w:rPr>
        <w:t xml:space="preserve">5</w:t>
      </w:r>
      <w:r>
        <w:rPr>
          <w:sz w:val="24"/>
          <w:szCs w:val="24"/>
        </w:rPr>
        <w:t xml:space="preserve">）评审方法与评审标准</w:t>
      </w:r>
      <w:r/>
    </w:p>
    <w:p>
      <w:pPr>
        <w:ind w:firstLine="480"/>
        <w:spacing w:line="360" w:lineRule="auto"/>
        <w:rPr>
          <w:sz w:val="24"/>
          <w:szCs w:val="24"/>
        </w:rPr>
      </w:pPr>
      <w:r>
        <w:rPr>
          <w:sz w:val="24"/>
          <w:szCs w:val="24"/>
        </w:rPr>
        <w:t xml:space="preserve">（</w:t>
      </w:r>
      <w:r>
        <w:rPr>
          <w:sz w:val="24"/>
          <w:szCs w:val="24"/>
        </w:rPr>
        <w:t xml:space="preserve">6</w:t>
      </w:r>
      <w:r>
        <w:rPr>
          <w:sz w:val="24"/>
          <w:szCs w:val="24"/>
        </w:rPr>
        <w:t xml:space="preserve">）响应文件格式</w:t>
      </w:r>
      <w:r/>
    </w:p>
    <w:p>
      <w:pPr>
        <w:ind w:firstLine="480"/>
        <w:spacing w:line="360" w:lineRule="auto"/>
        <w:rPr>
          <w:sz w:val="24"/>
          <w:szCs w:val="21"/>
        </w:rPr>
      </w:pPr>
      <w:r>
        <w:rPr>
          <w:sz w:val="24"/>
          <w:szCs w:val="21"/>
        </w:rPr>
        <w:t xml:space="preserve">请仔细检查磋商文件是否齐全，如有</w:t>
      </w:r>
      <w:r>
        <w:rPr>
          <w:sz w:val="24"/>
          <w:szCs w:val="21"/>
        </w:rPr>
        <w:t xml:space="preserve">缺漏请</w:t>
      </w:r>
      <w:r>
        <w:rPr>
          <w:sz w:val="24"/>
          <w:szCs w:val="21"/>
        </w:rPr>
        <w:t xml:space="preserve">立即与采购中心联系解决。</w:t>
      </w:r>
      <w:r/>
    </w:p>
    <w:p>
      <w:pPr>
        <w:ind w:firstLine="480"/>
        <w:spacing w:line="360" w:lineRule="auto"/>
        <w:rPr>
          <w:sz w:val="24"/>
          <w:szCs w:val="21"/>
        </w:rPr>
      </w:pPr>
      <w:r>
        <w:rPr>
          <w:bCs/>
          <w:sz w:val="24"/>
          <w:szCs w:val="21"/>
        </w:rPr>
        <w:t xml:space="preserve">6.2 </w:t>
      </w:r>
      <w:r>
        <w:rPr>
          <w:sz w:val="24"/>
          <w:szCs w:val="21"/>
        </w:rPr>
        <w:t xml:space="preserve">供应商应认真</w:t>
      </w:r>
      <w:r>
        <w:rPr>
          <w:sz w:val="24"/>
          <w:szCs w:val="21"/>
        </w:rPr>
        <w:t xml:space="preserve">阅读磋商</w:t>
      </w:r>
      <w:r>
        <w:rPr>
          <w:sz w:val="24"/>
          <w:szCs w:val="21"/>
        </w:rPr>
        <w:t xml:space="preserve">文件中所有的事项、格式、条款和规范等要求。按磋商文件要求和规定编制响应文件，并保证所提供的全部资料的真实性，以使其响应文件对磋商文件</w:t>
      </w:r>
      <w:r>
        <w:rPr>
          <w:sz w:val="24"/>
          <w:szCs w:val="21"/>
        </w:rPr>
        <w:t xml:space="preserve">作出</w:t>
      </w:r>
      <w:r>
        <w:rPr>
          <w:sz w:val="24"/>
          <w:szCs w:val="21"/>
        </w:rPr>
        <w:t xml:space="preserve">实质性响应，否则其风险由供应商自行承担。</w:t>
      </w:r>
      <w:r/>
    </w:p>
    <w:p>
      <w:pPr>
        <w:ind w:firstLine="560"/>
        <w:keepLines/>
        <w:keepNext/>
        <w:spacing w:line="360" w:lineRule="auto"/>
        <w:rPr>
          <w:rFonts w:eastAsia="黑体"/>
          <w:sz w:val="28"/>
          <w:szCs w:val="28"/>
        </w:rPr>
        <w:outlineLvl w:val="3"/>
      </w:pPr>
      <w:r/>
      <w:bookmarkStart w:id="78" w:name="_Toc20823283"/>
      <w:r/>
      <w:bookmarkStart w:id="79" w:name="_Toc16938527"/>
      <w:r/>
      <w:bookmarkStart w:id="80" w:name="_Toc513029211"/>
      <w:r/>
      <w:bookmarkStart w:id="81" w:name="_Toc462564070"/>
      <w:r>
        <w:rPr>
          <w:rFonts w:eastAsia="黑体"/>
          <w:sz w:val="28"/>
          <w:szCs w:val="28"/>
        </w:rPr>
        <w:t xml:space="preserve">7</w:t>
      </w:r>
      <w:r>
        <w:rPr>
          <w:rFonts w:eastAsia="黑体"/>
          <w:sz w:val="28"/>
          <w:szCs w:val="28"/>
        </w:rPr>
        <w:t xml:space="preserve">、磋商文件的澄清</w:t>
      </w:r>
      <w:bookmarkEnd w:id="78"/>
      <w:r/>
      <w:bookmarkEnd w:id="79"/>
      <w:r/>
      <w:bookmarkEnd w:id="80"/>
      <w:r/>
      <w:bookmarkEnd w:id="81"/>
      <w:r/>
      <w:r/>
    </w:p>
    <w:p>
      <w:pPr>
        <w:ind w:firstLine="480"/>
        <w:spacing w:line="360" w:lineRule="auto"/>
        <w:rPr>
          <w:sz w:val="24"/>
          <w:szCs w:val="24"/>
        </w:rPr>
      </w:pPr>
      <w:r>
        <w:rPr>
          <w:bCs/>
          <w:sz w:val="24"/>
          <w:szCs w:val="21"/>
        </w:rPr>
        <w:t xml:space="preserve">7.1</w:t>
      </w:r>
      <w:r>
        <w:rPr>
          <w:sz w:val="24"/>
          <w:szCs w:val="21"/>
        </w:rPr>
        <w:t xml:space="preserve"> </w:t>
      </w:r>
      <w:r>
        <w:rPr>
          <w:sz w:val="24"/>
          <w:szCs w:val="21"/>
        </w:rPr>
        <w:t xml:space="preserve">任何要求对磋商文件进行澄清的供应商，应在磋商截止期</w:t>
      </w:r>
      <w:r>
        <w:rPr>
          <w:sz w:val="24"/>
          <w:szCs w:val="21"/>
        </w:rPr>
        <w:t xml:space="preserve">5</w:t>
      </w:r>
      <w:r>
        <w:rPr>
          <w:sz w:val="24"/>
          <w:szCs w:val="21"/>
        </w:rPr>
        <w:t xml:space="preserve">日</w:t>
      </w:r>
      <w:r>
        <w:rPr>
          <w:sz w:val="24"/>
          <w:szCs w:val="24"/>
        </w:rPr>
        <w:t xml:space="preserve">前</w:t>
      </w:r>
      <w:r>
        <w:rPr>
          <w:sz w:val="24"/>
          <w:szCs w:val="21"/>
        </w:rPr>
        <w:t xml:space="preserve">按磋商公告中的通讯地址，以书面形式通知采购中心。</w:t>
      </w:r>
      <w:r/>
    </w:p>
    <w:p>
      <w:pPr>
        <w:ind w:firstLine="560"/>
        <w:keepLines/>
        <w:keepNext/>
        <w:spacing w:line="360" w:lineRule="auto"/>
        <w:rPr>
          <w:rFonts w:eastAsia="黑体"/>
          <w:sz w:val="28"/>
          <w:szCs w:val="28"/>
        </w:rPr>
        <w:outlineLvl w:val="3"/>
      </w:pPr>
      <w:r/>
      <w:bookmarkStart w:id="82" w:name="_Toc20823284"/>
      <w:r/>
      <w:bookmarkStart w:id="83" w:name="_Toc462564071"/>
      <w:r/>
      <w:bookmarkStart w:id="84" w:name="_Toc16938528"/>
      <w:r/>
      <w:bookmarkStart w:id="85" w:name="_Toc513029212"/>
      <w:r>
        <w:rPr>
          <w:rFonts w:eastAsia="黑体"/>
          <w:sz w:val="28"/>
          <w:szCs w:val="28"/>
        </w:rPr>
        <w:t xml:space="preserve">8</w:t>
      </w:r>
      <w:r>
        <w:rPr>
          <w:rFonts w:eastAsia="黑体"/>
          <w:sz w:val="28"/>
          <w:szCs w:val="28"/>
        </w:rPr>
        <w:t xml:space="preserve">、磋商文件的澄清和修改</w:t>
      </w:r>
      <w:bookmarkEnd w:id="82"/>
      <w:r/>
      <w:bookmarkEnd w:id="83"/>
      <w:r/>
      <w:bookmarkEnd w:id="84"/>
      <w:r/>
      <w:bookmarkEnd w:id="85"/>
      <w:r/>
      <w:r/>
    </w:p>
    <w:p>
      <w:pPr>
        <w:ind w:firstLine="480"/>
        <w:spacing w:line="360" w:lineRule="auto"/>
        <w:rPr>
          <w:sz w:val="24"/>
          <w:szCs w:val="21"/>
        </w:rPr>
      </w:pPr>
      <w:r>
        <w:rPr>
          <w:bCs/>
          <w:sz w:val="24"/>
          <w:szCs w:val="21"/>
        </w:rPr>
        <w:t xml:space="preserve">8.1</w:t>
      </w:r>
      <w:r>
        <w:rPr>
          <w:sz w:val="24"/>
          <w:szCs w:val="21"/>
        </w:rPr>
        <w:t xml:space="preserve"> </w:t>
      </w:r>
      <w:r>
        <w:rPr>
          <w:sz w:val="24"/>
          <w:szCs w:val="21"/>
        </w:rPr>
        <w:t xml:space="preserve">在响应文件提交截止时间前，采购中心可以对磋商文件进行澄清和修改</w:t>
      </w:r>
      <w:r>
        <w:rPr>
          <w:sz w:val="24"/>
          <w:szCs w:val="21"/>
        </w:rPr>
        <w:t xml:space="preserve">,</w:t>
      </w:r>
      <w:r>
        <w:rPr>
          <w:szCs w:val="21"/>
        </w:rPr>
        <w:t xml:space="preserve"> </w:t>
      </w:r>
      <w:r>
        <w:rPr>
          <w:sz w:val="24"/>
          <w:szCs w:val="21"/>
        </w:rPr>
        <w:t xml:space="preserve">澄清或者修改的内容作为磋商文件的组成部分。澄清或者修改的内容可能影响响应文件编制的，采购中心将在提交首次响应文件截止时间至少</w:t>
      </w:r>
      <w:r>
        <w:rPr>
          <w:sz w:val="24"/>
          <w:szCs w:val="21"/>
        </w:rPr>
        <w:t xml:space="preserve">5</w:t>
      </w:r>
      <w:r>
        <w:rPr>
          <w:sz w:val="24"/>
          <w:szCs w:val="21"/>
        </w:rPr>
        <w:t xml:space="preserve">日前，在</w:t>
      </w:r>
      <w:r>
        <w:rPr>
          <w:sz w:val="24"/>
          <w:szCs w:val="21"/>
        </w:rPr>
        <w:t xml:space="preserve">“</w:t>
      </w:r>
      <w:r>
        <w:rPr>
          <w:sz w:val="24"/>
          <w:szCs w:val="21"/>
        </w:rPr>
        <w:t xml:space="preserve">江苏政府采购网、常州市政府采购网</w:t>
      </w:r>
      <w:r>
        <w:rPr>
          <w:sz w:val="24"/>
          <w:szCs w:val="21"/>
        </w:rPr>
        <w:t xml:space="preserve">”</w:t>
      </w:r>
      <w:r>
        <w:rPr>
          <w:sz w:val="24"/>
          <w:szCs w:val="21"/>
        </w:rPr>
        <w:t xml:space="preserve">上发布书面更正公告形式通知所有</w:t>
      </w:r>
      <w:r>
        <w:rPr>
          <w:sz w:val="24"/>
          <w:szCs w:val="21"/>
        </w:rPr>
        <w:t xml:space="preserve">获取磋商</w:t>
      </w:r>
      <w:r>
        <w:rPr>
          <w:sz w:val="24"/>
          <w:szCs w:val="21"/>
        </w:rPr>
        <w:t xml:space="preserve">文件的供应商</w:t>
      </w:r>
      <w:r>
        <w:rPr>
          <w:sz w:val="24"/>
          <w:szCs w:val="21"/>
        </w:rPr>
        <w:t xml:space="preserve">,</w:t>
      </w:r>
      <w:r>
        <w:rPr>
          <w:szCs w:val="21"/>
        </w:rPr>
        <w:t xml:space="preserve"> </w:t>
      </w:r>
      <w:r>
        <w:rPr>
          <w:sz w:val="24"/>
          <w:szCs w:val="21"/>
        </w:rPr>
        <w:t xml:space="preserve">更正公告内容将作为磋商文件的组成部分，并对供应商具有约束力。不足</w:t>
      </w:r>
      <w:r>
        <w:rPr>
          <w:sz w:val="24"/>
          <w:szCs w:val="21"/>
        </w:rPr>
        <w:t xml:space="preserve">5</w:t>
      </w:r>
      <w:r>
        <w:rPr>
          <w:sz w:val="24"/>
          <w:szCs w:val="21"/>
        </w:rPr>
        <w:t xml:space="preserve">日的，采购中心将顺延提交首次响应文件截止时间。</w:t>
      </w:r>
      <w:r/>
    </w:p>
    <w:p>
      <w:pPr>
        <w:ind w:firstLine="480"/>
        <w:spacing w:line="360" w:lineRule="auto"/>
        <w:rPr>
          <w:sz w:val="24"/>
          <w:szCs w:val="21"/>
        </w:rPr>
      </w:pPr>
      <w:r>
        <w:rPr>
          <w:sz w:val="24"/>
          <w:szCs w:val="21"/>
        </w:rPr>
        <w:t xml:space="preserve">8.2</w:t>
      </w:r>
      <w:r>
        <w:rPr>
          <w:sz w:val="24"/>
          <w:szCs w:val="21"/>
        </w:rPr>
        <w:t xml:space="preserve">采购中心可以视采购项目的具体情况，组织供应商进行现场考察或</w:t>
      </w:r>
      <w:r>
        <w:rPr>
          <w:sz w:val="24"/>
          <w:szCs w:val="21"/>
        </w:rPr>
        <w:t xml:space="preserve">召开磋商</w:t>
      </w:r>
      <w:r>
        <w:rPr>
          <w:sz w:val="24"/>
          <w:szCs w:val="21"/>
        </w:rPr>
        <w:t xml:space="preserve">前答疑会，但不单独或分别组织只有一个供应商参加的现场考察和答疑会。</w:t>
      </w:r>
      <w:r/>
    </w:p>
    <w:p>
      <w:pPr>
        <w:keepLines/>
        <w:keepNext/>
        <w:spacing w:before="120" w:after="120" w:line="360" w:lineRule="auto"/>
        <w:rPr>
          <w:b/>
          <w:bCs/>
          <w:sz w:val="32"/>
          <w:szCs w:val="32"/>
        </w:rPr>
        <w:outlineLvl w:val="2"/>
      </w:pPr>
      <w:r/>
      <w:bookmarkStart w:id="86" w:name="_Toc513029213"/>
      <w:r/>
      <w:bookmarkStart w:id="87" w:name="_Toc462564072"/>
      <w:r/>
      <w:bookmarkStart w:id="88" w:name="_Toc120614216"/>
      <w:r/>
      <w:bookmarkStart w:id="89" w:name="_Toc16938529"/>
      <w:r/>
      <w:bookmarkStart w:id="90" w:name="_Toc20823285"/>
      <w:r>
        <w:rPr>
          <w:b/>
          <w:bCs/>
          <w:sz w:val="32"/>
          <w:szCs w:val="32"/>
        </w:rPr>
        <w:t xml:space="preserve">三、响应文件的编制</w:t>
      </w:r>
      <w:bookmarkEnd w:id="86"/>
      <w:r/>
      <w:bookmarkEnd w:id="87"/>
      <w:r/>
      <w:bookmarkEnd w:id="88"/>
      <w:r/>
      <w:bookmarkEnd w:id="89"/>
      <w:r/>
      <w:bookmarkEnd w:id="90"/>
      <w:r/>
      <w:r/>
    </w:p>
    <w:p>
      <w:pPr>
        <w:ind w:firstLine="560"/>
        <w:keepLines/>
        <w:keepNext/>
        <w:spacing w:line="360" w:lineRule="auto"/>
        <w:rPr>
          <w:rFonts w:eastAsia="黑体"/>
          <w:b/>
          <w:sz w:val="28"/>
          <w:szCs w:val="28"/>
        </w:rPr>
        <w:outlineLvl w:val="3"/>
      </w:pPr>
      <w:r/>
      <w:bookmarkStart w:id="91" w:name="_Toc462564073"/>
      <w:r/>
      <w:bookmarkStart w:id="92" w:name="_Toc20823286"/>
      <w:r/>
      <w:bookmarkStart w:id="93" w:name="_Toc16938530"/>
      <w:r/>
      <w:bookmarkStart w:id="94" w:name="_Toc513029214"/>
      <w:r>
        <w:rPr>
          <w:rFonts w:eastAsia="黑体"/>
          <w:sz w:val="28"/>
          <w:szCs w:val="28"/>
        </w:rPr>
        <w:t xml:space="preserve">9</w:t>
      </w:r>
      <w:r>
        <w:rPr>
          <w:rFonts w:eastAsia="黑体"/>
          <w:sz w:val="28"/>
          <w:szCs w:val="28"/>
        </w:rPr>
        <w:t xml:space="preserve">、响应文件的</w:t>
      </w:r>
      <w:r>
        <w:rPr>
          <w:rFonts w:eastAsia="黑体"/>
          <w:sz w:val="28"/>
          <w:szCs w:val="28"/>
        </w:rPr>
        <w:t xml:space="preserve">语言及度量衡单位</w:t>
      </w:r>
      <w:bookmarkEnd w:id="91"/>
      <w:r/>
      <w:bookmarkEnd w:id="92"/>
      <w:r/>
      <w:bookmarkEnd w:id="93"/>
      <w:r/>
      <w:bookmarkEnd w:id="94"/>
      <w:r/>
      <w:r/>
    </w:p>
    <w:p>
      <w:pPr>
        <w:ind w:firstLine="480"/>
        <w:spacing w:line="360" w:lineRule="auto"/>
        <w:rPr>
          <w:sz w:val="24"/>
          <w:szCs w:val="21"/>
        </w:rPr>
      </w:pPr>
      <w:r>
        <w:rPr>
          <w:bCs/>
          <w:sz w:val="24"/>
          <w:szCs w:val="21"/>
        </w:rPr>
        <w:t xml:space="preserve">9.1 </w:t>
      </w:r>
      <w:r>
        <w:rPr>
          <w:sz w:val="24"/>
          <w:szCs w:val="21"/>
        </w:rPr>
        <w:t xml:space="preserve">供应商提交的响应文件以及供应商与采购中心就有关磋商的所有来往通知、函件和文件均应使用</w:t>
      </w:r>
      <w:r>
        <w:rPr>
          <w:b/>
          <w:bCs/>
          <w:sz w:val="24"/>
          <w:szCs w:val="21"/>
        </w:rPr>
        <w:t xml:space="preserve">简体中文</w:t>
      </w:r>
      <w:r>
        <w:rPr>
          <w:sz w:val="24"/>
          <w:szCs w:val="21"/>
        </w:rPr>
        <w:t xml:space="preserve">。</w:t>
      </w:r>
      <w:r/>
    </w:p>
    <w:p>
      <w:pPr>
        <w:ind w:firstLine="480"/>
        <w:spacing w:line="360" w:lineRule="auto"/>
        <w:rPr>
          <w:sz w:val="24"/>
          <w:szCs w:val="21"/>
        </w:rPr>
      </w:pPr>
      <w:r>
        <w:rPr>
          <w:bCs/>
          <w:sz w:val="24"/>
          <w:szCs w:val="21"/>
        </w:rPr>
        <w:t xml:space="preserve">9.2</w:t>
      </w:r>
      <w:r>
        <w:rPr>
          <w:sz w:val="24"/>
          <w:szCs w:val="21"/>
        </w:rPr>
        <w:t xml:space="preserve"> </w:t>
      </w:r>
      <w:r>
        <w:rPr>
          <w:sz w:val="24"/>
          <w:szCs w:val="21"/>
        </w:rPr>
        <w:t xml:space="preserve">除技术性能另有规定外，响应文件所使用的度量衡单位，均须采用国家法定计量单位。</w:t>
      </w:r>
      <w:r/>
    </w:p>
    <w:p>
      <w:pPr>
        <w:ind w:firstLine="560"/>
        <w:keepLines/>
        <w:keepNext/>
        <w:spacing w:line="360" w:lineRule="auto"/>
        <w:rPr>
          <w:rFonts w:eastAsia="黑体"/>
          <w:sz w:val="28"/>
          <w:szCs w:val="28"/>
        </w:rPr>
        <w:outlineLvl w:val="3"/>
      </w:pPr>
      <w:r/>
      <w:bookmarkStart w:id="95" w:name="_Toc513029215"/>
      <w:r/>
      <w:bookmarkStart w:id="96" w:name="_Toc20823287"/>
      <w:r/>
      <w:bookmarkStart w:id="97" w:name="_Toc16938531"/>
      <w:r/>
      <w:bookmarkStart w:id="98" w:name="_Toc462564074"/>
      <w:r>
        <w:rPr>
          <w:rFonts w:eastAsia="黑体"/>
          <w:sz w:val="28"/>
          <w:szCs w:val="28"/>
        </w:rPr>
        <w:t xml:space="preserve">10</w:t>
      </w:r>
      <w:r>
        <w:rPr>
          <w:rFonts w:eastAsia="黑体"/>
          <w:sz w:val="28"/>
          <w:szCs w:val="28"/>
        </w:rPr>
        <w:t xml:space="preserve">、响应文件构成</w:t>
      </w:r>
      <w:bookmarkEnd w:id="95"/>
      <w:r/>
      <w:bookmarkEnd w:id="96"/>
      <w:r/>
      <w:bookmarkEnd w:id="97"/>
      <w:r/>
      <w:bookmarkEnd w:id="98"/>
      <w:r/>
      <w:r/>
    </w:p>
    <w:p>
      <w:pPr>
        <w:ind w:firstLine="480"/>
        <w:spacing w:line="360" w:lineRule="auto"/>
        <w:tabs>
          <w:tab w:val="left" w:pos="1080" w:leader="none"/>
          <w:tab w:val="left" w:pos="1589" w:leader="none"/>
          <w:tab w:val="left" w:pos="2014" w:leader="none"/>
        </w:tabs>
        <w:rPr>
          <w:sz w:val="24"/>
        </w:rPr>
      </w:pPr>
      <w:r>
        <w:rPr>
          <w:sz w:val="24"/>
        </w:rPr>
        <w:t xml:space="preserve">10.1 </w:t>
      </w:r>
      <w:r>
        <w:rPr>
          <w:sz w:val="24"/>
        </w:rPr>
        <w:t xml:space="preserve">本项目如划分采购包，供应商可以对本项目的其中一个采购包进行响应，也可同时对多个采购包进行响应。</w:t>
      </w:r>
      <w:r>
        <w:rPr>
          <w:i/>
          <w:sz w:val="24"/>
          <w:u w:val="single"/>
        </w:rPr>
        <w:t xml:space="preserve">供应商应当对所投采购包对应《采购需求》所列的全部内容进行响应，不得将一个采购包中的内容拆开响应，否则其</w:t>
      </w:r>
      <w:r>
        <w:rPr>
          <w:i/>
          <w:sz w:val="24"/>
          <w:u w:val="single"/>
        </w:rPr>
        <w:t xml:space="preserve">对该采购包的响应将被认定为无效响应。</w:t>
      </w:r>
      <w:r/>
    </w:p>
    <w:p>
      <w:pPr>
        <w:ind w:firstLine="480"/>
        <w:spacing w:line="360" w:lineRule="auto"/>
        <w:rPr>
          <w:sz w:val="24"/>
          <w:szCs w:val="21"/>
        </w:rPr>
      </w:pPr>
      <w:r>
        <w:rPr>
          <w:bCs/>
          <w:sz w:val="24"/>
          <w:szCs w:val="21"/>
        </w:rPr>
        <w:t xml:space="preserve">10.2 </w:t>
      </w:r>
      <w:r>
        <w:rPr>
          <w:sz w:val="24"/>
          <w:szCs w:val="21"/>
        </w:rPr>
        <w:t xml:space="preserve">供应商编写的响应文件应包括资格</w:t>
      </w:r>
      <w:r>
        <w:rPr>
          <w:sz w:val="24"/>
          <w:szCs w:val="21"/>
        </w:rPr>
        <w:t xml:space="preserve">证明文件、符合性证明文件、分项报价表、技术要求响应及偏离表、商务要求响应及偏离表、其他证明文件、磋商响应函等部分。</w:t>
      </w:r>
      <w:r/>
    </w:p>
    <w:p>
      <w:pPr>
        <w:ind w:firstLine="480"/>
        <w:spacing w:line="360" w:lineRule="auto"/>
        <w:rPr>
          <w:sz w:val="24"/>
          <w:szCs w:val="21"/>
        </w:rPr>
      </w:pPr>
      <w:r>
        <w:rPr>
          <w:sz w:val="24"/>
          <w:szCs w:val="21"/>
        </w:rPr>
        <w:t xml:space="preserve">10.3 </w:t>
      </w:r>
      <w:r>
        <w:rPr>
          <w:sz w:val="24"/>
          <w:szCs w:val="21"/>
        </w:rPr>
        <w:t xml:space="preserve">如标书制作工具中格式和内容与</w:t>
      </w:r>
      <w:r>
        <w:rPr>
          <w:sz w:val="24"/>
          <w:szCs w:val="21"/>
        </w:rPr>
        <w:t xml:space="preserve">“</w:t>
      </w:r>
      <w:r>
        <w:rPr>
          <w:sz w:val="24"/>
          <w:szCs w:val="21"/>
        </w:rPr>
        <w:t xml:space="preserve">江苏政府采购网、常州市政府采购网</w:t>
      </w:r>
      <w:r>
        <w:rPr>
          <w:sz w:val="24"/>
          <w:szCs w:val="21"/>
        </w:rPr>
        <w:t xml:space="preserve">”</w:t>
      </w:r>
      <w:r>
        <w:rPr>
          <w:sz w:val="24"/>
          <w:szCs w:val="21"/>
        </w:rPr>
        <w:t xml:space="preserve">发布的磋商文件不一致，请以</w:t>
      </w:r>
      <w:r>
        <w:rPr>
          <w:sz w:val="24"/>
          <w:szCs w:val="21"/>
        </w:rPr>
        <w:t xml:space="preserve">“</w:t>
      </w:r>
      <w:r>
        <w:rPr>
          <w:sz w:val="24"/>
          <w:szCs w:val="21"/>
        </w:rPr>
        <w:t xml:space="preserve">江苏政府采购网、常州市政府采购网</w:t>
      </w:r>
      <w:r>
        <w:rPr>
          <w:sz w:val="24"/>
          <w:szCs w:val="21"/>
        </w:rPr>
        <w:t xml:space="preserve">”</w:t>
      </w:r>
      <w:r>
        <w:rPr>
          <w:sz w:val="24"/>
          <w:szCs w:val="21"/>
        </w:rPr>
        <w:t xml:space="preserve">发布的磋商文件为准。</w:t>
      </w:r>
      <w:r/>
    </w:p>
    <w:p>
      <w:pPr>
        <w:ind w:firstLine="560"/>
        <w:keepLines/>
        <w:keepNext/>
        <w:spacing w:line="360" w:lineRule="auto"/>
        <w:rPr>
          <w:rFonts w:eastAsia="黑体"/>
          <w:sz w:val="28"/>
          <w:szCs w:val="28"/>
        </w:rPr>
        <w:outlineLvl w:val="3"/>
      </w:pPr>
      <w:r/>
      <w:bookmarkStart w:id="99" w:name="_Hlt26954838"/>
      <w:r/>
      <w:bookmarkStart w:id="100" w:name="_Hlt26668975"/>
      <w:r/>
      <w:bookmarkStart w:id="101" w:name="_Hlt26670360"/>
      <w:r/>
      <w:bookmarkStart w:id="102" w:name="_Toc49090507"/>
      <w:r/>
      <w:bookmarkStart w:id="103" w:name="_Toc49090509"/>
      <w:r/>
      <w:bookmarkStart w:id="104" w:name="_Toc513029219"/>
      <w:r/>
      <w:bookmarkStart w:id="105" w:name="_Toc14577357"/>
      <w:r/>
      <w:bookmarkStart w:id="106" w:name="_Toc14577354"/>
      <w:r/>
      <w:bookmarkStart w:id="107" w:name="_Toc513029216"/>
      <w:r/>
      <w:bookmarkStart w:id="108" w:name="_Toc49090508"/>
      <w:r/>
      <w:bookmarkStart w:id="109" w:name="_Toc14577355"/>
      <w:r/>
      <w:bookmarkEnd w:id="99"/>
      <w:r/>
      <w:bookmarkEnd w:id="100"/>
      <w:r/>
      <w:bookmarkEnd w:id="101"/>
      <w:r>
        <w:rPr>
          <w:rFonts w:eastAsia="黑体"/>
          <w:sz w:val="28"/>
          <w:szCs w:val="28"/>
        </w:rPr>
        <w:t xml:space="preserve">11</w:t>
      </w:r>
      <w:r>
        <w:rPr>
          <w:rFonts w:eastAsia="黑体"/>
          <w:sz w:val="28"/>
          <w:szCs w:val="28"/>
        </w:rPr>
        <w:t xml:space="preserve">、证明磋商响应标的</w:t>
      </w:r>
      <w:r>
        <w:rPr>
          <w:rFonts w:eastAsia="黑体"/>
          <w:sz w:val="28"/>
          <w:szCs w:val="28"/>
        </w:rPr>
        <w:t xml:space="preserve">符合磋商</w:t>
      </w:r>
      <w:r>
        <w:rPr>
          <w:rFonts w:eastAsia="黑体"/>
          <w:sz w:val="28"/>
          <w:szCs w:val="28"/>
        </w:rPr>
        <w:t xml:space="preserve">文件规定的文件</w:t>
      </w:r>
      <w:bookmarkEnd w:id="102"/>
      <w:r/>
      <w:bookmarkEnd w:id="103"/>
      <w:r/>
      <w:bookmarkEnd w:id="104"/>
      <w:r/>
      <w:bookmarkEnd w:id="105"/>
      <w:r/>
      <w:bookmarkEnd w:id="106"/>
      <w:r/>
      <w:bookmarkEnd w:id="107"/>
      <w:r/>
      <w:r/>
    </w:p>
    <w:p>
      <w:pPr>
        <w:ind w:firstLine="480"/>
        <w:spacing w:line="360" w:lineRule="auto"/>
        <w:rPr>
          <w:sz w:val="24"/>
          <w:szCs w:val="24"/>
        </w:rPr>
      </w:pPr>
      <w:r>
        <w:rPr>
          <w:sz w:val="24"/>
          <w:szCs w:val="24"/>
        </w:rPr>
        <w:t xml:space="preserve">11.1 </w:t>
      </w:r>
      <w:r>
        <w:rPr>
          <w:sz w:val="24"/>
          <w:szCs w:val="24"/>
        </w:rPr>
        <w:t xml:space="preserve">供应商应按照磋商文件要求提交证明文件，证明其及磋商响应标的</w:t>
      </w:r>
      <w:r>
        <w:rPr>
          <w:sz w:val="24"/>
          <w:szCs w:val="24"/>
        </w:rPr>
        <w:t xml:space="preserve">符合磋商</w:t>
      </w:r>
      <w:r>
        <w:rPr>
          <w:sz w:val="24"/>
          <w:szCs w:val="24"/>
        </w:rPr>
        <w:t xml:space="preserve">文件规定。</w:t>
      </w:r>
      <w:r/>
    </w:p>
    <w:p>
      <w:pPr>
        <w:ind w:firstLine="480"/>
        <w:spacing w:line="360" w:lineRule="auto"/>
        <w:rPr>
          <w:sz w:val="24"/>
          <w:szCs w:val="24"/>
        </w:rPr>
      </w:pPr>
      <w:r>
        <w:rPr>
          <w:sz w:val="24"/>
          <w:szCs w:val="24"/>
        </w:rPr>
        <w:t xml:space="preserve">11.2 </w:t>
      </w:r>
      <w:r>
        <w:rPr>
          <w:sz w:val="24"/>
          <w:szCs w:val="24"/>
        </w:rPr>
        <w:t xml:space="preserve">磋商文件对证明文件无明确形式要求的，证明文件可以以文字资料、图纸和数据等形式提交。</w:t>
      </w:r>
      <w:bookmarkEnd w:id="108"/>
      <w:r/>
      <w:bookmarkEnd w:id="109"/>
      <w:r/>
      <w:r/>
    </w:p>
    <w:p>
      <w:pPr>
        <w:ind w:firstLine="560"/>
        <w:keepLines/>
        <w:keepNext/>
        <w:spacing w:line="360" w:lineRule="auto"/>
        <w:rPr>
          <w:rFonts w:eastAsia="黑体"/>
          <w:sz w:val="28"/>
          <w:szCs w:val="28"/>
        </w:rPr>
        <w:outlineLvl w:val="3"/>
      </w:pPr>
      <w:r>
        <w:rPr>
          <w:rFonts w:eastAsia="黑体"/>
          <w:sz w:val="28"/>
          <w:szCs w:val="28"/>
        </w:rPr>
        <w:t xml:space="preserve">12</w:t>
      </w:r>
      <w:r>
        <w:rPr>
          <w:rFonts w:eastAsia="黑体"/>
          <w:sz w:val="28"/>
          <w:szCs w:val="28"/>
        </w:rPr>
        <w:t xml:space="preserve">、分项</w:t>
      </w:r>
      <w:r>
        <w:rPr>
          <w:rFonts w:eastAsia="黑体"/>
          <w:sz w:val="28"/>
          <w:szCs w:val="28"/>
        </w:rPr>
        <w:t xml:space="preserve">报价表</w:t>
      </w:r>
      <w:r/>
    </w:p>
    <w:p>
      <w:pPr>
        <w:ind w:firstLine="480"/>
        <w:spacing w:line="360" w:lineRule="auto"/>
        <w:rPr>
          <w:bCs/>
          <w:sz w:val="24"/>
          <w:szCs w:val="21"/>
        </w:rPr>
      </w:pPr>
      <w:r>
        <w:rPr>
          <w:bCs/>
          <w:sz w:val="24"/>
          <w:szCs w:val="21"/>
        </w:rPr>
        <w:t xml:space="preserve">12.1 </w:t>
      </w:r>
      <w:r>
        <w:rPr>
          <w:sz w:val="24"/>
          <w:szCs w:val="21"/>
        </w:rPr>
        <w:t xml:space="preserve">供应商应按照磋商文件规定格式填报分项报价表。</w:t>
      </w:r>
      <w:r/>
    </w:p>
    <w:p>
      <w:pPr>
        <w:ind w:firstLine="480"/>
        <w:spacing w:line="360" w:lineRule="auto"/>
        <w:rPr>
          <w:bCs/>
          <w:sz w:val="24"/>
          <w:szCs w:val="21"/>
        </w:rPr>
      </w:pPr>
      <w:r>
        <w:rPr>
          <w:sz w:val="24"/>
          <w:szCs w:val="21"/>
        </w:rPr>
        <w:t xml:space="preserve">12.2 </w:t>
      </w:r>
      <w:r>
        <w:rPr>
          <w:bCs/>
          <w:sz w:val="24"/>
          <w:szCs w:val="21"/>
        </w:rPr>
        <w:t xml:space="preserve">磋商货币。响应文件中的单价和总价无特殊规定的采用人民币报价，以元为单位标注。</w:t>
      </w:r>
      <w:r>
        <w:rPr>
          <w:sz w:val="24"/>
          <w:szCs w:val="21"/>
        </w:rPr>
        <w:t xml:space="preserve">磋商文件中另有规定的按规定执行。</w:t>
      </w:r>
      <w:r/>
    </w:p>
    <w:p>
      <w:pPr>
        <w:ind w:firstLine="560"/>
        <w:keepLines/>
        <w:keepNext/>
        <w:spacing w:line="360" w:lineRule="auto"/>
        <w:rPr>
          <w:rFonts w:eastAsia="黑体"/>
          <w:sz w:val="28"/>
          <w:szCs w:val="28"/>
        </w:rPr>
        <w:outlineLvl w:val="3"/>
      </w:pPr>
      <w:r/>
      <w:bookmarkStart w:id="110" w:name="_Hlt26670482"/>
      <w:r/>
      <w:bookmarkStart w:id="111" w:name="_Hlt26670486"/>
      <w:r/>
      <w:bookmarkStart w:id="112" w:name="_Hlt26954848"/>
      <w:r/>
      <w:bookmarkStart w:id="113" w:name="_Hlt26954846"/>
      <w:r/>
      <w:bookmarkStart w:id="114" w:name="_Hlt26954731"/>
      <w:r/>
      <w:bookmarkEnd w:id="110"/>
      <w:r/>
      <w:bookmarkEnd w:id="111"/>
      <w:r/>
      <w:bookmarkEnd w:id="112"/>
      <w:r/>
      <w:bookmarkEnd w:id="113"/>
      <w:r/>
      <w:bookmarkEnd w:id="114"/>
      <w:r>
        <w:rPr>
          <w:rFonts w:eastAsia="黑体"/>
          <w:sz w:val="28"/>
          <w:szCs w:val="28"/>
        </w:rPr>
        <w:t xml:space="preserve">13</w:t>
      </w:r>
      <w:r>
        <w:rPr>
          <w:rFonts w:eastAsia="黑体"/>
          <w:sz w:val="28"/>
          <w:szCs w:val="28"/>
        </w:rPr>
        <w:t xml:space="preserve">、技术要求响应及偏离表、商务要求响应及偏离表</w:t>
      </w:r>
      <w:r/>
    </w:p>
    <w:p>
      <w:pPr>
        <w:ind w:firstLine="480"/>
        <w:spacing w:line="360" w:lineRule="auto"/>
        <w:rPr>
          <w:sz w:val="24"/>
          <w:szCs w:val="21"/>
          <w:lang w:val="zh-CN"/>
        </w:rPr>
      </w:pPr>
      <w:r>
        <w:rPr>
          <w:bCs/>
          <w:sz w:val="24"/>
          <w:szCs w:val="21"/>
          <w:lang w:val="zh-CN"/>
        </w:rPr>
        <w:t xml:space="preserve">13.1</w:t>
      </w:r>
      <w:r>
        <w:rPr>
          <w:bCs/>
          <w:sz w:val="24"/>
          <w:szCs w:val="21"/>
        </w:rPr>
        <w:t xml:space="preserve"> </w:t>
      </w:r>
      <w:r>
        <w:rPr>
          <w:sz w:val="24"/>
          <w:szCs w:val="21"/>
          <w:lang w:val="zh-CN"/>
        </w:rPr>
        <w:t xml:space="preserve">供应商需对磋商文件中的技术要求与商务要求逐项</w:t>
      </w:r>
      <w:r>
        <w:rPr>
          <w:sz w:val="24"/>
          <w:szCs w:val="21"/>
          <w:lang w:val="zh-CN"/>
        </w:rPr>
        <w:t xml:space="preserve">作出</w:t>
      </w:r>
      <w:r>
        <w:rPr>
          <w:sz w:val="24"/>
          <w:szCs w:val="21"/>
          <w:lang w:val="zh-CN"/>
        </w:rPr>
        <w:t xml:space="preserve">响应或偏离，并说明原因。</w:t>
      </w:r>
      <w:r/>
    </w:p>
    <w:p>
      <w:pPr>
        <w:ind w:firstLine="480"/>
        <w:spacing w:line="360" w:lineRule="auto"/>
        <w:rPr>
          <w:sz w:val="24"/>
          <w:szCs w:val="21"/>
          <w:lang w:val="zh-CN"/>
        </w:rPr>
      </w:pPr>
      <w:r>
        <w:rPr>
          <w:sz w:val="24"/>
          <w:szCs w:val="21"/>
          <w:lang w:val="zh-CN"/>
        </w:rPr>
        <w:t xml:space="preserve">13.2</w:t>
      </w:r>
      <w:r>
        <w:rPr>
          <w:sz w:val="24"/>
          <w:szCs w:val="21"/>
        </w:rPr>
        <w:t xml:space="preserve"> </w:t>
      </w:r>
      <w:r>
        <w:rPr>
          <w:sz w:val="24"/>
          <w:szCs w:val="21"/>
          <w:lang w:val="zh-CN"/>
        </w:rPr>
        <w:t xml:space="preserve">供应商可在响应文件中提供认为需要的其他技术文件或说明。</w:t>
      </w:r>
      <w:r/>
    </w:p>
    <w:p>
      <w:pPr>
        <w:ind w:firstLine="560"/>
        <w:keepLines/>
        <w:keepNext/>
        <w:spacing w:line="360" w:lineRule="auto"/>
        <w:rPr>
          <w:rFonts w:eastAsia="黑体"/>
          <w:sz w:val="28"/>
          <w:szCs w:val="28"/>
        </w:rPr>
        <w:outlineLvl w:val="3"/>
      </w:pPr>
      <w:r>
        <w:rPr>
          <w:rFonts w:eastAsia="黑体"/>
          <w:sz w:val="28"/>
          <w:szCs w:val="28"/>
        </w:rPr>
        <w:t xml:space="preserve">14</w:t>
      </w:r>
      <w:r>
        <w:rPr>
          <w:rFonts w:eastAsia="黑体"/>
          <w:sz w:val="28"/>
          <w:szCs w:val="28"/>
        </w:rPr>
        <w:t xml:space="preserve">、服务承诺、培训计划、人员安排及其他</w:t>
      </w:r>
      <w:r/>
    </w:p>
    <w:p>
      <w:pPr>
        <w:ind w:firstLine="480"/>
        <w:spacing w:line="360" w:lineRule="auto"/>
        <w:rPr>
          <w:sz w:val="24"/>
          <w:szCs w:val="24"/>
        </w:rPr>
      </w:pPr>
      <w:r>
        <w:rPr>
          <w:bCs/>
          <w:sz w:val="24"/>
          <w:szCs w:val="24"/>
        </w:rPr>
        <w:t xml:space="preserve">14.1 </w:t>
      </w:r>
      <w:r>
        <w:rPr>
          <w:sz w:val="24"/>
          <w:szCs w:val="24"/>
        </w:rPr>
        <w:t xml:space="preserve">供应商需根据磋商文件要求提供有关售后服务的管理制度，售后服务机构的分布情况，售后服务人员的数量、素质、技术水平及售后服务的反应能力等。</w:t>
      </w:r>
      <w:r/>
    </w:p>
    <w:p>
      <w:pPr>
        <w:ind w:firstLine="480"/>
        <w:spacing w:line="360" w:lineRule="auto"/>
        <w:rPr>
          <w:sz w:val="24"/>
          <w:szCs w:val="24"/>
        </w:rPr>
      </w:pPr>
      <w:r>
        <w:rPr>
          <w:sz w:val="24"/>
          <w:szCs w:val="24"/>
        </w:rPr>
        <w:t xml:space="preserve">14.2 </w:t>
      </w:r>
      <w:r>
        <w:rPr>
          <w:sz w:val="24"/>
          <w:szCs w:val="24"/>
        </w:rPr>
        <w:t xml:space="preserve">供应商需根据磋商文件要求提供培训计划。</w:t>
      </w:r>
      <w:r/>
    </w:p>
    <w:p>
      <w:pPr>
        <w:ind w:firstLine="480"/>
        <w:spacing w:line="360" w:lineRule="auto"/>
        <w:rPr>
          <w:sz w:val="24"/>
          <w:szCs w:val="24"/>
        </w:rPr>
      </w:pPr>
      <w:r>
        <w:rPr>
          <w:sz w:val="24"/>
          <w:szCs w:val="24"/>
        </w:rPr>
        <w:t xml:space="preserve">14.3 </w:t>
      </w:r>
      <w:r>
        <w:rPr>
          <w:sz w:val="24"/>
          <w:szCs w:val="24"/>
        </w:rPr>
        <w:t xml:space="preserve">供应商需根据磋商文件要求</w:t>
      </w:r>
      <w:r>
        <w:rPr>
          <w:sz w:val="24"/>
          <w:szCs w:val="24"/>
        </w:rPr>
        <w:t xml:space="preserve">提供</w:t>
      </w:r>
      <w:r>
        <w:rPr>
          <w:sz w:val="24"/>
          <w:szCs w:val="21"/>
          <w:lang w:val="zh-CN"/>
        </w:rPr>
        <w:t xml:space="preserve">磋商</w:t>
      </w:r>
      <w:r>
        <w:rPr>
          <w:sz w:val="24"/>
          <w:szCs w:val="21"/>
          <w:lang w:val="zh-CN"/>
        </w:rPr>
        <w:t xml:space="preserve">响应标的</w:t>
      </w:r>
      <w:r>
        <w:rPr>
          <w:sz w:val="24"/>
          <w:szCs w:val="21"/>
          <w:lang w:val="zh-CN"/>
        </w:rPr>
        <w:t xml:space="preserve">的</w:t>
      </w:r>
      <w:r>
        <w:rPr>
          <w:sz w:val="24"/>
          <w:szCs w:val="21"/>
          <w:lang w:val="zh-CN"/>
        </w:rPr>
        <w:t xml:space="preserve">主要组成部分、功能设计、实现思路及关键技术等。</w:t>
      </w:r>
      <w:r/>
    </w:p>
    <w:p>
      <w:pPr>
        <w:ind w:firstLine="560"/>
        <w:keepLines/>
        <w:keepNext/>
        <w:spacing w:line="360" w:lineRule="auto"/>
        <w:rPr>
          <w:rFonts w:eastAsia="黑体"/>
          <w:sz w:val="28"/>
          <w:szCs w:val="28"/>
        </w:rPr>
        <w:outlineLvl w:val="3"/>
      </w:pPr>
      <w:r/>
      <w:bookmarkStart w:id="115" w:name="_Toc49090510"/>
      <w:r/>
      <w:bookmarkStart w:id="116" w:name="_Toc14577359"/>
      <w:r>
        <w:rPr>
          <w:rFonts w:eastAsia="黑体"/>
          <w:sz w:val="28"/>
          <w:szCs w:val="28"/>
        </w:rPr>
        <w:t xml:space="preserve">15</w:t>
      </w:r>
      <w:r>
        <w:rPr>
          <w:rFonts w:eastAsia="黑体"/>
          <w:sz w:val="28"/>
          <w:szCs w:val="28"/>
        </w:rPr>
        <w:t xml:space="preserve">、磋商响应函</w:t>
      </w:r>
      <w:r/>
    </w:p>
    <w:p>
      <w:pPr>
        <w:ind w:firstLine="480"/>
        <w:spacing w:line="360" w:lineRule="auto"/>
        <w:rPr>
          <w:sz w:val="24"/>
          <w:szCs w:val="21"/>
        </w:rPr>
      </w:pPr>
      <w:r>
        <w:rPr>
          <w:bCs/>
          <w:sz w:val="24"/>
          <w:szCs w:val="21"/>
        </w:rPr>
        <w:t xml:space="preserve">15.1 </w:t>
      </w:r>
      <w:r>
        <w:rPr>
          <w:sz w:val="24"/>
          <w:szCs w:val="21"/>
        </w:rPr>
        <w:t xml:space="preserve">供应商应按照磋商文件中提供的格式完整、正确</w:t>
      </w:r>
      <w:r>
        <w:rPr>
          <w:sz w:val="24"/>
          <w:szCs w:val="21"/>
        </w:rPr>
        <w:t xml:space="preserve">填写磋商</w:t>
      </w:r>
      <w:r>
        <w:rPr>
          <w:sz w:val="24"/>
          <w:szCs w:val="21"/>
        </w:rPr>
        <w:t xml:space="preserve">响应函。</w:t>
      </w:r>
      <w:r/>
    </w:p>
    <w:p>
      <w:pPr>
        <w:ind w:firstLine="560"/>
        <w:keepLines/>
        <w:keepNext/>
        <w:spacing w:line="360" w:lineRule="auto"/>
        <w:rPr>
          <w:rFonts w:eastAsia="黑体"/>
          <w:sz w:val="28"/>
          <w:szCs w:val="28"/>
        </w:rPr>
        <w:outlineLvl w:val="3"/>
      </w:pPr>
      <w:r/>
      <w:bookmarkStart w:id="117" w:name="_Toc49090511"/>
      <w:r/>
      <w:bookmarkStart w:id="118" w:name="_Toc14577360"/>
      <w:r/>
      <w:bookmarkEnd w:id="115"/>
      <w:r/>
      <w:bookmarkEnd w:id="116"/>
      <w:r>
        <w:rPr>
          <w:rFonts w:eastAsia="黑体"/>
          <w:sz w:val="28"/>
          <w:szCs w:val="28"/>
        </w:rPr>
        <w:t xml:space="preserve">16</w:t>
      </w:r>
      <w:r>
        <w:rPr>
          <w:rFonts w:eastAsia="黑体"/>
          <w:sz w:val="28"/>
          <w:szCs w:val="28"/>
        </w:rPr>
        <w:t xml:space="preserve">、磋商有效期</w:t>
      </w:r>
      <w:bookmarkEnd w:id="117"/>
      <w:r/>
      <w:bookmarkEnd w:id="118"/>
      <w:r/>
      <w:r/>
    </w:p>
    <w:p>
      <w:pPr>
        <w:ind w:firstLine="480"/>
        <w:spacing w:line="360" w:lineRule="auto"/>
        <w:rPr>
          <w:bCs/>
          <w:sz w:val="24"/>
          <w:szCs w:val="21"/>
        </w:rPr>
      </w:pPr>
      <w:r>
        <w:rPr>
          <w:bCs/>
          <w:sz w:val="24"/>
          <w:szCs w:val="21"/>
        </w:rPr>
        <w:t xml:space="preserve">16.1 </w:t>
      </w:r>
      <w:r>
        <w:rPr>
          <w:bCs/>
          <w:sz w:val="24"/>
          <w:szCs w:val="21"/>
        </w:rPr>
        <w:t xml:space="preserve">磋商有效期为采购中心规定的提交响应文件截止之日后</w:t>
      </w:r>
      <w:r>
        <w:rPr>
          <w:b/>
          <w:sz w:val="24"/>
          <w:szCs w:val="21"/>
          <w:u w:val="single"/>
        </w:rPr>
        <w:t xml:space="preserve">六十（</w:t>
      </w:r>
      <w:r>
        <w:rPr>
          <w:b/>
          <w:sz w:val="24"/>
          <w:szCs w:val="21"/>
          <w:u w:val="single"/>
        </w:rPr>
        <w:t xml:space="preserve">60</w:t>
      </w:r>
      <w:r>
        <w:rPr>
          <w:b/>
          <w:sz w:val="24"/>
          <w:szCs w:val="21"/>
          <w:u w:val="single"/>
        </w:rPr>
        <w:t xml:space="preserve">）天</w:t>
      </w:r>
      <w:r>
        <w:rPr>
          <w:bCs/>
          <w:sz w:val="24"/>
          <w:szCs w:val="21"/>
        </w:rPr>
        <w:t xml:space="preserve">。磋商有效期比规定短的将被视为非实质性响应磋商文</w:t>
      </w:r>
      <w:r>
        <w:rPr>
          <w:bCs/>
          <w:sz w:val="24"/>
          <w:szCs w:val="21"/>
        </w:rPr>
        <w:t xml:space="preserve">件而予以拒绝。</w:t>
      </w:r>
      <w:r/>
    </w:p>
    <w:p>
      <w:pPr>
        <w:ind w:firstLine="560"/>
        <w:keepLines/>
        <w:keepNext/>
        <w:spacing w:line="360" w:lineRule="auto"/>
        <w:rPr>
          <w:rFonts w:eastAsia="黑体"/>
          <w:sz w:val="28"/>
          <w:szCs w:val="28"/>
        </w:rPr>
        <w:outlineLvl w:val="3"/>
      </w:pPr>
      <w:r>
        <w:rPr>
          <w:rFonts w:eastAsia="黑体"/>
          <w:sz w:val="28"/>
          <w:szCs w:val="28"/>
        </w:rPr>
        <w:t xml:space="preserve">17</w:t>
      </w:r>
      <w:r>
        <w:rPr>
          <w:rFonts w:eastAsia="黑体"/>
          <w:sz w:val="28"/>
          <w:szCs w:val="28"/>
        </w:rPr>
        <w:t xml:space="preserve">、磋商有效期的延长</w:t>
      </w:r>
      <w:r/>
    </w:p>
    <w:p>
      <w:pPr>
        <w:ind w:firstLine="480"/>
        <w:spacing w:line="360" w:lineRule="auto"/>
        <w:rPr>
          <w:bCs/>
          <w:sz w:val="24"/>
          <w:szCs w:val="21"/>
        </w:rPr>
      </w:pPr>
      <w:r>
        <w:rPr>
          <w:bCs/>
          <w:sz w:val="24"/>
          <w:szCs w:val="21"/>
        </w:rPr>
        <w:t xml:space="preserve">17.1 </w:t>
      </w:r>
      <w:r>
        <w:rPr>
          <w:bCs/>
          <w:sz w:val="24"/>
          <w:szCs w:val="21"/>
        </w:rPr>
        <w:t xml:space="preserve">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w:t>
      </w:r>
      <w:r>
        <w:rPr>
          <w:sz w:val="24"/>
          <w:szCs w:val="24"/>
        </w:rPr>
        <w:t xml:space="preserve">受磋商有效期约束的所有权利与义务均延长至新的有效期</w:t>
      </w:r>
      <w:r>
        <w:rPr>
          <w:bCs/>
          <w:sz w:val="24"/>
          <w:szCs w:val="21"/>
        </w:rPr>
        <w:t xml:space="preserve">。</w:t>
      </w:r>
      <w:r/>
    </w:p>
    <w:p>
      <w:pPr>
        <w:keepLines/>
        <w:keepNext/>
        <w:spacing w:before="120" w:after="120" w:line="360" w:lineRule="auto"/>
        <w:rPr>
          <w:b/>
          <w:bCs/>
          <w:sz w:val="32"/>
          <w:szCs w:val="32"/>
        </w:rPr>
        <w:outlineLvl w:val="2"/>
      </w:pPr>
      <w:r/>
      <w:bookmarkStart w:id="119" w:name="_Hlt26954852"/>
      <w:r/>
      <w:bookmarkStart w:id="120" w:name="_Hlt26954739"/>
      <w:r/>
      <w:bookmarkStart w:id="121" w:name="_Toc513029224"/>
      <w:r/>
      <w:bookmarkStart w:id="122" w:name="_Toc120614217"/>
      <w:r/>
      <w:bookmarkStart w:id="123" w:name="_Toc20823296"/>
      <w:r/>
      <w:bookmarkStart w:id="124" w:name="_Toc16938540"/>
      <w:r/>
      <w:bookmarkEnd w:id="119"/>
      <w:r/>
      <w:bookmarkEnd w:id="120"/>
      <w:r>
        <w:rPr>
          <w:b/>
          <w:bCs/>
          <w:sz w:val="32"/>
          <w:szCs w:val="32"/>
        </w:rPr>
        <w:t xml:space="preserve">四、响应文件的递交</w:t>
      </w:r>
      <w:bookmarkEnd w:id="121"/>
      <w:r/>
      <w:bookmarkEnd w:id="122"/>
      <w:r/>
      <w:bookmarkEnd w:id="123"/>
      <w:r/>
      <w:bookmarkEnd w:id="124"/>
      <w:r/>
      <w:r/>
    </w:p>
    <w:p>
      <w:pPr>
        <w:ind w:firstLine="560"/>
        <w:keepLines/>
        <w:keepNext/>
        <w:spacing w:line="360" w:lineRule="auto"/>
        <w:rPr>
          <w:rFonts w:eastAsia="黑体"/>
          <w:sz w:val="28"/>
          <w:szCs w:val="28"/>
        </w:rPr>
        <w:outlineLvl w:val="3"/>
      </w:pPr>
      <w:r/>
      <w:bookmarkStart w:id="125" w:name="_Toc20823297"/>
      <w:r/>
      <w:bookmarkStart w:id="126" w:name="_Toc513029225"/>
      <w:r/>
      <w:bookmarkStart w:id="127" w:name="_Toc462564084"/>
      <w:r/>
      <w:bookmarkStart w:id="128" w:name="_Toc16938541"/>
      <w:r>
        <w:rPr>
          <w:rFonts w:eastAsia="黑体"/>
          <w:sz w:val="28"/>
          <w:szCs w:val="28"/>
        </w:rPr>
        <w:t xml:space="preserve">18</w:t>
      </w:r>
      <w:r>
        <w:rPr>
          <w:rFonts w:eastAsia="黑体"/>
          <w:sz w:val="28"/>
          <w:szCs w:val="28"/>
        </w:rPr>
        <w:t xml:space="preserve">、电子磋商</w:t>
      </w:r>
      <w:bookmarkEnd w:id="125"/>
      <w:r/>
      <w:bookmarkEnd w:id="126"/>
      <w:r/>
      <w:bookmarkEnd w:id="127"/>
      <w:r/>
      <w:bookmarkEnd w:id="128"/>
      <w:r>
        <w:rPr>
          <w:rFonts w:eastAsia="黑体"/>
          <w:sz w:val="28"/>
          <w:szCs w:val="28"/>
        </w:rPr>
        <w:t xml:space="preserve">响应文件的递交</w:t>
      </w:r>
      <w:r/>
    </w:p>
    <w:p>
      <w:pPr>
        <w:ind w:firstLine="480"/>
        <w:spacing w:line="360" w:lineRule="auto"/>
        <w:rPr>
          <w:bCs/>
          <w:sz w:val="24"/>
          <w:szCs w:val="21"/>
        </w:rPr>
      </w:pPr>
      <w:r>
        <w:rPr>
          <w:bCs/>
          <w:sz w:val="24"/>
          <w:szCs w:val="21"/>
        </w:rPr>
        <w:t xml:space="preserve">18.1 </w:t>
      </w:r>
      <w:r>
        <w:rPr>
          <w:bCs/>
          <w:sz w:val="24"/>
          <w:szCs w:val="21"/>
        </w:rPr>
        <w:t xml:space="preserve">供应商应当按照《操作手册》规定，在提交响应文件截止时间</w:t>
      </w:r>
      <w:r>
        <w:rPr>
          <w:bCs/>
          <w:sz w:val="24"/>
          <w:szCs w:val="21"/>
        </w:rPr>
        <w:t xml:space="preserve">前制作</w:t>
      </w:r>
      <w:r>
        <w:rPr>
          <w:bCs/>
          <w:sz w:val="24"/>
          <w:szCs w:val="21"/>
        </w:rPr>
        <w:t xml:space="preserve">并上传电子响应文件。</w:t>
      </w:r>
      <w:bookmarkStart w:id="129" w:name="_Toc16938542"/>
      <w:r/>
      <w:bookmarkStart w:id="130" w:name="_Toc513029226"/>
      <w:r/>
      <w:bookmarkStart w:id="131" w:name="_Toc20823298"/>
      <w:r/>
      <w:r/>
    </w:p>
    <w:p>
      <w:pPr>
        <w:ind w:firstLine="560"/>
        <w:keepLines/>
        <w:keepNext/>
        <w:spacing w:line="360" w:lineRule="auto"/>
        <w:rPr>
          <w:rFonts w:eastAsia="黑体"/>
          <w:bCs/>
          <w:sz w:val="24"/>
          <w:szCs w:val="28"/>
        </w:rPr>
        <w:outlineLvl w:val="3"/>
      </w:pPr>
      <w:r>
        <w:rPr>
          <w:rFonts w:eastAsia="黑体"/>
          <w:bCs/>
          <w:sz w:val="28"/>
          <w:szCs w:val="28"/>
        </w:rPr>
        <w:t xml:space="preserve">19</w:t>
      </w:r>
      <w:r>
        <w:rPr>
          <w:rFonts w:eastAsia="黑体"/>
          <w:bCs/>
          <w:sz w:val="28"/>
          <w:szCs w:val="28"/>
        </w:rPr>
        <w:t xml:space="preserve">、提交响应文件截止时间</w:t>
      </w:r>
      <w:bookmarkEnd w:id="129"/>
      <w:r/>
      <w:bookmarkEnd w:id="130"/>
      <w:r/>
      <w:bookmarkEnd w:id="131"/>
      <w:r/>
      <w:r/>
    </w:p>
    <w:p>
      <w:pPr>
        <w:ind w:firstLine="480"/>
        <w:spacing w:line="360" w:lineRule="auto"/>
        <w:rPr>
          <w:bCs/>
          <w:i/>
          <w:sz w:val="24"/>
          <w:szCs w:val="21"/>
          <w:u w:val="single"/>
        </w:rPr>
      </w:pPr>
      <w:r>
        <w:rPr>
          <w:i/>
          <w:sz w:val="24"/>
          <w:szCs w:val="21"/>
          <w:u w:val="single"/>
        </w:rPr>
        <w:t xml:space="preserve">19.1 </w:t>
      </w:r>
      <w:r>
        <w:rPr>
          <w:bCs/>
          <w:i/>
          <w:sz w:val="24"/>
          <w:szCs w:val="21"/>
          <w:u w:val="single"/>
        </w:rPr>
        <w:t xml:space="preserve">供应商上传电子响应文件的时间不得迟于磋商公告中规定的提交响应文件截止时间。</w:t>
      </w:r>
      <w:r/>
    </w:p>
    <w:p>
      <w:pPr>
        <w:ind w:firstLine="480"/>
        <w:spacing w:line="360" w:lineRule="auto"/>
        <w:rPr>
          <w:bCs/>
          <w:sz w:val="24"/>
          <w:szCs w:val="21"/>
        </w:rPr>
      </w:pPr>
      <w:r>
        <w:rPr>
          <w:bCs/>
          <w:sz w:val="24"/>
          <w:szCs w:val="21"/>
        </w:rPr>
        <w:t xml:space="preserve">供应商应充分考虑到网络环境、网络带宽等风险因素，如因供应商自身原因造成的电子响应文件上传不成功的按照本磋商文件第二章第</w:t>
      </w:r>
      <w:r>
        <w:rPr>
          <w:bCs/>
          <w:sz w:val="24"/>
          <w:szCs w:val="21"/>
        </w:rPr>
        <w:t xml:space="preserve">26.3.2</w:t>
      </w:r>
      <w:r>
        <w:rPr>
          <w:bCs/>
          <w:sz w:val="24"/>
          <w:szCs w:val="21"/>
        </w:rPr>
        <w:t xml:space="preserve">条规定做无效响应处理。</w:t>
      </w:r>
      <w:r/>
    </w:p>
    <w:p>
      <w:pPr>
        <w:ind w:firstLine="480"/>
        <w:spacing w:line="360" w:lineRule="auto"/>
        <w:rPr>
          <w:bCs/>
          <w:sz w:val="24"/>
          <w:szCs w:val="21"/>
        </w:rPr>
      </w:pPr>
      <w:r>
        <w:rPr>
          <w:sz w:val="24"/>
          <w:szCs w:val="21"/>
        </w:rPr>
        <w:t xml:space="preserve">19.2</w:t>
      </w:r>
      <w:r>
        <w:rPr>
          <w:bCs/>
          <w:sz w:val="24"/>
          <w:szCs w:val="21"/>
        </w:rPr>
        <w:t xml:space="preserve"> </w:t>
      </w:r>
      <w:r>
        <w:rPr>
          <w:bCs/>
          <w:sz w:val="24"/>
          <w:szCs w:val="21"/>
        </w:rPr>
        <w:t xml:space="preserve">采购中心可以按照规定，通过修改磋商文件酌情延长提交响应文件截止日期，在此情况下，供应商的所有权利和义务以及供应商受制的截止日期均应以延长后新的截止日期为准。</w:t>
      </w:r>
      <w:r/>
    </w:p>
    <w:p>
      <w:pPr>
        <w:ind w:firstLine="560"/>
        <w:keepLines/>
        <w:keepNext/>
        <w:spacing w:line="360" w:lineRule="auto"/>
        <w:rPr>
          <w:rFonts w:eastAsia="黑体"/>
          <w:sz w:val="28"/>
          <w:szCs w:val="28"/>
        </w:rPr>
        <w:outlineLvl w:val="3"/>
      </w:pPr>
      <w:r/>
      <w:bookmarkStart w:id="132" w:name="_Toc16938543"/>
      <w:r/>
      <w:bookmarkStart w:id="133" w:name="_Toc513029227"/>
      <w:r/>
      <w:bookmarkStart w:id="134" w:name="_Toc20823299"/>
      <w:r>
        <w:rPr>
          <w:rFonts w:eastAsia="黑体"/>
          <w:sz w:val="28"/>
          <w:szCs w:val="28"/>
        </w:rPr>
        <w:t xml:space="preserve">20</w:t>
      </w:r>
      <w:r>
        <w:rPr>
          <w:rFonts w:eastAsia="黑体"/>
          <w:sz w:val="28"/>
          <w:szCs w:val="28"/>
        </w:rPr>
        <w:t xml:space="preserve">、响应文件</w:t>
      </w:r>
      <w:bookmarkEnd w:id="132"/>
      <w:r/>
      <w:bookmarkEnd w:id="133"/>
      <w:r/>
      <w:bookmarkEnd w:id="134"/>
      <w:r>
        <w:rPr>
          <w:rFonts w:eastAsia="黑体"/>
          <w:sz w:val="28"/>
          <w:szCs w:val="28"/>
        </w:rPr>
        <w:t xml:space="preserve">的拒收</w:t>
      </w:r>
      <w:r/>
    </w:p>
    <w:p>
      <w:pPr>
        <w:ind w:firstLine="480"/>
        <w:spacing w:line="360" w:lineRule="auto"/>
        <w:rPr>
          <w:bCs/>
          <w:sz w:val="24"/>
          <w:szCs w:val="21"/>
        </w:rPr>
      </w:pPr>
      <w:r>
        <w:rPr>
          <w:bCs/>
          <w:sz w:val="24"/>
          <w:szCs w:val="21"/>
        </w:rPr>
        <w:t xml:space="preserve">20.1 </w:t>
      </w:r>
      <w:r>
        <w:rPr>
          <w:bCs/>
          <w:sz w:val="24"/>
          <w:szCs w:val="21"/>
        </w:rPr>
        <w:t xml:space="preserve">采购中心拒绝接收在其规定的提交响应文件截止时间后上传的任何电子响应文件。</w:t>
      </w:r>
      <w:r/>
    </w:p>
    <w:p>
      <w:pPr>
        <w:ind w:firstLine="560"/>
        <w:keepLines/>
        <w:keepNext/>
        <w:spacing w:line="360" w:lineRule="auto"/>
        <w:rPr>
          <w:rFonts w:eastAsia="黑体"/>
          <w:sz w:val="28"/>
          <w:szCs w:val="28"/>
        </w:rPr>
        <w:outlineLvl w:val="3"/>
      </w:pPr>
      <w:r/>
      <w:bookmarkStart w:id="135" w:name="_Toc16938544"/>
      <w:r/>
      <w:bookmarkStart w:id="136" w:name="_Toc513029228"/>
      <w:r/>
      <w:bookmarkStart w:id="137" w:name="_Toc20823300"/>
      <w:r>
        <w:rPr>
          <w:rFonts w:eastAsia="黑体"/>
          <w:sz w:val="28"/>
          <w:szCs w:val="28"/>
        </w:rPr>
        <w:t xml:space="preserve">21</w:t>
      </w:r>
      <w:r>
        <w:rPr>
          <w:rFonts w:eastAsia="黑体"/>
          <w:sz w:val="28"/>
          <w:szCs w:val="28"/>
        </w:rPr>
        <w:t xml:space="preserve">、响</w:t>
      </w:r>
      <w:r>
        <w:rPr>
          <w:rFonts w:eastAsia="黑体"/>
          <w:sz w:val="28"/>
          <w:szCs w:val="28"/>
        </w:rPr>
        <w:t xml:space="preserve">应文件的撤回和修改</w:t>
      </w:r>
      <w:bookmarkEnd w:id="135"/>
      <w:r/>
      <w:bookmarkEnd w:id="136"/>
      <w:r/>
      <w:bookmarkEnd w:id="137"/>
      <w:r/>
      <w:r/>
    </w:p>
    <w:p>
      <w:pPr>
        <w:ind w:firstLine="480"/>
        <w:spacing w:line="360" w:lineRule="auto"/>
        <w:rPr>
          <w:sz w:val="24"/>
          <w:szCs w:val="21"/>
        </w:rPr>
      </w:pPr>
      <w:r>
        <w:rPr>
          <w:sz w:val="24"/>
          <w:szCs w:val="21"/>
        </w:rPr>
        <w:t xml:space="preserve">21.1 </w:t>
      </w:r>
      <w:r>
        <w:rPr>
          <w:sz w:val="24"/>
          <w:szCs w:val="21"/>
        </w:rPr>
        <w:t xml:space="preserve">响应文件的撤回</w:t>
      </w:r>
      <w:r/>
    </w:p>
    <w:p>
      <w:pPr>
        <w:ind w:firstLine="480"/>
        <w:spacing w:line="360" w:lineRule="auto"/>
        <w:rPr>
          <w:sz w:val="24"/>
          <w:szCs w:val="21"/>
        </w:rPr>
      </w:pPr>
      <w:r>
        <w:rPr>
          <w:sz w:val="24"/>
          <w:szCs w:val="21"/>
        </w:rPr>
        <w:t xml:space="preserve">21.1.1 </w:t>
      </w:r>
      <w:r>
        <w:rPr>
          <w:sz w:val="24"/>
          <w:szCs w:val="21"/>
        </w:rPr>
        <w:t xml:space="preserve">电子响应文件的撤回</w:t>
      </w:r>
      <w:r/>
    </w:p>
    <w:p>
      <w:pPr>
        <w:ind w:firstLine="480"/>
        <w:spacing w:line="360" w:lineRule="auto"/>
        <w:rPr>
          <w:sz w:val="24"/>
          <w:szCs w:val="21"/>
        </w:rPr>
      </w:pPr>
      <w:r>
        <w:rPr>
          <w:sz w:val="24"/>
          <w:szCs w:val="21"/>
        </w:rPr>
        <w:t xml:space="preserve">供应商可在</w:t>
      </w:r>
      <w:r>
        <w:rPr>
          <w:bCs/>
          <w:sz w:val="24"/>
          <w:szCs w:val="21"/>
        </w:rPr>
        <w:t xml:space="preserve">提交响应文件</w:t>
      </w:r>
      <w:r>
        <w:rPr>
          <w:sz w:val="24"/>
          <w:szCs w:val="21"/>
        </w:rPr>
        <w:t xml:space="preserve">截止时间前，撤回其电子响应文件，具体操作方法见《操作手册》。</w:t>
      </w:r>
      <w:r/>
    </w:p>
    <w:p>
      <w:pPr>
        <w:ind w:firstLine="480"/>
        <w:spacing w:line="360" w:lineRule="auto"/>
        <w:rPr>
          <w:sz w:val="24"/>
          <w:szCs w:val="24"/>
        </w:rPr>
      </w:pPr>
      <w:r>
        <w:rPr>
          <w:sz w:val="24"/>
          <w:szCs w:val="24"/>
        </w:rPr>
        <w:t xml:space="preserve">21.1.2 </w:t>
      </w:r>
      <w:r>
        <w:rPr>
          <w:sz w:val="24"/>
          <w:szCs w:val="24"/>
        </w:rPr>
        <w:t xml:space="preserve">供应商撤回电子响应文件，则认为其不再参与本项目磋商活动。</w:t>
      </w:r>
      <w:r/>
    </w:p>
    <w:p>
      <w:pPr>
        <w:ind w:firstLine="480"/>
        <w:spacing w:line="360" w:lineRule="auto"/>
        <w:rPr>
          <w:sz w:val="24"/>
          <w:szCs w:val="24"/>
        </w:rPr>
      </w:pPr>
      <w:r>
        <w:rPr>
          <w:sz w:val="24"/>
          <w:szCs w:val="24"/>
        </w:rPr>
        <w:t xml:space="preserve">21.2 </w:t>
      </w:r>
      <w:r>
        <w:rPr>
          <w:sz w:val="24"/>
          <w:szCs w:val="24"/>
        </w:rPr>
        <w:t xml:space="preserve">响应文件的修改</w:t>
      </w:r>
      <w:r/>
    </w:p>
    <w:p>
      <w:pPr>
        <w:ind w:firstLine="480"/>
        <w:spacing w:line="360" w:lineRule="auto"/>
        <w:rPr>
          <w:sz w:val="24"/>
          <w:szCs w:val="21"/>
        </w:rPr>
      </w:pPr>
      <w:r>
        <w:rPr>
          <w:sz w:val="24"/>
          <w:szCs w:val="21"/>
        </w:rPr>
        <w:t xml:space="preserve">供应商可在</w:t>
      </w:r>
      <w:r>
        <w:rPr>
          <w:bCs/>
          <w:sz w:val="24"/>
          <w:szCs w:val="21"/>
        </w:rPr>
        <w:t xml:space="preserve">提交响应文件</w:t>
      </w:r>
      <w:r>
        <w:rPr>
          <w:sz w:val="24"/>
          <w:szCs w:val="21"/>
        </w:rPr>
        <w:t xml:space="preserve">截止时间前，对其电子响应文件进行修改，具体操作方法见《操作手册》。</w:t>
      </w:r>
      <w:r/>
    </w:p>
    <w:p>
      <w:pPr>
        <w:ind w:firstLine="480"/>
        <w:spacing w:line="360" w:lineRule="auto"/>
        <w:rPr>
          <w:bCs/>
          <w:sz w:val="24"/>
          <w:szCs w:val="21"/>
        </w:rPr>
      </w:pPr>
      <w:r>
        <w:rPr>
          <w:sz w:val="24"/>
          <w:szCs w:val="21"/>
        </w:rPr>
        <w:t xml:space="preserve">21.3</w:t>
      </w:r>
      <w:r>
        <w:rPr>
          <w:bCs/>
          <w:sz w:val="24"/>
          <w:szCs w:val="21"/>
        </w:rPr>
        <w:t xml:space="preserve"> </w:t>
      </w:r>
      <w:r>
        <w:rPr>
          <w:bCs/>
          <w:sz w:val="24"/>
          <w:szCs w:val="21"/>
        </w:rPr>
        <w:t xml:space="preserve">在提交响应文件截止时间之后，供应商不得对其电子响应文件作任何修改。</w:t>
      </w:r>
      <w:r/>
    </w:p>
    <w:p>
      <w:pPr>
        <w:ind w:firstLine="480"/>
        <w:spacing w:line="360" w:lineRule="auto"/>
        <w:rPr>
          <w:bCs/>
          <w:sz w:val="24"/>
          <w:szCs w:val="21"/>
        </w:rPr>
      </w:pPr>
      <w:r>
        <w:rPr>
          <w:sz w:val="24"/>
          <w:szCs w:val="21"/>
        </w:rPr>
        <w:t xml:space="preserve">21.4</w:t>
      </w:r>
      <w:r>
        <w:rPr>
          <w:bCs/>
          <w:sz w:val="24"/>
          <w:szCs w:val="21"/>
        </w:rPr>
        <w:t xml:space="preserve"> </w:t>
      </w:r>
      <w:r>
        <w:rPr>
          <w:bCs/>
          <w:sz w:val="24"/>
          <w:szCs w:val="21"/>
        </w:rPr>
        <w:t xml:space="preserve">在提交响应文件截止时间至磋商文件中规定的磋商有效期满之间的这段时间内，供应商不得撤回其响应文件。</w:t>
      </w:r>
      <w:r/>
    </w:p>
    <w:p>
      <w:pPr>
        <w:keepLines/>
        <w:keepNext/>
        <w:spacing w:before="120" w:after="120" w:line="360" w:lineRule="auto"/>
        <w:rPr>
          <w:b/>
          <w:bCs/>
          <w:sz w:val="32"/>
          <w:szCs w:val="32"/>
        </w:rPr>
        <w:outlineLvl w:val="2"/>
      </w:pPr>
      <w:r/>
      <w:bookmarkStart w:id="138" w:name="_Toc120614218"/>
      <w:r/>
      <w:bookmarkStart w:id="139" w:name="_Toc20823301"/>
      <w:r/>
      <w:bookmarkStart w:id="140" w:name="_Toc513029229"/>
      <w:r/>
      <w:bookmarkStart w:id="141" w:name="_Toc16938545"/>
      <w:r>
        <w:rPr>
          <w:b/>
          <w:bCs/>
          <w:sz w:val="32"/>
          <w:szCs w:val="32"/>
        </w:rPr>
        <w:t xml:space="preserve">五、响应文件的解密与评审</w:t>
      </w:r>
      <w:bookmarkEnd w:id="138"/>
      <w:r/>
      <w:bookmarkEnd w:id="139"/>
      <w:r/>
      <w:bookmarkEnd w:id="140"/>
      <w:r/>
      <w:bookmarkEnd w:id="141"/>
      <w:r/>
      <w:r/>
    </w:p>
    <w:p>
      <w:pPr>
        <w:ind w:firstLine="560"/>
        <w:keepLines/>
        <w:keepNext/>
        <w:spacing w:line="360" w:lineRule="auto"/>
        <w:rPr>
          <w:rFonts w:eastAsia="黑体"/>
          <w:sz w:val="28"/>
          <w:szCs w:val="28"/>
        </w:rPr>
        <w:outlineLvl w:val="3"/>
      </w:pPr>
      <w:r/>
      <w:bookmarkStart w:id="142" w:name="_Toc20823302"/>
      <w:r/>
      <w:bookmarkStart w:id="143" w:name="_Toc513029230"/>
      <w:r/>
      <w:bookmarkStart w:id="144" w:name="_Toc16938546"/>
      <w:r>
        <w:rPr>
          <w:rFonts w:eastAsia="黑体"/>
          <w:sz w:val="28"/>
          <w:szCs w:val="28"/>
        </w:rPr>
        <w:t xml:space="preserve">22</w:t>
      </w:r>
      <w:r>
        <w:rPr>
          <w:rFonts w:eastAsia="黑体"/>
          <w:sz w:val="28"/>
          <w:szCs w:val="28"/>
        </w:rPr>
        <w:t xml:space="preserve">、</w:t>
      </w:r>
      <w:bookmarkEnd w:id="142"/>
      <w:r/>
      <w:bookmarkEnd w:id="143"/>
      <w:r/>
      <w:bookmarkEnd w:id="144"/>
      <w:r>
        <w:rPr>
          <w:rFonts w:eastAsia="黑体"/>
          <w:sz w:val="28"/>
          <w:szCs w:val="28"/>
        </w:rPr>
        <w:t xml:space="preserve">响应文件解密</w:t>
      </w:r>
      <w:r/>
    </w:p>
    <w:p>
      <w:pPr>
        <w:ind w:firstLine="480"/>
        <w:spacing w:line="360" w:lineRule="auto"/>
        <w:rPr>
          <w:szCs w:val="21"/>
        </w:rPr>
      </w:pPr>
      <w:r>
        <w:rPr>
          <w:sz w:val="24"/>
          <w:szCs w:val="21"/>
        </w:rPr>
        <w:t xml:space="preserve">22.1 </w:t>
      </w:r>
      <w:r>
        <w:rPr>
          <w:sz w:val="24"/>
          <w:szCs w:val="24"/>
        </w:rPr>
        <w:t xml:space="preserve">供应商应当按照《操作手册》规定，在苏</w:t>
      </w:r>
      <w:r>
        <w:rPr>
          <w:sz w:val="24"/>
          <w:szCs w:val="24"/>
        </w:rPr>
        <w:t xml:space="preserve">采云</w:t>
      </w:r>
      <w:r>
        <w:rPr>
          <w:sz w:val="24"/>
          <w:szCs w:val="24"/>
        </w:rPr>
        <w:t xml:space="preserve">系统规定的时间内对磋商响应文件进行解密。</w:t>
      </w:r>
      <w:r/>
    </w:p>
    <w:p>
      <w:pPr>
        <w:ind w:firstLine="560"/>
        <w:keepLines/>
        <w:keepNext/>
        <w:spacing w:line="360" w:lineRule="auto"/>
        <w:rPr>
          <w:rFonts w:eastAsia="黑体"/>
          <w:sz w:val="28"/>
          <w:szCs w:val="28"/>
        </w:rPr>
        <w:outlineLvl w:val="3"/>
      </w:pPr>
      <w:r/>
      <w:bookmarkStart w:id="145" w:name="_Toc16938547"/>
      <w:r/>
      <w:bookmarkStart w:id="146" w:name="_Toc513029231"/>
      <w:r/>
      <w:bookmarkStart w:id="147" w:name="_Toc20823303"/>
      <w:r>
        <w:rPr>
          <w:rFonts w:eastAsia="黑体"/>
          <w:sz w:val="28"/>
          <w:szCs w:val="28"/>
        </w:rPr>
        <w:t xml:space="preserve">23</w:t>
      </w:r>
      <w:r>
        <w:rPr>
          <w:rFonts w:eastAsia="黑体"/>
          <w:sz w:val="28"/>
          <w:szCs w:val="28"/>
        </w:rPr>
        <w:t xml:space="preserve">、磋商小组</w:t>
      </w:r>
      <w:r/>
    </w:p>
    <w:p>
      <w:pPr>
        <w:ind w:firstLine="480"/>
        <w:spacing w:line="360" w:lineRule="auto"/>
        <w:rPr>
          <w:b/>
          <w:sz w:val="24"/>
          <w:szCs w:val="24"/>
        </w:rPr>
      </w:pPr>
      <w:r>
        <w:rPr>
          <w:sz w:val="24"/>
          <w:szCs w:val="24"/>
        </w:rPr>
        <w:t xml:space="preserve">23.1 </w:t>
      </w:r>
      <w:r>
        <w:rPr>
          <w:sz w:val="24"/>
          <w:szCs w:val="24"/>
        </w:rPr>
        <w:t xml:space="preserve">采购中心将组织磋商小组对响应文件进行评审。磋商小组由采购人代表和有关技术、经济等方面的专家组成，</w:t>
      </w:r>
      <w:r>
        <w:rPr>
          <w:sz w:val="24"/>
          <w:szCs w:val="24"/>
        </w:rPr>
        <w:t xml:space="preserve">且人员</w:t>
      </w:r>
      <w:r>
        <w:rPr>
          <w:sz w:val="24"/>
          <w:szCs w:val="24"/>
        </w:rPr>
        <w:t xml:space="preserve">构成符合政府采购有关规定。</w:t>
      </w:r>
      <w:r/>
    </w:p>
    <w:p>
      <w:pPr>
        <w:ind w:firstLine="480"/>
        <w:spacing w:line="360" w:lineRule="auto"/>
        <w:rPr>
          <w:sz w:val="24"/>
          <w:szCs w:val="24"/>
        </w:rPr>
      </w:pPr>
      <w:r>
        <w:rPr>
          <w:sz w:val="24"/>
          <w:szCs w:val="24"/>
        </w:rPr>
        <w:t xml:space="preserve">23.2 </w:t>
      </w:r>
      <w:r>
        <w:rPr>
          <w:sz w:val="24"/>
          <w:szCs w:val="24"/>
        </w:rPr>
        <w:t xml:space="preserve">磋商小组独立工作，负责评审所有响应文件并确定成交</w:t>
      </w:r>
      <w:r>
        <w:rPr>
          <w:sz w:val="24"/>
          <w:szCs w:val="24"/>
        </w:rPr>
        <w:t xml:space="preserve">侯选人</w:t>
      </w:r>
      <w:r>
        <w:rPr>
          <w:sz w:val="24"/>
          <w:szCs w:val="24"/>
        </w:rPr>
        <w:t xml:space="preserve">。</w:t>
      </w:r>
      <w:r/>
    </w:p>
    <w:p>
      <w:pPr>
        <w:ind w:firstLine="560"/>
        <w:keepLines/>
        <w:keepNext/>
        <w:spacing w:line="360" w:lineRule="auto"/>
        <w:rPr>
          <w:rFonts w:eastAsia="黑体"/>
          <w:sz w:val="28"/>
          <w:szCs w:val="28"/>
        </w:rPr>
        <w:outlineLvl w:val="3"/>
      </w:pPr>
      <w:r>
        <w:rPr>
          <w:rFonts w:eastAsia="黑体"/>
          <w:sz w:val="28"/>
          <w:szCs w:val="28"/>
        </w:rPr>
        <w:t xml:space="preserve">24</w:t>
      </w:r>
      <w:r>
        <w:rPr>
          <w:rFonts w:eastAsia="黑体"/>
          <w:sz w:val="28"/>
          <w:szCs w:val="28"/>
        </w:rPr>
        <w:t xml:space="preserve">、评审过程的保密与公正</w:t>
      </w:r>
      <w:bookmarkEnd w:id="145"/>
      <w:r/>
      <w:bookmarkEnd w:id="146"/>
      <w:r/>
      <w:bookmarkEnd w:id="147"/>
      <w:r/>
      <w:r/>
    </w:p>
    <w:p>
      <w:pPr>
        <w:ind w:firstLine="480"/>
        <w:spacing w:line="360" w:lineRule="auto"/>
        <w:rPr>
          <w:bCs/>
          <w:sz w:val="24"/>
          <w:szCs w:val="21"/>
        </w:rPr>
      </w:pPr>
      <w:r>
        <w:rPr>
          <w:sz w:val="24"/>
          <w:szCs w:val="21"/>
        </w:rPr>
        <w:t xml:space="preserve">24.1 </w:t>
      </w:r>
      <w:r>
        <w:rPr>
          <w:bCs/>
          <w:sz w:val="24"/>
          <w:szCs w:val="21"/>
        </w:rPr>
        <w:t xml:space="preserve">磋商小组、采购人和采购中心工作人员、相关监督人员等与评审工作有关的人员，对评审情况以及在评审过程中获悉的国家秘密、商业秘密负有保密责任。</w:t>
      </w:r>
      <w:r/>
    </w:p>
    <w:p>
      <w:pPr>
        <w:ind w:firstLine="480"/>
        <w:spacing w:line="360" w:lineRule="auto"/>
        <w:rPr>
          <w:sz w:val="24"/>
          <w:szCs w:val="24"/>
        </w:rPr>
      </w:pPr>
      <w:r>
        <w:rPr>
          <w:sz w:val="24"/>
          <w:szCs w:val="21"/>
        </w:rPr>
        <w:t xml:space="preserve">24.2 </w:t>
      </w:r>
      <w:r>
        <w:rPr>
          <w:sz w:val="24"/>
          <w:szCs w:val="24"/>
        </w:rPr>
        <w:t xml:space="preserve">在评审过程中，供应商不得以任何行为影响磋商评审过程，否则其响应文件将被作为无效响应文件。</w:t>
      </w:r>
      <w:r/>
    </w:p>
    <w:p>
      <w:pPr>
        <w:ind w:firstLine="480"/>
        <w:spacing w:line="360" w:lineRule="auto"/>
        <w:rPr>
          <w:sz w:val="24"/>
          <w:szCs w:val="24"/>
        </w:rPr>
      </w:pPr>
      <w:r>
        <w:rPr>
          <w:sz w:val="24"/>
          <w:szCs w:val="21"/>
        </w:rPr>
        <w:t xml:space="preserve">24.3 </w:t>
      </w:r>
      <w:r>
        <w:rPr>
          <w:sz w:val="24"/>
          <w:szCs w:val="24"/>
        </w:rPr>
        <w:t xml:space="preserve">在项目评审期间，采购中心将设专门人员与供应商联系。</w:t>
      </w:r>
      <w:r/>
    </w:p>
    <w:p>
      <w:pPr>
        <w:ind w:firstLine="480"/>
        <w:spacing w:line="360" w:lineRule="auto"/>
        <w:rPr>
          <w:sz w:val="24"/>
          <w:szCs w:val="24"/>
        </w:rPr>
      </w:pPr>
      <w:r>
        <w:rPr>
          <w:sz w:val="24"/>
          <w:szCs w:val="24"/>
        </w:rPr>
        <w:t xml:space="preserve">24.4 </w:t>
      </w:r>
      <w:r>
        <w:rPr>
          <w:sz w:val="24"/>
          <w:szCs w:val="24"/>
        </w:rPr>
        <w:t xml:space="preserve">采购中心和磋商小组不向未成交的供应</w:t>
      </w:r>
      <w:r>
        <w:rPr>
          <w:sz w:val="24"/>
          <w:szCs w:val="24"/>
        </w:rPr>
        <w:t xml:space="preserve">商解释未</w:t>
      </w:r>
      <w:r>
        <w:rPr>
          <w:sz w:val="24"/>
          <w:szCs w:val="24"/>
        </w:rPr>
        <w:t xml:space="preserve">成交原因，也不公布评审过程中的相关细节。</w:t>
      </w:r>
      <w:r/>
    </w:p>
    <w:p>
      <w:pPr>
        <w:ind w:firstLine="560"/>
        <w:keepLines/>
        <w:keepNext/>
        <w:spacing w:line="360" w:lineRule="auto"/>
        <w:rPr>
          <w:rFonts w:eastAsia="黑体"/>
          <w:sz w:val="28"/>
          <w:szCs w:val="28"/>
        </w:rPr>
        <w:outlineLvl w:val="3"/>
      </w:pPr>
      <w:r/>
      <w:bookmarkStart w:id="148" w:name="_Toc513029232"/>
      <w:r/>
      <w:bookmarkStart w:id="149" w:name="_Toc20823304"/>
      <w:r/>
      <w:bookmarkStart w:id="150" w:name="_Toc16938548"/>
      <w:r>
        <w:rPr>
          <w:rFonts w:eastAsia="黑体"/>
          <w:sz w:val="28"/>
          <w:szCs w:val="28"/>
        </w:rPr>
        <w:t xml:space="preserve">25</w:t>
      </w:r>
      <w:r>
        <w:rPr>
          <w:rFonts w:eastAsia="黑体"/>
          <w:sz w:val="28"/>
          <w:szCs w:val="28"/>
        </w:rPr>
        <w:t xml:space="preserve">、评审过程中的</w:t>
      </w:r>
      <w:r>
        <w:rPr>
          <w:rFonts w:eastAsia="黑体"/>
          <w:sz w:val="28"/>
          <w:szCs w:val="28"/>
        </w:rPr>
        <w:t xml:space="preserve">的</w:t>
      </w:r>
      <w:r>
        <w:rPr>
          <w:rFonts w:eastAsia="黑体"/>
          <w:sz w:val="28"/>
          <w:szCs w:val="28"/>
        </w:rPr>
        <w:t xml:space="preserve">澄清</w:t>
      </w:r>
      <w:bookmarkEnd w:id="148"/>
      <w:r/>
      <w:bookmarkEnd w:id="149"/>
      <w:r/>
      <w:bookmarkEnd w:id="150"/>
      <w:r/>
      <w:r/>
    </w:p>
    <w:p>
      <w:pPr>
        <w:ind w:firstLine="480"/>
        <w:spacing w:line="360" w:lineRule="auto"/>
        <w:rPr>
          <w:sz w:val="24"/>
          <w:szCs w:val="24"/>
        </w:rPr>
      </w:pPr>
      <w:r>
        <w:rPr>
          <w:sz w:val="24"/>
          <w:szCs w:val="24"/>
        </w:rPr>
        <w:t xml:space="preserve">25.1</w:t>
      </w:r>
      <w:r>
        <w:rPr>
          <w:sz w:val="24"/>
          <w:szCs w:val="24"/>
        </w:rPr>
        <w:t xml:space="preserve">项目评审期间，磋商小组有权要求供应商对响应文件中含义不明确、同类问题表述不一致或者有</w:t>
      </w:r>
      <w:r>
        <w:rPr>
          <w:sz w:val="24"/>
          <w:szCs w:val="24"/>
        </w:rPr>
        <w:t xml:space="preserve">明显文字和计算错误的内容等</w:t>
      </w:r>
      <w:r>
        <w:rPr>
          <w:sz w:val="24"/>
          <w:szCs w:val="24"/>
        </w:rPr>
        <w:t xml:space="preserve">作出</w:t>
      </w:r>
      <w:r>
        <w:rPr>
          <w:sz w:val="24"/>
          <w:szCs w:val="24"/>
        </w:rPr>
        <w:t xml:space="preserve">必要的澄清、说明或者更正。供应商的澄清、说明或者更正不得超出响应文件的范围或者改变响应文件的实质性内容。</w:t>
      </w:r>
      <w:r/>
    </w:p>
    <w:p>
      <w:pPr>
        <w:ind w:firstLine="480"/>
        <w:spacing w:line="360" w:lineRule="auto"/>
        <w:rPr>
          <w:sz w:val="24"/>
          <w:szCs w:val="24"/>
        </w:rPr>
      </w:pPr>
      <w:r>
        <w:rPr>
          <w:sz w:val="24"/>
          <w:szCs w:val="24"/>
        </w:rPr>
        <w:t xml:space="preserve">磋商小组并非对每个供应商都作澄清要求。</w:t>
      </w:r>
      <w:r/>
    </w:p>
    <w:p>
      <w:pPr>
        <w:ind w:firstLine="480"/>
        <w:spacing w:line="360" w:lineRule="auto"/>
        <w:rPr>
          <w:sz w:val="24"/>
          <w:szCs w:val="24"/>
        </w:rPr>
      </w:pPr>
      <w:r>
        <w:rPr>
          <w:sz w:val="24"/>
          <w:szCs w:val="24"/>
        </w:rPr>
        <w:t xml:space="preserve">25.2 </w:t>
      </w:r>
      <w:r>
        <w:rPr>
          <w:sz w:val="24"/>
          <w:szCs w:val="24"/>
        </w:rPr>
        <w:t xml:space="preserve">需要供应商进行澄清、说明和更正的，磋商小组将通过苏</w:t>
      </w:r>
      <w:r>
        <w:rPr>
          <w:sz w:val="24"/>
          <w:szCs w:val="24"/>
        </w:rPr>
        <w:t xml:space="preserve">采云</w:t>
      </w:r>
      <w:r>
        <w:rPr>
          <w:sz w:val="24"/>
          <w:szCs w:val="24"/>
        </w:rPr>
        <w:t xml:space="preserve">系统向供应商发布</w:t>
      </w:r>
      <w:r>
        <w:rPr>
          <w:sz w:val="24"/>
          <w:szCs w:val="24"/>
        </w:rPr>
        <w:t xml:space="preserve">“</w:t>
      </w:r>
      <w:r>
        <w:rPr>
          <w:sz w:val="24"/>
          <w:szCs w:val="24"/>
        </w:rPr>
        <w:t xml:space="preserve">澄清要求函</w:t>
      </w:r>
      <w:r>
        <w:rPr>
          <w:sz w:val="24"/>
          <w:szCs w:val="24"/>
        </w:rPr>
        <w:t xml:space="preserve">”</w:t>
      </w:r>
      <w:r>
        <w:rPr>
          <w:sz w:val="24"/>
          <w:szCs w:val="24"/>
        </w:rPr>
        <w:t xml:space="preserve">，接到</w:t>
      </w:r>
      <w:r>
        <w:rPr>
          <w:sz w:val="24"/>
          <w:szCs w:val="24"/>
        </w:rPr>
        <w:t xml:space="preserve">“</w:t>
      </w:r>
      <w:r>
        <w:rPr>
          <w:sz w:val="24"/>
          <w:szCs w:val="24"/>
        </w:rPr>
        <w:t xml:space="preserve">澄清要求函</w:t>
      </w:r>
      <w:r>
        <w:rPr>
          <w:sz w:val="24"/>
          <w:szCs w:val="24"/>
        </w:rPr>
        <w:t xml:space="preserve">”</w:t>
      </w:r>
      <w:r>
        <w:rPr>
          <w:sz w:val="24"/>
          <w:szCs w:val="24"/>
        </w:rPr>
        <w:t xml:space="preserve">的供应商应当按照要求在苏</w:t>
      </w:r>
      <w:r>
        <w:rPr>
          <w:sz w:val="24"/>
          <w:szCs w:val="24"/>
        </w:rPr>
        <w:t xml:space="preserve">采云</w:t>
      </w:r>
      <w:r>
        <w:rPr>
          <w:sz w:val="24"/>
          <w:szCs w:val="24"/>
        </w:rPr>
        <w:t xml:space="preserve">系统中提交</w:t>
      </w:r>
      <w:r>
        <w:rPr>
          <w:sz w:val="24"/>
          <w:szCs w:val="24"/>
        </w:rPr>
        <w:t xml:space="preserve">“</w:t>
      </w:r>
      <w:r>
        <w:rPr>
          <w:sz w:val="24"/>
          <w:szCs w:val="24"/>
        </w:rPr>
        <w:t xml:space="preserve">澄清响应函</w:t>
      </w:r>
      <w:r>
        <w:rPr>
          <w:sz w:val="24"/>
          <w:szCs w:val="24"/>
        </w:rPr>
        <w:t xml:space="preserve">”</w:t>
      </w:r>
      <w:r>
        <w:rPr>
          <w:sz w:val="24"/>
          <w:szCs w:val="24"/>
        </w:rPr>
        <w:t xml:space="preserve">并加盖</w:t>
      </w:r>
      <w:r>
        <w:rPr>
          <w:sz w:val="24"/>
          <w:szCs w:val="24"/>
        </w:rPr>
        <w:t xml:space="preserve">CA</w:t>
      </w:r>
      <w:r>
        <w:rPr>
          <w:sz w:val="24"/>
          <w:szCs w:val="24"/>
        </w:rPr>
        <w:t xml:space="preserve">电子公章。澄清、说明和更正的内容作为响应文件的补充部分，具体操作方式见《操作手册》。</w:t>
      </w:r>
      <w:r/>
    </w:p>
    <w:p>
      <w:pPr>
        <w:ind w:firstLine="480"/>
        <w:spacing w:line="360" w:lineRule="auto"/>
        <w:rPr>
          <w:sz w:val="24"/>
          <w:szCs w:val="24"/>
        </w:rPr>
      </w:pPr>
      <w:r>
        <w:rPr>
          <w:sz w:val="24"/>
          <w:szCs w:val="24"/>
        </w:rPr>
        <w:t xml:space="preserve">25.3 </w:t>
      </w:r>
      <w:r>
        <w:rPr>
          <w:sz w:val="24"/>
          <w:szCs w:val="24"/>
        </w:rPr>
        <w:t xml:space="preserve">接到磋商</w:t>
      </w:r>
      <w:r>
        <w:rPr>
          <w:sz w:val="24"/>
          <w:szCs w:val="24"/>
        </w:rPr>
        <w:t xml:space="preserve">小组澄清、说明和更正要求的供应商如未按规定做出澄清、说明</w:t>
      </w:r>
      <w:r>
        <w:rPr>
          <w:sz w:val="24"/>
          <w:szCs w:val="24"/>
        </w:rPr>
        <w:t xml:space="preserve">和</w:t>
      </w:r>
      <w:r>
        <w:rPr>
          <w:sz w:val="24"/>
          <w:szCs w:val="24"/>
        </w:rPr>
        <w:t xml:space="preserve"> </w:t>
      </w:r>
      <w:r>
        <w:rPr>
          <w:sz w:val="24"/>
          <w:szCs w:val="24"/>
        </w:rPr>
        <w:t xml:space="preserve">更正，其风险由供应商自行承担。</w:t>
      </w:r>
      <w:r/>
    </w:p>
    <w:p>
      <w:pPr>
        <w:ind w:firstLine="560"/>
        <w:keepLines/>
        <w:keepNext/>
        <w:spacing w:line="360" w:lineRule="auto"/>
        <w:rPr>
          <w:rFonts w:eastAsia="黑体"/>
          <w:sz w:val="28"/>
          <w:szCs w:val="28"/>
        </w:rPr>
        <w:outlineLvl w:val="3"/>
      </w:pPr>
      <w:r/>
      <w:bookmarkStart w:id="151" w:name="_Toc16938549"/>
      <w:r/>
      <w:bookmarkStart w:id="152" w:name="_Toc20823305"/>
      <w:r/>
      <w:bookmarkStart w:id="153" w:name="_Toc513029233"/>
      <w:r>
        <w:rPr>
          <w:rFonts w:eastAsia="黑体"/>
          <w:sz w:val="28"/>
          <w:szCs w:val="28"/>
        </w:rPr>
        <w:t xml:space="preserve">26</w:t>
      </w:r>
      <w:r>
        <w:rPr>
          <w:rFonts w:eastAsia="黑体"/>
          <w:sz w:val="28"/>
          <w:szCs w:val="28"/>
        </w:rPr>
        <w:t xml:space="preserve">、对响应文件的审</w:t>
      </w:r>
      <w:bookmarkEnd w:id="151"/>
      <w:r/>
      <w:bookmarkEnd w:id="152"/>
      <w:r/>
      <w:bookmarkEnd w:id="153"/>
      <w:r>
        <w:rPr>
          <w:rFonts w:eastAsia="黑体"/>
          <w:sz w:val="28"/>
          <w:szCs w:val="28"/>
        </w:rPr>
        <w:t xml:space="preserve">查</w:t>
      </w:r>
      <w:r/>
    </w:p>
    <w:p>
      <w:pPr>
        <w:ind w:firstLine="480"/>
        <w:spacing w:line="360" w:lineRule="auto"/>
        <w:rPr>
          <w:bCs/>
          <w:sz w:val="24"/>
          <w:szCs w:val="21"/>
        </w:rPr>
      </w:pPr>
      <w:r>
        <w:rPr>
          <w:sz w:val="24"/>
          <w:szCs w:val="21"/>
        </w:rPr>
        <w:t xml:space="preserve">26.1 </w:t>
      </w:r>
      <w:r>
        <w:rPr>
          <w:bCs/>
          <w:sz w:val="24"/>
          <w:szCs w:val="21"/>
        </w:rPr>
        <w:t xml:space="preserve">响应文件审查分为资格审查和符合性审查。</w:t>
      </w:r>
      <w:r/>
    </w:p>
    <w:p>
      <w:pPr>
        <w:ind w:firstLine="480"/>
        <w:spacing w:line="360" w:lineRule="auto"/>
        <w:rPr>
          <w:bCs/>
          <w:sz w:val="24"/>
          <w:szCs w:val="21"/>
        </w:rPr>
      </w:pPr>
      <w:r>
        <w:rPr>
          <w:bCs/>
          <w:sz w:val="24"/>
          <w:szCs w:val="21"/>
        </w:rPr>
        <w:t xml:space="preserve">26.1.1 </w:t>
      </w:r>
      <w:r>
        <w:rPr>
          <w:bCs/>
          <w:sz w:val="24"/>
          <w:szCs w:val="21"/>
        </w:rPr>
        <w:t xml:space="preserve">资格审查：由磋商小组依据法律法规和磋商文件的规定，对响应文件中的资格证明文件进行审查，以确定供应商是否具备参加磋商的资格。</w:t>
      </w:r>
      <w:r/>
    </w:p>
    <w:p>
      <w:pPr>
        <w:ind w:firstLine="480"/>
        <w:spacing w:line="360" w:lineRule="auto"/>
        <w:rPr>
          <w:bCs/>
          <w:sz w:val="24"/>
          <w:szCs w:val="21"/>
        </w:rPr>
      </w:pPr>
      <w:r>
        <w:rPr>
          <w:bCs/>
          <w:sz w:val="24"/>
          <w:szCs w:val="21"/>
        </w:rPr>
        <w:t xml:space="preserve">磋商小组在进行资格审查的同时，将在</w:t>
      </w:r>
      <w:r>
        <w:rPr>
          <w:bCs/>
          <w:sz w:val="24"/>
          <w:szCs w:val="21"/>
        </w:rPr>
        <w:t xml:space="preserve">“</w:t>
      </w:r>
      <w:r>
        <w:rPr>
          <w:bCs/>
          <w:sz w:val="24"/>
          <w:szCs w:val="21"/>
        </w:rPr>
        <w:t xml:space="preserve">信用中国</w:t>
      </w:r>
      <w:r>
        <w:rPr>
          <w:bCs/>
          <w:sz w:val="24"/>
          <w:szCs w:val="21"/>
        </w:rPr>
        <w:t xml:space="preserve">”</w:t>
      </w:r>
      <w:r>
        <w:rPr>
          <w:bCs/>
          <w:sz w:val="24"/>
          <w:szCs w:val="21"/>
        </w:rPr>
        <w:t xml:space="preserve">网站（</w:t>
      </w:r>
      <w:r>
        <w:rPr>
          <w:bCs/>
          <w:sz w:val="24"/>
          <w:szCs w:val="21"/>
        </w:rPr>
        <w:t xml:space="preserve">www.creditchina.gov.cn</w:t>
      </w:r>
      <w:r>
        <w:rPr>
          <w:bCs/>
          <w:sz w:val="24"/>
          <w:szCs w:val="21"/>
        </w:rPr>
        <w:t xml:space="preserve">）查询供应商的信用记录，以确定供应商是否</w:t>
      </w:r>
      <w:r>
        <w:rPr>
          <w:bCs/>
          <w:sz w:val="24"/>
          <w:szCs w:val="21"/>
        </w:rPr>
        <w:t xml:space="preserve">具备磋商</w:t>
      </w:r>
      <w:r>
        <w:rPr>
          <w:bCs/>
          <w:sz w:val="24"/>
          <w:szCs w:val="21"/>
        </w:rPr>
        <w:t xml:space="preserve">资格</w:t>
      </w:r>
      <w:r>
        <w:rPr>
          <w:bCs/>
          <w:sz w:val="24"/>
          <w:szCs w:val="21"/>
        </w:rPr>
        <w:t xml:space="preserve">,</w:t>
      </w:r>
      <w:r>
        <w:rPr>
          <w:bCs/>
          <w:sz w:val="24"/>
          <w:szCs w:val="21"/>
        </w:rPr>
        <w:t xml:space="preserve">查询结果留存并归档。</w:t>
      </w:r>
      <w:r/>
    </w:p>
    <w:p>
      <w:pPr>
        <w:ind w:firstLine="480"/>
        <w:spacing w:line="360" w:lineRule="auto"/>
        <w:rPr>
          <w:bCs/>
          <w:sz w:val="24"/>
          <w:szCs w:val="21"/>
        </w:rPr>
      </w:pPr>
      <w:r>
        <w:rPr>
          <w:bCs/>
          <w:sz w:val="24"/>
          <w:szCs w:val="21"/>
        </w:rPr>
        <w:t xml:space="preserve">接受联合体的项目，两个以上的自然人、法人或者其他组织组成一个联合体，以一个供应商的身份共同参加政府采购活动的</w:t>
      </w:r>
      <w:r>
        <w:rPr>
          <w:bCs/>
          <w:sz w:val="24"/>
          <w:szCs w:val="21"/>
        </w:rPr>
        <w:t xml:space="preserve">,</w:t>
      </w:r>
      <w:r>
        <w:rPr>
          <w:bCs/>
          <w:sz w:val="24"/>
          <w:szCs w:val="21"/>
        </w:rPr>
        <w:t xml:space="preserve">联合体成员中任何一方存在不良信用记录的，视同联合体存在不良应用记录。</w:t>
      </w:r>
      <w:r/>
    </w:p>
    <w:p>
      <w:pPr>
        <w:ind w:firstLine="480"/>
        <w:spacing w:line="360" w:lineRule="auto"/>
        <w:rPr>
          <w:bCs/>
          <w:sz w:val="24"/>
          <w:szCs w:val="21"/>
        </w:rPr>
      </w:pPr>
      <w:r>
        <w:rPr>
          <w:bCs/>
          <w:sz w:val="24"/>
          <w:szCs w:val="21"/>
        </w:rPr>
        <w:t xml:space="preserve">26.1.2 </w:t>
      </w:r>
      <w:r>
        <w:rPr>
          <w:bCs/>
          <w:sz w:val="24"/>
          <w:szCs w:val="21"/>
        </w:rPr>
        <w:t xml:space="preserve">符合性审查：依据磋商文件的规定，由磋商小组从响应文件的有效性、完整性和对磋商文件的响应程度进行审查，以确定是否对磋商文件的实质性要求</w:t>
      </w:r>
      <w:r>
        <w:rPr>
          <w:bCs/>
          <w:sz w:val="24"/>
          <w:szCs w:val="21"/>
        </w:rPr>
        <w:t xml:space="preserve">作出</w:t>
      </w:r>
      <w:r>
        <w:rPr>
          <w:bCs/>
          <w:sz w:val="24"/>
          <w:szCs w:val="21"/>
        </w:rPr>
        <w:t xml:space="preserve">响应。</w:t>
      </w:r>
      <w:r/>
    </w:p>
    <w:p>
      <w:pPr>
        <w:ind w:firstLine="480"/>
        <w:spacing w:line="360" w:lineRule="auto"/>
        <w:rPr>
          <w:bCs/>
          <w:sz w:val="24"/>
          <w:szCs w:val="21"/>
        </w:rPr>
      </w:pPr>
      <w:r>
        <w:rPr>
          <w:bCs/>
          <w:sz w:val="24"/>
          <w:szCs w:val="21"/>
        </w:rPr>
        <w:t xml:space="preserve">2</w:t>
      </w:r>
      <w:r>
        <w:rPr>
          <w:bCs/>
          <w:sz w:val="24"/>
          <w:szCs w:val="21"/>
        </w:rPr>
        <w:t xml:space="preserve">6.1.3 </w:t>
      </w:r>
      <w:r>
        <w:rPr>
          <w:bCs/>
          <w:sz w:val="24"/>
          <w:szCs w:val="21"/>
        </w:rPr>
        <w:t xml:space="preserve">未通过资格审查或符合性审查的供应商，磋商小组将在</w:t>
      </w:r>
      <w:r>
        <w:rPr>
          <w:sz w:val="24"/>
          <w:szCs w:val="24"/>
        </w:rPr>
        <w:t xml:space="preserve">苏</w:t>
      </w:r>
      <w:r>
        <w:rPr>
          <w:sz w:val="24"/>
          <w:szCs w:val="24"/>
        </w:rPr>
        <w:t xml:space="preserve">采云</w:t>
      </w:r>
      <w:r>
        <w:rPr>
          <w:sz w:val="24"/>
          <w:szCs w:val="24"/>
        </w:rPr>
        <w:t xml:space="preserve">系统</w:t>
      </w:r>
      <w:r>
        <w:rPr>
          <w:bCs/>
          <w:sz w:val="24"/>
          <w:szCs w:val="21"/>
        </w:rPr>
        <w:t xml:space="preserve">中告知未通过资格审查或符合性审查的原因，评审结束后，磋商小组将不再告知未通过资格审查或符合性审查的原因。</w:t>
      </w:r>
      <w:r/>
    </w:p>
    <w:p>
      <w:pPr>
        <w:ind w:firstLine="480"/>
        <w:spacing w:line="360" w:lineRule="auto"/>
        <w:rPr>
          <w:sz w:val="24"/>
          <w:szCs w:val="24"/>
        </w:rPr>
      </w:pPr>
      <w:r>
        <w:rPr>
          <w:sz w:val="24"/>
          <w:szCs w:val="21"/>
        </w:rPr>
        <w:t xml:space="preserve">26.2 </w:t>
      </w:r>
      <w:r>
        <w:rPr>
          <w:sz w:val="24"/>
          <w:szCs w:val="24"/>
        </w:rPr>
        <w:t xml:space="preserve">在详细评审之前，磋商小组将首先审查每份响应文件是否实质性响应</w:t>
      </w:r>
      <w:r>
        <w:rPr>
          <w:sz w:val="24"/>
          <w:szCs w:val="24"/>
        </w:rPr>
        <w:t xml:space="preserve">了磋商文件的要求。实质性响应的响应文件应该是与磋商文件要求的条款、条件和规格相符，没有重大偏离或保留。</w:t>
      </w:r>
      <w:r/>
    </w:p>
    <w:p>
      <w:pPr>
        <w:ind w:firstLine="480"/>
        <w:spacing w:line="360" w:lineRule="auto"/>
        <w:rPr>
          <w:sz w:val="24"/>
          <w:szCs w:val="24"/>
        </w:rPr>
      </w:pPr>
      <w:r>
        <w:rPr>
          <w:sz w:val="24"/>
          <w:szCs w:val="24"/>
        </w:rPr>
        <w:t xml:space="preserve">所谓重大偏离或保留是指与磋商文件规定的实质性要求存在负偏离，或者在实质上与磋商文件不一致，而且限制了合同中买方和采购中心的权利或供应商的义务，纠正这些偏离或保留将</w:t>
      </w:r>
      <w:r>
        <w:rPr>
          <w:sz w:val="24"/>
          <w:szCs w:val="24"/>
        </w:rPr>
        <w:t xml:space="preserve">会对其他实质性响应要求的供应商的竞争地位产生不公正的影响。重大偏离由磋商小组按照少数服从多数的原则认定。磋商小组决定响应文件的</w:t>
      </w:r>
      <w:r>
        <w:rPr>
          <w:sz w:val="24"/>
          <w:szCs w:val="24"/>
        </w:rPr>
        <w:t xml:space="preserve">响应性只根据</w:t>
      </w:r>
      <w:r>
        <w:rPr>
          <w:sz w:val="24"/>
          <w:szCs w:val="24"/>
        </w:rPr>
        <w:t xml:space="preserve">响应文件本身的内容，而不寻求外部的证据。</w:t>
      </w:r>
      <w:r/>
    </w:p>
    <w:p>
      <w:pPr>
        <w:ind w:firstLine="480"/>
        <w:spacing w:line="360" w:lineRule="auto"/>
        <w:rPr>
          <w:bCs/>
          <w:sz w:val="24"/>
          <w:szCs w:val="21"/>
        </w:rPr>
      </w:pPr>
      <w:r>
        <w:rPr>
          <w:bCs/>
          <w:sz w:val="24"/>
          <w:szCs w:val="21"/>
        </w:rPr>
        <w:t xml:space="preserve">26.3 </w:t>
      </w:r>
      <w:r>
        <w:rPr>
          <w:bCs/>
          <w:sz w:val="24"/>
          <w:szCs w:val="21"/>
        </w:rPr>
        <w:t xml:space="preserve">未实质性响应磋商文件的情形</w:t>
      </w:r>
      <w:r/>
    </w:p>
    <w:p>
      <w:pPr>
        <w:ind w:firstLine="480"/>
        <w:spacing w:line="360" w:lineRule="auto"/>
        <w:rPr>
          <w:bCs/>
          <w:sz w:val="24"/>
          <w:szCs w:val="21"/>
        </w:rPr>
      </w:pPr>
      <w:r>
        <w:rPr>
          <w:bCs/>
          <w:sz w:val="24"/>
          <w:szCs w:val="21"/>
        </w:rPr>
        <w:t xml:space="preserve">26.3.1 </w:t>
      </w:r>
      <w:r>
        <w:rPr>
          <w:bCs/>
          <w:sz w:val="24"/>
          <w:szCs w:val="21"/>
        </w:rPr>
        <w:t xml:space="preserve">供应商在</w:t>
      </w:r>
      <w:r>
        <w:rPr>
          <w:sz w:val="24"/>
          <w:szCs w:val="24"/>
        </w:rPr>
        <w:t xml:space="preserve">苏</w:t>
      </w:r>
      <w:r>
        <w:rPr>
          <w:sz w:val="24"/>
          <w:szCs w:val="24"/>
        </w:rPr>
        <w:t xml:space="preserve">采云</w:t>
      </w:r>
      <w:r>
        <w:rPr>
          <w:sz w:val="24"/>
          <w:szCs w:val="24"/>
        </w:rPr>
        <w:t xml:space="preserve">系统</w:t>
      </w:r>
      <w:r>
        <w:rPr>
          <w:bCs/>
          <w:sz w:val="24"/>
          <w:szCs w:val="21"/>
        </w:rPr>
        <w:t xml:space="preserve">规定的时间内未成功解密电子响应文件的。</w:t>
      </w:r>
      <w:r/>
    </w:p>
    <w:p>
      <w:pPr>
        <w:ind w:firstLine="480"/>
        <w:spacing w:line="360" w:lineRule="auto"/>
        <w:rPr>
          <w:bCs/>
          <w:sz w:val="24"/>
          <w:szCs w:val="21"/>
        </w:rPr>
      </w:pPr>
      <w:r>
        <w:rPr>
          <w:bCs/>
          <w:sz w:val="24"/>
          <w:szCs w:val="21"/>
        </w:rPr>
        <w:t xml:space="preserve">26.3.2 </w:t>
      </w:r>
      <w:r>
        <w:rPr>
          <w:bCs/>
          <w:sz w:val="24"/>
          <w:szCs w:val="21"/>
        </w:rPr>
        <w:t xml:space="preserve">供应商未按照磋商文件要求上传电子响应文件的。</w:t>
      </w:r>
      <w:r/>
    </w:p>
    <w:p>
      <w:pPr>
        <w:ind w:firstLine="480"/>
        <w:spacing w:line="360" w:lineRule="auto"/>
        <w:rPr>
          <w:bCs/>
          <w:sz w:val="24"/>
          <w:szCs w:val="21"/>
        </w:rPr>
      </w:pPr>
      <w:r>
        <w:rPr>
          <w:bCs/>
          <w:sz w:val="24"/>
          <w:szCs w:val="21"/>
        </w:rPr>
        <w:t xml:space="preserve">26.3.3 </w:t>
      </w:r>
      <w:r>
        <w:rPr>
          <w:bCs/>
          <w:sz w:val="24"/>
          <w:szCs w:val="21"/>
        </w:rPr>
        <w:t xml:space="preserve">同</w:t>
      </w:r>
      <w:r>
        <w:rPr>
          <w:bCs/>
          <w:sz w:val="24"/>
          <w:szCs w:val="21"/>
        </w:rPr>
        <w:t xml:space="preserve">一供应</w:t>
      </w:r>
      <w:r>
        <w:rPr>
          <w:bCs/>
          <w:sz w:val="24"/>
          <w:szCs w:val="21"/>
        </w:rPr>
        <w:t xml:space="preserve">商提交两个（含两个）以上不同的响应文件或者最后报价的。</w:t>
      </w:r>
      <w:r/>
    </w:p>
    <w:p>
      <w:pPr>
        <w:ind w:firstLine="480"/>
        <w:spacing w:line="360" w:lineRule="auto"/>
        <w:rPr>
          <w:bCs/>
          <w:sz w:val="24"/>
          <w:szCs w:val="21"/>
        </w:rPr>
      </w:pPr>
      <w:r>
        <w:rPr>
          <w:bCs/>
          <w:sz w:val="24"/>
          <w:szCs w:val="21"/>
        </w:rPr>
        <w:t xml:space="preserve">26.3.4 </w:t>
      </w:r>
      <w:r>
        <w:rPr>
          <w:bCs/>
          <w:sz w:val="24"/>
          <w:szCs w:val="21"/>
        </w:rPr>
        <w:t xml:space="preserve">供应商不</w:t>
      </w:r>
      <w:r>
        <w:rPr>
          <w:bCs/>
          <w:sz w:val="24"/>
          <w:szCs w:val="21"/>
        </w:rPr>
        <w:t xml:space="preserve">具备磋商</w:t>
      </w:r>
      <w:r>
        <w:rPr>
          <w:bCs/>
          <w:sz w:val="24"/>
          <w:szCs w:val="21"/>
        </w:rPr>
        <w:t xml:space="preserve">文件中规定资格要求的。</w:t>
      </w:r>
      <w:r/>
    </w:p>
    <w:p>
      <w:pPr>
        <w:ind w:firstLine="480"/>
        <w:spacing w:line="360" w:lineRule="auto"/>
        <w:rPr>
          <w:bCs/>
          <w:sz w:val="24"/>
          <w:szCs w:val="21"/>
        </w:rPr>
      </w:pPr>
      <w:r>
        <w:rPr>
          <w:bCs/>
          <w:sz w:val="24"/>
          <w:szCs w:val="21"/>
        </w:rPr>
        <w:t xml:space="preserve">26.3.5 </w:t>
      </w:r>
      <w:r>
        <w:rPr>
          <w:bCs/>
          <w:sz w:val="24"/>
          <w:szCs w:val="21"/>
        </w:rPr>
        <w:t xml:space="preserve">供应商的最后报价</w:t>
      </w:r>
      <w:r>
        <w:rPr>
          <w:bCs/>
          <w:sz w:val="24"/>
          <w:szCs w:val="21"/>
        </w:rPr>
        <w:t xml:space="preserve">超过了采购预算。</w:t>
      </w:r>
      <w:r/>
    </w:p>
    <w:p>
      <w:pPr>
        <w:ind w:firstLine="480"/>
        <w:spacing w:line="360" w:lineRule="auto"/>
        <w:rPr>
          <w:bCs/>
          <w:sz w:val="24"/>
          <w:szCs w:val="21"/>
        </w:rPr>
      </w:pPr>
      <w:r>
        <w:rPr>
          <w:bCs/>
          <w:sz w:val="24"/>
          <w:szCs w:val="21"/>
        </w:rPr>
        <w:t xml:space="preserve">26.3.6 </w:t>
      </w:r>
      <w:r>
        <w:rPr>
          <w:bCs/>
          <w:sz w:val="24"/>
          <w:szCs w:val="21"/>
        </w:rPr>
        <w:t xml:space="preserve">不</w:t>
      </w:r>
      <w:r>
        <w:rPr>
          <w:bCs/>
          <w:sz w:val="24"/>
          <w:szCs w:val="21"/>
        </w:rPr>
        <w:t xml:space="preserve">符合磋商</w:t>
      </w:r>
      <w:r>
        <w:rPr>
          <w:bCs/>
          <w:sz w:val="24"/>
          <w:szCs w:val="21"/>
        </w:rPr>
        <w:t xml:space="preserve">文件中规定的实质性要求和条件的</w:t>
      </w:r>
      <w:r>
        <w:rPr>
          <w:b/>
          <w:bCs/>
          <w:i/>
          <w:sz w:val="24"/>
          <w:u w:val="single"/>
        </w:rPr>
        <w:t xml:space="preserve">（本磋商文件中斜体且有下划线部分、或者加</w:t>
      </w:r>
      <w:r>
        <w:rPr>
          <w:b/>
          <w:bCs/>
          <w:i/>
          <w:sz w:val="24"/>
          <w:u w:val="single"/>
        </w:rPr>
        <w:t xml:space="preserve">“★”</w:t>
      </w:r>
      <w:r>
        <w:rPr>
          <w:b/>
          <w:bCs/>
          <w:i/>
          <w:sz w:val="24"/>
          <w:u w:val="single"/>
        </w:rPr>
        <w:t xml:space="preserve">号的、或者以文字说明属于实质性要求的内容均为实质性要求和条件）。</w:t>
      </w:r>
      <w:r/>
    </w:p>
    <w:p>
      <w:pPr>
        <w:ind w:firstLine="480"/>
        <w:spacing w:line="360" w:lineRule="auto"/>
        <w:rPr>
          <w:bCs/>
          <w:sz w:val="24"/>
          <w:szCs w:val="21"/>
        </w:rPr>
      </w:pPr>
      <w:r>
        <w:rPr>
          <w:bCs/>
          <w:sz w:val="24"/>
          <w:szCs w:val="21"/>
        </w:rPr>
        <w:t xml:space="preserve">26.3.7 </w:t>
      </w:r>
      <w:r>
        <w:rPr>
          <w:bCs/>
          <w:sz w:val="24"/>
          <w:szCs w:val="21"/>
        </w:rPr>
        <w:t xml:space="preserve">供应商被</w:t>
      </w:r>
      <w:r>
        <w:rPr>
          <w:bCs/>
          <w:sz w:val="24"/>
          <w:szCs w:val="21"/>
        </w:rPr>
        <w:t xml:space="preserve"> “</w:t>
      </w:r>
      <w:r>
        <w:rPr>
          <w:bCs/>
          <w:sz w:val="24"/>
          <w:szCs w:val="21"/>
        </w:rPr>
        <w:t xml:space="preserve">信用中国</w:t>
      </w:r>
      <w:r>
        <w:rPr>
          <w:bCs/>
          <w:sz w:val="24"/>
          <w:szCs w:val="21"/>
        </w:rPr>
        <w:t xml:space="preserve">”</w:t>
      </w:r>
      <w:r>
        <w:rPr>
          <w:bCs/>
          <w:sz w:val="24"/>
          <w:szCs w:val="21"/>
        </w:rPr>
        <w:t xml:space="preserve">网站（</w:t>
      </w:r>
      <w:r>
        <w:rPr>
          <w:bCs/>
          <w:sz w:val="24"/>
          <w:szCs w:val="21"/>
        </w:rPr>
        <w:t xml:space="preserve">www.creditchina.gov.cn</w:t>
      </w:r>
      <w:r>
        <w:rPr>
          <w:bCs/>
          <w:sz w:val="24"/>
          <w:szCs w:val="21"/>
        </w:rPr>
        <w:t xml:space="preserve">）列入失信被执行人或重大税收违法案件当事人名单或政府采购严重失信行为记录名单。或查询</w:t>
      </w:r>
      <w:r>
        <w:rPr>
          <w:bCs/>
          <w:sz w:val="24"/>
          <w:szCs w:val="21"/>
        </w:rPr>
        <w:t xml:space="preserve">“</w:t>
      </w:r>
      <w:r>
        <w:rPr>
          <w:bCs/>
          <w:sz w:val="24"/>
          <w:szCs w:val="21"/>
        </w:rPr>
        <w:t xml:space="preserve">信用中国</w:t>
      </w:r>
      <w:r>
        <w:rPr>
          <w:bCs/>
          <w:sz w:val="24"/>
          <w:szCs w:val="21"/>
        </w:rPr>
        <w:t xml:space="preserve">”</w:t>
      </w:r>
      <w:r>
        <w:rPr>
          <w:bCs/>
          <w:sz w:val="24"/>
          <w:szCs w:val="21"/>
        </w:rPr>
        <w:t xml:space="preserve">网站后发现供应</w:t>
      </w:r>
      <w:r>
        <w:rPr>
          <w:bCs/>
          <w:sz w:val="24"/>
          <w:szCs w:val="21"/>
        </w:rPr>
        <w:t xml:space="preserve">商存在</w:t>
      </w:r>
      <w:r>
        <w:rPr>
          <w:bCs/>
          <w:sz w:val="24"/>
          <w:szCs w:val="21"/>
        </w:rPr>
        <w:t xml:space="preserve">其他不符合《中华人民共和国政府采购法》第二十二条规定条件的信用记录。</w:t>
      </w:r>
      <w:r/>
    </w:p>
    <w:p>
      <w:pPr>
        <w:ind w:firstLine="480"/>
        <w:spacing w:line="360" w:lineRule="auto"/>
        <w:rPr>
          <w:bCs/>
          <w:sz w:val="24"/>
          <w:szCs w:val="21"/>
        </w:rPr>
      </w:pPr>
      <w:r>
        <w:rPr>
          <w:bCs/>
          <w:sz w:val="24"/>
          <w:szCs w:val="21"/>
        </w:rPr>
        <w:t xml:space="preserve">26.3.8 </w:t>
      </w:r>
      <w:r>
        <w:rPr>
          <w:bCs/>
          <w:sz w:val="24"/>
          <w:szCs w:val="21"/>
        </w:rPr>
        <w:t xml:space="preserve">响应文件含有采购人不能接受的附加条件的。</w:t>
      </w:r>
      <w:r/>
    </w:p>
    <w:p>
      <w:pPr>
        <w:ind w:firstLine="480"/>
        <w:spacing w:line="360" w:lineRule="auto"/>
        <w:rPr>
          <w:bCs/>
          <w:sz w:val="24"/>
          <w:szCs w:val="21"/>
        </w:rPr>
      </w:pPr>
      <w:r>
        <w:rPr>
          <w:bCs/>
          <w:sz w:val="24"/>
          <w:szCs w:val="21"/>
        </w:rPr>
        <w:t xml:space="preserve">26.3.9 </w:t>
      </w:r>
      <w:r>
        <w:rPr>
          <w:bCs/>
          <w:sz w:val="24"/>
          <w:szCs w:val="21"/>
        </w:rPr>
        <w:t xml:space="preserve">本项目采购产品被财政部、</w:t>
      </w:r>
      <w:r>
        <w:rPr>
          <w:bCs/>
          <w:sz w:val="24"/>
          <w:szCs w:val="21"/>
        </w:rPr>
        <w:t xml:space="preserve">国家发改委</w:t>
      </w:r>
      <w:r>
        <w:rPr>
          <w:bCs/>
          <w:sz w:val="24"/>
          <w:szCs w:val="21"/>
        </w:rPr>
        <w:t xml:space="preserve">、生态环境部等列入</w:t>
      </w:r>
      <w:r>
        <w:rPr>
          <w:bCs/>
          <w:sz w:val="24"/>
          <w:szCs w:val="21"/>
        </w:rPr>
        <w:t xml:space="preserve">“</w:t>
      </w:r>
      <w:r>
        <w:rPr>
          <w:bCs/>
          <w:sz w:val="24"/>
          <w:szCs w:val="21"/>
        </w:rPr>
        <w:t xml:space="preserve">节能产品品目清单</w:t>
      </w:r>
      <w:r>
        <w:rPr>
          <w:bCs/>
          <w:sz w:val="24"/>
          <w:szCs w:val="21"/>
        </w:rPr>
        <w:t xml:space="preserve">”</w:t>
      </w:r>
      <w:r>
        <w:rPr>
          <w:bCs/>
          <w:sz w:val="24"/>
          <w:szCs w:val="21"/>
        </w:rPr>
        <w:t xml:space="preserve">、</w:t>
      </w:r>
      <w:r>
        <w:rPr>
          <w:bCs/>
          <w:sz w:val="24"/>
          <w:szCs w:val="21"/>
        </w:rPr>
        <w:t xml:space="preserve">“</w:t>
      </w:r>
      <w:r>
        <w:rPr>
          <w:bCs/>
          <w:sz w:val="24"/>
          <w:szCs w:val="21"/>
        </w:rPr>
        <w:t xml:space="preserve">环境标志产品品目清单</w:t>
      </w:r>
      <w:r>
        <w:rPr>
          <w:bCs/>
          <w:sz w:val="24"/>
          <w:szCs w:val="21"/>
        </w:rPr>
        <w:t xml:space="preserve">”</w:t>
      </w:r>
      <w:r>
        <w:rPr>
          <w:bCs/>
          <w:sz w:val="24"/>
          <w:szCs w:val="21"/>
        </w:rPr>
        <w:t xml:space="preserve">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360" w:lineRule="auto"/>
        <w:rPr>
          <w:bCs/>
          <w:sz w:val="24"/>
          <w:szCs w:val="21"/>
        </w:rPr>
      </w:pPr>
      <w:r>
        <w:rPr>
          <w:bCs/>
          <w:sz w:val="24"/>
          <w:szCs w:val="21"/>
        </w:rPr>
        <w:t xml:space="preserve">26.3.10 </w:t>
      </w:r>
      <w:r>
        <w:rPr>
          <w:bCs/>
          <w:sz w:val="24"/>
          <w:szCs w:val="21"/>
        </w:rPr>
        <w:t xml:space="preserve">响应文件未按照磋商文件要求加盖</w:t>
      </w:r>
      <w:r>
        <w:rPr>
          <w:bCs/>
          <w:sz w:val="24"/>
          <w:szCs w:val="21"/>
        </w:rPr>
        <w:t xml:space="preserve">CA</w:t>
      </w:r>
      <w:r>
        <w:rPr>
          <w:bCs/>
          <w:sz w:val="24"/>
          <w:szCs w:val="21"/>
        </w:rPr>
        <w:t xml:space="preserve">电子公章的。</w:t>
      </w:r>
      <w:r/>
    </w:p>
    <w:p>
      <w:pPr>
        <w:ind w:firstLine="480"/>
        <w:spacing w:line="360" w:lineRule="auto"/>
        <w:rPr>
          <w:bCs/>
          <w:sz w:val="24"/>
          <w:szCs w:val="21"/>
        </w:rPr>
      </w:pPr>
      <w:r>
        <w:rPr>
          <w:bCs/>
          <w:sz w:val="24"/>
          <w:szCs w:val="21"/>
        </w:rPr>
        <w:t xml:space="preserve">26.4 </w:t>
      </w:r>
      <w:r>
        <w:rPr>
          <w:bCs/>
          <w:sz w:val="24"/>
          <w:szCs w:val="21"/>
        </w:rPr>
        <w:t xml:space="preserve">未实质性响应磋商文件的响应文件按无效响应处理。</w:t>
      </w:r>
      <w:r/>
    </w:p>
    <w:p>
      <w:pPr>
        <w:ind w:firstLine="480"/>
        <w:spacing w:line="360" w:lineRule="auto"/>
        <w:rPr>
          <w:bCs/>
          <w:sz w:val="24"/>
          <w:szCs w:val="21"/>
        </w:rPr>
      </w:pPr>
      <w:r>
        <w:rPr>
          <w:sz w:val="24"/>
          <w:szCs w:val="21"/>
        </w:rPr>
        <w:t xml:space="preserve">26.5 </w:t>
      </w:r>
      <w:r>
        <w:rPr>
          <w:bCs/>
          <w:sz w:val="24"/>
          <w:szCs w:val="21"/>
        </w:rPr>
        <w:t xml:space="preserve">如果响应文件实质上没有响应磋商文件的要求，磋商小组将予以拒绝，供应商</w:t>
      </w:r>
      <w:r>
        <w:rPr>
          <w:bCs/>
          <w:sz w:val="24"/>
          <w:szCs w:val="21"/>
        </w:rPr>
        <w:t xml:space="preserve">不得通过修改或撤销不合要求的偏离或保留而使其成为实质性响应的文件。</w:t>
      </w:r>
      <w:r/>
    </w:p>
    <w:p>
      <w:pPr>
        <w:ind w:firstLine="480"/>
        <w:spacing w:line="360" w:lineRule="auto"/>
        <w:rPr>
          <w:sz w:val="24"/>
          <w:szCs w:val="21"/>
        </w:rPr>
      </w:pPr>
      <w:r/>
      <w:bookmarkStart w:id="154" w:name="_Toc513029234"/>
      <w:r/>
      <w:bookmarkStart w:id="155" w:name="_Toc20823306"/>
      <w:r/>
      <w:bookmarkStart w:id="156" w:name="_Toc16938550"/>
      <w:r>
        <w:rPr>
          <w:sz w:val="24"/>
          <w:szCs w:val="21"/>
        </w:rPr>
        <w:t xml:space="preserve">26.6 </w:t>
      </w:r>
      <w:r>
        <w:rPr>
          <w:sz w:val="24"/>
          <w:szCs w:val="21"/>
        </w:rPr>
        <w:t xml:space="preserve">供应商在项目评审全过程中应保持通讯畅通，并安排专人与采购中心及磋商小组联系。</w:t>
      </w:r>
      <w:r/>
    </w:p>
    <w:p>
      <w:pPr>
        <w:ind w:firstLine="480"/>
        <w:spacing w:line="360" w:lineRule="auto"/>
        <w:rPr>
          <w:sz w:val="24"/>
          <w:szCs w:val="24"/>
        </w:rPr>
      </w:pPr>
      <w:r>
        <w:rPr>
          <w:rFonts w:hint="eastAsia"/>
          <w:sz w:val="24"/>
          <w:szCs w:val="21"/>
        </w:rPr>
        <w:t xml:space="preserve">26.7</w:t>
      </w:r>
      <w:r>
        <w:rPr>
          <w:rFonts w:hint="eastAsia"/>
          <w:sz w:val="24"/>
          <w:szCs w:val="24"/>
        </w:rPr>
        <w:t xml:space="preserve">根据《江苏省财政厅转发财政部关于推动解决政府采购异常低价问题的通知》（</w:t>
      </w:r>
      <w:r>
        <w:rPr>
          <w:rFonts w:hint="eastAsia"/>
          <w:sz w:val="24"/>
          <w:szCs w:val="24"/>
        </w:rPr>
        <w:t xml:space="preserve">苏财购〔</w:t>
      </w:r>
      <w:r>
        <w:rPr>
          <w:rFonts w:hint="eastAsia"/>
          <w:sz w:val="24"/>
          <w:szCs w:val="24"/>
        </w:rPr>
        <w:t xml:space="preserve">2026</w:t>
      </w:r>
      <w:r>
        <w:rPr>
          <w:rFonts w:hint="eastAsia"/>
          <w:sz w:val="24"/>
          <w:szCs w:val="24"/>
        </w:rPr>
        <w:t xml:space="preserve">〕</w:t>
      </w:r>
      <w:r>
        <w:rPr>
          <w:rFonts w:hint="eastAsia"/>
          <w:sz w:val="24"/>
          <w:szCs w:val="24"/>
        </w:rPr>
        <w:t xml:space="preserve">36</w:t>
      </w:r>
      <w:r>
        <w:rPr>
          <w:rFonts w:hint="eastAsia"/>
          <w:sz w:val="24"/>
          <w:szCs w:val="24"/>
        </w:rPr>
        <w:t xml:space="preserve">号）文件之规定：当评审过程中出现下列情形之一的，评审委员会应当启动异常低价投标（响应）审查程序：</w:t>
      </w:r>
      <w:r>
        <w:rPr>
          <w:rFonts w:hint="eastAsia"/>
          <w:sz w:val="24"/>
          <w:szCs w:val="24"/>
        </w:rPr>
        <w:t xml:space="preserve"> </w:t>
      </w:r>
      <w:r/>
    </w:p>
    <w:p>
      <w:pPr>
        <w:ind w:firstLine="480"/>
        <w:spacing w:line="360" w:lineRule="auto"/>
        <w:tabs>
          <w:tab w:val="left" w:pos="900" w:leader="none"/>
        </w:tabs>
        <w:rPr>
          <w:sz w:val="24"/>
          <w:szCs w:val="24"/>
        </w:rPr>
      </w:pPr>
      <w:r>
        <w:rPr>
          <w:rFonts w:hint="eastAsia"/>
          <w:sz w:val="24"/>
          <w:szCs w:val="24"/>
        </w:rPr>
        <w:t xml:space="preserve">1.</w:t>
      </w:r>
      <w:r>
        <w:rPr>
          <w:rFonts w:hint="eastAsia"/>
          <w:sz w:val="24"/>
          <w:szCs w:val="24"/>
        </w:rPr>
        <w:t xml:space="preserve">投标（响应）报价低于全部通过符合性审查供应商投标（响应）报价平均值</w:t>
      </w:r>
      <w:r>
        <w:rPr>
          <w:rFonts w:hint="eastAsia"/>
          <w:sz w:val="24"/>
          <w:szCs w:val="24"/>
        </w:rPr>
        <w:t xml:space="preserve">65%</w:t>
      </w:r>
      <w:r>
        <w:rPr>
          <w:rFonts w:hint="eastAsia"/>
          <w:sz w:val="24"/>
          <w:szCs w:val="24"/>
        </w:rPr>
        <w:t xml:space="preserve">的，即投标（响应）报价</w:t>
      </w:r>
      <w:r>
        <w:rPr>
          <w:rFonts w:hint="eastAsia"/>
          <w:sz w:val="24"/>
          <w:szCs w:val="24"/>
        </w:rPr>
        <w:t xml:space="preserve">&lt;</w:t>
      </w:r>
      <w:r>
        <w:rPr>
          <w:rFonts w:hint="eastAsia"/>
          <w:sz w:val="24"/>
          <w:szCs w:val="24"/>
        </w:rPr>
        <w:t xml:space="preserve">全部通过符合性审查供应商投标（响应）报价平均值×</w:t>
      </w:r>
      <w:r>
        <w:rPr>
          <w:rFonts w:hint="eastAsia"/>
          <w:sz w:val="24"/>
          <w:szCs w:val="24"/>
        </w:rPr>
        <w:t xml:space="preserve">65%</w:t>
      </w:r>
      <w:r>
        <w:rPr>
          <w:rFonts w:hint="eastAsia"/>
          <w:sz w:val="24"/>
          <w:szCs w:val="24"/>
        </w:rPr>
        <w:t xml:space="preserve">；</w:t>
      </w:r>
      <w:r/>
    </w:p>
    <w:p>
      <w:pPr>
        <w:ind w:firstLine="480"/>
        <w:spacing w:line="360" w:lineRule="auto"/>
        <w:tabs>
          <w:tab w:val="left" w:pos="900" w:leader="none"/>
        </w:tabs>
        <w:rPr>
          <w:sz w:val="24"/>
          <w:szCs w:val="24"/>
        </w:rPr>
      </w:pPr>
      <w:r>
        <w:rPr>
          <w:rFonts w:hint="eastAsia"/>
          <w:sz w:val="24"/>
          <w:szCs w:val="24"/>
        </w:rPr>
        <w:t xml:space="preserve">2.</w:t>
      </w:r>
      <w:r>
        <w:rPr>
          <w:rFonts w:hint="eastAsia"/>
          <w:sz w:val="24"/>
          <w:szCs w:val="24"/>
        </w:rPr>
        <w:t xml:space="preserve">投标（响应）报价低于通过符合性审查的次低报价供应商投标（响应）报价</w:t>
      </w:r>
      <w:r>
        <w:rPr>
          <w:rFonts w:hint="eastAsia"/>
          <w:sz w:val="24"/>
          <w:szCs w:val="24"/>
        </w:rPr>
        <w:t xml:space="preserve">65%</w:t>
      </w:r>
      <w:r>
        <w:rPr>
          <w:rFonts w:hint="eastAsia"/>
          <w:sz w:val="24"/>
          <w:szCs w:val="24"/>
        </w:rPr>
        <w:t xml:space="preserve">的，即投标（响应）报价</w:t>
      </w:r>
      <w:r>
        <w:rPr>
          <w:rFonts w:hint="eastAsia"/>
          <w:sz w:val="24"/>
          <w:szCs w:val="24"/>
        </w:rPr>
        <w:t xml:space="preserve">&lt;</w:t>
      </w:r>
      <w:r>
        <w:rPr>
          <w:rFonts w:hint="eastAsia"/>
          <w:sz w:val="24"/>
          <w:szCs w:val="24"/>
        </w:rPr>
        <w:t xml:space="preserve">通过符合性审查的次低报价供应商投标（响应）报价×</w:t>
      </w:r>
      <w:r>
        <w:rPr>
          <w:rFonts w:hint="eastAsia"/>
          <w:sz w:val="24"/>
          <w:szCs w:val="24"/>
        </w:rPr>
        <w:t xml:space="preserve">65%</w:t>
      </w:r>
      <w:r>
        <w:rPr>
          <w:rFonts w:hint="eastAsia"/>
          <w:sz w:val="24"/>
          <w:szCs w:val="24"/>
        </w:rPr>
        <w:t xml:space="preserve">；</w:t>
      </w:r>
      <w:r/>
    </w:p>
    <w:p>
      <w:pPr>
        <w:ind w:firstLine="480"/>
        <w:spacing w:line="360" w:lineRule="auto"/>
        <w:tabs>
          <w:tab w:val="left" w:pos="900" w:leader="none"/>
        </w:tabs>
        <w:rPr>
          <w:sz w:val="24"/>
          <w:szCs w:val="24"/>
        </w:rPr>
      </w:pPr>
      <w:r>
        <w:rPr>
          <w:rFonts w:hint="eastAsia"/>
          <w:sz w:val="24"/>
          <w:szCs w:val="24"/>
        </w:rPr>
        <w:t xml:space="preserve">3.</w:t>
      </w:r>
      <w:r>
        <w:rPr>
          <w:rFonts w:hint="eastAsia"/>
          <w:sz w:val="24"/>
          <w:szCs w:val="24"/>
        </w:rPr>
        <w:t xml:space="preserve">投标（响应）报价低于采购项目最高限价</w:t>
      </w:r>
      <w:r>
        <w:rPr>
          <w:rFonts w:hint="eastAsia"/>
          <w:sz w:val="24"/>
          <w:szCs w:val="24"/>
        </w:rPr>
        <w:t xml:space="preserve">65%</w:t>
      </w:r>
      <w:r>
        <w:rPr>
          <w:rFonts w:hint="eastAsia"/>
          <w:sz w:val="24"/>
          <w:szCs w:val="24"/>
        </w:rPr>
        <w:t xml:space="preserve">的，即投标（响应）报价</w:t>
      </w:r>
      <w:r>
        <w:rPr>
          <w:rFonts w:hint="eastAsia"/>
          <w:sz w:val="24"/>
          <w:szCs w:val="24"/>
        </w:rPr>
        <w:t xml:space="preserve">&lt;</w:t>
      </w:r>
      <w:r>
        <w:rPr>
          <w:rFonts w:hint="eastAsia"/>
          <w:sz w:val="24"/>
          <w:szCs w:val="24"/>
        </w:rPr>
        <w:t xml:space="preserve">采购项目最高限价×</w:t>
      </w:r>
      <w:r>
        <w:rPr>
          <w:rFonts w:hint="eastAsia"/>
          <w:sz w:val="24"/>
          <w:szCs w:val="24"/>
        </w:rPr>
        <w:t xml:space="preserve">65%</w:t>
      </w:r>
      <w:r>
        <w:rPr>
          <w:rFonts w:hint="eastAsia"/>
          <w:sz w:val="24"/>
          <w:szCs w:val="24"/>
        </w:rPr>
        <w:t xml:space="preserve">；</w:t>
      </w:r>
      <w:r/>
    </w:p>
    <w:p>
      <w:pPr>
        <w:ind w:firstLine="480"/>
        <w:spacing w:line="360" w:lineRule="auto"/>
        <w:tabs>
          <w:tab w:val="left" w:pos="900" w:leader="none"/>
        </w:tabs>
        <w:rPr>
          <w:sz w:val="24"/>
          <w:szCs w:val="24"/>
        </w:rPr>
      </w:pPr>
      <w:r>
        <w:rPr>
          <w:rFonts w:hint="eastAsia"/>
          <w:sz w:val="24"/>
          <w:szCs w:val="24"/>
        </w:rPr>
        <w:t xml:space="preserve">4.</w:t>
      </w:r>
      <w:r>
        <w:rPr>
          <w:rFonts w:hint="eastAsia"/>
          <w:sz w:val="24"/>
          <w:szCs w:val="24"/>
        </w:rPr>
        <w:t xml:space="preserve">评审委员会基于专业判断，认为供应商报价过低，有可能影响产品质量或者不能诚信履约的其他情形。</w:t>
      </w:r>
      <w:r/>
    </w:p>
    <w:p>
      <w:pPr>
        <w:ind w:firstLine="480"/>
        <w:spacing w:line="360" w:lineRule="auto"/>
        <w:tabs>
          <w:tab w:val="left" w:pos="900" w:leader="none"/>
        </w:tabs>
        <w:rPr>
          <w:sz w:val="24"/>
          <w:szCs w:val="24"/>
        </w:rPr>
      </w:pPr>
      <w:r>
        <w:rPr>
          <w:rFonts w:hint="eastAsia"/>
          <w:sz w:val="24"/>
          <w:szCs w:val="24"/>
        </w:rPr>
        <w:t xml:space="preserve">相关法律法规对供应商报价有规定的，从其规定。</w:t>
      </w:r>
      <w:r/>
    </w:p>
    <w:p>
      <w:pPr>
        <w:ind w:firstLine="480"/>
        <w:spacing w:line="360" w:lineRule="auto"/>
        <w:tabs>
          <w:tab w:val="left" w:pos="900" w:leader="none"/>
        </w:tabs>
        <w:rPr>
          <w:sz w:val="24"/>
          <w:szCs w:val="24"/>
        </w:rPr>
      </w:pPr>
      <w:r>
        <w:rPr>
          <w:rFonts w:hint="eastAsia"/>
          <w:sz w:val="24"/>
          <w:szCs w:val="24"/>
        </w:rPr>
        <w:t xml:space="preserve">评审委员会启动异常低价投标（响应）审查后，属于前述第</w:t>
      </w:r>
      <w:r>
        <w:rPr>
          <w:rFonts w:hint="eastAsia"/>
          <w:sz w:val="24"/>
          <w:szCs w:val="24"/>
        </w:rPr>
        <w:t xml:space="preserve">1</w:t>
      </w:r>
      <w:r>
        <w:rPr>
          <w:rFonts w:hint="eastAsia"/>
          <w:sz w:val="24"/>
          <w:szCs w:val="24"/>
        </w:rPr>
        <w:t xml:space="preserve">项至第</w:t>
      </w:r>
      <w:r>
        <w:rPr>
          <w:rFonts w:hint="eastAsia"/>
          <w:sz w:val="24"/>
          <w:szCs w:val="24"/>
        </w:rPr>
        <w:t xml:space="preserve">4</w:t>
      </w:r>
      <w:r>
        <w:rPr>
          <w:rFonts w:hint="eastAsia"/>
          <w:sz w:val="24"/>
          <w:szCs w:val="24"/>
        </w:rPr>
        <w:t xml:space="preserve">项情形的，应当要求相关供应商在评审现场合理的时间内对投标（响应）价格</w:t>
      </w:r>
      <w:r>
        <w:rPr>
          <w:rFonts w:hint="eastAsia"/>
          <w:sz w:val="24"/>
          <w:szCs w:val="24"/>
        </w:rPr>
        <w:t xml:space="preserve">作出</w:t>
      </w:r>
      <w:r>
        <w:rPr>
          <w:rFonts w:hint="eastAsia"/>
          <w:sz w:val="24"/>
          <w:szCs w:val="24"/>
        </w:rPr>
        <w:t xml:space="preserve">解释，提供项目具体成本测算等与报价合理性相关的书面说明及必要的证明材料，包括但不限于原材料成本、人工成本、制造费用等，给予相关供应商的合理时间</w:t>
      </w:r>
      <w:r>
        <w:rPr>
          <w:rFonts w:hint="eastAsia"/>
          <w:sz w:val="24"/>
          <w:szCs w:val="24"/>
        </w:rPr>
        <w:t xml:space="preserve">一般不少于</w:t>
      </w:r>
      <w:r>
        <w:rPr>
          <w:rFonts w:hint="eastAsia"/>
          <w:sz w:val="24"/>
          <w:szCs w:val="24"/>
        </w:rPr>
        <w:t xml:space="preserve">30</w:t>
      </w:r>
      <w:r>
        <w:rPr>
          <w:rFonts w:hint="eastAsia"/>
          <w:sz w:val="24"/>
          <w:szCs w:val="24"/>
        </w:rPr>
        <w:t xml:space="preserve">分钟。其中，属于第</w:t>
      </w:r>
      <w:r>
        <w:rPr>
          <w:rFonts w:hint="eastAsia"/>
          <w:sz w:val="24"/>
          <w:szCs w:val="24"/>
        </w:rPr>
        <w:t xml:space="preserve">3</w:t>
      </w:r>
      <w:r>
        <w:rPr>
          <w:rFonts w:hint="eastAsia"/>
          <w:sz w:val="24"/>
          <w:szCs w:val="24"/>
        </w:rPr>
        <w:t xml:space="preserve">项情形，供应商已随投标（响应）文件一并提交相关书面说明及必要的证明材料的，在评审现场可不再重复提交。</w:t>
      </w:r>
      <w:r/>
    </w:p>
    <w:p>
      <w:pPr>
        <w:ind w:firstLine="480"/>
        <w:spacing w:line="360" w:lineRule="auto"/>
        <w:tabs>
          <w:tab w:val="left" w:pos="900" w:leader="none"/>
        </w:tabs>
        <w:rPr>
          <w:sz w:val="24"/>
          <w:szCs w:val="24"/>
        </w:rPr>
      </w:pPr>
      <w:r>
        <w:rPr>
          <w:rFonts w:hint="eastAsia"/>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tabs>
          <w:tab w:val="left" w:pos="900" w:leader="none"/>
        </w:tabs>
        <w:rPr>
          <w:sz w:val="24"/>
          <w:szCs w:val="24"/>
        </w:rPr>
      </w:pPr>
      <w:r>
        <w:rPr>
          <w:rFonts w:hint="eastAsia"/>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60"/>
        <w:keepLines/>
        <w:keepNext/>
        <w:spacing w:line="360" w:lineRule="auto"/>
        <w:rPr>
          <w:rFonts w:eastAsia="黑体"/>
          <w:sz w:val="28"/>
          <w:szCs w:val="28"/>
        </w:rPr>
        <w:outlineLvl w:val="3"/>
      </w:pPr>
      <w:r>
        <w:rPr>
          <w:rFonts w:eastAsia="黑体"/>
          <w:sz w:val="28"/>
          <w:szCs w:val="28"/>
        </w:rPr>
        <w:t xml:space="preserve">27</w:t>
      </w:r>
      <w:r>
        <w:rPr>
          <w:rFonts w:eastAsia="黑体"/>
          <w:sz w:val="28"/>
          <w:szCs w:val="28"/>
        </w:rPr>
        <w:t xml:space="preserve">、</w:t>
      </w:r>
      <w:bookmarkEnd w:id="154"/>
      <w:r/>
      <w:bookmarkEnd w:id="155"/>
      <w:r/>
      <w:bookmarkEnd w:id="156"/>
      <w:r>
        <w:rPr>
          <w:rFonts w:eastAsia="黑体"/>
          <w:sz w:val="28"/>
          <w:szCs w:val="28"/>
        </w:rPr>
        <w:t xml:space="preserve">磋商程序及评审方法和评审标准</w:t>
      </w:r>
      <w:r/>
    </w:p>
    <w:p>
      <w:pPr>
        <w:ind w:firstLine="480"/>
        <w:spacing w:line="360" w:lineRule="auto"/>
        <w:tabs>
          <w:tab w:val="left" w:pos="900" w:leader="none"/>
        </w:tabs>
        <w:rPr>
          <w:sz w:val="24"/>
          <w:szCs w:val="24"/>
        </w:rPr>
      </w:pPr>
      <w:r>
        <w:rPr>
          <w:sz w:val="24"/>
          <w:szCs w:val="24"/>
        </w:rPr>
        <w:t xml:space="preserve">27.1 </w:t>
      </w:r>
      <w:r>
        <w:rPr>
          <w:sz w:val="24"/>
          <w:szCs w:val="24"/>
        </w:rPr>
        <w:t xml:space="preserve">磋商程序</w:t>
      </w:r>
      <w:r/>
    </w:p>
    <w:p>
      <w:pPr>
        <w:ind w:firstLine="480"/>
        <w:spacing w:line="360" w:lineRule="auto"/>
        <w:tabs>
          <w:tab w:val="left" w:pos="900" w:leader="none"/>
        </w:tabs>
        <w:rPr>
          <w:sz w:val="24"/>
          <w:szCs w:val="24"/>
        </w:rPr>
      </w:pPr>
      <w:r>
        <w:rPr>
          <w:sz w:val="24"/>
          <w:szCs w:val="24"/>
        </w:rPr>
        <w:t xml:space="preserve">27.1.1</w:t>
      </w:r>
      <w:r>
        <w:rPr>
          <w:sz w:val="24"/>
          <w:szCs w:val="24"/>
        </w:rPr>
        <w:t xml:space="preserve">对于通过资格审查和符合性审查的供应商，磋商小组将集中与单一供应商分别进行磋商。磋商小组通过苏</w:t>
      </w:r>
      <w:r>
        <w:rPr>
          <w:sz w:val="24"/>
          <w:szCs w:val="24"/>
        </w:rPr>
        <w:t xml:space="preserve">采云</w:t>
      </w:r>
      <w:r>
        <w:rPr>
          <w:sz w:val="24"/>
          <w:szCs w:val="24"/>
        </w:rPr>
        <w:t xml:space="preserve">系统向供应商发布</w:t>
      </w:r>
      <w:r>
        <w:rPr>
          <w:sz w:val="24"/>
          <w:szCs w:val="24"/>
        </w:rPr>
        <w:t xml:space="preserve">“</w:t>
      </w:r>
      <w:r>
        <w:rPr>
          <w:sz w:val="24"/>
          <w:szCs w:val="24"/>
        </w:rPr>
        <w:t xml:space="preserve">磋商函</w:t>
      </w:r>
      <w:r>
        <w:rPr>
          <w:sz w:val="24"/>
          <w:szCs w:val="24"/>
        </w:rPr>
        <w:t xml:space="preserve">”</w:t>
      </w:r>
      <w:r>
        <w:rPr>
          <w:sz w:val="24"/>
          <w:szCs w:val="24"/>
        </w:rPr>
        <w:t xml:space="preserve">，供应商应当按照要求在苏</w:t>
      </w:r>
      <w:r>
        <w:rPr>
          <w:sz w:val="24"/>
          <w:szCs w:val="24"/>
        </w:rPr>
        <w:t xml:space="preserve">采云</w:t>
      </w:r>
      <w:r>
        <w:rPr>
          <w:sz w:val="24"/>
          <w:szCs w:val="24"/>
        </w:rPr>
        <w:t xml:space="preserve">系统提交</w:t>
      </w:r>
      <w:r>
        <w:rPr>
          <w:sz w:val="24"/>
          <w:szCs w:val="24"/>
        </w:rPr>
        <w:t xml:space="preserve">“</w:t>
      </w:r>
      <w:r>
        <w:rPr>
          <w:sz w:val="24"/>
          <w:szCs w:val="24"/>
        </w:rPr>
        <w:t xml:space="preserve">磋商响应函</w:t>
      </w:r>
      <w:r>
        <w:rPr>
          <w:sz w:val="24"/>
          <w:szCs w:val="24"/>
        </w:rPr>
        <w:t xml:space="preserve">”</w:t>
      </w:r>
      <w:r>
        <w:rPr>
          <w:sz w:val="24"/>
          <w:szCs w:val="24"/>
        </w:rPr>
        <w:t xml:space="preserve">并加盖</w:t>
      </w:r>
      <w:r>
        <w:rPr>
          <w:sz w:val="24"/>
          <w:szCs w:val="24"/>
        </w:rPr>
        <w:t xml:space="preserve">CA</w:t>
      </w:r>
      <w:r>
        <w:rPr>
          <w:sz w:val="24"/>
          <w:szCs w:val="24"/>
        </w:rPr>
        <w:t xml:space="preserve">电子公章。</w:t>
      </w:r>
      <w:r/>
    </w:p>
    <w:p>
      <w:pPr>
        <w:ind w:firstLine="480"/>
        <w:spacing w:line="360" w:lineRule="auto"/>
        <w:tabs>
          <w:tab w:val="left" w:pos="900" w:leader="none"/>
        </w:tabs>
        <w:rPr>
          <w:sz w:val="24"/>
          <w:szCs w:val="24"/>
        </w:rPr>
      </w:pPr>
      <w:r>
        <w:rPr>
          <w:sz w:val="24"/>
          <w:szCs w:val="24"/>
        </w:rPr>
        <w:t xml:space="preserve">在磋商过程中，磋商小组可能根据磋商文件和磋商情况实质性变动的内容有：采购需求中的技术、服务要求以及合同草案条款。对磋商文件</w:t>
      </w:r>
      <w:r>
        <w:rPr>
          <w:sz w:val="24"/>
          <w:szCs w:val="24"/>
        </w:rPr>
        <w:t xml:space="preserve">作出</w:t>
      </w:r>
      <w:r>
        <w:rPr>
          <w:sz w:val="24"/>
          <w:szCs w:val="24"/>
        </w:rPr>
        <w:t xml:space="preserve">的实质性变动是磋商文件的有效组成部分，磋商小组将在苏</w:t>
      </w:r>
      <w:r>
        <w:rPr>
          <w:sz w:val="24"/>
          <w:szCs w:val="24"/>
        </w:rPr>
        <w:t xml:space="preserve">采云</w:t>
      </w:r>
      <w:r>
        <w:rPr>
          <w:sz w:val="24"/>
          <w:szCs w:val="24"/>
        </w:rPr>
        <w:t xml:space="preserve">系统中通知所有参加磋商的供应商。供应商应当按照磋商文件的变动情况和磋商小组的要求在苏</w:t>
      </w:r>
      <w:r>
        <w:rPr>
          <w:sz w:val="24"/>
          <w:szCs w:val="24"/>
        </w:rPr>
        <w:t xml:space="preserve">采云</w:t>
      </w:r>
      <w:r>
        <w:rPr>
          <w:sz w:val="24"/>
          <w:szCs w:val="24"/>
        </w:rPr>
        <w:t xml:space="preserve">系统中重新提交响</w:t>
      </w:r>
      <w:r>
        <w:rPr>
          <w:sz w:val="24"/>
          <w:szCs w:val="24"/>
        </w:rPr>
        <w:t xml:space="preserve">应文件，并加盖</w:t>
      </w:r>
      <w:r>
        <w:rPr>
          <w:sz w:val="24"/>
          <w:szCs w:val="24"/>
        </w:rPr>
        <w:t xml:space="preserve">CA</w:t>
      </w:r>
      <w:r>
        <w:rPr>
          <w:sz w:val="24"/>
          <w:szCs w:val="24"/>
        </w:rPr>
        <w:t xml:space="preserve">电子公章。</w:t>
      </w:r>
      <w:r/>
    </w:p>
    <w:p>
      <w:pPr>
        <w:ind w:firstLine="480"/>
        <w:spacing w:line="360" w:lineRule="auto"/>
        <w:tabs>
          <w:tab w:val="left" w:pos="900" w:leader="none"/>
        </w:tabs>
        <w:rPr>
          <w:sz w:val="24"/>
          <w:szCs w:val="24"/>
        </w:rPr>
      </w:pPr>
      <w:r>
        <w:rPr>
          <w:sz w:val="24"/>
          <w:szCs w:val="24"/>
        </w:rPr>
        <w:t xml:space="preserve"> 27.1.2 </w:t>
      </w:r>
      <w:r>
        <w:rPr>
          <w:sz w:val="24"/>
          <w:szCs w:val="24"/>
        </w:rPr>
        <w:t xml:space="preserve">磋商文件能够详细列明采购标的</w:t>
      </w:r>
      <w:r>
        <w:rPr>
          <w:sz w:val="24"/>
          <w:szCs w:val="24"/>
        </w:rPr>
        <w:t xml:space="preserve">的</w:t>
      </w:r>
      <w:r>
        <w:rPr>
          <w:sz w:val="24"/>
          <w:szCs w:val="24"/>
        </w:rPr>
        <w:t xml:space="preserve">技术、服务要求的，磋商结束后，磋商小组将在苏</w:t>
      </w:r>
      <w:r>
        <w:rPr>
          <w:sz w:val="24"/>
          <w:szCs w:val="24"/>
        </w:rPr>
        <w:t xml:space="preserve">采云</w:t>
      </w:r>
      <w:r>
        <w:rPr>
          <w:sz w:val="24"/>
          <w:szCs w:val="24"/>
        </w:rPr>
        <w:t xml:space="preserve">系统向所有实质性响应的供应商发布</w:t>
      </w:r>
      <w:r>
        <w:rPr>
          <w:sz w:val="24"/>
          <w:szCs w:val="24"/>
        </w:rPr>
        <w:t xml:space="preserve">“</w:t>
      </w:r>
      <w:r>
        <w:rPr>
          <w:sz w:val="24"/>
          <w:szCs w:val="24"/>
        </w:rPr>
        <w:t xml:space="preserve">最后报价要求函</w:t>
      </w:r>
      <w:r>
        <w:rPr>
          <w:sz w:val="24"/>
          <w:szCs w:val="24"/>
        </w:rPr>
        <w:t xml:space="preserve">”</w:t>
      </w:r>
      <w:r>
        <w:rPr>
          <w:sz w:val="24"/>
          <w:szCs w:val="24"/>
        </w:rPr>
        <w:t xml:space="preserve">及最后报价格式表，要求所有实质性响应的供应商在规定时间内提交最后报价。</w:t>
      </w:r>
      <w:r/>
    </w:p>
    <w:p>
      <w:pPr>
        <w:ind w:firstLine="480"/>
        <w:spacing w:line="360" w:lineRule="auto"/>
        <w:tabs>
          <w:tab w:val="left" w:pos="900" w:leader="none"/>
        </w:tabs>
        <w:rPr>
          <w:sz w:val="24"/>
          <w:szCs w:val="24"/>
        </w:rPr>
      </w:pPr>
      <w:r>
        <w:rPr>
          <w:sz w:val="24"/>
          <w:szCs w:val="24"/>
        </w:rPr>
        <w:t xml:space="preserve">磋商文件不能详细列明采购标的</w:t>
      </w:r>
      <w:r>
        <w:rPr>
          <w:sz w:val="24"/>
          <w:szCs w:val="24"/>
        </w:rPr>
        <w:t xml:space="preserve">的</w:t>
      </w:r>
      <w:r>
        <w:rPr>
          <w:sz w:val="24"/>
          <w:szCs w:val="24"/>
        </w:rPr>
        <w:t xml:space="preserve">技术、服务要求，需经磋商由供应商提供最终设计方案或解决方案的，磋商结束后，磋商小组将按照少数服从多数的原则投票推荐</w:t>
      </w:r>
      <w:r>
        <w:rPr>
          <w:sz w:val="24"/>
          <w:szCs w:val="24"/>
        </w:rPr>
        <w:t xml:space="preserve">3</w:t>
      </w:r>
      <w:r>
        <w:rPr>
          <w:sz w:val="24"/>
          <w:szCs w:val="24"/>
        </w:rPr>
        <w:t xml:space="preserve">家以上供应商的设计方案或者解决方案，在苏</w:t>
      </w:r>
      <w:r>
        <w:rPr>
          <w:sz w:val="24"/>
          <w:szCs w:val="24"/>
        </w:rPr>
        <w:t xml:space="preserve">采云</w:t>
      </w:r>
      <w:r>
        <w:rPr>
          <w:sz w:val="24"/>
          <w:szCs w:val="24"/>
        </w:rPr>
        <w:t xml:space="preserve">系统中向其发布</w:t>
      </w:r>
      <w:r>
        <w:rPr>
          <w:sz w:val="24"/>
          <w:szCs w:val="24"/>
        </w:rPr>
        <w:t xml:space="preserve">“</w:t>
      </w:r>
      <w:r>
        <w:rPr>
          <w:sz w:val="24"/>
          <w:szCs w:val="24"/>
        </w:rPr>
        <w:t xml:space="preserve">最后报价要求函</w:t>
      </w:r>
      <w:r>
        <w:rPr>
          <w:sz w:val="24"/>
          <w:szCs w:val="24"/>
        </w:rPr>
        <w:t xml:space="preserve">”</w:t>
      </w:r>
      <w:r>
        <w:rPr>
          <w:sz w:val="24"/>
          <w:szCs w:val="24"/>
        </w:rPr>
        <w:t xml:space="preserve">及最后报价格式表，要求其在规定时间内提交最后</w:t>
      </w:r>
      <w:r>
        <w:rPr>
          <w:sz w:val="24"/>
          <w:szCs w:val="24"/>
        </w:rPr>
        <w:t xml:space="preserve">报价。</w:t>
      </w:r>
      <w:r/>
    </w:p>
    <w:p>
      <w:pPr>
        <w:ind w:firstLine="480"/>
        <w:spacing w:line="360" w:lineRule="auto"/>
        <w:tabs>
          <w:tab w:val="left" w:pos="900" w:leader="none"/>
        </w:tabs>
        <w:rPr>
          <w:sz w:val="24"/>
          <w:szCs w:val="24"/>
        </w:rPr>
      </w:pPr>
      <w:r>
        <w:rPr>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w:t>
      </w:r>
      <w:r>
        <w:rPr>
          <w:sz w:val="24"/>
          <w:szCs w:val="24"/>
        </w:rPr>
        <w:t xml:space="preserve">[2015]124</w:t>
      </w:r>
      <w:r>
        <w:rPr>
          <w:sz w:val="24"/>
          <w:szCs w:val="24"/>
        </w:rPr>
        <w:t xml:space="preserve">号）规定情形的，提交最后报价的供应商可以为</w:t>
      </w:r>
      <w:r>
        <w:rPr>
          <w:sz w:val="24"/>
          <w:szCs w:val="24"/>
        </w:rPr>
        <w:t xml:space="preserve">2</w:t>
      </w:r>
      <w:r>
        <w:rPr>
          <w:sz w:val="24"/>
          <w:szCs w:val="24"/>
        </w:rPr>
        <w:t xml:space="preserve">家。</w:t>
      </w:r>
      <w:r/>
    </w:p>
    <w:p>
      <w:pPr>
        <w:ind w:firstLine="480"/>
        <w:spacing w:line="360" w:lineRule="auto"/>
        <w:tabs>
          <w:tab w:val="left" w:pos="900" w:leader="none"/>
        </w:tabs>
        <w:rPr>
          <w:sz w:val="24"/>
          <w:szCs w:val="24"/>
        </w:rPr>
      </w:pPr>
      <w:r>
        <w:rPr>
          <w:sz w:val="24"/>
          <w:szCs w:val="24"/>
        </w:rPr>
        <w:t xml:space="preserve">27.1.3 </w:t>
      </w:r>
      <w:r>
        <w:rPr>
          <w:b/>
          <w:sz w:val="24"/>
          <w:szCs w:val="24"/>
        </w:rPr>
        <w:t xml:space="preserve">供应商未在磋商小组规定的时间内在苏</w:t>
      </w:r>
      <w:r>
        <w:rPr>
          <w:b/>
          <w:sz w:val="24"/>
          <w:szCs w:val="24"/>
        </w:rPr>
        <w:t xml:space="preserve">采云</w:t>
      </w:r>
      <w:r>
        <w:rPr>
          <w:b/>
          <w:sz w:val="24"/>
          <w:szCs w:val="24"/>
        </w:rPr>
        <w:t xml:space="preserve">系统中提交最后报价的视为放弃磋商，其响应文件按无效响应处理，最后报价格式表须加盖</w:t>
      </w:r>
      <w:r>
        <w:rPr>
          <w:b/>
          <w:sz w:val="24"/>
          <w:szCs w:val="24"/>
        </w:rPr>
        <w:t xml:space="preserve">CA</w:t>
      </w:r>
      <w:r>
        <w:rPr>
          <w:b/>
          <w:sz w:val="24"/>
          <w:szCs w:val="24"/>
        </w:rPr>
        <w:t xml:space="preserve">电子公章</w:t>
      </w:r>
      <w:r>
        <w:rPr>
          <w:b/>
          <w:sz w:val="24"/>
          <w:szCs w:val="24"/>
        </w:rPr>
        <w:t xml:space="preserve">,</w:t>
      </w:r>
      <w:r>
        <w:rPr>
          <w:b/>
          <w:sz w:val="24"/>
          <w:szCs w:val="24"/>
        </w:rPr>
        <w:t xml:space="preserve">否则视为未提交最后报价。</w:t>
      </w:r>
      <w:r>
        <w:rPr>
          <w:sz w:val="24"/>
          <w:szCs w:val="24"/>
        </w:rPr>
        <w:t xml:space="preserve">已提交响应文件的供应商，在提交最后报价之前，可以根据磋商情况退出磋商，并在苏</w:t>
      </w:r>
      <w:r>
        <w:rPr>
          <w:sz w:val="24"/>
          <w:szCs w:val="24"/>
        </w:rPr>
        <w:t xml:space="preserve">采云</w:t>
      </w:r>
      <w:r>
        <w:rPr>
          <w:sz w:val="24"/>
          <w:szCs w:val="24"/>
        </w:rPr>
        <w:t xml:space="preserve">系统中提交</w:t>
      </w:r>
      <w:r>
        <w:rPr>
          <w:sz w:val="24"/>
          <w:szCs w:val="24"/>
        </w:rPr>
        <w:t xml:space="preserve">“</w:t>
      </w:r>
      <w:r>
        <w:rPr>
          <w:sz w:val="24"/>
          <w:szCs w:val="24"/>
        </w:rPr>
        <w:t xml:space="preserve">退</w:t>
      </w:r>
      <w:r>
        <w:rPr>
          <w:sz w:val="24"/>
          <w:szCs w:val="24"/>
        </w:rPr>
        <w:t xml:space="preserve">出磋商函</w:t>
      </w:r>
      <w:r>
        <w:rPr>
          <w:sz w:val="24"/>
          <w:szCs w:val="24"/>
        </w:rPr>
        <w:t xml:space="preserve">”</w:t>
      </w:r>
      <w:r>
        <w:rPr>
          <w:sz w:val="24"/>
          <w:szCs w:val="24"/>
        </w:rPr>
        <w:t xml:space="preserve">并加盖</w:t>
      </w:r>
      <w:r>
        <w:rPr>
          <w:sz w:val="24"/>
          <w:szCs w:val="24"/>
        </w:rPr>
        <w:t xml:space="preserve">CA</w:t>
      </w:r>
      <w:r>
        <w:rPr>
          <w:sz w:val="24"/>
          <w:szCs w:val="24"/>
        </w:rPr>
        <w:t xml:space="preserve">电子公章。</w:t>
      </w:r>
      <w:r/>
    </w:p>
    <w:p>
      <w:pPr>
        <w:ind w:firstLine="480"/>
        <w:spacing w:line="360" w:lineRule="auto"/>
        <w:tabs>
          <w:tab w:val="left" w:pos="900" w:leader="none"/>
        </w:tabs>
        <w:rPr>
          <w:sz w:val="24"/>
          <w:szCs w:val="24"/>
        </w:rPr>
      </w:pPr>
      <w:r>
        <w:rPr>
          <w:sz w:val="24"/>
          <w:szCs w:val="24"/>
        </w:rPr>
        <w:t xml:space="preserve">27.2 </w:t>
      </w:r>
      <w:r>
        <w:rPr>
          <w:sz w:val="24"/>
          <w:szCs w:val="24"/>
        </w:rPr>
        <w:t xml:space="preserve">评审方法和评审标准</w:t>
      </w:r>
      <w:r/>
    </w:p>
    <w:p>
      <w:pPr>
        <w:ind w:firstLine="480"/>
        <w:spacing w:line="360" w:lineRule="auto"/>
        <w:tabs>
          <w:tab w:val="left" w:pos="900" w:leader="none"/>
        </w:tabs>
        <w:rPr>
          <w:sz w:val="24"/>
          <w:szCs w:val="24"/>
        </w:rPr>
      </w:pPr>
      <w:r>
        <w:rPr>
          <w:sz w:val="24"/>
          <w:szCs w:val="24"/>
        </w:rPr>
        <w:t xml:space="preserve">27.2.1</w:t>
      </w:r>
      <w:r>
        <w:rPr>
          <w:sz w:val="24"/>
          <w:szCs w:val="24"/>
        </w:rPr>
        <w:t xml:space="preserve">评审方法。经磋商确定最终采购需求和提交最后报价的供应商后，由磋商小组采用综合评分法对提交最后报价的供应商的响应文件和最后报价进行综合评分。</w:t>
      </w:r>
      <w:r/>
    </w:p>
    <w:p>
      <w:pPr>
        <w:ind w:firstLine="480"/>
        <w:spacing w:line="360" w:lineRule="auto"/>
        <w:tabs>
          <w:tab w:val="left" w:pos="900" w:leader="none"/>
        </w:tabs>
        <w:rPr>
          <w:sz w:val="24"/>
          <w:szCs w:val="24"/>
        </w:rPr>
      </w:pPr>
      <w:r>
        <w:rPr>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w:t>
      </w:r>
      <w:r>
        <w:rPr>
          <w:sz w:val="24"/>
          <w:szCs w:val="24"/>
        </w:rPr>
        <w:t xml:space="preserve">有效响应</w:t>
      </w:r>
      <w:r>
        <w:rPr>
          <w:sz w:val="24"/>
          <w:szCs w:val="24"/>
        </w:rPr>
        <w:t xml:space="preserve">的文件进行评价、打分，然后汇总每个供应商每项评分因素的得分。</w:t>
      </w:r>
      <w:r/>
    </w:p>
    <w:p>
      <w:pPr>
        <w:ind w:firstLine="480"/>
        <w:spacing w:line="360" w:lineRule="auto"/>
        <w:tabs>
          <w:tab w:val="left" w:pos="900" w:leader="none"/>
        </w:tabs>
        <w:rPr>
          <w:sz w:val="24"/>
          <w:szCs w:val="24"/>
        </w:rPr>
      </w:pPr>
      <w:r>
        <w:rPr>
          <w:sz w:val="24"/>
          <w:szCs w:val="24"/>
        </w:rPr>
        <w:t xml:space="preserve">27.2.2 </w:t>
      </w:r>
      <w:r>
        <w:rPr>
          <w:sz w:val="24"/>
          <w:szCs w:val="24"/>
        </w:rPr>
        <w:t xml:space="preserve">评审标准</w:t>
      </w:r>
      <w:r/>
    </w:p>
    <w:p>
      <w:pPr>
        <w:ind w:firstLine="480"/>
        <w:spacing w:line="360" w:lineRule="auto"/>
        <w:tabs>
          <w:tab w:val="left" w:pos="900" w:leader="none"/>
        </w:tabs>
        <w:rPr>
          <w:sz w:val="24"/>
          <w:szCs w:val="24"/>
        </w:rPr>
      </w:pPr>
      <w:r>
        <w:rPr>
          <w:sz w:val="24"/>
          <w:szCs w:val="24"/>
        </w:rPr>
        <w:t xml:space="preserve">见本磋商文件第五章规定。</w:t>
      </w:r>
      <w:r/>
    </w:p>
    <w:p>
      <w:pPr>
        <w:ind w:firstLine="480"/>
        <w:spacing w:line="360" w:lineRule="auto"/>
        <w:tabs>
          <w:tab w:val="left" w:pos="900" w:leader="none"/>
        </w:tabs>
        <w:rPr>
          <w:sz w:val="24"/>
          <w:szCs w:val="24"/>
        </w:rPr>
      </w:pPr>
      <w:r>
        <w:rPr>
          <w:sz w:val="24"/>
          <w:szCs w:val="24"/>
        </w:rPr>
        <w:t xml:space="preserve">27.3 </w:t>
      </w:r>
      <w:r>
        <w:rPr>
          <w:sz w:val="24"/>
          <w:szCs w:val="24"/>
        </w:rPr>
        <w:t xml:space="preserve">采</w:t>
      </w:r>
      <w:r>
        <w:rPr>
          <w:sz w:val="24"/>
          <w:szCs w:val="24"/>
        </w:rPr>
        <w:t xml:space="preserve">购活动终止的情况</w:t>
      </w:r>
      <w:r/>
    </w:p>
    <w:p>
      <w:pPr>
        <w:ind w:firstLine="480"/>
        <w:spacing w:line="360" w:lineRule="auto"/>
        <w:tabs>
          <w:tab w:val="left" w:pos="900" w:leader="none"/>
        </w:tabs>
        <w:rPr>
          <w:sz w:val="24"/>
          <w:szCs w:val="24"/>
        </w:rPr>
      </w:pPr>
      <w:r>
        <w:rPr>
          <w:sz w:val="24"/>
          <w:szCs w:val="24"/>
        </w:rPr>
        <w:t xml:space="preserve">出现下列情形之一的，本次竞争性磋商采购活动将被终止：</w:t>
      </w:r>
      <w:r/>
    </w:p>
    <w:p>
      <w:pPr>
        <w:ind w:firstLine="480"/>
        <w:spacing w:line="360" w:lineRule="auto"/>
        <w:tabs>
          <w:tab w:val="left" w:pos="900" w:leader="none"/>
        </w:tabs>
        <w:rPr>
          <w:sz w:val="24"/>
          <w:szCs w:val="24"/>
        </w:rPr>
      </w:pPr>
      <w:r>
        <w:rPr>
          <w:sz w:val="24"/>
          <w:szCs w:val="24"/>
        </w:rPr>
        <w:t xml:space="preserve">27.3.1 </w:t>
      </w:r>
      <w:r>
        <w:rPr>
          <w:sz w:val="24"/>
          <w:szCs w:val="24"/>
        </w:rPr>
        <w:t xml:space="preserve">因情况变化，不再符合规定的竞争性磋商采购方式适用情形的。</w:t>
      </w:r>
      <w:r/>
    </w:p>
    <w:p>
      <w:pPr>
        <w:ind w:firstLine="480"/>
        <w:spacing w:line="360" w:lineRule="auto"/>
        <w:tabs>
          <w:tab w:val="left" w:pos="900" w:leader="none"/>
        </w:tabs>
        <w:rPr>
          <w:sz w:val="24"/>
          <w:szCs w:val="24"/>
        </w:rPr>
      </w:pPr>
      <w:r>
        <w:rPr>
          <w:sz w:val="24"/>
          <w:szCs w:val="24"/>
        </w:rPr>
        <w:t xml:space="preserve">27.3.2 </w:t>
      </w:r>
      <w:r>
        <w:rPr>
          <w:sz w:val="24"/>
          <w:szCs w:val="24"/>
        </w:rPr>
        <w:t xml:space="preserve">出现影响采购公正的违法、违规行为的。</w:t>
      </w:r>
      <w:r/>
    </w:p>
    <w:p>
      <w:pPr>
        <w:ind w:firstLine="480"/>
        <w:spacing w:line="360" w:lineRule="auto"/>
        <w:tabs>
          <w:tab w:val="left" w:pos="900" w:leader="none"/>
        </w:tabs>
        <w:rPr>
          <w:sz w:val="24"/>
          <w:szCs w:val="24"/>
        </w:rPr>
      </w:pPr>
      <w:r>
        <w:rPr>
          <w:sz w:val="24"/>
          <w:szCs w:val="24"/>
        </w:rPr>
        <w:t xml:space="preserve">27.3.3 </w:t>
      </w:r>
      <w:r>
        <w:rPr>
          <w:sz w:val="24"/>
          <w:szCs w:val="24"/>
        </w:rPr>
        <w:t xml:space="preserve">除本磋商文件第二章第</w:t>
      </w:r>
      <w:r>
        <w:rPr>
          <w:sz w:val="24"/>
          <w:szCs w:val="24"/>
        </w:rPr>
        <w:t xml:space="preserve">27.1.2</w:t>
      </w:r>
      <w:r>
        <w:rPr>
          <w:sz w:val="24"/>
          <w:szCs w:val="24"/>
        </w:rPr>
        <w:t xml:space="preserve">条第三款规定的情形外，在采购过程中符合要求的供应商或者最后报价未超过采购预算的供应商不足</w:t>
      </w:r>
      <w:r>
        <w:rPr>
          <w:sz w:val="24"/>
          <w:szCs w:val="24"/>
        </w:rPr>
        <w:t xml:space="preserve">3</w:t>
      </w:r>
      <w:r>
        <w:rPr>
          <w:sz w:val="24"/>
          <w:szCs w:val="24"/>
        </w:rPr>
        <w:t xml:space="preserve">家的。</w:t>
      </w:r>
      <w:r/>
    </w:p>
    <w:p>
      <w:pPr>
        <w:ind w:firstLine="480"/>
        <w:spacing w:line="360" w:lineRule="auto"/>
        <w:tabs>
          <w:tab w:val="left" w:pos="900" w:leader="none"/>
        </w:tabs>
        <w:rPr>
          <w:sz w:val="24"/>
          <w:szCs w:val="24"/>
        </w:rPr>
      </w:pPr>
      <w:r>
        <w:rPr>
          <w:sz w:val="24"/>
          <w:szCs w:val="24"/>
        </w:rPr>
        <w:t xml:space="preserve">27.3.4 </w:t>
      </w:r>
      <w:r>
        <w:rPr>
          <w:sz w:val="24"/>
          <w:szCs w:val="24"/>
        </w:rPr>
        <w:t xml:space="preserve">在苏</w:t>
      </w:r>
      <w:r>
        <w:rPr>
          <w:sz w:val="24"/>
          <w:szCs w:val="24"/>
        </w:rPr>
        <w:t xml:space="preserve">采云</w:t>
      </w:r>
      <w:r>
        <w:rPr>
          <w:sz w:val="24"/>
          <w:szCs w:val="24"/>
        </w:rPr>
        <w:t xml:space="preserve">系统规定时间内成功解密电子响应文件的供应商不足</w:t>
      </w:r>
      <w:r>
        <w:rPr>
          <w:sz w:val="24"/>
          <w:szCs w:val="24"/>
        </w:rPr>
        <w:t xml:space="preserve">3</w:t>
      </w:r>
      <w:r>
        <w:rPr>
          <w:sz w:val="24"/>
          <w:szCs w:val="24"/>
        </w:rPr>
        <w:t xml:space="preserve">家的。</w:t>
      </w:r>
      <w:r/>
    </w:p>
    <w:p>
      <w:pPr>
        <w:keepLines/>
        <w:keepNext/>
        <w:spacing w:before="120" w:after="120" w:line="360" w:lineRule="auto"/>
        <w:rPr>
          <w:b/>
          <w:bCs/>
          <w:sz w:val="32"/>
          <w:szCs w:val="32"/>
        </w:rPr>
        <w:outlineLvl w:val="2"/>
      </w:pPr>
      <w:r/>
      <w:bookmarkStart w:id="157" w:name="_Toc16938551"/>
      <w:r/>
      <w:bookmarkStart w:id="158" w:name="_Toc513029235"/>
      <w:r/>
      <w:bookmarkStart w:id="159" w:name="_Toc20823307"/>
      <w:r/>
      <w:bookmarkStart w:id="160" w:name="_Toc120614219"/>
      <w:r>
        <w:rPr>
          <w:b/>
          <w:bCs/>
          <w:sz w:val="32"/>
          <w:szCs w:val="32"/>
        </w:rPr>
        <w:t xml:space="preserve">六、</w:t>
      </w:r>
      <w:bookmarkEnd w:id="157"/>
      <w:r/>
      <w:bookmarkEnd w:id="158"/>
      <w:r/>
      <w:bookmarkEnd w:id="159"/>
      <w:r/>
      <w:bookmarkEnd w:id="160"/>
      <w:r>
        <w:rPr>
          <w:b/>
          <w:bCs/>
          <w:sz w:val="32"/>
          <w:szCs w:val="32"/>
        </w:rPr>
        <w:t xml:space="preserve">成交</w:t>
      </w:r>
      <w:r/>
    </w:p>
    <w:p>
      <w:pPr>
        <w:ind w:firstLine="600"/>
        <w:keepLines/>
        <w:keepNext/>
        <w:spacing w:line="360" w:lineRule="auto"/>
        <w:rPr>
          <w:rFonts w:eastAsia="黑体"/>
          <w:bCs/>
          <w:sz w:val="30"/>
          <w:szCs w:val="30"/>
        </w:rPr>
        <w:outlineLvl w:val="3"/>
      </w:pPr>
      <w:r/>
      <w:bookmarkStart w:id="161" w:name="_Toc513029238"/>
      <w:r/>
      <w:bookmarkStart w:id="162" w:name="_Toc16938554"/>
      <w:r/>
      <w:bookmarkStart w:id="163" w:name="_Toc20823310"/>
      <w:r>
        <w:rPr>
          <w:rFonts w:eastAsia="黑体"/>
          <w:bCs/>
          <w:sz w:val="30"/>
          <w:szCs w:val="30"/>
        </w:rPr>
        <w:t xml:space="preserve">28</w:t>
      </w:r>
      <w:r>
        <w:rPr>
          <w:rFonts w:eastAsia="黑体"/>
          <w:bCs/>
          <w:sz w:val="30"/>
          <w:szCs w:val="30"/>
        </w:rPr>
        <w:t xml:space="preserve">、</w:t>
      </w:r>
      <w:bookmarkEnd w:id="161"/>
      <w:r>
        <w:rPr>
          <w:rFonts w:eastAsia="黑体"/>
          <w:bCs/>
          <w:sz w:val="30"/>
          <w:szCs w:val="30"/>
        </w:rPr>
        <w:t xml:space="preserve">确定</w:t>
      </w:r>
      <w:bookmarkEnd w:id="162"/>
      <w:r/>
      <w:bookmarkEnd w:id="163"/>
      <w:r>
        <w:rPr>
          <w:rFonts w:eastAsia="黑体"/>
          <w:bCs/>
          <w:sz w:val="30"/>
          <w:szCs w:val="30"/>
        </w:rPr>
        <w:t xml:space="preserve">成交单位</w:t>
      </w:r>
      <w:r/>
    </w:p>
    <w:p>
      <w:pPr>
        <w:ind w:firstLine="480"/>
        <w:spacing w:line="360" w:lineRule="auto"/>
        <w:tabs>
          <w:tab w:val="left" w:pos="900" w:leader="none"/>
        </w:tabs>
        <w:rPr>
          <w:sz w:val="24"/>
          <w:szCs w:val="21"/>
        </w:rPr>
      </w:pPr>
      <w:r>
        <w:rPr>
          <w:bCs/>
          <w:sz w:val="24"/>
          <w:szCs w:val="21"/>
        </w:rPr>
        <w:t xml:space="preserve">28.1 </w:t>
      </w:r>
      <w:r>
        <w:rPr>
          <w:sz w:val="24"/>
          <w:szCs w:val="21"/>
        </w:rPr>
        <w:t xml:space="preserve">磋商小组根据综合评分情况，按照评审得分由高到低顺序推荐</w:t>
      </w:r>
      <w:r>
        <w:rPr>
          <w:sz w:val="24"/>
          <w:szCs w:val="21"/>
        </w:rPr>
        <w:t xml:space="preserve">3</w:t>
      </w:r>
      <w:r>
        <w:rPr>
          <w:sz w:val="24"/>
          <w:szCs w:val="21"/>
        </w:rPr>
        <w:t xml:space="preserve">名成交候选供应商，并编写评审报告。符合本磋商文件第二章第</w:t>
      </w:r>
      <w:r>
        <w:rPr>
          <w:sz w:val="24"/>
          <w:szCs w:val="21"/>
        </w:rPr>
        <w:t xml:space="preserve">27.1.2</w:t>
      </w:r>
      <w:r>
        <w:rPr>
          <w:sz w:val="24"/>
          <w:szCs w:val="21"/>
        </w:rPr>
        <w:t xml:space="preserve">条情形的，可以推荐</w:t>
      </w:r>
      <w:r>
        <w:rPr>
          <w:sz w:val="24"/>
          <w:szCs w:val="21"/>
        </w:rPr>
        <w:t xml:space="preserve">2</w:t>
      </w:r>
      <w:r>
        <w:rPr>
          <w:sz w:val="24"/>
          <w:szCs w:val="21"/>
        </w:rPr>
        <w:t xml:space="preserve">名成交候选供应商。评审得分相同的，按照最后报价由低到高的顺序推荐。评审得分且最后报价相同的，按照技术指标优劣顺序推荐。</w:t>
      </w:r>
      <w:r/>
    </w:p>
    <w:p>
      <w:pPr>
        <w:ind w:firstLine="480"/>
        <w:spacing w:line="360" w:lineRule="auto"/>
        <w:rPr>
          <w:sz w:val="24"/>
          <w:szCs w:val="21"/>
        </w:rPr>
      </w:pPr>
      <w:r>
        <w:rPr>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w:t>
      </w:r>
      <w:r>
        <w:rPr>
          <w:sz w:val="24"/>
          <w:szCs w:val="21"/>
        </w:rPr>
        <w:t xml:space="preserve">成交供应商推荐资格，磋商文件未规定的采取随机抽取方式确定，其他同品牌同型号供应商不作为成交候选人。</w:t>
      </w:r>
      <w:r/>
    </w:p>
    <w:p>
      <w:pPr>
        <w:ind w:firstLine="480"/>
        <w:spacing w:line="360" w:lineRule="auto"/>
        <w:rPr>
          <w:bCs/>
          <w:sz w:val="24"/>
          <w:szCs w:val="21"/>
        </w:rPr>
      </w:pPr>
      <w:r>
        <w:rPr>
          <w:bCs/>
          <w:sz w:val="24"/>
          <w:szCs w:val="21"/>
        </w:rPr>
        <w:t xml:space="preserve">28.2 </w:t>
      </w:r>
      <w:r>
        <w:rPr>
          <w:bCs/>
          <w:sz w:val="24"/>
          <w:szCs w:val="21"/>
        </w:rPr>
        <w:t xml:space="preserve">采购人从评审报告提出的成交候选供应商中，按照排序由高到低的原则确定成交供应商。采购人确定成交供应商后，采购中心将在</w:t>
      </w:r>
      <w:r>
        <w:rPr>
          <w:bCs/>
          <w:sz w:val="24"/>
          <w:szCs w:val="21"/>
        </w:rPr>
        <w:t xml:space="preserve">“</w:t>
      </w:r>
      <w:r>
        <w:rPr>
          <w:bCs/>
          <w:sz w:val="24"/>
          <w:szCs w:val="21"/>
        </w:rPr>
        <w:t xml:space="preserve">江苏政府采购网、常州市政府采购网</w:t>
      </w:r>
      <w:r>
        <w:rPr>
          <w:bCs/>
          <w:sz w:val="24"/>
          <w:szCs w:val="21"/>
        </w:rPr>
        <w:t xml:space="preserve">”</w:t>
      </w:r>
      <w:r>
        <w:rPr>
          <w:bCs/>
          <w:sz w:val="24"/>
          <w:szCs w:val="21"/>
        </w:rPr>
        <w:t xml:space="preserve">发布成交结果公告，公告期限为</w:t>
      </w:r>
      <w:r>
        <w:rPr>
          <w:bCs/>
          <w:sz w:val="24"/>
          <w:szCs w:val="21"/>
        </w:rPr>
        <w:t xml:space="preserve">1</w:t>
      </w:r>
      <w:r>
        <w:rPr>
          <w:bCs/>
          <w:sz w:val="24"/>
          <w:szCs w:val="21"/>
        </w:rPr>
        <w:t xml:space="preserve">个工作日。</w:t>
      </w:r>
      <w:r/>
    </w:p>
    <w:p>
      <w:pPr>
        <w:ind w:firstLine="480"/>
        <w:spacing w:line="360" w:lineRule="auto"/>
        <w:rPr>
          <w:bCs/>
          <w:sz w:val="24"/>
          <w:szCs w:val="21"/>
        </w:rPr>
      </w:pPr>
      <w:r>
        <w:rPr>
          <w:bCs/>
          <w:sz w:val="24"/>
          <w:szCs w:val="21"/>
        </w:rPr>
        <w:t xml:space="preserve">28.3 </w:t>
      </w:r>
      <w:r>
        <w:rPr>
          <w:bCs/>
          <w:sz w:val="24"/>
          <w:szCs w:val="21"/>
        </w:rPr>
        <w:t xml:space="preserve">若有充分证据证明，成交供应</w:t>
      </w:r>
      <w:r>
        <w:rPr>
          <w:bCs/>
          <w:sz w:val="24"/>
          <w:szCs w:val="21"/>
        </w:rPr>
        <w:t xml:space="preserve">商出现</w:t>
      </w:r>
      <w:r>
        <w:rPr>
          <w:bCs/>
          <w:sz w:val="24"/>
          <w:szCs w:val="21"/>
        </w:rPr>
        <w:t xml:space="preserve">下列情况之一的，一经查实，将被取消成交资格：</w:t>
      </w:r>
      <w:r/>
    </w:p>
    <w:p>
      <w:pPr>
        <w:ind w:firstLine="480"/>
        <w:spacing w:line="360" w:lineRule="auto"/>
        <w:rPr>
          <w:bCs/>
          <w:sz w:val="24"/>
          <w:szCs w:val="21"/>
        </w:rPr>
      </w:pPr>
      <w:r>
        <w:rPr>
          <w:bCs/>
          <w:sz w:val="24"/>
          <w:szCs w:val="21"/>
        </w:rPr>
        <w:t xml:space="preserve">28.3.1 </w:t>
      </w:r>
      <w:r>
        <w:rPr>
          <w:bCs/>
          <w:sz w:val="24"/>
          <w:szCs w:val="21"/>
        </w:rPr>
        <w:t xml:space="preserve">提供虚假材料谋取成交的。</w:t>
      </w:r>
      <w:r/>
    </w:p>
    <w:p>
      <w:pPr>
        <w:ind w:firstLine="480"/>
        <w:spacing w:line="360" w:lineRule="auto"/>
        <w:rPr>
          <w:bCs/>
          <w:sz w:val="24"/>
          <w:szCs w:val="21"/>
        </w:rPr>
      </w:pPr>
      <w:r>
        <w:rPr>
          <w:bCs/>
          <w:sz w:val="24"/>
          <w:szCs w:val="21"/>
        </w:rPr>
        <w:t xml:space="preserve">28.3.2 </w:t>
      </w:r>
      <w:r>
        <w:rPr>
          <w:bCs/>
          <w:sz w:val="24"/>
          <w:szCs w:val="21"/>
        </w:rPr>
        <w:t xml:space="preserve">与评审专家、采购人、其他供应商或者采购中心工作人员恶意串通的。</w:t>
      </w:r>
      <w:r/>
    </w:p>
    <w:p>
      <w:pPr>
        <w:ind w:firstLine="480"/>
        <w:spacing w:line="360" w:lineRule="auto"/>
        <w:rPr>
          <w:bCs/>
          <w:sz w:val="24"/>
          <w:szCs w:val="21"/>
        </w:rPr>
      </w:pPr>
      <w:r>
        <w:rPr>
          <w:bCs/>
          <w:sz w:val="24"/>
          <w:szCs w:val="21"/>
        </w:rPr>
        <w:t xml:space="preserve">28</w:t>
      </w:r>
      <w:r>
        <w:rPr>
          <w:bCs/>
          <w:sz w:val="24"/>
          <w:szCs w:val="21"/>
        </w:rPr>
        <w:t xml:space="preserve">.3.3 </w:t>
      </w:r>
      <w:r>
        <w:rPr>
          <w:bCs/>
          <w:sz w:val="24"/>
          <w:szCs w:val="21"/>
        </w:rPr>
        <w:t xml:space="preserve">向评审专家、采购人或采购中心工作人员行贿或者提供其他不正当利益的。</w:t>
      </w:r>
      <w:r/>
    </w:p>
    <w:p>
      <w:pPr>
        <w:ind w:firstLine="480"/>
        <w:spacing w:line="360" w:lineRule="auto"/>
        <w:rPr>
          <w:bCs/>
          <w:sz w:val="24"/>
          <w:szCs w:val="21"/>
        </w:rPr>
      </w:pPr>
      <w:r>
        <w:rPr>
          <w:bCs/>
          <w:sz w:val="24"/>
          <w:szCs w:val="21"/>
        </w:rPr>
        <w:t xml:space="preserve">28.3.4 </w:t>
      </w:r>
      <w:r>
        <w:rPr>
          <w:bCs/>
          <w:sz w:val="24"/>
          <w:szCs w:val="21"/>
        </w:rPr>
        <w:t xml:space="preserve">恶意竞争，最后报价明显低于其自身合理成本且又无法提供证明的。</w:t>
      </w:r>
      <w:r/>
    </w:p>
    <w:p>
      <w:pPr>
        <w:ind w:firstLine="480"/>
        <w:spacing w:line="360" w:lineRule="auto"/>
        <w:rPr>
          <w:bCs/>
          <w:sz w:val="24"/>
          <w:szCs w:val="21"/>
        </w:rPr>
      </w:pPr>
      <w:r>
        <w:rPr>
          <w:bCs/>
          <w:sz w:val="24"/>
          <w:szCs w:val="21"/>
        </w:rPr>
        <w:t xml:space="preserve">28.3.5 </w:t>
      </w:r>
      <w:r>
        <w:rPr>
          <w:bCs/>
          <w:sz w:val="24"/>
          <w:szCs w:val="21"/>
        </w:rPr>
        <w:t xml:space="preserve">不满足本磋商文件规定的实质性要求，但在评审过程中又未被磋商小组发现的。</w:t>
      </w:r>
      <w:r/>
    </w:p>
    <w:p>
      <w:pPr>
        <w:ind w:firstLine="480"/>
        <w:spacing w:line="360" w:lineRule="auto"/>
        <w:rPr>
          <w:bCs/>
          <w:sz w:val="24"/>
          <w:szCs w:val="21"/>
        </w:rPr>
      </w:pPr>
      <w:r>
        <w:rPr>
          <w:bCs/>
          <w:sz w:val="24"/>
          <w:szCs w:val="21"/>
        </w:rPr>
        <w:t xml:space="preserve">28.3.6 </w:t>
      </w:r>
      <w:r>
        <w:rPr>
          <w:bCs/>
          <w:sz w:val="24"/>
          <w:szCs w:val="21"/>
        </w:rPr>
        <w:t xml:space="preserve">成交后无正当理由拒不与采购人签订政府采购合同或者未按照磋商文件确定的事项签订政府采购合同的。</w:t>
      </w:r>
      <w:r/>
    </w:p>
    <w:p>
      <w:pPr>
        <w:ind w:firstLine="480"/>
        <w:spacing w:line="360" w:lineRule="auto"/>
        <w:rPr>
          <w:bCs/>
          <w:sz w:val="24"/>
          <w:szCs w:val="21"/>
        </w:rPr>
      </w:pPr>
      <w:r>
        <w:rPr>
          <w:bCs/>
          <w:sz w:val="24"/>
          <w:szCs w:val="21"/>
        </w:rPr>
        <w:t xml:space="preserve">28.3.7</w:t>
      </w:r>
      <w:r>
        <w:rPr>
          <w:bCs/>
          <w:sz w:val="24"/>
          <w:szCs w:val="21"/>
        </w:rPr>
        <w:t xml:space="preserve">将政府采购合同转包的。</w:t>
      </w:r>
      <w:r/>
    </w:p>
    <w:p>
      <w:pPr>
        <w:ind w:firstLine="600"/>
        <w:keepLines/>
        <w:keepNext/>
        <w:spacing w:line="360" w:lineRule="auto"/>
        <w:rPr>
          <w:rFonts w:eastAsia="黑体"/>
          <w:bCs/>
          <w:sz w:val="30"/>
          <w:szCs w:val="30"/>
        </w:rPr>
        <w:outlineLvl w:val="3"/>
      </w:pPr>
      <w:r/>
      <w:bookmarkStart w:id="164" w:name="_Toc200451960"/>
      <w:r>
        <w:rPr>
          <w:rFonts w:eastAsia="黑体"/>
          <w:bCs/>
          <w:sz w:val="30"/>
          <w:szCs w:val="30"/>
        </w:rPr>
        <w:t xml:space="preserve">29</w:t>
      </w:r>
      <w:r>
        <w:rPr>
          <w:rFonts w:eastAsia="黑体"/>
          <w:bCs/>
          <w:sz w:val="30"/>
          <w:szCs w:val="30"/>
        </w:rPr>
        <w:t xml:space="preserve">、质疑处理</w:t>
      </w:r>
      <w:bookmarkEnd w:id="164"/>
      <w:r/>
      <w:r/>
    </w:p>
    <w:p>
      <w:pPr>
        <w:ind w:firstLine="480"/>
        <w:spacing w:line="360" w:lineRule="auto"/>
        <w:rPr>
          <w:sz w:val="24"/>
          <w:szCs w:val="24"/>
        </w:rPr>
      </w:pPr>
      <w:r>
        <w:rPr>
          <w:sz w:val="24"/>
          <w:szCs w:val="24"/>
        </w:rPr>
        <w:t xml:space="preserve">29.1 </w:t>
      </w:r>
      <w:r>
        <w:rPr>
          <w:sz w:val="24"/>
          <w:szCs w:val="24"/>
        </w:rPr>
        <w:t xml:space="preserve">提出质疑的供应商应当是参与所质疑项目采购活动的供应商。潜在供应</w:t>
      </w:r>
      <w:r>
        <w:rPr>
          <w:sz w:val="24"/>
          <w:szCs w:val="24"/>
        </w:rPr>
        <w:t xml:space="preserve">商依法</w:t>
      </w:r>
      <w:r>
        <w:rPr>
          <w:sz w:val="24"/>
          <w:szCs w:val="24"/>
        </w:rPr>
        <w:t xml:space="preserve">获取其可质疑的采购文件的，可以对采</w:t>
      </w:r>
      <w:r>
        <w:rPr>
          <w:sz w:val="24"/>
          <w:szCs w:val="24"/>
        </w:rPr>
        <w:t xml:space="preserve">购文件提出质疑。</w:t>
      </w:r>
      <w:r/>
    </w:p>
    <w:p>
      <w:pPr>
        <w:ind w:firstLine="480"/>
        <w:spacing w:line="360" w:lineRule="auto"/>
        <w:rPr>
          <w:sz w:val="24"/>
          <w:szCs w:val="24"/>
        </w:rPr>
      </w:pPr>
      <w:r>
        <w:rPr>
          <w:sz w:val="24"/>
          <w:szCs w:val="24"/>
        </w:rPr>
        <w:t xml:space="preserve">29.2 </w:t>
      </w:r>
      <w:r>
        <w:rPr>
          <w:sz w:val="24"/>
          <w:szCs w:val="24"/>
        </w:rPr>
        <w:t xml:space="preserve">供应商认为采购文件、采购过程和采购结果使自己的权益受到损害的，可以在知道或应知其权益受到损害之日起七个工作日内，以书面形式根据下述</w:t>
      </w:r>
      <w:r>
        <w:rPr>
          <w:sz w:val="24"/>
          <w:szCs w:val="24"/>
        </w:rPr>
        <w:t xml:space="preserve">29.4</w:t>
      </w:r>
      <w:r>
        <w:rPr>
          <w:sz w:val="24"/>
          <w:szCs w:val="24"/>
        </w:rPr>
        <w:t xml:space="preserve">条款的规定向采购中心或采购人提出质疑。上述应知其权益受到损害之日，是指：</w:t>
      </w:r>
      <w:r/>
    </w:p>
    <w:p>
      <w:pPr>
        <w:ind w:firstLine="480"/>
        <w:spacing w:line="360" w:lineRule="auto"/>
        <w:rPr>
          <w:sz w:val="24"/>
          <w:szCs w:val="24"/>
        </w:rPr>
      </w:pPr>
      <w:r>
        <w:rPr>
          <w:sz w:val="24"/>
          <w:szCs w:val="24"/>
        </w:rPr>
        <w:t xml:space="preserve">29.2.1</w:t>
      </w:r>
      <w:r>
        <w:rPr>
          <w:sz w:val="24"/>
          <w:szCs w:val="24"/>
        </w:rPr>
        <w:t xml:space="preserve">对可以质疑的采购文件提出质疑的，为收到采购文件之日或者采购文件公告期限届满之日。</w:t>
      </w:r>
      <w:r/>
    </w:p>
    <w:p>
      <w:pPr>
        <w:ind w:firstLine="480"/>
        <w:spacing w:line="360" w:lineRule="auto"/>
        <w:rPr>
          <w:sz w:val="24"/>
          <w:szCs w:val="24"/>
        </w:rPr>
      </w:pPr>
      <w:r>
        <w:rPr>
          <w:sz w:val="24"/>
          <w:szCs w:val="24"/>
        </w:rPr>
        <w:t xml:space="preserve">29.2.2</w:t>
      </w:r>
      <w:r>
        <w:rPr>
          <w:sz w:val="24"/>
          <w:szCs w:val="24"/>
        </w:rPr>
        <w:t xml:space="preserve">对采购过程提出质疑的，为各采购程序环节结束之日。</w:t>
      </w:r>
      <w:r/>
    </w:p>
    <w:p>
      <w:pPr>
        <w:ind w:firstLine="480"/>
        <w:spacing w:line="360" w:lineRule="auto"/>
        <w:rPr>
          <w:sz w:val="24"/>
          <w:szCs w:val="24"/>
        </w:rPr>
      </w:pPr>
      <w:r>
        <w:rPr>
          <w:sz w:val="24"/>
          <w:szCs w:val="24"/>
        </w:rPr>
        <w:t xml:space="preserve">29.2.3</w:t>
      </w:r>
      <w:r>
        <w:rPr>
          <w:sz w:val="24"/>
          <w:szCs w:val="24"/>
        </w:rPr>
        <w:t xml:space="preserve">对成交结果提出质疑的，为成交结果公告期限届满之日。</w:t>
      </w:r>
      <w:r/>
    </w:p>
    <w:p>
      <w:pPr>
        <w:ind w:firstLine="480"/>
        <w:spacing w:line="360" w:lineRule="auto"/>
        <w:rPr>
          <w:sz w:val="24"/>
          <w:szCs w:val="24"/>
        </w:rPr>
      </w:pPr>
      <w:r>
        <w:rPr>
          <w:sz w:val="24"/>
          <w:szCs w:val="24"/>
        </w:rPr>
        <w:t xml:space="preserve">供应商应当在法定质疑期内一次性提出针对同一采购程序环</w:t>
      </w:r>
      <w:r>
        <w:rPr>
          <w:sz w:val="24"/>
          <w:szCs w:val="24"/>
        </w:rPr>
        <w:t xml:space="preserve">节的质疑。供应商如在法定期限内对同一采购程序环节提出多次质疑的，采购中心、采购人</w:t>
      </w:r>
      <w:r>
        <w:rPr>
          <w:sz w:val="24"/>
          <w:szCs w:val="24"/>
        </w:rPr>
        <w:t xml:space="preserve">将只对供应商第一次质疑</w:t>
      </w:r>
      <w:r>
        <w:rPr>
          <w:sz w:val="24"/>
          <w:szCs w:val="24"/>
        </w:rPr>
        <w:t xml:space="preserve">作出</w:t>
      </w:r>
      <w:r>
        <w:rPr>
          <w:sz w:val="24"/>
          <w:szCs w:val="24"/>
        </w:rPr>
        <w:t xml:space="preserve">答复。</w:t>
      </w:r>
      <w:r/>
    </w:p>
    <w:p>
      <w:pPr>
        <w:ind w:firstLine="480"/>
        <w:spacing w:line="360" w:lineRule="auto"/>
        <w:rPr>
          <w:sz w:val="24"/>
          <w:szCs w:val="24"/>
        </w:rPr>
      </w:pPr>
      <w:r>
        <w:rPr>
          <w:sz w:val="24"/>
          <w:szCs w:val="24"/>
        </w:rPr>
        <w:t xml:space="preserve">29.3 </w:t>
      </w:r>
      <w:r>
        <w:rPr>
          <w:sz w:val="24"/>
          <w:szCs w:val="24"/>
        </w:rPr>
        <w:t xml:space="preserve">质疑</w:t>
      </w:r>
      <w:r>
        <w:rPr>
          <w:sz w:val="24"/>
          <w:szCs w:val="24"/>
        </w:rPr>
        <w:t xml:space="preserve">函必须</w:t>
      </w:r>
      <w:r>
        <w:rPr>
          <w:sz w:val="24"/>
          <w:szCs w:val="24"/>
        </w:rPr>
        <w:t xml:space="preserve">按照本磋商文件中《质疑函范本》要求的格式和内容进行填写。供应商如组成联合体参加磋商，则《质疑函范本》中要求签字、盖章、加盖公章之处，联合体各方均须按要求签字、盖章、加盖公章。</w:t>
      </w:r>
      <w:r/>
    </w:p>
    <w:p>
      <w:pPr>
        <w:ind w:firstLine="480"/>
        <w:spacing w:line="360" w:lineRule="auto"/>
        <w:rPr>
          <w:b/>
          <w:sz w:val="24"/>
          <w:szCs w:val="24"/>
        </w:rPr>
      </w:pPr>
      <w:r>
        <w:rPr>
          <w:sz w:val="24"/>
          <w:szCs w:val="24"/>
        </w:rPr>
        <w:t xml:space="preserve">29.4 </w:t>
      </w:r>
      <w:r>
        <w:rPr>
          <w:sz w:val="24"/>
          <w:szCs w:val="24"/>
        </w:rPr>
        <w:t xml:space="preserve">供应商（含潜在供应商）对采购方式、采购需求、供应商资格条件、评审方法与评审标准、合同文本的询问、质疑请向采购人提出，由采购人负责答复。供应商对其他事项的询问、质疑请向采购中心提出，由采购中心负</w:t>
      </w:r>
      <w:r>
        <w:rPr>
          <w:sz w:val="24"/>
          <w:szCs w:val="24"/>
        </w:rPr>
        <w:t xml:space="preserve">责答复。</w:t>
      </w:r>
      <w:r/>
    </w:p>
    <w:p>
      <w:pPr>
        <w:ind w:firstLine="480"/>
        <w:spacing w:line="360" w:lineRule="auto"/>
        <w:rPr>
          <w:sz w:val="24"/>
          <w:szCs w:val="24"/>
        </w:rPr>
      </w:pPr>
      <w:r>
        <w:rPr>
          <w:sz w:val="24"/>
          <w:szCs w:val="24"/>
        </w:rPr>
        <w:t xml:space="preserve">采购中心及采购人只接收以纸质原件形式送达的质疑</w:t>
      </w:r>
      <w:r>
        <w:rPr>
          <w:sz w:val="24"/>
          <w:szCs w:val="24"/>
        </w:rPr>
        <w:t xml:space="preserve">,</w:t>
      </w:r>
      <w:r>
        <w:rPr>
          <w:sz w:val="24"/>
          <w:szCs w:val="24"/>
        </w:rPr>
        <w:t xml:space="preserve">建议外地供应商尽量通过邮寄方式提交质疑（采购人和采购中心不接受未填写快递运单的快件）。</w:t>
      </w:r>
      <w:r/>
    </w:p>
    <w:p>
      <w:pPr>
        <w:ind w:firstLine="480"/>
        <w:spacing w:line="360" w:lineRule="auto"/>
        <w:rPr>
          <w:sz w:val="24"/>
          <w:szCs w:val="24"/>
        </w:rPr>
      </w:pPr>
      <w:r>
        <w:rPr>
          <w:sz w:val="24"/>
          <w:szCs w:val="24"/>
        </w:rPr>
        <w:t xml:space="preserve">采购人和采购中心质疑接收联系方式见第一章。</w:t>
      </w:r>
      <w:r/>
    </w:p>
    <w:p>
      <w:pPr>
        <w:ind w:firstLine="480"/>
        <w:spacing w:line="360" w:lineRule="auto"/>
        <w:rPr>
          <w:sz w:val="24"/>
          <w:szCs w:val="24"/>
        </w:rPr>
      </w:pPr>
      <w:r>
        <w:rPr>
          <w:sz w:val="24"/>
          <w:szCs w:val="24"/>
        </w:rPr>
        <w:t xml:space="preserve">29.5 </w:t>
      </w:r>
      <w:r>
        <w:rPr>
          <w:sz w:val="24"/>
          <w:szCs w:val="24"/>
        </w:rPr>
        <w:t xml:space="preserve">以下情形的质疑不予受理</w:t>
      </w:r>
      <w:r/>
    </w:p>
    <w:p>
      <w:pPr>
        <w:ind w:firstLine="480"/>
        <w:spacing w:line="360" w:lineRule="auto"/>
        <w:rPr>
          <w:sz w:val="24"/>
          <w:szCs w:val="24"/>
        </w:rPr>
      </w:pPr>
      <w:r>
        <w:rPr>
          <w:sz w:val="24"/>
          <w:szCs w:val="24"/>
        </w:rPr>
        <w:t xml:space="preserve">29.5.1 </w:t>
      </w:r>
      <w:r>
        <w:rPr>
          <w:sz w:val="24"/>
          <w:szCs w:val="24"/>
        </w:rPr>
        <w:t xml:space="preserve">内容不符合《政府采购质疑和投诉办法》第十二条规定的质疑。</w:t>
      </w:r>
      <w:r/>
    </w:p>
    <w:p>
      <w:pPr>
        <w:ind w:firstLine="480"/>
        <w:spacing w:line="360" w:lineRule="auto"/>
        <w:rPr>
          <w:sz w:val="24"/>
          <w:szCs w:val="24"/>
        </w:rPr>
      </w:pPr>
      <w:r>
        <w:rPr>
          <w:sz w:val="24"/>
          <w:szCs w:val="24"/>
        </w:rPr>
        <w:t xml:space="preserve">29.5.2 </w:t>
      </w:r>
      <w:r>
        <w:rPr>
          <w:sz w:val="24"/>
          <w:szCs w:val="24"/>
        </w:rPr>
        <w:t xml:space="preserve">超出政府采购法定期限的质疑。</w:t>
      </w:r>
      <w:r/>
    </w:p>
    <w:p>
      <w:pPr>
        <w:ind w:firstLine="480"/>
        <w:spacing w:line="360" w:lineRule="auto"/>
        <w:rPr>
          <w:sz w:val="24"/>
          <w:szCs w:val="24"/>
        </w:rPr>
      </w:pPr>
      <w:r>
        <w:rPr>
          <w:sz w:val="24"/>
          <w:szCs w:val="24"/>
        </w:rPr>
        <w:t xml:space="preserve">29.5.3 </w:t>
      </w:r>
      <w:r>
        <w:rPr>
          <w:sz w:val="24"/>
          <w:szCs w:val="24"/>
        </w:rPr>
        <w:t xml:space="preserve">以传真、电子邮件等方式递交的非原件形式的质疑。</w:t>
      </w:r>
      <w:r/>
    </w:p>
    <w:p>
      <w:pPr>
        <w:ind w:firstLine="480"/>
        <w:spacing w:line="360" w:lineRule="auto"/>
        <w:rPr>
          <w:sz w:val="24"/>
          <w:szCs w:val="24"/>
        </w:rPr>
      </w:pPr>
      <w:r>
        <w:rPr>
          <w:sz w:val="24"/>
          <w:szCs w:val="24"/>
        </w:rPr>
        <w:t xml:space="preserve">29.5.4 </w:t>
      </w:r>
      <w:r>
        <w:rPr>
          <w:sz w:val="24"/>
          <w:szCs w:val="24"/>
        </w:rPr>
        <w:t xml:space="preserve">未参加磋商活动的供应商或在磋商活动中自身权益未受到损害的供应商所提出的质疑。</w:t>
      </w:r>
      <w:r/>
    </w:p>
    <w:p>
      <w:pPr>
        <w:ind w:firstLine="480"/>
        <w:spacing w:line="360" w:lineRule="auto"/>
        <w:rPr>
          <w:sz w:val="24"/>
          <w:szCs w:val="24"/>
        </w:rPr>
      </w:pPr>
      <w:r>
        <w:rPr>
          <w:sz w:val="24"/>
          <w:szCs w:val="24"/>
        </w:rPr>
        <w:t xml:space="preserve">29.5.5 </w:t>
      </w:r>
      <w:r>
        <w:rPr>
          <w:sz w:val="24"/>
          <w:szCs w:val="24"/>
        </w:rPr>
        <w:t xml:space="preserve">供应商组成联合体参加磋商，联合体中任何一方或多方未按要求签字、盖章、加盖公章的质疑。</w:t>
      </w:r>
      <w:r/>
    </w:p>
    <w:p>
      <w:pPr>
        <w:ind w:firstLine="480"/>
        <w:spacing w:line="360" w:lineRule="auto"/>
        <w:rPr>
          <w:sz w:val="24"/>
          <w:szCs w:val="24"/>
        </w:rPr>
      </w:pPr>
      <w:r>
        <w:rPr>
          <w:sz w:val="24"/>
          <w:szCs w:val="24"/>
        </w:rPr>
        <w:t xml:space="preserve">29.6 </w:t>
      </w:r>
      <w:r>
        <w:rPr>
          <w:sz w:val="24"/>
          <w:szCs w:val="24"/>
        </w:rPr>
        <w:t xml:space="preserve">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keepLines/>
        <w:keepNext/>
        <w:spacing w:line="360" w:lineRule="auto"/>
        <w:rPr>
          <w:rFonts w:eastAsia="黑体"/>
          <w:bCs/>
          <w:sz w:val="30"/>
          <w:szCs w:val="30"/>
        </w:rPr>
        <w:outlineLvl w:val="3"/>
      </w:pPr>
      <w:r>
        <w:rPr>
          <w:rFonts w:eastAsia="黑体"/>
          <w:bCs/>
          <w:sz w:val="30"/>
          <w:szCs w:val="30"/>
        </w:rPr>
        <w:t xml:space="preserve">30</w:t>
      </w:r>
      <w:r>
        <w:rPr>
          <w:rFonts w:eastAsia="黑体"/>
          <w:bCs/>
          <w:sz w:val="30"/>
          <w:szCs w:val="30"/>
        </w:rPr>
        <w:t xml:space="preserve">、成交通知书</w:t>
      </w:r>
      <w:r/>
    </w:p>
    <w:p>
      <w:pPr>
        <w:ind w:firstLine="480"/>
        <w:spacing w:line="360" w:lineRule="auto"/>
        <w:rPr>
          <w:sz w:val="24"/>
          <w:szCs w:val="24"/>
        </w:rPr>
      </w:pPr>
      <w:r>
        <w:rPr>
          <w:sz w:val="24"/>
          <w:szCs w:val="24"/>
        </w:rPr>
        <w:t xml:space="preserve">30.1 </w:t>
      </w:r>
      <w:r>
        <w:rPr>
          <w:sz w:val="24"/>
          <w:szCs w:val="24"/>
        </w:rPr>
        <w:t xml:space="preserve">成交结果确定后，采购中心将向成交供应商发出成交通知书。</w:t>
      </w:r>
      <w:r>
        <w:rPr>
          <w:sz w:val="24"/>
          <w:szCs w:val="24"/>
        </w:rPr>
        <w:t xml:space="preserve">请成交</w:t>
      </w:r>
      <w:r>
        <w:rPr>
          <w:sz w:val="24"/>
          <w:szCs w:val="24"/>
        </w:rPr>
        <w:t xml:space="preserve">供应商在成交结果公告届满之日起</w:t>
      </w:r>
      <w:r>
        <w:rPr>
          <w:sz w:val="24"/>
          <w:szCs w:val="24"/>
        </w:rPr>
        <w:t xml:space="preserve">30</w:t>
      </w:r>
      <w:r>
        <w:rPr>
          <w:sz w:val="24"/>
          <w:szCs w:val="24"/>
        </w:rPr>
        <w:t xml:space="preserve">日内</w:t>
      </w:r>
      <w:r>
        <w:rPr>
          <w:sz w:val="24"/>
          <w:szCs w:val="24"/>
        </w:rPr>
        <w:t xml:space="preserve">,</w:t>
      </w:r>
      <w:r>
        <w:rPr>
          <w:sz w:val="24"/>
          <w:szCs w:val="24"/>
        </w:rPr>
        <w:t xml:space="preserve">使用</w:t>
      </w:r>
      <w:r>
        <w:rPr>
          <w:sz w:val="24"/>
          <w:szCs w:val="24"/>
        </w:rPr>
        <w:t xml:space="preserve">CA</w:t>
      </w:r>
      <w:r>
        <w:rPr>
          <w:sz w:val="24"/>
          <w:szCs w:val="24"/>
        </w:rPr>
        <w:t xml:space="preserve">数字证书登录苏</w:t>
      </w:r>
      <w:r>
        <w:rPr>
          <w:sz w:val="24"/>
          <w:szCs w:val="24"/>
        </w:rPr>
        <w:t xml:space="preserve">采云</w:t>
      </w:r>
      <w:r>
        <w:rPr>
          <w:sz w:val="24"/>
          <w:szCs w:val="24"/>
        </w:rPr>
        <w:t xml:space="preserve">系统及时下载成交通知书。因系统存储空间有限，自成交结果公告届满之日起</w:t>
      </w:r>
      <w:r>
        <w:rPr>
          <w:sz w:val="24"/>
          <w:szCs w:val="24"/>
        </w:rPr>
        <w:t xml:space="preserve">30</w:t>
      </w:r>
      <w:r>
        <w:rPr>
          <w:sz w:val="24"/>
          <w:szCs w:val="24"/>
        </w:rPr>
        <w:t xml:space="preserve">日后，苏</w:t>
      </w:r>
      <w:r>
        <w:rPr>
          <w:sz w:val="24"/>
          <w:szCs w:val="24"/>
        </w:rPr>
        <w:t xml:space="preserve">采云</w:t>
      </w:r>
      <w:r>
        <w:rPr>
          <w:sz w:val="24"/>
          <w:szCs w:val="24"/>
        </w:rPr>
        <w:t xml:space="preserve">系统不再保证提供下载成交通知书服务</w:t>
      </w:r>
      <w:r>
        <w:rPr>
          <w:sz w:val="24"/>
          <w:szCs w:val="24"/>
        </w:rPr>
        <w:t xml:space="preserve">,</w:t>
      </w:r>
      <w:r>
        <w:rPr>
          <w:sz w:val="24"/>
          <w:szCs w:val="24"/>
        </w:rPr>
        <w:t xml:space="preserve">因未及时下载而造成的不利后果</w:t>
      </w:r>
      <w:r>
        <w:rPr>
          <w:sz w:val="24"/>
          <w:szCs w:val="24"/>
        </w:rPr>
        <w:t xml:space="preserve">由成交</w:t>
      </w:r>
      <w:r>
        <w:rPr>
          <w:sz w:val="24"/>
          <w:szCs w:val="24"/>
        </w:rPr>
        <w:t xml:space="preserve">供应商自行承担。</w:t>
      </w:r>
      <w:r/>
    </w:p>
    <w:p>
      <w:pPr>
        <w:ind w:firstLine="480"/>
        <w:spacing w:line="360" w:lineRule="auto"/>
        <w:rPr>
          <w:sz w:val="24"/>
          <w:szCs w:val="24"/>
        </w:rPr>
      </w:pPr>
      <w:r>
        <w:rPr>
          <w:sz w:val="24"/>
          <w:szCs w:val="24"/>
        </w:rPr>
        <w:t xml:space="preserve">30.2 </w:t>
      </w:r>
      <w:r>
        <w:rPr>
          <w:sz w:val="24"/>
          <w:szCs w:val="24"/>
        </w:rPr>
        <w:t xml:space="preserve">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20" w:after="120" w:line="360" w:lineRule="auto"/>
        <w:rPr>
          <w:b/>
          <w:bCs/>
          <w:sz w:val="32"/>
          <w:szCs w:val="32"/>
        </w:rPr>
        <w:outlineLvl w:val="2"/>
      </w:pPr>
      <w:r/>
      <w:bookmarkStart w:id="165" w:name="_Toc120614220"/>
      <w:r/>
      <w:bookmarkStart w:id="166" w:name="_Toc513029236"/>
      <w:r/>
      <w:bookmarkStart w:id="167" w:name="_Toc20823308"/>
      <w:r/>
      <w:bookmarkStart w:id="168" w:name="_Toc16938552"/>
      <w:r>
        <w:rPr>
          <w:b/>
          <w:bCs/>
          <w:sz w:val="32"/>
          <w:szCs w:val="32"/>
        </w:rPr>
        <w:t xml:space="preserve">七、授予合同</w:t>
      </w:r>
      <w:bookmarkEnd w:id="165"/>
      <w:r/>
      <w:r/>
    </w:p>
    <w:p>
      <w:pPr>
        <w:ind w:firstLine="600"/>
        <w:keepLines/>
        <w:keepNext/>
        <w:spacing w:line="360" w:lineRule="auto"/>
        <w:rPr>
          <w:rFonts w:eastAsia="黑体"/>
          <w:bCs/>
          <w:sz w:val="30"/>
          <w:szCs w:val="30"/>
        </w:rPr>
        <w:outlineLvl w:val="3"/>
      </w:pPr>
      <w:r/>
      <w:bookmarkStart w:id="169" w:name="_Toc20823309"/>
      <w:r/>
      <w:bookmarkStart w:id="170" w:name="_Toc16938553"/>
      <w:r/>
      <w:bookmarkStart w:id="171" w:name="_Toc513029237"/>
      <w:r/>
      <w:bookmarkEnd w:id="166"/>
      <w:r/>
      <w:bookmarkEnd w:id="167"/>
      <w:r/>
      <w:bookmarkEnd w:id="168"/>
      <w:r>
        <w:rPr>
          <w:rFonts w:eastAsia="黑体"/>
          <w:bCs/>
          <w:sz w:val="30"/>
          <w:szCs w:val="30"/>
        </w:rPr>
        <w:t xml:space="preserve">31</w:t>
      </w:r>
      <w:r>
        <w:rPr>
          <w:rFonts w:hint="eastAsia" w:eastAsia="黑体"/>
          <w:bCs/>
          <w:sz w:val="30"/>
          <w:szCs w:val="30"/>
        </w:rPr>
        <w:t xml:space="preserve">、</w:t>
      </w:r>
      <w:r>
        <w:rPr>
          <w:rFonts w:eastAsia="黑体"/>
          <w:bCs/>
          <w:sz w:val="30"/>
          <w:szCs w:val="30"/>
        </w:rPr>
        <w:t xml:space="preserve">签订合同</w:t>
      </w:r>
      <w:r/>
    </w:p>
    <w:p>
      <w:pPr>
        <w:ind w:firstLine="480"/>
        <w:spacing w:line="360" w:lineRule="auto"/>
        <w:rPr>
          <w:sz w:val="24"/>
          <w:szCs w:val="24"/>
        </w:rPr>
      </w:pPr>
      <w:r>
        <w:rPr>
          <w:bCs/>
          <w:sz w:val="24"/>
          <w:szCs w:val="24"/>
        </w:rPr>
        <w:t xml:space="preserve">31</w:t>
      </w:r>
      <w:r>
        <w:rPr>
          <w:sz w:val="24"/>
          <w:szCs w:val="24"/>
        </w:rPr>
        <w:t xml:space="preserve">.l </w:t>
      </w:r>
      <w:r>
        <w:rPr>
          <w:sz w:val="24"/>
          <w:szCs w:val="24"/>
        </w:rPr>
        <w:t xml:space="preserve">成交供应商应当在成交通知书发出之日起三十日内，按照磋商文件确定的事项与采购人签订政府采购合同。</w:t>
      </w:r>
      <w:r/>
    </w:p>
    <w:p>
      <w:pPr>
        <w:ind w:firstLine="480"/>
        <w:spacing w:line="360" w:lineRule="auto"/>
        <w:rPr>
          <w:sz w:val="24"/>
          <w:szCs w:val="24"/>
        </w:rPr>
      </w:pPr>
      <w:r>
        <w:rPr>
          <w:sz w:val="24"/>
          <w:szCs w:val="24"/>
        </w:rPr>
        <w:t xml:space="preserve">31.2 </w:t>
      </w:r>
      <w:r>
        <w:rPr>
          <w:sz w:val="24"/>
          <w:szCs w:val="24"/>
        </w:rPr>
        <w:t xml:space="preserve">磋商文件、成交供应商的响应文件及磋商过程中有关澄清、承诺文件均应作为合同附件。</w:t>
      </w:r>
      <w:r/>
    </w:p>
    <w:p>
      <w:pPr>
        <w:ind w:firstLine="480"/>
        <w:spacing w:line="360" w:lineRule="auto"/>
        <w:rPr>
          <w:sz w:val="24"/>
          <w:szCs w:val="24"/>
        </w:rPr>
      </w:pPr>
      <w:r>
        <w:rPr>
          <w:sz w:val="24"/>
          <w:szCs w:val="24"/>
        </w:rPr>
        <w:t xml:space="preserve">31.3 </w:t>
      </w:r>
      <w:r>
        <w:rPr>
          <w:sz w:val="24"/>
          <w:szCs w:val="24"/>
        </w:rPr>
        <w:t xml:space="preserve">签订合同后，</w:t>
      </w:r>
      <w:r>
        <w:rPr>
          <w:i/>
          <w:sz w:val="24"/>
          <w:szCs w:val="24"/>
          <w:u w:val="single"/>
        </w:rPr>
        <w:t xml:space="preserve">经采购人同意后，成交供应商可采用分包形式履行合同</w:t>
      </w:r>
      <w:r>
        <w:rPr>
          <w:sz w:val="24"/>
          <w:szCs w:val="24"/>
        </w:rPr>
        <w:t xml:space="preserve">,</w:t>
      </w:r>
      <w:r>
        <w:rPr>
          <w:sz w:val="24"/>
          <w:szCs w:val="24"/>
        </w:rPr>
        <w:t xml:space="preserve">否则采购人有权终止合同。转包或分包造成采购人损失的，成交供应商应承担相应赔偿责任。</w:t>
      </w:r>
      <w:r/>
    </w:p>
    <w:p>
      <w:pPr>
        <w:ind w:firstLine="600"/>
        <w:keepLines/>
        <w:keepNext/>
        <w:spacing w:line="360" w:lineRule="auto"/>
        <w:rPr>
          <w:rFonts w:eastAsia="黑体"/>
          <w:bCs/>
          <w:sz w:val="30"/>
          <w:szCs w:val="30"/>
        </w:rPr>
        <w:outlineLvl w:val="3"/>
      </w:pPr>
      <w:r>
        <w:rPr>
          <w:rFonts w:eastAsia="黑体"/>
          <w:bCs/>
          <w:sz w:val="30"/>
          <w:szCs w:val="30"/>
        </w:rPr>
        <w:t xml:space="preserve">32</w:t>
      </w:r>
      <w:r>
        <w:rPr>
          <w:rFonts w:eastAsia="黑体"/>
          <w:bCs/>
          <w:sz w:val="30"/>
          <w:szCs w:val="30"/>
        </w:rPr>
        <w:t xml:space="preserve">、标的物的追加</w:t>
      </w:r>
      <w:r/>
    </w:p>
    <w:p>
      <w:pPr>
        <w:ind w:firstLine="480"/>
        <w:spacing w:line="360" w:lineRule="auto"/>
        <w:rPr>
          <w:sz w:val="24"/>
          <w:szCs w:val="24"/>
        </w:rPr>
      </w:pPr>
      <w:r>
        <w:rPr>
          <w:sz w:val="24"/>
          <w:szCs w:val="24"/>
        </w:rPr>
        <w:t xml:space="preserve">32.1 </w:t>
      </w:r>
      <w:r>
        <w:rPr>
          <w:sz w:val="24"/>
          <w:szCs w:val="24"/>
        </w:rPr>
        <w:t xml:space="preserve">政府采购合同履行中，采购人需追加与合同标的相同的货物、服务（包含与货物相关的服务及与服务相关的货物）的，在不改变合同其他条款的前提下，可以与</w:t>
      </w:r>
      <w:r>
        <w:rPr>
          <w:sz w:val="24"/>
          <w:szCs w:val="24"/>
        </w:rPr>
        <w:t xml:space="preserve">成交供应商协商签订补充合同，但所有补充合同的采购金额不超过原合同金额</w:t>
      </w:r>
      <w:r>
        <w:rPr>
          <w:sz w:val="24"/>
          <w:szCs w:val="24"/>
        </w:rPr>
        <w:t xml:space="preserve">10%</w:t>
      </w:r>
      <w:r>
        <w:rPr>
          <w:sz w:val="24"/>
          <w:szCs w:val="24"/>
        </w:rPr>
        <w:t xml:space="preserve">。</w:t>
      </w:r>
      <w:bookmarkEnd w:id="169"/>
      <w:r/>
      <w:bookmarkEnd w:id="170"/>
      <w:r/>
      <w:bookmarkEnd w:id="171"/>
      <w:r/>
      <w:r/>
    </w:p>
    <w:p>
      <w:pPr>
        <w:ind w:firstLine="600"/>
        <w:keepLines/>
        <w:keepNext/>
        <w:spacing w:line="360" w:lineRule="auto"/>
        <w:rPr>
          <w:rFonts w:eastAsia="黑体"/>
          <w:bCs/>
          <w:sz w:val="30"/>
          <w:szCs w:val="30"/>
        </w:rPr>
        <w:outlineLvl w:val="3"/>
      </w:pPr>
      <w:r>
        <w:rPr>
          <w:rFonts w:eastAsia="黑体"/>
          <w:bCs/>
          <w:sz w:val="30"/>
          <w:szCs w:val="30"/>
        </w:rPr>
        <w:t xml:space="preserve">33</w:t>
      </w:r>
      <w:r>
        <w:rPr>
          <w:rFonts w:eastAsia="黑体"/>
          <w:bCs/>
          <w:sz w:val="30"/>
          <w:szCs w:val="30"/>
        </w:rPr>
        <w:t xml:space="preserve">、</w:t>
      </w:r>
      <w:r>
        <w:rPr>
          <w:rFonts w:hint="eastAsia" w:eastAsia="黑体"/>
          <w:bCs/>
          <w:sz w:val="30"/>
          <w:szCs w:val="30"/>
        </w:rPr>
        <w:t xml:space="preserve">需要执行的政府采购政策（包括但不限于）</w:t>
      </w:r>
      <w:r/>
    </w:p>
    <w:p>
      <w:pPr>
        <w:ind w:firstLine="482"/>
        <w:spacing w:line="480" w:lineRule="exact"/>
        <w:rPr>
          <w:rFonts w:ascii="宋体" w:hAnsi="宋体"/>
          <w:b/>
          <w:sz w:val="24"/>
          <w:szCs w:val="24"/>
        </w:rPr>
      </w:pPr>
      <w:r>
        <w:rPr>
          <w:rFonts w:hint="eastAsia" w:ascii="宋体" w:hAnsi="宋体"/>
          <w:b/>
          <w:sz w:val="24"/>
          <w:szCs w:val="24"/>
        </w:rPr>
        <w:t xml:space="preserve">33.1</w:t>
      </w:r>
      <w:r>
        <w:rPr>
          <w:rFonts w:hint="eastAsia" w:ascii="宋体" w:hAnsi="宋体"/>
          <w:b/>
          <w:sz w:val="24"/>
          <w:szCs w:val="24"/>
        </w:rPr>
        <w:t xml:space="preserve">履约资金扶持政策</w:t>
      </w:r>
      <w:r/>
    </w:p>
    <w:p>
      <w:pPr>
        <w:ind w:firstLine="482"/>
        <w:spacing w:line="480" w:lineRule="exact"/>
        <w:tabs>
          <w:tab w:val="left" w:pos="1381" w:leader="none"/>
        </w:tabs>
        <w:rPr>
          <w:rFonts w:ascii="宋体" w:hAnsi="宋体" w:cs="宋体"/>
          <w:sz w:val="24"/>
          <w:szCs w:val="24"/>
          <w:lang w:val="zh-TW" w:bidi="ar"/>
        </w:rPr>
      </w:pPr>
      <w:r>
        <w:rPr>
          <w:rFonts w:hint="eastAsia" w:ascii="宋体" w:hAnsi="宋体" w:cs="宋体"/>
          <w:sz w:val="24"/>
          <w:szCs w:val="24"/>
          <w:lang w:val="zh-TW" w:bidi="ar"/>
        </w:rPr>
        <w:t xml:space="preserve">根据《常州市财政局</w:t>
      </w:r>
      <w:r>
        <w:rPr>
          <w:rFonts w:hint="eastAsia" w:ascii="宋体" w:hAnsi="宋体" w:cs="宋体"/>
          <w:sz w:val="24"/>
          <w:szCs w:val="24"/>
          <w:lang w:val="zh-TW" w:bidi="ar"/>
        </w:rPr>
        <w:t xml:space="preserve"> </w:t>
      </w:r>
      <w:r>
        <w:rPr>
          <w:rFonts w:hint="eastAsia" w:ascii="宋体" w:hAnsi="宋体" w:cs="宋体"/>
          <w:sz w:val="24"/>
          <w:szCs w:val="24"/>
          <w:lang w:val="zh-TW" w:bidi="ar"/>
        </w:rPr>
        <w:t xml:space="preserve">中国人民银行常州市中心支行关于进一步推进政府采购信用融资工作的通知》（</w:t>
      </w:r>
      <w:r>
        <w:rPr>
          <w:rFonts w:hint="eastAsia" w:ascii="宋体" w:hAnsi="宋体" w:cs="宋体"/>
          <w:sz w:val="24"/>
          <w:szCs w:val="24"/>
          <w:lang w:val="zh-TW" w:bidi="ar"/>
        </w:rPr>
        <w:t xml:space="preserve">常财购</w:t>
      </w:r>
      <w:r>
        <w:rPr>
          <w:rFonts w:hint="eastAsia" w:ascii="宋体" w:hAnsi="宋体" w:cs="宋体"/>
          <w:sz w:val="24"/>
          <w:szCs w:val="24"/>
          <w:lang w:val="zh-TW" w:bidi="ar"/>
        </w:rPr>
        <w:t xml:space="preserve">〔</w:t>
      </w:r>
      <w:r>
        <w:rPr>
          <w:rFonts w:hint="eastAsia" w:ascii="宋体" w:hAnsi="宋体" w:cs="宋体"/>
          <w:sz w:val="24"/>
          <w:szCs w:val="24"/>
          <w:lang w:val="zh-TW" w:bidi="ar"/>
        </w:rPr>
        <w:t xml:space="preserve">2021</w:t>
      </w:r>
      <w:r>
        <w:rPr>
          <w:rFonts w:hint="eastAsia" w:ascii="宋体" w:hAnsi="宋体" w:cs="宋体"/>
          <w:sz w:val="24"/>
          <w:szCs w:val="24"/>
          <w:lang w:val="zh-TW" w:bidi="ar"/>
        </w:rPr>
        <w:t xml:space="preserve">〕</w:t>
      </w:r>
      <w:r>
        <w:rPr>
          <w:rFonts w:hint="eastAsia" w:ascii="宋体" w:hAnsi="宋体" w:cs="宋体"/>
          <w:sz w:val="24"/>
          <w:szCs w:val="24"/>
          <w:lang w:val="zh-TW" w:bidi="ar"/>
        </w:rPr>
        <w:t xml:space="preserve">13</w:t>
      </w:r>
      <w:r>
        <w:rPr>
          <w:rFonts w:hint="eastAsia" w:ascii="宋体" w:hAnsi="宋体" w:cs="宋体"/>
          <w:sz w:val="24"/>
          <w:szCs w:val="24"/>
          <w:lang w:val="zh-TW" w:bidi="ar"/>
        </w:rPr>
        <w:t xml:space="preserve">号）等有关文件精神，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w:t>
      </w:r>
      <w:r>
        <w:rPr>
          <w:rFonts w:hint="eastAsia" w:ascii="宋体" w:hAnsi="宋体" w:cs="宋体"/>
          <w:sz w:val="24"/>
          <w:szCs w:val="24"/>
          <w:lang w:val="zh-TW" w:bidi="ar"/>
        </w:rPr>
        <w:t xml:space="preserve">府采购网</w:t>
      </w:r>
      <w:r>
        <w:rPr>
          <w:rFonts w:hint="eastAsia" w:ascii="宋体" w:hAnsi="宋体" w:cs="宋体"/>
          <w:sz w:val="24"/>
          <w:szCs w:val="24"/>
          <w:lang w:val="zh-TW" w:bidi="ar"/>
        </w:rPr>
        <w:t xml:space="preserve">--</w:t>
      </w:r>
      <w:r>
        <w:rPr>
          <w:rFonts w:hint="eastAsia" w:ascii="宋体" w:hAnsi="宋体" w:cs="宋体"/>
          <w:sz w:val="24"/>
          <w:szCs w:val="24"/>
          <w:lang w:val="zh-TW" w:bidi="ar"/>
        </w:rPr>
        <w:t xml:space="preserve">政采融资</w:t>
      </w:r>
      <w:r>
        <w:rPr>
          <w:rFonts w:hint="eastAsia" w:ascii="宋体" w:hAnsi="宋体" w:cs="宋体"/>
          <w:sz w:val="24"/>
          <w:szCs w:val="24"/>
          <w:lang w:val="zh-TW" w:bidi="ar"/>
        </w:rPr>
        <w:t xml:space="preserve">平台栏目。</w:t>
      </w:r>
      <w:r/>
    </w:p>
    <w:p>
      <w:pPr>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33.2</w:t>
      </w:r>
      <w:r>
        <w:rPr>
          <w:rFonts w:ascii="宋体" w:hAnsi="宋体"/>
          <w:b/>
          <w:sz w:val="24"/>
          <w:szCs w:val="24"/>
        </w:rPr>
        <w:t xml:space="preserve">进口产品</w:t>
      </w:r>
      <w:r/>
    </w:p>
    <w:p>
      <w:pPr>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w:t>
      </w:r>
      <w:r>
        <w:rPr>
          <w:rFonts w:ascii="宋体" w:hAnsi="宋体"/>
          <w:sz w:val="24"/>
          <w:szCs w:val="24"/>
        </w:rPr>
        <w:t xml:space="preserve">理办法》（财库〔</w:t>
      </w:r>
      <w:r>
        <w:rPr>
          <w:rFonts w:ascii="宋体" w:hAnsi="宋体"/>
          <w:sz w:val="24"/>
          <w:szCs w:val="24"/>
        </w:rPr>
        <w:t xml:space="preserve">2007</w:t>
      </w:r>
      <w:r>
        <w:rPr>
          <w:rFonts w:ascii="宋体" w:hAnsi="宋体"/>
          <w:sz w:val="24"/>
          <w:szCs w:val="24"/>
        </w:rPr>
        <w:t xml:space="preserve">〕</w:t>
      </w:r>
      <w:r>
        <w:rPr>
          <w:rFonts w:ascii="宋体" w:hAnsi="宋体"/>
          <w:sz w:val="24"/>
          <w:szCs w:val="24"/>
        </w:rPr>
        <w:t xml:space="preserve">119</w:t>
      </w:r>
      <w:r>
        <w:rPr>
          <w:rFonts w:ascii="宋体" w:hAnsi="宋体"/>
          <w:sz w:val="24"/>
          <w:szCs w:val="24"/>
        </w:rPr>
        <w:t xml:space="preserve">号文）、《关于政府采购进口产品管理有关问题的通知》（财办库〔</w:t>
      </w:r>
      <w:r>
        <w:rPr>
          <w:rFonts w:ascii="宋体" w:hAnsi="宋体"/>
          <w:sz w:val="24"/>
          <w:szCs w:val="24"/>
        </w:rPr>
        <w:t xml:space="preserve">2008</w:t>
      </w:r>
      <w:r>
        <w:rPr>
          <w:rFonts w:ascii="宋体" w:hAnsi="宋体"/>
          <w:sz w:val="24"/>
          <w:szCs w:val="24"/>
        </w:rPr>
        <w:t xml:space="preserve">〕</w:t>
      </w:r>
      <w:r>
        <w:rPr>
          <w:rFonts w:ascii="宋体" w:hAnsi="宋体"/>
          <w:sz w:val="24"/>
          <w:szCs w:val="24"/>
        </w:rPr>
        <w:t xml:space="preserve">248</w:t>
      </w:r>
      <w:r>
        <w:rPr>
          <w:rFonts w:ascii="宋体" w:hAnsi="宋体"/>
          <w:sz w:val="24"/>
          <w:szCs w:val="24"/>
        </w:rPr>
        <w:t xml:space="preserve">号文）。</w:t>
      </w:r>
      <w:r/>
    </w:p>
    <w:p>
      <w:pPr>
        <w:ind w:firstLine="482"/>
        <w:spacing w:line="480" w:lineRule="exact"/>
        <w:rPr>
          <w:rFonts w:ascii="宋体" w:hAnsi="宋体"/>
          <w:b/>
          <w:sz w:val="24"/>
          <w:szCs w:val="24"/>
        </w:rPr>
      </w:pPr>
      <w:r>
        <w:rPr>
          <w:rFonts w:hint="eastAsia" w:ascii="宋体" w:hAnsi="宋体"/>
          <w:b/>
          <w:sz w:val="24"/>
          <w:szCs w:val="24"/>
        </w:rPr>
        <w:t xml:space="preserve">33.3</w:t>
      </w:r>
      <w:r>
        <w:rPr>
          <w:rFonts w:ascii="宋体" w:hAnsi="宋体"/>
          <w:b/>
          <w:sz w:val="24"/>
          <w:szCs w:val="24"/>
        </w:rPr>
        <w:t xml:space="preserve">中小企业、监狱企业及残疾人福利性单位</w:t>
      </w:r>
      <w:r/>
    </w:p>
    <w:p>
      <w:pPr>
        <w:ind w:firstLine="480"/>
        <w:spacing w:line="480" w:lineRule="exact"/>
        <w:rPr>
          <w:rFonts w:ascii="宋体" w:hAnsi="宋体"/>
          <w:sz w:val="24"/>
          <w:szCs w:val="24"/>
        </w:rPr>
      </w:pPr>
      <w:r>
        <w:rPr>
          <w:rFonts w:hint="eastAsia" w:ascii="宋体" w:hAnsi="宋体"/>
          <w:sz w:val="24"/>
          <w:szCs w:val="24"/>
        </w:rPr>
        <w:t xml:space="preserve">33.3.1</w:t>
      </w:r>
      <w:r>
        <w:rPr>
          <w:rFonts w:ascii="宋体" w:hAnsi="宋体"/>
          <w:sz w:val="24"/>
          <w:szCs w:val="24"/>
        </w:rPr>
        <w:t xml:space="preserve">中小企业定义：</w:t>
      </w:r>
      <w:r/>
    </w:p>
    <w:p>
      <w:pPr>
        <w:ind w:firstLine="480"/>
        <w:spacing w:line="480" w:lineRule="exact"/>
        <w:rPr>
          <w:rFonts w:ascii="宋体" w:hAnsi="宋体"/>
          <w:sz w:val="24"/>
          <w:szCs w:val="24"/>
        </w:rPr>
      </w:pPr>
      <w:r>
        <w:rPr>
          <w:rFonts w:ascii="宋体" w:hAnsi="宋体"/>
          <w:sz w:val="24"/>
          <w:szCs w:val="24"/>
        </w:rPr>
        <w:t xml:space="preserve">中小企业是指在中华人民共和国境内依法设立，依据国务院批准的中小企业划分标准确定的中型企业、小型企业和微型企业，但与大企业的负责人为同一人，</w:t>
      </w:r>
      <w:r>
        <w:rPr>
          <w:rFonts w:ascii="宋体" w:hAnsi="宋体"/>
          <w:sz w:val="24"/>
          <w:szCs w:val="24"/>
        </w:rPr>
        <w:t xml:space="preserve">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rFonts w:ascii="宋体" w:hAnsi="宋体"/>
          <w:sz w:val="24"/>
          <w:szCs w:val="24"/>
        </w:rPr>
        <w:t xml:space="preserve">2020</w:t>
      </w:r>
      <w:r>
        <w:rPr>
          <w:rFonts w:ascii="宋体" w:hAnsi="宋体"/>
          <w:sz w:val="24"/>
          <w:szCs w:val="24"/>
        </w:rPr>
        <w:t xml:space="preserve">〕</w:t>
      </w:r>
      <w:r>
        <w:rPr>
          <w:rFonts w:ascii="宋体" w:hAnsi="宋体"/>
          <w:sz w:val="24"/>
          <w:szCs w:val="24"/>
        </w:rPr>
        <w:t xml:space="preserve">46</w:t>
      </w:r>
      <w:r>
        <w:rPr>
          <w:rFonts w:ascii="宋体" w:hAnsi="宋体"/>
          <w:sz w:val="24"/>
          <w:szCs w:val="24"/>
        </w:rPr>
        <w:t xml:space="preserve">号）、《关于印发中小企业划型标准规定的通知》（工信部联企业〔</w:t>
      </w:r>
      <w:r>
        <w:rPr>
          <w:rFonts w:ascii="宋体" w:hAnsi="宋体"/>
          <w:sz w:val="24"/>
          <w:szCs w:val="24"/>
        </w:rPr>
        <w:t xml:space="preserve">2011</w:t>
      </w:r>
      <w:r>
        <w:rPr>
          <w:rFonts w:ascii="宋体" w:hAnsi="宋体"/>
          <w:sz w:val="24"/>
          <w:szCs w:val="24"/>
        </w:rPr>
        <w:t xml:space="preserve">〕</w:t>
      </w:r>
      <w:r>
        <w:rPr>
          <w:rFonts w:ascii="宋体" w:hAnsi="宋体"/>
          <w:sz w:val="24"/>
          <w:szCs w:val="24"/>
        </w:rPr>
        <w:t xml:space="preserve">300 </w:t>
      </w:r>
      <w:r>
        <w:rPr>
          <w:rFonts w:ascii="宋体" w:hAnsi="宋体"/>
          <w:sz w:val="24"/>
          <w:szCs w:val="24"/>
        </w:rPr>
        <w:t xml:space="preserve">号）、《国务院关于进一步促进中小企业发展的若干意见》（国发〔</w:t>
      </w:r>
      <w:r>
        <w:rPr>
          <w:rFonts w:ascii="宋体" w:hAnsi="宋体"/>
          <w:sz w:val="24"/>
          <w:szCs w:val="24"/>
        </w:rPr>
        <w:t xml:space="preserve">2009</w:t>
      </w:r>
      <w:r>
        <w:rPr>
          <w:rFonts w:ascii="宋体" w:hAnsi="宋体"/>
          <w:sz w:val="24"/>
          <w:szCs w:val="24"/>
        </w:rPr>
        <w:t xml:space="preserve">〕</w:t>
      </w:r>
      <w:r>
        <w:rPr>
          <w:rFonts w:ascii="宋体" w:hAnsi="宋体"/>
          <w:sz w:val="24"/>
          <w:szCs w:val="24"/>
        </w:rPr>
        <w:t xml:space="preserve">36 </w:t>
      </w:r>
      <w:r>
        <w:rPr>
          <w:rFonts w:ascii="宋体" w:hAnsi="宋体"/>
          <w:sz w:val="24"/>
          <w:szCs w:val="24"/>
        </w:rPr>
        <w:t xml:space="preserve">号）。</w:t>
      </w:r>
      <w:r/>
    </w:p>
    <w:p>
      <w:pPr>
        <w:ind w:firstLine="480"/>
        <w:spacing w:line="480" w:lineRule="exact"/>
        <w:rPr>
          <w:rFonts w:ascii="宋体" w:hAnsi="宋体"/>
          <w:sz w:val="24"/>
          <w:szCs w:val="24"/>
        </w:rPr>
      </w:pPr>
      <w:r>
        <w:rPr>
          <w:rFonts w:hint="eastAsia" w:ascii="宋体" w:hAnsi="宋体"/>
          <w:sz w:val="24"/>
          <w:szCs w:val="24"/>
        </w:rPr>
        <w:t xml:space="preserve">33.3.2</w:t>
      </w:r>
      <w:r>
        <w:rPr>
          <w:rFonts w:ascii="宋体" w:hAnsi="宋体"/>
          <w:sz w:val="24"/>
          <w:szCs w:val="24"/>
        </w:rPr>
        <w:t xml:space="preserve">供应商提供的货物、工程或者服务符合下列情形的，享受中小企业扶持政策：</w:t>
      </w:r>
      <w:r/>
    </w:p>
    <w:p>
      <w:pPr>
        <w:ind w:firstLine="480"/>
        <w:spacing w:line="480" w:lineRule="exact"/>
        <w:rPr>
          <w:rFonts w:ascii="宋体" w:hAnsi="宋体"/>
          <w:sz w:val="24"/>
          <w:szCs w:val="24"/>
        </w:rPr>
      </w:pPr>
      <w:r>
        <w:rPr>
          <w:rFonts w:hint="eastAsia" w:ascii="宋体" w:hAnsi="宋体"/>
          <w:sz w:val="24"/>
          <w:szCs w:val="24"/>
        </w:rPr>
        <w:t xml:space="preserve">33.3.2.1</w:t>
      </w:r>
      <w:r>
        <w:rPr>
          <w:rFonts w:ascii="宋体" w:hAnsi="宋体"/>
          <w:sz w:val="24"/>
          <w:szCs w:val="24"/>
        </w:rPr>
        <w:t xml:space="preserve">在货物采购项目中，货物由中小企业制造，即货物由中小企业生产且使用该中小企业商号或者注册商标；</w:t>
      </w:r>
      <w:r/>
    </w:p>
    <w:p>
      <w:pPr>
        <w:ind w:firstLine="480"/>
        <w:spacing w:line="480" w:lineRule="exact"/>
        <w:rPr>
          <w:rFonts w:ascii="宋体" w:hAnsi="宋体"/>
          <w:sz w:val="24"/>
          <w:szCs w:val="24"/>
        </w:rPr>
      </w:pPr>
      <w:r>
        <w:rPr>
          <w:rFonts w:hint="eastAsia" w:ascii="宋体" w:hAnsi="宋体"/>
          <w:sz w:val="24"/>
          <w:szCs w:val="24"/>
        </w:rPr>
        <w:t xml:space="preserve">33.3.2.2</w:t>
      </w:r>
      <w:r>
        <w:rPr>
          <w:rFonts w:ascii="宋体" w:hAnsi="宋体"/>
          <w:sz w:val="24"/>
          <w:szCs w:val="24"/>
        </w:rPr>
        <w:t xml:space="preserve">在工程采购项目中，工程由中小企业承建，即工程施工单位为中小企业；</w:t>
      </w:r>
      <w:r/>
    </w:p>
    <w:p>
      <w:pPr>
        <w:ind w:firstLine="480"/>
        <w:spacing w:line="480" w:lineRule="exact"/>
        <w:rPr>
          <w:rFonts w:ascii="宋体" w:hAnsi="宋体"/>
          <w:sz w:val="24"/>
          <w:szCs w:val="24"/>
        </w:rPr>
      </w:pPr>
      <w:r>
        <w:rPr>
          <w:rFonts w:hint="eastAsia" w:ascii="宋体" w:hAnsi="宋体"/>
          <w:sz w:val="24"/>
          <w:szCs w:val="24"/>
        </w:rPr>
        <w:t xml:space="preserve">33.3.2.3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ind w:firstLine="480"/>
        <w:spacing w:line="480" w:lineRule="exact"/>
        <w:rPr>
          <w:rFonts w:ascii="宋体" w:hAnsi="宋体"/>
          <w:sz w:val="24"/>
          <w:szCs w:val="24"/>
        </w:rPr>
      </w:pPr>
      <w:r>
        <w:rPr>
          <w:rFonts w:hint="eastAsia" w:ascii="宋体" w:hAnsi="宋体"/>
          <w:sz w:val="24"/>
          <w:szCs w:val="24"/>
        </w:rPr>
        <w:t xml:space="preserve">33.3.3</w:t>
      </w:r>
      <w:r>
        <w:rPr>
          <w:rFonts w:ascii="宋体" w:hAnsi="宋体"/>
          <w:sz w:val="24"/>
          <w:szCs w:val="24"/>
        </w:rPr>
        <w:t xml:space="preserve">在货物采购项目中，供应商提供的货物既有中小企业制造货物，也有大型企业制造货物的，不享受中小企业扶持政</w:t>
      </w:r>
      <w:r>
        <w:rPr>
          <w:rFonts w:ascii="宋体" w:hAnsi="宋体"/>
          <w:sz w:val="24"/>
          <w:szCs w:val="24"/>
        </w:rPr>
        <w:t xml:space="preserve">策。</w:t>
      </w:r>
      <w:r/>
    </w:p>
    <w:p>
      <w:pPr>
        <w:ind w:firstLine="480"/>
        <w:spacing w:line="480" w:lineRule="exact"/>
        <w:rPr>
          <w:rFonts w:ascii="宋体" w:hAnsi="宋体"/>
          <w:sz w:val="24"/>
          <w:szCs w:val="24"/>
        </w:rPr>
      </w:pPr>
      <w:r>
        <w:rPr>
          <w:rFonts w:hint="eastAsia" w:ascii="宋体" w:hAnsi="宋体"/>
          <w:sz w:val="24"/>
          <w:szCs w:val="24"/>
        </w:rPr>
        <w:t xml:space="preserve">33.3.4</w:t>
      </w:r>
      <w:r>
        <w:rPr>
          <w:rFonts w:ascii="宋体" w:hAnsi="宋体"/>
          <w:sz w:val="24"/>
          <w:szCs w:val="24"/>
        </w:rPr>
        <w:t xml:space="preserve">以联合体形</w:t>
      </w:r>
      <w:r>
        <w:rPr>
          <w:rFonts w:ascii="宋体" w:hAnsi="宋体"/>
          <w:sz w:val="24"/>
          <w:szCs w:val="24"/>
        </w:rPr>
        <w:t xml:space="preserve">式参加</w:t>
      </w:r>
      <w:r>
        <w:rPr>
          <w:rFonts w:ascii="宋体" w:hAnsi="宋体"/>
          <w:sz w:val="24"/>
          <w:szCs w:val="24"/>
        </w:rPr>
        <w:t xml:space="preserve">政府采购活动，联合体各方均为中小企业的，联合体视同中小企业。其中，联合体各方均为小</w:t>
      </w:r>
      <w:r>
        <w:rPr>
          <w:rFonts w:ascii="宋体" w:hAnsi="宋体"/>
          <w:sz w:val="24"/>
          <w:szCs w:val="24"/>
        </w:rPr>
        <w:t xml:space="preserve">微企业</w:t>
      </w:r>
      <w:r>
        <w:rPr>
          <w:rFonts w:ascii="宋体" w:hAnsi="宋体"/>
          <w:sz w:val="24"/>
          <w:szCs w:val="24"/>
        </w:rPr>
        <w:t xml:space="preserve">的，联合体视同小微企业。</w:t>
      </w:r>
      <w:r/>
    </w:p>
    <w:p>
      <w:pPr>
        <w:ind w:firstLine="480"/>
        <w:spacing w:line="480" w:lineRule="exact"/>
        <w:rPr>
          <w:rFonts w:ascii="宋体" w:hAnsi="宋体"/>
          <w:sz w:val="24"/>
          <w:szCs w:val="24"/>
        </w:rPr>
      </w:pPr>
      <w:r>
        <w:rPr>
          <w:rFonts w:hint="eastAsia" w:ascii="宋体" w:hAnsi="宋体"/>
          <w:sz w:val="24"/>
          <w:szCs w:val="24"/>
        </w:rPr>
        <w:t xml:space="preserve">33.3.5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80" w:lineRule="exact"/>
        <w:rPr>
          <w:rFonts w:ascii="宋体" w:hAnsi="宋体"/>
          <w:sz w:val="24"/>
          <w:szCs w:val="24"/>
        </w:rPr>
      </w:pPr>
      <w:r>
        <w:rPr>
          <w:rFonts w:hint="eastAsia" w:ascii="宋体" w:hAnsi="宋体"/>
          <w:sz w:val="24"/>
          <w:szCs w:val="24"/>
        </w:rPr>
        <w:t xml:space="preserve">33.3.6</w:t>
      </w:r>
      <w:r>
        <w:rPr>
          <w:rFonts w:ascii="宋体" w:hAnsi="宋体"/>
          <w:sz w:val="24"/>
          <w:szCs w:val="24"/>
        </w:rPr>
        <w:t xml:space="preserve">残疾人福利单位定义：享受政府采购支持政策的残疾人福利性单位应当</w:t>
      </w:r>
      <w:r>
        <w:rPr>
          <w:rFonts w:ascii="宋体" w:hAnsi="宋体"/>
          <w:sz w:val="24"/>
          <w:szCs w:val="24"/>
        </w:rPr>
        <w:t xml:space="preserve">同时满足以下条件：</w:t>
      </w:r>
      <w:r/>
    </w:p>
    <w:p>
      <w:pPr>
        <w:ind w:firstLine="480"/>
        <w:spacing w:line="480" w:lineRule="exact"/>
        <w:rPr>
          <w:rFonts w:ascii="宋体" w:hAnsi="宋体"/>
          <w:sz w:val="24"/>
          <w:szCs w:val="24"/>
        </w:rPr>
      </w:pPr>
      <w:r>
        <w:rPr>
          <w:rFonts w:hint="eastAsia" w:ascii="宋体" w:hAnsi="宋体"/>
          <w:sz w:val="24"/>
          <w:szCs w:val="24"/>
        </w:rPr>
        <w:t xml:space="preserve">33.3.6.1</w:t>
      </w:r>
      <w:r>
        <w:rPr>
          <w:rFonts w:ascii="宋体" w:hAnsi="宋体"/>
          <w:sz w:val="24"/>
          <w:szCs w:val="24"/>
        </w:rPr>
        <w:t xml:space="preserve">安置的残疾人占本单位在职职工人数的比例不低于</w:t>
      </w:r>
      <w:r>
        <w:rPr>
          <w:rFonts w:ascii="宋体" w:hAnsi="宋体"/>
          <w:sz w:val="24"/>
          <w:szCs w:val="24"/>
        </w:rPr>
        <w:t xml:space="preserve">25%</w:t>
      </w:r>
      <w:r>
        <w:rPr>
          <w:rFonts w:ascii="宋体" w:hAnsi="宋体"/>
          <w:sz w:val="24"/>
          <w:szCs w:val="24"/>
        </w:rPr>
        <w:t xml:space="preserve">（含</w:t>
      </w:r>
      <w:r>
        <w:rPr>
          <w:rFonts w:ascii="宋体" w:hAnsi="宋体"/>
          <w:sz w:val="24"/>
          <w:szCs w:val="24"/>
        </w:rPr>
        <w:t xml:space="preserve">25%</w:t>
      </w:r>
      <w:r>
        <w:rPr>
          <w:rFonts w:ascii="宋体" w:hAnsi="宋体"/>
          <w:sz w:val="24"/>
          <w:szCs w:val="24"/>
        </w:rPr>
        <w:t xml:space="preserve">），并且安置的残疾人人数不少于</w:t>
      </w:r>
      <w:r>
        <w:rPr>
          <w:rFonts w:ascii="宋体" w:hAnsi="宋体"/>
          <w:sz w:val="24"/>
          <w:szCs w:val="24"/>
        </w:rPr>
        <w:t xml:space="preserve">10 </w:t>
      </w:r>
      <w:r>
        <w:rPr>
          <w:rFonts w:ascii="宋体" w:hAnsi="宋体"/>
          <w:sz w:val="24"/>
          <w:szCs w:val="24"/>
        </w:rPr>
        <w:t xml:space="preserve">人（含</w:t>
      </w:r>
      <w:r>
        <w:rPr>
          <w:rFonts w:ascii="宋体" w:hAnsi="宋体"/>
          <w:sz w:val="24"/>
          <w:szCs w:val="24"/>
        </w:rPr>
        <w:t xml:space="preserve">10 </w:t>
      </w:r>
      <w:r>
        <w:rPr>
          <w:rFonts w:ascii="宋体" w:hAnsi="宋体"/>
          <w:sz w:val="24"/>
          <w:szCs w:val="24"/>
        </w:rPr>
        <w:t xml:space="preserve">人）；</w:t>
      </w:r>
      <w:r/>
    </w:p>
    <w:p>
      <w:pPr>
        <w:ind w:firstLine="480"/>
        <w:spacing w:line="480" w:lineRule="exact"/>
        <w:rPr>
          <w:rFonts w:ascii="宋体" w:hAnsi="宋体"/>
          <w:sz w:val="24"/>
          <w:szCs w:val="24"/>
        </w:rPr>
      </w:pPr>
      <w:r>
        <w:rPr>
          <w:rFonts w:hint="eastAsia" w:ascii="宋体" w:hAnsi="宋体"/>
          <w:sz w:val="24"/>
          <w:szCs w:val="24"/>
        </w:rPr>
        <w:t xml:space="preserve">33.3.6.2</w:t>
      </w:r>
      <w:r>
        <w:rPr>
          <w:rFonts w:ascii="宋体" w:hAnsi="宋体"/>
          <w:sz w:val="24"/>
          <w:szCs w:val="24"/>
        </w:rPr>
        <w:t xml:space="preserve">依法与安置的每位残疾人签订了一年以上（含一年）的劳动合同或服务协议；</w:t>
      </w:r>
      <w:r/>
    </w:p>
    <w:p>
      <w:pPr>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ind w:firstLine="480"/>
        <w:spacing w:line="480" w:lineRule="exact"/>
        <w:rPr>
          <w:rFonts w:ascii="宋体" w:hAnsi="宋体"/>
          <w:sz w:val="24"/>
          <w:szCs w:val="24"/>
        </w:rPr>
      </w:pPr>
      <w:r>
        <w:rPr>
          <w:rFonts w:hint="eastAsia" w:ascii="宋体" w:hAnsi="宋体"/>
          <w:sz w:val="24"/>
          <w:szCs w:val="24"/>
        </w:rPr>
        <w:t xml:space="preserve">33.3.6.4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ind w:firstLine="480"/>
        <w:spacing w:line="480" w:lineRule="exact"/>
        <w:rPr>
          <w:rFonts w:ascii="宋体" w:hAnsi="宋体"/>
          <w:sz w:val="24"/>
          <w:szCs w:val="24"/>
        </w:rPr>
      </w:pPr>
      <w:r>
        <w:rPr>
          <w:rFonts w:hint="eastAsia" w:ascii="宋体" w:hAnsi="宋体"/>
          <w:sz w:val="24"/>
          <w:szCs w:val="24"/>
        </w:rPr>
        <w:t xml:space="preserve">33.3.6.5</w:t>
      </w:r>
      <w:r>
        <w:rPr>
          <w:rFonts w:ascii="宋体" w:hAnsi="宋体"/>
          <w:sz w:val="24"/>
          <w:szCs w:val="24"/>
        </w:rPr>
        <w:t xml:space="preserve">提供本</w:t>
      </w:r>
      <w:r>
        <w:rPr>
          <w:rFonts w:ascii="宋体" w:hAnsi="宋体"/>
          <w:sz w:val="24"/>
          <w:szCs w:val="24"/>
        </w:rPr>
        <w:t xml:space="preserve">单位制造的货物、承担的工程或者服务（以下简称产品），或者提供其他残疾人福利性单位制造的货物（不包括使用非残疾人福利性单位注册商标的货物）；</w:t>
      </w:r>
      <w:r/>
    </w:p>
    <w:p>
      <w:pPr>
        <w:ind w:firstLine="480"/>
        <w:spacing w:line="480" w:lineRule="exact"/>
        <w:rPr>
          <w:rFonts w:ascii="宋体" w:hAnsi="宋体"/>
          <w:sz w:val="24"/>
          <w:szCs w:val="24"/>
        </w:rPr>
      </w:pPr>
      <w:r>
        <w:rPr>
          <w:rFonts w:hint="eastAsia" w:ascii="宋体" w:hAnsi="宋体"/>
          <w:sz w:val="24"/>
          <w:szCs w:val="24"/>
        </w:rPr>
        <w:t xml:space="preserve">33.3.6.6</w:t>
      </w:r>
      <w:r>
        <w:rPr>
          <w:rFonts w:ascii="宋体" w:hAnsi="宋体"/>
          <w:sz w:val="24"/>
          <w:szCs w:val="24"/>
        </w:rPr>
        <w:t xml:space="preserve">前款所称残疾人是指法</w:t>
      </w:r>
      <w:r>
        <w:rPr>
          <w:rFonts w:ascii="宋体" w:hAnsi="宋体"/>
          <w:sz w:val="24"/>
          <w:szCs w:val="24"/>
        </w:rPr>
        <w:t xml:space="preserve">定劳动</w:t>
      </w:r>
      <w:r>
        <w:rPr>
          <w:rFonts w:ascii="宋体" w:hAnsi="宋体"/>
          <w:sz w:val="24"/>
          <w:szCs w:val="24"/>
        </w:rPr>
        <w:t xml:space="preserve">年龄内，持有《中华人民共和国残疾人证》或者《中华人民共和国残疾军人证（</w:t>
      </w:r>
      <w:r>
        <w:rPr>
          <w:rFonts w:ascii="宋体" w:hAnsi="宋体"/>
          <w:sz w:val="24"/>
          <w:szCs w:val="24"/>
        </w:rPr>
        <w:t xml:space="preserve">1 </w:t>
      </w:r>
      <w:r>
        <w:rPr>
          <w:rFonts w:ascii="宋体" w:hAnsi="宋体"/>
          <w:sz w:val="24"/>
          <w:szCs w:val="24"/>
        </w:rPr>
        <w:t xml:space="preserve">至</w:t>
      </w:r>
      <w:r>
        <w:rPr>
          <w:rFonts w:ascii="宋体" w:hAnsi="宋体"/>
          <w:sz w:val="24"/>
          <w:szCs w:val="24"/>
        </w:rPr>
        <w:t xml:space="preserve">8 </w:t>
      </w:r>
      <w:r>
        <w:rPr>
          <w:rFonts w:ascii="宋体" w:hAnsi="宋体"/>
          <w:sz w:val="24"/>
          <w:szCs w:val="24"/>
        </w:rPr>
        <w:t xml:space="preserve">级）》的自然人，包括具有劳动条件和劳动意愿的精神残疾人。在职职工人数是指与残疾人福利性单位建立劳动关系并依法签订劳动合同或服务协议的雇员人数。</w:t>
      </w:r>
      <w:r/>
    </w:p>
    <w:p>
      <w:pPr>
        <w:ind w:firstLine="480"/>
        <w:spacing w:line="480" w:lineRule="exact"/>
        <w:rPr>
          <w:rFonts w:ascii="宋体" w:hAnsi="宋体"/>
          <w:sz w:val="24"/>
          <w:szCs w:val="24"/>
        </w:rPr>
      </w:pPr>
      <w:r>
        <w:rPr>
          <w:rFonts w:hint="eastAsia" w:ascii="宋体" w:hAnsi="宋体"/>
          <w:sz w:val="24"/>
          <w:szCs w:val="24"/>
        </w:rPr>
        <w:t xml:space="preserve">33.3.7</w:t>
      </w:r>
      <w:r>
        <w:rPr>
          <w:rFonts w:ascii="宋体" w:hAnsi="宋体"/>
          <w:sz w:val="24"/>
          <w:szCs w:val="24"/>
        </w:rPr>
        <w:t xml:space="preserve">本项目是否专门面向中小企业预留采购份额见第一章《投标邀请》。</w:t>
      </w:r>
      <w:r/>
    </w:p>
    <w:p>
      <w:pPr>
        <w:ind w:firstLine="480"/>
        <w:spacing w:line="480" w:lineRule="exact"/>
        <w:rPr>
          <w:rFonts w:ascii="宋体" w:hAnsi="宋体"/>
          <w:sz w:val="24"/>
          <w:szCs w:val="24"/>
        </w:rPr>
      </w:pPr>
      <w:r>
        <w:rPr>
          <w:rFonts w:hint="eastAsia" w:ascii="宋体" w:hAnsi="宋体"/>
          <w:sz w:val="24"/>
          <w:szCs w:val="24"/>
        </w:rPr>
        <w:t xml:space="preserve">33.3.8</w:t>
      </w:r>
      <w:r>
        <w:rPr>
          <w:rFonts w:ascii="宋体" w:hAnsi="宋体"/>
          <w:sz w:val="24"/>
          <w:szCs w:val="24"/>
        </w:rPr>
        <w:t xml:space="preserve">采购标的对应的中小企</w:t>
      </w:r>
      <w:r>
        <w:rPr>
          <w:rFonts w:ascii="宋体" w:hAnsi="宋体"/>
          <w:sz w:val="24"/>
          <w:szCs w:val="24"/>
        </w:rPr>
        <w:t xml:space="preserve">业划分标准所属行业见第四章《</w:t>
      </w:r>
      <w:r>
        <w:rPr>
          <w:rFonts w:hint="eastAsia" w:ascii="宋体" w:hAnsi="宋体"/>
          <w:sz w:val="24"/>
          <w:szCs w:val="24"/>
        </w:rPr>
        <w:t xml:space="preserve">采购需求</w:t>
      </w:r>
      <w:r>
        <w:rPr>
          <w:rFonts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33.3.9</w:t>
      </w:r>
      <w:r>
        <w:rPr>
          <w:rFonts w:ascii="宋体" w:hAnsi="宋体"/>
          <w:sz w:val="24"/>
          <w:szCs w:val="24"/>
        </w:rPr>
        <w:t xml:space="preserve">小</w:t>
      </w:r>
      <w:r>
        <w:rPr>
          <w:rFonts w:ascii="宋体" w:hAnsi="宋体"/>
          <w:sz w:val="24"/>
          <w:szCs w:val="24"/>
        </w:rPr>
        <w:t xml:space="preserve">微企业</w:t>
      </w:r>
      <w:r>
        <w:rPr>
          <w:rFonts w:ascii="宋体" w:hAnsi="宋体"/>
          <w:sz w:val="24"/>
          <w:szCs w:val="24"/>
        </w:rPr>
        <w:t xml:space="preserve">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ind w:firstLine="482"/>
        <w:spacing w:line="480" w:lineRule="exact"/>
        <w:rPr>
          <w:rFonts w:ascii="宋体" w:hAnsi="宋体"/>
          <w:b/>
          <w:sz w:val="24"/>
          <w:szCs w:val="24"/>
        </w:rPr>
      </w:pPr>
      <w:r>
        <w:rPr>
          <w:rFonts w:hint="eastAsia" w:ascii="宋体" w:hAnsi="宋体"/>
          <w:b/>
          <w:sz w:val="24"/>
          <w:szCs w:val="24"/>
        </w:rPr>
        <w:t xml:space="preserve">33.4</w:t>
      </w:r>
      <w:r>
        <w:rPr>
          <w:rFonts w:ascii="宋体" w:hAnsi="宋体"/>
          <w:b/>
          <w:sz w:val="24"/>
          <w:szCs w:val="24"/>
        </w:rPr>
        <w:t xml:space="preserve">政府采购节能产品、环境标志产品</w:t>
      </w:r>
      <w:r/>
    </w:p>
    <w:p>
      <w:pPr>
        <w:ind w:firstLine="480"/>
        <w:spacing w:line="480" w:lineRule="exact"/>
        <w:rPr>
          <w:rFonts w:ascii="宋体" w:hAnsi="宋体"/>
          <w:sz w:val="24"/>
          <w:szCs w:val="24"/>
        </w:rPr>
      </w:pPr>
      <w:r>
        <w:rPr>
          <w:rFonts w:hint="eastAsia" w:ascii="宋体" w:hAnsi="宋体"/>
          <w:sz w:val="24"/>
          <w:szCs w:val="24"/>
        </w:rPr>
        <w:t xml:space="preserve">33.4.1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480" w:lineRule="exact"/>
        <w:rPr>
          <w:rFonts w:ascii="宋体" w:hAnsi="宋体"/>
          <w:sz w:val="24"/>
          <w:szCs w:val="24"/>
        </w:rPr>
      </w:pPr>
      <w:r>
        <w:rPr>
          <w:rFonts w:hint="eastAsia" w:ascii="宋体" w:hAnsi="宋体"/>
          <w:sz w:val="24"/>
          <w:szCs w:val="24"/>
        </w:rPr>
        <w:t xml:space="preserve">33.4.2</w:t>
      </w:r>
      <w:r>
        <w:rPr>
          <w:rFonts w:ascii="宋体" w:hAnsi="宋体"/>
          <w:sz w:val="24"/>
          <w:szCs w:val="24"/>
        </w:rPr>
        <w:t xml:space="preserve">采购人拟采购的产品属于品目清单范围的，采购人</w:t>
      </w:r>
      <w:r>
        <w:rPr>
          <w:rFonts w:ascii="宋体" w:hAnsi="宋体"/>
          <w:sz w:val="24"/>
          <w:szCs w:val="24"/>
        </w:rPr>
        <w:t xml:space="preserve">及其委托的采购代理机构依据国家确定的认证机构出具的、处于有效期之内的节能产品、环境</w:t>
      </w:r>
      <w:r>
        <w:rPr>
          <w:rFonts w:ascii="宋体" w:hAnsi="宋体"/>
          <w:sz w:val="24"/>
          <w:szCs w:val="24"/>
        </w:rPr>
        <w:t xml:space="preserve">标志产品认证证书，对获得证书的产品实施政府优先采购或强制采购。关于政府采购节能产品、环境标志产品的相关规定依据《关于调整优化节能产品、环境标志产品政府采购执行机制的通知》（财库〔</w:t>
      </w:r>
      <w:r>
        <w:rPr>
          <w:rFonts w:ascii="宋体" w:hAnsi="宋体"/>
          <w:sz w:val="24"/>
          <w:szCs w:val="24"/>
        </w:rPr>
        <w:t xml:space="preserve">2019</w:t>
      </w:r>
      <w:r>
        <w:rPr>
          <w:rFonts w:ascii="宋体" w:hAnsi="宋体"/>
          <w:sz w:val="24"/>
          <w:szCs w:val="24"/>
        </w:rPr>
        <w:t xml:space="preserve">〕</w:t>
      </w:r>
      <w:r>
        <w:rPr>
          <w:rFonts w:ascii="宋体" w:hAnsi="宋体"/>
          <w:sz w:val="24"/>
          <w:szCs w:val="24"/>
        </w:rPr>
        <w:t xml:space="preserve">9</w:t>
      </w:r>
      <w:r>
        <w:rPr>
          <w:rFonts w:ascii="宋体" w:hAnsi="宋体"/>
          <w:sz w:val="24"/>
          <w:szCs w:val="24"/>
        </w:rPr>
        <w:t xml:space="preserve">号）。</w:t>
      </w:r>
      <w:r>
        <w:rPr>
          <w:rFonts w:ascii="宋体" w:hAnsi="宋体"/>
          <w:sz w:val="24"/>
          <w:szCs w:val="24"/>
        </w:rPr>
        <w:t xml:space="preserve"> </w:t>
      </w:r>
      <w:r/>
    </w:p>
    <w:p>
      <w:pPr>
        <w:ind w:firstLine="480"/>
        <w:spacing w:line="480" w:lineRule="exact"/>
        <w:rPr>
          <w:rFonts w:ascii="宋体" w:hAnsi="宋体"/>
          <w:sz w:val="24"/>
          <w:szCs w:val="24"/>
        </w:rPr>
      </w:pPr>
      <w:r>
        <w:rPr>
          <w:rFonts w:hint="eastAsia" w:ascii="宋体" w:hAnsi="宋体"/>
          <w:sz w:val="24"/>
          <w:szCs w:val="24"/>
        </w:rPr>
        <w:t xml:space="preserve">33.4.2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80" w:lineRule="exact"/>
        <w:rPr>
          <w:rFonts w:ascii="宋体" w:hAnsi="宋体"/>
          <w:sz w:val="24"/>
          <w:szCs w:val="24"/>
        </w:rPr>
      </w:pPr>
      <w:r>
        <w:rPr>
          <w:rFonts w:hint="eastAsia" w:ascii="宋体" w:hAnsi="宋体"/>
          <w:sz w:val="24"/>
          <w:szCs w:val="24"/>
        </w:rPr>
        <w:t xml:space="preserve">33.4.2</w:t>
      </w:r>
      <w:r>
        <w:rPr>
          <w:rFonts w:ascii="宋体" w:hAnsi="宋体"/>
          <w:sz w:val="24"/>
          <w:szCs w:val="24"/>
        </w:rPr>
        <w:t xml:space="preserve">非政府强制采购的节能产品或环境标志产品，依据品</w:t>
      </w:r>
      <w:r>
        <w:rPr>
          <w:rFonts w:ascii="宋体" w:hAnsi="宋体"/>
          <w:sz w:val="24"/>
          <w:szCs w:val="24"/>
        </w:rPr>
        <w:t xml:space="preserve">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p>
    <w:p>
      <w:pPr>
        <w:ind w:firstLine="482"/>
        <w:spacing w:line="480" w:lineRule="exact"/>
        <w:rPr>
          <w:rFonts w:ascii="宋体" w:hAnsi="宋体"/>
          <w:b/>
          <w:sz w:val="24"/>
          <w:szCs w:val="24"/>
        </w:rPr>
      </w:pPr>
      <w:r>
        <w:rPr>
          <w:rFonts w:hint="eastAsia" w:ascii="宋体" w:hAnsi="宋体"/>
          <w:b/>
          <w:sz w:val="24"/>
          <w:szCs w:val="24"/>
        </w:rPr>
        <w:t xml:space="preserve">33.5</w:t>
      </w:r>
      <w:r>
        <w:rPr>
          <w:rFonts w:hint="eastAsia" w:ascii="宋体" w:hAnsi="宋体"/>
          <w:b/>
          <w:sz w:val="24"/>
          <w:szCs w:val="24"/>
        </w:rPr>
        <w:t xml:space="preserve">绿色包装</w:t>
      </w:r>
      <w:r/>
    </w:p>
    <w:p>
      <w:pPr>
        <w:ind w:firstLine="480"/>
        <w:spacing w:line="480" w:lineRule="exact"/>
        <w:rPr>
          <w:rFonts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w:t>
      </w:r>
      <w:r>
        <w:rPr>
          <w:rFonts w:ascii="宋体" w:hAnsi="宋体"/>
          <w:sz w:val="24"/>
          <w:szCs w:val="24"/>
        </w:rPr>
        <w:t xml:space="preserve">2020</w:t>
      </w:r>
      <w:r>
        <w:rPr>
          <w:rFonts w:ascii="宋体" w:hAnsi="宋体"/>
          <w:sz w:val="24"/>
          <w:szCs w:val="24"/>
        </w:rPr>
        <w:t xml:space="preserve">〕</w:t>
      </w:r>
      <w:r>
        <w:rPr>
          <w:rFonts w:ascii="宋体" w:hAnsi="宋体"/>
          <w:sz w:val="24"/>
          <w:szCs w:val="24"/>
        </w:rPr>
        <w:t xml:space="preserve">123</w:t>
      </w:r>
      <w:r>
        <w:rPr>
          <w:rFonts w:ascii="宋体" w:hAnsi="宋体"/>
          <w:sz w:val="24"/>
          <w:szCs w:val="24"/>
        </w:rPr>
        <w:t xml:space="preserve">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80" w:lineRule="exact"/>
        <w:rPr>
          <w:rFonts w:ascii="宋体" w:hAnsi="宋体"/>
          <w:b/>
          <w:sz w:val="24"/>
          <w:szCs w:val="24"/>
        </w:rPr>
      </w:pPr>
      <w:r>
        <w:rPr>
          <w:rFonts w:hint="eastAsia" w:ascii="宋体" w:hAnsi="宋体"/>
          <w:b/>
          <w:sz w:val="24"/>
          <w:szCs w:val="24"/>
        </w:rPr>
        <w:t xml:space="preserve">33.6</w:t>
      </w:r>
      <w:r>
        <w:rPr>
          <w:rFonts w:ascii="宋体" w:hAnsi="宋体"/>
          <w:b/>
          <w:sz w:val="24"/>
          <w:szCs w:val="24"/>
        </w:rPr>
        <w:t xml:space="preserve">支持乡村产业振兴管理</w:t>
      </w:r>
      <w:r/>
    </w:p>
    <w:p>
      <w:pPr>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w:t>
      </w:r>
      <w:r>
        <w:rPr>
          <w:rFonts w:ascii="宋体" w:hAnsi="宋体"/>
          <w:sz w:val="24"/>
          <w:szCs w:val="24"/>
        </w:rPr>
        <w:t xml:space="preserve">2021</w:t>
      </w:r>
      <w:r>
        <w:rPr>
          <w:rFonts w:ascii="宋体" w:hAnsi="宋体"/>
          <w:sz w:val="24"/>
          <w:szCs w:val="24"/>
        </w:rPr>
        <w:t xml:space="preserve">〕</w:t>
      </w:r>
      <w:r>
        <w:rPr>
          <w:rFonts w:ascii="宋体" w:hAnsi="宋体"/>
          <w:sz w:val="24"/>
          <w:szCs w:val="24"/>
        </w:rPr>
        <w:t xml:space="preserve">19</w:t>
      </w:r>
      <w:r>
        <w:rPr>
          <w:rFonts w:ascii="宋体" w:hAnsi="宋体"/>
          <w:sz w:val="24"/>
          <w:szCs w:val="24"/>
        </w:rPr>
        <w:t xml:space="preserve">号）有关要求，做好支持脱贫攻坚工作，本项目采购活动中对于支持乡村振兴管理的相关要求见第五章《采购需求》（如涉及）。</w:t>
      </w:r>
      <w:r/>
    </w:p>
    <w:p>
      <w:pPr>
        <w:ind w:firstLine="482"/>
        <w:spacing w:line="480" w:lineRule="exact"/>
        <w:rPr>
          <w:rFonts w:ascii="宋体" w:hAnsi="宋体"/>
          <w:b/>
          <w:sz w:val="24"/>
          <w:szCs w:val="24"/>
        </w:rPr>
      </w:pPr>
      <w:r>
        <w:rPr>
          <w:rFonts w:hint="eastAsia" w:ascii="宋体" w:hAnsi="宋体"/>
          <w:b/>
          <w:sz w:val="24"/>
          <w:szCs w:val="24"/>
        </w:rPr>
        <w:t xml:space="preserve">33.7</w:t>
      </w:r>
      <w:r>
        <w:rPr>
          <w:rFonts w:ascii="宋体" w:hAnsi="宋体"/>
          <w:b/>
          <w:sz w:val="24"/>
          <w:szCs w:val="24"/>
        </w:rPr>
        <w:t xml:space="preserve">正版软件</w:t>
      </w:r>
      <w:r/>
    </w:p>
    <w:p>
      <w:pPr>
        <w:ind w:firstLine="480"/>
        <w:spacing w:line="480" w:lineRule="exact"/>
        <w:rPr>
          <w:rFonts w:ascii="宋体" w:hAnsi="宋体"/>
          <w:sz w:val="24"/>
          <w:szCs w:val="24"/>
        </w:rPr>
      </w:pPr>
      <w:r>
        <w:rPr>
          <w:rFonts w:hint="eastAsia" w:ascii="宋体" w:hAnsi="宋体"/>
          <w:sz w:val="24"/>
          <w:szCs w:val="24"/>
        </w:rPr>
        <w:t xml:space="preserve">33.7.1</w:t>
      </w:r>
      <w:r>
        <w:rPr>
          <w:rFonts w:ascii="宋体" w:hAnsi="宋体"/>
          <w:sz w:val="24"/>
          <w:szCs w:val="24"/>
        </w:rPr>
        <w:t xml:space="preserve">依据《财政部</w:t>
      </w:r>
      <w:r>
        <w:rPr>
          <w:rFonts w:ascii="宋体" w:hAnsi="宋体"/>
          <w:sz w:val="24"/>
          <w:szCs w:val="24"/>
        </w:rPr>
        <w:t xml:space="preserve"> </w:t>
      </w:r>
      <w:r>
        <w:rPr>
          <w:rFonts w:ascii="宋体" w:hAnsi="宋体"/>
          <w:sz w:val="24"/>
          <w:szCs w:val="24"/>
        </w:rPr>
        <w:t xml:space="preserve">国家发展改革委</w:t>
      </w:r>
      <w:r>
        <w:rPr>
          <w:rFonts w:ascii="宋体" w:hAnsi="宋体"/>
          <w:sz w:val="24"/>
          <w:szCs w:val="24"/>
        </w:rPr>
        <w:t xml:space="preserve"> </w:t>
      </w:r>
      <w:r>
        <w:rPr>
          <w:rFonts w:ascii="宋体" w:hAnsi="宋体"/>
          <w:sz w:val="24"/>
          <w:szCs w:val="24"/>
        </w:rPr>
        <w:t xml:space="preserve">信息产业部关于印发无线局域网产品政府采购实施意见的通知》（财库〔</w:t>
      </w:r>
      <w:r>
        <w:rPr>
          <w:rFonts w:ascii="宋体" w:hAnsi="宋体"/>
          <w:sz w:val="24"/>
          <w:szCs w:val="24"/>
        </w:rPr>
        <w:t xml:space="preserve">2005</w:t>
      </w:r>
      <w:r>
        <w:rPr>
          <w:rFonts w:ascii="宋体" w:hAnsi="宋体"/>
          <w:sz w:val="24"/>
          <w:szCs w:val="24"/>
        </w:rPr>
        <w:t xml:space="preserve">〕</w:t>
      </w:r>
      <w:r>
        <w:rPr>
          <w:rFonts w:ascii="宋体" w:hAnsi="宋体"/>
          <w:sz w:val="24"/>
          <w:szCs w:val="24"/>
        </w:rPr>
        <w:t xml:space="preserve">366 </w:t>
      </w:r>
      <w:r>
        <w:rPr>
          <w:rFonts w:ascii="宋体" w:hAnsi="宋体"/>
          <w:sz w:val="24"/>
          <w:szCs w:val="24"/>
        </w:rPr>
        <w:t xml:space="preserve">号），采购无线局域网产品和含有无线局域网功能的计算机、通信设备、打印机、复印机、投影仪等产品的，优先采购符合国家无线局域网安全标准（</w:t>
      </w:r>
      <w:r>
        <w:rPr>
          <w:rFonts w:ascii="宋体" w:hAnsi="宋体"/>
          <w:sz w:val="24"/>
          <w:szCs w:val="24"/>
        </w:rPr>
        <w:t xml:space="preserve">GB 15629.11/1102</w:t>
      </w:r>
      <w:r>
        <w:rPr>
          <w:rFonts w:ascii="宋体" w:hAnsi="宋体"/>
          <w:sz w:val="24"/>
          <w:szCs w:val="24"/>
        </w:rPr>
        <w:t xml:space="preserve">）并通过国家产品认证的产品。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w:t>
      </w:r>
      <w:r>
        <w:rPr>
          <w:rFonts w:ascii="宋体" w:hAnsi="宋体"/>
          <w:sz w:val="24"/>
          <w:szCs w:val="24"/>
        </w:rPr>
        <w:t xml:space="preserve">优先采购的产品，并以</w:t>
      </w:r>
      <w:r>
        <w:rPr>
          <w:rFonts w:ascii="宋体" w:hAnsi="宋体"/>
          <w:sz w:val="24"/>
          <w:szCs w:val="24"/>
        </w:rPr>
        <w:t xml:space="preserve">“</w:t>
      </w:r>
      <w:r>
        <w:rPr>
          <w:rFonts w:ascii="宋体" w:hAnsi="宋体"/>
          <w:sz w:val="24"/>
          <w:szCs w:val="24"/>
        </w:rPr>
        <w:t xml:space="preserve">无线局域网认证产品政府采购</w:t>
      </w:r>
      <w:r>
        <w:rPr>
          <w:rFonts w:ascii="宋体" w:hAnsi="宋体"/>
          <w:sz w:val="24"/>
          <w:szCs w:val="24"/>
        </w:rPr>
        <w:t xml:space="preserve">清单</w:t>
      </w:r>
      <w:r>
        <w:rPr>
          <w:rFonts w:ascii="宋体" w:hAnsi="宋体"/>
          <w:sz w:val="24"/>
          <w:szCs w:val="24"/>
        </w:rPr>
        <w:t xml:space="preserve">”</w:t>
      </w:r>
      <w:r>
        <w:rPr>
          <w:rFonts w:ascii="宋体" w:hAnsi="宋体"/>
          <w:sz w:val="24"/>
          <w:szCs w:val="24"/>
        </w:rPr>
        <w:t xml:space="preserve">（以下简称清单）的形式公布。清单中新增认证产品厂商和型号，由财政部、国家发展改革委、信息产业部以文件形式确定、公布并适时调整。</w:t>
      </w:r>
      <w:r/>
    </w:p>
    <w:p>
      <w:pPr>
        <w:ind w:firstLine="480"/>
        <w:spacing w:line="480" w:lineRule="exact"/>
        <w:rPr>
          <w:rFonts w:ascii="宋体" w:hAnsi="宋体"/>
          <w:sz w:val="24"/>
          <w:szCs w:val="24"/>
        </w:rPr>
      </w:pPr>
      <w:r>
        <w:rPr>
          <w:rFonts w:hint="eastAsia" w:ascii="宋体" w:hAnsi="宋体"/>
          <w:sz w:val="24"/>
          <w:szCs w:val="24"/>
        </w:rPr>
        <w:t xml:space="preserve">33.7.2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rFonts w:ascii="宋体" w:hAnsi="宋体"/>
          <w:sz w:val="24"/>
          <w:szCs w:val="24"/>
        </w:rPr>
        <w:t xml:space="preserve">2006</w:t>
      </w:r>
      <w:r>
        <w:rPr>
          <w:rFonts w:ascii="宋体" w:hAnsi="宋体"/>
          <w:sz w:val="24"/>
          <w:szCs w:val="24"/>
        </w:rPr>
        <w:t xml:space="preserve">〕</w:t>
      </w:r>
      <w:r>
        <w:rPr>
          <w:rFonts w:ascii="宋体" w:hAnsi="宋体"/>
          <w:sz w:val="24"/>
          <w:szCs w:val="24"/>
        </w:rPr>
        <w:t xml:space="preserve">1 </w:t>
      </w:r>
      <w:r>
        <w:rPr>
          <w:rFonts w:ascii="宋体" w:hAnsi="宋体"/>
          <w:sz w:val="24"/>
          <w:szCs w:val="24"/>
        </w:rPr>
        <w:t xml:space="preserve">号）、《国务院办公厅关于进一步做好政府机关使用正版软件工作的通知》（国办发〔</w:t>
      </w:r>
      <w:r>
        <w:rPr>
          <w:rFonts w:ascii="宋体" w:hAnsi="宋体"/>
          <w:sz w:val="24"/>
          <w:szCs w:val="24"/>
        </w:rPr>
        <w:t xml:space="preserve">2</w:t>
      </w:r>
      <w:r>
        <w:rPr>
          <w:rFonts w:ascii="宋体" w:hAnsi="宋体"/>
          <w:sz w:val="24"/>
          <w:szCs w:val="24"/>
        </w:rPr>
        <w:t xml:space="preserve">010</w:t>
      </w:r>
      <w:r>
        <w:rPr>
          <w:rFonts w:ascii="宋体" w:hAnsi="宋体"/>
          <w:sz w:val="24"/>
          <w:szCs w:val="24"/>
        </w:rPr>
        <w:t xml:space="preserve">〕</w:t>
      </w:r>
      <w:r>
        <w:rPr>
          <w:rFonts w:ascii="宋体" w:hAnsi="宋体"/>
          <w:sz w:val="24"/>
          <w:szCs w:val="24"/>
        </w:rPr>
        <w:t xml:space="preserve">47 </w:t>
      </w:r>
      <w:r>
        <w:rPr>
          <w:rFonts w:ascii="宋体" w:hAnsi="宋体"/>
          <w:sz w:val="24"/>
          <w:szCs w:val="24"/>
        </w:rPr>
        <w:t xml:space="preserve">号）、《财政部关于进一步做好政府机关使用正版软件工作的通知》（财预〔</w:t>
      </w:r>
      <w:r>
        <w:rPr>
          <w:rFonts w:ascii="宋体" w:hAnsi="宋体"/>
          <w:sz w:val="24"/>
          <w:szCs w:val="24"/>
        </w:rPr>
        <w:t xml:space="preserve">2010</w:t>
      </w:r>
      <w:r>
        <w:rPr>
          <w:rFonts w:ascii="宋体" w:hAnsi="宋体"/>
          <w:sz w:val="24"/>
          <w:szCs w:val="24"/>
        </w:rPr>
        <w:t xml:space="preserve">〕</w:t>
      </w:r>
      <w:r>
        <w:rPr>
          <w:rFonts w:ascii="宋体" w:hAnsi="宋体"/>
          <w:sz w:val="24"/>
          <w:szCs w:val="24"/>
        </w:rPr>
        <w:t xml:space="preserve">536 </w:t>
      </w:r>
      <w:r>
        <w:rPr>
          <w:rFonts w:ascii="宋体" w:hAnsi="宋体"/>
          <w:sz w:val="24"/>
          <w:szCs w:val="24"/>
        </w:rPr>
        <w:t xml:space="preserve">号）。</w:t>
      </w:r>
      <w:r/>
    </w:p>
    <w:p>
      <w:pPr>
        <w:ind w:firstLine="482"/>
        <w:spacing w:line="480" w:lineRule="exact"/>
        <w:rPr>
          <w:rFonts w:ascii="宋体" w:hAnsi="宋体"/>
          <w:b/>
          <w:sz w:val="24"/>
          <w:szCs w:val="24"/>
        </w:rPr>
      </w:pPr>
      <w:r>
        <w:rPr>
          <w:rFonts w:hint="eastAsia" w:ascii="宋体" w:hAnsi="宋体"/>
          <w:b/>
          <w:sz w:val="24"/>
          <w:szCs w:val="24"/>
        </w:rPr>
        <w:t xml:space="preserve">33.8</w:t>
      </w:r>
      <w:r>
        <w:rPr>
          <w:rFonts w:hint="eastAsia" w:ascii="宋体" w:hAnsi="宋体"/>
          <w:b/>
          <w:sz w:val="24"/>
          <w:szCs w:val="24"/>
        </w:rPr>
        <w:t xml:space="preserve">政府采购创新产品政策</w:t>
      </w:r>
      <w:r/>
    </w:p>
    <w:p>
      <w:pPr>
        <w:ind w:firstLine="480"/>
        <w:spacing w:line="480" w:lineRule="exact"/>
        <w:rPr>
          <w:rFonts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w:t>
      </w:r>
      <w:r>
        <w:rPr>
          <w:rFonts w:hint="eastAsia" w:ascii="宋体" w:hAnsi="宋体"/>
          <w:sz w:val="24"/>
          <w:szCs w:val="24"/>
        </w:rPr>
        <w:t xml:space="preserve">首购首</w:t>
      </w:r>
      <w:r>
        <w:rPr>
          <w:rFonts w:hint="eastAsia" w:ascii="宋体" w:hAnsi="宋体"/>
          <w:sz w:val="24"/>
          <w:szCs w:val="24"/>
        </w:rPr>
        <w:t xml:space="preserve">用等《目录》的创新产品，上述《目录》</w:t>
      </w:r>
      <w:r>
        <w:rPr>
          <w:rFonts w:hint="eastAsia" w:ascii="宋体" w:hAnsi="宋体"/>
          <w:sz w:val="24"/>
          <w:szCs w:val="24"/>
        </w:rPr>
        <w:t xml:space="preserve">内创新</w:t>
      </w:r>
      <w:r>
        <w:rPr>
          <w:rFonts w:hint="eastAsia" w:ascii="宋体" w:hAnsi="宋体"/>
          <w:sz w:val="24"/>
          <w:szCs w:val="24"/>
        </w:rPr>
        <w:t xml:space="preserve">产品，</w:t>
      </w:r>
      <w:r>
        <w:rPr>
          <w:rFonts w:hint="eastAsia" w:ascii="宋体" w:hAnsi="宋体"/>
          <w:sz w:val="24"/>
          <w:szCs w:val="24"/>
        </w:rPr>
        <w:t xml:space="preserve">自认定</w:t>
      </w:r>
      <w:r>
        <w:rPr>
          <w:rFonts w:hint="eastAsia" w:ascii="宋体" w:hAnsi="宋体"/>
          <w:sz w:val="24"/>
          <w:szCs w:val="24"/>
        </w:rPr>
        <w:t xml:space="preserve">之日起</w:t>
      </w:r>
      <w:r>
        <w:rPr>
          <w:rFonts w:hint="eastAsia" w:ascii="宋体" w:hAnsi="宋体"/>
          <w:sz w:val="24"/>
          <w:szCs w:val="24"/>
        </w:rPr>
        <w:t xml:space="preserve">2</w:t>
      </w:r>
      <w:r>
        <w:rPr>
          <w:rFonts w:hint="eastAsia" w:ascii="宋体" w:hAnsi="宋体"/>
          <w:sz w:val="24"/>
          <w:szCs w:val="24"/>
        </w:rPr>
        <w:t xml:space="preserve">年内视同已具备相应销售业绩，参加政府采购活动</w:t>
      </w:r>
      <w:r>
        <w:rPr>
          <w:rFonts w:hint="eastAsia" w:ascii="宋体" w:hAnsi="宋体"/>
          <w:sz w:val="24"/>
          <w:szCs w:val="24"/>
        </w:rPr>
        <w:t xml:space="preserve">时业绩</w:t>
      </w:r>
      <w:r>
        <w:rPr>
          <w:rFonts w:hint="eastAsia" w:ascii="宋体" w:hAnsi="宋体"/>
          <w:sz w:val="24"/>
          <w:szCs w:val="24"/>
        </w:rPr>
        <w:t xml:space="preserve">分值为满分。（如涉及）</w:t>
      </w:r>
      <w:r/>
    </w:p>
    <w:p>
      <w:pPr>
        <w:ind w:firstLine="482"/>
        <w:spacing w:line="480" w:lineRule="exact"/>
        <w:rPr>
          <w:rFonts w:ascii="宋体" w:hAnsi="宋体"/>
          <w:b/>
          <w:sz w:val="24"/>
          <w:szCs w:val="24"/>
        </w:rPr>
      </w:pPr>
      <w:r>
        <w:rPr>
          <w:rFonts w:hint="eastAsia" w:ascii="宋体" w:hAnsi="宋体"/>
          <w:b/>
          <w:sz w:val="24"/>
          <w:szCs w:val="24"/>
        </w:rPr>
        <w:t xml:space="preserve">33.9</w:t>
      </w:r>
      <w:r>
        <w:rPr>
          <w:rFonts w:hint="eastAsia" w:ascii="宋体" w:hAnsi="宋体"/>
          <w:b/>
          <w:sz w:val="24"/>
          <w:szCs w:val="24"/>
        </w:rPr>
        <w:t xml:space="preserve">绿色数据中心政策</w:t>
      </w:r>
      <w:r>
        <w:rPr>
          <w:rFonts w:hint="eastAsia" w:ascii="宋体" w:hAnsi="宋体"/>
          <w:b/>
          <w:sz w:val="24"/>
          <w:szCs w:val="24"/>
        </w:rPr>
        <w:t xml:space="preserve"> </w:t>
      </w:r>
      <w:r/>
    </w:p>
    <w:p>
      <w:pPr>
        <w:ind w:firstLine="480"/>
        <w:spacing w:line="480" w:lineRule="exact"/>
        <w:rPr>
          <w:rFonts w:ascii="宋体" w:hAnsi="宋体"/>
          <w:sz w:val="24"/>
          <w:szCs w:val="24"/>
        </w:rPr>
      </w:pPr>
      <w:r>
        <w:rPr>
          <w:rFonts w:hint="eastAsia" w:ascii="宋体" w:hAnsi="宋体"/>
          <w:sz w:val="24"/>
          <w:szCs w:val="24"/>
        </w:rPr>
        <w:t xml:space="preserve">依据《绿色数据中心政府采购需求标准（试行）》（财办库〔</w:t>
      </w:r>
      <w:r>
        <w:rPr>
          <w:rFonts w:hint="eastAsia" w:ascii="宋体" w:hAnsi="宋体"/>
          <w:sz w:val="24"/>
          <w:szCs w:val="24"/>
        </w:rPr>
        <w:t xml:space="preserve">2023</w:t>
      </w:r>
      <w:r>
        <w:rPr>
          <w:rFonts w:hint="eastAsia" w:ascii="宋体" w:hAnsi="宋体"/>
          <w:sz w:val="24"/>
          <w:szCs w:val="24"/>
        </w:rPr>
        <w:t xml:space="preserve">〕</w:t>
      </w:r>
      <w:r>
        <w:rPr>
          <w:rFonts w:hint="eastAsia" w:ascii="宋体" w:hAnsi="宋体"/>
          <w:sz w:val="24"/>
          <w:szCs w:val="24"/>
        </w:rPr>
        <w:t xml:space="preserve">7</w:t>
      </w:r>
      <w:r>
        <w:rPr>
          <w:rFonts w:hint="eastAsia" w:ascii="宋体" w:hAnsi="宋体"/>
          <w:sz w:val="24"/>
          <w:szCs w:val="24"/>
        </w:rPr>
        <w:t xml:space="preserve">号）文</w:t>
      </w:r>
      <w:r>
        <w:rPr>
          <w:rFonts w:hint="eastAsia" w:ascii="宋体" w:hAnsi="宋体"/>
          <w:sz w:val="24"/>
          <w:szCs w:val="24"/>
        </w:rPr>
        <w:t xml:space="preserve">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w:t>
      </w:r>
      <w:r>
        <w:rPr>
          <w:rFonts w:hint="eastAsia" w:ascii="宋体" w:hAnsi="宋体"/>
          <w:sz w:val="24"/>
          <w:szCs w:val="24"/>
        </w:rPr>
        <w:t xml:space="preserve">、认证报告。</w:t>
      </w:r>
      <w:r/>
    </w:p>
    <w:p>
      <w:pPr>
        <w:ind w:firstLine="482"/>
        <w:spacing w:line="479" w:lineRule="atLeast"/>
        <w:rPr>
          <w:rFonts w:ascii="宋体" w:hAnsi="宋体" w:cs="宋体"/>
          <w:sz w:val="24"/>
          <w:szCs w:val="24"/>
        </w:rPr>
      </w:pPr>
      <w:r>
        <w:t xml:space="preserve"> </w:t>
      </w:r>
      <w:r>
        <w:rPr>
          <w:rFonts w:hint="eastAsia" w:ascii="宋体" w:hAnsi="宋体" w:cs="宋体"/>
          <w:b/>
          <w:bCs/>
          <w:sz w:val="24"/>
          <w:szCs w:val="24"/>
        </w:rPr>
        <w:t xml:space="preserve">33.10</w:t>
      </w:r>
      <w:r>
        <w:rPr>
          <w:rFonts w:hint="eastAsia" w:ascii="宋体" w:hAnsi="宋体" w:cs="宋体"/>
          <w:b/>
          <w:bCs/>
          <w:sz w:val="24"/>
          <w:szCs w:val="24"/>
        </w:rPr>
        <w:t xml:space="preserve">履约保证金相关政策</w:t>
      </w:r>
      <w:r/>
    </w:p>
    <w:p>
      <w:pPr>
        <w:ind w:firstLine="480"/>
        <w:spacing w:line="479" w:lineRule="atLeast"/>
        <w:rPr>
          <w:rFonts w:ascii="宋体" w:hAnsi="宋体" w:cs="宋体"/>
          <w:sz w:val="24"/>
          <w:szCs w:val="24"/>
        </w:rPr>
      </w:pPr>
      <w:r>
        <w:rPr>
          <w:rFonts w:hint="eastAsia" w:ascii="宋体" w:hAnsi="宋体" w:cs="宋体"/>
          <w:sz w:val="24"/>
          <w:szCs w:val="24"/>
        </w:rPr>
        <w:t xml:space="preserve">根据国家、省、市相关规定，如果采购人根据项目实际情况，确实需要要求中标或者成交供应商提交履约保证金的，履约保证金的数额不得超过政府采购合同金额的</w:t>
      </w:r>
      <w:r>
        <w:rPr>
          <w:rFonts w:hint="eastAsia" w:ascii="宋体" w:hAnsi="宋体" w:cs="宋体"/>
          <w:sz w:val="24"/>
          <w:szCs w:val="24"/>
        </w:rPr>
        <w:t xml:space="preserve">5%</w:t>
      </w:r>
      <w:r>
        <w:rPr>
          <w:rFonts w:hint="eastAsia" w:ascii="宋体" w:hAnsi="宋体" w:cs="宋体"/>
          <w:sz w:val="24"/>
          <w:szCs w:val="24"/>
        </w:rPr>
        <w:t xml:space="preserve">，供应商应当以支票、汇票、本票或者金融机构、担保机构出</w:t>
      </w:r>
      <w:r>
        <w:rPr>
          <w:rFonts w:hint="eastAsia" w:ascii="宋体" w:hAnsi="宋体" w:cs="宋体"/>
          <w:sz w:val="24"/>
          <w:szCs w:val="24"/>
        </w:rPr>
        <w:t xml:space="preserve">具的保函（保险）等非现金形式提交，鼓励优先采用电子履约保函（保险）的形式。</w:t>
      </w:r>
      <w:r/>
    </w:p>
    <w:p>
      <w:pPr>
        <w:ind w:firstLine="480"/>
        <w:spacing w:line="479" w:lineRule="atLeast"/>
        <w:rPr>
          <w:sz w:val="24"/>
          <w:szCs w:val="24"/>
        </w:rPr>
      </w:pPr>
      <w:r>
        <w:rPr>
          <w:rFonts w:hint="eastAsia" w:ascii="宋体" w:hAnsi="宋体" w:cs="宋体"/>
          <w:sz w:val="24"/>
          <w:szCs w:val="24"/>
        </w:rPr>
        <w:t xml:space="preserve">电子履约保函（保险）办理业务流程：江苏省</w:t>
      </w:r>
      <w:r>
        <w:rPr>
          <w:rFonts w:hint="eastAsia" w:ascii="宋体" w:hAnsi="宋体" w:cs="宋体"/>
          <w:sz w:val="24"/>
          <w:szCs w:val="24"/>
        </w:rPr>
        <w:t xml:space="preserve"> </w:t>
      </w:r>
      <w:r>
        <w:rPr>
          <w:rFonts w:hint="eastAsia" w:ascii="宋体" w:hAnsi="宋体" w:cs="宋体"/>
          <w:sz w:val="24"/>
          <w:szCs w:val="24"/>
        </w:rPr>
        <w:t xml:space="preserve">“政府采购电子履约保函（保险）平台”可通过江苏省政府采购网、“苏</w:t>
      </w:r>
      <w:r>
        <w:rPr>
          <w:rFonts w:hint="eastAsia" w:ascii="宋体" w:hAnsi="宋体" w:cs="宋体"/>
          <w:sz w:val="24"/>
          <w:szCs w:val="24"/>
        </w:rPr>
        <w:t xml:space="preserve">采云</w:t>
      </w:r>
      <w:r>
        <w:rPr>
          <w:rFonts w:hint="eastAsia" w:ascii="宋体" w:hAnsi="宋体" w:cs="宋体"/>
          <w:sz w:val="24"/>
          <w:szCs w:val="24"/>
        </w:rPr>
        <w:t xml:space="preserve">”系统链接访问（首次使用需注册，网址：</w:t>
      </w:r>
      <w:r>
        <w:rPr>
          <w:rFonts w:hint="eastAsia" w:ascii="宋体" w:hAnsi="宋体" w:cs="宋体"/>
          <w:sz w:val="24"/>
          <w:szCs w:val="24"/>
        </w:rPr>
        <w:t xml:space="preserve">https://jsdzbh.com/w</w:t>
      </w:r>
      <w:r>
        <w:rPr>
          <w:rFonts w:hint="eastAsia" w:ascii="宋体" w:hAnsi="宋体" w:cs="宋体"/>
          <w:sz w:val="24"/>
          <w:szCs w:val="24"/>
        </w:rPr>
        <w:t xml:space="preserve">ebSite/bHIndex</w:t>
      </w:r>
      <w:r>
        <w:rPr>
          <w:rFonts w:hint="eastAsia" w:ascii="宋体" w:hAnsi="宋体" w:cs="宋体"/>
          <w:sz w:val="24"/>
          <w:szCs w:val="24"/>
        </w:rPr>
        <w:t xml:space="preserve">）。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rPr>
          <w:rFonts w:eastAsia="黑体"/>
          <w:sz w:val="44"/>
          <w:szCs w:val="44"/>
        </w:rPr>
      </w:pPr>
      <w:r>
        <w:rPr>
          <w:rFonts w:eastAsia="黑体"/>
          <w:sz w:val="44"/>
          <w:szCs w:val="44"/>
        </w:rPr>
        <w:br w:type="page" w:clear="all"/>
      </w:r>
      <w:r/>
    </w:p>
    <w:p>
      <w:pPr>
        <w:jc w:val="center"/>
        <w:keepNext/>
        <w:spacing w:before="240" w:after="240"/>
        <w:rPr>
          <w:rFonts w:eastAsia="黑体"/>
          <w:sz w:val="44"/>
          <w:szCs w:val="44"/>
        </w:rPr>
        <w:outlineLvl w:val="0"/>
      </w:pPr>
      <w:r/>
      <w:bookmarkStart w:id="172" w:name="_Toc24317"/>
      <w:r>
        <w:rPr>
          <w:rFonts w:eastAsia="黑体"/>
          <w:sz w:val="44"/>
          <w:szCs w:val="44"/>
        </w:rPr>
        <w:t xml:space="preserve">第三章</w:t>
      </w:r>
      <w:r>
        <w:rPr>
          <w:rFonts w:eastAsia="黑体"/>
          <w:sz w:val="44"/>
          <w:szCs w:val="44"/>
        </w:rPr>
        <w:t xml:space="preserve">  </w:t>
      </w:r>
      <w:r>
        <w:rPr>
          <w:rFonts w:eastAsia="黑体"/>
          <w:sz w:val="44"/>
          <w:szCs w:val="44"/>
        </w:rPr>
        <w:t xml:space="preserve">合同</w:t>
      </w:r>
      <w:bookmarkEnd w:id="46"/>
      <w:r/>
      <w:bookmarkEnd w:id="47"/>
      <w:r/>
      <w:bookmarkEnd w:id="48"/>
      <w:r/>
      <w:bookmarkEnd w:id="49"/>
      <w:r/>
      <w:bookmarkEnd w:id="50"/>
      <w:r>
        <w:rPr>
          <w:rFonts w:eastAsia="黑体"/>
          <w:sz w:val="44"/>
          <w:szCs w:val="44"/>
        </w:rPr>
        <w:t xml:space="preserve">文本</w:t>
      </w:r>
      <w:bookmarkEnd w:id="172"/>
      <w:r/>
      <w:r/>
    </w:p>
    <w:p>
      <w:pPr>
        <w:jc w:val="center"/>
        <w:spacing w:before="156" w:after="156"/>
        <w:rPr>
          <w:b/>
          <w:sz w:val="30"/>
          <w:szCs w:val="21"/>
        </w:rPr>
      </w:pPr>
      <w:r/>
      <w:bookmarkStart w:id="173" w:name="_Hlt16619350"/>
      <w:r/>
      <w:bookmarkStart w:id="174" w:name="_Toc16938590"/>
      <w:r/>
      <w:bookmarkStart w:id="175" w:name="_Toc20823346"/>
      <w:r/>
      <w:bookmarkStart w:id="176" w:name="_Toc120614244"/>
      <w:r/>
      <w:bookmarkStart w:id="177" w:name="_Toc479757211"/>
      <w:r/>
      <w:bookmarkStart w:id="178" w:name="_Toc462564139"/>
      <w:r>
        <w:rPr>
          <w:b/>
          <w:sz w:val="30"/>
          <w:szCs w:val="21"/>
        </w:rPr>
        <w:t xml:space="preserve">主要条款</w:t>
      </w:r>
      <w:r/>
    </w:p>
    <w:p>
      <w:pPr>
        <w:jc w:val="center"/>
        <w:spacing w:before="156" w:after="156"/>
        <w:rPr>
          <w:b/>
          <w:bCs/>
          <w:sz w:val="30"/>
          <w:szCs w:val="20"/>
        </w:rPr>
      </w:pPr>
      <w:r>
        <w:rPr>
          <w:b/>
          <w:sz w:val="30"/>
          <w:szCs w:val="21"/>
        </w:rPr>
        <w:t xml:space="preserve">溧阳市政府采购合同（合同编号）</w:t>
      </w:r>
      <w:r/>
    </w:p>
    <w:p>
      <w:pPr>
        <w:spacing w:line="440" w:lineRule="exact"/>
        <w:rPr>
          <w:sz w:val="24"/>
          <w:szCs w:val="24"/>
        </w:rPr>
      </w:pPr>
      <w:r>
        <w:rPr>
          <w:sz w:val="24"/>
          <w:szCs w:val="24"/>
        </w:rPr>
        <w:t xml:space="preserve">项目名称：</w:t>
      </w:r>
      <w:r>
        <w:rPr>
          <w:sz w:val="24"/>
          <w:szCs w:val="24"/>
        </w:rPr>
        <w:t xml:space="preserve">                                       </w:t>
      </w:r>
      <w:r>
        <w:rPr>
          <w:sz w:val="24"/>
          <w:szCs w:val="24"/>
        </w:rPr>
        <w:t xml:space="preserve">项目编号：</w:t>
      </w:r>
      <w:r/>
    </w:p>
    <w:p>
      <w:pPr>
        <w:spacing w:line="440" w:lineRule="exact"/>
        <w:rPr>
          <w:sz w:val="24"/>
          <w:szCs w:val="24"/>
        </w:rPr>
      </w:pPr>
      <w:r>
        <w:rPr>
          <w:sz w:val="24"/>
          <w:szCs w:val="24"/>
        </w:rPr>
        <w:t xml:space="preserve">甲方：（买方）</w:t>
      </w:r>
      <w:r>
        <w:rPr>
          <w:sz w:val="24"/>
          <w:szCs w:val="24"/>
        </w:rPr>
        <w:t xml:space="preserve">_________</w:t>
      </w:r>
      <w:r/>
    </w:p>
    <w:p>
      <w:pPr>
        <w:spacing w:line="440" w:lineRule="exact"/>
        <w:rPr>
          <w:sz w:val="24"/>
          <w:szCs w:val="24"/>
        </w:rPr>
      </w:pPr>
      <w:r>
        <w:rPr>
          <w:sz w:val="24"/>
          <w:szCs w:val="24"/>
        </w:rPr>
        <w:t xml:space="preserve">乙方：（卖方）</w:t>
      </w:r>
      <w:r>
        <w:rPr>
          <w:sz w:val="24"/>
          <w:szCs w:val="24"/>
        </w:rPr>
        <w:t xml:space="preserve">_________</w:t>
      </w:r>
      <w:r/>
    </w:p>
    <w:p>
      <w:pPr>
        <w:spacing w:line="440" w:lineRule="exact"/>
        <w:rPr>
          <w:b/>
          <w:sz w:val="24"/>
          <w:szCs w:val="24"/>
        </w:rPr>
      </w:pPr>
      <w:r>
        <w:rPr>
          <w:b/>
          <w:sz w:val="24"/>
          <w:szCs w:val="24"/>
        </w:rPr>
        <w:t xml:space="preserve">   </w:t>
      </w:r>
      <w:r>
        <w:rPr>
          <w:sz w:val="24"/>
          <w:szCs w:val="24"/>
        </w:rPr>
        <w:t xml:space="preserve">甲、乙双方根据溧阳市政府采购中心</w:t>
      </w:r>
      <w:r>
        <w:rPr>
          <w:sz w:val="24"/>
          <w:szCs w:val="24"/>
          <w:u w:val="single"/>
        </w:rPr>
        <w:t xml:space="preserve">            </w:t>
      </w:r>
      <w:r>
        <w:rPr>
          <w:sz w:val="24"/>
          <w:szCs w:val="24"/>
        </w:rPr>
        <w:t xml:space="preserve">项目竞争性磋商的结果，签署本合同。</w:t>
      </w:r>
      <w:r/>
    </w:p>
    <w:p>
      <w:pPr>
        <w:spacing w:line="440" w:lineRule="exact"/>
        <w:rPr>
          <w:b/>
          <w:sz w:val="28"/>
          <w:szCs w:val="28"/>
        </w:rPr>
      </w:pPr>
      <w:r>
        <w:rPr>
          <w:b/>
          <w:sz w:val="28"/>
          <w:szCs w:val="28"/>
        </w:rPr>
        <w:t xml:space="preserve">一、合同内容</w:t>
      </w:r>
      <w:r/>
    </w:p>
    <w:p>
      <w:pPr>
        <w:ind w:firstLine="480"/>
        <w:spacing w:line="440" w:lineRule="exact"/>
        <w:rPr>
          <w:sz w:val="24"/>
          <w:szCs w:val="24"/>
        </w:rPr>
      </w:pPr>
      <w:r>
        <w:rPr>
          <w:sz w:val="24"/>
          <w:szCs w:val="24"/>
        </w:rPr>
        <w:t xml:space="preserve">1.1 </w:t>
      </w:r>
      <w:r>
        <w:rPr>
          <w:sz w:val="24"/>
          <w:szCs w:val="24"/>
        </w:rPr>
        <w:t xml:space="preserve">标的名称：</w:t>
      </w:r>
      <w:r/>
    </w:p>
    <w:p>
      <w:pPr>
        <w:ind w:firstLine="480"/>
        <w:spacing w:line="440" w:lineRule="exact"/>
        <w:rPr>
          <w:sz w:val="24"/>
          <w:szCs w:val="24"/>
        </w:rPr>
      </w:pPr>
      <w:r>
        <w:rPr>
          <w:sz w:val="24"/>
          <w:szCs w:val="24"/>
        </w:rPr>
        <w:t xml:space="preserve">1.2 </w:t>
      </w:r>
      <w:r>
        <w:rPr>
          <w:sz w:val="24"/>
          <w:szCs w:val="24"/>
        </w:rPr>
        <w:t xml:space="preserve">标的质量：</w:t>
      </w:r>
      <w:r/>
    </w:p>
    <w:p>
      <w:pPr>
        <w:ind w:firstLine="480"/>
        <w:spacing w:line="440" w:lineRule="exact"/>
        <w:rPr>
          <w:sz w:val="24"/>
          <w:szCs w:val="24"/>
        </w:rPr>
      </w:pPr>
      <w:r>
        <w:rPr>
          <w:sz w:val="24"/>
          <w:szCs w:val="24"/>
        </w:rPr>
        <w:t xml:space="preserve">1.3 </w:t>
      </w:r>
      <w:r>
        <w:rPr>
          <w:sz w:val="24"/>
          <w:szCs w:val="24"/>
        </w:rPr>
        <w:t xml:space="preserve">标的数量（规模）：</w:t>
      </w:r>
      <w:r/>
    </w:p>
    <w:p>
      <w:pPr>
        <w:ind w:firstLine="480"/>
        <w:spacing w:line="440" w:lineRule="exact"/>
        <w:rPr>
          <w:sz w:val="24"/>
          <w:szCs w:val="24"/>
        </w:rPr>
      </w:pPr>
      <w:r>
        <w:rPr>
          <w:sz w:val="24"/>
          <w:szCs w:val="24"/>
        </w:rPr>
        <w:t xml:space="preserve">1.4 </w:t>
      </w:r>
      <w:r>
        <w:rPr>
          <w:sz w:val="24"/>
          <w:szCs w:val="24"/>
        </w:rPr>
        <w:t xml:space="preserve">履行时间（期限）：</w:t>
      </w:r>
      <w:r/>
    </w:p>
    <w:p>
      <w:pPr>
        <w:ind w:firstLine="480"/>
        <w:spacing w:line="440" w:lineRule="exact"/>
        <w:rPr>
          <w:sz w:val="24"/>
          <w:szCs w:val="24"/>
        </w:rPr>
      </w:pPr>
      <w:r>
        <w:rPr>
          <w:sz w:val="24"/>
          <w:szCs w:val="24"/>
        </w:rPr>
        <w:t xml:space="preserve">1.5 </w:t>
      </w:r>
      <w:r>
        <w:rPr>
          <w:sz w:val="24"/>
          <w:szCs w:val="24"/>
        </w:rPr>
        <w:t xml:space="preserve">履行地点：</w:t>
      </w:r>
      <w:r/>
    </w:p>
    <w:p>
      <w:pPr>
        <w:ind w:firstLine="480"/>
        <w:spacing w:line="440" w:lineRule="exact"/>
        <w:rPr>
          <w:sz w:val="24"/>
          <w:szCs w:val="24"/>
        </w:rPr>
      </w:pPr>
      <w:r>
        <w:rPr>
          <w:sz w:val="24"/>
          <w:szCs w:val="24"/>
        </w:rPr>
        <w:t xml:space="preserve">1.6 </w:t>
      </w:r>
      <w:r>
        <w:rPr>
          <w:sz w:val="24"/>
          <w:szCs w:val="24"/>
        </w:rPr>
        <w:t xml:space="preserve">履行方式：</w:t>
      </w:r>
      <w:r/>
    </w:p>
    <w:p>
      <w:pPr>
        <w:spacing w:line="440" w:lineRule="exact"/>
        <w:rPr>
          <w:sz w:val="22"/>
          <w:szCs w:val="24"/>
        </w:rPr>
      </w:pPr>
      <w:r>
        <w:rPr>
          <w:b/>
          <w:sz w:val="28"/>
          <w:szCs w:val="28"/>
        </w:rPr>
        <w:t xml:space="preserve">二、合同金额</w:t>
      </w:r>
      <w:r/>
    </w:p>
    <w:p>
      <w:pPr>
        <w:ind w:firstLine="480"/>
        <w:spacing w:line="440" w:lineRule="exact"/>
        <w:rPr>
          <w:sz w:val="24"/>
          <w:szCs w:val="24"/>
        </w:rPr>
      </w:pPr>
      <w:r>
        <w:rPr>
          <w:sz w:val="24"/>
          <w:szCs w:val="24"/>
        </w:rPr>
        <w:t xml:space="preserve">2.1 </w:t>
      </w:r>
      <w:r>
        <w:rPr>
          <w:sz w:val="24"/>
          <w:szCs w:val="24"/>
        </w:rPr>
        <w:t xml:space="preserve">本合同金额为（大写）：</w:t>
      </w:r>
      <w:r>
        <w:rPr>
          <w:sz w:val="24"/>
          <w:szCs w:val="24"/>
        </w:rPr>
        <w:t xml:space="preserve">____________________________________</w:t>
      </w:r>
      <w:r>
        <w:rPr>
          <w:sz w:val="24"/>
          <w:szCs w:val="24"/>
        </w:rPr>
        <w:t xml:space="preserve">圆（</w:t>
      </w:r>
      <w:r>
        <w:rPr>
          <w:sz w:val="24"/>
          <w:szCs w:val="24"/>
        </w:rPr>
        <w:t xml:space="preserve">_______________</w:t>
      </w:r>
      <w:r>
        <w:rPr>
          <w:sz w:val="24"/>
          <w:szCs w:val="24"/>
        </w:rPr>
        <w:t xml:space="preserve">元）人民币或其他币种。</w:t>
      </w:r>
      <w:r/>
    </w:p>
    <w:p>
      <w:pPr>
        <w:spacing w:line="440" w:lineRule="exact"/>
        <w:rPr>
          <w:b/>
          <w:sz w:val="28"/>
          <w:szCs w:val="28"/>
        </w:rPr>
      </w:pPr>
      <w:r>
        <w:rPr>
          <w:b/>
          <w:sz w:val="28"/>
          <w:szCs w:val="28"/>
        </w:rPr>
        <w:t xml:space="preserve">三、技术资料</w:t>
      </w:r>
      <w:r/>
    </w:p>
    <w:p>
      <w:pPr>
        <w:ind w:firstLine="480"/>
        <w:spacing w:line="440" w:lineRule="exact"/>
        <w:rPr>
          <w:sz w:val="24"/>
          <w:szCs w:val="24"/>
        </w:rPr>
      </w:pPr>
      <w:r>
        <w:rPr>
          <w:sz w:val="24"/>
          <w:szCs w:val="24"/>
        </w:rPr>
        <w:t xml:space="preserve">3.1</w:t>
      </w:r>
      <w:r>
        <w:rPr>
          <w:sz w:val="24"/>
          <w:szCs w:val="24"/>
        </w:rPr>
        <w:t xml:space="preserve">乙方应按磋商文件规定的时间向甲方提供与合同标的有关的技术资料。</w:t>
      </w:r>
      <w:r/>
    </w:p>
    <w:p>
      <w:pPr>
        <w:ind w:firstLine="480"/>
        <w:spacing w:line="440" w:lineRule="exact"/>
        <w:rPr>
          <w:sz w:val="24"/>
          <w:szCs w:val="24"/>
        </w:rPr>
      </w:pPr>
      <w:r>
        <w:rPr>
          <w:sz w:val="24"/>
          <w:szCs w:val="24"/>
        </w:rPr>
        <w:t xml:space="preserve">3.2 </w:t>
      </w:r>
      <w:r>
        <w:rPr>
          <w:sz w:val="24"/>
          <w:szCs w:val="24"/>
        </w:rPr>
        <w:t xml:space="preserve">没有甲方事先书面同意，乙方不得将由甲方提供的有关合同或任何合同条文、规格、计划、图纸、样品或资料提供给与履行本合同无关的任何其他人。即使</w:t>
      </w:r>
      <w:r>
        <w:rPr>
          <w:sz w:val="24"/>
          <w:szCs w:val="24"/>
        </w:rPr>
        <w:t xml:space="preserve">向履行</w:t>
      </w:r>
      <w:r>
        <w:rPr>
          <w:sz w:val="24"/>
          <w:szCs w:val="24"/>
        </w:rPr>
        <w:t xml:space="preserve">本合同有关的人员提供，也应注意保密并限于履行合同的必需范围。</w:t>
      </w:r>
      <w:r/>
    </w:p>
    <w:p>
      <w:pPr>
        <w:spacing w:line="440" w:lineRule="exact"/>
        <w:rPr>
          <w:b/>
          <w:sz w:val="28"/>
          <w:szCs w:val="28"/>
        </w:rPr>
      </w:pPr>
      <w:r>
        <w:rPr>
          <w:b/>
          <w:sz w:val="28"/>
          <w:szCs w:val="28"/>
        </w:rPr>
        <w:t xml:space="preserve">四、知识产权</w:t>
      </w:r>
      <w:r/>
    </w:p>
    <w:p>
      <w:pPr>
        <w:ind w:firstLine="480"/>
        <w:spacing w:line="440" w:lineRule="exact"/>
        <w:rPr>
          <w:sz w:val="24"/>
          <w:szCs w:val="24"/>
        </w:rPr>
      </w:pPr>
      <w:r>
        <w:rPr>
          <w:sz w:val="24"/>
          <w:szCs w:val="24"/>
        </w:rPr>
        <w:t xml:space="preserve">4.1</w:t>
      </w:r>
      <w:r>
        <w:rPr>
          <w:sz w:val="24"/>
          <w:szCs w:val="24"/>
        </w:rPr>
        <w:t xml:space="preserve">乙方应保证甲方在使用、接受本合同标的或其任何</w:t>
      </w:r>
      <w:r>
        <w:rPr>
          <w:sz w:val="24"/>
          <w:szCs w:val="24"/>
        </w:rPr>
        <w:t xml:space="preserve">一部分时不受第三方提出侵犯其专利权、版权、商标权和工业设计权等知识产权的起诉。一旦出现侵权，由乙方负全部责任。</w:t>
      </w:r>
      <w:r/>
    </w:p>
    <w:p>
      <w:pPr>
        <w:spacing w:line="440" w:lineRule="exact"/>
        <w:rPr>
          <w:sz w:val="28"/>
          <w:szCs w:val="28"/>
          <w:u w:val="single"/>
        </w:rPr>
      </w:pPr>
      <w:r>
        <w:rPr>
          <w:b/>
          <w:sz w:val="28"/>
          <w:szCs w:val="28"/>
        </w:rPr>
        <w:t xml:space="preserve">五、产权担保</w:t>
      </w:r>
      <w:r/>
    </w:p>
    <w:p>
      <w:pPr>
        <w:ind w:firstLine="480"/>
        <w:spacing w:line="440" w:lineRule="exact"/>
        <w:rPr>
          <w:sz w:val="24"/>
          <w:szCs w:val="24"/>
          <w:u w:val="single"/>
        </w:rPr>
      </w:pPr>
      <w:r>
        <w:rPr>
          <w:sz w:val="24"/>
          <w:szCs w:val="24"/>
        </w:rPr>
        <w:t xml:space="preserve">5.1 </w:t>
      </w:r>
      <w:r>
        <w:rPr>
          <w:sz w:val="24"/>
          <w:szCs w:val="24"/>
        </w:rPr>
        <w:t xml:space="preserve">乙方保证所交付的合同标的</w:t>
      </w:r>
      <w:r>
        <w:rPr>
          <w:sz w:val="24"/>
          <w:szCs w:val="24"/>
        </w:rPr>
        <w:t xml:space="preserve">的</w:t>
      </w:r>
      <w:r>
        <w:rPr>
          <w:sz w:val="24"/>
          <w:szCs w:val="24"/>
        </w:rPr>
        <w:t xml:space="preserve">所有权完全属于</w:t>
      </w:r>
      <w:r>
        <w:rPr>
          <w:sz w:val="24"/>
          <w:szCs w:val="24"/>
        </w:rPr>
        <w:t xml:space="preserve">乙方且</w:t>
      </w:r>
      <w:r>
        <w:rPr>
          <w:sz w:val="24"/>
          <w:szCs w:val="24"/>
        </w:rPr>
        <w:t xml:space="preserve">无任何抵押、查</w:t>
      </w:r>
      <w:r>
        <w:rPr>
          <w:sz w:val="24"/>
          <w:szCs w:val="24"/>
        </w:rPr>
        <w:t xml:space="preserve">封等产权瑕疵。</w:t>
      </w:r>
      <w:r/>
    </w:p>
    <w:p>
      <w:pPr>
        <w:spacing w:line="440" w:lineRule="exact"/>
        <w:rPr>
          <w:b/>
          <w:sz w:val="28"/>
          <w:szCs w:val="28"/>
        </w:rPr>
      </w:pPr>
      <w:r>
        <w:rPr>
          <w:b/>
          <w:sz w:val="28"/>
          <w:szCs w:val="28"/>
        </w:rPr>
        <w:t xml:space="preserve">六、履约保证金</w:t>
      </w:r>
      <w:r/>
    </w:p>
    <w:p>
      <w:pPr>
        <w:ind w:firstLine="14"/>
        <w:spacing w:line="440" w:lineRule="exact"/>
        <w:rPr>
          <w:sz w:val="24"/>
          <w:szCs w:val="24"/>
        </w:rPr>
      </w:pPr>
      <w:r>
        <w:rPr>
          <w:sz w:val="24"/>
          <w:szCs w:val="24"/>
        </w:rPr>
        <w:t xml:space="preserve">不涉及。</w:t>
      </w:r>
      <w:r/>
    </w:p>
    <w:p>
      <w:pPr>
        <w:spacing w:line="440" w:lineRule="exact"/>
        <w:rPr>
          <w:b/>
          <w:sz w:val="28"/>
          <w:szCs w:val="28"/>
        </w:rPr>
      </w:pPr>
      <w:r>
        <w:rPr>
          <w:b/>
          <w:sz w:val="28"/>
          <w:szCs w:val="28"/>
        </w:rPr>
        <w:t xml:space="preserve">七、合同款项支付</w:t>
      </w:r>
      <w:r/>
    </w:p>
    <w:p>
      <w:pPr>
        <w:ind w:firstLine="480"/>
        <w:spacing w:line="440" w:lineRule="exact"/>
        <w:rPr>
          <w:bCs/>
          <w:sz w:val="24"/>
          <w:szCs w:val="24"/>
        </w:rPr>
      </w:pPr>
      <w:r>
        <w:rPr>
          <w:rFonts w:hint="eastAsia"/>
          <w:bCs/>
          <w:sz w:val="24"/>
          <w:szCs w:val="24"/>
        </w:rPr>
        <w:t xml:space="preserve">合同签订经甲方确认后，支付合同价款的</w:t>
      </w:r>
      <w:r>
        <w:rPr>
          <w:rFonts w:hint="eastAsia"/>
          <w:bCs/>
          <w:sz w:val="24"/>
          <w:szCs w:val="24"/>
        </w:rPr>
        <w:t xml:space="preserve">30%</w:t>
      </w:r>
      <w:r>
        <w:rPr>
          <w:rFonts w:hint="eastAsia"/>
          <w:bCs/>
          <w:sz w:val="24"/>
          <w:szCs w:val="24"/>
        </w:rPr>
        <w:t xml:space="preserve">作为预付款，项目验收合格，余款经审计后一次性付清</w:t>
      </w:r>
      <w:r>
        <w:rPr>
          <w:rFonts w:hint="eastAsia" w:ascii="宋体" w:hAnsi="宋体" w:cs="宋体"/>
          <w:sz w:val="24"/>
          <w:szCs w:val="21"/>
        </w:rPr>
        <w:t xml:space="preserve">。</w:t>
      </w:r>
      <w:r/>
    </w:p>
    <w:p>
      <w:pPr>
        <w:spacing w:line="440" w:lineRule="exact"/>
        <w:rPr>
          <w:rFonts w:eastAsia="仿宋_GB2312"/>
          <w:b/>
          <w:sz w:val="28"/>
          <w:szCs w:val="28"/>
        </w:rPr>
      </w:pPr>
      <w:r>
        <w:rPr>
          <w:b/>
          <w:sz w:val="28"/>
          <w:szCs w:val="28"/>
        </w:rPr>
        <w:t xml:space="preserve">八、税费</w:t>
      </w:r>
      <w:r/>
    </w:p>
    <w:p>
      <w:pPr>
        <w:ind w:firstLine="480"/>
        <w:spacing w:line="440" w:lineRule="exact"/>
        <w:rPr>
          <w:rFonts w:eastAsia="仿宋_GB2312"/>
          <w:sz w:val="24"/>
          <w:szCs w:val="24"/>
        </w:rPr>
      </w:pPr>
      <w:r>
        <w:rPr>
          <w:sz w:val="24"/>
          <w:szCs w:val="24"/>
        </w:rPr>
        <w:t xml:space="preserve">8.1</w:t>
      </w:r>
      <w:r>
        <w:rPr>
          <w:sz w:val="24"/>
          <w:szCs w:val="24"/>
        </w:rPr>
        <w:t xml:space="preserve">本合同执行中相关的一切税费均由乙方负担。</w:t>
      </w:r>
      <w:r/>
    </w:p>
    <w:p>
      <w:pPr>
        <w:spacing w:line="440" w:lineRule="exact"/>
        <w:rPr>
          <w:b/>
          <w:sz w:val="28"/>
          <w:szCs w:val="28"/>
        </w:rPr>
      </w:pPr>
      <w:r>
        <w:rPr>
          <w:b/>
          <w:sz w:val="28"/>
          <w:szCs w:val="28"/>
        </w:rPr>
        <w:t xml:space="preserve">九、项目验收</w:t>
      </w:r>
      <w:r/>
    </w:p>
    <w:p>
      <w:pPr>
        <w:ind w:firstLine="480"/>
        <w:spacing w:line="440" w:lineRule="exact"/>
        <w:rPr>
          <w:sz w:val="24"/>
          <w:szCs w:val="24"/>
        </w:rPr>
      </w:pPr>
      <w:r>
        <w:rPr>
          <w:sz w:val="24"/>
          <w:szCs w:val="24"/>
        </w:rPr>
        <w:t xml:space="preserve">9.1 </w:t>
      </w:r>
      <w:r>
        <w:rPr>
          <w:sz w:val="24"/>
          <w:szCs w:val="24"/>
        </w:rPr>
        <w:t xml:space="preserve">甲方依法组织履约验收工作。</w:t>
      </w:r>
      <w:r/>
    </w:p>
    <w:p>
      <w:pPr>
        <w:ind w:firstLine="480"/>
        <w:spacing w:line="440" w:lineRule="exact"/>
        <w:rPr>
          <w:sz w:val="24"/>
          <w:szCs w:val="24"/>
        </w:rPr>
      </w:pPr>
      <w:r>
        <w:rPr>
          <w:sz w:val="24"/>
          <w:szCs w:val="24"/>
        </w:rPr>
        <w:t xml:space="preserve">9.2 </w:t>
      </w:r>
      <w:r>
        <w:rPr>
          <w:sz w:val="24"/>
          <w:szCs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40" w:lineRule="exact"/>
        <w:rPr>
          <w:sz w:val="24"/>
          <w:szCs w:val="24"/>
        </w:rPr>
      </w:pPr>
      <w:r>
        <w:rPr>
          <w:sz w:val="24"/>
          <w:szCs w:val="24"/>
        </w:rPr>
        <w:t xml:space="preserve">9.3 </w:t>
      </w:r>
      <w:r>
        <w:rPr>
          <w:sz w:val="24"/>
          <w:szCs w:val="24"/>
        </w:rPr>
        <w:t xml:space="preserve">对于实际使用人和甲方分离的项目，甲方邀请实际使用人参与验收。</w:t>
      </w:r>
      <w:r/>
    </w:p>
    <w:p>
      <w:pPr>
        <w:ind w:firstLine="480"/>
        <w:spacing w:line="440" w:lineRule="exact"/>
        <w:rPr>
          <w:sz w:val="24"/>
          <w:szCs w:val="24"/>
        </w:rPr>
      </w:pPr>
      <w:r>
        <w:rPr>
          <w:sz w:val="24"/>
          <w:szCs w:val="24"/>
        </w:rPr>
        <w:t xml:space="preserve">9.4 </w:t>
      </w:r>
      <w:r>
        <w:rPr>
          <w:sz w:val="24"/>
          <w:szCs w:val="24"/>
        </w:rPr>
        <w:t xml:space="preserve">如有必要，甲方邀请参加本项目的其他供应商或第三</w:t>
      </w:r>
      <w:r>
        <w:rPr>
          <w:sz w:val="24"/>
          <w:szCs w:val="24"/>
        </w:rPr>
        <w:t xml:space="preserve">方专业</w:t>
      </w:r>
      <w:r>
        <w:rPr>
          <w:sz w:val="24"/>
          <w:szCs w:val="24"/>
        </w:rPr>
        <w:t xml:space="preserve">机构及专家参与验收，相关意见将作为</w:t>
      </w:r>
      <w:r>
        <w:rPr>
          <w:sz w:val="24"/>
          <w:szCs w:val="24"/>
        </w:rPr>
        <w:t xml:space="preserve">验收书</w:t>
      </w:r>
      <w:r>
        <w:rPr>
          <w:sz w:val="24"/>
          <w:szCs w:val="24"/>
        </w:rPr>
        <w:t xml:space="preserve">的参考资料。</w:t>
      </w:r>
      <w:r/>
    </w:p>
    <w:p>
      <w:pPr>
        <w:ind w:firstLine="480"/>
        <w:spacing w:line="440" w:lineRule="exact"/>
        <w:rPr>
          <w:sz w:val="24"/>
          <w:szCs w:val="24"/>
        </w:rPr>
      </w:pPr>
      <w:r>
        <w:rPr>
          <w:sz w:val="24"/>
          <w:szCs w:val="24"/>
        </w:rPr>
        <w:t xml:space="preserve">9.5 </w:t>
      </w:r>
      <w:r>
        <w:rPr>
          <w:sz w:val="24"/>
          <w:szCs w:val="24"/>
        </w:rPr>
        <w:t xml:space="preserve">甲方成立验收小组，按照采购合同的约定对乙方的履约情况进行验收。验收时</w:t>
      </w:r>
      <w:r>
        <w:rPr>
          <w:sz w:val="24"/>
          <w:szCs w:val="24"/>
        </w:rPr>
        <w:t xml:space="preserve">,</w:t>
      </w:r>
      <w:r>
        <w:rPr>
          <w:sz w:val="24"/>
          <w:szCs w:val="24"/>
        </w:rPr>
        <w:t xml:space="preserve">甲方按照采购合同的约定对每一项技术</w:t>
      </w:r>
      <w:r>
        <w:rPr>
          <w:sz w:val="24"/>
          <w:szCs w:val="24"/>
        </w:rPr>
        <w:t xml:space="preserve">、服务、安全标准的履约情况进行确认。验收结束后</w:t>
      </w:r>
      <w:r>
        <w:rPr>
          <w:sz w:val="24"/>
          <w:szCs w:val="24"/>
        </w:rPr>
        <w:t xml:space="preserve">,</w:t>
      </w:r>
      <w:r>
        <w:rPr>
          <w:sz w:val="24"/>
          <w:szCs w:val="24"/>
        </w:rPr>
        <w:t xml:space="preserve">验收小组出具</w:t>
      </w:r>
      <w:r>
        <w:rPr>
          <w:sz w:val="24"/>
          <w:szCs w:val="24"/>
        </w:rPr>
        <w:t xml:space="preserve">验收书</w:t>
      </w:r>
      <w:r>
        <w:rPr>
          <w:sz w:val="24"/>
          <w:szCs w:val="24"/>
        </w:rPr>
        <w:t xml:space="preserve">,</w:t>
      </w:r>
      <w:r>
        <w:rPr>
          <w:sz w:val="24"/>
          <w:szCs w:val="24"/>
        </w:rPr>
        <w:t xml:space="preserve">列明各项标准的验收情况及项目总体评价</w:t>
      </w:r>
      <w:r>
        <w:rPr>
          <w:sz w:val="24"/>
          <w:szCs w:val="24"/>
        </w:rPr>
        <w:t xml:space="preserve">,</w:t>
      </w:r>
      <w:r>
        <w:rPr>
          <w:sz w:val="24"/>
          <w:szCs w:val="24"/>
        </w:rPr>
        <w:t xml:space="preserve">由验收双方共同签署。</w:t>
      </w:r>
      <w:r/>
    </w:p>
    <w:p>
      <w:pPr>
        <w:ind w:firstLine="480"/>
        <w:spacing w:line="440" w:lineRule="exact"/>
        <w:rPr>
          <w:sz w:val="24"/>
          <w:szCs w:val="24"/>
        </w:rPr>
      </w:pPr>
      <w:r>
        <w:rPr>
          <w:sz w:val="24"/>
          <w:szCs w:val="24"/>
        </w:rPr>
        <w:t xml:space="preserve">9.6 </w:t>
      </w:r>
      <w:r>
        <w:rPr>
          <w:sz w:val="24"/>
          <w:szCs w:val="24"/>
        </w:rPr>
        <w:t xml:space="preserve">验收合格的项目</w:t>
      </w:r>
      <w:r>
        <w:rPr>
          <w:sz w:val="24"/>
          <w:szCs w:val="24"/>
        </w:rPr>
        <w:t xml:space="preserve">,</w:t>
      </w:r>
      <w:r>
        <w:rPr>
          <w:sz w:val="24"/>
          <w:szCs w:val="24"/>
        </w:rPr>
        <w:t xml:space="preserve">甲方根据采购合同的约定及时向乙方支付合同款项。验收不合格的项目，甲方依法及时处理。采购合同的履行、违约责任和解决争议的方式等适用《民法典》。乙方在履约过程中有政府采购法律法规规定的违法违规情形的</w:t>
      </w:r>
      <w:r>
        <w:rPr>
          <w:sz w:val="24"/>
          <w:szCs w:val="24"/>
        </w:rPr>
        <w:t xml:space="preserve">,</w:t>
      </w:r>
      <w:r>
        <w:rPr>
          <w:sz w:val="24"/>
          <w:szCs w:val="24"/>
        </w:rPr>
        <w:t xml:space="preserve">甲方将及时报告本级财政部门。</w:t>
      </w:r>
      <w:r/>
    </w:p>
    <w:p>
      <w:pPr>
        <w:spacing w:line="440" w:lineRule="exact"/>
        <w:rPr>
          <w:b/>
          <w:sz w:val="28"/>
          <w:szCs w:val="28"/>
        </w:rPr>
      </w:pPr>
      <w:r>
        <w:rPr>
          <w:b/>
          <w:sz w:val="28"/>
          <w:szCs w:val="28"/>
        </w:rPr>
        <w:t xml:space="preserve">十、违约责任</w:t>
      </w:r>
      <w:r/>
    </w:p>
    <w:p>
      <w:pPr>
        <w:ind w:firstLine="480"/>
        <w:spacing w:line="440" w:lineRule="exact"/>
        <w:rPr>
          <w:sz w:val="24"/>
          <w:szCs w:val="24"/>
        </w:rPr>
      </w:pPr>
      <w:r>
        <w:rPr>
          <w:sz w:val="24"/>
          <w:szCs w:val="24"/>
        </w:rPr>
        <w:t xml:space="preserve">10.1</w:t>
      </w:r>
      <w:r>
        <w:rPr>
          <w:sz w:val="24"/>
          <w:szCs w:val="24"/>
        </w:rPr>
        <w:t xml:space="preserve">甲方无正当理由拒绝接受乙方提供的合同标的</w:t>
      </w:r>
      <w:r>
        <w:rPr>
          <w:sz w:val="24"/>
          <w:szCs w:val="24"/>
        </w:rPr>
        <w:t xml:space="preserve">的</w:t>
      </w:r>
      <w:r>
        <w:rPr>
          <w:sz w:val="24"/>
          <w:szCs w:val="24"/>
        </w:rPr>
        <w:t xml:space="preserve">，甲方向乙方偿付拒绝接受合同价款总值</w:t>
      </w:r>
      <w:r>
        <w:rPr>
          <w:sz w:val="24"/>
          <w:szCs w:val="24"/>
          <w:u w:val="single"/>
        </w:rPr>
        <w:t xml:space="preserve">    </w:t>
      </w:r>
      <w:r>
        <w:rPr>
          <w:sz w:val="24"/>
          <w:szCs w:val="24"/>
        </w:rPr>
        <w:t xml:space="preserve">的违约金。</w:t>
      </w:r>
      <w:r/>
    </w:p>
    <w:p>
      <w:pPr>
        <w:ind w:firstLine="480"/>
        <w:spacing w:line="440" w:lineRule="exact"/>
        <w:rPr>
          <w:sz w:val="24"/>
          <w:szCs w:val="24"/>
        </w:rPr>
      </w:pPr>
      <w:r>
        <w:rPr>
          <w:sz w:val="24"/>
          <w:szCs w:val="24"/>
        </w:rPr>
        <w:t xml:space="preserve">10.2 </w:t>
      </w:r>
      <w:r>
        <w:rPr>
          <w:sz w:val="24"/>
          <w:szCs w:val="24"/>
        </w:rPr>
        <w:t xml:space="preserve">甲方无故逾期验收和办理合同款项支付手续的</w:t>
      </w:r>
      <w:r>
        <w:rPr>
          <w:sz w:val="24"/>
          <w:szCs w:val="24"/>
        </w:rPr>
        <w:t xml:space="preserve">,</w:t>
      </w:r>
      <w:r>
        <w:rPr>
          <w:sz w:val="24"/>
          <w:szCs w:val="24"/>
        </w:rPr>
        <w:t xml:space="preserve">甲方应按逾期付款总额</w:t>
      </w:r>
      <w:r>
        <w:rPr>
          <w:sz w:val="24"/>
          <w:szCs w:val="24"/>
          <w:u w:val="single"/>
        </w:rPr>
        <w:t xml:space="preserve">    </w:t>
      </w:r>
      <w:r>
        <w:rPr>
          <w:sz w:val="24"/>
          <w:szCs w:val="24"/>
        </w:rPr>
        <w:t xml:space="preserve">每日向乙方支付违约金。</w:t>
      </w:r>
      <w:r/>
    </w:p>
    <w:p>
      <w:pPr>
        <w:ind w:firstLine="480"/>
        <w:spacing w:line="440" w:lineRule="exact"/>
        <w:rPr>
          <w:sz w:val="24"/>
          <w:szCs w:val="24"/>
        </w:rPr>
      </w:pPr>
      <w:r>
        <w:rPr>
          <w:sz w:val="24"/>
          <w:szCs w:val="24"/>
        </w:rPr>
        <w:t xml:space="preserve">10.3 </w:t>
      </w:r>
      <w:r>
        <w:rPr>
          <w:sz w:val="24"/>
          <w:szCs w:val="24"/>
        </w:rPr>
        <w:t xml:space="preserve">乙方逾期交付合同标的</w:t>
      </w:r>
      <w:r>
        <w:rPr>
          <w:sz w:val="24"/>
          <w:szCs w:val="24"/>
        </w:rPr>
        <w:t xml:space="preserve">的</w:t>
      </w:r>
      <w:r>
        <w:rPr>
          <w:sz w:val="24"/>
          <w:szCs w:val="24"/>
        </w:rPr>
        <w:t xml:space="preserve">，乙方应按逾期交付合同总额每日千分之六</w:t>
      </w:r>
      <w:r>
        <w:rPr>
          <w:sz w:val="24"/>
          <w:szCs w:val="24"/>
        </w:rPr>
        <w:t xml:space="preserve">向甲方支付违约金，由甲方从待付合同款项中扣除。逾期超过约定日期</w:t>
      </w:r>
      <w:r>
        <w:rPr>
          <w:sz w:val="24"/>
          <w:szCs w:val="24"/>
        </w:rPr>
        <w:t xml:space="preserve">10</w:t>
      </w:r>
      <w:r>
        <w:rPr>
          <w:sz w:val="24"/>
          <w:szCs w:val="24"/>
        </w:rPr>
        <w:t xml:space="preserve">个工作日不能交付合同标的</w:t>
      </w:r>
      <w:r>
        <w:rPr>
          <w:sz w:val="24"/>
          <w:szCs w:val="24"/>
        </w:rPr>
        <w:t xml:space="preserve">的</w:t>
      </w:r>
      <w:r>
        <w:rPr>
          <w:sz w:val="24"/>
          <w:szCs w:val="24"/>
        </w:rPr>
        <w:t xml:space="preserve">，甲方可解除本合同。乙方因逾期交付合同标的或因其他违约行为导致甲方解除合同的，乙方应向甲方支付合同价款总额</w:t>
      </w:r>
      <w:r>
        <w:rPr>
          <w:sz w:val="24"/>
          <w:szCs w:val="24"/>
          <w:u w:val="single"/>
        </w:rPr>
        <w:t xml:space="preserve">     </w:t>
      </w:r>
      <w:r>
        <w:rPr>
          <w:sz w:val="24"/>
          <w:szCs w:val="24"/>
        </w:rPr>
        <w:t xml:space="preserve">的违约金，如造成甲方损失超过违约金的，超出部分由乙方继续承担赔偿责任。</w:t>
      </w:r>
      <w:r>
        <w:rPr>
          <w:sz w:val="24"/>
          <w:szCs w:val="24"/>
        </w:rPr>
        <w:t xml:space="preserve"> </w:t>
      </w:r>
      <w:r/>
    </w:p>
    <w:p>
      <w:pPr>
        <w:ind w:firstLine="480"/>
        <w:spacing w:line="440" w:lineRule="exact"/>
        <w:rPr>
          <w:sz w:val="24"/>
          <w:szCs w:val="24"/>
        </w:rPr>
      </w:pPr>
      <w:r>
        <w:rPr>
          <w:sz w:val="24"/>
          <w:szCs w:val="24"/>
        </w:rPr>
        <w:t xml:space="preserve">10.4 </w:t>
      </w:r>
      <w:r>
        <w:rPr>
          <w:sz w:val="24"/>
          <w:szCs w:val="24"/>
        </w:rPr>
        <w:t xml:space="preserve">乙方交付合同标的</w:t>
      </w:r>
      <w:r>
        <w:rPr>
          <w:sz w:val="24"/>
          <w:szCs w:val="24"/>
        </w:rPr>
        <w:t xml:space="preserve">的</w:t>
      </w:r>
      <w:r>
        <w:rPr>
          <w:sz w:val="24"/>
          <w:szCs w:val="24"/>
        </w:rPr>
        <w:t xml:space="preserve">标准不符合合同规定及磋商文件</w:t>
      </w:r>
      <w:r>
        <w:rPr>
          <w:sz w:val="24"/>
          <w:szCs w:val="24"/>
        </w:rPr>
        <w:t xml:space="preserve">规定标准的，甲方有权拒绝接受合同标的，并可单方面解除合同。</w:t>
      </w:r>
      <w:r/>
    </w:p>
    <w:p>
      <w:pPr>
        <w:spacing w:line="440" w:lineRule="exact"/>
        <w:rPr>
          <w:b/>
          <w:sz w:val="28"/>
          <w:szCs w:val="28"/>
        </w:rPr>
      </w:pPr>
      <w:r>
        <w:rPr>
          <w:b/>
          <w:sz w:val="28"/>
          <w:szCs w:val="28"/>
        </w:rPr>
        <w:t xml:space="preserve">十一、不可抗力事件处理</w:t>
      </w:r>
      <w:r/>
    </w:p>
    <w:p>
      <w:pPr>
        <w:ind w:firstLine="480"/>
        <w:spacing w:line="440" w:lineRule="exact"/>
        <w:rPr>
          <w:sz w:val="24"/>
          <w:szCs w:val="24"/>
        </w:rPr>
      </w:pPr>
      <w:r>
        <w:rPr>
          <w:sz w:val="24"/>
          <w:szCs w:val="24"/>
        </w:rPr>
        <w:t xml:space="preserve">11.1 </w:t>
      </w:r>
      <w:r>
        <w:rPr>
          <w:sz w:val="24"/>
          <w:szCs w:val="24"/>
        </w:rPr>
        <w:t xml:space="preserve">在合同有效期内，任何一方因不可抗力事件导致不能履行合同，则合同履行期可延长，其延长期与不可抗力影响</w:t>
      </w:r>
      <w:r>
        <w:rPr>
          <w:sz w:val="24"/>
          <w:szCs w:val="24"/>
        </w:rPr>
        <w:t xml:space="preserve"> </w:t>
      </w:r>
      <w:r>
        <w:rPr>
          <w:sz w:val="24"/>
          <w:szCs w:val="24"/>
        </w:rPr>
        <w:t xml:space="preserve">期相同。</w:t>
      </w:r>
      <w:r/>
    </w:p>
    <w:p>
      <w:pPr>
        <w:ind w:firstLine="480"/>
        <w:spacing w:line="440" w:lineRule="exact"/>
        <w:rPr>
          <w:sz w:val="24"/>
          <w:szCs w:val="24"/>
        </w:rPr>
      </w:pPr>
      <w:r>
        <w:rPr>
          <w:sz w:val="24"/>
          <w:szCs w:val="24"/>
        </w:rPr>
        <w:t xml:space="preserve">11.2 </w:t>
      </w:r>
      <w:r>
        <w:rPr>
          <w:sz w:val="24"/>
          <w:szCs w:val="24"/>
        </w:rPr>
        <w:t xml:space="preserve">不可抗力事件发生后，应立即通知对方，并寄送有关权威机构出具的证明。</w:t>
      </w:r>
      <w:r/>
    </w:p>
    <w:p>
      <w:pPr>
        <w:ind w:firstLine="480"/>
        <w:spacing w:line="440" w:lineRule="exact"/>
        <w:rPr>
          <w:sz w:val="24"/>
          <w:szCs w:val="24"/>
        </w:rPr>
      </w:pPr>
      <w:r>
        <w:rPr>
          <w:sz w:val="24"/>
          <w:szCs w:val="24"/>
        </w:rPr>
        <w:t xml:space="preserve">11.3 </w:t>
      </w:r>
      <w:r>
        <w:rPr>
          <w:sz w:val="24"/>
          <w:szCs w:val="24"/>
        </w:rPr>
        <w:t xml:space="preserve">不可抗力事件延续</w:t>
      </w:r>
      <w:r>
        <w:rPr>
          <w:sz w:val="24"/>
          <w:szCs w:val="24"/>
        </w:rPr>
        <w:t xml:space="preserve">120</w:t>
      </w:r>
      <w:r>
        <w:rPr>
          <w:sz w:val="24"/>
          <w:szCs w:val="24"/>
        </w:rPr>
        <w:t xml:space="preserve">天以上，双方应通过友好协商，确定是否继续履行合同。</w:t>
      </w:r>
      <w:r/>
    </w:p>
    <w:p>
      <w:pPr>
        <w:spacing w:line="440" w:lineRule="exact"/>
        <w:rPr>
          <w:b/>
          <w:sz w:val="28"/>
          <w:szCs w:val="28"/>
        </w:rPr>
      </w:pPr>
      <w:r>
        <w:rPr>
          <w:b/>
          <w:sz w:val="28"/>
          <w:szCs w:val="28"/>
        </w:rPr>
        <w:t xml:space="preserve">十二、解决争议的方法</w:t>
      </w:r>
      <w:r/>
    </w:p>
    <w:p>
      <w:pPr>
        <w:ind w:firstLine="480"/>
        <w:spacing w:line="440" w:lineRule="exact"/>
        <w:rPr>
          <w:sz w:val="24"/>
          <w:szCs w:val="24"/>
        </w:rPr>
      </w:pPr>
      <w:r>
        <w:rPr>
          <w:sz w:val="24"/>
          <w:szCs w:val="24"/>
        </w:rPr>
        <w:t xml:space="preserve">12.1</w:t>
      </w:r>
      <w:r>
        <w:rPr>
          <w:sz w:val="24"/>
          <w:szCs w:val="24"/>
        </w:rPr>
        <w:t xml:space="preserve">双方在签订、履行合同中所发生的一切争议，应通过友好协商解决。如协商不成，由甲方住所地人民法院管辖。</w:t>
      </w:r>
      <w:r/>
    </w:p>
    <w:p>
      <w:pPr>
        <w:spacing w:line="440" w:lineRule="exact"/>
        <w:rPr>
          <w:b/>
          <w:sz w:val="28"/>
          <w:szCs w:val="28"/>
        </w:rPr>
      </w:pPr>
      <w:r>
        <w:rPr>
          <w:b/>
          <w:sz w:val="28"/>
          <w:szCs w:val="28"/>
        </w:rPr>
        <w:t xml:space="preserve">十三、合同生效及</w:t>
      </w:r>
      <w:r>
        <w:rPr>
          <w:b/>
          <w:sz w:val="28"/>
          <w:szCs w:val="28"/>
        </w:rPr>
        <w:t xml:space="preserve">其它</w:t>
      </w:r>
      <w:r/>
    </w:p>
    <w:p>
      <w:pPr>
        <w:ind w:firstLine="480"/>
        <w:spacing w:line="440" w:lineRule="exact"/>
        <w:rPr>
          <w:sz w:val="24"/>
          <w:szCs w:val="24"/>
        </w:rPr>
      </w:pPr>
      <w:r>
        <w:rPr>
          <w:sz w:val="24"/>
          <w:szCs w:val="24"/>
        </w:rPr>
        <w:t xml:space="preserve">13.1 </w:t>
      </w:r>
      <w:r>
        <w:rPr>
          <w:sz w:val="24"/>
          <w:szCs w:val="24"/>
        </w:rPr>
        <w:t xml:space="preserve">合同经双方法定代表人或授权委托代表人签字并加盖单位公章后生效。</w:t>
      </w:r>
      <w:r/>
    </w:p>
    <w:p>
      <w:pPr>
        <w:ind w:firstLine="480"/>
        <w:spacing w:line="440" w:lineRule="exact"/>
        <w:rPr>
          <w:sz w:val="24"/>
          <w:szCs w:val="24"/>
        </w:rPr>
      </w:pPr>
      <w:r>
        <w:rPr>
          <w:sz w:val="24"/>
          <w:szCs w:val="24"/>
        </w:rPr>
        <w:t xml:space="preserve">13.2</w:t>
      </w:r>
      <w:r>
        <w:rPr>
          <w:sz w:val="24"/>
          <w:szCs w:val="24"/>
        </w:rPr>
        <w:t xml:space="preserve">本合同未尽事宜，遵照《民法典》、《政府采购法》有关条文执行。</w:t>
      </w:r>
      <w:r/>
    </w:p>
    <w:p>
      <w:pPr>
        <w:ind w:firstLine="480"/>
        <w:spacing w:line="440" w:lineRule="exact"/>
        <w:rPr>
          <w:sz w:val="24"/>
          <w:szCs w:val="24"/>
        </w:rPr>
      </w:pPr>
      <w:r>
        <w:rPr>
          <w:sz w:val="24"/>
          <w:szCs w:val="24"/>
        </w:rPr>
        <w:t xml:space="preserve">13.3 </w:t>
      </w:r>
      <w:r>
        <w:rPr>
          <w:sz w:val="24"/>
          <w:szCs w:val="24"/>
        </w:rPr>
        <w:t xml:space="preserve">本合同正本一式</w:t>
      </w:r>
      <w:r>
        <w:rPr>
          <w:rFonts w:hint="eastAsia"/>
          <w:sz w:val="24"/>
          <w:szCs w:val="24"/>
        </w:rPr>
        <w:t xml:space="preserve">四</w:t>
      </w:r>
      <w:r>
        <w:rPr>
          <w:sz w:val="24"/>
          <w:szCs w:val="24"/>
        </w:rPr>
        <w:t xml:space="preserve">份，具有同等法律效力，甲、乙</w:t>
      </w:r>
      <w:r>
        <w:rPr>
          <w:rFonts w:hint="eastAsia"/>
          <w:sz w:val="24"/>
          <w:szCs w:val="24"/>
        </w:rPr>
        <w:t xml:space="preserve">双</w:t>
      </w:r>
      <w:r>
        <w:rPr>
          <w:sz w:val="24"/>
          <w:szCs w:val="24"/>
        </w:rPr>
        <w:t xml:space="preserve">方各</w:t>
      </w:r>
      <w:r>
        <w:rPr>
          <w:rFonts w:hint="eastAsia"/>
          <w:sz w:val="24"/>
          <w:szCs w:val="24"/>
        </w:rPr>
        <w:t xml:space="preserve">两</w:t>
      </w:r>
      <w:r>
        <w:rPr>
          <w:sz w:val="24"/>
          <w:szCs w:val="24"/>
        </w:rPr>
        <w:t xml:space="preserve">份。</w:t>
      </w:r>
      <w:r/>
    </w:p>
    <w:p>
      <w:pPr>
        <w:spacing w:line="440" w:lineRule="exact"/>
        <w:rPr>
          <w:sz w:val="24"/>
          <w:szCs w:val="24"/>
        </w:rPr>
      </w:pPr>
      <w:r>
        <w:rPr>
          <w:sz w:val="24"/>
          <w:szCs w:val="24"/>
        </w:rPr>
        <w:t xml:space="preserve">甲方：</w:t>
      </w:r>
      <w:r>
        <w:rPr>
          <w:sz w:val="24"/>
          <w:szCs w:val="24"/>
        </w:rPr>
        <w:t xml:space="preserve">                        </w:t>
      </w:r>
      <w:r>
        <w:rPr>
          <w:sz w:val="24"/>
          <w:szCs w:val="24"/>
        </w:rPr>
        <w:t xml:space="preserve">乙方：</w:t>
      </w:r>
      <w:r>
        <w:rPr>
          <w:sz w:val="24"/>
          <w:szCs w:val="24"/>
        </w:rPr>
        <w:t xml:space="preserve"> </w:t>
      </w:r>
      <w:r/>
    </w:p>
    <w:p>
      <w:pPr>
        <w:spacing w:line="440" w:lineRule="exact"/>
        <w:rPr>
          <w:sz w:val="24"/>
          <w:szCs w:val="24"/>
        </w:rPr>
      </w:pPr>
      <w:r>
        <w:rPr>
          <w:sz w:val="24"/>
          <w:szCs w:val="24"/>
        </w:rPr>
        <w:t xml:space="preserve">地址：</w:t>
      </w:r>
      <w:r>
        <w:rPr>
          <w:sz w:val="24"/>
          <w:szCs w:val="24"/>
        </w:rPr>
        <w:t xml:space="preserve">                        </w:t>
      </w:r>
      <w:r>
        <w:rPr>
          <w:sz w:val="24"/>
          <w:szCs w:val="24"/>
        </w:rPr>
        <w:t xml:space="preserve">地址：</w:t>
      </w:r>
      <w:r>
        <w:rPr>
          <w:sz w:val="24"/>
          <w:szCs w:val="24"/>
        </w:rPr>
        <w:t xml:space="preserve"> </w:t>
      </w:r>
      <w:r/>
    </w:p>
    <w:p>
      <w:pPr>
        <w:spacing w:line="440" w:lineRule="exact"/>
        <w:rPr>
          <w:sz w:val="24"/>
          <w:szCs w:val="24"/>
        </w:rPr>
      </w:pPr>
      <w:r>
        <w:rPr>
          <w:sz w:val="24"/>
          <w:szCs w:val="24"/>
        </w:rPr>
        <w:t xml:space="preserve">法定代表人或授权代表：</w:t>
      </w:r>
      <w:r>
        <w:rPr>
          <w:sz w:val="24"/>
          <w:szCs w:val="24"/>
        </w:rPr>
        <w:t xml:space="preserve">        </w:t>
      </w:r>
      <w:r>
        <w:rPr>
          <w:sz w:val="24"/>
          <w:szCs w:val="24"/>
        </w:rPr>
        <w:t xml:space="preserve">法定代表人或授权代表：</w:t>
      </w:r>
      <w:r/>
    </w:p>
    <w:p>
      <w:pPr>
        <w:spacing w:line="440" w:lineRule="exact"/>
        <w:rPr>
          <w:szCs w:val="21"/>
        </w:rPr>
      </w:pPr>
      <w:r>
        <w:rPr>
          <w:sz w:val="24"/>
          <w:szCs w:val="24"/>
        </w:rPr>
        <w:t xml:space="preserve">联系电话：</w:t>
      </w:r>
      <w:r>
        <w:rPr>
          <w:sz w:val="24"/>
          <w:szCs w:val="24"/>
        </w:rPr>
        <w:t xml:space="preserve">                    </w:t>
      </w:r>
      <w:r>
        <w:rPr>
          <w:sz w:val="24"/>
          <w:szCs w:val="24"/>
        </w:rPr>
        <w:t xml:space="preserve">联系电话：</w:t>
      </w:r>
      <w:r>
        <w:rPr>
          <w:sz w:val="24"/>
          <w:szCs w:val="24"/>
        </w:rPr>
        <w:t xml:space="preserve">          </w:t>
      </w:r>
      <w:r/>
    </w:p>
    <w:p>
      <w:pPr>
        <w:ind w:firstLine="420"/>
        <w:jc w:val="center"/>
        <w:spacing w:line="440" w:lineRule="exact"/>
        <w:rPr>
          <w:szCs w:val="21"/>
        </w:rPr>
      </w:pPr>
      <w:r>
        <w:rPr>
          <w:szCs w:val="21"/>
        </w:rPr>
        <w:t xml:space="preserve">                                          </w:t>
      </w:r>
      <w:r/>
    </w:p>
    <w:p>
      <w:pPr>
        <w:spacing w:line="440" w:lineRule="exact"/>
        <w:rPr>
          <w:sz w:val="24"/>
          <w:szCs w:val="24"/>
        </w:rPr>
      </w:pPr>
      <w:r>
        <w:rPr>
          <w:sz w:val="24"/>
          <w:szCs w:val="24"/>
        </w:rPr>
        <w:t xml:space="preserve">签订日期：</w:t>
      </w:r>
      <w:r>
        <w:rPr>
          <w:sz w:val="24"/>
          <w:szCs w:val="24"/>
        </w:rPr>
        <w:t xml:space="preserve">      </w:t>
      </w:r>
      <w:r>
        <w:rPr>
          <w:sz w:val="24"/>
          <w:szCs w:val="24"/>
        </w:rPr>
        <w:t xml:space="preserve">年</w:t>
      </w:r>
      <w:r>
        <w:rPr>
          <w:sz w:val="24"/>
          <w:szCs w:val="24"/>
        </w:rPr>
        <w:t xml:space="preserve">    </w:t>
      </w:r>
      <w:r>
        <w:rPr>
          <w:sz w:val="24"/>
          <w:szCs w:val="24"/>
        </w:rPr>
        <w:t xml:space="preserve">月</w:t>
      </w:r>
      <w:r>
        <w:rPr>
          <w:sz w:val="24"/>
          <w:szCs w:val="24"/>
        </w:rPr>
        <w:t xml:space="preserve">   </w:t>
      </w:r>
      <w:r>
        <w:rPr>
          <w:sz w:val="24"/>
          <w:szCs w:val="24"/>
        </w:rPr>
        <w:t xml:space="preserve">日</w:t>
      </w:r>
      <w:r/>
    </w:p>
    <w:p>
      <w:pPr>
        <w:jc w:val="right"/>
        <w:spacing w:line="360" w:lineRule="auto"/>
        <w:rPr>
          <w:szCs w:val="21"/>
        </w:rPr>
      </w:pPr>
      <w:r>
        <w:rPr>
          <w:szCs w:val="21"/>
        </w:rPr>
      </w:r>
      <w:r/>
    </w:p>
    <w:p>
      <w:pPr>
        <w:spacing w:line="360" w:lineRule="auto"/>
        <w:rPr>
          <w:szCs w:val="21"/>
        </w:rPr>
      </w:pPr>
      <w:r>
        <w:rPr>
          <w:szCs w:val="21"/>
        </w:rPr>
      </w:r>
      <w:r/>
    </w:p>
    <w:p>
      <w:pPr>
        <w:jc w:val="right"/>
        <w:spacing w:line="360" w:lineRule="auto"/>
        <w:rPr>
          <w:szCs w:val="21"/>
        </w:rPr>
        <w:sectPr>
          <w:headerReference w:type="default" r:id="rId9"/>
          <w:footerReference w:type="default" r:id="rId12"/>
          <w:footnotePr/>
          <w:endnotePr/>
          <w:type w:val="nextPage"/>
          <w:pgSz w:w="11907" w:h="16839" w:orient="portrait"/>
          <w:pgMar w:top="1440" w:right="1800" w:bottom="1440" w:left="1800" w:header="753" w:footer="988" w:gutter="0"/>
          <w:cols w:num="1" w:sep="0" w:space="720" w:equalWidth="1"/>
          <w:docGrid w:linePitch="360"/>
        </w:sectPr>
      </w:pPr>
      <w:r>
        <w:rPr>
          <w:szCs w:val="21"/>
        </w:rPr>
      </w:r>
      <w:r/>
    </w:p>
    <w:p>
      <w:pPr>
        <w:jc w:val="center"/>
        <w:keepNext/>
        <w:spacing w:before="312" w:after="312"/>
        <w:rPr>
          <w:rFonts w:eastAsia="黑体"/>
          <w:sz w:val="44"/>
          <w:szCs w:val="44"/>
        </w:rPr>
        <w:outlineLvl w:val="0"/>
      </w:pPr>
      <w:r/>
      <w:bookmarkStart w:id="179" w:name="_Toc23059"/>
      <w:r/>
      <w:bookmarkStart w:id="180" w:name="_Toc49090575"/>
      <w:r/>
      <w:bookmarkStart w:id="181" w:name="_Toc26554093"/>
      <w:r/>
      <w:bookmarkEnd w:id="173"/>
      <w:r/>
      <w:bookmarkEnd w:id="174"/>
      <w:r/>
      <w:bookmarkEnd w:id="175"/>
      <w:r/>
      <w:bookmarkEnd w:id="176"/>
      <w:r>
        <w:rPr>
          <w:rFonts w:eastAsia="黑体"/>
          <w:sz w:val="44"/>
          <w:szCs w:val="44"/>
        </w:rPr>
        <w:t xml:space="preserve">第四章</w:t>
      </w:r>
      <w:r>
        <w:rPr>
          <w:rFonts w:eastAsia="黑体"/>
          <w:sz w:val="44"/>
          <w:szCs w:val="44"/>
        </w:rPr>
        <w:t xml:space="preserve"> </w:t>
      </w:r>
      <w:r>
        <w:rPr>
          <w:rFonts w:eastAsia="黑体"/>
          <w:sz w:val="44"/>
          <w:szCs w:val="44"/>
        </w:rPr>
        <w:t xml:space="preserve">采购需求</w:t>
      </w:r>
      <w:bookmarkEnd w:id="179"/>
      <w:r/>
      <w:r/>
    </w:p>
    <w:p>
      <w:pPr>
        <w:ind w:firstLine="480"/>
        <w:spacing w:before="120" w:after="120" w:line="0" w:lineRule="atLeast"/>
        <w:rPr>
          <w:sz w:val="24"/>
          <w:szCs w:val="24"/>
        </w:rPr>
      </w:pPr>
      <w:r>
        <w:rPr>
          <w:sz w:val="24"/>
          <w:szCs w:val="24"/>
        </w:rPr>
        <w:t xml:space="preserve">项目属性：</w:t>
      </w:r>
      <w:r>
        <w:rPr>
          <w:rFonts w:hint="eastAsia"/>
          <w:sz w:val="24"/>
          <w:szCs w:val="24"/>
        </w:rPr>
        <w:t xml:space="preserve">服务</w:t>
      </w:r>
      <w:r>
        <w:rPr>
          <w:sz w:val="24"/>
          <w:szCs w:val="24"/>
        </w:rPr>
        <w:t xml:space="preserve">类项目</w:t>
      </w:r>
      <w:r/>
    </w:p>
    <w:p>
      <w:pPr>
        <w:pStyle w:val="757"/>
        <w:ind w:firstLine="562"/>
        <w:keepLines w:val="0"/>
        <w:keepNext w:val="0"/>
        <w:spacing w:before="0" w:after="0" w:line="360" w:lineRule="auto"/>
        <w:widowControl/>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（一）项目背景</w:t>
      </w:r>
      <w:r/>
    </w:p>
    <w:p>
      <w:pPr>
        <w:ind w:firstLine="480"/>
        <w:jc w:val="left"/>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近年来，国内</w:t>
      </w:r>
      <w:r>
        <w:rPr>
          <w:rFonts w:hint="eastAsia" w:asciiTheme="minorEastAsia" w:hAnsiTheme="minorEastAsia" w:eastAsiaTheme="minorEastAsia" w:cstheme="minorEastAsia"/>
          <w:color w:val="000000"/>
          <w:sz w:val="24"/>
          <w:szCs w:val="24"/>
          <w:lang w:bidi="ar"/>
        </w:rPr>
        <w:t xml:space="preserve">低空经济</w:t>
      </w:r>
      <w:r>
        <w:rPr>
          <w:rFonts w:hint="eastAsia" w:asciiTheme="minorEastAsia" w:hAnsiTheme="minorEastAsia" w:eastAsiaTheme="minorEastAsia" w:cstheme="minorEastAsia"/>
          <w:color w:val="000000"/>
          <w:sz w:val="24"/>
          <w:szCs w:val="24"/>
          <w:lang w:bidi="ar"/>
        </w:rPr>
        <w:t xml:space="preserve">与无人驾驶航空器治理已从单点试点探索迈入制度化、体系化、规范化的高质量发展新阶段，低空安全治理、无人机管控与空地一体化警务建设，已成为公安实战现代化、城市治理数字化转型的重要抓手。本次低空警务平台建设严格对标国家、省、市各级政策规划与行业标准，立足区域低空产业发展现状与公安实战需求，依法依规、按需建设，确保项目建设合</w:t>
      </w:r>
      <w:r>
        <w:rPr>
          <w:rFonts w:hint="eastAsia" w:asciiTheme="minorEastAsia" w:hAnsiTheme="minorEastAsia" w:eastAsiaTheme="minorEastAsia" w:cstheme="minorEastAsia"/>
          <w:color w:val="000000"/>
          <w:sz w:val="24"/>
          <w:szCs w:val="24"/>
          <w:lang w:bidi="ar"/>
        </w:rPr>
        <w:t xml:space="preserve">规</w:t>
      </w:r>
      <w:r>
        <w:rPr>
          <w:rFonts w:hint="eastAsia" w:asciiTheme="minorEastAsia" w:hAnsiTheme="minorEastAsia" w:eastAsiaTheme="minorEastAsia" w:cstheme="minorEastAsia"/>
          <w:color w:val="000000"/>
          <w:sz w:val="24"/>
          <w:szCs w:val="24"/>
          <w:lang w:bidi="ar"/>
        </w:rPr>
        <w:t xml:space="preserve">性、前瞻性与实用性。</w:t>
      </w:r>
      <w:r/>
    </w:p>
    <w:p>
      <w:pPr>
        <w:pStyle w:val="757"/>
        <w:ind w:firstLine="562"/>
        <w:keepLines w:val="0"/>
        <w:keepNext w:val="0"/>
        <w:spacing w:before="0" w:after="0" w:line="360" w:lineRule="auto"/>
        <w:widowControl/>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（二）建设目标</w:t>
      </w:r>
      <w:r/>
    </w:p>
    <w:p>
      <w:pPr>
        <w:ind w:firstLine="480"/>
        <w:jc w:val="left"/>
        <w:spacing w:line="360" w:lineRule="auto"/>
        <w:widowControl/>
        <w:rPr>
          <w:rFonts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构建全域感知、智能调度、空地协同、快速处置的现代化低空警务体系，实现无人机自动起降、远程驾驶、</w:t>
      </w:r>
      <w:r>
        <w:rPr>
          <w:rFonts w:hint="eastAsia" w:asciiTheme="minorEastAsia" w:hAnsiTheme="minorEastAsia" w:eastAsiaTheme="minorEastAsia" w:cstheme="minorEastAsia"/>
          <w:color w:val="000000"/>
          <w:sz w:val="24"/>
          <w:szCs w:val="24"/>
          <w:lang w:bidi="ar"/>
        </w:rPr>
        <w:t xml:space="preserve">AI </w:t>
      </w:r>
      <w:r>
        <w:rPr>
          <w:rFonts w:hint="eastAsia" w:asciiTheme="minorEastAsia" w:hAnsiTheme="minorEastAsia" w:eastAsiaTheme="minorEastAsia" w:cstheme="minorEastAsia"/>
          <w:color w:val="000000"/>
          <w:sz w:val="24"/>
          <w:szCs w:val="24"/>
          <w:lang w:bidi="ar"/>
        </w:rPr>
        <w:t xml:space="preserve">智能预警、黑飞</w:t>
      </w:r>
      <w:r>
        <w:rPr>
          <w:rFonts w:hint="eastAsia" w:asciiTheme="minorEastAsia" w:hAnsiTheme="minorEastAsia" w:eastAsiaTheme="minorEastAsia" w:cstheme="minorEastAsia"/>
          <w:color w:val="000000"/>
          <w:sz w:val="24"/>
          <w:szCs w:val="24"/>
          <w:lang w:bidi="ar"/>
        </w:rPr>
        <w:t xml:space="preserve">侦测反</w:t>
      </w:r>
      <w:r>
        <w:rPr>
          <w:rFonts w:hint="eastAsia" w:asciiTheme="minorEastAsia" w:hAnsiTheme="minorEastAsia" w:eastAsiaTheme="minorEastAsia" w:cstheme="minorEastAsia"/>
          <w:color w:val="000000"/>
          <w:sz w:val="24"/>
          <w:szCs w:val="24"/>
          <w:lang w:bidi="ar"/>
        </w:rPr>
        <w:t xml:space="preserve">制、三维沙盘预案推演、多系统数据互通、移动端协同作业，全面提升溧阳市公安局立体化防控、应急处突、交通执法、低空治理能力。</w:t>
      </w:r>
      <w:r/>
    </w:p>
    <w:p>
      <w:pPr>
        <w:pStyle w:val="757"/>
        <w:ind w:firstLine="562"/>
        <w:keepLines w:val="0"/>
        <w:keepNext w:val="0"/>
        <w:spacing w:before="0" w:after="0" w:line="360" w:lineRule="auto"/>
        <w:widowControl/>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（三）采购范围</w:t>
      </w:r>
      <w:r/>
    </w:p>
    <w:p>
      <w:pPr>
        <w:ind w:firstLine="480"/>
        <w:spacing w:line="360" w:lineRule="auto"/>
        <w:rPr>
          <w:rFonts w:asciiTheme="minorEastAsia" w:hAnsiTheme="minorEastAsia" w:eastAsiaTheme="minorEastAsia" w:cstheme="minorEastAsia"/>
          <w:color w:val="000000"/>
          <w:sz w:val="24"/>
          <w:szCs w:val="24"/>
          <w:lang w:bidi="ar"/>
        </w:rPr>
      </w:pPr>
      <w:r>
        <w:rPr>
          <w:rFonts w:asciiTheme="minorEastAsia" w:hAnsiTheme="minorEastAsia" w:eastAsiaTheme="minorEastAsia" w:cstheme="minorEastAsia"/>
          <w:color w:val="000000"/>
          <w:sz w:val="24"/>
          <w:szCs w:val="24"/>
          <w:lang w:bidi="ar"/>
        </w:rPr>
        <w:t xml:space="preserve">本次采购</w:t>
      </w:r>
      <w:r>
        <w:rPr>
          <w:rFonts w:asciiTheme="minorEastAsia" w:hAnsiTheme="minorEastAsia" w:eastAsiaTheme="minorEastAsia" w:cstheme="minorEastAsia"/>
          <w:color w:val="000000"/>
          <w:sz w:val="24"/>
          <w:szCs w:val="24"/>
          <w:lang w:bidi="ar"/>
        </w:rPr>
        <w:t xml:space="preserve">依托多网域</w:t>
      </w:r>
      <w:r>
        <w:rPr>
          <w:rFonts w:asciiTheme="minorEastAsia" w:hAnsiTheme="minorEastAsia" w:eastAsiaTheme="minorEastAsia" w:cstheme="minorEastAsia"/>
          <w:color w:val="000000"/>
          <w:sz w:val="24"/>
          <w:szCs w:val="24"/>
          <w:lang w:bidi="ar"/>
        </w:rPr>
        <w:t xml:space="preserve">物理隔离与安全边界防护体系，结合各</w:t>
      </w:r>
      <w:r>
        <w:rPr>
          <w:rFonts w:asciiTheme="minorEastAsia" w:hAnsiTheme="minorEastAsia" w:eastAsiaTheme="minorEastAsia" w:cstheme="minorEastAsia"/>
          <w:color w:val="000000"/>
          <w:sz w:val="24"/>
          <w:szCs w:val="24"/>
          <w:lang w:bidi="ar"/>
        </w:rPr>
        <w:t xml:space="preserve">类核心</w:t>
      </w:r>
      <w:r>
        <w:rPr>
          <w:rFonts w:asciiTheme="minorEastAsia" w:hAnsiTheme="minorEastAsia" w:eastAsiaTheme="minorEastAsia" w:cstheme="minorEastAsia"/>
          <w:color w:val="000000"/>
          <w:sz w:val="24"/>
          <w:szCs w:val="24"/>
          <w:lang w:bidi="ar"/>
        </w:rPr>
        <w:t xml:space="preserve">警务场景统筹规划，打造</w:t>
      </w:r>
      <w:r>
        <w:rPr>
          <w:rFonts w:asciiTheme="minorEastAsia" w:hAnsiTheme="minorEastAsia" w:eastAsiaTheme="minorEastAsia" w:cstheme="minorEastAsia"/>
          <w:color w:val="000000"/>
          <w:sz w:val="24"/>
          <w:szCs w:val="24"/>
          <w:lang w:bidi="ar"/>
        </w:rPr>
        <w:t xml:space="preserve"> “</w:t>
      </w:r>
      <w:r>
        <w:rPr>
          <w:rFonts w:asciiTheme="minorEastAsia" w:hAnsiTheme="minorEastAsia" w:eastAsiaTheme="minorEastAsia" w:cstheme="minorEastAsia"/>
          <w:color w:val="000000"/>
          <w:sz w:val="24"/>
          <w:szCs w:val="24"/>
          <w:lang w:bidi="ar"/>
        </w:rPr>
        <w:t xml:space="preserve">一</w:t>
      </w:r>
      <w:r>
        <w:rPr>
          <w:rFonts w:asciiTheme="minorEastAsia" w:hAnsiTheme="minorEastAsia" w:eastAsiaTheme="minorEastAsia" w:cstheme="minorEastAsia"/>
          <w:color w:val="000000"/>
          <w:sz w:val="24"/>
          <w:szCs w:val="24"/>
          <w:lang w:bidi="ar"/>
        </w:rPr>
        <w:t xml:space="preserve">平台、两终端、多场景</w:t>
      </w:r>
      <w:r>
        <w:rPr>
          <w:rFonts w:asciiTheme="minorEastAsia" w:hAnsiTheme="minorEastAsia" w:eastAsiaTheme="minorEastAsia" w:cstheme="minorEastAsia"/>
          <w:color w:val="000000"/>
          <w:sz w:val="24"/>
          <w:szCs w:val="24"/>
          <w:lang w:bidi="ar"/>
        </w:rPr>
        <w:t xml:space="preserve">” </w:t>
      </w:r>
      <w:r>
        <w:rPr>
          <w:rFonts w:asciiTheme="minorEastAsia" w:hAnsiTheme="minorEastAsia" w:eastAsiaTheme="minorEastAsia" w:cstheme="minorEastAsia"/>
          <w:color w:val="000000"/>
          <w:sz w:val="24"/>
          <w:szCs w:val="24"/>
          <w:lang w:bidi="ar"/>
        </w:rPr>
        <w:t xml:space="preserve">低空警务应用体系。建设内容包含低空态势一张图、电子沙盘、警情联动一张图、无人机黑飞管控、</w:t>
      </w:r>
      <w:r>
        <w:rPr>
          <w:rFonts w:asciiTheme="minorEastAsia" w:hAnsiTheme="minorEastAsia" w:eastAsiaTheme="minorEastAsia" w:cstheme="minorEastAsia"/>
          <w:color w:val="000000"/>
          <w:sz w:val="24"/>
          <w:szCs w:val="24"/>
          <w:lang w:bidi="ar"/>
        </w:rPr>
        <w:t xml:space="preserve">飞控平台</w:t>
      </w:r>
      <w:r>
        <w:rPr>
          <w:rFonts w:asciiTheme="minorEastAsia" w:hAnsiTheme="minorEastAsia" w:eastAsiaTheme="minorEastAsia" w:cstheme="minorEastAsia"/>
          <w:color w:val="000000"/>
          <w:sz w:val="24"/>
          <w:szCs w:val="24"/>
          <w:lang w:bidi="ar"/>
        </w:rPr>
        <w:t xml:space="preserve">、</w:t>
      </w:r>
      <w:r>
        <w:rPr>
          <w:rFonts w:asciiTheme="minorEastAsia" w:hAnsiTheme="minorEastAsia" w:eastAsiaTheme="minorEastAsia" w:cstheme="minorEastAsia"/>
          <w:color w:val="000000"/>
          <w:sz w:val="24"/>
          <w:szCs w:val="24"/>
          <w:lang w:bidi="ar"/>
        </w:rPr>
        <w:t xml:space="preserve">AI </w:t>
      </w:r>
      <w:r>
        <w:rPr>
          <w:rFonts w:asciiTheme="minorEastAsia" w:hAnsiTheme="minorEastAsia" w:eastAsiaTheme="minorEastAsia" w:cstheme="minorEastAsia"/>
          <w:color w:val="000000"/>
          <w:sz w:val="24"/>
          <w:szCs w:val="24"/>
          <w:lang w:bidi="ar"/>
        </w:rPr>
        <w:t xml:space="preserve">算法系统库、第三方开发协同模块、无人机</w:t>
      </w:r>
      <w:r>
        <w:rPr>
          <w:rFonts w:asciiTheme="minorEastAsia" w:hAnsiTheme="minorEastAsia" w:eastAsiaTheme="minorEastAsia" w:cstheme="minorEastAsia"/>
          <w:color w:val="000000"/>
          <w:sz w:val="24"/>
          <w:szCs w:val="24"/>
          <w:lang w:bidi="ar"/>
        </w:rPr>
        <w:t xml:space="preserve">侦测反</w:t>
      </w:r>
      <w:r>
        <w:rPr>
          <w:rFonts w:asciiTheme="minorEastAsia" w:hAnsiTheme="minorEastAsia" w:eastAsiaTheme="minorEastAsia" w:cstheme="minorEastAsia"/>
          <w:color w:val="000000"/>
          <w:sz w:val="24"/>
          <w:szCs w:val="24"/>
          <w:lang w:bidi="ar"/>
        </w:rPr>
        <w:t xml:space="preserve">制一体化</w:t>
      </w:r>
      <w:r>
        <w:rPr>
          <w:rFonts w:hint="eastAsia" w:asciiTheme="minorEastAsia" w:hAnsiTheme="minorEastAsia" w:eastAsiaTheme="minorEastAsia" w:cstheme="minorEastAsia"/>
          <w:color w:val="000000"/>
          <w:sz w:val="24"/>
          <w:szCs w:val="24"/>
          <w:lang w:bidi="ar"/>
        </w:rPr>
        <w:t xml:space="preserve">系统</w:t>
      </w:r>
      <w:r>
        <w:rPr>
          <w:rFonts w:asciiTheme="minorEastAsia" w:hAnsiTheme="minorEastAsia" w:eastAsiaTheme="minorEastAsia" w:cstheme="minorEastAsia"/>
          <w:color w:val="000000"/>
          <w:sz w:val="24"/>
          <w:szCs w:val="24"/>
          <w:lang w:bidi="ar"/>
        </w:rPr>
        <w:t xml:space="preserve">；全部产品需完成部署、调试、系统联调、业务培训，验收后交付投入使用</w:t>
      </w:r>
      <w:r>
        <w:rPr>
          <w:rFonts w:hint="eastAsia" w:asciiTheme="minorEastAsia" w:hAnsiTheme="minorEastAsia" w:eastAsiaTheme="minorEastAsia" w:cstheme="minorEastAsia"/>
          <w:color w:val="000000"/>
          <w:sz w:val="24"/>
          <w:szCs w:val="24"/>
          <w:lang w:bidi="ar"/>
        </w:rPr>
        <w:t xml:space="preserve">。</w:t>
      </w:r>
      <w:r/>
    </w:p>
    <w:p>
      <w:pPr>
        <w:pStyle w:val="756"/>
        <w:ind w:firstLine="643"/>
        <w:jc w:val="both"/>
        <w:keepLines w:val="0"/>
        <w:keepNext w:val="0"/>
        <w:spacing w:before="0" w:after="0" w:line="360" w:lineRule="auto"/>
        <w:widowControl/>
        <w:rPr>
          <w:rFonts w:asciiTheme="minorEastAsia" w:hAnsiTheme="minorEastAsia" w:eastAsiaTheme="minorEastAsia" w:cstheme="minorEastAsia"/>
          <w:color w:val="000000"/>
          <w:sz w:val="32"/>
          <w:szCs w:val="32"/>
        </w:rPr>
      </w:pPr>
      <w:r>
        <w:rPr>
          <w:rFonts w:hint="eastAsia" w:asciiTheme="minorEastAsia" w:hAnsiTheme="minorEastAsia" w:eastAsiaTheme="minorEastAsia" w:cstheme="minorEastAsia"/>
          <w:color w:val="000000"/>
          <w:sz w:val="32"/>
          <w:szCs w:val="32"/>
        </w:rPr>
        <w:t xml:space="preserve">二、总体技术要求</w:t>
      </w:r>
      <w:r/>
    </w:p>
    <w:p>
      <w:pPr>
        <w:ind w:firstLine="480"/>
        <w:spacing w:line="360" w:lineRule="auto"/>
        <w:rPr>
          <w:rFonts w:asciiTheme="minorEastAsia" w:hAnsiTheme="minorEastAsia" w:eastAsiaTheme="minorEastAsia" w:cstheme="minorEastAsia"/>
          <w:color w:val="000000"/>
          <w:sz w:val="24"/>
          <w:szCs w:val="24"/>
          <w:lang w:bidi="ar"/>
        </w:rPr>
      </w:pPr>
      <w:r>
        <w:rPr>
          <w:rFonts w:asciiTheme="minorEastAsia" w:hAnsiTheme="minorEastAsia" w:eastAsiaTheme="minorEastAsia" w:cstheme="minorEastAsia"/>
          <w:color w:val="000000"/>
          <w:sz w:val="24"/>
          <w:szCs w:val="24"/>
          <w:lang w:bidi="ar"/>
        </w:rPr>
        <w:t xml:space="preserve">本次新一代智慧低空警务平台遵循标准化、模块化、可扩展、高安全的总体设计原则，结合低空警务实战业务需求，采用分层解耦的整体架构设计，自上而下依次分为</w:t>
      </w:r>
      <w:r>
        <w:rPr>
          <w:rFonts w:asciiTheme="minorEastAsia" w:hAnsiTheme="minorEastAsia" w:eastAsiaTheme="minorEastAsia" w:cstheme="minorEastAsia"/>
          <w:b/>
          <w:bCs/>
          <w:color w:val="000000"/>
          <w:sz w:val="24"/>
          <w:szCs w:val="24"/>
          <w:lang w:bidi="ar"/>
        </w:rPr>
        <w:t xml:space="preserve">前端展示层、业务服务层、能力支撑层、数据接入层、基础</w:t>
      </w:r>
      <w:r>
        <w:rPr>
          <w:rFonts w:asciiTheme="minorEastAsia" w:hAnsiTheme="minorEastAsia" w:eastAsiaTheme="minorEastAsia" w:cstheme="minorEastAsia"/>
          <w:b/>
          <w:bCs/>
          <w:color w:val="000000"/>
          <w:sz w:val="24"/>
          <w:szCs w:val="24"/>
          <w:lang w:bidi="ar"/>
        </w:rPr>
        <w:t xml:space="preserve">设施层</w:t>
      </w:r>
      <w:r>
        <w:rPr>
          <w:rFonts w:asciiTheme="minorEastAsia" w:hAnsiTheme="minorEastAsia" w:eastAsiaTheme="minorEastAsia" w:cstheme="minorEastAsia"/>
          <w:color w:val="000000"/>
          <w:sz w:val="24"/>
          <w:szCs w:val="24"/>
          <w:lang w:bidi="ar"/>
        </w:rPr>
        <w:t xml:space="preserve">五大</w:t>
      </w:r>
      <w:r>
        <w:rPr>
          <w:rFonts w:asciiTheme="minorEastAsia" w:hAnsiTheme="minorEastAsia" w:eastAsiaTheme="minorEastAsia" w:cstheme="minorEastAsia"/>
          <w:color w:val="000000"/>
          <w:sz w:val="24"/>
          <w:szCs w:val="24"/>
          <w:lang w:bidi="ar"/>
        </w:rPr>
        <w:t xml:space="preserve">层级。各层级职责清晰、独立解耦，通过统一接口网关、标准化</w:t>
      </w:r>
      <w:r>
        <w:rPr>
          <w:rFonts w:asciiTheme="minorEastAsia" w:hAnsiTheme="minorEastAsia" w:eastAsiaTheme="minorEastAsia" w:cstheme="minorEastAsia"/>
          <w:color w:val="000000"/>
          <w:sz w:val="24"/>
          <w:szCs w:val="24"/>
          <w:lang w:bidi="ar"/>
        </w:rPr>
        <w:t xml:space="preserve">消息机制、全域权限体系、全流程日志</w:t>
      </w:r>
      <w:r>
        <w:rPr>
          <w:rFonts w:asciiTheme="minorEastAsia" w:hAnsiTheme="minorEastAsia" w:eastAsiaTheme="minorEastAsia" w:cstheme="minorEastAsia"/>
          <w:color w:val="000000"/>
          <w:sz w:val="24"/>
          <w:szCs w:val="24"/>
          <w:lang w:bidi="ar"/>
        </w:rPr>
        <w:t xml:space="preserve">审计四</w:t>
      </w:r>
      <w:r>
        <w:rPr>
          <w:rFonts w:asciiTheme="minorEastAsia" w:hAnsiTheme="minorEastAsia" w:eastAsiaTheme="minorEastAsia" w:cstheme="minorEastAsia"/>
          <w:color w:val="000000"/>
          <w:sz w:val="24"/>
          <w:szCs w:val="24"/>
          <w:lang w:bidi="ar"/>
        </w:rPr>
        <w:t xml:space="preserve">大基础能力实现层级联动、数据互通与业务协同，有效解决传统系统架构杂乱、扩展性差、运维困难、审计缺失等</w:t>
      </w:r>
      <w:r>
        <w:rPr>
          <w:rFonts w:asciiTheme="minorEastAsia" w:hAnsiTheme="minorEastAsia" w:eastAsiaTheme="minorEastAsia" w:cstheme="minorEastAsia"/>
          <w:color w:val="000000"/>
          <w:sz w:val="24"/>
          <w:szCs w:val="24"/>
          <w:lang w:bidi="ar"/>
        </w:rPr>
        <w:t xml:space="preserve">问题，全面保障平台具备高可用性、高扩展性、</w:t>
      </w:r>
      <w:r>
        <w:rPr>
          <w:rFonts w:asciiTheme="minorEastAsia" w:hAnsiTheme="minorEastAsia" w:eastAsiaTheme="minorEastAsia" w:cstheme="minorEastAsia"/>
          <w:color w:val="000000"/>
          <w:sz w:val="24"/>
          <w:szCs w:val="24"/>
          <w:lang w:bidi="ar"/>
        </w:rPr>
        <w:t xml:space="preserve">可运维性与</w:t>
      </w:r>
      <w:r>
        <w:rPr>
          <w:rFonts w:asciiTheme="minorEastAsia" w:hAnsiTheme="minorEastAsia" w:eastAsiaTheme="minorEastAsia" w:cstheme="minorEastAsia"/>
          <w:color w:val="000000"/>
          <w:sz w:val="24"/>
          <w:szCs w:val="24"/>
          <w:lang w:bidi="ar"/>
        </w:rPr>
        <w:t xml:space="preserve">可追溯性，适配低空警务常态化、智能化、规模化的业务发展需求。</w:t>
      </w:r>
      <w:r/>
    </w:p>
    <w:p>
      <w:pPr>
        <w:pStyle w:val="756"/>
        <w:ind w:firstLine="643"/>
        <w:jc w:val="both"/>
        <w:keepLines w:val="0"/>
        <w:keepNext w:val="0"/>
        <w:spacing w:before="0" w:after="0" w:line="360" w:lineRule="auto"/>
        <w:widowControl/>
        <w:rPr>
          <w:rFonts w:asciiTheme="minorEastAsia" w:hAnsiTheme="minorEastAsia" w:eastAsiaTheme="minorEastAsia" w:cstheme="minorEastAsia"/>
          <w:color w:val="000000"/>
          <w:sz w:val="32"/>
          <w:szCs w:val="32"/>
        </w:rPr>
      </w:pPr>
      <w:r>
        <w:rPr>
          <w:rFonts w:hint="eastAsia" w:asciiTheme="minorEastAsia" w:hAnsiTheme="minorEastAsia" w:eastAsiaTheme="minorEastAsia" w:cstheme="minorEastAsia"/>
          <w:color w:val="000000"/>
          <w:sz w:val="32"/>
          <w:szCs w:val="32"/>
        </w:rPr>
        <w:t xml:space="preserve">三、软件系统功能需求</w:t>
      </w:r>
      <w:r/>
    </w:p>
    <w:p>
      <w:pPr>
        <w:ind w:firstLine="480"/>
        <w:spacing w:line="360" w:lineRule="auto"/>
        <w:rPr>
          <w:rFonts w:asciiTheme="minorEastAsia" w:hAnsiTheme="minorEastAsia" w:eastAsiaTheme="minorEastAsia" w:cstheme="minorEastAsia"/>
          <w:color w:val="000000"/>
          <w:sz w:val="24"/>
          <w:szCs w:val="24"/>
          <w:lang w:bidi="ar"/>
        </w:rPr>
      </w:pPr>
      <w:r>
        <w:rPr>
          <w:rFonts w:asciiTheme="minorEastAsia" w:hAnsiTheme="minorEastAsia" w:eastAsiaTheme="minorEastAsia" w:cstheme="minorEastAsia"/>
          <w:color w:val="000000"/>
          <w:sz w:val="24"/>
          <w:szCs w:val="24"/>
          <w:lang w:bidi="ar"/>
        </w:rPr>
        <w:t xml:space="preserve">低空警务实战应用平台需结合本项目实际需求开展针对性定制开发，同时完成已成熟软件的安装部署及调试工作，确保软件适配项目场景、稳定运行。平台应包含但不限于以下功能模块，全面覆盖项目所需的空域态势感知、警情联动指挥、交通执法管控、</w:t>
      </w:r>
      <w:r>
        <w:rPr>
          <w:rFonts w:asciiTheme="minorEastAsia" w:hAnsiTheme="minorEastAsia" w:eastAsiaTheme="minorEastAsia" w:cstheme="minorEastAsia"/>
          <w:color w:val="000000"/>
          <w:sz w:val="24"/>
          <w:szCs w:val="24"/>
          <w:lang w:bidi="ar"/>
        </w:rPr>
        <w:t xml:space="preserve">无人机飞控管</w:t>
      </w:r>
      <w:r>
        <w:rPr>
          <w:rFonts w:asciiTheme="minorEastAsia" w:hAnsiTheme="minorEastAsia" w:eastAsiaTheme="minorEastAsia" w:cstheme="minorEastAsia"/>
          <w:color w:val="000000"/>
          <w:sz w:val="24"/>
          <w:szCs w:val="24"/>
          <w:lang w:bidi="ar"/>
        </w:rPr>
        <w:t xml:space="preserve">理</w:t>
      </w:r>
      <w:r>
        <w:rPr>
          <w:rFonts w:asciiTheme="minorEastAsia" w:hAnsiTheme="minorEastAsia" w:eastAsiaTheme="minorEastAsia" w:cstheme="minorEastAsia"/>
          <w:color w:val="000000"/>
          <w:sz w:val="24"/>
          <w:szCs w:val="24"/>
          <w:lang w:bidi="ar"/>
        </w:rPr>
        <w:t xml:space="preserve">、</w:t>
      </w:r>
      <w:r>
        <w:rPr>
          <w:rFonts w:asciiTheme="minorEastAsia" w:hAnsiTheme="minorEastAsia" w:eastAsiaTheme="minorEastAsia" w:cstheme="minorEastAsia"/>
          <w:color w:val="000000"/>
          <w:sz w:val="24"/>
          <w:szCs w:val="24"/>
          <w:lang w:bidi="ar"/>
        </w:rPr>
        <w:t xml:space="preserve">AI</w:t>
      </w:r>
      <w:r>
        <w:rPr>
          <w:rFonts w:asciiTheme="minorEastAsia" w:hAnsiTheme="minorEastAsia" w:eastAsiaTheme="minorEastAsia" w:cstheme="minorEastAsia"/>
          <w:color w:val="000000"/>
          <w:sz w:val="24"/>
          <w:szCs w:val="24"/>
          <w:lang w:bidi="ar"/>
        </w:rPr>
        <w:t xml:space="preserve">智能识别分析等各类业务需求。</w:t>
      </w:r>
      <w:r/>
    </w:p>
    <w:p>
      <w:pPr>
        <w:ind w:firstLine="480"/>
        <w:spacing w:line="360" w:lineRule="auto"/>
        <w:rPr>
          <w:rFonts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（一）、态势一张图模块</w:t>
      </w:r>
      <w:r/>
    </w:p>
    <w:p>
      <w:pPr>
        <w:ind w:firstLine="480"/>
        <w:spacing w:line="360" w:lineRule="auto"/>
        <w:rPr>
          <w:rFonts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该模块是全域低空态势感知的核心指挥屏，通过“一图统</w:t>
      </w:r>
      <w:r>
        <w:rPr>
          <w:rFonts w:hint="eastAsia" w:asciiTheme="minorEastAsia" w:hAnsiTheme="minorEastAsia" w:eastAsiaTheme="minorEastAsia" w:cstheme="minorEastAsia"/>
          <w:color w:val="000000"/>
          <w:sz w:val="24"/>
          <w:szCs w:val="24"/>
          <w:lang w:bidi="ar"/>
        </w:rPr>
        <w:t xml:space="preserve">览</w:t>
      </w:r>
      <w:r>
        <w:rPr>
          <w:rFonts w:hint="eastAsia" w:asciiTheme="minorEastAsia" w:hAnsiTheme="minorEastAsia" w:eastAsiaTheme="minorEastAsia" w:cstheme="minorEastAsia"/>
          <w:color w:val="000000"/>
          <w:sz w:val="24"/>
          <w:szCs w:val="24"/>
          <w:lang w:bidi="ar"/>
        </w:rPr>
        <w:t xml:space="preserve">”实现作战力量可视化。它整合了溧阳全域空域要素，包括</w:t>
      </w:r>
      <w:r>
        <w:rPr>
          <w:rFonts w:hint="eastAsia" w:asciiTheme="minorEastAsia" w:hAnsiTheme="minorEastAsia" w:eastAsiaTheme="minorEastAsia" w:cstheme="minorEastAsia"/>
          <w:color w:val="000000"/>
          <w:sz w:val="24"/>
          <w:szCs w:val="24"/>
          <w:lang w:bidi="ar"/>
        </w:rPr>
        <w:t xml:space="preserve">适飞区</w:t>
      </w:r>
      <w:r>
        <w:rPr>
          <w:rFonts w:hint="eastAsia" w:asciiTheme="minorEastAsia" w:hAnsiTheme="minorEastAsia" w:eastAsiaTheme="minorEastAsia" w:cstheme="minorEastAsia"/>
          <w:color w:val="000000"/>
          <w:sz w:val="24"/>
          <w:szCs w:val="24"/>
          <w:lang w:bidi="ar"/>
        </w:rPr>
        <w:t xml:space="preserve">、禁飞区及设备覆盖范围，并在地图上实时展示方舱、无人机、人员及警情位置。依托警务要素与防控资源盲区分析功能，系统能基于党政机关、交通枢纽等敏感要地数据，自动计算防控盲区。同时，模块支持多路视频监控同屏调阅，可接入执法记录仪与地面监控，并通过</w:t>
      </w:r>
      <w:r>
        <w:rPr>
          <w:rFonts w:hint="eastAsia" w:asciiTheme="minorEastAsia" w:hAnsiTheme="minorEastAsia" w:eastAsiaTheme="minorEastAsia" w:cstheme="minorEastAsia"/>
          <w:color w:val="000000"/>
          <w:sz w:val="24"/>
          <w:szCs w:val="24"/>
          <w:lang w:bidi="ar"/>
        </w:rPr>
        <w:t xml:space="preserve">飞巡总览</w:t>
      </w:r>
      <w:r>
        <w:rPr>
          <w:rFonts w:hint="eastAsia" w:asciiTheme="minorEastAsia" w:hAnsiTheme="minorEastAsia" w:eastAsiaTheme="minorEastAsia" w:cstheme="minorEastAsia"/>
          <w:color w:val="000000"/>
          <w:sz w:val="24"/>
          <w:szCs w:val="24"/>
          <w:lang w:bidi="ar"/>
        </w:rPr>
        <w:t xml:space="preserve">统计飞行里程、架次等关键数据。时间全局联动功能确保预警、警情等数据按周</w:t>
      </w:r>
      <w:r>
        <w:rPr>
          <w:rFonts w:hint="eastAsia" w:asciiTheme="minorEastAsia" w:hAnsiTheme="minorEastAsia" w:eastAsiaTheme="minorEastAsia" w:cstheme="minorEastAsia"/>
          <w:color w:val="000000"/>
          <w:sz w:val="24"/>
          <w:szCs w:val="24"/>
          <w:lang w:bidi="ar"/>
        </w:rPr>
        <w:t xml:space="preserve">/</w:t>
      </w:r>
      <w:r>
        <w:rPr>
          <w:rFonts w:hint="eastAsia" w:asciiTheme="minorEastAsia" w:hAnsiTheme="minorEastAsia" w:eastAsiaTheme="minorEastAsia" w:cstheme="minorEastAsia"/>
          <w:color w:val="000000"/>
          <w:sz w:val="24"/>
          <w:szCs w:val="24"/>
          <w:lang w:bidi="ar"/>
        </w:rPr>
        <w:t xml:space="preserve">月筛选联动，配合辅助</w:t>
      </w:r>
      <w:r>
        <w:rPr>
          <w:rFonts w:hint="eastAsia" w:asciiTheme="minorEastAsia" w:hAnsiTheme="minorEastAsia" w:eastAsiaTheme="minorEastAsia" w:cstheme="minorEastAsia"/>
          <w:color w:val="000000"/>
          <w:sz w:val="24"/>
          <w:szCs w:val="24"/>
          <w:lang w:bidi="ar"/>
        </w:rPr>
        <w:t xml:space="preserve">决策工具箱，为指挥层提供精准的空间量测与标绘支持。</w:t>
      </w:r>
      <w:r/>
    </w:p>
    <w:p>
      <w:pPr>
        <w:ind w:firstLine="480"/>
        <w:spacing w:line="360" w:lineRule="auto"/>
        <w:rPr>
          <w:rFonts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（二）、电子沙盘模块</w:t>
      </w:r>
      <w:r/>
    </w:p>
    <w:p>
      <w:pPr>
        <w:ind w:firstLine="480"/>
        <w:spacing w:line="360" w:lineRule="auto"/>
        <w:rPr>
          <w:rFonts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电子沙盘模块构建了三维立体化的预案推演与指挥体系。它支持安保活动预案的电子化搭建，用户可自定义活动场地边界、人员布防及无人机巡航路线，并进行平面模拟推演。智能标绘功能提供点、线、面及三维模型标注，支持动态演示逃生路线与警情处置流程。在实战中，系统可自动匹配预案与实际作业，通过评估复盘功能记录处置全流程，支持事件处置后的回溯分析与经验总结，提升应急响应能力。</w:t>
      </w:r>
      <w:r/>
    </w:p>
    <w:p>
      <w:pPr>
        <w:ind w:firstLine="480"/>
        <w:spacing w:line="360" w:lineRule="auto"/>
        <w:rPr>
          <w:rFonts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（三）、警情联动一张图模块</w:t>
      </w:r>
      <w:r/>
    </w:p>
    <w:p>
      <w:pPr>
        <w:ind w:firstLine="480"/>
        <w:spacing w:line="360" w:lineRule="auto"/>
        <w:rPr>
          <w:rFonts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该模块构建了空地一体化的警情全流程处置体系。接入公</w:t>
      </w:r>
      <w:r>
        <w:rPr>
          <w:rFonts w:hint="eastAsia" w:asciiTheme="minorEastAsia" w:hAnsiTheme="minorEastAsia" w:eastAsiaTheme="minorEastAsia" w:cstheme="minorEastAsia"/>
          <w:color w:val="000000"/>
          <w:sz w:val="24"/>
          <w:szCs w:val="24"/>
          <w:lang w:bidi="ar"/>
        </w:rPr>
        <w:t xml:space="preserve">安内部指挥调度系统后，平台能获取警情位置信息，支持红标警情</w:t>
      </w:r>
      <w:r>
        <w:rPr>
          <w:rFonts w:hint="eastAsia" w:asciiTheme="minorEastAsia" w:hAnsiTheme="minorEastAsia" w:eastAsiaTheme="minorEastAsia" w:cstheme="minorEastAsia"/>
          <w:color w:val="000000"/>
          <w:sz w:val="24"/>
          <w:szCs w:val="24"/>
          <w:lang w:bidi="ar"/>
        </w:rPr>
        <w:t xml:space="preserve">一键调飞周边</w:t>
      </w:r>
      <w:r>
        <w:rPr>
          <w:rFonts w:hint="eastAsia" w:asciiTheme="minorEastAsia" w:hAnsiTheme="minorEastAsia" w:eastAsiaTheme="minorEastAsia" w:cstheme="minorEastAsia"/>
          <w:color w:val="000000"/>
          <w:sz w:val="24"/>
          <w:szCs w:val="24"/>
          <w:lang w:bidi="ar"/>
        </w:rPr>
        <w:t xml:space="preserve">五公里内的方舱无人机。系统可自动检索可用设备并规划航线，支持接力飞行以解决续航不足问题。在重大突发事件中，指挥中心大屏可将无人机实时画面作为底图，叠加周边路面监控点位，实现空中与地面监控的“同屏协同”。民警可通过移动</w:t>
      </w:r>
      <w:r>
        <w:rPr>
          <w:rFonts w:hint="eastAsia" w:asciiTheme="minorEastAsia" w:hAnsiTheme="minorEastAsia" w:eastAsiaTheme="minorEastAsia" w:cstheme="minorEastAsia"/>
          <w:color w:val="000000"/>
          <w:sz w:val="24"/>
          <w:szCs w:val="24"/>
          <w:lang w:bidi="ar"/>
        </w:rPr>
        <w:t xml:space="preserve">警务终端查看无人机直播画面，打破视野局限。针对预警模型识别的异常事件，平台支持预警打点、</w:t>
      </w:r>
      <w:r>
        <w:rPr>
          <w:rFonts w:hint="eastAsia" w:asciiTheme="minorEastAsia" w:hAnsiTheme="minorEastAsia" w:eastAsiaTheme="minorEastAsia" w:cstheme="minorEastAsia"/>
          <w:color w:val="000000"/>
          <w:sz w:val="24"/>
          <w:szCs w:val="24"/>
          <w:lang w:bidi="ar"/>
        </w:rPr>
        <w:t xml:space="preserve">调飞与</w:t>
      </w:r>
      <w:r>
        <w:rPr>
          <w:rFonts w:hint="eastAsia" w:asciiTheme="minorEastAsia" w:hAnsiTheme="minorEastAsia" w:eastAsiaTheme="minorEastAsia" w:cstheme="minorEastAsia"/>
          <w:color w:val="000000"/>
          <w:sz w:val="24"/>
          <w:szCs w:val="24"/>
          <w:lang w:bidi="ar"/>
        </w:rPr>
        <w:t xml:space="preserve">处置任务下发，确保警情从发现到处置的闭环管理。</w:t>
      </w:r>
      <w:r/>
    </w:p>
    <w:p>
      <w:pPr>
        <w:ind w:firstLine="480"/>
        <w:spacing w:line="360" w:lineRule="auto"/>
        <w:rPr>
          <w:rFonts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（四）、交通管控一张图模块</w:t>
      </w:r>
      <w:r/>
    </w:p>
    <w:p>
      <w:pPr>
        <w:ind w:firstLine="480"/>
        <w:spacing w:line="360" w:lineRule="auto"/>
        <w:rPr>
          <w:rFonts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交通管控模块实现了无人机在非现场执法中的全链条应用。在违</w:t>
      </w:r>
      <w:r>
        <w:rPr>
          <w:rFonts w:hint="eastAsia" w:asciiTheme="minorEastAsia" w:hAnsiTheme="minorEastAsia" w:eastAsiaTheme="minorEastAsia" w:cstheme="minorEastAsia"/>
          <w:color w:val="000000"/>
          <w:sz w:val="24"/>
          <w:szCs w:val="24"/>
          <w:lang w:bidi="ar"/>
        </w:rPr>
        <w:t xml:space="preserve">法取证方面，无人机可切换拍照模式，支持违停、违法等多种取证场景，</w:t>
      </w:r>
      <w:r>
        <w:rPr>
          <w:rFonts w:hint="eastAsia" w:asciiTheme="minorEastAsia" w:hAnsiTheme="minorEastAsia" w:eastAsiaTheme="minorEastAsia" w:cstheme="minorEastAsia"/>
          <w:color w:val="000000"/>
          <w:sz w:val="24"/>
          <w:szCs w:val="24"/>
          <w:lang w:bidi="ar"/>
        </w:rPr>
        <w:t xml:space="preserve">AI</w:t>
      </w:r>
      <w:r>
        <w:rPr>
          <w:rFonts w:hint="eastAsia" w:asciiTheme="minorEastAsia" w:hAnsiTheme="minorEastAsia" w:eastAsiaTheme="minorEastAsia" w:cstheme="minorEastAsia"/>
          <w:color w:val="000000"/>
          <w:sz w:val="24"/>
          <w:szCs w:val="24"/>
          <w:lang w:bidi="ar"/>
        </w:rPr>
        <w:t xml:space="preserve">自动识别车牌并关联违法代码与地点信息。系统支持二次取证功能，针对非严管路段违</w:t>
      </w:r>
      <w:r>
        <w:rPr>
          <w:rFonts w:hint="eastAsia" w:asciiTheme="minorEastAsia" w:hAnsiTheme="minorEastAsia" w:eastAsiaTheme="minorEastAsia" w:cstheme="minorEastAsia"/>
          <w:color w:val="000000"/>
          <w:sz w:val="24"/>
          <w:szCs w:val="24"/>
          <w:lang w:bidi="ar"/>
        </w:rPr>
        <w:t xml:space="preserve">停进行</w:t>
      </w:r>
      <w:r>
        <w:rPr>
          <w:rFonts w:hint="eastAsia" w:asciiTheme="minorEastAsia" w:hAnsiTheme="minorEastAsia" w:eastAsiaTheme="minorEastAsia" w:cstheme="minorEastAsia"/>
          <w:color w:val="000000"/>
          <w:sz w:val="24"/>
          <w:szCs w:val="24"/>
          <w:lang w:bidi="ar"/>
        </w:rPr>
        <w:t xml:space="preserve">时间间隔对比，确保执法严谨性。后台统一管理违法记录、代码及地点，支持按车牌、时间等多维度查询。该模块打通了执法依据与证据管理，通过无人机机动性强、视野广的优势，有效补充了固定监控的不足，提升了交通违法行为的发现与处置效率，为城市交通治理提供了空中视角的技术支撑。</w:t>
      </w:r>
      <w:r/>
    </w:p>
    <w:p>
      <w:pPr>
        <w:ind w:firstLine="480"/>
        <w:spacing w:line="360" w:lineRule="auto"/>
        <w:rPr>
          <w:rFonts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（五）、无人机黑飞管控模块</w:t>
      </w:r>
      <w:r/>
    </w:p>
    <w:p>
      <w:pPr>
        <w:ind w:firstLine="480"/>
        <w:spacing w:line="360" w:lineRule="auto"/>
        <w:rPr>
          <w:rFonts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该模块构建了“探测—识别—决策—反制—评估”的全链路闭环管控体系。通过接入</w:t>
      </w:r>
      <w:r>
        <w:rPr>
          <w:rFonts w:hint="eastAsia" w:asciiTheme="minorEastAsia" w:hAnsiTheme="minorEastAsia" w:eastAsiaTheme="minorEastAsia" w:cstheme="minorEastAsia"/>
          <w:color w:val="000000"/>
          <w:sz w:val="24"/>
          <w:szCs w:val="24"/>
          <w:lang w:bidi="ar"/>
        </w:rPr>
        <w:t xml:space="preserve">历正侦测</w:t>
      </w:r>
      <w:r>
        <w:rPr>
          <w:rFonts w:hint="eastAsia" w:asciiTheme="minorEastAsia" w:hAnsiTheme="minorEastAsia" w:eastAsiaTheme="minorEastAsia" w:cstheme="minorEastAsia"/>
          <w:color w:val="000000"/>
          <w:sz w:val="24"/>
          <w:szCs w:val="24"/>
          <w:lang w:bidi="ar"/>
        </w:rPr>
        <w:t xml:space="preserve">设备及多种传感器，形成多模感知网络，实现对黑飞目标的精准定位与身份比对。智能决策引擎基于深度学习预测飞行轨迹，识别飞行意图（如窥探、测绘），并评估威胁等级匹配反制策略。系统支持多端</w:t>
      </w:r>
      <w:r>
        <w:rPr>
          <w:rFonts w:hint="eastAsia" w:asciiTheme="minorEastAsia" w:hAnsiTheme="minorEastAsia" w:eastAsiaTheme="minorEastAsia" w:cstheme="minorEastAsia"/>
          <w:color w:val="000000"/>
          <w:sz w:val="24"/>
          <w:szCs w:val="24"/>
          <w:lang w:bidi="ar"/>
        </w:rPr>
        <w:t xml:space="preserve">联动反</w:t>
      </w:r>
      <w:r>
        <w:rPr>
          <w:rFonts w:hint="eastAsia" w:asciiTheme="minorEastAsia" w:hAnsiTheme="minorEastAsia" w:eastAsiaTheme="minorEastAsia" w:cstheme="minorEastAsia"/>
          <w:color w:val="000000"/>
          <w:sz w:val="24"/>
          <w:szCs w:val="24"/>
          <w:lang w:bidi="ar"/>
        </w:rPr>
        <w:t xml:space="preserve">制，可控制干扰器、诱骗设备及调度地面警力协同处置。针对每一次反制任务，平台生成效能评估报告，并挖掘敏感区域周边的潜在风险线索，如昼伏夜出等异常行为，为净空区安保提供强有力的情报支持。</w:t>
      </w:r>
      <w:r/>
    </w:p>
    <w:p>
      <w:pPr>
        <w:ind w:firstLine="480"/>
        <w:spacing w:line="360" w:lineRule="auto"/>
        <w:rPr>
          <w:rFonts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（六）、</w:t>
      </w:r>
      <w:r>
        <w:rPr>
          <w:rFonts w:hint="eastAsia" w:asciiTheme="minorEastAsia" w:hAnsiTheme="minorEastAsia" w:eastAsiaTheme="minorEastAsia" w:cstheme="minorEastAsia"/>
          <w:color w:val="000000"/>
          <w:sz w:val="24"/>
          <w:szCs w:val="24"/>
          <w:lang w:bidi="ar"/>
        </w:rPr>
        <w:t xml:space="preserve">飞控平台</w:t>
      </w:r>
      <w:r>
        <w:rPr>
          <w:rFonts w:hint="eastAsia" w:asciiTheme="minorEastAsia" w:hAnsiTheme="minorEastAsia" w:eastAsiaTheme="minorEastAsia" w:cstheme="minorEastAsia"/>
          <w:color w:val="000000"/>
          <w:sz w:val="24"/>
          <w:szCs w:val="24"/>
          <w:lang w:bidi="ar"/>
        </w:rPr>
        <w:t xml:space="preserve">模块</w:t>
      </w:r>
      <w:r/>
    </w:p>
    <w:p>
      <w:pPr>
        <w:ind w:firstLine="480"/>
        <w:spacing w:line="360" w:lineRule="auto"/>
        <w:rPr>
          <w:rFonts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飞行控制：提供多品牌多型号多机型三维</w:t>
      </w:r>
      <w:r>
        <w:rPr>
          <w:rFonts w:hint="eastAsia" w:asciiTheme="minorEastAsia" w:hAnsiTheme="minorEastAsia" w:eastAsiaTheme="minorEastAsia" w:cstheme="minorEastAsia"/>
          <w:color w:val="000000"/>
          <w:sz w:val="24"/>
          <w:szCs w:val="24"/>
          <w:lang w:bidi="ar"/>
        </w:rPr>
        <w:t xml:space="preserve">G</w:t>
      </w:r>
      <w:r>
        <w:rPr>
          <w:rFonts w:hint="eastAsia" w:asciiTheme="minorEastAsia" w:hAnsiTheme="minorEastAsia" w:eastAsiaTheme="minorEastAsia" w:cstheme="minorEastAsia"/>
          <w:color w:val="000000"/>
          <w:sz w:val="24"/>
          <w:szCs w:val="24"/>
          <w:lang w:bidi="ar"/>
        </w:rPr>
        <w:t xml:space="preserve">IS</w:t>
      </w:r>
      <w:r>
        <w:rPr>
          <w:rFonts w:hint="eastAsia" w:asciiTheme="minorEastAsia" w:hAnsiTheme="minorEastAsia" w:eastAsiaTheme="minorEastAsia" w:cstheme="minorEastAsia"/>
          <w:color w:val="000000"/>
          <w:sz w:val="24"/>
          <w:szCs w:val="24"/>
          <w:lang w:bidi="ar"/>
        </w:rPr>
        <w:t xml:space="preserve">态势融合一张图，作为核心操控模块，提供无人机起降控制、航线规划、快速返航等</w:t>
      </w:r>
      <w:r>
        <w:rPr>
          <w:rFonts w:hint="eastAsia" w:asciiTheme="minorEastAsia" w:hAnsiTheme="minorEastAsia" w:eastAsiaTheme="minorEastAsia" w:cstheme="minorEastAsia"/>
          <w:color w:val="000000"/>
          <w:sz w:val="24"/>
          <w:szCs w:val="24"/>
          <w:lang w:bidi="ar"/>
        </w:rPr>
        <w:t xml:space="preserve">基础飞控功能</w:t>
      </w:r>
      <w:r>
        <w:rPr>
          <w:rFonts w:hint="eastAsia" w:asciiTheme="minorEastAsia" w:hAnsiTheme="minorEastAsia" w:eastAsiaTheme="minorEastAsia" w:cstheme="minorEastAsia"/>
          <w:color w:val="000000"/>
          <w:sz w:val="24"/>
          <w:szCs w:val="24"/>
          <w:lang w:bidi="ar"/>
        </w:rPr>
        <w:t xml:space="preserve">，支持手动操控与自动化飞行模式切换。手动操控：支持键盘控制、相机的键盘控制、键盘多按键组合控制、飞机环绕飞行控制（飞行半径可手动调整）。负载控制：管理机载设备（如相机、喊话器、探照灯、气体检测仪等设备）的启停、参数调节及工作模式切换，实现载荷设备的精准控制与能耗管理。飞机除自身相机外，支持同时控制的无人机的扩展装备负载。</w:t>
      </w:r>
      <w:r>
        <w:rPr>
          <w:rFonts w:hint="eastAsia" w:asciiTheme="minorEastAsia" w:hAnsiTheme="minorEastAsia" w:eastAsiaTheme="minorEastAsia" w:cstheme="minorEastAsia"/>
          <w:color w:val="000000"/>
          <w:sz w:val="24"/>
          <w:szCs w:val="24"/>
          <w:lang w:bidi="ar"/>
        </w:rPr>
        <w:t xml:space="preserve">实时图传</w:t>
      </w:r>
      <w:r>
        <w:rPr>
          <w:rFonts w:hint="eastAsia" w:asciiTheme="minorEastAsia" w:hAnsiTheme="minorEastAsia" w:eastAsiaTheme="minorEastAsia" w:cstheme="minorEastAsia"/>
          <w:color w:val="000000"/>
          <w:sz w:val="24"/>
          <w:szCs w:val="24"/>
          <w:lang w:bidi="ar"/>
        </w:rPr>
        <w:t xml:space="preserve">：</w:t>
      </w:r>
      <w:r>
        <w:rPr>
          <w:rFonts w:hint="eastAsia" w:asciiTheme="minorEastAsia" w:hAnsiTheme="minorEastAsia" w:eastAsiaTheme="minorEastAsia" w:cstheme="minorEastAsia"/>
          <w:color w:val="000000"/>
          <w:sz w:val="24"/>
          <w:szCs w:val="24"/>
          <w:lang w:bidi="ar"/>
        </w:rPr>
        <w:t xml:space="preserve">建立低</w:t>
      </w:r>
      <w:r>
        <w:rPr>
          <w:rFonts w:hint="eastAsia" w:asciiTheme="minorEastAsia" w:hAnsiTheme="minorEastAsia" w:eastAsiaTheme="minorEastAsia" w:cstheme="minorEastAsia"/>
          <w:color w:val="000000"/>
          <w:sz w:val="24"/>
          <w:szCs w:val="24"/>
          <w:lang w:bidi="ar"/>
        </w:rPr>
        <w:t xml:space="preserve">延迟的视频</w:t>
      </w:r>
      <w:r>
        <w:rPr>
          <w:rFonts w:hint="eastAsia" w:asciiTheme="minorEastAsia" w:hAnsiTheme="minorEastAsia" w:eastAsiaTheme="minorEastAsia" w:cstheme="minorEastAsia"/>
          <w:color w:val="000000"/>
          <w:sz w:val="24"/>
          <w:szCs w:val="24"/>
          <w:lang w:bidi="ar"/>
        </w:rPr>
        <w:t xml:space="preserve">/</w:t>
      </w:r>
      <w:r>
        <w:rPr>
          <w:rFonts w:hint="eastAsia" w:asciiTheme="minorEastAsia" w:hAnsiTheme="minorEastAsia" w:eastAsiaTheme="minorEastAsia" w:cstheme="minorEastAsia"/>
          <w:color w:val="000000"/>
          <w:sz w:val="24"/>
          <w:szCs w:val="24"/>
          <w:lang w:bidi="ar"/>
        </w:rPr>
        <w:t xml:space="preserve">数据回传通道，支持高清影像实时传输、多视角画面切换和关键数据叠加显示。历</w:t>
      </w:r>
      <w:r>
        <w:rPr>
          <w:rFonts w:hint="eastAsia" w:asciiTheme="minorEastAsia" w:hAnsiTheme="minorEastAsia" w:eastAsiaTheme="minorEastAsia" w:cstheme="minorEastAsia"/>
          <w:color w:val="000000"/>
          <w:sz w:val="24"/>
          <w:szCs w:val="24"/>
          <w:lang w:bidi="ar"/>
        </w:rPr>
        <w:t xml:space="preserve">史飞行记录：根据飞行航次记录智能切割算法、飞行实时视频智能录制及合并算法、飞行历史与天气、地理位置、巡航要素、媒体资源等融合算法，结构化存储每次飞行的轨迹数据、设备状态日志和操作记录，支持按时间、地点等</w:t>
      </w:r>
      <w:r>
        <w:rPr>
          <w:rFonts w:hint="eastAsia" w:asciiTheme="minorEastAsia" w:hAnsiTheme="minorEastAsia" w:eastAsiaTheme="minorEastAsia" w:cstheme="minorEastAsia"/>
          <w:color w:val="000000"/>
          <w:sz w:val="24"/>
          <w:szCs w:val="24"/>
          <w:lang w:bidi="ar"/>
        </w:rPr>
        <w:t xml:space="preserve">多维度检索回放。设备管理：维护多旋翼设备、固定</w:t>
      </w:r>
      <w:r>
        <w:rPr>
          <w:rFonts w:hint="eastAsia" w:asciiTheme="minorEastAsia" w:hAnsiTheme="minorEastAsia" w:eastAsiaTheme="minorEastAsia" w:cstheme="minorEastAsia"/>
          <w:color w:val="000000"/>
          <w:sz w:val="24"/>
          <w:szCs w:val="24"/>
          <w:lang w:bidi="ar"/>
        </w:rPr>
        <w:t xml:space="preserve">翼</w:t>
      </w:r>
      <w:r>
        <w:rPr>
          <w:rFonts w:hint="eastAsia" w:asciiTheme="minorEastAsia" w:hAnsiTheme="minorEastAsia" w:eastAsiaTheme="minorEastAsia" w:cstheme="minorEastAsia"/>
          <w:color w:val="000000"/>
          <w:sz w:val="24"/>
          <w:szCs w:val="24"/>
          <w:lang w:bidi="ar"/>
        </w:rPr>
        <w:t xml:space="preserve">设备、机场、相机等硬件资产信息，包含设备状态监控、外部扩展监控管理和机场固件远程在线升级功能。</w:t>
      </w:r>
      <w:r>
        <w:rPr>
          <w:rFonts w:hint="eastAsia" w:asciiTheme="minorEastAsia" w:hAnsiTheme="minorEastAsia" w:eastAsiaTheme="minorEastAsia" w:cstheme="minorEastAsia"/>
          <w:color w:val="000000"/>
          <w:sz w:val="24"/>
          <w:szCs w:val="24"/>
          <w:lang w:bidi="ar"/>
        </w:rPr>
        <w:t xml:space="preserve">飞手管理</w:t>
      </w:r>
      <w:r>
        <w:rPr>
          <w:rFonts w:hint="eastAsia" w:asciiTheme="minorEastAsia" w:hAnsiTheme="minorEastAsia" w:eastAsiaTheme="minorEastAsia" w:cstheme="minorEastAsia"/>
          <w:color w:val="000000"/>
          <w:sz w:val="24"/>
          <w:szCs w:val="24"/>
          <w:lang w:bidi="ar"/>
        </w:rPr>
        <w:t xml:space="preserve">：建立操作人员档案库，管理资质证书有效期、所属公司、等配置。</w:t>
      </w:r>
      <w:r/>
    </w:p>
    <w:p>
      <w:pPr>
        <w:ind w:firstLine="480"/>
        <w:spacing w:line="360" w:lineRule="auto"/>
        <w:rPr>
          <w:rFonts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直播管理：专用于航拍直播场景，提供推高并发直播管理、设备直播配置管理。</w:t>
      </w:r>
      <w:r/>
    </w:p>
    <w:p>
      <w:pPr>
        <w:ind w:firstLine="480"/>
        <w:spacing w:line="360" w:lineRule="auto"/>
        <w:rPr>
          <w:rFonts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（七）、</w:t>
      </w:r>
      <w:r>
        <w:rPr>
          <w:rFonts w:hint="eastAsia" w:asciiTheme="minorEastAsia" w:hAnsiTheme="minorEastAsia" w:eastAsiaTheme="minorEastAsia" w:cstheme="minorEastAsia"/>
          <w:color w:val="000000"/>
          <w:sz w:val="24"/>
          <w:szCs w:val="24"/>
          <w:lang w:bidi="ar"/>
        </w:rPr>
        <w:t xml:space="preserve">AI</w:t>
      </w:r>
      <w:r>
        <w:rPr>
          <w:rFonts w:hint="eastAsia" w:asciiTheme="minorEastAsia" w:hAnsiTheme="minorEastAsia" w:eastAsiaTheme="minorEastAsia" w:cstheme="minorEastAsia"/>
          <w:color w:val="000000"/>
          <w:sz w:val="24"/>
          <w:szCs w:val="24"/>
          <w:lang w:bidi="ar"/>
        </w:rPr>
        <w:t xml:space="preserve">算法系统库</w:t>
      </w:r>
      <w:r/>
    </w:p>
    <w:p>
      <w:pPr>
        <w:ind w:firstLine="480"/>
        <w:spacing w:line="360" w:lineRule="auto"/>
        <w:rPr>
          <w:rFonts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A</w:t>
      </w:r>
      <w:r>
        <w:rPr>
          <w:rFonts w:hint="eastAsia" w:asciiTheme="minorEastAsia" w:hAnsiTheme="minorEastAsia" w:eastAsiaTheme="minorEastAsia" w:cstheme="minorEastAsia"/>
          <w:color w:val="000000"/>
          <w:sz w:val="24"/>
          <w:szCs w:val="24"/>
          <w:lang w:bidi="ar"/>
        </w:rPr>
        <w:t xml:space="preserve">I</w:t>
      </w:r>
      <w:r>
        <w:rPr>
          <w:rFonts w:hint="eastAsia" w:asciiTheme="minorEastAsia" w:hAnsiTheme="minorEastAsia" w:eastAsiaTheme="minorEastAsia" w:cstheme="minorEastAsia"/>
          <w:color w:val="000000"/>
          <w:sz w:val="24"/>
          <w:szCs w:val="24"/>
          <w:lang w:bidi="ar"/>
        </w:rPr>
        <w:t xml:space="preserve">算法库为低空警务实战提供了强大的视觉分析能力。内置人脸识别、车牌识别、人员计数、火焰检测等数种专用算法，支持毫秒级响应。人脸识别与市级平台对接，实现重点人员比对预警；交通类算法可精准识别高速应急车道占用、抛洒物及施工占道。系统支持在航线航点中灵活配置算法实例，根据任务需求开启或关闭特定检测。识别结果自动生成预警并推送至指挥端，辅助人工复核与决策。该库的开放性架构便于后续扩展新的识别模型，持续提升无人机的智能化作业水平。</w:t>
      </w:r>
      <w:r/>
    </w:p>
    <w:p>
      <w:pPr>
        <w:ind w:firstLine="480"/>
        <w:spacing w:line="360" w:lineRule="auto"/>
        <w:rPr>
          <w:rFonts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（八）、第三方开发模块</w:t>
      </w:r>
      <w:r/>
    </w:p>
    <w:p>
      <w:pPr>
        <w:ind w:firstLine="480"/>
        <w:spacing w:line="360" w:lineRule="auto"/>
        <w:rPr>
          <w:rFonts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该模块实现了低空警务与地面警务系统的深度协同。通过接口开发，将无人机位置、视频流及抓拍图片推送至内</w:t>
      </w:r>
      <w:r>
        <w:rPr>
          <w:rFonts w:hint="eastAsia" w:asciiTheme="minorEastAsia" w:hAnsiTheme="minorEastAsia" w:eastAsiaTheme="minorEastAsia" w:cstheme="minorEastAsia"/>
          <w:color w:val="000000"/>
          <w:sz w:val="24"/>
          <w:szCs w:val="24"/>
          <w:lang w:bidi="ar"/>
        </w:rPr>
        <w:t xml:space="preserve">网指挥</w:t>
      </w:r>
      <w:r>
        <w:rPr>
          <w:rFonts w:hint="eastAsia" w:asciiTheme="minorEastAsia" w:hAnsiTheme="minorEastAsia" w:eastAsiaTheme="minorEastAsia" w:cstheme="minorEastAsia"/>
          <w:color w:val="000000"/>
          <w:sz w:val="24"/>
          <w:szCs w:val="24"/>
          <w:lang w:bidi="ar"/>
        </w:rPr>
        <w:t xml:space="preserve">平台与移动警务</w:t>
      </w:r>
      <w:r>
        <w:rPr>
          <w:rFonts w:hint="eastAsia" w:asciiTheme="minorEastAsia" w:hAnsiTheme="minorEastAsia" w:eastAsiaTheme="minorEastAsia" w:cstheme="minorEastAsia"/>
          <w:color w:val="000000"/>
          <w:sz w:val="24"/>
          <w:szCs w:val="24"/>
          <w:lang w:bidi="ar"/>
        </w:rPr>
        <w:t xml:space="preserve">APP</w:t>
      </w:r>
      <w:r>
        <w:rPr>
          <w:rFonts w:hint="eastAsia" w:asciiTheme="minorEastAsia" w:hAnsiTheme="minorEastAsia" w:eastAsiaTheme="minorEastAsia" w:cstheme="minorEastAsia"/>
          <w:color w:val="000000"/>
          <w:sz w:val="24"/>
          <w:szCs w:val="24"/>
          <w:lang w:bidi="ar"/>
        </w:rPr>
        <w:t xml:space="preserve">，打破数据壁垒。警情</w:t>
      </w:r>
      <w:r>
        <w:rPr>
          <w:rFonts w:hint="eastAsia" w:asciiTheme="minorEastAsia" w:hAnsiTheme="minorEastAsia" w:eastAsiaTheme="minorEastAsia" w:cstheme="minorEastAsia"/>
          <w:color w:val="000000"/>
          <w:sz w:val="24"/>
          <w:szCs w:val="24"/>
          <w:lang w:bidi="ar"/>
        </w:rPr>
        <w:t xml:space="preserve">伴飞功能</w:t>
      </w:r>
      <w:r>
        <w:rPr>
          <w:rFonts w:hint="eastAsia" w:asciiTheme="minorEastAsia" w:hAnsiTheme="minorEastAsia" w:eastAsiaTheme="minorEastAsia" w:cstheme="minorEastAsia"/>
          <w:color w:val="000000"/>
          <w:sz w:val="24"/>
          <w:szCs w:val="24"/>
          <w:lang w:bidi="ar"/>
        </w:rPr>
        <w:t xml:space="preserve">以警情编号为源头，一键申请无人机支援并将相关数据同步</w:t>
      </w:r>
      <w:r>
        <w:rPr>
          <w:rFonts w:hint="eastAsia" w:asciiTheme="minorEastAsia" w:hAnsiTheme="minorEastAsia" w:eastAsiaTheme="minorEastAsia" w:cstheme="minorEastAsia"/>
          <w:color w:val="000000"/>
          <w:sz w:val="24"/>
          <w:szCs w:val="24"/>
          <w:lang w:bidi="ar"/>
        </w:rPr>
        <w:t xml:space="preserve">至指挥</w:t>
      </w:r>
      <w:r>
        <w:rPr>
          <w:rFonts w:hint="eastAsia" w:asciiTheme="minorEastAsia" w:hAnsiTheme="minorEastAsia" w:eastAsiaTheme="minorEastAsia" w:cstheme="minorEastAsia"/>
          <w:color w:val="000000"/>
          <w:sz w:val="24"/>
          <w:szCs w:val="24"/>
          <w:lang w:bidi="ar"/>
        </w:rPr>
        <w:t xml:space="preserve">系统。黑飞指令推送功能将</w:t>
      </w:r>
      <w:r>
        <w:rPr>
          <w:rFonts w:hint="eastAsia" w:asciiTheme="minorEastAsia" w:hAnsiTheme="minorEastAsia" w:eastAsiaTheme="minorEastAsia" w:cstheme="minorEastAsia"/>
          <w:color w:val="000000"/>
          <w:sz w:val="24"/>
          <w:szCs w:val="24"/>
          <w:lang w:bidi="ar"/>
        </w:rPr>
        <w:t xml:space="preserve">研判报告</w:t>
      </w:r>
      <w:r>
        <w:rPr>
          <w:rFonts w:hint="eastAsia" w:asciiTheme="minorEastAsia" w:hAnsiTheme="minorEastAsia" w:eastAsiaTheme="minorEastAsia" w:cstheme="minorEastAsia"/>
          <w:color w:val="000000"/>
          <w:sz w:val="24"/>
          <w:szCs w:val="24"/>
          <w:lang w:bidi="ar"/>
        </w:rPr>
        <w:t xml:space="preserve">流转至相关部门进行反馈。同时，系统</w:t>
      </w:r>
      <w:r>
        <w:rPr>
          <w:rFonts w:hint="eastAsia" w:asciiTheme="minorEastAsia" w:hAnsiTheme="minorEastAsia" w:eastAsiaTheme="minorEastAsia" w:cstheme="minorEastAsia"/>
          <w:color w:val="000000"/>
          <w:sz w:val="24"/>
          <w:szCs w:val="24"/>
          <w:lang w:bidi="ar"/>
        </w:rPr>
        <w:t xml:space="preserve">向情指中心</w:t>
      </w:r>
      <w:r>
        <w:rPr>
          <w:rFonts w:hint="eastAsia" w:asciiTheme="minorEastAsia" w:hAnsiTheme="minorEastAsia" w:eastAsiaTheme="minorEastAsia" w:cstheme="minorEastAsia"/>
          <w:color w:val="000000"/>
          <w:sz w:val="24"/>
          <w:szCs w:val="24"/>
          <w:lang w:bidi="ar"/>
        </w:rPr>
        <w:t xml:space="preserve">更新无人机、方舱</w:t>
      </w:r>
      <w:r>
        <w:rPr>
          <w:rFonts w:hint="eastAsia" w:asciiTheme="minorEastAsia" w:hAnsiTheme="minorEastAsia" w:eastAsiaTheme="minorEastAsia" w:cstheme="minorEastAsia"/>
          <w:color w:val="000000"/>
          <w:sz w:val="24"/>
          <w:szCs w:val="24"/>
          <w:lang w:bidi="ar"/>
        </w:rPr>
        <w:t xml:space="preserve">及飞手的</w:t>
      </w:r>
      <w:r>
        <w:rPr>
          <w:rFonts w:hint="eastAsia" w:asciiTheme="minorEastAsia" w:hAnsiTheme="minorEastAsia" w:eastAsiaTheme="minorEastAsia" w:cstheme="minorEastAsia"/>
          <w:color w:val="000000"/>
          <w:sz w:val="24"/>
          <w:szCs w:val="24"/>
          <w:lang w:bidi="ar"/>
        </w:rPr>
        <w:t xml:space="preserve">分布数量，确保指挥层掌握全局资源。这些定制</w:t>
      </w:r>
      <w:r>
        <w:rPr>
          <w:rFonts w:hint="eastAsia" w:asciiTheme="minorEastAsia" w:hAnsiTheme="minorEastAsia" w:eastAsiaTheme="minorEastAsia" w:cstheme="minorEastAsia"/>
          <w:color w:val="000000"/>
          <w:sz w:val="24"/>
          <w:szCs w:val="24"/>
          <w:lang w:bidi="ar"/>
        </w:rPr>
        <w:t xml:space="preserve">化开发</w:t>
      </w:r>
      <w:r>
        <w:rPr>
          <w:rFonts w:hint="eastAsia" w:asciiTheme="minorEastAsia" w:hAnsiTheme="minorEastAsia" w:eastAsiaTheme="minorEastAsia" w:cstheme="minorEastAsia"/>
          <w:color w:val="000000"/>
          <w:sz w:val="24"/>
          <w:szCs w:val="24"/>
          <w:lang w:bidi="ar"/>
        </w:rPr>
        <w:t xml:space="preserve">构建了空地一体化的作战体系，提升了警务实战的整体效能。</w:t>
      </w:r>
      <w:r/>
    </w:p>
    <w:p>
      <w:r/>
      <w:r/>
    </w:p>
    <w:p>
      <w:pPr>
        <w:pStyle w:val="756"/>
        <w:ind w:firstLine="602"/>
        <w:jc w:val="both"/>
        <w:keepLines w:val="0"/>
        <w:keepNext w:val="0"/>
        <w:spacing w:before="0" w:after="0" w:line="360" w:lineRule="auto"/>
        <w:widowControl/>
        <w:rPr>
          <w:rFonts w:asciiTheme="minorEastAsia" w:hAnsiTheme="minorEastAsia" w:eastAsiaTheme="minorEastAsia" w:cstheme="minorEastAsia"/>
          <w:color w:val="000000"/>
          <w:sz w:val="30"/>
          <w:szCs w:val="30"/>
        </w:rPr>
      </w:pPr>
      <w:r>
        <w:rPr>
          <w:rFonts w:hint="eastAsia" w:asciiTheme="minorEastAsia" w:hAnsiTheme="minorEastAsia" w:eastAsiaTheme="minorEastAsia" w:cstheme="minorEastAsia"/>
          <w:color w:val="000000"/>
          <w:sz w:val="30"/>
          <w:szCs w:val="30"/>
        </w:rPr>
        <w:t xml:space="preserve">四、平台配套</w:t>
      </w:r>
      <w:r>
        <w:rPr>
          <w:rFonts w:hint="eastAsia" w:asciiTheme="minorEastAsia" w:hAnsiTheme="minorEastAsia" w:eastAsiaTheme="minorEastAsia" w:cstheme="minorEastAsia"/>
          <w:color w:val="000000"/>
          <w:sz w:val="30"/>
          <w:szCs w:val="30"/>
        </w:rPr>
        <w:t xml:space="preserve">系统</w:t>
      </w:r>
      <w:r>
        <w:rPr>
          <w:rFonts w:hint="eastAsia" w:asciiTheme="minorEastAsia" w:hAnsiTheme="minorEastAsia" w:eastAsiaTheme="minorEastAsia" w:cstheme="minorEastAsia"/>
          <w:color w:val="000000"/>
          <w:sz w:val="30"/>
          <w:szCs w:val="30"/>
        </w:rPr>
        <w:t xml:space="preserve">采购需求</w:t>
      </w:r>
      <w:r/>
    </w:p>
    <w:p>
      <w:pPr>
        <w:pStyle w:val="803"/>
        <w:rPr>
          <w:b/>
          <w:bCs/>
          <w:sz w:val="24"/>
          <w:szCs w:val="24"/>
        </w:rPr>
      </w:pPr>
      <w:r>
        <w:rPr>
          <w:rFonts w:hint="eastAsia"/>
          <w:b/>
          <w:bCs/>
          <w:sz w:val="24"/>
          <w:szCs w:val="24"/>
        </w:rPr>
        <w:t xml:space="preserve">（一）</w:t>
      </w:r>
      <w:r>
        <w:rPr>
          <w:rFonts w:hint="eastAsia"/>
          <w:b/>
          <w:bCs/>
          <w:sz w:val="24"/>
          <w:szCs w:val="24"/>
        </w:rPr>
        <w:t xml:space="preserve">侦测反</w:t>
      </w:r>
      <w:r>
        <w:rPr>
          <w:rFonts w:hint="eastAsia"/>
          <w:b/>
          <w:bCs/>
          <w:sz w:val="24"/>
          <w:szCs w:val="24"/>
        </w:rPr>
        <w:t xml:space="preserve">制系统</w:t>
      </w:r>
      <w:r/>
    </w:p>
    <w:p>
      <w:pPr>
        <w:pStyle w:val="803"/>
        <w:rPr>
          <w:rFonts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可全天候无源侦测、定位非法无人机，识别</w:t>
      </w:r>
      <w:r>
        <w:rPr>
          <w:rFonts w:hint="eastAsia" w:asciiTheme="minorEastAsia" w:hAnsiTheme="minorEastAsia" w:eastAsiaTheme="minorEastAsia" w:cstheme="minorEastAsia"/>
          <w:color w:val="000000"/>
          <w:sz w:val="24"/>
          <w:szCs w:val="24"/>
          <w:lang w:bidi="ar"/>
        </w:rPr>
        <w:t xml:space="preserve"> Remot</w:t>
      </w:r>
      <w:r>
        <w:rPr>
          <w:rFonts w:hint="eastAsia" w:asciiTheme="minorEastAsia" w:hAnsiTheme="minorEastAsia" w:eastAsiaTheme="minorEastAsia" w:cstheme="minorEastAsia"/>
          <w:color w:val="000000"/>
          <w:sz w:val="24"/>
          <w:szCs w:val="24"/>
          <w:lang w:bidi="ar"/>
        </w:rPr>
        <w:t xml:space="preserve">e ID </w:t>
      </w:r>
      <w:r>
        <w:rPr>
          <w:rFonts w:hint="eastAsia" w:asciiTheme="minorEastAsia" w:hAnsiTheme="minorEastAsia" w:eastAsiaTheme="minorEastAsia" w:cstheme="minorEastAsia"/>
          <w:color w:val="000000"/>
          <w:sz w:val="24"/>
          <w:szCs w:val="24"/>
          <w:lang w:bidi="ar"/>
        </w:rPr>
        <w:t xml:space="preserve">信息，具备信号压制、导航诱骗反制功能。支持</w:t>
      </w:r>
      <w:r>
        <w:rPr>
          <w:rFonts w:hint="eastAsia" w:asciiTheme="minorEastAsia" w:hAnsiTheme="minorEastAsia" w:eastAsiaTheme="minorEastAsia" w:cstheme="minorEastAsia"/>
          <w:color w:val="000000"/>
          <w:sz w:val="24"/>
          <w:szCs w:val="24"/>
          <w:lang w:bidi="ar"/>
        </w:rPr>
        <w:t xml:space="preserve"> 7</w:t>
      </w:r>
      <w:r>
        <w:rPr>
          <w:rFonts w:hint="eastAsia" w:asciiTheme="minorEastAsia" w:hAnsiTheme="minorEastAsia" w:eastAsiaTheme="minorEastAsia" w:cstheme="minorEastAsia"/>
          <w:color w:val="000000"/>
          <w:sz w:val="24"/>
          <w:szCs w:val="24"/>
          <w:lang w:bidi="ar"/>
        </w:rPr>
        <w:t xml:space="preserve">×</w:t>
      </w:r>
      <w:r>
        <w:rPr>
          <w:rFonts w:hint="eastAsia" w:asciiTheme="minorEastAsia" w:hAnsiTheme="minorEastAsia" w:eastAsiaTheme="minorEastAsia" w:cstheme="minorEastAsia"/>
          <w:color w:val="000000"/>
          <w:sz w:val="24"/>
          <w:szCs w:val="24"/>
          <w:lang w:bidi="ar"/>
        </w:rPr>
        <w:t xml:space="preserve">24 </w:t>
      </w:r>
      <w:r>
        <w:rPr>
          <w:rFonts w:hint="eastAsia" w:asciiTheme="minorEastAsia" w:hAnsiTheme="minorEastAsia" w:eastAsiaTheme="minorEastAsia" w:cstheme="minorEastAsia"/>
          <w:color w:val="000000"/>
          <w:sz w:val="24"/>
          <w:szCs w:val="24"/>
          <w:lang w:bidi="ar"/>
        </w:rPr>
        <w:t xml:space="preserve">小时室外值守，数据可接入低空警务平台，适用于重点区域低空安防，处置无人机黑飞隐患。</w:t>
      </w:r>
      <w:r/>
    </w:p>
    <w:p>
      <w:pPr>
        <w:pStyle w:val="803"/>
        <w:rPr>
          <w:b/>
          <w:bCs/>
          <w:sz w:val="24"/>
          <w:szCs w:val="24"/>
        </w:rPr>
      </w:pPr>
      <w:r>
        <w:rPr>
          <w:rFonts w:hint="eastAsia"/>
          <w:b/>
          <w:bCs/>
          <w:sz w:val="24"/>
          <w:szCs w:val="24"/>
        </w:rPr>
        <w:t xml:space="preserve">（二）</w:t>
      </w:r>
      <w:r>
        <w:rPr>
          <w:rFonts w:hint="eastAsia"/>
          <w:b/>
          <w:bCs/>
          <w:sz w:val="24"/>
          <w:szCs w:val="24"/>
        </w:rPr>
        <w:t xml:space="preserve">Remote ID</w:t>
      </w:r>
      <w:r>
        <w:rPr>
          <w:rFonts w:hint="eastAsia"/>
          <w:b/>
          <w:bCs/>
          <w:sz w:val="24"/>
          <w:szCs w:val="24"/>
        </w:rPr>
        <w:t xml:space="preserve">无人机侦测系统</w:t>
      </w:r>
      <w:r/>
    </w:p>
    <w:p>
      <w:pPr>
        <w:pStyle w:val="803"/>
        <w:rPr>
          <w:rFonts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实时接收、解析和监控无人机广播的远程识别信息，通过获取</w:t>
      </w:r>
      <w:r>
        <w:rPr>
          <w:rFonts w:hint="eastAsia" w:asciiTheme="minorEastAsia" w:hAnsiTheme="minorEastAsia" w:eastAsiaTheme="minorEastAsia" w:cstheme="minorEastAsia"/>
          <w:color w:val="000000"/>
          <w:sz w:val="24"/>
          <w:szCs w:val="24"/>
          <w:lang w:bidi="ar"/>
        </w:rPr>
        <w:t xml:space="preserve">RID</w:t>
      </w:r>
      <w:r>
        <w:rPr>
          <w:rFonts w:hint="eastAsia" w:asciiTheme="minorEastAsia" w:hAnsiTheme="minorEastAsia" w:eastAsiaTheme="minorEastAsia" w:cstheme="minorEastAsia"/>
          <w:color w:val="000000"/>
          <w:sz w:val="24"/>
          <w:szCs w:val="24"/>
          <w:lang w:bidi="ar"/>
        </w:rPr>
        <w:t xml:space="preserve">报文，解</w:t>
      </w:r>
      <w:r>
        <w:rPr>
          <w:rFonts w:hint="eastAsia" w:asciiTheme="minorEastAsia" w:hAnsiTheme="minorEastAsia" w:eastAsiaTheme="minorEastAsia" w:cstheme="minorEastAsia"/>
          <w:color w:val="000000"/>
          <w:sz w:val="24"/>
          <w:szCs w:val="24"/>
          <w:lang w:bidi="ar"/>
        </w:rPr>
        <w:t xml:space="preserve">析无人机机身</w:t>
      </w:r>
      <w:r>
        <w:rPr>
          <w:rFonts w:hint="eastAsia" w:asciiTheme="minorEastAsia" w:hAnsiTheme="minorEastAsia" w:eastAsiaTheme="minorEastAsia" w:cstheme="minorEastAsia"/>
          <w:color w:val="000000"/>
          <w:sz w:val="24"/>
          <w:szCs w:val="24"/>
          <w:lang w:bidi="ar"/>
        </w:rPr>
        <w:t xml:space="preserve">ID</w:t>
      </w:r>
      <w:r>
        <w:rPr>
          <w:rFonts w:hint="eastAsia" w:asciiTheme="minorEastAsia" w:hAnsiTheme="minorEastAsia" w:eastAsiaTheme="minorEastAsia" w:cstheme="minorEastAsia"/>
          <w:color w:val="000000"/>
          <w:sz w:val="24"/>
          <w:szCs w:val="24"/>
          <w:lang w:bidi="ar"/>
        </w:rPr>
        <w:t xml:space="preserve">、品牌型号、经纬度、高度、速度、飞手（遥控器）位置坐标等关键信息，实现对无人机及飞手（遥控器）的精准定位和轨迹追踪；内置多面阵高增益接收天线，适用于城区、远郊等多场景低空防护。</w:t>
      </w:r>
      <w:r/>
    </w:p>
    <w:p>
      <w:pPr>
        <w:pStyle w:val="803"/>
        <w:rPr>
          <w:b/>
          <w:bCs/>
          <w:sz w:val="24"/>
          <w:szCs w:val="24"/>
        </w:rPr>
      </w:pPr>
      <w:r>
        <w:rPr>
          <w:rFonts w:hint="eastAsia"/>
          <w:b/>
          <w:bCs/>
          <w:sz w:val="24"/>
          <w:szCs w:val="24"/>
        </w:rPr>
        <w:t xml:space="preserve">（三）公安内网接入服务器（信创）</w:t>
      </w:r>
      <w:r/>
    </w:p>
    <w:p>
      <w:pPr>
        <w:pStyle w:val="803"/>
        <w:rPr>
          <w:rFonts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全信创国产化服务器，硬件、底</w:t>
      </w:r>
      <w:r>
        <w:rPr>
          <w:rFonts w:hint="eastAsia" w:asciiTheme="minorEastAsia" w:hAnsiTheme="minorEastAsia" w:eastAsiaTheme="minorEastAsia" w:cstheme="minorEastAsia"/>
          <w:color w:val="000000"/>
          <w:sz w:val="24"/>
          <w:szCs w:val="24"/>
          <w:lang w:bidi="ar"/>
        </w:rPr>
        <w:t xml:space="preserve">层操作系统均适配国产自主体系，各司其职承载低空警务业务全</w:t>
      </w:r>
      <w:r>
        <w:rPr>
          <w:rFonts w:hint="eastAsia" w:asciiTheme="minorEastAsia" w:hAnsiTheme="minorEastAsia" w:eastAsiaTheme="minorEastAsia" w:cstheme="minorEastAsia"/>
          <w:color w:val="000000"/>
          <w:sz w:val="24"/>
          <w:szCs w:val="24"/>
          <w:lang w:bidi="ar"/>
        </w:rPr>
        <w:t xml:space="preserve">链路算力与</w:t>
      </w:r>
      <w:r>
        <w:rPr>
          <w:rFonts w:hint="eastAsia" w:asciiTheme="minorEastAsia" w:hAnsiTheme="minorEastAsia" w:eastAsiaTheme="minorEastAsia" w:cstheme="minorEastAsia"/>
          <w:color w:val="000000"/>
          <w:sz w:val="24"/>
          <w:szCs w:val="24"/>
          <w:lang w:bidi="ar"/>
        </w:rPr>
        <w:t xml:space="preserve">数据流转，如下：</w:t>
      </w:r>
      <w:r/>
    </w:p>
    <w:p>
      <w:pPr>
        <w:pStyle w:val="803"/>
        <w:rPr>
          <w:rFonts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1.</w:t>
      </w:r>
      <w:r>
        <w:rPr>
          <w:rFonts w:hint="eastAsia" w:asciiTheme="minorEastAsia" w:hAnsiTheme="minorEastAsia" w:eastAsiaTheme="minorEastAsia" w:cstheme="minorEastAsia"/>
          <w:color w:val="000000"/>
          <w:sz w:val="24"/>
          <w:szCs w:val="24"/>
          <w:lang w:bidi="ar"/>
        </w:rPr>
        <w:t xml:space="preserve">警务应用服务器承载警务综合业务平台、前端可视化驾驶舱、台账管理、人员权限、告警处置、工单流转等上层业务应用，对接前端操作终端，存储</w:t>
      </w:r>
      <w:r>
        <w:rPr>
          <w:rFonts w:hint="eastAsia" w:asciiTheme="minorEastAsia" w:hAnsiTheme="minorEastAsia" w:eastAsiaTheme="minorEastAsia" w:cstheme="minorEastAsia"/>
          <w:color w:val="000000"/>
          <w:sz w:val="24"/>
          <w:szCs w:val="24"/>
          <w:lang w:bidi="ar"/>
        </w:rPr>
        <w:t xml:space="preserve">业务台</w:t>
      </w:r>
      <w:r>
        <w:rPr>
          <w:rFonts w:hint="eastAsia" w:asciiTheme="minorEastAsia" w:hAnsiTheme="minorEastAsia" w:eastAsiaTheme="minorEastAsia" w:cstheme="minorEastAsia"/>
          <w:color w:val="000000"/>
          <w:sz w:val="24"/>
          <w:szCs w:val="24"/>
          <w:lang w:bidi="ar"/>
        </w:rPr>
        <w:t xml:space="preserve">账、案件等结构化业务数据。</w:t>
      </w:r>
      <w:r/>
    </w:p>
    <w:p>
      <w:pPr>
        <w:pStyle w:val="803"/>
        <w:rPr>
          <w:rFonts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2.</w:t>
      </w:r>
      <w:r>
        <w:rPr>
          <w:rFonts w:hint="eastAsia" w:asciiTheme="minorEastAsia" w:hAnsiTheme="minorEastAsia" w:eastAsiaTheme="minorEastAsia" w:cstheme="minorEastAsia"/>
          <w:color w:val="000000"/>
          <w:sz w:val="24"/>
          <w:szCs w:val="24"/>
          <w:lang w:bidi="ar"/>
        </w:rPr>
        <w:t xml:space="preserve">飞控服务器</w:t>
      </w:r>
      <w:r>
        <w:rPr>
          <w:rFonts w:hint="eastAsia" w:asciiTheme="minorEastAsia" w:hAnsiTheme="minorEastAsia" w:eastAsiaTheme="minorEastAsia" w:cstheme="minorEastAsia"/>
          <w:color w:val="000000"/>
          <w:sz w:val="24"/>
          <w:szCs w:val="24"/>
          <w:lang w:bidi="ar"/>
        </w:rPr>
        <w:t xml:space="preserve">专用于无人机飞行控制、航线规划、任务调度、实时飞行状态回传、远程起降指令下发，统筹无人机协同作业，保障低空飞行器飞行指令稳定下发与姿态</w:t>
      </w:r>
      <w:r>
        <w:rPr>
          <w:rFonts w:hint="eastAsia" w:asciiTheme="minorEastAsia" w:hAnsiTheme="minorEastAsia" w:eastAsiaTheme="minorEastAsia" w:cstheme="minorEastAsia"/>
          <w:color w:val="000000"/>
          <w:sz w:val="24"/>
          <w:szCs w:val="24"/>
          <w:lang w:bidi="ar"/>
        </w:rPr>
        <w:t xml:space="preserve">实时管</w:t>
      </w:r>
      <w:r>
        <w:rPr>
          <w:rFonts w:hint="eastAsia" w:asciiTheme="minorEastAsia" w:hAnsiTheme="minorEastAsia" w:eastAsiaTheme="minorEastAsia" w:cstheme="minorEastAsia"/>
          <w:color w:val="000000"/>
          <w:sz w:val="24"/>
          <w:szCs w:val="24"/>
          <w:lang w:bidi="ar"/>
        </w:rPr>
        <w:t xml:space="preserve">控。</w:t>
      </w:r>
      <w:r/>
    </w:p>
    <w:p>
      <w:pPr>
        <w:pStyle w:val="803"/>
        <w:rPr>
          <w:rFonts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3.</w:t>
      </w:r>
      <w:r>
        <w:rPr>
          <w:rFonts w:hint="eastAsia" w:asciiTheme="minorEastAsia" w:hAnsiTheme="minorEastAsia" w:eastAsiaTheme="minorEastAsia" w:cstheme="minorEastAsia"/>
          <w:color w:val="000000"/>
          <w:sz w:val="24"/>
          <w:szCs w:val="24"/>
          <w:lang w:bidi="ar"/>
        </w:rPr>
        <w:t xml:space="preserve">侦测转发服务器负责全域侦测设备、</w:t>
      </w:r>
      <w:r>
        <w:rPr>
          <w:rFonts w:hint="eastAsia" w:asciiTheme="minorEastAsia" w:hAnsiTheme="minorEastAsia" w:eastAsiaTheme="minorEastAsia" w:cstheme="minorEastAsia"/>
          <w:color w:val="000000"/>
          <w:sz w:val="24"/>
          <w:szCs w:val="24"/>
          <w:lang w:bidi="ar"/>
        </w:rPr>
        <w:t xml:space="preserve">RID </w:t>
      </w:r>
      <w:r>
        <w:rPr>
          <w:rFonts w:hint="eastAsia" w:asciiTheme="minorEastAsia" w:hAnsiTheme="minorEastAsia" w:eastAsiaTheme="minorEastAsia" w:cstheme="minorEastAsia"/>
          <w:color w:val="000000"/>
          <w:sz w:val="24"/>
          <w:szCs w:val="24"/>
          <w:lang w:bidi="ar"/>
        </w:rPr>
        <w:t xml:space="preserve">识别设备原始侦测数据接收、协议解析、流媒体转发、目标原始</w:t>
      </w:r>
      <w:r>
        <w:rPr>
          <w:rFonts w:hint="eastAsia" w:asciiTheme="minorEastAsia" w:hAnsiTheme="minorEastAsia" w:eastAsiaTheme="minorEastAsia" w:cstheme="minorEastAsia"/>
          <w:color w:val="000000"/>
          <w:sz w:val="24"/>
          <w:szCs w:val="24"/>
          <w:lang w:bidi="ar"/>
        </w:rPr>
        <w:t xml:space="preserve">坐标缓存，完成前端感知设备与</w:t>
      </w:r>
      <w:r>
        <w:rPr>
          <w:rFonts w:hint="eastAsia" w:asciiTheme="minorEastAsia" w:hAnsiTheme="minorEastAsia" w:eastAsiaTheme="minorEastAsia" w:cstheme="minorEastAsia"/>
          <w:color w:val="000000"/>
          <w:sz w:val="24"/>
          <w:szCs w:val="24"/>
          <w:lang w:bidi="ar"/>
        </w:rPr>
        <w:t xml:space="preserve">后端算力节点</w:t>
      </w:r>
      <w:r>
        <w:rPr>
          <w:rFonts w:hint="eastAsia" w:asciiTheme="minorEastAsia" w:hAnsiTheme="minorEastAsia" w:eastAsiaTheme="minorEastAsia" w:cstheme="minorEastAsia"/>
          <w:color w:val="000000"/>
          <w:sz w:val="24"/>
          <w:szCs w:val="24"/>
          <w:lang w:bidi="ar"/>
        </w:rPr>
        <w:t xml:space="preserve">的数据中转、清洗分发，实现多源感知数据实时互通。</w:t>
      </w:r>
      <w:r/>
    </w:p>
    <w:p>
      <w:pPr>
        <w:pStyle w:val="803"/>
        <w:rPr>
          <w:rFonts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4.</w:t>
      </w:r>
      <w:r>
        <w:rPr>
          <w:rFonts w:hint="eastAsia" w:asciiTheme="minorEastAsia" w:hAnsiTheme="minorEastAsia" w:eastAsiaTheme="minorEastAsia" w:cstheme="minorEastAsia"/>
          <w:color w:val="000000"/>
          <w:sz w:val="24"/>
          <w:szCs w:val="24"/>
          <w:lang w:bidi="ar"/>
        </w:rPr>
        <w:t xml:space="preserve">算力服务器</w:t>
      </w:r>
      <w:r>
        <w:rPr>
          <w:rFonts w:hint="eastAsia" w:asciiTheme="minorEastAsia" w:hAnsiTheme="minorEastAsia" w:eastAsiaTheme="minorEastAsia" w:cstheme="minorEastAsia"/>
          <w:color w:val="000000"/>
          <w:sz w:val="24"/>
          <w:szCs w:val="24"/>
          <w:lang w:bidi="ar"/>
        </w:rPr>
        <w:t xml:space="preserve">提供</w:t>
      </w:r>
      <w:r>
        <w:rPr>
          <w:rFonts w:hint="eastAsia" w:asciiTheme="minorEastAsia" w:hAnsiTheme="minorEastAsia" w:eastAsiaTheme="minorEastAsia" w:cstheme="minorEastAsia"/>
          <w:color w:val="000000"/>
          <w:sz w:val="24"/>
          <w:szCs w:val="24"/>
          <w:lang w:bidi="ar"/>
        </w:rPr>
        <w:t xml:space="preserve"> AI </w:t>
      </w:r>
      <w:r>
        <w:rPr>
          <w:rFonts w:hint="eastAsia" w:asciiTheme="minorEastAsia" w:hAnsiTheme="minorEastAsia" w:eastAsiaTheme="minorEastAsia" w:cstheme="minorEastAsia"/>
          <w:color w:val="000000"/>
          <w:sz w:val="24"/>
          <w:szCs w:val="24"/>
          <w:lang w:bidi="ar"/>
        </w:rPr>
        <w:t xml:space="preserve">目标识别、多</w:t>
      </w:r>
      <w:r>
        <w:rPr>
          <w:rFonts w:hint="eastAsia" w:asciiTheme="minorEastAsia" w:hAnsiTheme="minorEastAsia" w:eastAsiaTheme="minorEastAsia" w:cstheme="minorEastAsia"/>
          <w:color w:val="000000"/>
          <w:sz w:val="24"/>
          <w:szCs w:val="24"/>
          <w:lang w:bidi="ar"/>
        </w:rPr>
        <w:t xml:space="preserve">源数据</w:t>
      </w:r>
      <w:r>
        <w:rPr>
          <w:rFonts w:hint="eastAsia" w:asciiTheme="minorEastAsia" w:hAnsiTheme="minorEastAsia" w:eastAsiaTheme="minorEastAsia" w:cstheme="minorEastAsia"/>
          <w:color w:val="000000"/>
          <w:sz w:val="24"/>
          <w:szCs w:val="24"/>
          <w:lang w:bidi="ar"/>
        </w:rPr>
        <w:t xml:space="preserve">融合</w:t>
      </w:r>
      <w:r>
        <w:rPr>
          <w:rFonts w:hint="eastAsia" w:asciiTheme="minorEastAsia" w:hAnsiTheme="minorEastAsia" w:eastAsiaTheme="minorEastAsia" w:cstheme="minorEastAsia"/>
          <w:color w:val="000000"/>
          <w:sz w:val="24"/>
          <w:szCs w:val="24"/>
          <w:lang w:bidi="ar"/>
        </w:rPr>
        <w:t xml:space="preserve">算法算力支撑</w:t>
      </w:r>
      <w:r>
        <w:rPr>
          <w:rFonts w:hint="eastAsia" w:asciiTheme="minorEastAsia" w:hAnsiTheme="minorEastAsia" w:eastAsiaTheme="minorEastAsia" w:cstheme="minorEastAsia"/>
          <w:color w:val="000000"/>
          <w:sz w:val="24"/>
          <w:szCs w:val="24"/>
          <w:lang w:bidi="ar"/>
        </w:rPr>
        <w:t xml:space="preserve">，运行各类智能分析模型。</w:t>
      </w:r>
      <w:r/>
    </w:p>
    <w:p>
      <w:pPr>
        <w:pStyle w:val="756"/>
        <w:ind w:firstLine="602"/>
        <w:jc w:val="both"/>
        <w:keepLines w:val="0"/>
        <w:keepNext w:val="0"/>
        <w:spacing w:before="0" w:after="0" w:line="360" w:lineRule="auto"/>
        <w:widowControl/>
        <w:rPr>
          <w:rFonts w:asciiTheme="minorEastAsia" w:hAnsiTheme="minorEastAsia" w:eastAsiaTheme="minorEastAsia" w:cstheme="minorEastAsia"/>
          <w:color w:val="000000"/>
          <w:sz w:val="30"/>
          <w:szCs w:val="30"/>
        </w:rPr>
      </w:pPr>
      <w:r>
        <w:rPr>
          <w:rFonts w:hint="eastAsia" w:asciiTheme="minorEastAsia" w:hAnsiTheme="minorEastAsia" w:eastAsiaTheme="minorEastAsia" w:cstheme="minorEastAsia"/>
          <w:color w:val="000000"/>
          <w:sz w:val="30"/>
          <w:szCs w:val="30"/>
        </w:rPr>
        <w:t xml:space="preserve">五、</w:t>
      </w:r>
      <w:r>
        <w:rPr>
          <w:rFonts w:hint="eastAsia" w:asciiTheme="minorEastAsia" w:hAnsiTheme="minorEastAsia" w:eastAsiaTheme="minorEastAsia" w:cstheme="minorEastAsia"/>
          <w:color w:val="000000"/>
          <w:sz w:val="30"/>
          <w:szCs w:val="30"/>
        </w:rPr>
        <w:t xml:space="preserve">飞手培训</w:t>
      </w:r>
      <w:r>
        <w:rPr>
          <w:rFonts w:hint="eastAsia" w:asciiTheme="minorEastAsia" w:hAnsiTheme="minorEastAsia" w:eastAsiaTheme="minorEastAsia" w:cstheme="minorEastAsia"/>
          <w:color w:val="000000"/>
          <w:sz w:val="30"/>
          <w:szCs w:val="30"/>
        </w:rPr>
        <w:t xml:space="preserve">服务</w:t>
      </w:r>
      <w:r/>
    </w:p>
    <w:p>
      <w:pPr>
        <w:pStyle w:val="803"/>
        <w:rPr>
          <w:rFonts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完成</w:t>
      </w:r>
      <w:r>
        <w:rPr>
          <w:rFonts w:hint="eastAsia" w:asciiTheme="minorEastAsia" w:hAnsiTheme="minorEastAsia" w:eastAsiaTheme="minorEastAsia" w:cstheme="minorEastAsia"/>
          <w:color w:val="000000"/>
          <w:sz w:val="24"/>
          <w:szCs w:val="24"/>
          <w:lang w:bidi="ar"/>
        </w:rPr>
        <w:t xml:space="preserve">40</w:t>
      </w:r>
      <w:r>
        <w:rPr>
          <w:rFonts w:hint="eastAsia" w:asciiTheme="minorEastAsia" w:hAnsiTheme="minorEastAsia" w:eastAsiaTheme="minorEastAsia" w:cstheme="minorEastAsia"/>
          <w:color w:val="000000"/>
          <w:sz w:val="24"/>
          <w:szCs w:val="24"/>
          <w:lang w:bidi="ar"/>
        </w:rPr>
        <w:t xml:space="preserve">人的</w:t>
      </w:r>
      <w:r>
        <w:rPr>
          <w:rFonts w:hint="eastAsia" w:asciiTheme="minorEastAsia" w:hAnsiTheme="minorEastAsia" w:eastAsiaTheme="minorEastAsia" w:cstheme="minorEastAsia"/>
          <w:color w:val="000000"/>
          <w:sz w:val="24"/>
          <w:szCs w:val="24"/>
          <w:lang w:bidi="ar"/>
        </w:rPr>
        <w:t xml:space="preserve">CAAC</w:t>
      </w:r>
      <w:r>
        <w:rPr>
          <w:rFonts w:hint="eastAsia" w:asciiTheme="minorEastAsia" w:hAnsiTheme="minorEastAsia" w:eastAsiaTheme="minorEastAsia" w:cstheme="minorEastAsia"/>
          <w:color w:val="000000"/>
          <w:sz w:val="24"/>
          <w:szCs w:val="24"/>
          <w:lang w:bidi="ar"/>
        </w:rPr>
        <w:t xml:space="preserve">无人机机长执照考试培训并组织参训人员通过国家民航局组织的专业考试并取得相应资质证书（</w:t>
      </w:r>
      <w:r>
        <w:rPr>
          <w:rFonts w:hint="eastAsia" w:asciiTheme="minorEastAsia" w:hAnsiTheme="minorEastAsia" w:eastAsiaTheme="minorEastAsia" w:cstheme="minorEastAsia"/>
          <w:color w:val="000000"/>
          <w:sz w:val="24"/>
          <w:szCs w:val="24"/>
          <w:lang w:bidi="ar"/>
        </w:rPr>
        <w:t xml:space="preserve">CAAC</w:t>
      </w:r>
      <w:r>
        <w:rPr>
          <w:rFonts w:hint="eastAsia" w:asciiTheme="minorEastAsia" w:hAnsiTheme="minorEastAsia" w:eastAsiaTheme="minorEastAsia" w:cstheme="minorEastAsia"/>
          <w:color w:val="000000"/>
          <w:sz w:val="24"/>
          <w:szCs w:val="24"/>
          <w:lang w:bidi="ar"/>
        </w:rPr>
        <w:t xml:space="preserve">小型超视距多旋翼）</w:t>
      </w:r>
      <w:r/>
    </w:p>
    <w:p>
      <w:pPr>
        <w:pStyle w:val="756"/>
        <w:ind w:firstLine="602"/>
        <w:jc w:val="both"/>
        <w:keepLines w:val="0"/>
        <w:keepNext w:val="0"/>
        <w:spacing w:before="0" w:after="0" w:line="360" w:lineRule="auto"/>
        <w:widowControl/>
        <w:rPr>
          <w:rFonts w:asciiTheme="minorEastAsia" w:hAnsiTheme="minorEastAsia" w:eastAsiaTheme="minorEastAsia" w:cstheme="minorEastAsia"/>
          <w:color w:val="000000"/>
          <w:sz w:val="30"/>
          <w:szCs w:val="30"/>
        </w:rPr>
      </w:pPr>
      <w:r>
        <w:rPr>
          <w:rFonts w:hint="eastAsia" w:asciiTheme="minorEastAsia" w:hAnsiTheme="minorEastAsia" w:eastAsiaTheme="minorEastAsia" w:cstheme="minorEastAsia"/>
          <w:color w:val="000000"/>
          <w:sz w:val="30"/>
          <w:szCs w:val="30"/>
        </w:rPr>
        <w:t xml:space="preserve">六、实施、培训及售后服务要求</w:t>
      </w:r>
      <w:r/>
    </w:p>
    <w:p>
      <w:pPr>
        <w:pStyle w:val="757"/>
        <w:ind w:firstLine="482"/>
        <w:keepLines w:val="0"/>
        <w:keepNext w:val="0"/>
        <w:spacing w:before="0" w:after="0"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（一）项目实施</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w:t>
      </w:r>
      <w:r>
        <w:rPr>
          <w:rFonts w:hint="eastAsia" w:asciiTheme="minorEastAsia" w:hAnsiTheme="minorEastAsia" w:eastAsiaTheme="minorEastAsia" w:cstheme="minorEastAsia"/>
          <w:color w:val="000000"/>
          <w:sz w:val="24"/>
          <w:szCs w:val="24"/>
        </w:rPr>
        <w:t xml:space="preserve">成交方负责全系统部署、软硬件安装、线路调试等。</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w:t>
      </w:r>
      <w:r>
        <w:rPr>
          <w:rFonts w:hint="eastAsia" w:asciiTheme="minorEastAsia" w:hAnsiTheme="minorEastAsia" w:eastAsiaTheme="minorEastAsia" w:cstheme="minorEastAsia"/>
          <w:color w:val="000000"/>
          <w:sz w:val="24"/>
          <w:szCs w:val="24"/>
        </w:rPr>
        <w:t xml:space="preserve">制定详细实施方案、进度计划，接受采购方全程监督。</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w:t>
      </w:r>
      <w:r>
        <w:rPr>
          <w:rFonts w:hint="eastAsia" w:asciiTheme="minorEastAsia" w:hAnsiTheme="minorEastAsia" w:eastAsiaTheme="minorEastAsia" w:cstheme="minorEastAsia"/>
          <w:color w:val="000000"/>
          <w:sz w:val="24"/>
          <w:szCs w:val="24"/>
        </w:rPr>
        <w:t xml:space="preserve">项目完成后出具完整测试报告、竣工文档、操作手册、技术手册。</w:t>
      </w:r>
      <w:r/>
    </w:p>
    <w:p>
      <w:pPr>
        <w:pStyle w:val="757"/>
        <w:ind w:firstLine="482"/>
        <w:keepLines w:val="0"/>
        <w:keepNext w:val="0"/>
        <w:spacing w:before="0" w:after="0"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（二）人员培训</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w:t>
      </w:r>
      <w:r>
        <w:rPr>
          <w:rFonts w:hint="eastAsia" w:asciiTheme="minorEastAsia" w:hAnsiTheme="minorEastAsia" w:eastAsiaTheme="minorEastAsia" w:cstheme="minorEastAsia"/>
          <w:color w:val="000000"/>
          <w:sz w:val="24"/>
          <w:szCs w:val="24"/>
        </w:rPr>
        <w:t xml:space="preserve">培训内容包含系统操作、终端使用、故障排查、应急处置流程，确保使用人员熟练操作。</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w:t>
      </w:r>
      <w:r>
        <w:rPr>
          <w:rFonts w:hint="eastAsia" w:asciiTheme="minorEastAsia" w:hAnsiTheme="minorEastAsia" w:eastAsiaTheme="minorEastAsia" w:cstheme="minorEastAsia"/>
          <w:color w:val="000000"/>
          <w:sz w:val="24"/>
          <w:szCs w:val="24"/>
        </w:rPr>
        <w:t xml:space="preserve">提供现场培训</w:t>
      </w:r>
      <w:r>
        <w:rPr>
          <w:rFonts w:hint="eastAsia" w:asciiTheme="minorEastAsia" w:hAnsiTheme="minorEastAsia" w:eastAsiaTheme="minorEastAsia" w:cstheme="minorEastAsia"/>
          <w:color w:val="000000"/>
          <w:sz w:val="24"/>
          <w:szCs w:val="24"/>
        </w:rPr>
        <w:t xml:space="preserve"> + </w:t>
      </w:r>
      <w:r>
        <w:rPr>
          <w:rFonts w:hint="eastAsia" w:asciiTheme="minorEastAsia" w:hAnsiTheme="minorEastAsia" w:eastAsiaTheme="minorEastAsia" w:cstheme="minorEastAsia"/>
          <w:color w:val="000000"/>
          <w:sz w:val="24"/>
          <w:szCs w:val="24"/>
        </w:rPr>
        <w:t xml:space="preserve">视频教程</w:t>
      </w:r>
      <w:r>
        <w:rPr>
          <w:rFonts w:hint="eastAsia" w:asciiTheme="minorEastAsia" w:hAnsiTheme="minorEastAsia" w:eastAsiaTheme="minorEastAsia" w:cstheme="minorEastAsia"/>
          <w:color w:val="000000"/>
          <w:sz w:val="24"/>
          <w:szCs w:val="24"/>
        </w:rPr>
        <w:t xml:space="preserve"> + </w:t>
      </w:r>
      <w:r>
        <w:rPr>
          <w:rFonts w:hint="eastAsia" w:asciiTheme="minorEastAsia" w:hAnsiTheme="minorEastAsia" w:eastAsiaTheme="minorEastAsia" w:cstheme="minorEastAsia"/>
          <w:color w:val="000000"/>
          <w:sz w:val="24"/>
          <w:szCs w:val="24"/>
        </w:rPr>
        <w:t xml:space="preserve">纸质手册多种培训形式。</w:t>
      </w:r>
      <w:r/>
    </w:p>
    <w:p>
      <w:pPr>
        <w:pStyle w:val="757"/>
        <w:ind w:firstLine="482"/>
        <w:keepLines w:val="0"/>
        <w:keepNext w:val="0"/>
        <w:spacing w:before="0" w:after="0"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（三）售后服务</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w:t>
      </w:r>
      <w:r>
        <w:rPr>
          <w:rStyle w:val="805"/>
          <w:rFonts w:hint="eastAsia" w:asciiTheme="minorEastAsia" w:hAnsiTheme="minorEastAsia" w:eastAsiaTheme="minorEastAsia" w:cstheme="minorEastAsia"/>
          <w:color w:val="000000"/>
          <w:sz w:val="24"/>
          <w:szCs w:val="24"/>
        </w:rPr>
        <w:t xml:space="preserve">质保期</w:t>
      </w:r>
      <w:r>
        <w:rPr>
          <w:rFonts w:hint="eastAsia" w:asciiTheme="minorEastAsia" w:hAnsiTheme="minorEastAsia" w:eastAsiaTheme="minorEastAsia" w:cstheme="minorEastAsia"/>
          <w:color w:val="000000"/>
          <w:sz w:val="24"/>
          <w:szCs w:val="24"/>
        </w:rPr>
        <w:t xml:space="preserve">：</w:t>
      </w:r>
      <w:r>
        <w:rPr>
          <w:rFonts w:hint="eastAsia" w:asciiTheme="minorEastAsia" w:hAnsiTheme="minorEastAsia" w:eastAsiaTheme="minorEastAsia" w:cstheme="minorEastAsia"/>
          <w:color w:val="000000"/>
          <w:sz w:val="24"/>
          <w:szCs w:val="24"/>
        </w:rPr>
        <w:t xml:space="preserve">2</w:t>
      </w:r>
      <w:r>
        <w:rPr>
          <w:rFonts w:hint="eastAsia" w:asciiTheme="minorEastAsia" w:hAnsiTheme="minorEastAsia" w:eastAsiaTheme="minorEastAsia" w:cstheme="minorEastAsia"/>
          <w:color w:val="000000"/>
          <w:sz w:val="24"/>
          <w:szCs w:val="24"/>
        </w:rPr>
        <w:t xml:space="preserve">年，质保期内免费维修、更换配件、版本升级。</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w:t>
      </w:r>
      <w:r>
        <w:rPr>
          <w:rStyle w:val="805"/>
          <w:rFonts w:hint="eastAsia" w:asciiTheme="minorEastAsia" w:hAnsiTheme="minorEastAsia" w:eastAsiaTheme="minorEastAsia" w:cstheme="minorEastAsia"/>
          <w:color w:val="000000"/>
          <w:sz w:val="24"/>
          <w:szCs w:val="24"/>
        </w:rPr>
        <w:t xml:space="preserve">运维服务</w:t>
      </w:r>
      <w:r>
        <w:rPr>
          <w:rFonts w:hint="eastAsia" w:asciiTheme="minorEastAsia" w:hAnsiTheme="minorEastAsia" w:eastAsiaTheme="minorEastAsia" w:cstheme="minorEastAsia"/>
          <w:color w:val="000000"/>
          <w:sz w:val="24"/>
          <w:szCs w:val="24"/>
        </w:rPr>
        <w:t xml:space="preserve">：提供</w:t>
      </w:r>
      <w:r>
        <w:rPr>
          <w:rFonts w:hint="eastAsia" w:asciiTheme="minorEastAsia" w:hAnsiTheme="minorEastAsia" w:eastAsiaTheme="minorEastAsia" w:cstheme="minorEastAsia"/>
          <w:color w:val="000000"/>
          <w:sz w:val="24"/>
          <w:szCs w:val="24"/>
        </w:rPr>
        <w:t xml:space="preserve"> 7</w:t>
      </w:r>
      <w:r>
        <w:rPr>
          <w:rFonts w:hint="eastAsia" w:asciiTheme="minorEastAsia" w:hAnsiTheme="minorEastAsia" w:eastAsiaTheme="minorEastAsia" w:cstheme="minorEastAsia"/>
          <w:color w:val="000000"/>
          <w:sz w:val="24"/>
          <w:szCs w:val="24"/>
        </w:rPr>
        <w:t xml:space="preserve">×</w:t>
      </w:r>
      <w:r>
        <w:rPr>
          <w:rFonts w:hint="eastAsia" w:asciiTheme="minorEastAsia" w:hAnsiTheme="minorEastAsia" w:eastAsiaTheme="minorEastAsia" w:cstheme="minorEastAsia"/>
          <w:color w:val="000000"/>
          <w:sz w:val="24"/>
          <w:szCs w:val="24"/>
        </w:rPr>
        <w:t xml:space="preserve">24 </w:t>
      </w:r>
      <w:r>
        <w:rPr>
          <w:rFonts w:hint="eastAsia" w:asciiTheme="minorEastAsia" w:hAnsiTheme="minorEastAsia" w:eastAsiaTheme="minorEastAsia" w:cstheme="minorEastAsia"/>
          <w:color w:val="000000"/>
          <w:sz w:val="24"/>
          <w:szCs w:val="24"/>
        </w:rPr>
        <w:t xml:space="preserve">小时技术支持，故障响应时间不超过</w:t>
      </w:r>
      <w:r>
        <w:rPr>
          <w:rFonts w:hint="eastAsia" w:asciiTheme="minorEastAsia" w:hAnsiTheme="minorEastAsia" w:eastAsiaTheme="minorEastAsia" w:cstheme="minorEastAsia"/>
          <w:color w:val="000000"/>
          <w:sz w:val="24"/>
          <w:szCs w:val="24"/>
        </w:rPr>
        <w:t xml:space="preserve"> 30 </w:t>
      </w:r>
      <w:r>
        <w:rPr>
          <w:rFonts w:hint="eastAsia" w:asciiTheme="minorEastAsia" w:hAnsiTheme="minorEastAsia" w:eastAsiaTheme="minorEastAsia" w:cstheme="minorEastAsia"/>
          <w:color w:val="000000"/>
          <w:sz w:val="24"/>
          <w:szCs w:val="24"/>
        </w:rPr>
        <w:t xml:space="preserve">分钟，一般故障</w:t>
      </w:r>
      <w:r>
        <w:rPr>
          <w:rFonts w:hint="eastAsia" w:asciiTheme="minorEastAsia" w:hAnsiTheme="minorEastAsia" w:eastAsiaTheme="minorEastAsia" w:cstheme="minorEastAsia"/>
          <w:color w:val="000000"/>
          <w:sz w:val="24"/>
          <w:szCs w:val="24"/>
        </w:rPr>
        <w:t xml:space="preserve"> 2 </w:t>
      </w:r>
      <w:r>
        <w:rPr>
          <w:rFonts w:hint="eastAsia" w:asciiTheme="minorEastAsia" w:hAnsiTheme="minorEastAsia" w:eastAsiaTheme="minorEastAsia" w:cstheme="minorEastAsia"/>
          <w:color w:val="000000"/>
          <w:sz w:val="24"/>
          <w:szCs w:val="24"/>
        </w:rPr>
        <w:t xml:space="preserve">小时内修复，重大故障</w:t>
      </w:r>
      <w:r>
        <w:rPr>
          <w:rFonts w:hint="eastAsia" w:asciiTheme="minorEastAsia" w:hAnsiTheme="minorEastAsia" w:eastAsiaTheme="minorEastAsia" w:cstheme="minorEastAsia"/>
          <w:color w:val="000000"/>
          <w:sz w:val="24"/>
          <w:szCs w:val="24"/>
        </w:rPr>
        <w:t xml:space="preserve"> 4 </w:t>
      </w:r>
      <w:r>
        <w:rPr>
          <w:rFonts w:hint="eastAsia" w:asciiTheme="minorEastAsia" w:hAnsiTheme="minorEastAsia" w:eastAsiaTheme="minorEastAsia" w:cstheme="minorEastAsia"/>
          <w:color w:val="000000"/>
          <w:sz w:val="24"/>
          <w:szCs w:val="24"/>
        </w:rPr>
        <w:t xml:space="preserve">小时内到场处置。</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w:t>
      </w:r>
      <w:r>
        <w:rPr>
          <w:rStyle w:val="805"/>
          <w:rFonts w:hint="eastAsia" w:asciiTheme="minorEastAsia" w:hAnsiTheme="minorEastAsia" w:eastAsiaTheme="minorEastAsia" w:cstheme="minorEastAsia"/>
          <w:color w:val="000000"/>
          <w:sz w:val="24"/>
          <w:szCs w:val="24"/>
        </w:rPr>
        <w:t xml:space="preserve">系统升级</w:t>
      </w:r>
      <w:r>
        <w:rPr>
          <w:rFonts w:hint="eastAsia" w:asciiTheme="minorEastAsia" w:hAnsiTheme="minorEastAsia" w:eastAsiaTheme="minorEastAsia" w:cstheme="minorEastAsia"/>
          <w:color w:val="000000"/>
          <w:sz w:val="24"/>
          <w:szCs w:val="24"/>
        </w:rPr>
        <w:t xml:space="preserve">：质保期内根据</w:t>
      </w:r>
      <w:r>
        <w:rPr>
          <w:rFonts w:hint="eastAsia" w:asciiTheme="minorEastAsia" w:hAnsiTheme="minorEastAsia" w:eastAsiaTheme="minorEastAsia" w:cstheme="minorEastAsia"/>
          <w:color w:val="000000"/>
          <w:sz w:val="24"/>
          <w:szCs w:val="24"/>
        </w:rPr>
        <w:t xml:space="preserve">业务需求免费进行小版本迭代、功能优化、接口适配调整。</w:t>
      </w:r>
      <w:r/>
    </w:p>
    <w:p>
      <w:pPr>
        <w:pStyle w:val="756"/>
        <w:ind w:firstLine="480"/>
        <w:jc w:val="both"/>
        <w:keepLines w:val="0"/>
        <w:keepNext w:val="0"/>
        <w:spacing w:before="0" w:after="0" w:line="360" w:lineRule="auto"/>
        <w:widowControl/>
        <w:rPr>
          <w:rFonts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 xml:space="preserve">4</w:t>
      </w:r>
      <w:r>
        <w:rPr>
          <w:rFonts w:hint="eastAsia" w:asciiTheme="minorEastAsia" w:hAnsiTheme="minorEastAsia" w:eastAsiaTheme="minorEastAsia" w:cstheme="minorEastAsia"/>
          <w:color w:val="000000"/>
          <w:sz w:val="24"/>
          <w:szCs w:val="24"/>
        </w:rPr>
        <w:t xml:space="preserve">.</w:t>
      </w:r>
      <w:r>
        <w:rPr>
          <w:rStyle w:val="805"/>
          <w:rFonts w:hint="eastAsia" w:asciiTheme="minorEastAsia" w:hAnsiTheme="minorEastAsia" w:eastAsiaTheme="minorEastAsia" w:cstheme="minorEastAsia"/>
          <w:b/>
          <w:bCs/>
          <w:color w:val="000000"/>
          <w:sz w:val="24"/>
          <w:szCs w:val="24"/>
        </w:rPr>
        <w:t xml:space="preserve">驻场服务</w:t>
      </w:r>
      <w:r>
        <w:rPr>
          <w:rFonts w:hint="eastAsia" w:asciiTheme="minorEastAsia" w:hAnsiTheme="minorEastAsia" w:eastAsiaTheme="minorEastAsia" w:cstheme="minorEastAsia"/>
          <w:color w:val="000000"/>
          <w:sz w:val="24"/>
          <w:szCs w:val="24"/>
        </w:rPr>
        <w:t xml:space="preserve">：</w:t>
      </w:r>
      <w:r>
        <w:rPr>
          <w:rFonts w:hint="eastAsia" w:asciiTheme="minorEastAsia" w:hAnsiTheme="minorEastAsia" w:eastAsiaTheme="minorEastAsia" w:cstheme="minorEastAsia"/>
          <w:b w:val="0"/>
          <w:bCs w:val="0"/>
          <w:color w:val="000000"/>
          <w:sz w:val="24"/>
          <w:szCs w:val="24"/>
        </w:rPr>
        <w:t xml:space="preserve">自项目</w:t>
      </w:r>
      <w:r>
        <w:rPr>
          <w:rFonts w:hint="eastAsia" w:asciiTheme="minorEastAsia" w:hAnsiTheme="minorEastAsia" w:eastAsiaTheme="minorEastAsia" w:cstheme="minorEastAsia"/>
          <w:b w:val="0"/>
          <w:bCs w:val="0"/>
          <w:color w:val="000000"/>
          <w:sz w:val="24"/>
          <w:szCs w:val="24"/>
        </w:rPr>
        <w:t xml:space="preserve">验收合格次日起算</w:t>
      </w:r>
      <w:r>
        <w:rPr>
          <w:rFonts w:hint="eastAsia" w:asciiTheme="minorEastAsia" w:hAnsiTheme="minorEastAsia" w:eastAsiaTheme="minorEastAsia" w:cstheme="minorEastAsia"/>
          <w:b w:val="0"/>
          <w:bCs w:val="0"/>
          <w:color w:val="000000"/>
          <w:sz w:val="24"/>
          <w:szCs w:val="24"/>
        </w:rPr>
        <w:t xml:space="preserve"> 1 </w:t>
      </w:r>
      <w:r>
        <w:rPr>
          <w:rFonts w:hint="eastAsia" w:asciiTheme="minorEastAsia" w:hAnsiTheme="minorEastAsia" w:eastAsiaTheme="minorEastAsia" w:cstheme="minorEastAsia"/>
          <w:b w:val="0"/>
          <w:bCs w:val="0"/>
          <w:color w:val="000000"/>
          <w:sz w:val="24"/>
          <w:szCs w:val="24"/>
        </w:rPr>
        <w:t xml:space="preserve">个</w:t>
      </w:r>
      <w:r>
        <w:rPr>
          <w:rFonts w:hint="eastAsia" w:asciiTheme="minorEastAsia" w:hAnsiTheme="minorEastAsia" w:eastAsiaTheme="minorEastAsia" w:cstheme="minorEastAsia"/>
          <w:b w:val="0"/>
          <w:bCs w:val="0"/>
          <w:color w:val="000000"/>
          <w:sz w:val="24"/>
          <w:szCs w:val="24"/>
        </w:rPr>
        <w:t xml:space="preserve">月，供应商需派驻专职技术人员驻场保障；人员每日在岗不少于</w:t>
      </w:r>
      <w:r>
        <w:rPr>
          <w:rFonts w:hint="eastAsia" w:asciiTheme="minorEastAsia" w:hAnsiTheme="minorEastAsia" w:eastAsiaTheme="minorEastAsia" w:cstheme="minorEastAsia"/>
          <w:b w:val="0"/>
          <w:bCs w:val="0"/>
          <w:color w:val="000000"/>
          <w:sz w:val="24"/>
          <w:szCs w:val="24"/>
        </w:rPr>
        <w:t xml:space="preserve"> 8 </w:t>
      </w:r>
      <w:r>
        <w:rPr>
          <w:rFonts w:hint="eastAsia" w:asciiTheme="minorEastAsia" w:hAnsiTheme="minorEastAsia" w:eastAsiaTheme="minorEastAsia" w:cstheme="minorEastAsia"/>
          <w:b w:val="0"/>
          <w:bCs w:val="0"/>
          <w:color w:val="000000"/>
          <w:sz w:val="24"/>
          <w:szCs w:val="24"/>
        </w:rPr>
        <w:t xml:space="preserve">小时，工作时段与采购人办公时间同步，全程负责系统调试、故障处置、操作培训及运行监测，快速响应现场使用需求，确保系统平稳运行。</w:t>
      </w:r>
      <w:r/>
    </w:p>
    <w:p>
      <w:pPr>
        <w:pStyle w:val="756"/>
        <w:ind w:firstLine="602"/>
        <w:jc w:val="both"/>
        <w:keepLines w:val="0"/>
        <w:keepNext w:val="0"/>
        <w:spacing w:before="0" w:after="0" w:line="360" w:lineRule="auto"/>
        <w:widowControl/>
        <w:rPr>
          <w:rFonts w:asciiTheme="minorEastAsia" w:hAnsiTheme="minorEastAsia" w:eastAsiaTheme="minorEastAsia" w:cstheme="minorEastAsia"/>
          <w:color w:val="000000"/>
          <w:sz w:val="30"/>
          <w:szCs w:val="30"/>
        </w:rPr>
      </w:pPr>
      <w:r>
        <w:rPr>
          <w:rFonts w:hint="eastAsia" w:asciiTheme="minorEastAsia" w:hAnsiTheme="minorEastAsia" w:eastAsiaTheme="minorEastAsia" w:cstheme="minorEastAsia"/>
          <w:color w:val="000000"/>
          <w:sz w:val="30"/>
          <w:szCs w:val="30"/>
        </w:rPr>
        <w:t xml:space="preserve">七、验收标准</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w:t>
      </w:r>
      <w:r>
        <w:rPr>
          <w:rFonts w:hint="eastAsia" w:asciiTheme="minorEastAsia" w:hAnsiTheme="minorEastAsia" w:eastAsiaTheme="minorEastAsia" w:cstheme="minorEastAsia"/>
          <w:color w:val="000000"/>
          <w:sz w:val="24"/>
          <w:szCs w:val="24"/>
        </w:rPr>
        <w:t xml:space="preserve">所有软硬件、系统功能完全符合本采购需求及技术文档要求，功能无缺失。</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w:t>
      </w:r>
      <w:r>
        <w:rPr>
          <w:rFonts w:hint="eastAsia" w:asciiTheme="minorEastAsia" w:hAnsiTheme="minorEastAsia" w:eastAsiaTheme="minorEastAsia" w:cstheme="minorEastAsia"/>
          <w:color w:val="000000"/>
          <w:sz w:val="24"/>
          <w:szCs w:val="24"/>
        </w:rPr>
        <w:t xml:space="preserve">数据安全、隐私保护、日志审计满足相关规范要求。</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w:t>
      </w:r>
      <w:r>
        <w:rPr>
          <w:rFonts w:hint="eastAsia" w:asciiTheme="minorEastAsia" w:hAnsiTheme="minorEastAsia" w:eastAsiaTheme="minorEastAsia" w:cstheme="minorEastAsia"/>
          <w:color w:val="000000"/>
          <w:sz w:val="24"/>
          <w:szCs w:val="24"/>
        </w:rPr>
        <w:t xml:space="preserve">全套文档（实施方案、测试报告、操作手册、拓扑图、接口文档等）齐全完整。</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w:t>
      </w:r>
      <w:r>
        <w:rPr>
          <w:rFonts w:hint="eastAsia" w:asciiTheme="minorEastAsia" w:hAnsiTheme="minorEastAsia" w:eastAsiaTheme="minorEastAsia" w:cstheme="minorEastAsia"/>
          <w:color w:val="000000"/>
          <w:sz w:val="24"/>
          <w:szCs w:val="24"/>
        </w:rPr>
        <w:t xml:space="preserve">采购方组织多方联合验收，验收合格出具验收报告。</w:t>
      </w:r>
      <w:r/>
    </w:p>
    <w:p>
      <w:pPr>
        <w:pStyle w:val="756"/>
        <w:ind w:firstLine="602"/>
        <w:jc w:val="both"/>
        <w:keepLines w:val="0"/>
        <w:keepNext w:val="0"/>
        <w:spacing w:before="0" w:after="0" w:line="360" w:lineRule="auto"/>
        <w:widowControl/>
        <w:rPr>
          <w:rFonts w:asciiTheme="minorEastAsia" w:hAnsiTheme="minorEastAsia" w:eastAsiaTheme="minorEastAsia" w:cstheme="minorEastAsia"/>
          <w:color w:val="000000"/>
          <w:sz w:val="30"/>
          <w:szCs w:val="30"/>
        </w:rPr>
      </w:pPr>
      <w:r>
        <w:rPr>
          <w:rFonts w:hint="eastAsia" w:asciiTheme="minorEastAsia" w:hAnsiTheme="minorEastAsia" w:eastAsiaTheme="minorEastAsia" w:cstheme="minorEastAsia"/>
          <w:color w:val="000000"/>
          <w:sz w:val="30"/>
          <w:szCs w:val="30"/>
        </w:rPr>
        <w:t xml:space="preserve">八、其他要求</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w:t>
      </w:r>
      <w:r>
        <w:rPr>
          <w:rFonts w:hint="eastAsia" w:asciiTheme="minorEastAsia" w:hAnsiTheme="minorEastAsia" w:eastAsiaTheme="minorEastAsia" w:cstheme="minorEastAsia"/>
          <w:color w:val="000000"/>
          <w:sz w:val="24"/>
          <w:szCs w:val="24"/>
        </w:rPr>
        <w:t xml:space="preserve">响应产品必须为全新正品，无翻新、二手设备，提供原厂质保承诺。</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w:t>
      </w:r>
      <w:r>
        <w:rPr>
          <w:rFonts w:hint="eastAsia" w:asciiTheme="minorEastAsia" w:hAnsiTheme="minorEastAsia" w:eastAsiaTheme="minorEastAsia" w:cstheme="minorEastAsia"/>
          <w:color w:val="000000"/>
          <w:sz w:val="24"/>
          <w:szCs w:val="24"/>
        </w:rPr>
        <w:t xml:space="preserve">成交供应商需严格遵守公安、政务网络相关管理规定，签订保密协议，严禁泄露业务数据、警情信息。</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w:t>
      </w:r>
      <w:r>
        <w:rPr>
          <w:rFonts w:hint="eastAsia" w:asciiTheme="minorEastAsia" w:hAnsiTheme="minorEastAsia" w:eastAsiaTheme="minorEastAsia" w:cstheme="minorEastAsia"/>
          <w:color w:val="000000"/>
          <w:sz w:val="24"/>
          <w:szCs w:val="24"/>
        </w:rPr>
        <w:t xml:space="preserve">项目所有知识产权、软件著作权最终归采购方所有。</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w:t>
      </w:r>
      <w:r>
        <w:rPr>
          <w:rFonts w:hint="eastAsia" w:asciiTheme="minorEastAsia" w:hAnsiTheme="minorEastAsia" w:eastAsiaTheme="minorEastAsia" w:cstheme="minorEastAsia"/>
          <w:color w:val="000000"/>
          <w:sz w:val="24"/>
          <w:szCs w:val="24"/>
        </w:rPr>
        <w:t xml:space="preserve">本项目为整体打包采购，供应商须对全部内容进行响应，不接受拆分投标。</w:t>
      </w:r>
      <w:r/>
    </w:p>
    <w:p>
      <w:pPr>
        <w:ind w:firstLine="480"/>
        <w:spacing w:line="360" w:lineRule="auto"/>
        <w:widowControl/>
        <w:rPr>
          <w:rFonts w:eastAsia="楷体_GB2312"/>
        </w:rPr>
      </w:pPr>
      <w:r>
        <w:rPr>
          <w:rFonts w:hint="eastAsia" w:asciiTheme="minorEastAsia" w:hAnsiTheme="minorEastAsia" w:eastAsiaTheme="minorEastAsia" w:cstheme="minorEastAsia"/>
          <w:color w:val="000000"/>
          <w:sz w:val="24"/>
          <w:szCs w:val="24"/>
        </w:rPr>
        <w:t xml:space="preserve">5</w:t>
      </w:r>
      <w:r>
        <w:rPr>
          <w:rFonts w:hint="eastAsia"/>
        </w:rPr>
        <w:t xml:space="preserve">.</w:t>
      </w:r>
      <w:r>
        <w:rPr>
          <w:b/>
          <w:bCs/>
          <w:sz w:val="24"/>
        </w:rPr>
        <w:t xml:space="preserve">★</w:t>
      </w:r>
      <w:r>
        <w:rPr>
          <w:rFonts w:hint="eastAsia" w:asciiTheme="minorEastAsia" w:hAnsiTheme="minorEastAsia" w:eastAsiaTheme="minorEastAsia" w:cstheme="minorEastAsia"/>
          <w:b/>
          <w:bCs/>
          <w:color w:val="000000"/>
          <w:sz w:val="24"/>
          <w:szCs w:val="24"/>
        </w:rPr>
        <w:t xml:space="preserve">供应商必须具有完成本项目数据传输所必需的通信线路资源以及在溧阳范围内铺设必要的光缆和线路的许可和能力。</w:t>
      </w:r>
      <w:r/>
    </w:p>
    <w:p>
      <w:pPr>
        <w:ind w:firstLine="643"/>
        <w:spacing w:line="360" w:lineRule="auto"/>
        <w:widowControl/>
        <w:rPr>
          <w:rFonts w:asciiTheme="minorEastAsia" w:hAnsiTheme="minorEastAsia" w:eastAsiaTheme="minorEastAsia" w:cstheme="minorEastAsia"/>
          <w:b/>
          <w:bCs/>
          <w:color w:val="000000"/>
          <w:sz w:val="32"/>
          <w:szCs w:val="32"/>
        </w:rPr>
      </w:pPr>
      <w:r>
        <w:rPr>
          <w:rFonts w:hint="eastAsia" w:asciiTheme="minorEastAsia" w:hAnsiTheme="minorEastAsia" w:eastAsiaTheme="minorEastAsia" w:cstheme="minorEastAsia"/>
          <w:b/>
          <w:bCs/>
          <w:color w:val="000000"/>
          <w:sz w:val="32"/>
          <w:szCs w:val="32"/>
        </w:rPr>
        <w:t xml:space="preserve">十、清单</w:t>
      </w:r>
      <w:r/>
    </w:p>
    <w:tbl>
      <w:tblPr>
        <w:tblW w:w="9792" w:type="dxa"/>
        <w:tblLayout w:type="fixed"/>
        <w:tblLook w:val="04A0" w:firstRow="1" w:lastRow="0" w:firstColumn="1" w:lastColumn="0" w:noHBand="0" w:noVBand="1"/>
      </w:tblPr>
      <w:tblGrid>
        <w:gridCol w:w="578"/>
        <w:gridCol w:w="799"/>
        <w:gridCol w:w="791"/>
        <w:gridCol w:w="940"/>
        <w:gridCol w:w="5128"/>
        <w:gridCol w:w="346"/>
        <w:gridCol w:w="445"/>
        <w:gridCol w:w="765"/>
      </w:tblGrid>
      <w:tr>
        <w:trPr>
          <w:trHeight w:val="540"/>
        </w:trPr>
        <w:tc>
          <w:tcPr>
            <w:tcBorders>
              <w:top w:val="single" w:color="auto" w:sz="4" w:space="0"/>
              <w:left w:val="single" w:color="auto" w:sz="4" w:space="0"/>
              <w:bottom w:val="single" w:color="auto" w:sz="4" w:space="0"/>
              <w:right w:val="single" w:color="auto" w:sz="4" w:space="0"/>
            </w:tcBorders>
            <w:tcW w:w="578"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序号</w:t>
            </w:r>
            <w:r/>
          </w:p>
        </w:tc>
        <w:tc>
          <w:tcPr>
            <w:gridSpan w:val="3"/>
            <w:tcBorders>
              <w:top w:val="single" w:color="auto" w:sz="4" w:space="0"/>
              <w:left w:val="none" w:color="000000" w:sz="4" w:space="0"/>
              <w:bottom w:val="single" w:color="auto" w:sz="4" w:space="0"/>
              <w:right w:val="single" w:color="000000" w:sz="4" w:space="0"/>
            </w:tcBorders>
            <w:tcW w:w="253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名称</w:t>
            </w:r>
            <w:r/>
          </w:p>
        </w:tc>
        <w:tc>
          <w:tcPr>
            <w:tcBorders>
              <w:top w:val="single" w:color="auto" w:sz="4" w:space="0"/>
              <w:left w:val="none" w:color="000000"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技术参数</w:t>
            </w:r>
            <w:r/>
          </w:p>
        </w:tc>
        <w:tc>
          <w:tcPr>
            <w:tcBorders>
              <w:top w:val="single" w:color="auto" w:sz="4" w:space="0"/>
              <w:left w:val="none" w:color="000000" w:sz="4" w:space="0"/>
              <w:bottom w:val="single" w:color="auto" w:sz="4" w:space="0"/>
              <w:right w:val="single" w:color="auto" w:sz="4" w:space="0"/>
            </w:tcBorders>
            <w:tcW w:w="346"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单位</w:t>
            </w:r>
            <w:r/>
          </w:p>
        </w:tc>
        <w:tc>
          <w:tcPr>
            <w:tcBorders>
              <w:top w:val="single" w:color="auto" w:sz="4" w:space="0"/>
              <w:left w:val="none" w:color="000000" w:sz="4" w:space="0"/>
              <w:bottom w:val="single" w:color="auto" w:sz="4" w:space="0"/>
              <w:right w:val="single" w:color="auto" w:sz="4" w:space="0"/>
            </w:tcBorders>
            <w:tcW w:w="445"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数量</w:t>
            </w:r>
            <w:r/>
          </w:p>
        </w:tc>
        <w:tc>
          <w:tcPr>
            <w:tcBorders>
              <w:top w:val="single" w:color="auto" w:sz="4" w:space="0"/>
              <w:left w:val="none" w:color="000000" w:sz="4" w:space="0"/>
              <w:bottom w:val="single" w:color="auto" w:sz="4" w:space="0"/>
              <w:right w:val="single" w:color="auto" w:sz="4" w:space="0"/>
            </w:tcBorders>
            <w:tcW w:w="765"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单价（万元）</w:t>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一</w:t>
            </w:r>
            <w:r>
              <w:rPr>
                <w:rFonts w:hint="eastAsia" w:ascii="宋体" w:hAnsi="宋体" w:cs="宋体"/>
                <w:b/>
                <w:bCs/>
                <w:sz w:val="24"/>
                <w:szCs w:val="24"/>
              </w:rPr>
              <w:t xml:space="preserve">.</w:t>
            </w:r>
            <w:r/>
          </w:p>
        </w:tc>
        <w:tc>
          <w:tcPr>
            <w:gridSpan w:val="4"/>
            <w:tcBorders>
              <w:top w:val="single" w:color="auto" w:sz="4" w:space="0"/>
              <w:left w:val="single" w:color="auto" w:sz="4" w:space="0"/>
              <w:bottom w:val="single" w:color="auto" w:sz="4" w:space="0"/>
              <w:right w:val="single" w:color="auto" w:sz="4" w:space="0"/>
            </w:tcBorders>
            <w:tcW w:w="7658" w:type="dxa"/>
            <w:vAlign w:val="center"/>
            <w:textDirection w:val="lrTb"/>
            <w:noWrap/>
          </w:tcPr>
          <w:p>
            <w:pPr>
              <w:jc w:val="left"/>
              <w:widowControl/>
              <w:rPr>
                <w:rFonts w:ascii="宋体" w:hAnsi="宋体" w:cs="宋体"/>
                <w:b/>
                <w:bCs/>
                <w:sz w:val="24"/>
                <w:szCs w:val="24"/>
              </w:rPr>
            </w:pPr>
            <w:r>
              <w:rPr>
                <w:rFonts w:hint="eastAsia" w:ascii="宋体" w:hAnsi="宋体" w:cs="宋体"/>
                <w:b/>
                <w:bCs/>
                <w:sz w:val="24"/>
                <w:szCs w:val="24"/>
              </w:rPr>
              <w:t xml:space="preserve">低空警务平台（定制开发软件部分）</w:t>
            </w:r>
            <w:r/>
          </w:p>
        </w:tc>
        <w:tc>
          <w:tcPr>
            <w:tcBorders>
              <w:top w:val="single" w:color="auto" w:sz="4" w:space="0"/>
              <w:left w:val="single" w:color="auto" w:sz="4" w:space="0"/>
              <w:bottom w:val="single" w:color="auto" w:sz="4" w:space="0"/>
              <w:right w:val="single" w:color="auto" w:sz="4" w:space="0"/>
            </w:tcBorders>
            <w:tcW w:w="34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44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jc w:val="center"/>
              <w:widowControl/>
              <w:rPr>
                <w:rFonts w:ascii="宋体" w:hAnsi="宋体" w:cs="宋体"/>
                <w:sz w:val="24"/>
                <w:szCs w:val="24"/>
              </w:rPr>
            </w:pPr>
            <w:r>
              <w:rPr>
                <w:rFonts w:hint="eastAsia" w:ascii="宋体" w:hAnsi="宋体" w:cs="宋体"/>
                <w:b/>
                <w:bCs/>
                <w:sz w:val="24"/>
                <w:szCs w:val="24"/>
              </w:rPr>
              <w:t xml:space="preserve">100</w:t>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799" w:type="dxa"/>
            <w:vAlign w:val="center"/>
            <w:vMerge w:val="restart"/>
            <w:textDirection w:val="lrTb"/>
            <w:noWrap/>
          </w:tcPr>
          <w:p>
            <w:pPr>
              <w:jc w:val="center"/>
              <w:widowControl/>
              <w:rPr>
                <w:rFonts w:ascii="宋体" w:hAnsi="宋体" w:cs="宋体"/>
                <w:sz w:val="24"/>
                <w:szCs w:val="24"/>
              </w:rPr>
            </w:pPr>
            <w:r>
              <w:rPr>
                <w:rFonts w:hint="eastAsia" w:ascii="宋体" w:hAnsi="宋体" w:cs="宋体"/>
                <w:sz w:val="24"/>
                <w:szCs w:val="24"/>
              </w:rPr>
              <w:t xml:space="preserve">态势一张图</w:t>
            </w:r>
            <w:r/>
          </w:p>
        </w:tc>
        <w:tc>
          <w:tcPr>
            <w:tcBorders>
              <w:top w:val="single" w:color="auto" w:sz="4" w:space="0"/>
              <w:left w:val="single" w:color="auto" w:sz="4" w:space="0"/>
              <w:bottom w:val="single" w:color="auto" w:sz="4" w:space="0"/>
              <w:right w:val="single" w:color="auto" w:sz="4" w:space="0"/>
            </w:tcBorders>
            <w:tcW w:w="791"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态势一张图模块</w:t>
            </w:r>
            <w:r/>
          </w:p>
        </w:tc>
        <w:tc>
          <w:tcPr>
            <w:tcBorders>
              <w:top w:val="single" w:color="auto" w:sz="4" w:space="0"/>
              <w:left w:val="single" w:color="auto" w:sz="4" w:space="0"/>
              <w:bottom w:val="single" w:color="auto" w:sz="4" w:space="0"/>
              <w:right w:val="single" w:color="auto" w:sz="4" w:space="0"/>
            </w:tcBorders>
            <w:tcW w:w="940"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总体空域态势概览</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支持展示溧阳</w:t>
            </w:r>
            <w:r>
              <w:rPr>
                <w:rFonts w:hint="eastAsia" w:ascii="宋体" w:hAnsi="宋体" w:cs="宋体"/>
                <w:sz w:val="18"/>
                <w:szCs w:val="18"/>
              </w:rPr>
              <w:t xml:space="preserve">全域适飞区域</w:t>
            </w:r>
            <w:r>
              <w:rPr>
                <w:rFonts w:hint="eastAsia" w:ascii="宋体" w:hAnsi="宋体" w:cs="宋体"/>
                <w:sz w:val="18"/>
                <w:szCs w:val="18"/>
              </w:rPr>
              <w:t xml:space="preserve">、关注区、无人机探测区、反无设备干扰区。</w:t>
            </w:r>
            <w:r/>
          </w:p>
        </w:tc>
        <w:tc>
          <w:tcPr>
            <w:tcBorders>
              <w:top w:val="single" w:color="auto" w:sz="4" w:space="0"/>
              <w:left w:val="single" w:color="auto" w:sz="4" w:space="0"/>
              <w:bottom w:val="single" w:color="auto" w:sz="4" w:space="0"/>
              <w:right w:val="single" w:color="auto" w:sz="4" w:space="0"/>
            </w:tcBorders>
            <w:tcW w:w="346"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项</w:t>
            </w:r>
            <w:r/>
          </w:p>
        </w:tc>
        <w:tc>
          <w:tcPr>
            <w:tcBorders>
              <w:top w:val="single" w:color="auto" w:sz="4" w:space="0"/>
              <w:left w:val="single" w:color="auto" w:sz="4" w:space="0"/>
              <w:bottom w:val="single" w:color="auto" w:sz="4" w:space="0"/>
              <w:right w:val="single" w:color="auto" w:sz="4" w:space="0"/>
            </w:tcBorders>
            <w:tcW w:w="445"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single" w:color="auto" w:sz="4" w:space="0"/>
              <w:right w:val="single" w:color="auto" w:sz="4" w:space="0"/>
            </w:tcBorders>
            <w:tcW w:w="765" w:type="dxa"/>
            <w:vAlign w:val="center"/>
            <w:vMerge w:val="restart"/>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支持统计展示禁飞区数量、各类设备数量、发现目标数</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地图态势</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支持在地图上展示方舱、无人机、人员、设备、警情等作战力量位置分布，具备各类场景下的预警推送处置、接处警事件、警情处置、</w:t>
            </w:r>
            <w:r>
              <w:rPr>
                <w:rFonts w:hint="eastAsia" w:ascii="宋体" w:hAnsi="宋体" w:cs="宋体"/>
                <w:sz w:val="18"/>
                <w:szCs w:val="18"/>
              </w:rPr>
              <w:t xml:space="preserve">无人机巡飞与</w:t>
            </w:r>
            <w:r>
              <w:rPr>
                <w:rFonts w:hint="eastAsia" w:ascii="宋体" w:hAnsi="宋体" w:cs="宋体"/>
                <w:sz w:val="18"/>
                <w:szCs w:val="18"/>
              </w:rPr>
              <w:t xml:space="preserve">人员态势、调取周边多端设备态势监控、下发快速任务、预警</w:t>
            </w:r>
            <w:r>
              <w:rPr>
                <w:rFonts w:hint="eastAsia" w:ascii="宋体" w:hAnsi="宋体" w:cs="宋体"/>
                <w:sz w:val="18"/>
                <w:szCs w:val="18"/>
              </w:rPr>
              <w:t xml:space="preserve">连线调飞等</w:t>
            </w:r>
            <w:r>
              <w:rPr>
                <w:rFonts w:hint="eastAsia" w:ascii="宋体" w:hAnsi="宋体" w:cs="宋体"/>
                <w:sz w:val="18"/>
                <w:szCs w:val="18"/>
              </w:rPr>
              <w:t xml:space="preserve">能力，精准指导现场各方团队联合作战。支持接入执法记录仪设备信息，包括设备信息和位置信息</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资源上图</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支持基于地图信息构建平台的基础展示底座，提供高度逼真的资源图像渲染，实现各种精细化程度的可视化效果。</w:t>
            </w:r>
            <w:r>
              <w:rPr>
                <w:rFonts w:hint="eastAsia" w:ascii="宋体" w:hAnsi="宋体" w:cs="宋体"/>
                <w:sz w:val="18"/>
                <w:szCs w:val="18"/>
              </w:rPr>
              <w:br/>
            </w:r>
            <w:r>
              <w:rPr>
                <w:rFonts w:hint="eastAsia" w:ascii="宋体" w:hAnsi="宋体" w:cs="宋体"/>
                <w:sz w:val="18"/>
                <w:szCs w:val="18"/>
              </w:rPr>
              <w:t xml:space="preserve">支持为不同层级的用户分配不同的数据权限级别和访问范围，用户可根据划归的组织权限查看态势信息，例</w:t>
            </w:r>
            <w:r>
              <w:rPr>
                <w:rFonts w:hint="eastAsia" w:ascii="宋体" w:hAnsi="宋体" w:cs="宋体"/>
                <w:sz w:val="18"/>
                <w:szCs w:val="18"/>
              </w:rPr>
              <w:t xml:space="preserve">如飞手</w:t>
            </w:r>
            <w:r>
              <w:rPr>
                <w:rFonts w:hint="eastAsia" w:ascii="宋体" w:hAnsi="宋体" w:cs="宋体"/>
                <w:sz w:val="18"/>
                <w:szCs w:val="18"/>
              </w:rPr>
              <w:t xml:space="preserve">位置，特警位置、装备等态势。</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多</w:t>
            </w:r>
            <w:r>
              <w:rPr>
                <w:rFonts w:hint="eastAsia" w:ascii="宋体" w:hAnsi="宋体" w:cs="宋体"/>
                <w:sz w:val="24"/>
                <w:szCs w:val="24"/>
              </w:rPr>
              <w:t xml:space="preserve">源数据图层</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支持显示</w:t>
            </w:r>
            <w:r>
              <w:rPr>
                <w:rFonts w:hint="eastAsia" w:ascii="宋体" w:hAnsi="宋体" w:cs="宋体"/>
                <w:sz w:val="18"/>
                <w:szCs w:val="18"/>
              </w:rPr>
              <w:t xml:space="preserve">/</w:t>
            </w:r>
            <w:r>
              <w:rPr>
                <w:rFonts w:hint="eastAsia" w:ascii="宋体" w:hAnsi="宋体" w:cs="宋体"/>
                <w:sz w:val="18"/>
                <w:szCs w:val="18"/>
              </w:rPr>
              <w:t xml:space="preserve">隐藏地图</w:t>
            </w:r>
            <w:r>
              <w:rPr>
                <w:rFonts w:hint="eastAsia" w:ascii="宋体" w:hAnsi="宋体" w:cs="宋体"/>
                <w:sz w:val="18"/>
                <w:szCs w:val="18"/>
              </w:rPr>
              <w:t xml:space="preserve">图</w:t>
            </w:r>
            <w:r>
              <w:rPr>
                <w:rFonts w:hint="eastAsia" w:ascii="宋体" w:hAnsi="宋体" w:cs="宋体"/>
                <w:sz w:val="18"/>
                <w:szCs w:val="18"/>
              </w:rPr>
              <w:t xml:space="preserve">层数据（包括卫星影像、矢量等数据）。</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支持显示</w:t>
            </w:r>
            <w:r>
              <w:rPr>
                <w:rFonts w:hint="eastAsia" w:ascii="宋体" w:hAnsi="宋体" w:cs="宋体"/>
                <w:sz w:val="18"/>
                <w:szCs w:val="18"/>
              </w:rPr>
              <w:t xml:space="preserve">/</w:t>
            </w:r>
            <w:r>
              <w:rPr>
                <w:rFonts w:hint="eastAsia" w:ascii="宋体" w:hAnsi="宋体" w:cs="宋体"/>
                <w:sz w:val="18"/>
                <w:szCs w:val="18"/>
              </w:rPr>
              <w:t xml:space="preserve">隐藏</w:t>
            </w:r>
            <w:r>
              <w:rPr>
                <w:rFonts w:hint="eastAsia" w:ascii="宋体" w:hAnsi="宋体" w:cs="宋体"/>
                <w:sz w:val="18"/>
                <w:szCs w:val="18"/>
              </w:rPr>
              <w:t xml:space="preserve">设备图层数据</w:t>
            </w:r>
            <w:r>
              <w:rPr>
                <w:rFonts w:hint="eastAsia" w:ascii="宋体" w:hAnsi="宋体" w:cs="宋体"/>
                <w:sz w:val="18"/>
                <w:szCs w:val="18"/>
              </w:rPr>
              <w:t xml:space="preserve">（包括方舱、无人机、地面监控、警务移动监控等数据）。</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支持显示</w:t>
            </w:r>
            <w:r>
              <w:rPr>
                <w:rFonts w:hint="eastAsia" w:ascii="宋体" w:hAnsi="宋体" w:cs="宋体"/>
                <w:sz w:val="18"/>
                <w:szCs w:val="18"/>
              </w:rPr>
              <w:t xml:space="preserve">/</w:t>
            </w:r>
            <w:r>
              <w:rPr>
                <w:rFonts w:hint="eastAsia" w:ascii="宋体" w:hAnsi="宋体" w:cs="宋体"/>
                <w:sz w:val="18"/>
                <w:szCs w:val="18"/>
              </w:rPr>
              <w:t xml:space="preserve">隐藏</w:t>
            </w:r>
            <w:r>
              <w:rPr>
                <w:rFonts w:hint="eastAsia" w:ascii="宋体" w:hAnsi="宋体" w:cs="宋体"/>
                <w:sz w:val="18"/>
                <w:szCs w:val="18"/>
              </w:rPr>
              <w:t xml:space="preserve">成果图层数据</w:t>
            </w:r>
            <w:r>
              <w:rPr>
                <w:rFonts w:hint="eastAsia" w:ascii="宋体" w:hAnsi="宋体" w:cs="宋体"/>
                <w:sz w:val="18"/>
                <w:szCs w:val="18"/>
              </w:rPr>
              <w:t xml:space="preserve">（包括二维模型、三维模型、全景图数据），支持用户搜索查看二维模型、三维模型、全景图。</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支持显示</w:t>
            </w:r>
            <w:r>
              <w:rPr>
                <w:rFonts w:hint="eastAsia" w:ascii="宋体" w:hAnsi="宋体" w:cs="宋体"/>
                <w:sz w:val="18"/>
                <w:szCs w:val="18"/>
              </w:rPr>
              <w:t xml:space="preserve">/</w:t>
            </w:r>
            <w:r>
              <w:rPr>
                <w:rFonts w:hint="eastAsia" w:ascii="宋体" w:hAnsi="宋体" w:cs="宋体"/>
                <w:sz w:val="18"/>
                <w:szCs w:val="18"/>
              </w:rPr>
              <w:t xml:space="preserve">隐藏</w:t>
            </w:r>
            <w:r>
              <w:rPr>
                <w:rFonts w:hint="eastAsia" w:ascii="宋体" w:hAnsi="宋体" w:cs="宋体"/>
                <w:sz w:val="18"/>
                <w:szCs w:val="18"/>
              </w:rPr>
              <w:t xml:space="preserve">空域图层数据</w:t>
            </w:r>
            <w:r>
              <w:rPr>
                <w:rFonts w:hint="eastAsia" w:ascii="宋体" w:hAnsi="宋体" w:cs="宋体"/>
                <w:sz w:val="18"/>
                <w:szCs w:val="18"/>
              </w:rPr>
              <w:t xml:space="preserve">（包括</w:t>
            </w:r>
            <w:r>
              <w:rPr>
                <w:rFonts w:hint="eastAsia" w:ascii="宋体" w:hAnsi="宋体" w:cs="宋体"/>
                <w:sz w:val="18"/>
                <w:szCs w:val="18"/>
              </w:rPr>
              <w:t xml:space="preserve">限飞区</w:t>
            </w:r>
            <w:r>
              <w:rPr>
                <w:rFonts w:hint="eastAsia" w:ascii="宋体" w:hAnsi="宋体" w:cs="宋体"/>
                <w:sz w:val="18"/>
                <w:szCs w:val="18"/>
              </w:rPr>
              <w:t xml:space="preserve">、禁飞区等数据）。</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支持用户预览</w:t>
            </w:r>
            <w:r>
              <w:rPr>
                <w:rFonts w:hint="eastAsia" w:ascii="宋体" w:hAnsi="宋体" w:cs="宋体"/>
                <w:sz w:val="18"/>
                <w:szCs w:val="18"/>
              </w:rPr>
              <w:t xml:space="preserve">所有图层数据</w:t>
            </w:r>
            <w:r>
              <w:rPr>
                <w:rFonts w:hint="eastAsia" w:ascii="宋体" w:hAnsi="宋体" w:cs="宋体"/>
                <w:sz w:val="18"/>
                <w:szCs w:val="18"/>
              </w:rPr>
              <w:t xml:space="preserve">，</w:t>
            </w:r>
            <w:r>
              <w:rPr>
                <w:rFonts w:hint="eastAsia" w:ascii="宋体" w:hAnsi="宋体" w:cs="宋体"/>
                <w:sz w:val="18"/>
                <w:szCs w:val="18"/>
              </w:rPr>
              <w:t xml:space="preserve">支持图层缩放</w:t>
            </w:r>
            <w:r>
              <w:rPr>
                <w:rFonts w:hint="eastAsia" w:ascii="宋体" w:hAnsi="宋体" w:cs="宋体"/>
                <w:sz w:val="18"/>
                <w:szCs w:val="18"/>
              </w:rPr>
              <w:t xml:space="preserve">、平移、旋转。</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警务要素与防控资源盲区分析</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基于警务要素区域，叠加当前无人机</w:t>
            </w:r>
            <w:r>
              <w:rPr>
                <w:rFonts w:hint="eastAsia" w:ascii="宋体" w:hAnsi="宋体" w:cs="宋体"/>
                <w:sz w:val="18"/>
                <w:szCs w:val="18"/>
              </w:rPr>
              <w:t xml:space="preserve">/</w:t>
            </w:r>
            <w:r>
              <w:rPr>
                <w:rFonts w:hint="eastAsia" w:ascii="宋体" w:hAnsi="宋体" w:cs="宋体"/>
                <w:sz w:val="18"/>
                <w:szCs w:val="18"/>
              </w:rPr>
              <w:t xml:space="preserve">方舱的覆盖范围，实时计算盲区。指挥长一眼看清“哪里案件高发、哪里属于重要场所但无人机覆盖不足”，支持动态调整</w:t>
            </w:r>
            <w:r>
              <w:rPr>
                <w:rFonts w:hint="eastAsia" w:ascii="宋体" w:hAnsi="宋体" w:cs="宋体"/>
                <w:sz w:val="18"/>
                <w:szCs w:val="18"/>
              </w:rPr>
              <w:t xml:space="preserve">巡</w:t>
            </w:r>
            <w:r>
              <w:rPr>
                <w:rFonts w:hint="eastAsia" w:ascii="宋体" w:hAnsi="宋体" w:cs="宋体"/>
                <w:sz w:val="18"/>
                <w:szCs w:val="18"/>
              </w:rPr>
              <w:t xml:space="preserve">飞航线，从“经验巡飞”升级为“数据驱动巡飞”。</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基于历史</w:t>
            </w:r>
            <w:r>
              <w:rPr>
                <w:rFonts w:hint="eastAsia" w:ascii="宋体" w:hAnsi="宋体" w:cs="宋体"/>
                <w:sz w:val="18"/>
                <w:szCs w:val="18"/>
              </w:rPr>
              <w:t xml:space="preserve">110</w:t>
            </w:r>
            <w:r>
              <w:rPr>
                <w:rFonts w:hint="eastAsia" w:ascii="宋体" w:hAnsi="宋体" w:cs="宋体"/>
                <w:sz w:val="18"/>
                <w:szCs w:val="18"/>
              </w:rPr>
              <w:t xml:space="preserve">警情高发地区数据绘制热力图与当前无人机</w:t>
            </w:r>
            <w:r>
              <w:rPr>
                <w:rFonts w:hint="eastAsia" w:ascii="宋体" w:hAnsi="宋体" w:cs="宋体"/>
                <w:sz w:val="18"/>
                <w:szCs w:val="18"/>
              </w:rPr>
              <w:t xml:space="preserve">/</w:t>
            </w:r>
            <w:r>
              <w:rPr>
                <w:rFonts w:hint="eastAsia" w:ascii="宋体" w:hAnsi="宋体" w:cs="宋体"/>
                <w:sz w:val="18"/>
                <w:szCs w:val="18"/>
              </w:rPr>
              <w:t xml:space="preserve">方舱的覆盖范围分析比对。</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基于党政机关、军事区域、特殊警务周界数据绘范围图与当前无人机</w:t>
            </w:r>
            <w:r>
              <w:rPr>
                <w:rFonts w:hint="eastAsia" w:ascii="宋体" w:hAnsi="宋体" w:cs="宋体"/>
                <w:sz w:val="18"/>
                <w:szCs w:val="18"/>
              </w:rPr>
              <w:t xml:space="preserve">/</w:t>
            </w:r>
            <w:r>
              <w:rPr>
                <w:rFonts w:hint="eastAsia" w:ascii="宋体" w:hAnsi="宋体" w:cs="宋体"/>
                <w:sz w:val="18"/>
                <w:szCs w:val="18"/>
              </w:rPr>
              <w:t xml:space="preserve">方舱的覆盖范围分析比对。</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基于敏感要地（交通枢纽、体育场、加油站等）数据绘范围图与当前无人机</w:t>
            </w:r>
            <w:r>
              <w:rPr>
                <w:rFonts w:hint="eastAsia" w:ascii="宋体" w:hAnsi="宋体" w:cs="宋体"/>
                <w:sz w:val="18"/>
                <w:szCs w:val="18"/>
              </w:rPr>
              <w:t xml:space="preserve">/</w:t>
            </w:r>
            <w:r>
              <w:rPr>
                <w:rFonts w:hint="eastAsia" w:ascii="宋体" w:hAnsi="宋体" w:cs="宋体"/>
                <w:sz w:val="18"/>
                <w:szCs w:val="18"/>
              </w:rPr>
              <w:t xml:space="preserve">方舱的覆盖范围分析比对。</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视频设备监控</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支持统计、展示接入平台的所有无人机、方舱、地面监控、移动警务监控设备的实时视频画面和数量。</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支持多路视频流直播，平台允许用户点击地图上的方舱、无人机、地面监控等设备，依次展示视频窗口。支持用户查看更多设备的视频监控页面。支持现有执法记录记录仪视频数据</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支持多屏查看，用户可以按需开启或关闭所有设备的</w:t>
            </w:r>
            <w:r>
              <w:rPr>
                <w:rFonts w:hint="eastAsia" w:ascii="宋体" w:hAnsi="宋体" w:cs="宋体"/>
                <w:sz w:val="18"/>
                <w:szCs w:val="18"/>
              </w:rPr>
              <w:t xml:space="preserve">的</w:t>
            </w:r>
            <w:r>
              <w:rPr>
                <w:rFonts w:hint="eastAsia" w:ascii="宋体" w:hAnsi="宋体" w:cs="宋体"/>
                <w:sz w:val="18"/>
                <w:szCs w:val="18"/>
              </w:rPr>
              <w:t xml:space="preserve">视频直播，能够在地图上定位到设备位置查看视频画面，也可选择小窗口、全屏、矩阵（</w:t>
            </w:r>
            <w:r>
              <w:rPr>
                <w:rFonts w:hint="eastAsia" w:ascii="宋体" w:hAnsi="宋体" w:cs="宋体"/>
                <w:sz w:val="18"/>
                <w:szCs w:val="18"/>
              </w:rPr>
              <w:t xml:space="preserve">1</w:t>
            </w:r>
            <w:r>
              <w:rPr>
                <w:rFonts w:hint="eastAsia" w:ascii="宋体" w:hAnsi="宋体" w:cs="宋体"/>
                <w:sz w:val="18"/>
                <w:szCs w:val="18"/>
              </w:rPr>
              <w:t xml:space="preserve">、</w:t>
            </w:r>
            <w:r>
              <w:rPr>
                <w:rFonts w:hint="eastAsia" w:ascii="宋体" w:hAnsi="宋体" w:cs="宋体"/>
                <w:sz w:val="18"/>
                <w:szCs w:val="18"/>
              </w:rPr>
              <w:t xml:space="preserve">4</w:t>
            </w:r>
            <w:r>
              <w:rPr>
                <w:rFonts w:hint="eastAsia" w:ascii="宋体" w:hAnsi="宋体" w:cs="宋体"/>
                <w:sz w:val="18"/>
                <w:szCs w:val="18"/>
              </w:rPr>
              <w:t xml:space="preserve">、</w:t>
            </w:r>
            <w:r>
              <w:rPr>
                <w:rFonts w:hint="eastAsia" w:ascii="宋体" w:hAnsi="宋体" w:cs="宋体"/>
                <w:sz w:val="18"/>
                <w:szCs w:val="18"/>
              </w:rPr>
              <w:t xml:space="preserve">6</w:t>
            </w:r>
            <w:r>
              <w:rPr>
                <w:rFonts w:hint="eastAsia" w:ascii="宋体" w:hAnsi="宋体" w:cs="宋体"/>
                <w:sz w:val="18"/>
                <w:szCs w:val="18"/>
              </w:rPr>
              <w:t xml:space="preserve">、</w:t>
            </w:r>
            <w:r>
              <w:rPr>
                <w:rFonts w:hint="eastAsia" w:ascii="宋体" w:hAnsi="宋体" w:cs="宋体"/>
                <w:sz w:val="18"/>
                <w:szCs w:val="18"/>
              </w:rPr>
              <w:t xml:space="preserve">9</w:t>
            </w:r>
            <w:r>
              <w:rPr>
                <w:rFonts w:hint="eastAsia" w:ascii="宋体" w:hAnsi="宋体" w:cs="宋体"/>
                <w:sz w:val="18"/>
                <w:szCs w:val="18"/>
              </w:rPr>
              <w:t xml:space="preserve">多画面）模式查看视频。</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243"/>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支持在视频放大窗口实时取证，自动截取当前视频每一帧画面；</w:t>
            </w:r>
            <w:r>
              <w:rPr>
                <w:rFonts w:hint="eastAsia" w:ascii="宋体" w:hAnsi="宋体" w:cs="宋体"/>
                <w:sz w:val="18"/>
                <w:szCs w:val="18"/>
              </w:rPr>
              <w:br/>
            </w:r>
            <w:r>
              <w:rPr>
                <w:rFonts w:hint="eastAsia" w:ascii="宋体" w:hAnsi="宋体" w:cs="宋体"/>
                <w:sz w:val="18"/>
                <w:szCs w:val="18"/>
              </w:rPr>
              <w:t xml:space="preserve">支持用户选择</w:t>
            </w:r>
            <w:r>
              <w:rPr>
                <w:rFonts w:hint="eastAsia" w:ascii="宋体" w:hAnsi="宋体" w:cs="宋体"/>
                <w:sz w:val="18"/>
                <w:szCs w:val="18"/>
              </w:rPr>
              <w:t xml:space="preserve">AI</w:t>
            </w:r>
            <w:r>
              <w:rPr>
                <w:rFonts w:hint="eastAsia" w:ascii="宋体" w:hAnsi="宋体" w:cs="宋体"/>
                <w:sz w:val="18"/>
                <w:szCs w:val="18"/>
              </w:rPr>
              <w:t xml:space="preserve">分类，并添加识别框选，并支持取证推送，将该取证信息保存至</w:t>
            </w:r>
            <w:r>
              <w:rPr>
                <w:rFonts w:hint="eastAsia" w:ascii="宋体" w:hAnsi="宋体" w:cs="宋体"/>
                <w:sz w:val="18"/>
                <w:szCs w:val="18"/>
              </w:rPr>
              <w:t xml:space="preserve">AI</w:t>
            </w:r>
            <w:r>
              <w:rPr>
                <w:rFonts w:hint="eastAsia" w:ascii="宋体" w:hAnsi="宋体" w:cs="宋体"/>
                <w:sz w:val="18"/>
                <w:szCs w:val="18"/>
              </w:rPr>
              <w:t xml:space="preserve">识别记录。</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飞巡总览</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支持统计展示方舱、无人机的总数、使用状态、部署位置等信息，包括无人机的飞行里程、飞行时长、飞行架次、</w:t>
            </w:r>
            <w:r>
              <w:rPr>
                <w:rFonts w:hint="eastAsia" w:ascii="宋体" w:hAnsi="宋体" w:cs="宋体"/>
                <w:sz w:val="18"/>
                <w:szCs w:val="18"/>
              </w:rPr>
              <w:t xml:space="preserve">飞巡报告</w:t>
            </w:r>
            <w:r>
              <w:rPr>
                <w:rFonts w:hint="eastAsia" w:ascii="宋体" w:hAnsi="宋体" w:cs="宋体"/>
                <w:sz w:val="18"/>
                <w:szCs w:val="18"/>
              </w:rPr>
              <w:t xml:space="preserve">等关键数据。</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各单位飞行情况</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支持统计展示指定时间内，用户当前级别单位及下属级别单位的无人机飞行架次信息，可从飞行架次、飞行距离、飞行时长三个维度进行展示。</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实战案例</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支持大屏展示平台</w:t>
            </w:r>
            <w:r>
              <w:rPr>
                <w:rFonts w:hint="eastAsia" w:ascii="宋体" w:hAnsi="宋体" w:cs="宋体"/>
                <w:sz w:val="18"/>
                <w:szCs w:val="18"/>
              </w:rPr>
              <w:t xml:space="preserve">实飞处理</w:t>
            </w:r>
            <w:r>
              <w:rPr>
                <w:rFonts w:hint="eastAsia" w:ascii="宋体" w:hAnsi="宋体" w:cs="宋体"/>
                <w:sz w:val="18"/>
                <w:szCs w:val="18"/>
              </w:rPr>
              <w:t xml:space="preserve">警情的案例视频，用户通过管理后台上</w:t>
            </w:r>
            <w:r>
              <w:rPr>
                <w:rFonts w:hint="eastAsia" w:ascii="宋体" w:hAnsi="宋体" w:cs="宋体"/>
                <w:sz w:val="18"/>
                <w:szCs w:val="18"/>
              </w:rPr>
              <w:t xml:space="preserve">传相关</w:t>
            </w:r>
            <w:r>
              <w:rPr>
                <w:rFonts w:hint="eastAsia" w:ascii="宋体" w:hAnsi="宋体" w:cs="宋体"/>
                <w:sz w:val="18"/>
                <w:szCs w:val="18"/>
              </w:rPr>
              <w:t xml:space="preserve">数据。</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十大</w:t>
            </w:r>
            <w:r>
              <w:rPr>
                <w:rFonts w:hint="eastAsia" w:ascii="宋体" w:hAnsi="宋体" w:cs="宋体"/>
                <w:sz w:val="24"/>
                <w:szCs w:val="24"/>
              </w:rPr>
              <w:t xml:space="preserve">必飞总览</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支持根据警情类型，按照全局时间筛选，统计已支援的警情数量。</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十大预警总</w:t>
            </w:r>
            <w:r>
              <w:rPr>
                <w:rFonts w:hint="eastAsia" w:ascii="宋体" w:hAnsi="宋体" w:cs="宋体"/>
                <w:sz w:val="24"/>
                <w:szCs w:val="24"/>
              </w:rPr>
              <w:t xml:space="preserve">览</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支持统计指定时间内十大预警的识别数量，支持从已识别、已处理两个维度展示。</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技战法</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支持大屏展示警情处置、飞行教学、处理流程等方面的教学视频，用户通过管理后台上</w:t>
            </w:r>
            <w:r>
              <w:rPr>
                <w:rFonts w:hint="eastAsia" w:ascii="宋体" w:hAnsi="宋体" w:cs="宋体"/>
                <w:sz w:val="18"/>
                <w:szCs w:val="18"/>
              </w:rPr>
              <w:t xml:space="preserve">传相关</w:t>
            </w:r>
            <w:r>
              <w:rPr>
                <w:rFonts w:hint="eastAsia" w:ascii="宋体" w:hAnsi="宋体" w:cs="宋体"/>
                <w:sz w:val="18"/>
                <w:szCs w:val="18"/>
              </w:rPr>
              <w:t xml:space="preserve">数据。</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时间全局联动</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w:t>
            </w:r>
            <w:r>
              <w:rPr>
                <w:rFonts w:hint="eastAsia" w:ascii="宋体" w:hAnsi="宋体" w:cs="宋体"/>
                <w:sz w:val="18"/>
                <w:szCs w:val="18"/>
              </w:rPr>
              <w:t xml:space="preserve">飞巡总览</w:t>
            </w:r>
            <w:r>
              <w:rPr>
                <w:rFonts w:hint="eastAsia" w:ascii="宋体" w:hAnsi="宋体" w:cs="宋体"/>
                <w:sz w:val="18"/>
                <w:szCs w:val="18"/>
              </w:rPr>
              <w:t xml:space="preserve">、视频设备监控、飞行计划、预警信息、接处警事件模块的数据可以自定义设置周</w:t>
            </w:r>
            <w:r>
              <w:rPr>
                <w:rFonts w:hint="eastAsia" w:ascii="宋体" w:hAnsi="宋体" w:cs="宋体"/>
                <w:sz w:val="18"/>
                <w:szCs w:val="18"/>
              </w:rPr>
              <w:t xml:space="preserve">/</w:t>
            </w:r>
            <w:r>
              <w:rPr>
                <w:rFonts w:hint="eastAsia" w:ascii="宋体" w:hAnsi="宋体" w:cs="宋体"/>
                <w:sz w:val="18"/>
                <w:szCs w:val="18"/>
              </w:rPr>
              <w:t xml:space="preserve">月</w:t>
            </w:r>
            <w:r>
              <w:rPr>
                <w:rFonts w:hint="eastAsia" w:ascii="宋体" w:hAnsi="宋体" w:cs="宋体"/>
                <w:sz w:val="18"/>
                <w:szCs w:val="18"/>
              </w:rPr>
              <w:t xml:space="preserve">/</w:t>
            </w:r>
            <w:r>
              <w:rPr>
                <w:rFonts w:hint="eastAsia" w:ascii="宋体" w:hAnsi="宋体" w:cs="宋体"/>
                <w:sz w:val="18"/>
                <w:szCs w:val="18"/>
              </w:rPr>
              <w:t xml:space="preserve">时间筛选，一次设置整体联动，默认显示当天数据。</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辅助决策工具箱</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支持地图标绘（包括点标注、线标注、面标注、模型标注等）。</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支持量测分析（包括直线量测、距离量测、高度量测等）。</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三维电子沙盘模块</w:t>
            </w:r>
            <w:r/>
          </w:p>
        </w:tc>
        <w:tc>
          <w:tcPr>
            <w:tcBorders>
              <w:top w:val="single" w:color="auto" w:sz="4" w:space="0"/>
              <w:left w:val="single" w:color="auto" w:sz="4" w:space="0"/>
              <w:bottom w:val="single" w:color="auto" w:sz="4" w:space="0"/>
              <w:right w:val="single" w:color="auto" w:sz="4" w:space="0"/>
            </w:tcBorders>
            <w:tcW w:w="940"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预案推演</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可按安保活</w:t>
            </w:r>
            <w:r>
              <w:rPr>
                <w:rFonts w:hint="eastAsia" w:ascii="宋体" w:hAnsi="宋体" w:cs="宋体"/>
                <w:sz w:val="18"/>
                <w:szCs w:val="18"/>
              </w:rPr>
              <w:t xml:space="preserve">动类型</w:t>
            </w:r>
            <w:r>
              <w:rPr>
                <w:rFonts w:hint="eastAsia" w:ascii="宋体" w:hAnsi="宋体" w:cs="宋体"/>
                <w:sz w:val="18"/>
                <w:szCs w:val="18"/>
              </w:rPr>
              <w:t xml:space="preserve">划分场景，自定义活动场地边界、人员布防点位、人车通行路线等基础场景参数，快速搭建平面</w:t>
            </w:r>
            <w:r>
              <w:rPr>
                <w:rFonts w:hint="eastAsia" w:ascii="宋体" w:hAnsi="宋体" w:cs="宋体"/>
                <w:sz w:val="18"/>
                <w:szCs w:val="18"/>
              </w:rPr>
              <w:t xml:space="preserve">化活动</w:t>
            </w:r>
            <w:r>
              <w:rPr>
                <w:rFonts w:hint="eastAsia" w:ascii="宋体" w:hAnsi="宋体" w:cs="宋体"/>
                <w:sz w:val="18"/>
                <w:szCs w:val="18"/>
              </w:rPr>
              <w:t xml:space="preserve">预案场景。</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预案内预置无人机布防点位、巡航监控范围，配置无人机飞行航线、巡查时段。</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沙盘指挥</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支持沙盘模拟还原安保活动环境，采用高精度地理信息数据或三维仿真技术，能够还原活动场地、建筑、道路等实景信息，提供模拟飞行，为低空警务实战提供逼真的战场环境模拟。</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实时态势查看：汇总单兵设备、执法记录仪、在岗无人机实时位置数据，在平面地图直观展示警力布控、目标点位；无人机回传画面绑定对应飞行轨迹，已巡查区域自动标色，快速甄别未巡查遗漏片区（如山地人员搜救、大型活动巡防）。</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支持快速响应调度，在事件处置过程中时，能够迅速定位事发地点，联动实时飞行任务，实现无人机的快速响应和调度。支持事件位置生成二维码，便于百度或其它主流地图</w:t>
            </w:r>
            <w:r>
              <w:rPr>
                <w:rFonts w:hint="eastAsia" w:ascii="宋体" w:hAnsi="宋体" w:cs="宋体"/>
                <w:sz w:val="18"/>
                <w:szCs w:val="18"/>
              </w:rPr>
              <w:t xml:space="preserve">app</w:t>
            </w:r>
            <w:r>
              <w:rPr>
                <w:rFonts w:hint="eastAsia" w:ascii="宋体" w:hAnsi="宋体" w:cs="宋体"/>
                <w:sz w:val="18"/>
                <w:szCs w:val="18"/>
              </w:rPr>
              <w:t xml:space="preserve">扫描导航到事件位置。</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高低点位联动指挥：当无人机飞抵警情现场后，指挥中心大屏自动以无人机实时画面为“底图”，在该画面中叠加标注出周边路面监控点位。民警直接点击画面上的监控图标，即可弹出该监控的实时视频窗口。解决无人机看</w:t>
            </w:r>
            <w:r>
              <w:rPr>
                <w:rFonts w:hint="eastAsia" w:ascii="宋体" w:hAnsi="宋体" w:cs="宋体"/>
                <w:sz w:val="18"/>
                <w:szCs w:val="18"/>
              </w:rPr>
              <w:t xml:space="preserve">得广但看不清</w:t>
            </w:r>
            <w:r>
              <w:rPr>
                <w:rFonts w:hint="eastAsia" w:ascii="宋体" w:hAnsi="宋体" w:cs="宋体"/>
                <w:sz w:val="18"/>
                <w:szCs w:val="18"/>
              </w:rPr>
              <w:t xml:space="preserve">细节；地面</w:t>
            </w:r>
            <w:r>
              <w:rPr>
                <w:rFonts w:hint="eastAsia" w:ascii="宋体" w:hAnsi="宋体" w:cs="宋体"/>
                <w:sz w:val="18"/>
                <w:szCs w:val="18"/>
              </w:rPr>
              <w:t xml:space="preserve">监控看得清但</w:t>
            </w:r>
            <w:r>
              <w:rPr>
                <w:rFonts w:hint="eastAsia" w:ascii="宋体" w:hAnsi="宋体" w:cs="宋体"/>
                <w:sz w:val="18"/>
                <w:szCs w:val="18"/>
              </w:rPr>
              <w:t xml:space="preserve">视野窄，难以快速定位目标方位。</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智能标绘</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支持点线面标绘，点、线、面、模型等标绘素材的预案标绘与属性参数修改，能够进行动态演示，模拟出警路线、逃生路线等，为现场提供辅助决策支持。</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244"/>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支持标绘编辑，在地图上标点获取经纬度信息，编辑标点名称、备注、图标样式；</w:t>
            </w:r>
            <w:r>
              <w:rPr>
                <w:rFonts w:hint="eastAsia" w:ascii="宋体" w:hAnsi="宋体" w:cs="宋体"/>
                <w:sz w:val="18"/>
                <w:szCs w:val="18"/>
              </w:rPr>
              <w:br/>
            </w:r>
            <w:r>
              <w:rPr>
                <w:rFonts w:hint="eastAsia" w:ascii="宋体" w:hAnsi="宋体" w:cs="宋体"/>
                <w:sz w:val="18"/>
                <w:szCs w:val="18"/>
              </w:rPr>
              <w:t xml:space="preserve">支持多点折线，自动计算并显示折线长度，编辑折线名称、图标样式；</w:t>
            </w:r>
            <w:r>
              <w:rPr>
                <w:rFonts w:hint="eastAsia" w:ascii="宋体" w:hAnsi="宋体" w:cs="宋体"/>
                <w:sz w:val="18"/>
                <w:szCs w:val="18"/>
              </w:rPr>
              <w:br/>
            </w:r>
            <w:r>
              <w:rPr>
                <w:rFonts w:hint="eastAsia" w:ascii="宋体" w:hAnsi="宋体" w:cs="宋体"/>
                <w:sz w:val="18"/>
                <w:szCs w:val="18"/>
              </w:rPr>
              <w:t xml:space="preserve">支持自动计算并显示区域面积，编辑多边形名称、样式。</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支持模型标绘，提供应急资源、队伍、装备、专家等图标，用于图上作业，同时提供点、线、面、圆、多边形、箭头、立体图形等标图工具。支持三维模型标注。</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支持动效标绘，提供丰富的警用人工模型和警用地理标志动效，可将安保应急的方案实施过程呈现在地图上。</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实战联动</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支持根据具体活动场景，自动匹配对应预案，将预案与实际作业执行情况进行叠加展示，进行实战联动。将预案电子流程化与实战相结合，辅助现场飞行调度处置</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评估复盘</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支持预案复盘，通过三维电子沙盘展示事件处置的全流程信息，以时间为节点调取处置命令、现场详情、视频图片数据，对预案过程录制播放。</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799"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警情联动一张图</w:t>
            </w:r>
            <w:r/>
          </w:p>
        </w:tc>
        <w:tc>
          <w:tcPr>
            <w:tcBorders>
              <w:top w:val="single" w:color="auto" w:sz="4" w:space="0"/>
              <w:left w:val="single" w:color="auto" w:sz="4" w:space="0"/>
              <w:bottom w:val="single" w:color="auto" w:sz="4" w:space="0"/>
              <w:right w:val="single" w:color="auto" w:sz="4" w:space="0"/>
            </w:tcBorders>
            <w:tcW w:w="791"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空地一体化指挥模块</w:t>
            </w:r>
            <w:r/>
          </w:p>
        </w:tc>
        <w:tc>
          <w:tcPr>
            <w:tcBorders>
              <w:top w:val="single" w:color="auto" w:sz="4" w:space="0"/>
              <w:left w:val="single" w:color="auto" w:sz="4" w:space="0"/>
              <w:bottom w:val="single" w:color="auto" w:sz="4" w:space="0"/>
              <w:right w:val="single" w:color="auto" w:sz="4" w:space="0"/>
            </w:tcBorders>
            <w:tcW w:w="940"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警情事件</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支持警情信息接入，平台通过对接公安指挥调度、接处</w:t>
            </w:r>
            <w:r>
              <w:rPr>
                <w:rFonts w:hint="eastAsia" w:ascii="宋体" w:hAnsi="宋体" w:cs="宋体"/>
                <w:sz w:val="18"/>
                <w:szCs w:val="18"/>
              </w:rPr>
              <w:t xml:space="preserve">警相关</w:t>
            </w:r>
            <w:r>
              <w:rPr>
                <w:rFonts w:hint="eastAsia" w:ascii="宋体" w:hAnsi="宋体" w:cs="宋体"/>
                <w:sz w:val="18"/>
                <w:szCs w:val="18"/>
              </w:rPr>
              <w:t xml:space="preserve">业务系统，获取需要无人机协助的警情信息（必须包括警情位置信息）。支持红标警情等关注警情的</w:t>
            </w:r>
            <w:r>
              <w:rPr>
                <w:rFonts w:hint="eastAsia" w:ascii="宋体" w:hAnsi="宋体" w:cs="宋体"/>
                <w:sz w:val="18"/>
                <w:szCs w:val="18"/>
              </w:rPr>
              <w:t xml:space="preserve">一键调飞</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支持警情列表展示，用户可查看警情详情、事件处置进度信息，包括警情编号、警情类型、等级、地址、时间等数据。</w:t>
            </w:r>
            <w:r/>
          </w:p>
        </w:tc>
        <w:tc>
          <w:tcPr>
            <w:tcBorders>
              <w:top w:val="single" w:color="auto" w:sz="4" w:space="0"/>
              <w:left w:val="single" w:color="auto" w:sz="4" w:space="0"/>
              <w:bottom w:val="single" w:color="auto" w:sz="4" w:space="0"/>
              <w:right w:val="single" w:color="auto" w:sz="4" w:space="0"/>
            </w:tcBorders>
            <w:tcW w:w="346"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项</w:t>
            </w:r>
            <w:r/>
          </w:p>
        </w:tc>
        <w:tc>
          <w:tcPr>
            <w:tcBorders>
              <w:top w:val="single" w:color="auto" w:sz="4" w:space="0"/>
              <w:left w:val="single" w:color="auto" w:sz="4" w:space="0"/>
              <w:bottom w:val="single" w:color="auto" w:sz="4" w:space="0"/>
              <w:right w:val="single" w:color="auto" w:sz="4" w:space="0"/>
            </w:tcBorders>
            <w:tcW w:w="445"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支持历史警情记录，用于用户事件复盘，对已经处置完毕的警情进行回顾和总结，包括记录全面评估警情处置情况、发现问题与不足、总结经验教训以及提出改进措施等信息。</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支持警情消息推送，根据无人机飞行中发现的预警情况，进行即时的预警消息推送。</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支持设备信息校验，选中方舱，展示该方舱</w:t>
            </w:r>
            <w:r>
              <w:rPr>
                <w:rFonts w:hint="eastAsia" w:ascii="宋体" w:hAnsi="宋体" w:cs="宋体"/>
                <w:sz w:val="18"/>
                <w:szCs w:val="18"/>
              </w:rPr>
              <w:t xml:space="preserve">/</w:t>
            </w:r>
            <w:r>
              <w:rPr>
                <w:rFonts w:hint="eastAsia" w:ascii="宋体" w:hAnsi="宋体" w:cs="宋体"/>
                <w:sz w:val="18"/>
                <w:szCs w:val="18"/>
              </w:rPr>
              <w:t xml:space="preserve">无人机的信息，信息需包含当前正在执行的任务，如日常巡检计划、正在被其他警情调飞等，便于调度人员根据紧急程度，决策是否临时征用次无人机执行任务。</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支持警情一键连线调飞，平台会检索需要无人机协助的警情周边五公里内方舱无人机，并</w:t>
            </w:r>
            <w:r>
              <w:rPr>
                <w:rFonts w:hint="eastAsia" w:ascii="宋体" w:hAnsi="宋体" w:cs="宋体"/>
                <w:sz w:val="18"/>
                <w:szCs w:val="18"/>
              </w:rPr>
              <w:t xml:space="preserve">一键调飞无人机</w:t>
            </w:r>
            <w:r>
              <w:rPr>
                <w:rFonts w:hint="eastAsia" w:ascii="宋体" w:hAnsi="宋体" w:cs="宋体"/>
                <w:sz w:val="18"/>
                <w:szCs w:val="18"/>
              </w:rPr>
              <w:t xml:space="preserve">，实现无人机迅速抵达现场进行侦察、监测或干预。支持无人机方舱进行接力飞行，当第一台无人机续航时间不足即将返航时，平台通过</w:t>
            </w:r>
            <w:r>
              <w:rPr>
                <w:rFonts w:hint="eastAsia" w:ascii="宋体" w:hAnsi="宋体" w:cs="宋体"/>
                <w:sz w:val="18"/>
                <w:szCs w:val="18"/>
              </w:rPr>
              <w:t xml:space="preserve">计算高</w:t>
            </w:r>
            <w:r>
              <w:rPr>
                <w:rFonts w:hint="eastAsia" w:ascii="宋体" w:hAnsi="宋体" w:cs="宋体"/>
                <w:sz w:val="18"/>
                <w:szCs w:val="18"/>
              </w:rPr>
              <w:t xml:space="preserve">亮显示附近一台可用无人机方舱进行一键调飞至事件位置完成无人机接力飞行。</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支持警情状态更新，执行设备调飞后，警情状态变更为已支援，同时该警情还可以再调飞其他无人机进行二次支援，直到警情处理完成。</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支持实时飞行态势，</w:t>
            </w:r>
            <w:r>
              <w:rPr>
                <w:rFonts w:hint="eastAsia" w:ascii="宋体" w:hAnsi="宋体" w:cs="宋体"/>
                <w:sz w:val="18"/>
                <w:szCs w:val="18"/>
              </w:rPr>
              <w:t xml:space="preserve">执行调飞对应</w:t>
            </w:r>
            <w:r>
              <w:rPr>
                <w:rFonts w:hint="eastAsia" w:ascii="宋体" w:hAnsi="宋体" w:cs="宋体"/>
                <w:sz w:val="18"/>
                <w:szCs w:val="18"/>
              </w:rPr>
              <w:t xml:space="preserve">的警情下，自动关联展示正在执行的飞行记录</w:t>
            </w:r>
            <w:r>
              <w:rPr>
                <w:rFonts w:hint="eastAsia" w:ascii="宋体" w:hAnsi="宋体" w:cs="宋体"/>
                <w:sz w:val="18"/>
                <w:szCs w:val="18"/>
              </w:rPr>
              <w:t xml:space="preserve">ID</w:t>
            </w:r>
            <w:r>
              <w:rPr>
                <w:rFonts w:hint="eastAsia" w:ascii="宋体" w:hAnsi="宋体" w:cs="宋体"/>
                <w:sz w:val="18"/>
                <w:szCs w:val="18"/>
              </w:rPr>
              <w:t xml:space="preserve">，点击“查看”按钮，高亮警情</w:t>
            </w:r>
            <w:r>
              <w:rPr>
                <w:rFonts w:hint="eastAsia" w:ascii="宋体" w:hAnsi="宋体" w:cs="宋体"/>
                <w:sz w:val="18"/>
                <w:szCs w:val="18"/>
              </w:rPr>
              <w:t xml:space="preserve">5</w:t>
            </w:r>
            <w:r>
              <w:rPr>
                <w:rFonts w:hint="eastAsia" w:ascii="宋体" w:hAnsi="宋体" w:cs="宋体"/>
                <w:sz w:val="18"/>
                <w:szCs w:val="18"/>
              </w:rPr>
              <w:t xml:space="preserve">公里范围，并将警情与该记录</w:t>
            </w:r>
            <w:r>
              <w:rPr>
                <w:rFonts w:hint="eastAsia" w:ascii="宋体" w:hAnsi="宋体" w:cs="宋体"/>
                <w:sz w:val="18"/>
                <w:szCs w:val="18"/>
              </w:rPr>
              <w:t xml:space="preserve">调飞设备</w:t>
            </w:r>
            <w:r>
              <w:rPr>
                <w:rFonts w:hint="eastAsia" w:ascii="宋体" w:hAnsi="宋体" w:cs="宋体"/>
                <w:sz w:val="18"/>
                <w:szCs w:val="18"/>
              </w:rPr>
              <w:t xml:space="preserve">连线，并展示距离、无人机实时位置，同时展示实时视频画面。</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警情联动</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空中警力与地面警组“同屏协同”：无人机飞抵现场后，指挥中心可将无人机直播画面一键推送给处警民警的移动警务终端查看，民警</w:t>
            </w:r>
            <w:r>
              <w:rPr>
                <w:rFonts w:hint="eastAsia" w:ascii="宋体" w:hAnsi="宋体" w:cs="宋体"/>
                <w:sz w:val="18"/>
                <w:szCs w:val="18"/>
              </w:rPr>
              <w:t xml:space="preserve">手机端可查看</w:t>
            </w:r>
            <w:r>
              <w:rPr>
                <w:rFonts w:hint="eastAsia" w:ascii="宋体" w:hAnsi="宋体" w:cs="宋体"/>
                <w:sz w:val="18"/>
                <w:szCs w:val="18"/>
              </w:rPr>
              <w:t xml:space="preserve">现场情况。将</w:t>
            </w:r>
            <w:r>
              <w:rPr>
                <w:rFonts w:hint="eastAsia" w:ascii="宋体" w:hAnsi="宋体" w:cs="宋体"/>
                <w:sz w:val="18"/>
                <w:szCs w:val="18"/>
              </w:rPr>
              <w:t xml:space="preserve">无人机图传视频</w:t>
            </w:r>
            <w:r>
              <w:rPr>
                <w:rFonts w:hint="eastAsia" w:ascii="宋体" w:hAnsi="宋体" w:cs="宋体"/>
                <w:sz w:val="18"/>
                <w:szCs w:val="18"/>
              </w:rPr>
              <w:t xml:space="preserve">接入融合通信平台，现有</w:t>
            </w:r>
            <w:r>
              <w:rPr>
                <w:rFonts w:hint="eastAsia" w:ascii="宋体" w:hAnsi="宋体" w:cs="宋体"/>
                <w:sz w:val="18"/>
                <w:szCs w:val="18"/>
              </w:rPr>
              <w:t xml:space="preserve">app</w:t>
            </w:r>
            <w:r>
              <w:rPr>
                <w:rFonts w:hint="eastAsia" w:ascii="宋体" w:hAnsi="宋体" w:cs="宋体"/>
                <w:sz w:val="18"/>
                <w:szCs w:val="18"/>
              </w:rPr>
              <w:t xml:space="preserve">可调取查阅无人机视频画面。</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十大预警</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支持十大预警结果列表展示，平台根据十大预警功能中设定的</w:t>
            </w:r>
            <w:r>
              <w:rPr>
                <w:rFonts w:hint="eastAsia" w:ascii="宋体" w:hAnsi="宋体" w:cs="宋体"/>
                <w:sz w:val="18"/>
                <w:szCs w:val="18"/>
              </w:rPr>
              <w:t xml:space="preserve">10</w:t>
            </w:r>
            <w:r>
              <w:rPr>
                <w:rFonts w:hint="eastAsia" w:ascii="宋体" w:hAnsi="宋体" w:cs="宋体"/>
                <w:sz w:val="18"/>
                <w:szCs w:val="18"/>
              </w:rPr>
              <w:t xml:space="preserve">种预警模型，将</w:t>
            </w:r>
            <w:r>
              <w:rPr>
                <w:rFonts w:hint="eastAsia" w:ascii="宋体" w:hAnsi="宋体" w:cs="宋体"/>
                <w:sz w:val="18"/>
                <w:szCs w:val="18"/>
              </w:rPr>
              <w:t xml:space="preserve">AI</w:t>
            </w:r>
            <w:r>
              <w:rPr>
                <w:rFonts w:hint="eastAsia" w:ascii="宋体" w:hAnsi="宋体" w:cs="宋体"/>
                <w:sz w:val="18"/>
                <w:szCs w:val="18"/>
              </w:rPr>
              <w:t xml:space="preserve">识别的结果进行比对、划归本列表展示。</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支持预警消息推送，根据无人机飞行中发现的预警情况，进行即时的预警消息推送。</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支持预警打点，平台将十大预警的警情信息打点定位在地图上。</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支持预警调飞，选择预警位置，可</w:t>
            </w:r>
            <w:r>
              <w:rPr>
                <w:rFonts w:hint="eastAsia" w:ascii="宋体" w:hAnsi="宋体" w:cs="宋体"/>
                <w:sz w:val="18"/>
                <w:szCs w:val="18"/>
              </w:rPr>
              <w:t xml:space="preserve">一键调飞无人机</w:t>
            </w:r>
            <w:r>
              <w:rPr>
                <w:rFonts w:hint="eastAsia" w:ascii="宋体" w:hAnsi="宋体" w:cs="宋体"/>
                <w:sz w:val="18"/>
                <w:szCs w:val="18"/>
              </w:rPr>
              <w:t xml:space="preserve">飞至现场查看。</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支持预警处置，用户对于需要地面警力协助处理的预警事件，可下发处置任务至指定警员，并可查看事件处置状态与反馈信息。</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799"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交通管控一张图</w:t>
            </w:r>
            <w:r/>
          </w:p>
        </w:tc>
        <w:tc>
          <w:tcPr>
            <w:tcBorders>
              <w:top w:val="single" w:color="auto" w:sz="4" w:space="0"/>
              <w:left w:val="single" w:color="auto" w:sz="4" w:space="0"/>
              <w:bottom w:val="single" w:color="auto" w:sz="4" w:space="0"/>
              <w:right w:val="single" w:color="auto" w:sz="4" w:space="0"/>
            </w:tcBorders>
            <w:tcW w:w="791"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交通执法模块</w:t>
            </w:r>
            <w:r/>
          </w:p>
        </w:tc>
        <w:tc>
          <w:tcPr>
            <w:tcBorders>
              <w:top w:val="single" w:color="auto" w:sz="4" w:space="0"/>
              <w:left w:val="single" w:color="auto" w:sz="4" w:space="0"/>
              <w:bottom w:val="single" w:color="auto" w:sz="4" w:space="0"/>
              <w:right w:val="single" w:color="auto" w:sz="4" w:space="0"/>
            </w:tcBorders>
            <w:tcW w:w="940"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交通执法取证</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支持拍照模式，实现无人机在巡检过程中，发现违法行为需要取证时可切换“拍照模式”</w:t>
            </w:r>
            <w:r>
              <w:rPr>
                <w:rFonts w:hint="eastAsia" w:ascii="宋体" w:hAnsi="宋体" w:cs="宋体"/>
                <w:sz w:val="18"/>
                <w:szCs w:val="18"/>
              </w:rPr>
              <w:t xml:space="preserve">至违法</w:t>
            </w:r>
            <w:r>
              <w:rPr>
                <w:rFonts w:hint="eastAsia" w:ascii="宋体" w:hAnsi="宋体" w:cs="宋体"/>
                <w:sz w:val="18"/>
                <w:szCs w:val="18"/>
              </w:rPr>
              <w:t xml:space="preserve">取证，包括违法取证、违停取证两种模式。</w:t>
            </w:r>
            <w:r/>
          </w:p>
        </w:tc>
        <w:tc>
          <w:tcPr>
            <w:tcBorders>
              <w:top w:val="single" w:color="auto" w:sz="4" w:space="0"/>
              <w:left w:val="single" w:color="auto" w:sz="4" w:space="0"/>
              <w:bottom w:val="single" w:color="auto" w:sz="4" w:space="0"/>
              <w:right w:val="single" w:color="auto" w:sz="4" w:space="0"/>
            </w:tcBorders>
            <w:tcW w:w="346"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项</w:t>
            </w:r>
            <w:r/>
          </w:p>
        </w:tc>
        <w:tc>
          <w:tcPr>
            <w:tcBorders>
              <w:top w:val="single" w:color="auto" w:sz="4" w:space="0"/>
              <w:left w:val="single" w:color="auto" w:sz="4" w:space="0"/>
              <w:bottom w:val="single" w:color="auto" w:sz="4" w:space="0"/>
              <w:right w:val="single" w:color="auto" w:sz="4" w:space="0"/>
            </w:tcBorders>
            <w:tcW w:w="445"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支持用户选择执法代码、道路代码、路段代码。违法代码及行为取后台【违法代码管理表】数据，道路代码、路段代码：根据当前无人机经纬度匹配代码，可进行调整。</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支持取证拍摄，实现无人机在取证过程可拍摄多张照片，直到结束取证，中间拍摄的照片会保存在同一条违法证据中。</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w:t>
            </w:r>
            <w:r>
              <w:rPr>
                <w:rFonts w:hint="eastAsia" w:ascii="宋体" w:hAnsi="宋体" w:cs="宋体"/>
                <w:sz w:val="18"/>
                <w:szCs w:val="18"/>
              </w:rPr>
              <w:t xml:space="preserve">AI</w:t>
            </w:r>
            <w:r>
              <w:rPr>
                <w:rFonts w:hint="eastAsia" w:ascii="宋体" w:hAnsi="宋体" w:cs="宋体"/>
                <w:sz w:val="18"/>
                <w:szCs w:val="18"/>
              </w:rPr>
              <w:t xml:space="preserve">识别车牌，结束取证时</w:t>
            </w:r>
            <w:r>
              <w:rPr>
                <w:rFonts w:hint="eastAsia" w:ascii="宋体" w:hAnsi="宋体" w:cs="宋体"/>
                <w:sz w:val="18"/>
                <w:szCs w:val="18"/>
              </w:rPr>
              <w:t xml:space="preserve">AI</w:t>
            </w:r>
            <w:r>
              <w:rPr>
                <w:rFonts w:hint="eastAsia" w:ascii="宋体" w:hAnsi="宋体" w:cs="宋体"/>
                <w:sz w:val="18"/>
                <w:szCs w:val="18"/>
              </w:rPr>
              <w:t xml:space="preserve">自动识别图片中的车牌信息，并弹出信息确认框，可进行修改，确认后提交后，保存证据。</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支持二次取证功能，针对非严管路段违</w:t>
            </w:r>
            <w:r>
              <w:rPr>
                <w:rFonts w:hint="eastAsia" w:ascii="宋体" w:hAnsi="宋体" w:cs="宋体"/>
                <w:sz w:val="18"/>
                <w:szCs w:val="18"/>
              </w:rPr>
              <w:t xml:space="preserve">停需要</w:t>
            </w:r>
            <w:r>
              <w:rPr>
                <w:rFonts w:hint="eastAsia" w:ascii="宋体" w:hAnsi="宋体" w:cs="宋体"/>
                <w:sz w:val="18"/>
                <w:szCs w:val="18"/>
              </w:rPr>
              <w:t xml:space="preserve">二次取证的场景，</w:t>
            </w:r>
            <w:r>
              <w:rPr>
                <w:rFonts w:hint="eastAsia" w:ascii="宋体" w:hAnsi="宋体" w:cs="宋体"/>
                <w:sz w:val="18"/>
                <w:szCs w:val="18"/>
              </w:rPr>
              <w:t xml:space="preserve">先正常</w:t>
            </w:r>
            <w:r>
              <w:rPr>
                <w:rFonts w:hint="eastAsia" w:ascii="宋体" w:hAnsi="宋体" w:cs="宋体"/>
                <w:sz w:val="18"/>
                <w:szCs w:val="18"/>
              </w:rPr>
              <w:t xml:space="preserve">进行取证，</w:t>
            </w:r>
            <w:r>
              <w:rPr>
                <w:rFonts w:hint="eastAsia" w:ascii="宋体" w:hAnsi="宋体" w:cs="宋体"/>
                <w:sz w:val="18"/>
                <w:szCs w:val="18"/>
              </w:rPr>
              <w:t xml:space="preserve">XX</w:t>
            </w:r>
            <w:r>
              <w:rPr>
                <w:rFonts w:hint="eastAsia" w:ascii="宋体" w:hAnsi="宋体" w:cs="宋体"/>
                <w:sz w:val="18"/>
                <w:szCs w:val="18"/>
              </w:rPr>
              <w:t xml:space="preserve">分钟后需要进行二次对比取证，相同的车牌号，第二次被拍照，证据才会被保存，且将两次取证的照片都保存在同一个证据中。</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违法记录</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违法记录管理模块用于对无人机采集到的违法行为信息进行存储、查询、查看和删除，列表以倒序展示所有采集到的证据。</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302"/>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通过违法代码、车牌号、地点、违法时间等进行查询。</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305"/>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点击详情查看违法图片，左右切换可查看多张。</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违法代码管理</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违法代码管理模块用于统一维护交通违法行为代码及对应的违法名称。模块支持违法代码的新增、编辑、删除和查询操作，确保违法信息与取证、执法地点管理等模块保持一致，为前台取证和后台违法管理提供基础支撑。</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违法地点管理</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执法地点管理模块用于对交通执法相关道路及路段进行统一维护。模块支持执法地点的新增、编辑、删除、查询与地图选点操作，确保地点信息完整、准确。通过该模块，执法人员可快速定位到重点执法道路和区域，为违法取证、违停巡查和事故处理提供基础支撑。</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799"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黑飞管控一张图</w:t>
            </w:r>
            <w:r/>
          </w:p>
        </w:tc>
        <w:tc>
          <w:tcPr>
            <w:tcBorders>
              <w:top w:val="single" w:color="auto" w:sz="4" w:space="0"/>
              <w:left w:val="single" w:color="auto" w:sz="4" w:space="0"/>
              <w:bottom w:val="single" w:color="auto" w:sz="4" w:space="0"/>
              <w:right w:val="single" w:color="auto" w:sz="4" w:space="0"/>
            </w:tcBorders>
            <w:tcW w:w="791"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侦测反</w:t>
            </w:r>
            <w:r>
              <w:rPr>
                <w:rFonts w:hint="eastAsia" w:ascii="宋体" w:hAnsi="宋体" w:cs="宋体"/>
                <w:sz w:val="24"/>
                <w:szCs w:val="24"/>
              </w:rPr>
              <w:t xml:space="preserve">制模块</w:t>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黑飞侦测</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支持展示黑飞侦测态势，通过接入侦测系统，探测一定范围内的无人机序列号，并与系统内数据进行对比，发现是否为黑飞设备。同时结合自定义禁飞区，可判断是否闯入重点区域。（需接入兼容原有侦测设备）</w:t>
            </w:r>
            <w:r/>
          </w:p>
        </w:tc>
        <w:tc>
          <w:tcPr>
            <w:tcBorders>
              <w:top w:val="single" w:color="auto" w:sz="4" w:space="0"/>
              <w:left w:val="single" w:color="auto" w:sz="4" w:space="0"/>
              <w:bottom w:val="single" w:color="auto" w:sz="4" w:space="0"/>
              <w:right w:val="single" w:color="auto" w:sz="4" w:space="0"/>
            </w:tcBorders>
            <w:tcW w:w="346"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项</w:t>
            </w:r>
            <w:r/>
          </w:p>
        </w:tc>
        <w:tc>
          <w:tcPr>
            <w:tcBorders>
              <w:top w:val="single" w:color="auto" w:sz="4" w:space="0"/>
              <w:left w:val="single" w:color="auto" w:sz="4" w:space="0"/>
              <w:bottom w:val="single" w:color="auto" w:sz="4" w:space="0"/>
              <w:right w:val="single" w:color="auto" w:sz="4" w:space="0"/>
            </w:tcBorders>
            <w:tcW w:w="445"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6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黑飞反制</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支持无人机反制设备控制，无人机白名单设置等</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无人机黑飞分析</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支持对无人机黑飞数据进行多维度分析，设备类型、人员信息、区域、时段等维度进行数据分析与展示，如：热点黑飞区域、黑飞高发时间段等</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多模感知网络</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支持接入兼容已建设的侦测设备，探测一定范围内的无人机序列</w:t>
            </w:r>
            <w:r>
              <w:rPr>
                <w:rFonts w:hint="eastAsia" w:ascii="宋体" w:hAnsi="宋体" w:cs="宋体"/>
                <w:sz w:val="18"/>
                <w:szCs w:val="18"/>
              </w:rPr>
              <w:t xml:space="preserve">号用于</w:t>
            </w:r>
            <w:r>
              <w:rPr>
                <w:rFonts w:hint="eastAsia" w:ascii="宋体" w:hAnsi="宋体" w:cs="宋体"/>
                <w:sz w:val="18"/>
                <w:szCs w:val="18"/>
              </w:rPr>
              <w:t xml:space="preserve">身份比对，并支持后续拓展雷达、无线电（含</w:t>
            </w:r>
            <w:r>
              <w:rPr>
                <w:rFonts w:hint="eastAsia" w:ascii="宋体" w:hAnsi="宋体" w:cs="宋体"/>
                <w:sz w:val="18"/>
                <w:szCs w:val="18"/>
              </w:rPr>
              <w:t xml:space="preserve">TDOA</w:t>
            </w:r>
            <w:r>
              <w:rPr>
                <w:rFonts w:hint="eastAsia" w:ascii="宋体" w:hAnsi="宋体" w:cs="宋体"/>
                <w:sz w:val="18"/>
                <w:szCs w:val="18"/>
              </w:rPr>
              <w:t xml:space="preserve">）、广播式接收机等多种探测设备，形成多模融合感知网络</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支持在电子地图上展示各类设备的位置、状态、能效范围等信息</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支持多</w:t>
            </w:r>
            <w:r>
              <w:rPr>
                <w:rFonts w:hint="eastAsia" w:ascii="宋体" w:hAnsi="宋体" w:cs="宋体"/>
                <w:sz w:val="18"/>
                <w:szCs w:val="18"/>
              </w:rPr>
              <w:t xml:space="preserve">源目标</w:t>
            </w:r>
            <w:r>
              <w:rPr>
                <w:rFonts w:hint="eastAsia" w:ascii="宋体" w:hAnsi="宋体" w:cs="宋体"/>
                <w:sz w:val="18"/>
                <w:szCs w:val="18"/>
              </w:rPr>
              <w:t xml:space="preserve">融合，对多源探测数据进行空间坐标统一、时间对齐、目标关联，形成单一融合目标的信息和轨迹</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支持光电智能追踪，经雷达或</w:t>
            </w:r>
            <w:r>
              <w:rPr>
                <w:rFonts w:hint="eastAsia" w:ascii="宋体" w:hAnsi="宋体" w:cs="宋体"/>
                <w:sz w:val="18"/>
                <w:szCs w:val="18"/>
              </w:rPr>
              <w:t xml:space="preserve">TDOA</w:t>
            </w:r>
            <w:r>
              <w:rPr>
                <w:rFonts w:hint="eastAsia" w:ascii="宋体" w:hAnsi="宋体" w:cs="宋体"/>
                <w:sz w:val="18"/>
                <w:szCs w:val="18"/>
              </w:rPr>
              <w:t xml:space="preserve">初步定位后，系统可自动引导光电转台锁定目标（需配套专业的光电相机），实现高清可见光</w:t>
            </w:r>
            <w:r>
              <w:rPr>
                <w:rFonts w:hint="eastAsia" w:ascii="宋体" w:hAnsi="宋体" w:cs="宋体"/>
                <w:sz w:val="18"/>
                <w:szCs w:val="18"/>
              </w:rPr>
              <w:t xml:space="preserve">/</w:t>
            </w:r>
            <w:r>
              <w:rPr>
                <w:rFonts w:hint="eastAsia" w:ascii="宋体" w:hAnsi="宋体" w:cs="宋体"/>
                <w:sz w:val="18"/>
                <w:szCs w:val="18"/>
              </w:rPr>
              <w:t xml:space="preserve">红外实时追踪</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智能决策引擎</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支持飞行轨迹预测，基于深度学习模型对前序轨迹建模，预测未来</w:t>
            </w:r>
            <w:r>
              <w:rPr>
                <w:rFonts w:hint="eastAsia" w:ascii="宋体" w:hAnsi="宋体" w:cs="宋体"/>
                <w:sz w:val="18"/>
                <w:szCs w:val="18"/>
              </w:rPr>
              <w:t xml:space="preserve">15</w:t>
            </w:r>
            <w:r>
              <w:rPr>
                <w:rFonts w:hint="eastAsia" w:ascii="宋体" w:hAnsi="宋体" w:cs="宋体"/>
                <w:sz w:val="18"/>
                <w:szCs w:val="18"/>
              </w:rPr>
              <w:t xml:space="preserve">秒内运动趋势，实现提前预判，变</w:t>
            </w:r>
            <w:r>
              <w:rPr>
                <w:rFonts w:hint="eastAsia" w:ascii="宋体" w:hAnsi="宋体" w:cs="宋体"/>
                <w:sz w:val="18"/>
                <w:szCs w:val="18"/>
              </w:rPr>
              <w:t xml:space="preserve">被动响应</w:t>
            </w:r>
            <w:r>
              <w:rPr>
                <w:rFonts w:hint="eastAsia" w:ascii="宋体" w:hAnsi="宋体" w:cs="宋体"/>
                <w:sz w:val="18"/>
                <w:szCs w:val="18"/>
              </w:rPr>
              <w:t xml:space="preserve">为提前预警。</w:t>
            </w:r>
            <w:r>
              <w:rPr>
                <w:rFonts w:hint="eastAsia" w:ascii="宋体" w:hAnsi="宋体" w:cs="宋体"/>
                <w:sz w:val="18"/>
                <w:szCs w:val="18"/>
              </w:rPr>
              <w:br/>
            </w:r>
            <w:r>
              <w:rPr>
                <w:rFonts w:hint="eastAsia" w:ascii="宋体" w:hAnsi="宋体" w:cs="宋体"/>
                <w:sz w:val="18"/>
                <w:szCs w:val="18"/>
              </w:rPr>
              <w:t xml:space="preserve">支持在地图上显示预测的未来分析轨迹</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支持飞行意图识别，支持根据目标的历史轨迹、未来轨迹以及运动学特征，分析其飞行行为特征（如盘旋、加速等），进而判断其飞行意图，如高铁侵扰、民航侵扰、踩点偷拍、违法测绘、碰撞风险、窥探等。</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非法反无：基于无人机商业表演干扰情况，进行无线电定向识别，精准识别干扰源，保障无人机表演安全。</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支持黑白名单配置，系统支持录入白名单、黑名单无人机识别信息和身份信息，用于身份判断</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支持威胁等级评估，根据身份比对结果、轨迹预测结果以及分型意图分析结果，对黑飞目标进行威胁程度综合评估，输出高、中、低威胁等级</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支持反制策略库，根据目标的威胁等级以及行为特征，分类分级匹配最佳处置策略</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多端</w:t>
            </w:r>
            <w:r>
              <w:rPr>
                <w:rFonts w:hint="eastAsia" w:ascii="宋体" w:hAnsi="宋体" w:cs="宋体"/>
                <w:sz w:val="24"/>
                <w:szCs w:val="24"/>
              </w:rPr>
              <w:t xml:space="preserve">联动反</w:t>
            </w:r>
            <w:r>
              <w:rPr>
                <w:rFonts w:hint="eastAsia" w:ascii="宋体" w:hAnsi="宋体" w:cs="宋体"/>
                <w:sz w:val="24"/>
                <w:szCs w:val="24"/>
              </w:rPr>
              <w:t xml:space="preserve">制</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支持对注册人电话指导、协议接管、无线电干扰</w:t>
            </w:r>
            <w:r>
              <w:rPr>
                <w:rFonts w:hint="eastAsia" w:ascii="宋体" w:hAnsi="宋体" w:cs="宋体"/>
                <w:sz w:val="18"/>
                <w:szCs w:val="18"/>
              </w:rPr>
              <w:t xml:space="preserve">/</w:t>
            </w:r>
            <w:r>
              <w:rPr>
                <w:rFonts w:hint="eastAsia" w:ascii="宋体" w:hAnsi="宋体" w:cs="宋体"/>
                <w:sz w:val="18"/>
                <w:szCs w:val="18"/>
              </w:rPr>
              <w:t xml:space="preserve">压制、导航诱骗、地面监控联动追踪等反制类设备进行管理和控制，在设备支持的情况下对其通讯状态、工作状态、以及具体参数如干扰功率进行配置和控制</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支持与</w:t>
            </w:r>
            <w:r>
              <w:rPr>
                <w:rFonts w:hint="eastAsia" w:ascii="宋体" w:hAnsi="宋体" w:cs="宋体"/>
                <w:sz w:val="18"/>
                <w:szCs w:val="18"/>
              </w:rPr>
              <w:t xml:space="preserve">4G/5G</w:t>
            </w:r>
            <w:r>
              <w:rPr>
                <w:rFonts w:hint="eastAsia" w:ascii="宋体" w:hAnsi="宋体" w:cs="宋体"/>
                <w:sz w:val="18"/>
                <w:szCs w:val="18"/>
              </w:rPr>
              <w:t xml:space="preserve">执法仪、对讲机、车载终端、警务通等单兵设备进行通信，调度警力下发协同处置任务</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支持通过系统查询黑飞信息，包括位置、时间、飞行轨迹及其他线索，并支持根据位置对应具体派出所，并形成黑飞协查单，支持信息导出</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反制效能评估</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针对每一次黑飞事件和反制任务，提供量化的反制效果评估并生成事件报告</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黑飞线索挖掘</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支持分析全域飞行目标的行为轨迹，挖掘“黑飞”事件之外的潜在风险，如敏感场所周边空域徘徊、昼伏夜出等，提供情报线索</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反制态势感知</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支持全域反制态势，按时段、区域、目标数量、威胁等级等维度进行态势统计与分析</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312"/>
        </w:trPr>
        <w:tc>
          <w:tcPr>
            <w:tcBorders>
              <w:top w:val="single" w:color="auto" w:sz="4" w:space="0"/>
              <w:left w:val="single" w:color="auto" w:sz="4" w:space="0"/>
              <w:bottom w:val="single" w:color="auto" w:sz="4" w:space="0"/>
              <w:right w:val="single" w:color="auto" w:sz="4" w:space="0"/>
            </w:tcBorders>
            <w:tcW w:w="578"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799"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低空飞行应用平台</w:t>
            </w:r>
            <w:r/>
          </w:p>
        </w:tc>
        <w:tc>
          <w:tcPr>
            <w:tcBorders>
              <w:top w:val="single" w:color="auto" w:sz="4" w:space="0"/>
              <w:left w:val="single" w:color="auto" w:sz="4" w:space="0"/>
              <w:bottom w:val="single" w:color="auto" w:sz="4" w:space="0"/>
              <w:right w:val="single" w:color="auto" w:sz="4" w:space="0"/>
            </w:tcBorders>
            <w:tcW w:w="791"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飞行管理模块</w:t>
            </w:r>
            <w:r/>
          </w:p>
        </w:tc>
        <w:tc>
          <w:tcPr>
            <w:tcBorders>
              <w:top w:val="single" w:color="auto" w:sz="4" w:space="0"/>
              <w:left w:val="single" w:color="auto" w:sz="4" w:space="0"/>
              <w:bottom w:val="single" w:color="auto" w:sz="4" w:space="0"/>
              <w:right w:val="single" w:color="auto" w:sz="4" w:space="0"/>
            </w:tcBorders>
            <w:tcW w:w="940"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航线规划</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支持航线查询，用户可通过关键字对航线进行检索查询。</w:t>
            </w:r>
            <w:r/>
          </w:p>
        </w:tc>
        <w:tc>
          <w:tcPr>
            <w:tcBorders>
              <w:top w:val="single" w:color="auto" w:sz="4" w:space="0"/>
              <w:left w:val="single" w:color="auto" w:sz="4" w:space="0"/>
              <w:bottom w:val="single" w:color="auto" w:sz="4" w:space="0"/>
              <w:right w:val="single" w:color="auto" w:sz="4" w:space="0"/>
            </w:tcBorders>
            <w:tcW w:w="346"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项</w:t>
            </w:r>
            <w:r/>
          </w:p>
        </w:tc>
        <w:tc>
          <w:tcPr>
            <w:tcBorders>
              <w:top w:val="single" w:color="auto" w:sz="4" w:space="0"/>
              <w:left w:val="single" w:color="auto" w:sz="4" w:space="0"/>
              <w:bottom w:val="single" w:color="auto" w:sz="4" w:space="0"/>
              <w:right w:val="single" w:color="auto" w:sz="4" w:space="0"/>
            </w:tcBorders>
            <w:tcW w:w="445"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339"/>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支持航线下载，用户可以下载</w:t>
            </w:r>
            <w:r>
              <w:rPr>
                <w:rFonts w:hint="eastAsia" w:ascii="宋体" w:hAnsi="宋体" w:cs="宋体"/>
                <w:sz w:val="18"/>
                <w:szCs w:val="18"/>
              </w:rPr>
              <w:t xml:space="preserve">KMZ</w:t>
            </w:r>
            <w:r>
              <w:rPr>
                <w:rFonts w:hint="eastAsia" w:ascii="宋体" w:hAnsi="宋体" w:cs="宋体"/>
                <w:sz w:val="18"/>
                <w:szCs w:val="18"/>
              </w:rPr>
              <w:t xml:space="preserve">形式航线信息。</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38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支持航线导入，用户可以导入外部</w:t>
            </w:r>
            <w:r>
              <w:rPr>
                <w:rFonts w:hint="eastAsia" w:ascii="宋体" w:hAnsi="宋体" w:cs="宋体"/>
                <w:sz w:val="18"/>
                <w:szCs w:val="18"/>
              </w:rPr>
              <w:t xml:space="preserve">KMZ</w:t>
            </w:r>
            <w:r>
              <w:rPr>
                <w:rFonts w:hint="eastAsia" w:ascii="宋体" w:hAnsi="宋体" w:cs="宋体"/>
                <w:sz w:val="18"/>
                <w:szCs w:val="18"/>
              </w:rPr>
              <w:t xml:space="preserve">格式航线。</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326"/>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支持航线删除。</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支持编辑航线，对已保存的航线进行二次编辑修改，包括航点、参数等数据。</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支持航线列表预览，用户可查看以地图航</w:t>
            </w:r>
            <w:r>
              <w:rPr>
                <w:rFonts w:hint="eastAsia" w:ascii="宋体" w:hAnsi="宋体" w:cs="宋体"/>
                <w:sz w:val="18"/>
                <w:szCs w:val="18"/>
              </w:rPr>
              <w:t xml:space="preserve">点形式</w:t>
            </w:r>
            <w:r>
              <w:rPr>
                <w:rFonts w:hint="eastAsia" w:ascii="宋体" w:hAnsi="宋体" w:cs="宋体"/>
                <w:sz w:val="18"/>
                <w:szCs w:val="18"/>
              </w:rPr>
              <w:t xml:space="preserve">展示的缩略图、航线距离、航线时间等信息。</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支持航线设置，用户在新建、编辑航线时，对整条航线进行参数设置，包括飞行速度、高度等信息。</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支持添加航点，用户可在地图上点击，快速创建航点，航点间组成航线。</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支持航</w:t>
            </w:r>
            <w:r>
              <w:rPr>
                <w:rFonts w:hint="eastAsia" w:ascii="宋体" w:hAnsi="宋体" w:cs="宋体"/>
                <w:sz w:val="18"/>
                <w:szCs w:val="18"/>
              </w:rPr>
              <w:t xml:space="preserve">点动作</w:t>
            </w:r>
            <w:r>
              <w:rPr>
                <w:rFonts w:hint="eastAsia" w:ascii="宋体" w:hAnsi="宋体" w:cs="宋体"/>
                <w:sz w:val="18"/>
                <w:szCs w:val="18"/>
              </w:rPr>
              <w:t xml:space="preserve">设置，用户在新建、编辑航线时，对单个航点添加航点动作，支持悬停、飞行器偏航</w:t>
            </w:r>
            <w:r>
              <w:rPr>
                <w:rFonts w:hint="eastAsia" w:ascii="宋体" w:hAnsi="宋体" w:cs="宋体"/>
                <w:sz w:val="18"/>
                <w:szCs w:val="18"/>
              </w:rPr>
              <w:t xml:space="preserve">角设置</w:t>
            </w:r>
            <w:r>
              <w:rPr>
                <w:rFonts w:hint="eastAsia" w:ascii="宋体" w:hAnsi="宋体" w:cs="宋体"/>
                <w:sz w:val="18"/>
                <w:szCs w:val="18"/>
              </w:rPr>
              <w:t xml:space="preserve">等，</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支持地名检索，用户通过输入地名搜索地图位置，定位到所选位置。</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38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支持地图应用工具，包括坐标拾取、测距、测面等测量工具。</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历史飞行</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支持历史飞行记录，平台将飞行任务实时轨迹形成飞行记录保存，支持飞行记录收藏，用户可筛选展示收藏的历史飞行记录。</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飞行任务管理</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支持飞行任务管理，用户可绑定飞行路线、执行设备等信息，提交后可下发至无人机遥控器，或者由方舱控制选择计划飞行。</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飞行任务审批</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支持飞行任务审批，由管理员审批提交的飞行计划，审核通过后方可执行。</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异常事件管理</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支持异常事件管理，对于飞行过程中所有</w:t>
            </w:r>
            <w:r>
              <w:rPr>
                <w:rFonts w:hint="eastAsia" w:ascii="宋体" w:hAnsi="宋体" w:cs="宋体"/>
                <w:sz w:val="18"/>
                <w:szCs w:val="18"/>
              </w:rPr>
              <w:t xml:space="preserve">AI</w:t>
            </w:r>
            <w:r>
              <w:rPr>
                <w:rFonts w:hint="eastAsia" w:ascii="宋体" w:hAnsi="宋体" w:cs="宋体"/>
                <w:sz w:val="18"/>
                <w:szCs w:val="18"/>
              </w:rPr>
              <w:t xml:space="preserve">识别记录，生成的异常事件，进行数据管理、流程管理。</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工</w:t>
            </w:r>
            <w:r>
              <w:rPr>
                <w:rFonts w:hint="eastAsia" w:ascii="宋体" w:hAnsi="宋体" w:cs="宋体"/>
                <w:sz w:val="24"/>
                <w:szCs w:val="24"/>
              </w:rPr>
              <w:t xml:space="preserve">单管理</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支持工单流管理，实现全流程无人机警</w:t>
            </w:r>
            <w:r>
              <w:rPr>
                <w:rFonts w:hint="eastAsia" w:ascii="宋体" w:hAnsi="宋体" w:cs="宋体"/>
                <w:sz w:val="18"/>
                <w:szCs w:val="18"/>
              </w:rPr>
              <w:t xml:space="preserve">情任务工</w:t>
            </w:r>
            <w:r>
              <w:rPr>
                <w:rFonts w:hint="eastAsia" w:ascii="宋体" w:hAnsi="宋体" w:cs="宋体"/>
                <w:sz w:val="18"/>
                <w:szCs w:val="18"/>
              </w:rPr>
              <w:t xml:space="preserve">单化管理，创建工单、发布工单、工单签收、工单提审和工单验收。支持用</w:t>
            </w:r>
            <w:r>
              <w:rPr>
                <w:rFonts w:hint="eastAsia" w:ascii="宋体" w:hAnsi="宋体" w:cs="宋体"/>
                <w:sz w:val="18"/>
                <w:szCs w:val="18"/>
              </w:rPr>
              <w:t xml:space="preserve">户在发出申请后，查询自己所发出的申请单的进度和状态。如果当前流程节点需要本人审批，支持用户进行审批操作。</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自动区分工单类型进行统计展示，如应急、消防、打击走私等，支持环比图、折线图等方式。支持管理员查看所有申请工单的进度和状态，以及下一步的处理流程节点。如果当前流程节点需要管理员审批，支持管理员进行审批操作。</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告警管理</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支持展示管理平台所有的告警信息。</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无人机驾驶舱模块</w:t>
            </w:r>
            <w:r/>
          </w:p>
        </w:tc>
        <w:tc>
          <w:tcPr>
            <w:tcBorders>
              <w:top w:val="single" w:color="auto" w:sz="4" w:space="0"/>
              <w:left w:val="single" w:color="auto" w:sz="4" w:space="0"/>
              <w:bottom w:val="single" w:color="auto" w:sz="4" w:space="0"/>
              <w:right w:val="single" w:color="auto" w:sz="4" w:space="0"/>
            </w:tcBorders>
            <w:tcW w:w="940"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实时图传</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平台支持对无人机的</w:t>
            </w:r>
            <w:r>
              <w:rPr>
                <w:rFonts w:hint="eastAsia" w:ascii="宋体" w:hAnsi="宋体" w:cs="宋体"/>
                <w:sz w:val="18"/>
                <w:szCs w:val="18"/>
              </w:rPr>
              <w:t xml:space="preserve">GB/T </w:t>
            </w:r>
            <w:r>
              <w:rPr>
                <w:rFonts w:hint="eastAsia" w:ascii="宋体" w:hAnsi="宋体" w:cs="宋体"/>
                <w:sz w:val="18"/>
                <w:szCs w:val="18"/>
              </w:rPr>
              <w:t xml:space="preserve">28181</w:t>
            </w:r>
            <w:r>
              <w:rPr>
                <w:rFonts w:hint="eastAsia" w:ascii="宋体" w:hAnsi="宋体" w:cs="宋体"/>
                <w:sz w:val="18"/>
                <w:szCs w:val="18"/>
              </w:rPr>
              <w:t xml:space="preserve">、</w:t>
            </w:r>
            <w:r>
              <w:rPr>
                <w:rFonts w:hint="eastAsia" w:ascii="宋体" w:hAnsi="宋体" w:cs="宋体"/>
                <w:sz w:val="18"/>
                <w:szCs w:val="18"/>
              </w:rPr>
              <w:t xml:space="preserve">RTMP</w:t>
            </w:r>
            <w:r>
              <w:rPr>
                <w:rFonts w:hint="eastAsia" w:ascii="宋体" w:hAnsi="宋体" w:cs="宋体"/>
                <w:sz w:val="18"/>
                <w:szCs w:val="18"/>
              </w:rPr>
              <w:t xml:space="preserve">、</w:t>
            </w:r>
            <w:r>
              <w:rPr>
                <w:rFonts w:hint="eastAsia" w:ascii="宋体" w:hAnsi="宋体" w:cs="宋体"/>
                <w:sz w:val="18"/>
                <w:szCs w:val="18"/>
              </w:rPr>
              <w:t xml:space="preserve">RTSP</w:t>
            </w:r>
            <w:r>
              <w:rPr>
                <w:rFonts w:hint="eastAsia" w:ascii="宋体" w:hAnsi="宋体" w:cs="宋体"/>
                <w:sz w:val="18"/>
                <w:szCs w:val="18"/>
              </w:rPr>
              <w:t xml:space="preserve">多种协议实时视频回传，以及对录像和图片等多媒体资源进行管理。</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支持框选变焦</w:t>
            </w:r>
            <w:r>
              <w:rPr>
                <w:rFonts w:hint="eastAsia" w:ascii="宋体" w:hAnsi="宋体" w:cs="宋体"/>
                <w:sz w:val="18"/>
                <w:szCs w:val="18"/>
              </w:rPr>
              <w:t xml:space="preserve">，操作人员可以在飞行视频</w:t>
            </w:r>
            <w:r>
              <w:rPr>
                <w:rFonts w:hint="eastAsia" w:ascii="宋体" w:hAnsi="宋体" w:cs="宋体"/>
                <w:sz w:val="18"/>
                <w:szCs w:val="18"/>
              </w:rPr>
              <w:t xml:space="preserve">中框选目标</w:t>
            </w:r>
            <w:r>
              <w:rPr>
                <w:rFonts w:hint="eastAsia" w:ascii="宋体" w:hAnsi="宋体" w:cs="宋体"/>
                <w:sz w:val="18"/>
                <w:szCs w:val="18"/>
              </w:rPr>
              <w:t xml:space="preserve">区域，自动调整焦距以放大该区域。</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支持视频直播，用户可查看方舱内外、无人机的监控、实时直播画面。</w:t>
            </w:r>
            <w:r>
              <w:rPr>
                <w:rFonts w:hint="eastAsia" w:ascii="宋体" w:hAnsi="宋体" w:cs="宋体"/>
                <w:sz w:val="18"/>
                <w:szCs w:val="18"/>
              </w:rPr>
              <w:br/>
            </w:r>
            <w:r>
              <w:rPr>
                <w:rFonts w:hint="eastAsia" w:ascii="宋体" w:hAnsi="宋体" w:cs="宋体"/>
                <w:sz w:val="18"/>
                <w:szCs w:val="18"/>
              </w:rPr>
              <w:t xml:space="preserve">平台支持将无人机搭载的云台上拍摄的高清视频信号实时传输</w:t>
            </w:r>
            <w:r>
              <w:rPr>
                <w:rFonts w:hint="eastAsia" w:ascii="宋体" w:hAnsi="宋体" w:cs="宋体"/>
                <w:sz w:val="18"/>
                <w:szCs w:val="18"/>
              </w:rPr>
              <w:t xml:space="preserve">至指挥</w:t>
            </w:r>
            <w:r>
              <w:rPr>
                <w:rFonts w:hint="eastAsia" w:ascii="宋体" w:hAnsi="宋体" w:cs="宋体"/>
                <w:sz w:val="18"/>
                <w:szCs w:val="18"/>
              </w:rPr>
              <w:t xml:space="preserve">中心。</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云</w:t>
            </w:r>
            <w:r>
              <w:rPr>
                <w:rFonts w:hint="eastAsia" w:ascii="宋体" w:hAnsi="宋体" w:cs="宋体"/>
                <w:sz w:val="24"/>
                <w:szCs w:val="24"/>
              </w:rPr>
              <w:t xml:space="preserve">台控制</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支持远程变焦控制无人机云台，通过远程操控改变云台镜头变焦倍数、俯仰角及偏航角。支持云台圆盘控制与镜头变焦设置，方便更准确监控目标区域，。</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支持远程控制云台方向，实现用户通过画面点击方式确认云台聚焦点位，鼠标点击画面某处后，云台自动聚焦到相应位置。</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方舱控制</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支持一键开舱、一键关舱、空调开启关闭等。</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飞行控制</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支持通过桌面摇杆控制无人机飞行姿态，航线暂停、继续、拍照、录像、返航等操作，</w:t>
            </w:r>
            <w:r>
              <w:rPr>
                <w:rFonts w:hint="eastAsia" w:ascii="宋体" w:hAnsi="宋体" w:cs="宋体"/>
                <w:sz w:val="18"/>
                <w:szCs w:val="18"/>
              </w:rPr>
              <w:br/>
            </w:r>
            <w:r>
              <w:rPr>
                <w:rFonts w:hint="eastAsia" w:ascii="宋体" w:hAnsi="宋体" w:cs="宋体"/>
                <w:sz w:val="18"/>
                <w:szCs w:val="18"/>
              </w:rPr>
              <w:t xml:space="preserve">支持对无人机进行临时接管，进行前进、后退、上升、下降、左旋、右旋等操作。</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支持探照灯控制，包括探照灯开、关控制，支持开启</w:t>
            </w:r>
            <w:r>
              <w:rPr>
                <w:rFonts w:hint="eastAsia" w:ascii="宋体" w:hAnsi="宋体" w:cs="宋体"/>
                <w:sz w:val="18"/>
                <w:szCs w:val="18"/>
              </w:rPr>
              <w:t xml:space="preserve">/</w:t>
            </w:r>
            <w:r>
              <w:rPr>
                <w:rFonts w:hint="eastAsia" w:ascii="宋体" w:hAnsi="宋体" w:cs="宋体"/>
                <w:sz w:val="18"/>
                <w:szCs w:val="18"/>
              </w:rPr>
              <w:t xml:space="preserve">关闭夜航灯。可通过平台控制无人机在方舱固定点位的起飞降落，支持对无人机方向和油门的</w:t>
            </w:r>
            <w:r>
              <w:rPr>
                <w:rFonts w:hint="eastAsia" w:ascii="宋体" w:hAnsi="宋体" w:cs="宋体"/>
                <w:sz w:val="18"/>
                <w:szCs w:val="18"/>
              </w:rPr>
              <w:t xml:space="preserve">实时超</w:t>
            </w:r>
            <w:r>
              <w:rPr>
                <w:rFonts w:hint="eastAsia" w:ascii="宋体" w:hAnsi="宋体" w:cs="宋体"/>
                <w:sz w:val="18"/>
                <w:szCs w:val="18"/>
              </w:rPr>
              <w:t xml:space="preserve">视距控制。</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支持一键起飞，通过按下一键起飞的按钮，平台便会自动完成无人机的起飞过程，无需复杂的操作。</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支持一键返航，通过按下一键返航功能，可以实现无人机一键自动返回起飞点位置。</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支持断点续飞，当无人机由于电量不足或其他原因中途返航，导致飞行任务未执行完，系统将自动保存任务进度，再次执行任务时，可手动选择断点任务继续执行。</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支持蛙跳飞行，方舱与无人机解耦，无人机在飞行过程中，若电量不足或任务所需，可选择距离可到达、满足空舱条件的方舱进行降落，无需返回原方舱。</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支持接力飞行，通过单飞机、多方舱的模式，实现接力飞行功能，允许无人机按照预设的顺序进行接力飞行。</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远程喊话</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支持文本及录音两种方式的远程喊话。通过无人机搭载喊话器设备，可以允许指挥员实时向远距离目标发送语音指令或文字喊话，如紧急疏散、警示宣传等。</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实时飞行态势</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支持无人机飞行视频展示，通过实时接收无人机传输的高清视频流，指挥中心坐席可以展示无人机的飞行时拍摄的画面，确保飞行安全并有效执行任务。</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支持无人机飞行轨迹展示，将无人机的飞行轨迹在地图上实时绘制出来，并显示其当前位置。</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339"/>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支持无人机飞行数据展示，如高度、速度、姿态角等状态信息。</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支持无人机飞行控制信息展示，具备自主飞行和智能飞行功能，能够在无人工干预的情况下，按照预设航线或任务需求进行自主飞行。</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支持展示方舱感知信息，包括温度、湿度、风速、风向、气压、电源状态、通讯连接情况、机舱内部温度湿度等关键信息。</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任务管理</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支持展示平台所有已创建的飞行任务，以及关联的事件，可以选择任</w:t>
            </w:r>
            <w:r>
              <w:rPr>
                <w:rFonts w:hint="eastAsia" w:ascii="宋体" w:hAnsi="宋体" w:cs="宋体"/>
                <w:sz w:val="18"/>
                <w:szCs w:val="18"/>
              </w:rPr>
              <w:t xml:space="preserve">一</w:t>
            </w:r>
            <w:r>
              <w:rPr>
                <w:rFonts w:hint="eastAsia" w:ascii="宋体" w:hAnsi="宋体" w:cs="宋体"/>
                <w:sz w:val="18"/>
                <w:szCs w:val="18"/>
              </w:rPr>
              <w:t xml:space="preserve">任务，联动查看任务详情数据，例如当前任务的飞行态势、</w:t>
            </w:r>
            <w:r>
              <w:rPr>
                <w:rFonts w:hint="eastAsia" w:ascii="宋体" w:hAnsi="宋体" w:cs="宋体"/>
                <w:sz w:val="18"/>
                <w:szCs w:val="18"/>
              </w:rPr>
              <w:t xml:space="preserve">实时图传</w:t>
            </w:r>
            <w:r>
              <w:rPr>
                <w:rFonts w:hint="eastAsia" w:ascii="宋体" w:hAnsi="宋体" w:cs="宋体"/>
                <w:sz w:val="18"/>
                <w:szCs w:val="18"/>
              </w:rPr>
              <w:t xml:space="preserve">、云台控制、预警消息等。</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飞行调度，在任何需要的时候直接调度无人机并下发飞行指令。支持警情自动生成任务并按照警情坐标一键起飞指点飞行至警情位置。支持平台任务关联警情并将相关无人机视频数据和无人机位置数据推移动端（通过警情编号进行关联，相关网络和接口由公安负责协调）。</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支持一键下发飞行任务，实现方舱、无人机自动完成开舱、开机、起飞等动作，不需要分步操作。</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手柄操作</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平台支持链接第三方手柄用于操作控制无人机。</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飞行档案模块</w:t>
            </w:r>
            <w:r/>
          </w:p>
        </w:tc>
        <w:tc>
          <w:tcPr>
            <w:tcBorders>
              <w:top w:val="single" w:color="auto" w:sz="4" w:space="0"/>
              <w:left w:val="single" w:color="auto" w:sz="4" w:space="0"/>
              <w:bottom w:val="single" w:color="auto" w:sz="4" w:space="0"/>
              <w:right w:val="single" w:color="auto" w:sz="4" w:space="0"/>
            </w:tcBorders>
            <w:tcW w:w="940"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任务数据</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支持飞行任务列表总</w:t>
            </w:r>
            <w:r>
              <w:rPr>
                <w:rFonts w:hint="eastAsia" w:ascii="宋体" w:hAnsi="宋体" w:cs="宋体"/>
                <w:sz w:val="18"/>
                <w:szCs w:val="18"/>
              </w:rPr>
              <w:t xml:space="preserve">览</w:t>
            </w:r>
            <w:r>
              <w:rPr>
                <w:rFonts w:hint="eastAsia" w:ascii="宋体" w:hAnsi="宋体" w:cs="宋体"/>
                <w:sz w:val="18"/>
                <w:szCs w:val="18"/>
              </w:rPr>
              <w:t xml:space="preserve">查看，管理所有任务数据，地图展示</w:t>
            </w:r>
            <w:r>
              <w:rPr>
                <w:rFonts w:hint="eastAsia" w:ascii="宋体" w:hAnsi="宋体" w:cs="宋体"/>
                <w:sz w:val="18"/>
                <w:szCs w:val="18"/>
              </w:rPr>
              <w:t xml:space="preserve">各任务点</w:t>
            </w:r>
            <w:r>
              <w:rPr>
                <w:rFonts w:hint="eastAsia" w:ascii="宋体" w:hAnsi="宋体" w:cs="宋体"/>
                <w:sz w:val="18"/>
                <w:szCs w:val="18"/>
              </w:rPr>
              <w:t xml:space="preserve">位进行统计分析。</w:t>
            </w:r>
            <w:r>
              <w:rPr>
                <w:rFonts w:hint="eastAsia" w:ascii="宋体" w:hAnsi="宋体" w:cs="宋体"/>
                <w:sz w:val="18"/>
                <w:szCs w:val="18"/>
              </w:rPr>
              <w:br/>
            </w:r>
            <w:r>
              <w:rPr>
                <w:rFonts w:hint="eastAsia" w:ascii="宋体" w:hAnsi="宋体" w:cs="宋体"/>
                <w:sz w:val="18"/>
                <w:szCs w:val="18"/>
              </w:rPr>
              <w:t xml:space="preserve">支持查看飞行任务</w:t>
            </w:r>
            <w:r>
              <w:rPr>
                <w:rFonts w:hint="eastAsia" w:ascii="宋体" w:hAnsi="宋体" w:cs="宋体"/>
                <w:sz w:val="18"/>
                <w:szCs w:val="18"/>
              </w:rPr>
              <w:t xml:space="preserve">/</w:t>
            </w:r>
            <w:r>
              <w:rPr>
                <w:rFonts w:hint="eastAsia" w:ascii="宋体" w:hAnsi="宋体" w:cs="宋体"/>
                <w:sz w:val="18"/>
                <w:szCs w:val="18"/>
              </w:rPr>
              <w:t xml:space="preserve">警情总量及已执行任务数量统计。</w:t>
            </w:r>
            <w:r>
              <w:rPr>
                <w:rFonts w:hint="eastAsia" w:ascii="宋体" w:hAnsi="宋体" w:cs="宋体"/>
                <w:sz w:val="18"/>
                <w:szCs w:val="18"/>
              </w:rPr>
              <w:br/>
            </w:r>
            <w:r>
              <w:rPr>
                <w:rFonts w:hint="eastAsia" w:ascii="宋体" w:hAnsi="宋体" w:cs="宋体"/>
                <w:sz w:val="18"/>
                <w:szCs w:val="18"/>
              </w:rPr>
              <w:t xml:space="preserve">支持飞行行动总量及正在执行行动的数量统计、每日飞行时长统计、无人机飞行里程、飞行次数及飞行时</w:t>
            </w:r>
            <w:r>
              <w:rPr>
                <w:rFonts w:hint="eastAsia" w:ascii="宋体" w:hAnsi="宋体" w:cs="宋体"/>
                <w:sz w:val="18"/>
                <w:szCs w:val="18"/>
              </w:rPr>
              <w:t xml:space="preserve">长统计</w:t>
            </w:r>
            <w:r>
              <w:rPr>
                <w:rFonts w:hint="eastAsia" w:ascii="宋体" w:hAnsi="宋体" w:cs="宋体"/>
                <w:sz w:val="18"/>
                <w:szCs w:val="18"/>
              </w:rPr>
              <w:t xml:space="preserve">等。</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支持查看单个飞行任务的信息（任务详情、作业信息、飞行里程、飞行时</w:t>
            </w:r>
            <w:r>
              <w:rPr>
                <w:rFonts w:hint="eastAsia" w:ascii="宋体" w:hAnsi="宋体" w:cs="宋体"/>
                <w:sz w:val="18"/>
                <w:szCs w:val="18"/>
              </w:rPr>
              <w:t xml:space="preserve">长统计</w:t>
            </w:r>
            <w:r>
              <w:rPr>
                <w:rFonts w:hint="eastAsia" w:ascii="宋体" w:hAnsi="宋体" w:cs="宋体"/>
                <w:sz w:val="18"/>
                <w:szCs w:val="18"/>
              </w:rPr>
              <w:t xml:space="preserve">及排行）、照片、视频、飞行回放、飞行报告等数据。</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38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支持储存飞行视频（默认不少于</w:t>
            </w:r>
            <w:r>
              <w:rPr>
                <w:rFonts w:hint="eastAsia" w:ascii="宋体" w:hAnsi="宋体" w:cs="宋体"/>
                <w:sz w:val="18"/>
                <w:szCs w:val="18"/>
              </w:rPr>
              <w:t xml:space="preserve">60</w:t>
            </w:r>
            <w:r>
              <w:rPr>
                <w:rFonts w:hint="eastAsia" w:ascii="宋体" w:hAnsi="宋体" w:cs="宋体"/>
                <w:sz w:val="18"/>
                <w:szCs w:val="18"/>
              </w:rPr>
              <w:t xml:space="preserve">天）。</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支持飞行回放，通过复原任务飞行环境，回放无人机飞行画面、遥测信息、飞行轨迹等信息，支持任意拖动进度</w:t>
            </w:r>
            <w:r>
              <w:rPr>
                <w:rFonts w:hint="eastAsia" w:ascii="宋体" w:hAnsi="宋体" w:cs="宋体"/>
                <w:sz w:val="18"/>
                <w:szCs w:val="18"/>
              </w:rPr>
              <w:t xml:space="preserve">条快速</w:t>
            </w:r>
            <w:r>
              <w:rPr>
                <w:rFonts w:hint="eastAsia" w:ascii="宋体" w:hAnsi="宋体" w:cs="宋体"/>
                <w:sz w:val="18"/>
                <w:szCs w:val="18"/>
              </w:rPr>
              <w:t xml:space="preserve">定位关注时间段。</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支持飞行报告管理，针对场景需求，搭配飞行数据，定制对应飞行报告，报告支持导出，辅助使用者得出有效结论。</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353"/>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支持图片人工对比和标注，标注结果存档。</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飞行日志</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支持历史警情记录，平台收集并统计接警后的侦察活动数据，可通过组织、飞行时间、归档状态（归档完成、归档中）、标签、机型进行快捷搜索，重置按钮可重置筛选条件。</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支持巡检记录列表展示，提供巡检记录详情查看、删除，包括任务名称、任务类型、操作人员、执行设备、航线名称、飞行轨迹、飞行时长、起飞时间、飞行里程等。</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支持记录详情，接警侦察记录中图片、视频查看、下载、导出、导入、批量删除等。</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支持飞行日志导出，以时间</w:t>
            </w:r>
            <w:r>
              <w:rPr>
                <w:rFonts w:hint="eastAsia" w:ascii="宋体" w:hAnsi="宋体" w:cs="宋体"/>
                <w:sz w:val="18"/>
                <w:szCs w:val="18"/>
              </w:rPr>
              <w:t xml:space="preserve">轴形式</w:t>
            </w:r>
            <w:r>
              <w:rPr>
                <w:rFonts w:hint="eastAsia" w:ascii="宋体" w:hAnsi="宋体" w:cs="宋体"/>
                <w:sz w:val="18"/>
                <w:szCs w:val="18"/>
              </w:rPr>
              <w:t xml:space="preserve">导出日志文件，支持选择导出</w:t>
            </w:r>
            <w:r>
              <w:rPr>
                <w:rFonts w:hint="eastAsia" w:ascii="宋体" w:hAnsi="宋体" w:cs="宋体"/>
                <w:sz w:val="18"/>
                <w:szCs w:val="18"/>
              </w:rPr>
              <w:t xml:space="preserve">word</w:t>
            </w:r>
            <w:r>
              <w:rPr>
                <w:rFonts w:hint="eastAsia" w:ascii="宋体" w:hAnsi="宋体" w:cs="宋体"/>
                <w:sz w:val="18"/>
                <w:szCs w:val="18"/>
              </w:rPr>
              <w:t xml:space="preserve">或</w:t>
            </w:r>
            <w:r>
              <w:rPr>
                <w:rFonts w:hint="eastAsia" w:ascii="宋体" w:hAnsi="宋体" w:cs="宋体"/>
                <w:sz w:val="18"/>
                <w:szCs w:val="18"/>
              </w:rPr>
              <w:t xml:space="preserve">excel</w:t>
            </w:r>
            <w:r>
              <w:rPr>
                <w:rFonts w:hint="eastAsia" w:ascii="宋体" w:hAnsi="宋体" w:cs="宋体"/>
                <w:sz w:val="18"/>
                <w:szCs w:val="18"/>
              </w:rPr>
              <w:t xml:space="preserve">表格形式。</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飞行记录</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支持将飞行任务实时轨迹形成飞行记录保存，支持飞行记录收藏，可筛选展示收藏的历史飞行记录。</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提供飞行记录列表，按时间倒序展示所有的历史飞行记录，地图展示所有的飞行记录的轨迹。</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w:t>
            </w:r>
            <w:r>
              <w:rPr>
                <w:rFonts w:hint="eastAsia" w:ascii="宋体" w:hAnsi="宋体" w:cs="宋体"/>
                <w:sz w:val="18"/>
                <w:szCs w:val="18"/>
              </w:rPr>
              <w:t xml:space="preserve">AI</w:t>
            </w:r>
            <w:r>
              <w:rPr>
                <w:rFonts w:hint="eastAsia" w:ascii="宋体" w:hAnsi="宋体" w:cs="宋体"/>
                <w:sz w:val="18"/>
                <w:szCs w:val="18"/>
              </w:rPr>
              <w:t xml:space="preserve">视频结算功能，视频进度条根据</w:t>
            </w:r>
            <w:r>
              <w:rPr>
                <w:rFonts w:hint="eastAsia" w:ascii="宋体" w:hAnsi="宋体" w:cs="宋体"/>
                <w:sz w:val="18"/>
                <w:szCs w:val="18"/>
              </w:rPr>
              <w:t xml:space="preserve">AI</w:t>
            </w:r>
            <w:r>
              <w:rPr>
                <w:rFonts w:hint="eastAsia" w:ascii="宋体" w:hAnsi="宋体" w:cs="宋体"/>
                <w:sz w:val="18"/>
                <w:szCs w:val="18"/>
              </w:rPr>
              <w:t xml:space="preserve">视频结算的时间，在普通视频的进度条中，打开开关，播放</w:t>
            </w:r>
            <w:r>
              <w:rPr>
                <w:rFonts w:hint="eastAsia" w:ascii="宋体" w:hAnsi="宋体" w:cs="宋体"/>
                <w:sz w:val="18"/>
                <w:szCs w:val="18"/>
              </w:rPr>
              <w:t xml:space="preserve">AI</w:t>
            </w:r>
            <w:r>
              <w:rPr>
                <w:rFonts w:hint="eastAsia" w:ascii="宋体" w:hAnsi="宋体" w:cs="宋体"/>
                <w:sz w:val="18"/>
                <w:szCs w:val="18"/>
              </w:rPr>
              <w:t xml:space="preserve">视频，关闭开关，播放普通视频，在没有</w:t>
            </w:r>
            <w:r>
              <w:rPr>
                <w:rFonts w:hint="eastAsia" w:ascii="宋体" w:hAnsi="宋体" w:cs="宋体"/>
                <w:sz w:val="18"/>
                <w:szCs w:val="18"/>
              </w:rPr>
              <w:t xml:space="preserve">AI</w:t>
            </w:r>
            <w:r>
              <w:rPr>
                <w:rFonts w:hint="eastAsia" w:ascii="宋体" w:hAnsi="宋体" w:cs="宋体"/>
                <w:sz w:val="18"/>
                <w:szCs w:val="18"/>
              </w:rPr>
              <w:t xml:space="preserve">视频的地方，打开则显示“当前无</w:t>
            </w:r>
            <w:r>
              <w:rPr>
                <w:rFonts w:hint="eastAsia" w:ascii="宋体" w:hAnsi="宋体" w:cs="宋体"/>
                <w:sz w:val="18"/>
                <w:szCs w:val="18"/>
              </w:rPr>
              <w:t xml:space="preserve">AI</w:t>
            </w:r>
            <w:r>
              <w:rPr>
                <w:rFonts w:hint="eastAsia" w:ascii="宋体" w:hAnsi="宋体" w:cs="宋体"/>
                <w:sz w:val="18"/>
                <w:szCs w:val="18"/>
              </w:rPr>
              <w:t xml:space="preserve">视频”。</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标签管理</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支持自定义标签名称，定义完成后可在飞行记录中进行打标签操作。支持通过标签分类飞行数据，通标签筛选历史数据，并进行相关操作如批量删除操作等。</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识别数据</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支持展示所有飞行任务下的</w:t>
            </w:r>
            <w:r>
              <w:rPr>
                <w:rFonts w:hint="eastAsia" w:ascii="宋体" w:hAnsi="宋体" w:cs="宋体"/>
                <w:sz w:val="18"/>
                <w:szCs w:val="18"/>
              </w:rPr>
              <w:t xml:space="preserve">AI</w:t>
            </w:r>
            <w:r>
              <w:rPr>
                <w:rFonts w:hint="eastAsia" w:ascii="宋体" w:hAnsi="宋体" w:cs="宋体"/>
                <w:sz w:val="18"/>
                <w:szCs w:val="18"/>
              </w:rPr>
              <w:t xml:space="preserve">预警识别结果，可查看识别的照片、处理流程等。</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支持对</w:t>
            </w:r>
            <w:r>
              <w:rPr>
                <w:rFonts w:hint="eastAsia" w:ascii="宋体" w:hAnsi="宋体" w:cs="宋体"/>
                <w:sz w:val="18"/>
                <w:szCs w:val="18"/>
              </w:rPr>
              <w:t xml:space="preserve">AI</w:t>
            </w:r>
            <w:r>
              <w:rPr>
                <w:rFonts w:hint="eastAsia" w:ascii="宋体" w:hAnsi="宋体" w:cs="宋体"/>
                <w:sz w:val="18"/>
                <w:szCs w:val="18"/>
              </w:rPr>
              <w:t xml:space="preserve">识别预警结果人工复核，对识别有误的结果可以打上“废弃”标签，对识别准确的结果可以打上“有效”标签。</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支持人工标注识别结果，</w:t>
            </w:r>
            <w:r>
              <w:rPr>
                <w:rFonts w:hint="eastAsia" w:ascii="宋体" w:hAnsi="宋体" w:cs="宋体"/>
                <w:sz w:val="18"/>
                <w:szCs w:val="18"/>
              </w:rPr>
              <w:t xml:space="preserve">通过框选方式</w:t>
            </w:r>
            <w:r>
              <w:rPr>
                <w:rFonts w:hint="eastAsia" w:ascii="宋体" w:hAnsi="宋体" w:cs="宋体"/>
                <w:sz w:val="18"/>
                <w:szCs w:val="18"/>
              </w:rPr>
              <w:t xml:space="preserve">可以在截</w:t>
            </w:r>
            <w:r>
              <w:rPr>
                <w:rFonts w:hint="eastAsia" w:ascii="宋体" w:hAnsi="宋体" w:cs="宋体"/>
                <w:sz w:val="18"/>
                <w:szCs w:val="18"/>
              </w:rPr>
              <w:t xml:space="preserve">图图片</w:t>
            </w:r>
            <w:r>
              <w:rPr>
                <w:rFonts w:hint="eastAsia" w:ascii="宋体" w:hAnsi="宋体" w:cs="宋体"/>
                <w:sz w:val="18"/>
                <w:szCs w:val="18"/>
              </w:rPr>
              <w:t xml:space="preserve">上再次标注未被识别到的物体，并给与识别类型、识别场景。</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战果库</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支持媒体库列表管理，对飞行后的图片成果、视频成果进行统一管理，关联飞行任务与警情</w:t>
            </w:r>
            <w:r>
              <w:rPr>
                <w:rFonts w:hint="eastAsia" w:ascii="宋体" w:hAnsi="宋体" w:cs="宋体"/>
                <w:sz w:val="18"/>
                <w:szCs w:val="18"/>
              </w:rPr>
              <w:t xml:space="preserve">/</w:t>
            </w:r>
            <w:r>
              <w:rPr>
                <w:rFonts w:hint="eastAsia" w:ascii="宋体" w:hAnsi="宋体" w:cs="宋体"/>
                <w:sz w:val="18"/>
                <w:szCs w:val="18"/>
              </w:rPr>
              <w:t xml:space="preserve">预警事件，进行深度数据联动分析。</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支持测绘数据成果管理，如二维模型、三维模型、全景图、三维点云的上传、预览、分享、删除等。</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306"/>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支持二维模型查看、上传、分享，支持放大、缩小二维模型。</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支持三维模型查看、上传、分享，支持放大、缩小、平移、旋转三维模型。</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支持全景图查看、上传、分享，支持放大、缩小、平移、旋转全景图。</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支持三维点云查看、上传、分享，支持放大、缩小、平移、旋转三维点云。</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支持对上传的战果数据进行点、线、面的标注，为飞行任务完成后提供战场一张图绘制能力。</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支持多次飞行记录的照片同步对比，保存并记录数据变化。通过历史数据对比，发现长期趋势和变化。</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支持对测绘成功数据进行量测分析，包括直线量测、距离量测与高度量测。</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设备库</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支持方舱信息管理展示，支持无人机机场与对应绑定的无人机设备型号、设备</w:t>
            </w:r>
            <w:r>
              <w:rPr>
                <w:rFonts w:hint="eastAsia" w:ascii="宋体" w:hAnsi="宋体" w:cs="宋体"/>
                <w:sz w:val="18"/>
                <w:szCs w:val="18"/>
              </w:rPr>
              <w:t xml:space="preserve">SN</w:t>
            </w:r>
            <w:r>
              <w:rPr>
                <w:rFonts w:hint="eastAsia" w:ascii="宋体" w:hAnsi="宋体" w:cs="宋体"/>
                <w:sz w:val="18"/>
                <w:szCs w:val="18"/>
              </w:rPr>
              <w:t xml:space="preserve">、固件版本、工作状态、在线状态显示。支撑方舱固件在线升级</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支持方舱无人机信息查看，包括累计运行时长、作业架次、机场搜星、标定状态、供电电压、网络、备降点、空调状态显示，环境信息</w:t>
            </w:r>
            <w:r>
              <w:rPr>
                <w:rFonts w:hint="eastAsia" w:ascii="宋体" w:hAnsi="宋体" w:cs="宋体"/>
                <w:sz w:val="18"/>
                <w:szCs w:val="18"/>
              </w:rPr>
              <w:t xml:space="preserve">包括包括</w:t>
            </w:r>
            <w:r>
              <w:rPr>
                <w:rFonts w:hint="eastAsia" w:ascii="宋体" w:hAnsi="宋体" w:cs="宋体"/>
                <w:sz w:val="18"/>
                <w:szCs w:val="18"/>
              </w:rPr>
              <w:t xml:space="preserve">舱内温度</w:t>
            </w:r>
            <w:r>
              <w:rPr>
                <w:rFonts w:hint="eastAsia" w:ascii="宋体" w:hAnsi="宋体" w:cs="宋体"/>
                <w:sz w:val="18"/>
                <w:szCs w:val="18"/>
              </w:rPr>
              <w:t xml:space="preserve">/</w:t>
            </w:r>
            <w:r>
              <w:rPr>
                <w:rFonts w:hint="eastAsia" w:ascii="宋体" w:hAnsi="宋体" w:cs="宋体"/>
                <w:sz w:val="18"/>
                <w:szCs w:val="18"/>
              </w:rPr>
              <w:t xml:space="preserve">湿度、舱外温度、雨量、风速的信息显示。</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支持无人机信息管理展示，提供针对无人机的档案画像，对无人机设备进行状态监视，支持查看无人机详情信息，包括无人机型号、名称、用途、在离线状态等。</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支持驾驶员信息管理展示，通过卡片方式管理展示所有录入的驾驶员信息，支持</w:t>
            </w:r>
            <w:r>
              <w:rPr>
                <w:rFonts w:hint="eastAsia" w:ascii="宋体" w:hAnsi="宋体" w:cs="宋体"/>
                <w:sz w:val="18"/>
                <w:szCs w:val="18"/>
              </w:rPr>
              <w:t xml:space="preserve">新增改查操作</w:t>
            </w:r>
            <w:r>
              <w:rPr>
                <w:rFonts w:hint="eastAsia" w:ascii="宋体" w:hAnsi="宋体" w:cs="宋体"/>
                <w:sz w:val="18"/>
                <w:szCs w:val="18"/>
              </w:rPr>
              <w:t xml:space="preserve">，建立一人一档机制，可以查看人员的基本信息、人员轨迹、动态数据等。</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飞行调度模块</w:t>
            </w:r>
            <w:r/>
          </w:p>
        </w:tc>
        <w:tc>
          <w:tcPr>
            <w:tcBorders>
              <w:top w:val="single" w:color="auto" w:sz="4" w:space="0"/>
              <w:left w:val="single" w:color="auto" w:sz="4" w:space="0"/>
              <w:bottom w:val="single" w:color="auto" w:sz="4" w:space="0"/>
              <w:right w:val="single" w:color="auto" w:sz="4" w:space="0"/>
            </w:tcBorders>
            <w:tcW w:w="940"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任务调度</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支持飞行任务管理，用户可查看管理已完成和未完成的飞行任务，包括任务详情信息、飞行航线、航点数量、照片数量、无人机、方舱、飞行高度、飞行速度等信息。</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多任务规划，用户针对不同场景事件创建与之对应的飞行任务、切换行动、结束行动，规划的任务类别包括常规任务（如单次定时任务与周期循环任务）、集群协同任务、临时任务（针对紧急情况）以及应急任务（应对突发事件）。</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支持创建常规任务，用户输入任务名称、选择下发的方舱无人机，在地图上规划</w:t>
            </w:r>
            <w:r>
              <w:rPr>
                <w:rFonts w:hint="eastAsia" w:ascii="宋体" w:hAnsi="宋体" w:cs="宋体"/>
                <w:sz w:val="18"/>
                <w:szCs w:val="18"/>
              </w:rPr>
              <w:t xml:space="preserve">航线或航点</w:t>
            </w:r>
            <w:r>
              <w:rPr>
                <w:rFonts w:hint="eastAsia" w:ascii="宋体" w:hAnsi="宋体" w:cs="宋体"/>
                <w:sz w:val="18"/>
                <w:szCs w:val="18"/>
              </w:rPr>
              <w:t xml:space="preserve">任务，保存后支持下发。</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支持创建日常巡检任务，实现无人机可根据创建的日常巡查计划，定时自动执行；</w:t>
            </w:r>
            <w:r>
              <w:rPr>
                <w:rFonts w:hint="eastAsia" w:ascii="宋体" w:hAnsi="宋体" w:cs="宋体"/>
                <w:sz w:val="18"/>
                <w:szCs w:val="18"/>
              </w:rPr>
              <w:br/>
            </w:r>
            <w:r>
              <w:rPr>
                <w:rFonts w:hint="eastAsia" w:ascii="宋体" w:hAnsi="宋体" w:cs="宋体"/>
                <w:sz w:val="18"/>
                <w:szCs w:val="18"/>
              </w:rPr>
              <w:t xml:space="preserve">支持日常巡查航线执行过程中，异常情况告警推送。</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支持创建周期定时任务，周期定时任务功能与自动机场配合使用，支持用户预先设置任务的执行时间和周期，平台按照预定的时间周期性向机场下发指令。</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支持创建集群任务，平台将多个地点规划的多个任务下发给多台无人机同时起飞作业。支持同时回传多个无人机、多个方舱的视频画面。</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支持实时飞行态势，平台在飞行任务执行过程中展示无人机飞行数据监控，包括速度、高度、俯仰角、横滚角、电量等信息。</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支持多屏联动调度，支持方舱、无人机以及第三方录像设备（地面视频流）的多路实时监控，支持矩阵（</w:t>
            </w:r>
            <w:r>
              <w:rPr>
                <w:rFonts w:hint="eastAsia" w:ascii="宋体" w:hAnsi="宋体" w:cs="宋体"/>
                <w:sz w:val="18"/>
                <w:szCs w:val="18"/>
              </w:rPr>
              <w:t xml:space="preserve">1</w:t>
            </w:r>
            <w:r>
              <w:rPr>
                <w:rFonts w:hint="eastAsia" w:ascii="宋体" w:hAnsi="宋体" w:cs="宋体"/>
                <w:sz w:val="18"/>
                <w:szCs w:val="18"/>
              </w:rPr>
              <w:t xml:space="preserve">、</w:t>
            </w:r>
            <w:r>
              <w:rPr>
                <w:rFonts w:hint="eastAsia" w:ascii="宋体" w:hAnsi="宋体" w:cs="宋体"/>
                <w:sz w:val="18"/>
                <w:szCs w:val="18"/>
              </w:rPr>
              <w:t xml:space="preserve">4</w:t>
            </w:r>
            <w:r>
              <w:rPr>
                <w:rFonts w:hint="eastAsia" w:ascii="宋体" w:hAnsi="宋体" w:cs="宋体"/>
                <w:sz w:val="18"/>
                <w:szCs w:val="18"/>
              </w:rPr>
              <w:t xml:space="preserve">、</w:t>
            </w:r>
            <w:r>
              <w:rPr>
                <w:rFonts w:hint="eastAsia" w:ascii="宋体" w:hAnsi="宋体" w:cs="宋体"/>
                <w:sz w:val="18"/>
                <w:szCs w:val="18"/>
              </w:rPr>
              <w:t xml:space="preserve">6</w:t>
            </w:r>
            <w:r>
              <w:rPr>
                <w:rFonts w:hint="eastAsia" w:ascii="宋体" w:hAnsi="宋体" w:cs="宋体"/>
                <w:sz w:val="18"/>
                <w:szCs w:val="18"/>
              </w:rPr>
              <w:t xml:space="preserve">、</w:t>
            </w:r>
            <w:r>
              <w:rPr>
                <w:rFonts w:hint="eastAsia" w:ascii="宋体" w:hAnsi="宋体" w:cs="宋体"/>
                <w:sz w:val="18"/>
                <w:szCs w:val="18"/>
              </w:rPr>
              <w:t xml:space="preserve">9</w:t>
            </w:r>
            <w:r>
              <w:rPr>
                <w:rFonts w:hint="eastAsia" w:ascii="宋体" w:hAnsi="宋体" w:cs="宋体"/>
                <w:sz w:val="18"/>
                <w:szCs w:val="18"/>
              </w:rPr>
              <w:t xml:space="preserve">画面）分屏显示。支持平台为空闲中方舱下发航线，自动飞行。</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智能分析模块</w:t>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AI</w:t>
            </w:r>
            <w:r>
              <w:rPr>
                <w:rFonts w:hint="eastAsia" w:ascii="宋体" w:hAnsi="宋体" w:cs="宋体"/>
                <w:sz w:val="24"/>
                <w:szCs w:val="24"/>
              </w:rPr>
              <w:t xml:space="preserve">配置</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w:t>
            </w:r>
            <w:r>
              <w:rPr>
                <w:rFonts w:hint="eastAsia" w:ascii="宋体" w:hAnsi="宋体" w:cs="宋体"/>
                <w:sz w:val="18"/>
                <w:szCs w:val="18"/>
              </w:rPr>
              <w:t xml:space="preserve">AI</w:t>
            </w:r>
            <w:r>
              <w:rPr>
                <w:rFonts w:hint="eastAsia" w:ascii="宋体" w:hAnsi="宋体" w:cs="宋体"/>
                <w:sz w:val="18"/>
                <w:szCs w:val="18"/>
              </w:rPr>
              <w:t xml:space="preserve">实例库配置，用户可基于</w:t>
            </w:r>
            <w:r>
              <w:rPr>
                <w:rFonts w:hint="eastAsia" w:ascii="宋体" w:hAnsi="宋体" w:cs="宋体"/>
                <w:sz w:val="18"/>
                <w:szCs w:val="18"/>
              </w:rPr>
              <w:t xml:space="preserve">AI</w:t>
            </w:r>
            <w:r>
              <w:rPr>
                <w:rFonts w:hint="eastAsia" w:ascii="宋体" w:hAnsi="宋体" w:cs="宋体"/>
                <w:sz w:val="18"/>
                <w:szCs w:val="18"/>
              </w:rPr>
              <w:t xml:space="preserve">识别算法，支持用户在设置航线时，可在航点开启</w:t>
            </w:r>
            <w:r>
              <w:rPr>
                <w:rFonts w:hint="eastAsia" w:ascii="宋体" w:hAnsi="宋体" w:cs="宋体"/>
                <w:sz w:val="18"/>
                <w:szCs w:val="18"/>
              </w:rPr>
              <w:t xml:space="preserve">/</w:t>
            </w:r>
            <w:r>
              <w:rPr>
                <w:rFonts w:hint="eastAsia" w:ascii="宋体" w:hAnsi="宋体" w:cs="宋体"/>
                <w:sz w:val="18"/>
                <w:szCs w:val="18"/>
              </w:rPr>
              <w:t xml:space="preserve">关闭算法</w:t>
            </w:r>
            <w:r>
              <w:rPr>
                <w:rFonts w:hint="eastAsia" w:ascii="宋体" w:hAnsi="宋体" w:cs="宋体"/>
                <w:sz w:val="18"/>
                <w:szCs w:val="18"/>
              </w:rPr>
              <w:t xml:space="preserve">+</w:t>
            </w:r>
            <w:r>
              <w:rPr>
                <w:rFonts w:hint="eastAsia" w:ascii="宋体" w:hAnsi="宋体" w:cs="宋体"/>
                <w:sz w:val="18"/>
                <w:szCs w:val="18"/>
              </w:rPr>
              <w:t xml:space="preserve">关联一个实例。</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AI</w:t>
            </w:r>
            <w:r>
              <w:rPr>
                <w:rFonts w:hint="eastAsia" w:ascii="宋体" w:hAnsi="宋体" w:cs="宋体"/>
                <w:sz w:val="24"/>
                <w:szCs w:val="24"/>
              </w:rPr>
              <w:t xml:space="preserve">识别记录</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w:t>
            </w:r>
            <w:r>
              <w:rPr>
                <w:rFonts w:hint="eastAsia" w:ascii="宋体" w:hAnsi="宋体" w:cs="宋体"/>
                <w:sz w:val="18"/>
                <w:szCs w:val="18"/>
              </w:rPr>
              <w:t xml:space="preserve">AI</w:t>
            </w:r>
            <w:r>
              <w:rPr>
                <w:rFonts w:hint="eastAsia" w:ascii="宋体" w:hAnsi="宋体" w:cs="宋体"/>
                <w:sz w:val="18"/>
                <w:szCs w:val="18"/>
              </w:rPr>
              <w:t xml:space="preserve">识别记录，</w:t>
            </w:r>
            <w:r>
              <w:rPr>
                <w:rFonts w:hint="eastAsia" w:ascii="宋体" w:hAnsi="宋体" w:cs="宋体"/>
                <w:sz w:val="18"/>
                <w:szCs w:val="18"/>
              </w:rPr>
              <w:t xml:space="preserve">AI</w:t>
            </w:r>
            <w:r>
              <w:rPr>
                <w:rFonts w:hint="eastAsia" w:ascii="宋体" w:hAnsi="宋体" w:cs="宋体"/>
                <w:sz w:val="18"/>
                <w:szCs w:val="18"/>
              </w:rPr>
              <w:t xml:space="preserve">对于飞行过程中所有</w:t>
            </w:r>
            <w:r>
              <w:rPr>
                <w:rFonts w:hint="eastAsia" w:ascii="宋体" w:hAnsi="宋体" w:cs="宋体"/>
                <w:sz w:val="18"/>
                <w:szCs w:val="18"/>
              </w:rPr>
              <w:t xml:space="preserve">AI</w:t>
            </w:r>
            <w:r>
              <w:rPr>
                <w:rFonts w:hint="eastAsia" w:ascii="宋体" w:hAnsi="宋体" w:cs="宋体"/>
                <w:sz w:val="18"/>
                <w:szCs w:val="18"/>
              </w:rPr>
              <w:t xml:space="preserve">识别记录，进行统计与详细识别记录的展示，以及进行识别结果判定，并可对识别记录生成异常</w:t>
            </w:r>
            <w:r>
              <w:rPr>
                <w:rFonts w:hint="eastAsia" w:ascii="宋体" w:hAnsi="宋体" w:cs="宋体"/>
                <w:sz w:val="18"/>
                <w:szCs w:val="18"/>
              </w:rPr>
              <w:t xml:space="preserve">事件工</w:t>
            </w:r>
            <w:r>
              <w:rPr>
                <w:rFonts w:hint="eastAsia" w:ascii="宋体" w:hAnsi="宋体" w:cs="宋体"/>
                <w:sz w:val="18"/>
                <w:szCs w:val="18"/>
              </w:rPr>
              <w:t xml:space="preserve">单。</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十大预警</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支持十大预警模型配置，并对预警记录进行展示。</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装备管理模块</w:t>
            </w:r>
            <w:r/>
          </w:p>
        </w:tc>
        <w:tc>
          <w:tcPr>
            <w:tcBorders>
              <w:top w:val="single" w:color="auto" w:sz="4" w:space="0"/>
              <w:left w:val="single" w:color="auto" w:sz="4" w:space="0"/>
              <w:bottom w:val="single" w:color="auto" w:sz="4" w:space="0"/>
              <w:right w:val="single" w:color="auto" w:sz="4" w:space="0"/>
            </w:tcBorders>
            <w:tcW w:w="940"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无人机管理</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支持无人机管理，用于展示、管理平台所有已注册的无人机信息。支持多种无人机协议，</w:t>
            </w:r>
            <w:r>
              <w:rPr>
                <w:rFonts w:hint="eastAsia" w:ascii="宋体" w:hAnsi="宋体" w:cs="宋体"/>
                <w:sz w:val="18"/>
                <w:szCs w:val="18"/>
              </w:rPr>
              <w:t xml:space="preserve">包括大疆经纬</w:t>
            </w:r>
            <w:r>
              <w:rPr>
                <w:rFonts w:hint="eastAsia" w:ascii="宋体" w:hAnsi="宋体" w:cs="宋体"/>
                <w:sz w:val="18"/>
                <w:szCs w:val="18"/>
              </w:rPr>
              <w:t xml:space="preserve">系列、御系列、精灵系列等多种不同型号的无人机适配。</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38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支持注册无人机信息。</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339"/>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支持对无人机保险信息维护，保险临期会进行提醒。</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方舱管理</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支持方舱信息注册、管理，</w:t>
            </w:r>
            <w:r>
              <w:rPr>
                <w:rFonts w:hint="eastAsia" w:ascii="宋体" w:hAnsi="宋体" w:cs="宋体"/>
                <w:sz w:val="18"/>
                <w:szCs w:val="18"/>
              </w:rPr>
              <w:t xml:space="preserve">包括大疆机场</w:t>
            </w:r>
            <w:r>
              <w:rPr>
                <w:rFonts w:hint="eastAsia" w:ascii="宋体" w:hAnsi="宋体" w:cs="宋体"/>
                <w:sz w:val="18"/>
                <w:szCs w:val="18"/>
              </w:rPr>
              <w:t xml:space="preserve">、第三方方舱等各品牌无人机机库的信息。</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支持将方舱和无人机手动绑定、解绑，可完成无人机与对应方舱的自动起降。</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支持备降点信息管理，设置备降点坐标、高度、朝向，当方舱无人机降落遇到问题无法降落至方舱时，会自动降落至备降点。</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负载管理</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支持负载设备信息管理，用户展示、管理平台所有无人机挂载设备的信息。</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电池管理</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支持管理平台所有无人机的电池信息，电池挂载在平台已注册的无人机上。支持无人机上线时，电池信息自动注册</w:t>
            </w:r>
            <w:r>
              <w:rPr>
                <w:rFonts w:hint="eastAsia" w:ascii="宋体" w:hAnsi="宋体" w:cs="宋体"/>
                <w:sz w:val="18"/>
                <w:szCs w:val="18"/>
              </w:rPr>
              <w:t xml:space="preserve">/</w:t>
            </w:r>
            <w:r>
              <w:rPr>
                <w:rFonts w:hint="eastAsia" w:ascii="宋体" w:hAnsi="宋体" w:cs="宋体"/>
                <w:sz w:val="18"/>
                <w:szCs w:val="18"/>
              </w:rPr>
              <w:t xml:space="preserve">更新展示在电池管理表中。</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系统管理模块</w:t>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用户管理</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支持统一用户管理，包括用户账号、权限、密码、身份校验、组织管理及操作日志等信息。</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角色管理</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支持角色管理，平台基于角色划分功能权限，通过与用户关联来限制不同角色的用户所能访问、使用的功能模块。</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机构管理</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支持机构管理，实现用户单位体系内的组织机构层级管理，通过用户关联不同的层级的组织限制用户在统一功能模块内所能查看的数据范围。支持对方</w:t>
            </w:r>
            <w:r>
              <w:rPr>
                <w:rFonts w:hint="eastAsia" w:ascii="宋体" w:hAnsi="宋体" w:cs="宋体"/>
                <w:sz w:val="18"/>
                <w:szCs w:val="18"/>
              </w:rPr>
              <w:t xml:space="preserve">舱控制</w:t>
            </w:r>
            <w:r>
              <w:rPr>
                <w:rFonts w:hint="eastAsia" w:ascii="宋体" w:hAnsi="宋体" w:cs="宋体"/>
                <w:sz w:val="18"/>
                <w:szCs w:val="18"/>
              </w:rPr>
              <w:t xml:space="preserve">和查看权限分配，依据机构对方舱进行权限控制，如每个派出所分配辖区内方舱的控制权限，</w:t>
            </w:r>
            <w:r>
              <w:rPr>
                <w:rFonts w:hint="eastAsia" w:ascii="宋体" w:hAnsi="宋体" w:cs="宋体"/>
                <w:sz w:val="18"/>
                <w:szCs w:val="18"/>
              </w:rPr>
              <w:t xml:space="preserve">情指中心</w:t>
            </w:r>
            <w:r>
              <w:rPr>
                <w:rFonts w:hint="eastAsia" w:ascii="宋体" w:hAnsi="宋体" w:cs="宋体"/>
                <w:sz w:val="18"/>
                <w:szCs w:val="18"/>
              </w:rPr>
              <w:t xml:space="preserve">可以控制全部方舱。</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通知公告</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支持通知公告，发布系统通知及消息</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系统日志</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支持对用户的所有操作进行实时记录，包括操作时间、操作内容、操作结果等，可查看操作日志，支持日志的查询、导出和统计功能。</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安全策略模块</w:t>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天气阻飞</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支持天气阻</w:t>
            </w:r>
            <w:r>
              <w:rPr>
                <w:rFonts w:hint="eastAsia" w:ascii="宋体" w:hAnsi="宋体" w:cs="宋体"/>
                <w:sz w:val="18"/>
                <w:szCs w:val="18"/>
              </w:rPr>
              <w:t xml:space="preserve">飞信息</w:t>
            </w:r>
            <w:r>
              <w:rPr>
                <w:rFonts w:hint="eastAsia" w:ascii="宋体" w:hAnsi="宋体" w:cs="宋体"/>
                <w:sz w:val="18"/>
                <w:szCs w:val="18"/>
              </w:rPr>
              <w:t xml:space="preserve">设置，用户通过设置参数，当天气达到阈值时，阻止无人机起飞。</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机场监控</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支持机场监控，实现对机场一些条件进行监控，及时提醒用户可能发生的风险。</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无人机监控</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支持对无人机飞行相关条件进行监控，有异常情况则及时提醒用户可能发生的风险。</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6</w:t>
            </w:r>
            <w:r/>
          </w:p>
        </w:tc>
        <w:tc>
          <w:tcPr>
            <w:tcBorders>
              <w:top w:val="single" w:color="auto" w:sz="4" w:space="0"/>
              <w:left w:val="single" w:color="auto" w:sz="4" w:space="0"/>
              <w:bottom w:val="single" w:color="auto" w:sz="4" w:space="0"/>
              <w:right w:val="single" w:color="auto" w:sz="4" w:space="0"/>
            </w:tcBorders>
            <w:tcW w:w="799"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AI</w:t>
            </w:r>
            <w:r>
              <w:rPr>
                <w:rFonts w:hint="eastAsia" w:ascii="宋体" w:hAnsi="宋体" w:cs="宋体"/>
                <w:sz w:val="24"/>
                <w:szCs w:val="24"/>
              </w:rPr>
              <w:t xml:space="preserve">算法</w:t>
            </w:r>
            <w:r/>
          </w:p>
        </w:tc>
        <w:tc>
          <w:tcPr>
            <w:tcBorders>
              <w:top w:val="single" w:color="auto" w:sz="4" w:space="0"/>
              <w:left w:val="single" w:color="auto" w:sz="4" w:space="0"/>
              <w:bottom w:val="single" w:color="auto" w:sz="4" w:space="0"/>
              <w:right w:val="single" w:color="auto" w:sz="4" w:space="0"/>
            </w:tcBorders>
            <w:tcW w:w="791"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AI</w:t>
            </w:r>
            <w:r>
              <w:rPr>
                <w:rFonts w:hint="eastAsia" w:ascii="宋体" w:hAnsi="宋体" w:cs="宋体"/>
                <w:sz w:val="24"/>
                <w:szCs w:val="24"/>
              </w:rPr>
              <w:t xml:space="preserve">算法系统库</w:t>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人脸识别检测</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无人机机载设备完成现场人脸画面采集抓拍，抓拍的人脸图像经由标准化接口上传至市级超融合平台；由平台后端完成人脸目标结构化解析、人脸比对核验并回传比对结果。平台将抓拍人脸信息和预置人员名单库自动碰撞比对，匹配命中后即刻生成告警信息，可落地应用于交通综合治理、大型公共场所安防巡检等人脸核查业务场景。</w:t>
            </w:r>
            <w:r/>
          </w:p>
        </w:tc>
        <w:tc>
          <w:tcPr>
            <w:tcBorders>
              <w:top w:val="single" w:color="auto" w:sz="4" w:space="0"/>
              <w:left w:val="single" w:color="auto" w:sz="4" w:space="0"/>
              <w:bottom w:val="single" w:color="auto" w:sz="4" w:space="0"/>
              <w:right w:val="single" w:color="auto" w:sz="4" w:space="0"/>
            </w:tcBorders>
            <w:tcW w:w="346"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项</w:t>
            </w:r>
            <w:r/>
          </w:p>
        </w:tc>
        <w:tc>
          <w:tcPr>
            <w:tcBorders>
              <w:top w:val="single" w:color="auto" w:sz="4" w:space="0"/>
              <w:left w:val="single" w:color="auto" w:sz="4" w:space="0"/>
              <w:bottom w:val="single" w:color="auto" w:sz="4" w:space="0"/>
              <w:right w:val="single" w:color="auto" w:sz="4" w:space="0"/>
            </w:tcBorders>
            <w:tcW w:w="445"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人员计数检测</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提供精准的密集人群人数统计服务，对无人机视角下的密集人群目标进行实时检测，返回目标的结构化信息。支持白天可见光无人机视角密集人群检测，毫秒级响应。对密集人群数量进行精准计数，</w:t>
            </w:r>
            <w:r>
              <w:rPr>
                <w:rFonts w:hint="eastAsia" w:ascii="宋体" w:hAnsi="宋体" w:cs="宋体"/>
                <w:sz w:val="18"/>
                <w:szCs w:val="18"/>
              </w:rPr>
              <w:t xml:space="preserve">当人数</w:t>
            </w:r>
            <w:r>
              <w:rPr>
                <w:rFonts w:hint="eastAsia" w:ascii="宋体" w:hAnsi="宋体" w:cs="宋体"/>
                <w:sz w:val="18"/>
                <w:szCs w:val="18"/>
              </w:rPr>
              <w:t xml:space="preserve">达到一定数量</w:t>
            </w:r>
            <w:r>
              <w:rPr>
                <w:rFonts w:hint="eastAsia" w:ascii="宋体" w:hAnsi="宋体" w:cs="宋体"/>
                <w:sz w:val="18"/>
                <w:szCs w:val="18"/>
              </w:rPr>
              <w:t xml:space="preserve">且人员</w:t>
            </w:r>
            <w:r>
              <w:rPr>
                <w:rFonts w:hint="eastAsia" w:ascii="宋体" w:hAnsi="宋体" w:cs="宋体"/>
                <w:sz w:val="18"/>
                <w:szCs w:val="18"/>
              </w:rPr>
              <w:t xml:space="preserve">间距较小可进行预警。适用于广场、重大活动区域、车站、景区的人流量较大等密集人群场景。</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车牌检测</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对无人机视角下的车辆车牌进行实时检测，返回车牌信息。支持白天可见光无人机视角车辆车牌文字及车牌颜色识别，毫秒级响应。支持蓝牌、绿牌、黄绿（新能源）、黑牌、黄牌（单双行）、白色车牌等各类型车牌识别。支持指定区域车辆车牌检测，灵活配置检测范围。适用于违规车辆信息及事故现场车辆信息获取等车牌文字识别场景。</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高速应急车道占用识别</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采用先进的人工智能算法，对无人机视角下</w:t>
            </w:r>
            <w:r>
              <w:rPr>
                <w:rFonts w:hint="eastAsia" w:ascii="宋体" w:hAnsi="宋体" w:cs="宋体"/>
                <w:sz w:val="18"/>
                <w:szCs w:val="18"/>
              </w:rPr>
              <w:t xml:space="preserve">高速上</w:t>
            </w:r>
            <w:r>
              <w:rPr>
                <w:rFonts w:hint="eastAsia" w:ascii="宋体" w:hAnsi="宋体" w:cs="宋体"/>
                <w:sz w:val="18"/>
                <w:szCs w:val="18"/>
              </w:rPr>
              <w:t xml:space="preserve">车辆违规占用应急车道进行检测监管，提供精准的高速应急车道占用识别服务。对无人机视角下的应急车道占用车辆实时检测，</w:t>
            </w:r>
            <w:r>
              <w:rPr>
                <w:rFonts w:hint="eastAsia" w:ascii="宋体" w:hAnsi="宋体" w:cs="宋体"/>
                <w:sz w:val="18"/>
                <w:szCs w:val="18"/>
              </w:rPr>
              <w:t xml:space="preserve">AI</w:t>
            </w:r>
            <w:r>
              <w:rPr>
                <w:rFonts w:hint="eastAsia" w:ascii="宋体" w:hAnsi="宋体" w:cs="宋体"/>
                <w:sz w:val="18"/>
                <w:szCs w:val="18"/>
              </w:rPr>
              <w:t xml:space="preserve">视频将描出应急车道并对车道中出现的车辆使用红色框框出，返回结果信息。自动精准抓拍违法车辆车牌信息，有效取证，提供执法依据。自动触发告警，现场喊话，并推送信息</w:t>
            </w:r>
            <w:r>
              <w:rPr>
                <w:rFonts w:hint="eastAsia" w:ascii="宋体" w:hAnsi="宋体" w:cs="宋体"/>
                <w:sz w:val="18"/>
                <w:szCs w:val="18"/>
              </w:rPr>
              <w:t xml:space="preserve">至执法</w:t>
            </w:r>
            <w:r>
              <w:rPr>
                <w:rFonts w:hint="eastAsia" w:ascii="宋体" w:hAnsi="宋体" w:cs="宋体"/>
                <w:sz w:val="18"/>
                <w:szCs w:val="18"/>
              </w:rPr>
              <w:t xml:space="preserve">平台。适用于高速或快速路上检测应急车道非法占用场景。</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车辆计数</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支持白天可见光无人机视角实时车辆计数。</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火焰检测</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提供精准的火情检测服务，对无人机视角下的火焰目标进行实时检测，返回目标的结构化信息。支持白天可见光下无人机视角火焰检测，毫秒级响应。能够在多个视角下进行火焰检测。自动识别火焰，平台触发预警，及时通知相关人员。适用于火情检测场景等。</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人员下水识别</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支持人员下水识别</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7</w:t>
            </w:r>
            <w:r/>
          </w:p>
        </w:tc>
        <w:tc>
          <w:tcPr>
            <w:tcBorders>
              <w:top w:val="single" w:color="auto" w:sz="4" w:space="0"/>
              <w:left w:val="single" w:color="auto" w:sz="4" w:space="0"/>
              <w:bottom w:val="single" w:color="auto" w:sz="4" w:space="0"/>
              <w:right w:val="single" w:color="auto" w:sz="4" w:space="0"/>
            </w:tcBorders>
            <w:tcW w:w="799"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APP</w:t>
            </w:r>
            <w:r>
              <w:rPr>
                <w:rFonts w:hint="eastAsia" w:ascii="宋体" w:hAnsi="宋体" w:cs="宋体"/>
                <w:sz w:val="24"/>
                <w:szCs w:val="24"/>
              </w:rPr>
              <w:t xml:space="preserve">模块</w:t>
            </w:r>
            <w:r/>
          </w:p>
        </w:tc>
        <w:tc>
          <w:tcPr>
            <w:gridSpan w:val="2"/>
            <w:tcBorders>
              <w:top w:val="single" w:color="auto" w:sz="4" w:space="0"/>
              <w:left w:val="single" w:color="auto" w:sz="4" w:space="0"/>
              <w:bottom w:val="single" w:color="auto" w:sz="4" w:space="0"/>
              <w:right w:val="single" w:color="auto" w:sz="4" w:space="0"/>
            </w:tcBorders>
            <w:tcW w:w="173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数据推送</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改造现有移动警务</w:t>
            </w:r>
            <w:r>
              <w:rPr>
                <w:rFonts w:hint="eastAsia" w:ascii="宋体" w:hAnsi="宋体" w:cs="宋体"/>
                <w:sz w:val="18"/>
                <w:szCs w:val="18"/>
              </w:rPr>
              <w:t xml:space="preserve">app</w:t>
            </w:r>
            <w:r>
              <w:rPr>
                <w:rFonts w:hint="eastAsia" w:ascii="宋体" w:hAnsi="宋体" w:cs="宋体"/>
                <w:sz w:val="18"/>
                <w:szCs w:val="18"/>
              </w:rPr>
              <w:t xml:space="preserve">，接入警情相关无人机位置、</w:t>
            </w:r>
            <w:r>
              <w:rPr>
                <w:rFonts w:hint="eastAsia" w:ascii="宋体" w:hAnsi="宋体" w:cs="宋体"/>
                <w:sz w:val="18"/>
                <w:szCs w:val="18"/>
              </w:rPr>
              <w:t xml:space="preserve">飞手标注</w:t>
            </w:r>
            <w:r>
              <w:rPr>
                <w:rFonts w:hint="eastAsia" w:ascii="宋体" w:hAnsi="宋体" w:cs="宋体"/>
                <w:sz w:val="18"/>
                <w:szCs w:val="18"/>
              </w:rPr>
              <w:t xml:space="preserve">点位位置、抓拍图片信息</w:t>
            </w:r>
            <w:r/>
          </w:p>
        </w:tc>
        <w:tc>
          <w:tcPr>
            <w:tcBorders>
              <w:top w:val="single" w:color="auto" w:sz="4" w:space="0"/>
              <w:left w:val="single" w:color="auto" w:sz="4" w:space="0"/>
              <w:bottom w:val="single" w:color="auto" w:sz="4" w:space="0"/>
              <w:right w:val="single" w:color="auto" w:sz="4" w:space="0"/>
            </w:tcBorders>
            <w:tcW w:w="346"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项</w:t>
            </w:r>
            <w:r/>
          </w:p>
        </w:tc>
        <w:tc>
          <w:tcPr>
            <w:tcBorders>
              <w:top w:val="single" w:color="auto" w:sz="4" w:space="0"/>
              <w:left w:val="single" w:color="auto" w:sz="4" w:space="0"/>
              <w:bottom w:val="single" w:color="auto" w:sz="4" w:space="0"/>
              <w:right w:val="single" w:color="auto" w:sz="4" w:space="0"/>
            </w:tcBorders>
            <w:tcW w:w="445"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gridSpan w:val="2"/>
            <w:tcBorders>
              <w:top w:val="single" w:color="auto" w:sz="4" w:space="0"/>
              <w:left w:val="single" w:color="auto" w:sz="4" w:space="0"/>
              <w:bottom w:val="single" w:color="auto" w:sz="4" w:space="0"/>
              <w:right w:val="single" w:color="auto" w:sz="4" w:space="0"/>
            </w:tcBorders>
            <w:tcW w:w="173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警情</w:t>
            </w:r>
            <w:r>
              <w:rPr>
                <w:rFonts w:hint="eastAsia" w:ascii="宋体" w:hAnsi="宋体" w:cs="宋体"/>
                <w:sz w:val="24"/>
                <w:szCs w:val="24"/>
              </w:rPr>
              <w:t xml:space="preserve">伴飞申请</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以单起警情为源头，一键发起</w:t>
            </w:r>
            <w:r>
              <w:rPr>
                <w:rFonts w:hint="eastAsia" w:ascii="宋体" w:hAnsi="宋体" w:cs="宋体"/>
                <w:sz w:val="18"/>
                <w:szCs w:val="18"/>
              </w:rPr>
              <w:t xml:space="preserve">警情伴飞申请</w:t>
            </w:r>
            <w:r>
              <w:rPr>
                <w:rFonts w:hint="eastAsia" w:ascii="宋体" w:hAnsi="宋体" w:cs="宋体"/>
                <w:sz w:val="18"/>
                <w:szCs w:val="18"/>
              </w:rPr>
              <w:t xml:space="preserve">，同步传递警情编号、报警位置信息、经纬度等信息</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gridSpan w:val="2"/>
            <w:tcBorders>
              <w:top w:val="single" w:color="auto" w:sz="4" w:space="0"/>
              <w:left w:val="single" w:color="auto" w:sz="4" w:space="0"/>
              <w:bottom w:val="single" w:color="auto" w:sz="4" w:space="0"/>
              <w:right w:val="single" w:color="auto" w:sz="4" w:space="0"/>
            </w:tcBorders>
            <w:tcW w:w="173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视频推送</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该警情编号关联的无人机设备视频流推送至移动警务</w:t>
            </w:r>
            <w:r>
              <w:rPr>
                <w:rFonts w:hint="eastAsia" w:ascii="宋体" w:hAnsi="宋体" w:cs="宋体"/>
                <w:sz w:val="18"/>
                <w:szCs w:val="18"/>
              </w:rPr>
              <w:t xml:space="preserve">app</w:t>
            </w:r>
            <w:r>
              <w:rPr>
                <w:rFonts w:hint="eastAsia" w:ascii="宋体" w:hAnsi="宋体" w:cs="宋体"/>
                <w:sz w:val="18"/>
                <w:szCs w:val="18"/>
              </w:rPr>
              <w:t xml:space="preserve">，可点击查看</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8</w:t>
            </w:r>
            <w:r/>
          </w:p>
        </w:tc>
        <w:tc>
          <w:tcPr>
            <w:tcBorders>
              <w:top w:val="single" w:color="auto" w:sz="4" w:space="0"/>
              <w:left w:val="single" w:color="auto" w:sz="4" w:space="0"/>
              <w:bottom w:val="single" w:color="auto" w:sz="4" w:space="0"/>
              <w:right w:val="single" w:color="auto" w:sz="4" w:space="0"/>
            </w:tcBorders>
            <w:tcW w:w="799"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内网平台</w:t>
            </w:r>
            <w:r/>
          </w:p>
        </w:tc>
        <w:tc>
          <w:tcPr>
            <w:gridSpan w:val="2"/>
            <w:tcBorders>
              <w:top w:val="single" w:color="auto" w:sz="4" w:space="0"/>
              <w:left w:val="single" w:color="auto" w:sz="4" w:space="0"/>
              <w:bottom w:val="single" w:color="auto" w:sz="4" w:space="0"/>
              <w:right w:val="single" w:color="auto" w:sz="4" w:space="0"/>
            </w:tcBorders>
            <w:tcW w:w="173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数据推送</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该警情编号关联的无人机设备定位信息、</w:t>
            </w:r>
            <w:r>
              <w:rPr>
                <w:rFonts w:hint="eastAsia" w:ascii="宋体" w:hAnsi="宋体" w:cs="宋体"/>
                <w:sz w:val="18"/>
                <w:szCs w:val="18"/>
              </w:rPr>
              <w:t xml:space="preserve">飞手标注</w:t>
            </w:r>
            <w:r>
              <w:rPr>
                <w:rFonts w:hint="eastAsia" w:ascii="宋体" w:hAnsi="宋体" w:cs="宋体"/>
                <w:sz w:val="18"/>
                <w:szCs w:val="18"/>
              </w:rPr>
              <w:t xml:space="preserve">点位位置、抓拍图片信息推送至内</w:t>
            </w:r>
            <w:r>
              <w:rPr>
                <w:rFonts w:hint="eastAsia" w:ascii="宋体" w:hAnsi="宋体" w:cs="宋体"/>
                <w:sz w:val="18"/>
                <w:szCs w:val="18"/>
              </w:rPr>
              <w:t xml:space="preserve">网指挥</w:t>
            </w:r>
            <w:r>
              <w:rPr>
                <w:rFonts w:hint="eastAsia" w:ascii="宋体" w:hAnsi="宋体" w:cs="宋体"/>
                <w:sz w:val="18"/>
                <w:szCs w:val="18"/>
              </w:rPr>
              <w:t xml:space="preserve">调度平台，可一图展示</w:t>
            </w:r>
            <w:r/>
          </w:p>
        </w:tc>
        <w:tc>
          <w:tcPr>
            <w:tcBorders>
              <w:top w:val="single" w:color="auto" w:sz="4" w:space="0"/>
              <w:left w:val="single" w:color="auto" w:sz="4" w:space="0"/>
              <w:bottom w:val="single" w:color="auto" w:sz="4" w:space="0"/>
              <w:right w:val="single" w:color="auto" w:sz="4" w:space="0"/>
            </w:tcBorders>
            <w:tcW w:w="346"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项</w:t>
            </w:r>
            <w:r/>
          </w:p>
        </w:tc>
        <w:tc>
          <w:tcPr>
            <w:tcBorders>
              <w:top w:val="single" w:color="auto" w:sz="4" w:space="0"/>
              <w:left w:val="single" w:color="auto" w:sz="4" w:space="0"/>
              <w:bottom w:val="single" w:color="auto" w:sz="4" w:space="0"/>
              <w:right w:val="single" w:color="auto" w:sz="4" w:space="0"/>
            </w:tcBorders>
            <w:tcW w:w="445"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gridSpan w:val="2"/>
            <w:tcBorders>
              <w:top w:val="single" w:color="auto" w:sz="4" w:space="0"/>
              <w:left w:val="single" w:color="auto" w:sz="4" w:space="0"/>
              <w:bottom w:val="single" w:color="auto" w:sz="4" w:space="0"/>
              <w:right w:val="single" w:color="auto" w:sz="4" w:space="0"/>
            </w:tcBorders>
            <w:tcW w:w="173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无人机分布</w:t>
            </w:r>
            <w:r/>
          </w:p>
        </w:tc>
        <w:tc>
          <w:tcPr>
            <w:tcBorders>
              <w:top w:val="single" w:color="auto" w:sz="4" w:space="0"/>
              <w:left w:val="single" w:color="auto" w:sz="4" w:space="0"/>
              <w:bottom w:val="single" w:color="auto" w:sz="4" w:space="0"/>
              <w:right w:val="single" w:color="auto" w:sz="4" w:space="0"/>
            </w:tcBorders>
            <w:tcW w:w="5128" w:type="dxa"/>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更新我局无人机装备、方舱、</w:t>
            </w:r>
            <w:r>
              <w:rPr>
                <w:rFonts w:hint="eastAsia" w:ascii="宋体" w:hAnsi="宋体" w:cs="宋体"/>
                <w:sz w:val="18"/>
                <w:szCs w:val="18"/>
              </w:rPr>
              <w:t xml:space="preserve">飞手数量</w:t>
            </w:r>
            <w:r>
              <w:rPr>
                <w:rFonts w:hint="eastAsia" w:ascii="宋体" w:hAnsi="宋体" w:cs="宋体"/>
                <w:sz w:val="18"/>
                <w:szCs w:val="18"/>
              </w:rPr>
              <w:t xml:space="preserve">、分布</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gridSpan w:val="2"/>
            <w:tcBorders>
              <w:top w:val="single" w:color="auto" w:sz="4" w:space="0"/>
              <w:left w:val="single" w:color="auto" w:sz="4" w:space="0"/>
              <w:bottom w:val="single" w:color="auto" w:sz="4" w:space="0"/>
              <w:right w:val="single" w:color="auto" w:sz="4" w:space="0"/>
            </w:tcBorders>
            <w:tcW w:w="173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黑飞指令推送</w:t>
            </w:r>
            <w:r/>
          </w:p>
        </w:tc>
        <w:tc>
          <w:tcPr>
            <w:tcBorders>
              <w:top w:val="single" w:color="auto" w:sz="4" w:space="0"/>
              <w:left w:val="single" w:color="auto" w:sz="4" w:space="0"/>
              <w:bottom w:val="single" w:color="auto" w:sz="4" w:space="0"/>
              <w:right w:val="single" w:color="auto" w:sz="4" w:space="0"/>
            </w:tcBorders>
            <w:tcW w:w="5128" w:type="dxa"/>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接收无人机平台生成的黑飞</w:t>
            </w:r>
            <w:r>
              <w:rPr>
                <w:rFonts w:hint="eastAsia" w:ascii="宋体" w:hAnsi="宋体" w:cs="宋体"/>
                <w:sz w:val="18"/>
                <w:szCs w:val="18"/>
              </w:rPr>
              <w:t xml:space="preserve">研</w:t>
            </w:r>
            <w:r>
              <w:rPr>
                <w:rFonts w:hint="eastAsia" w:ascii="宋体" w:hAnsi="宋体" w:cs="宋体"/>
                <w:sz w:val="18"/>
                <w:szCs w:val="18"/>
              </w:rPr>
              <w:t xml:space="preserve">判报告，进行推送、反馈</w:t>
            </w:r>
            <w:r/>
          </w:p>
        </w:tc>
        <w:tc>
          <w:tcPr>
            <w:tcBorders>
              <w:top w:val="single" w:color="auto" w:sz="4" w:space="0"/>
              <w:left w:val="single" w:color="auto" w:sz="4" w:space="0"/>
              <w:bottom w:val="single" w:color="auto" w:sz="4" w:space="0"/>
              <w:right w:val="single" w:color="auto" w:sz="4" w:space="0"/>
            </w:tcBorders>
            <w:tcW w:w="346"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76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000000" w:sz="4" w:space="0"/>
              <w:right w:val="single" w:color="auto" w:sz="4" w:space="0"/>
            </w:tcBorders>
            <w:tcW w:w="578"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9</w:t>
            </w:r>
            <w:r/>
          </w:p>
        </w:tc>
        <w:tc>
          <w:tcPr>
            <w:tcBorders>
              <w:top w:val="single" w:color="auto" w:sz="4" w:space="0"/>
              <w:left w:val="single" w:color="auto" w:sz="4" w:space="0"/>
              <w:bottom w:val="single" w:color="auto" w:sz="4" w:space="0"/>
              <w:right w:val="single" w:color="auto" w:sz="4" w:space="0"/>
            </w:tcBorders>
            <w:tcW w:w="799"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数据服务</w:t>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三维建模</w:t>
            </w:r>
            <w:r/>
          </w:p>
        </w:tc>
        <w:tc>
          <w:tcPr>
            <w:tcBorders>
              <w:top w:val="single" w:color="auto" w:sz="4" w:space="0"/>
              <w:left w:val="none" w:color="000000" w:sz="4" w:space="0"/>
              <w:bottom w:val="single" w:color="auto" w:sz="4" w:space="0"/>
              <w:right w:val="single" w:color="auto" w:sz="4" w:space="0"/>
            </w:tcBorders>
            <w:tcW w:w="940"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溧阳市三维模型</w:t>
            </w:r>
            <w:r/>
          </w:p>
        </w:tc>
        <w:tc>
          <w:tcPr>
            <w:tcBorders>
              <w:top w:val="single" w:color="auto" w:sz="4" w:space="0"/>
              <w:left w:val="none" w:color="000000"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提供溧阳市范围内，</w:t>
            </w:r>
            <w:r>
              <w:rPr>
                <w:rFonts w:hint="eastAsia" w:ascii="宋体" w:hAnsi="宋体" w:cs="宋体"/>
                <w:sz w:val="18"/>
                <w:szCs w:val="18"/>
              </w:rPr>
              <w:t xml:space="preserve">60</w:t>
            </w:r>
            <w:r>
              <w:rPr>
                <w:rFonts w:hint="eastAsia" w:ascii="宋体" w:hAnsi="宋体" w:cs="宋体"/>
                <w:sz w:val="18"/>
                <w:szCs w:val="18"/>
              </w:rPr>
              <w:t xml:space="preserve">平方公里的三维建模倾斜摄影模型的制作及拍摄服务</w:t>
            </w:r>
            <w:r/>
          </w:p>
        </w:tc>
        <w:tc>
          <w:tcPr>
            <w:tcBorders>
              <w:top w:val="single" w:color="auto" w:sz="4" w:space="0"/>
              <w:left w:val="single" w:color="auto" w:sz="4" w:space="0"/>
              <w:bottom w:val="single" w:color="000000" w:sz="4" w:space="0"/>
              <w:right w:val="single" w:color="auto" w:sz="4" w:space="0"/>
            </w:tcBorders>
            <w:tcW w:w="346"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项</w:t>
            </w:r>
            <w:r/>
          </w:p>
        </w:tc>
        <w:tc>
          <w:tcPr>
            <w:tcBorders>
              <w:top w:val="single" w:color="auto" w:sz="4" w:space="0"/>
              <w:left w:val="single" w:color="auto" w:sz="4" w:space="0"/>
              <w:bottom w:val="single" w:color="000000" w:sz="4" w:space="0"/>
              <w:right w:val="single" w:color="auto" w:sz="4" w:space="0"/>
            </w:tcBorders>
            <w:tcW w:w="445"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none" w:color="000000" w:sz="4" w:space="0"/>
              <w:left w:val="single" w:color="auto" w:sz="4" w:space="0"/>
              <w:bottom w:val="single" w:color="000000" w:sz="4" w:space="0"/>
              <w:right w:val="single" w:color="auto" w:sz="4" w:space="0"/>
            </w:tcBorders>
            <w:tcW w:w="57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79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79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飞</w:t>
            </w:r>
            <w:r>
              <w:rPr>
                <w:rFonts w:hint="eastAsia" w:ascii="宋体" w:hAnsi="宋体" w:cs="宋体"/>
                <w:sz w:val="24"/>
                <w:szCs w:val="24"/>
              </w:rPr>
              <w:t xml:space="preserve">服数据</w:t>
            </w:r>
            <w:r/>
          </w:p>
        </w:tc>
        <w:tc>
          <w:tcPr>
            <w:tcBorders>
              <w:top w:val="none" w:color="000000" w:sz="4" w:space="0"/>
              <w:left w:val="none" w:color="000000"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省飞服</w:t>
            </w:r>
            <w:r>
              <w:rPr>
                <w:rFonts w:hint="eastAsia" w:ascii="宋体" w:hAnsi="宋体" w:cs="宋体"/>
                <w:sz w:val="24"/>
                <w:szCs w:val="24"/>
              </w:rPr>
              <w:t xml:space="preserve">查询</w:t>
            </w:r>
            <w:r/>
          </w:p>
        </w:tc>
        <w:tc>
          <w:tcPr>
            <w:tcBorders>
              <w:top w:val="none" w:color="000000" w:sz="4" w:space="0"/>
              <w:left w:val="none" w:color="000000"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w:t>
            </w:r>
            <w:r>
              <w:rPr>
                <w:rFonts w:hint="eastAsia" w:ascii="宋体" w:hAnsi="宋体" w:cs="宋体"/>
                <w:sz w:val="18"/>
                <w:szCs w:val="18"/>
              </w:rPr>
              <w:t xml:space="preserve">打通省飞</w:t>
            </w:r>
            <w:r>
              <w:rPr>
                <w:rFonts w:hint="eastAsia" w:ascii="宋体" w:hAnsi="宋体" w:cs="宋体"/>
                <w:sz w:val="18"/>
                <w:szCs w:val="18"/>
              </w:rPr>
              <w:t xml:space="preserve">服数据，实现无人机序列号，无人机实名制情况，是否报备，飞行高度等信息的展示与查询</w:t>
            </w:r>
            <w:r/>
          </w:p>
        </w:tc>
        <w:tc>
          <w:tcPr>
            <w:tcBorders>
              <w:top w:val="none" w:color="000000" w:sz="4" w:space="0"/>
              <w:left w:val="single" w:color="auto" w:sz="4" w:space="0"/>
              <w:bottom w:val="single" w:color="000000" w:sz="4" w:space="0"/>
              <w:right w:val="single" w:color="auto" w:sz="4" w:space="0"/>
            </w:tcBorders>
            <w:tcW w:w="346"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single" w:color="auto" w:sz="4" w:space="0"/>
              <w:bottom w:val="single" w:color="000000" w:sz="4" w:space="0"/>
              <w:right w:val="single" w:color="auto" w:sz="4" w:space="0"/>
            </w:tcBorders>
            <w:tcW w:w="44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left w:val="single" w:color="auto" w:sz="4" w:space="0"/>
              <w:bottom w:val="single" w:color="000000" w:sz="4" w:space="0"/>
              <w:right w:val="single" w:color="auto" w:sz="4" w:space="0"/>
            </w:tcBorders>
            <w:tcW w:w="76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r>
        <w:trPr>
          <w:trHeight w:val="540"/>
        </w:trPr>
        <w:tc>
          <w:tcPr>
            <w:tcBorders>
              <w:top w:val="none" w:color="000000" w:sz="4" w:space="0"/>
              <w:left w:val="single" w:color="auto" w:sz="4" w:space="0"/>
              <w:right w:val="none" w:color="000000" w:sz="4" w:space="0"/>
            </w:tcBorders>
            <w:tcW w:w="578" w:type="dxa"/>
            <w:vAlign w:val="center"/>
            <w:vMerge w:val="restart"/>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二</w:t>
            </w:r>
            <w:r/>
          </w:p>
        </w:tc>
        <w:tc>
          <w:tcPr>
            <w:gridSpan w:val="4"/>
            <w:tcBorders>
              <w:top w:val="single" w:color="auto" w:sz="4" w:space="0"/>
              <w:left w:val="single" w:color="auto" w:sz="4" w:space="0"/>
              <w:right w:val="none" w:color="000000" w:sz="4" w:space="0"/>
            </w:tcBorders>
            <w:tcW w:w="7658" w:type="dxa"/>
            <w:vAlign w:val="center"/>
            <w:vMerge w:val="restart"/>
            <w:textDirection w:val="lrTb"/>
            <w:noWrap/>
          </w:tcPr>
          <w:p>
            <w:pPr>
              <w:jc w:val="left"/>
              <w:widowControl/>
              <w:rPr>
                <w:rFonts w:ascii="宋体" w:hAnsi="宋体" w:cs="宋体"/>
                <w:sz w:val="18"/>
                <w:szCs w:val="18"/>
              </w:rPr>
            </w:pPr>
            <w:r>
              <w:rPr>
                <w:rFonts w:hint="eastAsia" w:ascii="宋体" w:hAnsi="宋体" w:cs="宋体"/>
                <w:b/>
                <w:bCs/>
                <w:sz w:val="24"/>
                <w:szCs w:val="24"/>
              </w:rPr>
              <w:t xml:space="preserve">平台配套</w:t>
            </w:r>
            <w:r>
              <w:rPr>
                <w:rFonts w:hint="eastAsia" w:ascii="宋体" w:hAnsi="宋体" w:cs="宋体"/>
                <w:b/>
                <w:bCs/>
                <w:sz w:val="24"/>
                <w:szCs w:val="24"/>
              </w:rPr>
              <w:t xml:space="preserve">系统</w:t>
            </w:r>
            <w:r>
              <w:rPr>
                <w:rFonts w:hint="eastAsia" w:ascii="宋体" w:hAnsi="宋体" w:cs="宋体"/>
                <w:b/>
                <w:bCs/>
                <w:sz w:val="24"/>
                <w:szCs w:val="24"/>
              </w:rPr>
              <w:t xml:space="preserve">技术参数</w:t>
            </w:r>
            <w:r>
              <w:rPr>
                <w:rFonts w:hint="eastAsia" w:ascii="宋体" w:hAnsi="宋体" w:cs="宋体"/>
                <w:sz w:val="18"/>
                <w:szCs w:val="18"/>
              </w:rPr>
              <w:t xml:space="preserve">　</w:t>
            </w:r>
            <w:r/>
          </w:p>
        </w:tc>
        <w:tc>
          <w:tcPr>
            <w:tcBorders>
              <w:top w:val="single" w:color="auto" w:sz="4" w:space="0"/>
              <w:left w:val="none" w:color="000000" w:sz="4" w:space="0"/>
              <w:right w:val="none" w:color="000000" w:sz="4" w:space="0"/>
            </w:tcBorders>
            <w:tcW w:w="346"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b/>
                <w:bCs/>
                <w:sz w:val="24"/>
                <w:szCs w:val="24"/>
              </w:rPr>
              <w:t xml:space="preserve">单位</w:t>
            </w:r>
            <w:r/>
          </w:p>
        </w:tc>
        <w:tc>
          <w:tcPr>
            <w:tcBorders>
              <w:top w:val="none" w:color="000000" w:sz="4" w:space="0"/>
              <w:left w:val="none" w:color="000000" w:sz="4" w:space="0"/>
              <w:right w:val="single" w:color="auto" w:sz="4" w:space="0"/>
            </w:tcBorders>
            <w:tcW w:w="445"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b/>
                <w:bCs/>
                <w:sz w:val="24"/>
                <w:szCs w:val="24"/>
              </w:rPr>
              <w:t xml:space="preserve">数量</w:t>
            </w:r>
            <w:r/>
          </w:p>
        </w:tc>
        <w:tc>
          <w:tcPr>
            <w:tcBorders>
              <w:top w:val="none" w:color="000000" w:sz="4" w:space="0"/>
              <w:left w:val="none" w:color="000000" w:sz="4" w:space="0"/>
              <w:bottom w:val="single" w:color="auto" w:sz="4" w:space="0"/>
              <w:right w:val="single" w:color="auto" w:sz="4" w:space="0"/>
            </w:tcBorders>
            <w:tcW w:w="765" w:type="dxa"/>
            <w:vAlign w:val="center"/>
            <w:textDirection w:val="lrTb"/>
            <w:noWrap w:val="false"/>
          </w:tcPr>
          <w:p>
            <w:pPr>
              <w:jc w:val="center"/>
              <w:widowControl/>
              <w:rPr>
                <w:rFonts w:ascii="宋体" w:hAnsi="宋体" w:cs="宋体"/>
                <w:sz w:val="24"/>
                <w:szCs w:val="24"/>
              </w:rPr>
            </w:pPr>
            <w:r>
              <w:rPr>
                <w:rFonts w:hint="eastAsia" w:ascii="宋体" w:hAnsi="宋体" w:cs="宋体"/>
                <w:b/>
                <w:bCs/>
                <w:sz w:val="24"/>
                <w:szCs w:val="24"/>
              </w:rPr>
              <w:t xml:space="preserve">单价（万元）</w:t>
            </w:r>
            <w:r/>
          </w:p>
        </w:tc>
      </w:tr>
      <w:tr>
        <w:trPr>
          <w:trHeight w:val="540"/>
        </w:trPr>
        <w:tc>
          <w:tcPr>
            <w:tcBorders>
              <w:left w:val="single" w:color="auto" w:sz="4" w:space="0"/>
              <w:bottom w:val="single" w:color="auto" w:sz="4" w:space="0"/>
              <w:right w:val="none" w:color="000000" w:sz="4" w:space="0"/>
            </w:tcBorders>
            <w:tcW w:w="578" w:type="dxa"/>
            <w:vAlign w:val="center"/>
            <w:vMerge w:val="continue"/>
            <w:textDirection w:val="lrTb"/>
            <w:noWrap w:val="false"/>
          </w:tcPr>
          <w:p>
            <w:pPr>
              <w:jc w:val="center"/>
              <w:widowControl/>
              <w:rPr>
                <w:rFonts w:ascii="宋体" w:hAnsi="宋体" w:cs="宋体"/>
                <w:b/>
                <w:bCs/>
                <w:sz w:val="24"/>
                <w:szCs w:val="24"/>
              </w:rPr>
            </w:pPr>
            <w:r>
              <w:rPr>
                <w:rFonts w:ascii="宋体" w:hAnsi="宋体" w:cs="宋体"/>
                <w:b/>
                <w:bCs/>
                <w:sz w:val="24"/>
                <w:szCs w:val="24"/>
              </w:rPr>
            </w:r>
            <w:r/>
          </w:p>
        </w:tc>
        <w:tc>
          <w:tcPr>
            <w:gridSpan w:val="4"/>
            <w:tcBorders>
              <w:left w:val="single" w:color="auto" w:sz="4" w:space="0"/>
              <w:bottom w:val="single" w:color="auto" w:sz="4" w:space="0"/>
              <w:right w:val="none" w:color="000000" w:sz="4" w:space="0"/>
            </w:tcBorders>
            <w:tcW w:w="7658" w:type="dxa"/>
            <w:vAlign w:val="center"/>
            <w:vMerge w:val="continue"/>
            <w:textDirection w:val="lrTb"/>
            <w:noWrap/>
          </w:tcPr>
          <w:p>
            <w:pPr>
              <w:jc w:val="left"/>
              <w:widowControl/>
              <w:rPr>
                <w:rFonts w:ascii="宋体" w:hAnsi="宋体" w:cs="宋体"/>
                <w:b/>
                <w:bCs/>
                <w:sz w:val="24"/>
                <w:szCs w:val="24"/>
              </w:rPr>
            </w:pPr>
            <w:r>
              <w:rPr>
                <w:rFonts w:ascii="宋体" w:hAnsi="宋体" w:cs="宋体"/>
                <w:b/>
                <w:bCs/>
                <w:sz w:val="24"/>
                <w:szCs w:val="24"/>
              </w:rPr>
            </w:r>
            <w:r/>
          </w:p>
        </w:tc>
        <w:tc>
          <w:tcPr>
            <w:tcBorders>
              <w:left w:val="none" w:color="000000" w:sz="4" w:space="0"/>
              <w:bottom w:val="single" w:color="auto" w:sz="4" w:space="0"/>
              <w:right w:val="none" w:color="000000" w:sz="4" w:space="0"/>
            </w:tcBorders>
            <w:tcW w:w="346" w:type="dxa"/>
            <w:vAlign w:val="center"/>
            <w:vMerge w:val="continue"/>
            <w:textDirection w:val="lrTb"/>
            <w:noWrap w:val="false"/>
          </w:tcPr>
          <w:p>
            <w:pPr>
              <w:jc w:val="center"/>
              <w:widowControl/>
              <w:rPr>
                <w:rFonts w:ascii="宋体" w:hAnsi="宋体" w:cs="宋体"/>
                <w:b/>
                <w:bCs/>
                <w:sz w:val="24"/>
                <w:szCs w:val="24"/>
              </w:rPr>
            </w:pPr>
            <w:r>
              <w:rPr>
                <w:rFonts w:ascii="宋体" w:hAnsi="宋体" w:cs="宋体"/>
                <w:b/>
                <w:bCs/>
                <w:sz w:val="24"/>
                <w:szCs w:val="24"/>
              </w:rPr>
            </w:r>
            <w:r/>
          </w:p>
        </w:tc>
        <w:tc>
          <w:tcPr>
            <w:tcBorders>
              <w:left w:val="none" w:color="000000" w:sz="4" w:space="0"/>
              <w:bottom w:val="single" w:color="auto" w:sz="4" w:space="0"/>
              <w:right w:val="single" w:color="auto" w:sz="4" w:space="0"/>
            </w:tcBorders>
            <w:tcW w:w="445" w:type="dxa"/>
            <w:vAlign w:val="center"/>
            <w:vMerge w:val="continue"/>
            <w:textDirection w:val="lrTb"/>
            <w:noWrap w:val="false"/>
          </w:tcPr>
          <w:p>
            <w:pPr>
              <w:jc w:val="center"/>
              <w:widowControl/>
              <w:rPr>
                <w:rFonts w:ascii="宋体" w:hAnsi="宋体" w:cs="宋体"/>
                <w:b/>
                <w:bCs/>
                <w:sz w:val="24"/>
                <w:szCs w:val="24"/>
              </w:rPr>
            </w:pPr>
            <w:r>
              <w:rPr>
                <w:rFonts w:ascii="宋体" w:hAnsi="宋体" w:cs="宋体"/>
                <w:b/>
                <w:bCs/>
                <w:sz w:val="24"/>
                <w:szCs w:val="24"/>
              </w:rPr>
            </w:r>
            <w:r/>
          </w:p>
        </w:tc>
        <w:tc>
          <w:tcPr>
            <w:tcBorders>
              <w:top w:val="none" w:color="000000" w:sz="4" w:space="0"/>
              <w:left w:val="none" w:color="000000" w:sz="4" w:space="0"/>
              <w:bottom w:val="single" w:color="auto" w:sz="4" w:space="0"/>
              <w:right w:val="single" w:color="auto" w:sz="4" w:space="0"/>
            </w:tcBorders>
            <w:tcW w:w="765"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130</w:t>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10</w:t>
            </w:r>
            <w:r/>
          </w:p>
        </w:tc>
        <w:tc>
          <w:tcPr>
            <w:gridSpan w:val="3"/>
            <w:tcBorders>
              <w:top w:val="single" w:color="auto" w:sz="4" w:space="0"/>
              <w:left w:val="single" w:color="auto" w:sz="4" w:space="0"/>
              <w:bottom w:val="single" w:color="auto" w:sz="4" w:space="0"/>
              <w:right w:val="single" w:color="auto" w:sz="4" w:space="0"/>
            </w:tcBorders>
            <w:tcW w:w="2530"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侦测反</w:t>
            </w:r>
            <w:r>
              <w:rPr>
                <w:rFonts w:hint="eastAsia" w:ascii="宋体" w:hAnsi="宋体" w:cs="宋体"/>
                <w:color w:val="000000"/>
                <w:sz w:val="24"/>
                <w:szCs w:val="24"/>
              </w:rPr>
              <w:t xml:space="preserve">制一体化系统</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　</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　</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探测定位功能</w:t>
            </w:r>
            <w:r>
              <w:rPr>
                <w:rFonts w:hint="eastAsia" w:ascii="宋体" w:hAnsi="宋体" w:cs="宋体"/>
                <w:color w:val="000000"/>
                <w:sz w:val="18"/>
                <w:szCs w:val="18"/>
              </w:rPr>
              <w:br/>
              <w:t xml:space="preserve">1. </w:t>
            </w:r>
            <w:r>
              <w:rPr>
                <w:rFonts w:hint="eastAsia" w:ascii="宋体" w:hAnsi="宋体" w:cs="宋体"/>
                <w:color w:val="000000"/>
                <w:sz w:val="18"/>
                <w:szCs w:val="18"/>
              </w:rPr>
              <w:t xml:space="preserve">无源探测功能：为无源探测，在探测状态下，应不主动发射无线信号。</w:t>
            </w:r>
            <w:r>
              <w:rPr>
                <w:rFonts w:hint="eastAsia" w:ascii="宋体" w:hAnsi="宋体" w:cs="宋体"/>
                <w:color w:val="000000"/>
                <w:sz w:val="18"/>
                <w:szCs w:val="18"/>
              </w:rPr>
              <w:br/>
              <w:t xml:space="preserve">2. </w:t>
            </w:r>
            <w:r>
              <w:rPr>
                <w:rFonts w:hint="eastAsia" w:ascii="宋体" w:hAnsi="宋体" w:cs="宋体"/>
                <w:color w:val="000000"/>
                <w:sz w:val="18"/>
                <w:szCs w:val="18"/>
              </w:rPr>
              <w:t xml:space="preserve">探测定位功能：应能通过报文解析方式对无人机、遥控器（飞手）进行单站定位；具有无人机探测定位功能，应能在定位列表显示无人机的工作频率（示值精确到</w:t>
            </w:r>
            <w:r>
              <w:rPr>
                <w:rFonts w:hint="eastAsia" w:ascii="宋体" w:hAnsi="宋体" w:cs="宋体"/>
                <w:color w:val="000000"/>
                <w:sz w:val="18"/>
                <w:szCs w:val="18"/>
              </w:rPr>
              <w:t xml:space="preserve">0.5MHz</w:t>
            </w:r>
            <w:r>
              <w:rPr>
                <w:rFonts w:hint="eastAsia" w:ascii="宋体" w:hAnsi="宋体" w:cs="宋体"/>
                <w:color w:val="000000"/>
                <w:sz w:val="18"/>
                <w:szCs w:val="18"/>
              </w:rPr>
              <w:t xml:space="preserve">）、品牌型号、电子指纹</w:t>
            </w:r>
            <w:r>
              <w:rPr>
                <w:rFonts w:hint="eastAsia" w:ascii="宋体" w:hAnsi="宋体" w:cs="宋体"/>
                <w:color w:val="000000"/>
                <w:sz w:val="18"/>
                <w:szCs w:val="18"/>
              </w:rPr>
              <w:t xml:space="preserve">ID</w:t>
            </w:r>
            <w:r>
              <w:rPr>
                <w:rFonts w:hint="eastAsia" w:ascii="宋体" w:hAnsi="宋体" w:cs="宋体"/>
                <w:color w:val="000000"/>
                <w:sz w:val="18"/>
                <w:szCs w:val="18"/>
              </w:rPr>
              <w:t xml:space="preserve">（机身序列号）、方位、距离、经纬度（示值精确到小数点后</w:t>
            </w:r>
            <w:r>
              <w:rPr>
                <w:rFonts w:hint="eastAsia" w:ascii="宋体" w:hAnsi="宋体" w:cs="宋体"/>
                <w:color w:val="000000"/>
                <w:sz w:val="18"/>
                <w:szCs w:val="18"/>
              </w:rPr>
              <w:t xml:space="preserve">6</w:t>
            </w:r>
            <w:r>
              <w:rPr>
                <w:rFonts w:hint="eastAsia" w:ascii="宋体" w:hAnsi="宋体" w:cs="宋体"/>
                <w:color w:val="000000"/>
                <w:sz w:val="18"/>
                <w:szCs w:val="18"/>
              </w:rPr>
              <w:t xml:space="preserve">位）、飞行高度、飞行速度等信息，并能在电子地图上显示入侵角度、瀑布图、标识图标和飞行轨迹；具有遥控器（飞手）探测定位功能，应能在定位列表显示遥控器（飞手）经纬度（示值精确到小数点后</w:t>
            </w:r>
            <w:r>
              <w:rPr>
                <w:rFonts w:hint="eastAsia" w:ascii="宋体" w:hAnsi="宋体" w:cs="宋体"/>
                <w:color w:val="000000"/>
                <w:sz w:val="18"/>
                <w:szCs w:val="18"/>
              </w:rPr>
              <w:t xml:space="preserve">6</w:t>
            </w:r>
            <w:r>
              <w:rPr>
                <w:rFonts w:hint="eastAsia" w:ascii="宋体" w:hAnsi="宋体" w:cs="宋体"/>
                <w:color w:val="000000"/>
                <w:sz w:val="18"/>
                <w:szCs w:val="18"/>
              </w:rPr>
              <w:t xml:space="preserve">位）、距离、方位等信息，并能在电子地图上显示标识图标。</w:t>
            </w:r>
            <w:r>
              <w:rPr>
                <w:rFonts w:hint="eastAsia" w:ascii="宋体" w:hAnsi="宋体" w:cs="宋体"/>
                <w:color w:val="000000"/>
                <w:sz w:val="18"/>
                <w:szCs w:val="18"/>
              </w:rPr>
              <w:br/>
              <w:t xml:space="preserve">3. </w:t>
            </w:r>
            <w:r>
              <w:rPr>
                <w:rFonts w:hint="eastAsia" w:ascii="宋体" w:hAnsi="宋体" w:cs="宋体"/>
                <w:color w:val="000000"/>
                <w:sz w:val="18"/>
                <w:szCs w:val="18"/>
              </w:rPr>
              <w:t xml:space="preserve">单站定位：应能对大疆（包括御</w:t>
            </w:r>
            <w:r>
              <w:rPr>
                <w:rFonts w:hint="eastAsia" w:ascii="宋体" w:hAnsi="宋体" w:cs="宋体"/>
                <w:color w:val="000000"/>
                <w:sz w:val="18"/>
                <w:szCs w:val="18"/>
              </w:rPr>
              <w:t xml:space="preserve">2</w:t>
            </w:r>
            <w:r>
              <w:rPr>
                <w:rFonts w:hint="eastAsia" w:ascii="宋体" w:hAnsi="宋体" w:cs="宋体"/>
                <w:color w:val="000000"/>
                <w:sz w:val="18"/>
                <w:szCs w:val="18"/>
              </w:rPr>
              <w:t xml:space="preserve">、</w:t>
            </w:r>
            <w:r>
              <w:rPr>
                <w:rFonts w:hint="eastAsia" w:ascii="宋体" w:hAnsi="宋体" w:cs="宋体"/>
                <w:color w:val="000000"/>
                <w:sz w:val="18"/>
                <w:szCs w:val="18"/>
              </w:rPr>
              <w:t xml:space="preserve">御</w:t>
            </w:r>
            <w:r>
              <w:rPr>
                <w:rFonts w:hint="eastAsia" w:ascii="宋体" w:hAnsi="宋体" w:cs="宋体"/>
                <w:color w:val="000000"/>
                <w:sz w:val="18"/>
                <w:szCs w:val="18"/>
              </w:rPr>
              <w:t xml:space="preserve">3</w:t>
            </w:r>
            <w:r>
              <w:rPr>
                <w:rFonts w:hint="eastAsia" w:ascii="宋体" w:hAnsi="宋体" w:cs="宋体"/>
                <w:color w:val="000000"/>
                <w:sz w:val="18"/>
                <w:szCs w:val="18"/>
              </w:rPr>
              <w:t xml:space="preserve">、御</w:t>
            </w:r>
            <w:r>
              <w:rPr>
                <w:rFonts w:hint="eastAsia" w:ascii="宋体" w:hAnsi="宋体" w:cs="宋体"/>
                <w:color w:val="000000"/>
                <w:sz w:val="18"/>
                <w:szCs w:val="18"/>
              </w:rPr>
              <w:t xml:space="preserve">Mini</w:t>
            </w:r>
            <w:r>
              <w:rPr>
                <w:rFonts w:hint="eastAsia" w:ascii="宋体" w:hAnsi="宋体" w:cs="宋体"/>
                <w:color w:val="000000"/>
                <w:sz w:val="18"/>
                <w:szCs w:val="18"/>
              </w:rPr>
              <w:t xml:space="preserve">、御</w:t>
            </w:r>
            <w:r>
              <w:rPr>
                <w:rFonts w:hint="eastAsia" w:ascii="宋体" w:hAnsi="宋体" w:cs="宋体"/>
                <w:color w:val="000000"/>
                <w:sz w:val="18"/>
                <w:szCs w:val="18"/>
              </w:rPr>
              <w:t xml:space="preserve">Pro</w:t>
            </w:r>
            <w:r>
              <w:rPr>
                <w:rFonts w:hint="eastAsia" w:ascii="宋体" w:hAnsi="宋体" w:cs="宋体"/>
                <w:color w:val="000000"/>
                <w:sz w:val="18"/>
                <w:szCs w:val="18"/>
              </w:rPr>
              <w:t xml:space="preserve">、御</w:t>
            </w:r>
            <w:r>
              <w:rPr>
                <w:rFonts w:hint="eastAsia" w:ascii="宋体" w:hAnsi="宋体" w:cs="宋体"/>
                <w:color w:val="000000"/>
                <w:sz w:val="18"/>
                <w:szCs w:val="18"/>
              </w:rPr>
              <w:t xml:space="preserve">Air2</w:t>
            </w:r>
            <w:r>
              <w:rPr>
                <w:rFonts w:hint="eastAsia" w:ascii="宋体" w:hAnsi="宋体" w:cs="宋体"/>
                <w:color w:val="000000"/>
                <w:sz w:val="18"/>
                <w:szCs w:val="18"/>
              </w:rPr>
              <w:t xml:space="preserve">、</w:t>
            </w:r>
            <w:r>
              <w:rPr>
                <w:rFonts w:hint="eastAsia" w:ascii="宋体" w:hAnsi="宋体" w:cs="宋体"/>
                <w:color w:val="000000"/>
                <w:sz w:val="18"/>
                <w:szCs w:val="18"/>
              </w:rPr>
              <w:t xml:space="preserve">Avata</w:t>
            </w:r>
            <w:r>
              <w:rPr>
                <w:rFonts w:hint="eastAsia" w:ascii="宋体" w:hAnsi="宋体" w:cs="宋体"/>
                <w:color w:val="000000"/>
                <w:sz w:val="18"/>
                <w:szCs w:val="18"/>
              </w:rPr>
              <w:t xml:space="preserve">、</w:t>
            </w:r>
            <w:r>
              <w:rPr>
                <w:rFonts w:hint="eastAsia" w:ascii="宋体" w:hAnsi="宋体" w:cs="宋体"/>
                <w:color w:val="000000"/>
                <w:sz w:val="18"/>
                <w:szCs w:val="18"/>
              </w:rPr>
              <w:t xml:space="preserve">FPV</w:t>
            </w:r>
            <w:r>
              <w:rPr>
                <w:rFonts w:hint="eastAsia" w:ascii="宋体" w:hAnsi="宋体" w:cs="宋体"/>
                <w:color w:val="000000"/>
                <w:sz w:val="18"/>
                <w:szCs w:val="18"/>
              </w:rPr>
              <w:t xml:space="preserve">、</w:t>
            </w:r>
            <w:r>
              <w:rPr>
                <w:rFonts w:hint="eastAsia" w:ascii="宋体" w:hAnsi="宋体" w:cs="宋体"/>
                <w:color w:val="000000"/>
                <w:sz w:val="18"/>
                <w:szCs w:val="18"/>
              </w:rPr>
              <w:t xml:space="preserve">Air3</w:t>
            </w:r>
            <w:r>
              <w:rPr>
                <w:rFonts w:hint="eastAsia" w:ascii="宋体" w:hAnsi="宋体" w:cs="宋体"/>
                <w:color w:val="000000"/>
                <w:sz w:val="18"/>
                <w:szCs w:val="18"/>
              </w:rPr>
              <w:t xml:space="preserve">、</w:t>
            </w:r>
            <w:r>
              <w:rPr>
                <w:rFonts w:hint="eastAsia" w:ascii="宋体" w:hAnsi="宋体" w:cs="宋体"/>
                <w:color w:val="000000"/>
                <w:sz w:val="18"/>
                <w:szCs w:val="18"/>
              </w:rPr>
              <w:t xml:space="preserve">Mini3</w:t>
            </w:r>
            <w:r>
              <w:rPr>
                <w:rFonts w:hint="eastAsia" w:ascii="宋体" w:hAnsi="宋体" w:cs="宋体"/>
                <w:color w:val="000000"/>
                <w:sz w:val="18"/>
                <w:szCs w:val="18"/>
              </w:rPr>
              <w:t xml:space="preserve">、</w:t>
            </w:r>
            <w:r>
              <w:rPr>
                <w:rFonts w:hint="eastAsia" w:ascii="宋体" w:hAnsi="宋体" w:cs="宋体"/>
                <w:color w:val="000000"/>
                <w:sz w:val="18"/>
                <w:szCs w:val="18"/>
              </w:rPr>
              <w:t xml:space="preserve">M300</w:t>
            </w:r>
            <w:r>
              <w:rPr>
                <w:rFonts w:hint="eastAsia" w:ascii="宋体" w:hAnsi="宋体" w:cs="宋体"/>
                <w:color w:val="000000"/>
                <w:sz w:val="18"/>
                <w:szCs w:val="18"/>
              </w:rPr>
              <w:t xml:space="preserve">、精灵</w:t>
            </w:r>
            <w:r>
              <w:rPr>
                <w:rFonts w:hint="eastAsia" w:ascii="宋体" w:hAnsi="宋体" w:cs="宋体"/>
                <w:color w:val="000000"/>
                <w:sz w:val="18"/>
                <w:szCs w:val="18"/>
              </w:rPr>
              <w:t xml:space="preserve">3</w:t>
            </w:r>
            <w:r>
              <w:rPr>
                <w:rFonts w:hint="eastAsia" w:ascii="宋体" w:hAnsi="宋体" w:cs="宋体"/>
                <w:color w:val="000000"/>
                <w:sz w:val="18"/>
                <w:szCs w:val="18"/>
              </w:rPr>
              <w:t xml:space="preserve">、精灵</w:t>
            </w:r>
            <w:r>
              <w:rPr>
                <w:rFonts w:hint="eastAsia" w:ascii="宋体" w:hAnsi="宋体" w:cs="宋体"/>
                <w:color w:val="000000"/>
                <w:sz w:val="18"/>
                <w:szCs w:val="18"/>
              </w:rPr>
              <w:t xml:space="preserve">4</w:t>
            </w:r>
            <w:r>
              <w:rPr>
                <w:rFonts w:hint="eastAsia" w:ascii="宋体" w:hAnsi="宋体" w:cs="宋体"/>
                <w:color w:val="000000"/>
                <w:sz w:val="18"/>
                <w:szCs w:val="18"/>
              </w:rPr>
              <w:t xml:space="preserve">等型号）、道通、</w:t>
            </w:r>
            <w:r>
              <w:rPr>
                <w:rFonts w:hint="eastAsia" w:ascii="宋体" w:hAnsi="宋体" w:cs="宋体"/>
                <w:color w:val="000000"/>
                <w:sz w:val="18"/>
                <w:szCs w:val="18"/>
              </w:rPr>
              <w:t xml:space="preserve">Parrot</w:t>
            </w:r>
            <w:r>
              <w:rPr>
                <w:rFonts w:hint="eastAsia" w:ascii="宋体" w:hAnsi="宋体" w:cs="宋体"/>
                <w:color w:val="000000"/>
                <w:sz w:val="18"/>
                <w:szCs w:val="18"/>
              </w:rPr>
              <w:t xml:space="preserve">品牌的无人机进行单站定位。</w:t>
            </w:r>
            <w:r>
              <w:rPr>
                <w:rFonts w:hint="eastAsia" w:ascii="宋体" w:hAnsi="宋体" w:cs="宋体"/>
                <w:color w:val="000000"/>
                <w:sz w:val="18"/>
                <w:szCs w:val="18"/>
              </w:rPr>
              <w:br/>
              <w:t xml:space="preserve">4.</w:t>
            </w:r>
            <w:r>
              <w:rPr>
                <w:rFonts w:hint="eastAsia" w:ascii="宋体" w:hAnsi="宋体" w:cs="宋体"/>
                <w:color w:val="000000"/>
                <w:sz w:val="18"/>
                <w:szCs w:val="18"/>
              </w:rPr>
              <w:t xml:space="preserve">频谱探测范围：</w:t>
            </w:r>
            <w:r>
              <w:rPr>
                <w:rFonts w:hint="eastAsia" w:ascii="宋体" w:hAnsi="宋体" w:cs="宋体"/>
                <w:color w:val="000000"/>
                <w:sz w:val="18"/>
                <w:szCs w:val="18"/>
              </w:rPr>
              <w:t xml:space="preserve">26MHz</w:t>
            </w:r>
            <w:r>
              <w:rPr>
                <w:rFonts w:hint="eastAsia" w:ascii="宋体" w:hAnsi="宋体" w:cs="宋体"/>
                <w:color w:val="000000"/>
                <w:sz w:val="18"/>
                <w:szCs w:val="18"/>
              </w:rPr>
              <w:t xml:space="preserve">～</w:t>
            </w:r>
            <w:r>
              <w:rPr>
                <w:rFonts w:hint="eastAsia" w:ascii="宋体" w:hAnsi="宋体" w:cs="宋体"/>
                <w:color w:val="000000"/>
                <w:sz w:val="18"/>
                <w:szCs w:val="18"/>
              </w:rPr>
              <w:t xml:space="preserve">6000MHz</w:t>
            </w:r>
            <w:r>
              <w:rPr>
                <w:rFonts w:hint="eastAsia" w:ascii="宋体" w:hAnsi="宋体" w:cs="宋体"/>
                <w:color w:val="000000"/>
                <w:sz w:val="18"/>
                <w:szCs w:val="18"/>
              </w:rPr>
              <w:br/>
              <w:t xml:space="preserve">5.</w:t>
            </w:r>
            <w:r>
              <w:rPr>
                <w:rFonts w:hint="eastAsia" w:ascii="宋体" w:hAnsi="宋体" w:cs="宋体"/>
                <w:color w:val="000000"/>
                <w:sz w:val="18"/>
                <w:szCs w:val="18"/>
              </w:rPr>
              <w:t xml:space="preserve">重点频段探测：应能探测识别工作频段为</w:t>
            </w:r>
            <w:r>
              <w:rPr>
                <w:rFonts w:hint="eastAsia" w:ascii="宋体" w:hAnsi="宋体" w:cs="宋体"/>
                <w:color w:val="000000"/>
                <w:sz w:val="18"/>
                <w:szCs w:val="18"/>
              </w:rPr>
              <w:t xml:space="preserve">330MHz</w:t>
            </w:r>
            <w:r>
              <w:rPr>
                <w:rFonts w:hint="eastAsia" w:ascii="宋体" w:hAnsi="宋体" w:cs="宋体"/>
                <w:color w:val="000000"/>
                <w:sz w:val="18"/>
                <w:szCs w:val="18"/>
              </w:rPr>
              <w:t xml:space="preserve">、</w:t>
            </w:r>
            <w:r>
              <w:rPr>
                <w:rFonts w:hint="eastAsia" w:ascii="宋体" w:hAnsi="宋体" w:cs="宋体"/>
                <w:color w:val="000000"/>
                <w:sz w:val="18"/>
                <w:szCs w:val="18"/>
              </w:rPr>
              <w:t xml:space="preserve">433MHz</w:t>
            </w:r>
            <w:r>
              <w:rPr>
                <w:rFonts w:hint="eastAsia" w:ascii="宋体" w:hAnsi="宋体" w:cs="宋体"/>
                <w:color w:val="000000"/>
                <w:sz w:val="18"/>
                <w:szCs w:val="18"/>
              </w:rPr>
              <w:t xml:space="preserve">、</w:t>
            </w:r>
            <w:r>
              <w:rPr>
                <w:rFonts w:hint="eastAsia" w:ascii="宋体" w:hAnsi="宋体" w:cs="宋体"/>
                <w:color w:val="000000"/>
                <w:sz w:val="18"/>
                <w:szCs w:val="18"/>
              </w:rPr>
              <w:t xml:space="preserve">840MHz</w:t>
            </w:r>
            <w:r>
              <w:rPr>
                <w:rFonts w:hint="eastAsia" w:ascii="宋体" w:hAnsi="宋体" w:cs="宋体"/>
                <w:color w:val="000000"/>
                <w:sz w:val="18"/>
                <w:szCs w:val="18"/>
              </w:rPr>
              <w:t xml:space="preserve">、</w:t>
            </w:r>
            <w:r>
              <w:rPr>
                <w:rFonts w:hint="eastAsia" w:ascii="宋体" w:hAnsi="宋体" w:cs="宋体"/>
                <w:color w:val="000000"/>
                <w:sz w:val="18"/>
                <w:szCs w:val="18"/>
              </w:rPr>
              <w:t xml:space="preserve">900MHz</w:t>
            </w:r>
            <w:r>
              <w:rPr>
                <w:rFonts w:hint="eastAsia" w:ascii="宋体" w:hAnsi="宋体" w:cs="宋体"/>
                <w:color w:val="000000"/>
                <w:sz w:val="18"/>
                <w:szCs w:val="18"/>
              </w:rPr>
              <w:t xml:space="preserve">、</w:t>
            </w:r>
            <w:r>
              <w:rPr>
                <w:rFonts w:hint="eastAsia" w:ascii="宋体" w:hAnsi="宋体" w:cs="宋体"/>
                <w:color w:val="000000"/>
                <w:sz w:val="18"/>
                <w:szCs w:val="18"/>
              </w:rPr>
              <w:t xml:space="preserve">915MHz</w:t>
            </w:r>
            <w:r>
              <w:rPr>
                <w:rFonts w:hint="eastAsia" w:ascii="宋体" w:hAnsi="宋体" w:cs="宋体"/>
                <w:color w:val="000000"/>
                <w:sz w:val="18"/>
                <w:szCs w:val="18"/>
              </w:rPr>
              <w:t xml:space="preserve">、</w:t>
            </w:r>
            <w:r>
              <w:rPr>
                <w:rFonts w:hint="eastAsia" w:ascii="宋体" w:hAnsi="宋体" w:cs="宋体"/>
                <w:color w:val="000000"/>
                <w:sz w:val="18"/>
                <w:szCs w:val="18"/>
              </w:rPr>
              <w:t xml:space="preserve">933MHz</w:t>
            </w:r>
            <w:r>
              <w:rPr>
                <w:rFonts w:hint="eastAsia" w:ascii="宋体" w:hAnsi="宋体" w:cs="宋体"/>
                <w:color w:val="000000"/>
                <w:sz w:val="18"/>
                <w:szCs w:val="18"/>
              </w:rPr>
              <w:t xml:space="preserve">、</w:t>
            </w:r>
            <w:r>
              <w:rPr>
                <w:rFonts w:hint="eastAsia" w:ascii="宋体" w:hAnsi="宋体" w:cs="宋体"/>
                <w:color w:val="000000"/>
                <w:sz w:val="18"/>
                <w:szCs w:val="18"/>
              </w:rPr>
              <w:t xml:space="preserve">1.2GHz</w:t>
            </w:r>
            <w:r>
              <w:rPr>
                <w:rFonts w:hint="eastAsia" w:ascii="宋体" w:hAnsi="宋体" w:cs="宋体"/>
                <w:color w:val="000000"/>
                <w:sz w:val="18"/>
                <w:szCs w:val="18"/>
              </w:rPr>
              <w:t xml:space="preserve">、</w:t>
            </w:r>
            <w:r>
              <w:rPr>
                <w:rFonts w:hint="eastAsia" w:ascii="宋体" w:hAnsi="宋体" w:cs="宋体"/>
                <w:color w:val="000000"/>
                <w:sz w:val="18"/>
                <w:szCs w:val="18"/>
              </w:rPr>
              <w:t xml:space="preserve">1.4GHz</w:t>
            </w:r>
            <w:r>
              <w:rPr>
                <w:rFonts w:hint="eastAsia" w:ascii="宋体" w:hAnsi="宋体" w:cs="宋体"/>
                <w:color w:val="000000"/>
                <w:sz w:val="18"/>
                <w:szCs w:val="18"/>
              </w:rPr>
              <w:t xml:space="preserve">、</w:t>
            </w:r>
            <w:r>
              <w:rPr>
                <w:rFonts w:hint="eastAsia" w:ascii="宋体" w:hAnsi="宋体" w:cs="宋体"/>
                <w:color w:val="000000"/>
                <w:sz w:val="18"/>
                <w:szCs w:val="18"/>
              </w:rPr>
              <w:t xml:space="preserve">1.8GHz</w:t>
            </w:r>
            <w:r>
              <w:rPr>
                <w:rFonts w:hint="eastAsia" w:ascii="宋体" w:hAnsi="宋体" w:cs="宋体"/>
                <w:color w:val="000000"/>
                <w:sz w:val="18"/>
                <w:szCs w:val="18"/>
              </w:rPr>
              <w:t xml:space="preserve">、</w:t>
            </w:r>
            <w:r>
              <w:rPr>
                <w:rFonts w:hint="eastAsia" w:ascii="宋体" w:hAnsi="宋体" w:cs="宋体"/>
                <w:color w:val="000000"/>
                <w:sz w:val="18"/>
                <w:szCs w:val="18"/>
              </w:rPr>
              <w:t xml:space="preserve">2.4GHz</w:t>
            </w:r>
            <w:r>
              <w:rPr>
                <w:rFonts w:hint="eastAsia" w:ascii="宋体" w:hAnsi="宋体" w:cs="宋体"/>
                <w:color w:val="000000"/>
                <w:sz w:val="18"/>
                <w:szCs w:val="18"/>
              </w:rPr>
              <w:t xml:space="preserve">、</w:t>
            </w:r>
            <w:r>
              <w:rPr>
                <w:rFonts w:hint="eastAsia" w:ascii="宋体" w:hAnsi="宋体" w:cs="宋体"/>
                <w:color w:val="000000"/>
                <w:sz w:val="18"/>
                <w:szCs w:val="18"/>
              </w:rPr>
              <w:t xml:space="preserve">5.2GHz</w:t>
            </w:r>
            <w:r>
              <w:rPr>
                <w:rFonts w:hint="eastAsia" w:ascii="宋体" w:hAnsi="宋体" w:cs="宋体"/>
                <w:color w:val="000000"/>
                <w:sz w:val="18"/>
                <w:szCs w:val="18"/>
              </w:rPr>
              <w:t xml:space="preserve">、</w:t>
            </w:r>
            <w:r>
              <w:rPr>
                <w:rFonts w:hint="eastAsia" w:ascii="宋体" w:hAnsi="宋体" w:cs="宋体"/>
                <w:color w:val="000000"/>
                <w:sz w:val="18"/>
                <w:szCs w:val="18"/>
              </w:rPr>
              <w:t xml:space="preserve">5.8GHz</w:t>
            </w:r>
            <w:r>
              <w:rPr>
                <w:rFonts w:hint="eastAsia" w:ascii="宋体" w:hAnsi="宋体" w:cs="宋体"/>
                <w:color w:val="000000"/>
                <w:sz w:val="18"/>
                <w:szCs w:val="18"/>
              </w:rPr>
              <w:t xml:space="preserve">的无人机信号。</w:t>
            </w:r>
            <w:r>
              <w:rPr>
                <w:rFonts w:hint="eastAsia" w:ascii="宋体" w:hAnsi="宋体" w:cs="宋体"/>
                <w:color w:val="000000"/>
                <w:sz w:val="18"/>
                <w:szCs w:val="18"/>
              </w:rPr>
              <w:br/>
              <w:t xml:space="preserve">6. </w:t>
            </w:r>
            <w:r>
              <w:rPr>
                <w:rFonts w:hint="eastAsia" w:ascii="宋体" w:hAnsi="宋体" w:cs="宋体"/>
                <w:color w:val="000000"/>
                <w:sz w:val="18"/>
                <w:szCs w:val="18"/>
              </w:rPr>
              <w:t xml:space="preserve">探测灵敏度：≤</w:t>
            </w:r>
            <w:r>
              <w:rPr>
                <w:rFonts w:hint="eastAsia" w:ascii="宋体" w:hAnsi="宋体" w:cs="宋体"/>
                <w:color w:val="000000"/>
                <w:sz w:val="18"/>
                <w:szCs w:val="18"/>
              </w:rPr>
              <w:t xml:space="preserve">-115dBm</w:t>
            </w:r>
            <w:r>
              <w:rPr>
                <w:rFonts w:hint="eastAsia" w:ascii="宋体" w:hAnsi="宋体" w:cs="宋体"/>
                <w:color w:val="000000"/>
                <w:sz w:val="18"/>
                <w:szCs w:val="18"/>
              </w:rPr>
              <w:t xml:space="preserve">（工作频点为</w:t>
            </w:r>
            <w:r>
              <w:rPr>
                <w:rFonts w:hint="eastAsia" w:ascii="宋体" w:hAnsi="宋体" w:cs="宋体"/>
                <w:color w:val="000000"/>
                <w:sz w:val="18"/>
                <w:szCs w:val="18"/>
              </w:rPr>
              <w:t xml:space="preserve">1000MHz</w:t>
            </w:r>
            <w:r>
              <w:rPr>
                <w:rFonts w:hint="eastAsia" w:ascii="宋体" w:hAnsi="宋体" w:cs="宋体"/>
                <w:color w:val="000000"/>
                <w:sz w:val="18"/>
                <w:szCs w:val="18"/>
              </w:rPr>
              <w:t xml:space="preserve">、</w:t>
            </w:r>
            <w:r>
              <w:rPr>
                <w:rFonts w:hint="eastAsia" w:ascii="宋体" w:hAnsi="宋体" w:cs="宋体"/>
                <w:color w:val="000000"/>
                <w:sz w:val="18"/>
                <w:szCs w:val="18"/>
              </w:rPr>
              <w:t xml:space="preserve">2000MHz</w:t>
            </w:r>
            <w:r>
              <w:rPr>
                <w:rFonts w:hint="eastAsia" w:ascii="宋体" w:hAnsi="宋体" w:cs="宋体"/>
                <w:color w:val="000000"/>
                <w:sz w:val="18"/>
                <w:szCs w:val="18"/>
              </w:rPr>
              <w:t xml:space="preserve">）。</w:t>
            </w:r>
            <w:r>
              <w:rPr>
                <w:rFonts w:hint="eastAsia" w:ascii="宋体" w:hAnsi="宋体" w:cs="宋体"/>
                <w:color w:val="000000"/>
                <w:sz w:val="18"/>
                <w:szCs w:val="18"/>
              </w:rPr>
              <w:br/>
            </w:r>
            <w:r>
              <w:rPr>
                <w:rFonts w:hint="eastAsia" w:ascii="宋体" w:hAnsi="宋体" w:cs="宋体"/>
                <w:color w:val="000000"/>
                <w:sz w:val="18"/>
                <w:szCs w:val="18"/>
              </w:rPr>
              <w:t xml:space="preserve">7.</w:t>
            </w:r>
            <w:r>
              <w:rPr>
                <w:rFonts w:hint="eastAsia" w:ascii="宋体" w:hAnsi="宋体" w:cs="宋体"/>
                <w:color w:val="000000"/>
                <w:sz w:val="18"/>
                <w:szCs w:val="18"/>
              </w:rPr>
              <w:t xml:space="preserve">探测定位距离试验：在无明显雨、雪、雾天气的环境（无明显遮挡、无明显电磁干扰）条件下，样品能探测并定位无人机的距离应≥</w:t>
            </w:r>
            <w:r>
              <w:rPr>
                <w:rFonts w:hint="eastAsia" w:ascii="宋体" w:hAnsi="宋体" w:cs="宋体"/>
                <w:color w:val="000000"/>
                <w:sz w:val="18"/>
                <w:szCs w:val="18"/>
              </w:rPr>
              <w:t xml:space="preserve">8km</w:t>
            </w:r>
            <w:r>
              <w:rPr>
                <w:rFonts w:hint="eastAsia" w:ascii="宋体" w:hAnsi="宋体" w:cs="宋体"/>
                <w:color w:val="000000"/>
                <w:sz w:val="18"/>
                <w:szCs w:val="18"/>
              </w:rPr>
              <w:t xml:space="preserve">。</w:t>
            </w:r>
            <w:r>
              <w:rPr>
                <w:rFonts w:hint="eastAsia" w:ascii="宋体" w:hAnsi="宋体" w:cs="宋体"/>
                <w:color w:val="000000"/>
                <w:sz w:val="18"/>
                <w:szCs w:val="18"/>
              </w:rPr>
              <w:br/>
              <w:t xml:space="preserve">8. </w:t>
            </w:r>
            <w:r>
              <w:rPr>
                <w:rFonts w:hint="eastAsia" w:ascii="宋体" w:hAnsi="宋体" w:cs="宋体"/>
                <w:color w:val="000000"/>
                <w:sz w:val="18"/>
                <w:szCs w:val="18"/>
              </w:rPr>
              <w:t xml:space="preserve">探测高度：</w:t>
            </w:r>
            <w:r>
              <w:rPr>
                <w:rFonts w:hint="eastAsia" w:ascii="宋体" w:hAnsi="宋体" w:cs="宋体"/>
                <w:color w:val="000000"/>
                <w:sz w:val="18"/>
                <w:szCs w:val="18"/>
              </w:rPr>
              <w:t xml:space="preserve">0</w:t>
            </w:r>
            <w:r>
              <w:rPr>
                <w:rFonts w:hint="eastAsia" w:ascii="宋体" w:hAnsi="宋体" w:cs="宋体"/>
                <w:color w:val="000000"/>
                <w:sz w:val="18"/>
                <w:szCs w:val="18"/>
              </w:rPr>
              <w:t xml:space="preserve">～</w:t>
            </w:r>
            <w:r>
              <w:rPr>
                <w:rFonts w:hint="eastAsia" w:ascii="宋体" w:hAnsi="宋体" w:cs="宋体"/>
                <w:color w:val="000000"/>
                <w:sz w:val="18"/>
                <w:szCs w:val="18"/>
              </w:rPr>
              <w:t xml:space="preserve">1200m</w:t>
            </w:r>
            <w:r>
              <w:rPr>
                <w:rFonts w:hint="eastAsia" w:ascii="宋体" w:hAnsi="宋体" w:cs="宋体"/>
                <w:color w:val="000000"/>
                <w:sz w:val="18"/>
                <w:szCs w:val="18"/>
              </w:rPr>
              <w:t xml:space="preserve">。</w:t>
            </w:r>
            <w:r>
              <w:rPr>
                <w:rFonts w:hint="eastAsia" w:ascii="宋体" w:hAnsi="宋体" w:cs="宋体"/>
                <w:color w:val="000000"/>
                <w:sz w:val="18"/>
                <w:szCs w:val="18"/>
              </w:rPr>
              <w:br/>
              <w:t xml:space="preserve">9.</w:t>
            </w:r>
            <w:r>
              <w:rPr>
                <w:rFonts w:hint="eastAsia" w:ascii="宋体" w:hAnsi="宋体" w:cs="宋体"/>
                <w:color w:val="000000"/>
                <w:sz w:val="18"/>
                <w:szCs w:val="18"/>
              </w:rPr>
              <w:t xml:space="preserve">探测角度：水平方向：</w:t>
            </w:r>
            <w:r>
              <w:rPr>
                <w:rFonts w:hint="eastAsia" w:ascii="宋体" w:hAnsi="宋体" w:cs="宋体"/>
                <w:color w:val="000000"/>
                <w:sz w:val="18"/>
                <w:szCs w:val="18"/>
              </w:rPr>
              <w:t xml:space="preserve">360</w:t>
            </w:r>
            <w:r>
              <w:rPr>
                <w:rFonts w:hint="eastAsia" w:ascii="宋体" w:hAnsi="宋体" w:cs="宋体"/>
                <w:color w:val="000000"/>
                <w:sz w:val="18"/>
                <w:szCs w:val="18"/>
              </w:rPr>
              <w:t xml:space="preserve">°；俯仰方向：</w:t>
            </w:r>
            <w:r>
              <w:rPr>
                <w:rFonts w:hint="eastAsia" w:ascii="宋体" w:hAnsi="宋体" w:cs="宋体"/>
                <w:color w:val="000000"/>
                <w:sz w:val="18"/>
                <w:szCs w:val="18"/>
              </w:rPr>
              <w:t xml:space="preserve">-90</w:t>
            </w:r>
            <w:r>
              <w:rPr>
                <w:rFonts w:hint="eastAsia" w:ascii="宋体" w:hAnsi="宋体" w:cs="宋体"/>
                <w:color w:val="000000"/>
                <w:sz w:val="18"/>
                <w:szCs w:val="18"/>
              </w:rPr>
              <w:t xml:space="preserve">°～</w:t>
            </w:r>
            <w:r>
              <w:rPr>
                <w:rFonts w:hint="eastAsia" w:ascii="宋体" w:hAnsi="宋体" w:cs="宋体"/>
                <w:color w:val="000000"/>
                <w:sz w:val="18"/>
                <w:szCs w:val="18"/>
              </w:rPr>
              <w:t xml:space="preserve">+90</w:t>
            </w:r>
            <w:r>
              <w:rPr>
                <w:rFonts w:hint="eastAsia" w:ascii="宋体" w:hAnsi="宋体" w:cs="宋体"/>
                <w:color w:val="000000"/>
                <w:sz w:val="18"/>
                <w:szCs w:val="18"/>
              </w:rPr>
              <w:t xml:space="preserve">°。</w:t>
            </w:r>
            <w:r>
              <w:rPr>
                <w:rFonts w:hint="eastAsia" w:ascii="宋体" w:hAnsi="宋体" w:cs="宋体"/>
                <w:color w:val="000000"/>
                <w:sz w:val="18"/>
                <w:szCs w:val="18"/>
              </w:rPr>
              <w:br/>
              <w:t xml:space="preserve">10. </w:t>
            </w:r>
            <w:r>
              <w:rPr>
                <w:rFonts w:hint="eastAsia" w:ascii="宋体" w:hAnsi="宋体" w:cs="宋体"/>
                <w:color w:val="000000"/>
                <w:sz w:val="18"/>
                <w:szCs w:val="18"/>
              </w:rPr>
              <w:t xml:space="preserve">测向精度：在无明显雨、雪、雾天气的环境（无明显遮挡、无明显电磁干扰）条件下，样品对无人机的测向误差应≤</w:t>
            </w:r>
            <w:r>
              <w:rPr>
                <w:rFonts w:hint="eastAsia" w:ascii="宋体" w:hAnsi="宋体" w:cs="宋体"/>
                <w:color w:val="000000"/>
                <w:sz w:val="18"/>
                <w:szCs w:val="18"/>
              </w:rPr>
              <w:t xml:space="preserve">1</w:t>
            </w:r>
            <w:r>
              <w:rPr>
                <w:rFonts w:hint="eastAsia" w:ascii="宋体" w:hAnsi="宋体" w:cs="宋体"/>
                <w:color w:val="000000"/>
                <w:sz w:val="18"/>
                <w:szCs w:val="18"/>
              </w:rPr>
              <w:t xml:space="preserve">°（</w:t>
            </w:r>
            <w:r>
              <w:rPr>
                <w:rFonts w:hint="eastAsia" w:ascii="宋体" w:hAnsi="宋体" w:cs="宋体"/>
                <w:color w:val="000000"/>
                <w:sz w:val="18"/>
                <w:szCs w:val="18"/>
              </w:rPr>
              <w:t xml:space="preserve">RMS</w:t>
            </w:r>
            <w:r>
              <w:rPr>
                <w:rFonts w:hint="eastAsia" w:ascii="宋体" w:hAnsi="宋体" w:cs="宋体"/>
                <w:color w:val="000000"/>
                <w:sz w:val="18"/>
                <w:szCs w:val="18"/>
              </w:rPr>
              <w:t xml:space="preserve">）。</w:t>
            </w:r>
            <w:r>
              <w:rPr>
                <w:rFonts w:hint="eastAsia" w:ascii="宋体" w:hAnsi="宋体" w:cs="宋体"/>
                <w:color w:val="000000"/>
                <w:sz w:val="18"/>
                <w:szCs w:val="18"/>
              </w:rPr>
              <w:br/>
              <w:t xml:space="preserve">11. </w:t>
            </w:r>
            <w:r>
              <w:rPr>
                <w:rFonts w:hint="eastAsia" w:ascii="宋体" w:hAnsi="宋体" w:cs="宋体"/>
                <w:color w:val="000000"/>
                <w:sz w:val="18"/>
                <w:szCs w:val="18"/>
              </w:rPr>
              <w:t xml:space="preserve">定位精度：在无明显雨、雪、雾天气的环境（无明显遮挡、无明显电磁干扰）条件下，</w:t>
            </w:r>
            <w:r>
              <w:rPr>
                <w:rFonts w:hint="eastAsia" w:ascii="宋体" w:hAnsi="宋体" w:cs="宋体"/>
                <w:color w:val="000000"/>
                <w:sz w:val="18"/>
                <w:szCs w:val="18"/>
              </w:rPr>
              <w:t xml:space="preserve">系统</w:t>
            </w:r>
            <w:r>
              <w:rPr>
                <w:rFonts w:hint="eastAsia" w:ascii="宋体" w:hAnsi="宋体" w:cs="宋体"/>
                <w:color w:val="000000"/>
                <w:sz w:val="18"/>
                <w:szCs w:val="18"/>
              </w:rPr>
              <w:t xml:space="preserve">对无人机的定位误差应≤</w:t>
            </w:r>
            <w:r>
              <w:rPr>
                <w:rFonts w:hint="eastAsia" w:ascii="宋体" w:hAnsi="宋体" w:cs="宋体"/>
                <w:color w:val="000000"/>
                <w:sz w:val="18"/>
                <w:szCs w:val="18"/>
              </w:rPr>
              <w:t xml:space="preserve">8.5m</w:t>
            </w:r>
            <w:r>
              <w:rPr>
                <w:rFonts w:hint="eastAsia" w:ascii="宋体" w:hAnsi="宋体" w:cs="宋体"/>
                <w:color w:val="000000"/>
                <w:sz w:val="18"/>
                <w:szCs w:val="18"/>
              </w:rPr>
              <w:t xml:space="preserve">；在无明显雨、雪、雾天气的环境（无明</w:t>
            </w:r>
            <w:r>
              <w:rPr>
                <w:rFonts w:hint="eastAsia" w:ascii="宋体" w:hAnsi="宋体" w:cs="宋体"/>
                <w:color w:val="000000"/>
                <w:sz w:val="18"/>
                <w:szCs w:val="18"/>
              </w:rPr>
              <w:t xml:space="preserve">显遮挡、无明显电磁干扰）条件下，样品对无人机飞行高度的定位误差应≤</w:t>
            </w:r>
            <w:r>
              <w:rPr>
                <w:rFonts w:hint="eastAsia" w:ascii="宋体" w:hAnsi="宋体" w:cs="宋体"/>
                <w:color w:val="000000"/>
                <w:sz w:val="18"/>
                <w:szCs w:val="18"/>
              </w:rPr>
              <w:t xml:space="preserve">1m</w:t>
            </w:r>
            <w:r>
              <w:rPr>
                <w:rFonts w:hint="eastAsia" w:ascii="宋体" w:hAnsi="宋体" w:cs="宋体"/>
                <w:color w:val="000000"/>
                <w:sz w:val="18"/>
                <w:szCs w:val="18"/>
              </w:rPr>
              <w:t xml:space="preserve">；在无明显雨、雪、雾天气的环境（无明显遮挡、无明显电磁干扰）条件下，样品探测到的经纬度坐标与飞手（遥控器）实际经纬度坐标的距离误差应≤</w:t>
            </w:r>
            <w:r>
              <w:rPr>
                <w:rFonts w:hint="eastAsia" w:ascii="宋体" w:hAnsi="宋体" w:cs="宋体"/>
                <w:color w:val="000000"/>
                <w:sz w:val="18"/>
                <w:szCs w:val="18"/>
              </w:rPr>
              <w:t xml:space="preserve">5m</w:t>
            </w:r>
            <w:r>
              <w:rPr>
                <w:rFonts w:hint="eastAsia" w:ascii="宋体" w:hAnsi="宋体" w:cs="宋体"/>
                <w:color w:val="000000"/>
                <w:sz w:val="18"/>
                <w:szCs w:val="18"/>
              </w:rPr>
              <w:t xml:space="preserve">。</w:t>
            </w:r>
            <w:r>
              <w:rPr>
                <w:rFonts w:hint="eastAsia" w:ascii="宋体" w:hAnsi="宋体" w:cs="宋体"/>
                <w:color w:val="000000"/>
                <w:sz w:val="18"/>
                <w:szCs w:val="18"/>
              </w:rPr>
              <w:br/>
              <w:t xml:space="preserve">12. </w:t>
            </w:r>
            <w:r>
              <w:rPr>
                <w:rFonts w:hint="eastAsia" w:ascii="宋体" w:hAnsi="宋体" w:cs="宋体"/>
                <w:color w:val="000000"/>
                <w:sz w:val="18"/>
                <w:szCs w:val="18"/>
              </w:rPr>
              <w:t xml:space="preserve">移动目标跟踪：应能对飞行速度≥</w:t>
            </w:r>
            <w:r>
              <w:rPr>
                <w:rFonts w:hint="eastAsia" w:ascii="宋体" w:hAnsi="宋体" w:cs="宋体"/>
                <w:color w:val="000000"/>
                <w:sz w:val="18"/>
                <w:szCs w:val="18"/>
              </w:rPr>
              <w:t xml:space="preserve">21m/s</w:t>
            </w:r>
            <w:r>
              <w:rPr>
                <w:rFonts w:hint="eastAsia" w:ascii="宋体" w:hAnsi="宋体" w:cs="宋体"/>
                <w:color w:val="000000"/>
                <w:sz w:val="18"/>
                <w:szCs w:val="18"/>
              </w:rPr>
              <w:t xml:space="preserve">的无人机进行探测及定位，并能在电子地图上实时显示该无人机的飞行轨迹。</w:t>
            </w:r>
            <w:r>
              <w:rPr>
                <w:rFonts w:hint="eastAsia" w:ascii="宋体" w:hAnsi="宋体" w:cs="宋体"/>
                <w:color w:val="000000"/>
                <w:sz w:val="18"/>
                <w:szCs w:val="18"/>
              </w:rPr>
              <w:br/>
              <w:t xml:space="preserve">13. </w:t>
            </w:r>
            <w:r>
              <w:rPr>
                <w:rFonts w:hint="eastAsia" w:ascii="宋体" w:hAnsi="宋体" w:cs="宋体"/>
                <w:color w:val="000000"/>
                <w:sz w:val="18"/>
                <w:szCs w:val="18"/>
              </w:rPr>
              <w:t xml:space="preserve">探测时间：无人机保持开机状态，样品从启动探测至发现无人机所需的时间应≤</w:t>
            </w:r>
            <w:r>
              <w:rPr>
                <w:rFonts w:hint="eastAsia" w:ascii="宋体" w:hAnsi="宋体" w:cs="宋体"/>
                <w:color w:val="000000"/>
                <w:sz w:val="18"/>
                <w:szCs w:val="18"/>
              </w:rPr>
              <w:t xml:space="preserve">1s</w:t>
            </w:r>
            <w:r>
              <w:rPr>
                <w:rFonts w:hint="eastAsia" w:ascii="宋体" w:hAnsi="宋体" w:cs="宋体"/>
                <w:color w:val="000000"/>
                <w:sz w:val="18"/>
                <w:szCs w:val="18"/>
              </w:rPr>
              <w:t xml:space="preserve">。</w:t>
            </w:r>
            <w:r>
              <w:rPr>
                <w:rFonts w:hint="eastAsia" w:ascii="宋体" w:hAnsi="宋体" w:cs="宋体"/>
                <w:color w:val="000000"/>
                <w:sz w:val="18"/>
                <w:szCs w:val="18"/>
              </w:rPr>
              <w:br/>
              <w:t xml:space="preserve">14.</w:t>
            </w:r>
            <w:r>
              <w:rPr>
                <w:rFonts w:hint="eastAsia" w:ascii="宋体" w:hAnsi="宋体" w:cs="宋体"/>
                <w:color w:val="000000"/>
                <w:sz w:val="18"/>
                <w:szCs w:val="18"/>
              </w:rPr>
              <w:t xml:space="preserve">探测成功率：在无明显遮挡、无明显电磁干扰的条件下，探测成功率≥</w:t>
            </w:r>
            <w:r>
              <w:rPr>
                <w:rFonts w:hint="eastAsia" w:ascii="宋体" w:hAnsi="宋体" w:cs="宋体"/>
                <w:color w:val="000000"/>
                <w:sz w:val="18"/>
                <w:szCs w:val="18"/>
              </w:rPr>
              <w:t xml:space="preserve">98%</w:t>
            </w:r>
            <w:r>
              <w:rPr>
                <w:rFonts w:hint="eastAsia" w:ascii="宋体" w:hAnsi="宋体" w:cs="宋体"/>
                <w:color w:val="000000"/>
                <w:sz w:val="18"/>
                <w:szCs w:val="18"/>
              </w:rPr>
              <w:t xml:space="preserve">（探测成功率</w:t>
            </w:r>
            <w:r>
              <w:rPr>
                <w:rFonts w:hint="eastAsia" w:ascii="宋体" w:hAnsi="宋体" w:cs="宋体"/>
                <w:color w:val="000000"/>
                <w:sz w:val="18"/>
                <w:szCs w:val="18"/>
              </w:rPr>
              <w:t xml:space="preserve">=</w:t>
            </w:r>
            <w:r>
              <w:rPr>
                <w:rFonts w:hint="eastAsia" w:ascii="宋体" w:hAnsi="宋体" w:cs="宋体"/>
                <w:color w:val="000000"/>
                <w:sz w:val="18"/>
                <w:szCs w:val="18"/>
              </w:rPr>
              <w:t xml:space="preserve">探测成功</w:t>
            </w:r>
            <w:r>
              <w:rPr>
                <w:rFonts w:hint="eastAsia" w:ascii="宋体" w:hAnsi="宋体" w:cs="宋体"/>
                <w:color w:val="000000"/>
                <w:sz w:val="18"/>
                <w:szCs w:val="18"/>
              </w:rPr>
              <w:t xml:space="preserve">次数</w:t>
            </w:r>
            <w:r>
              <w:rPr>
                <w:rFonts w:hint="eastAsia" w:ascii="宋体" w:hAnsi="宋体" w:cs="宋体"/>
                <w:color w:val="000000"/>
                <w:sz w:val="18"/>
                <w:szCs w:val="18"/>
              </w:rPr>
              <w:t xml:space="preserve">/</w:t>
            </w:r>
            <w:r>
              <w:rPr>
                <w:rFonts w:hint="eastAsia" w:ascii="宋体" w:hAnsi="宋体" w:cs="宋体"/>
                <w:color w:val="000000"/>
                <w:sz w:val="18"/>
                <w:szCs w:val="18"/>
              </w:rPr>
              <w:t xml:space="preserve">总探测次数×</w:t>
            </w:r>
            <w:r>
              <w:rPr>
                <w:rFonts w:hint="eastAsia" w:ascii="宋体" w:hAnsi="宋体" w:cs="宋体"/>
                <w:color w:val="000000"/>
                <w:sz w:val="18"/>
                <w:szCs w:val="18"/>
              </w:rPr>
              <w:t xml:space="preserve">100%</w:t>
            </w:r>
            <w:r>
              <w:rPr>
                <w:rFonts w:hint="eastAsia" w:ascii="宋体" w:hAnsi="宋体" w:cs="宋体"/>
                <w:color w:val="000000"/>
                <w:sz w:val="18"/>
                <w:szCs w:val="18"/>
              </w:rPr>
              <w:t xml:space="preserve">）。</w:t>
            </w:r>
            <w:r>
              <w:rPr>
                <w:rFonts w:hint="eastAsia" w:ascii="宋体" w:hAnsi="宋体" w:cs="宋体"/>
                <w:color w:val="000000"/>
                <w:sz w:val="18"/>
                <w:szCs w:val="18"/>
              </w:rPr>
              <w:br/>
              <w:t xml:space="preserve">15.</w:t>
            </w:r>
            <w:r>
              <w:rPr>
                <w:rFonts w:hint="eastAsia" w:ascii="宋体" w:hAnsi="宋体" w:cs="宋体"/>
                <w:color w:val="000000"/>
                <w:sz w:val="18"/>
                <w:szCs w:val="18"/>
              </w:rPr>
              <w:t xml:space="preserve">虚警率：在无明显遮挡、无明显电磁干扰的条件下，持续探测</w:t>
            </w:r>
            <w:r>
              <w:rPr>
                <w:rFonts w:hint="eastAsia" w:ascii="宋体" w:hAnsi="宋体" w:cs="宋体"/>
                <w:color w:val="000000"/>
                <w:sz w:val="18"/>
                <w:szCs w:val="18"/>
              </w:rPr>
              <w:t xml:space="preserve">24</w:t>
            </w:r>
            <w:r>
              <w:rPr>
                <w:rFonts w:hint="eastAsia" w:ascii="宋体" w:hAnsi="宋体" w:cs="宋体"/>
                <w:color w:val="000000"/>
                <w:sz w:val="18"/>
                <w:szCs w:val="18"/>
              </w:rPr>
              <w:t xml:space="preserve">小时，</w:t>
            </w:r>
            <w:r>
              <w:rPr>
                <w:rFonts w:hint="eastAsia" w:ascii="宋体" w:hAnsi="宋体" w:cs="宋体"/>
                <w:color w:val="000000"/>
                <w:sz w:val="18"/>
                <w:szCs w:val="18"/>
              </w:rPr>
              <w:t xml:space="preserve">虚警应</w:t>
            </w:r>
            <w:r>
              <w:rPr>
                <w:rFonts w:hint="eastAsia" w:ascii="宋体" w:hAnsi="宋体" w:cs="宋体"/>
                <w:color w:val="000000"/>
                <w:sz w:val="18"/>
                <w:szCs w:val="18"/>
              </w:rPr>
              <w:t xml:space="preserve">≤</w:t>
            </w:r>
            <w:r>
              <w:rPr>
                <w:rFonts w:hint="eastAsia" w:ascii="宋体" w:hAnsi="宋体" w:cs="宋体"/>
                <w:color w:val="000000"/>
                <w:sz w:val="18"/>
                <w:szCs w:val="18"/>
              </w:rPr>
              <w:t xml:space="preserve">1</w:t>
            </w:r>
            <w:r>
              <w:rPr>
                <w:rFonts w:hint="eastAsia" w:ascii="宋体" w:hAnsi="宋体" w:cs="宋体"/>
                <w:color w:val="000000"/>
                <w:sz w:val="18"/>
                <w:szCs w:val="18"/>
              </w:rPr>
              <w:t xml:space="preserve">架次。</w:t>
            </w:r>
            <w:r>
              <w:rPr>
                <w:rFonts w:hint="eastAsia" w:ascii="宋体" w:hAnsi="宋体" w:cs="宋体"/>
                <w:color w:val="000000"/>
                <w:sz w:val="18"/>
                <w:szCs w:val="18"/>
              </w:rPr>
              <w:br/>
              <w:t xml:space="preserve">16.</w:t>
            </w:r>
            <w:r>
              <w:rPr>
                <w:rFonts w:hint="eastAsia" w:ascii="宋体" w:hAnsi="宋体" w:cs="宋体"/>
                <w:color w:val="000000"/>
                <w:sz w:val="18"/>
                <w:szCs w:val="18"/>
              </w:rPr>
              <w:t xml:space="preserve">精准识别功能：应能探测、识别、区分多架同品牌、同型号、同频段的不同架次无人机，并能分别显示各无人机的电子指纹</w:t>
            </w:r>
            <w:r>
              <w:rPr>
                <w:rFonts w:hint="eastAsia" w:ascii="宋体" w:hAnsi="宋体" w:cs="宋体"/>
                <w:color w:val="000000"/>
                <w:sz w:val="18"/>
                <w:szCs w:val="18"/>
              </w:rPr>
              <w:t xml:space="preserve">ID</w:t>
            </w:r>
            <w:r>
              <w:rPr>
                <w:rFonts w:hint="eastAsia" w:ascii="宋体" w:hAnsi="宋体" w:cs="宋体"/>
                <w:color w:val="000000"/>
                <w:sz w:val="18"/>
                <w:szCs w:val="18"/>
              </w:rPr>
              <w:t xml:space="preserve">。</w:t>
            </w:r>
            <w:r>
              <w:rPr>
                <w:rFonts w:hint="eastAsia" w:ascii="宋体" w:hAnsi="宋体" w:cs="宋体"/>
                <w:color w:val="000000"/>
                <w:sz w:val="18"/>
                <w:szCs w:val="18"/>
              </w:rPr>
              <w:br/>
              <w:t xml:space="preserve">17.</w:t>
            </w:r>
            <w:r>
              <w:rPr>
                <w:rFonts w:hint="eastAsia" w:ascii="宋体" w:hAnsi="宋体" w:cs="宋体"/>
                <w:color w:val="000000"/>
                <w:sz w:val="18"/>
                <w:szCs w:val="18"/>
              </w:rPr>
              <w:t xml:space="preserve">同一无人机入侵识别功能：一定时间内，多次探测识别到同一架次无人机入侵时，应能自动融合为一条信息；对识别到的同一架无人机的多次入侵行为，样品应能自动整合该无人机的入侵信息，且多条记录中的无人机电子指纹</w:t>
            </w:r>
            <w:r>
              <w:rPr>
                <w:rFonts w:hint="eastAsia" w:ascii="宋体" w:hAnsi="宋体" w:cs="宋体"/>
                <w:color w:val="000000"/>
                <w:sz w:val="18"/>
                <w:szCs w:val="18"/>
              </w:rPr>
              <w:t xml:space="preserve">ID</w:t>
            </w:r>
            <w:r>
              <w:rPr>
                <w:rFonts w:hint="eastAsia" w:ascii="宋体" w:hAnsi="宋体" w:cs="宋体"/>
                <w:color w:val="000000"/>
                <w:sz w:val="18"/>
                <w:szCs w:val="18"/>
              </w:rPr>
              <w:t xml:space="preserve">应相同。</w:t>
            </w:r>
            <w:r>
              <w:rPr>
                <w:rFonts w:hint="eastAsia" w:ascii="宋体" w:hAnsi="宋体" w:cs="宋体"/>
                <w:color w:val="000000"/>
                <w:sz w:val="18"/>
                <w:szCs w:val="18"/>
              </w:rPr>
              <w:br/>
              <w:t xml:space="preserve">18. </w:t>
            </w:r>
            <w:r>
              <w:rPr>
                <w:rFonts w:hint="eastAsia" w:ascii="宋体" w:hAnsi="宋体" w:cs="宋体"/>
                <w:color w:val="000000"/>
                <w:sz w:val="18"/>
                <w:szCs w:val="18"/>
              </w:rPr>
              <w:t xml:space="preserve">多目标识别功能检查：能同时探测并识别无人机的</w:t>
            </w:r>
            <w:r>
              <w:rPr>
                <w:rFonts w:hint="eastAsia" w:ascii="宋体" w:hAnsi="宋体" w:cs="宋体"/>
                <w:color w:val="000000"/>
                <w:sz w:val="18"/>
                <w:szCs w:val="18"/>
              </w:rPr>
              <w:t xml:space="preserve">数量应</w:t>
            </w:r>
            <w:r>
              <w:rPr>
                <w:rFonts w:hint="eastAsia" w:ascii="宋体" w:hAnsi="宋体" w:cs="宋体"/>
                <w:color w:val="000000"/>
                <w:sz w:val="18"/>
                <w:szCs w:val="18"/>
              </w:rPr>
              <w:t xml:space="preserve">≥</w:t>
            </w:r>
            <w:r>
              <w:rPr>
                <w:rFonts w:hint="eastAsia" w:ascii="宋体" w:hAnsi="宋体" w:cs="宋体"/>
                <w:color w:val="000000"/>
                <w:sz w:val="18"/>
                <w:szCs w:val="18"/>
              </w:rPr>
              <w:t xml:space="preserve">60</w:t>
            </w:r>
            <w:r>
              <w:rPr>
                <w:rFonts w:hint="eastAsia" w:ascii="宋体" w:hAnsi="宋体" w:cs="宋体"/>
                <w:color w:val="000000"/>
                <w:sz w:val="18"/>
                <w:szCs w:val="18"/>
              </w:rPr>
              <w:t xml:space="preserve">架。</w:t>
            </w:r>
            <w:r>
              <w:rPr>
                <w:rFonts w:hint="eastAsia" w:ascii="宋体" w:hAnsi="宋体" w:cs="宋体"/>
                <w:color w:val="000000"/>
                <w:sz w:val="18"/>
                <w:szCs w:val="18"/>
              </w:rPr>
              <w:br/>
              <w:t xml:space="preserve">19.</w:t>
            </w:r>
            <w:r>
              <w:rPr>
                <w:rFonts w:hint="eastAsia" w:ascii="宋体" w:hAnsi="宋体" w:cs="宋体"/>
                <w:color w:val="000000"/>
                <w:sz w:val="18"/>
                <w:szCs w:val="18"/>
              </w:rPr>
              <w:t xml:space="preserve">轨迹跟踪功能：能同时显示的无人机轨迹数量应≥</w:t>
            </w:r>
            <w:r>
              <w:rPr>
                <w:rFonts w:hint="eastAsia" w:ascii="宋体" w:hAnsi="宋体" w:cs="宋体"/>
                <w:color w:val="000000"/>
                <w:sz w:val="18"/>
                <w:szCs w:val="18"/>
              </w:rPr>
              <w:t xml:space="preserve">12</w:t>
            </w:r>
            <w:r>
              <w:rPr>
                <w:rFonts w:hint="eastAsia" w:ascii="宋体" w:hAnsi="宋体" w:cs="宋体"/>
                <w:color w:val="000000"/>
                <w:sz w:val="18"/>
                <w:szCs w:val="18"/>
              </w:rPr>
              <w:t xml:space="preserve">条；</w:t>
            </w:r>
            <w:r>
              <w:rPr>
                <w:rFonts w:hint="eastAsia" w:ascii="宋体" w:hAnsi="宋体" w:cs="宋体"/>
                <w:color w:val="000000"/>
                <w:sz w:val="18"/>
                <w:szCs w:val="18"/>
              </w:rPr>
              <w:t xml:space="preserve"> </w:t>
            </w:r>
            <w:r>
              <w:rPr>
                <w:rFonts w:hint="eastAsia" w:ascii="宋体" w:hAnsi="宋体" w:cs="宋体"/>
                <w:color w:val="000000"/>
                <w:sz w:val="18"/>
                <w:szCs w:val="18"/>
              </w:rPr>
              <w:t xml:space="preserve">能同时显示的遥控器（飞手）轨迹数量应≥</w:t>
            </w:r>
            <w:r>
              <w:rPr>
                <w:rFonts w:hint="eastAsia" w:ascii="宋体" w:hAnsi="宋体" w:cs="宋体"/>
                <w:color w:val="000000"/>
                <w:sz w:val="18"/>
                <w:szCs w:val="18"/>
              </w:rPr>
              <w:t xml:space="preserve">11</w:t>
            </w:r>
            <w:r>
              <w:rPr>
                <w:rFonts w:hint="eastAsia" w:ascii="宋体" w:hAnsi="宋体" w:cs="宋体"/>
                <w:color w:val="000000"/>
                <w:sz w:val="18"/>
                <w:szCs w:val="18"/>
              </w:rPr>
              <w:t xml:space="preserve">条。</w:t>
            </w:r>
            <w:r>
              <w:rPr>
                <w:rFonts w:hint="eastAsia" w:ascii="宋体" w:hAnsi="宋体" w:cs="宋体"/>
                <w:color w:val="000000"/>
                <w:sz w:val="18"/>
                <w:szCs w:val="18"/>
              </w:rPr>
              <w:br/>
              <w:t xml:space="preserve">20. </w:t>
            </w:r>
            <w:r>
              <w:rPr>
                <w:rFonts w:hint="eastAsia" w:ascii="宋体" w:hAnsi="宋体" w:cs="宋体"/>
                <w:color w:val="000000"/>
                <w:sz w:val="18"/>
                <w:szCs w:val="18"/>
              </w:rPr>
              <w:t xml:space="preserve">跳</w:t>
            </w:r>
            <w:r>
              <w:rPr>
                <w:rFonts w:hint="eastAsia" w:ascii="宋体" w:hAnsi="宋体" w:cs="宋体"/>
                <w:color w:val="000000"/>
                <w:sz w:val="18"/>
                <w:szCs w:val="18"/>
              </w:rPr>
              <w:t xml:space="preserve">频目标</w:t>
            </w:r>
            <w:r>
              <w:rPr>
                <w:rFonts w:hint="eastAsia" w:ascii="宋体" w:hAnsi="宋体" w:cs="宋体"/>
                <w:color w:val="000000"/>
                <w:sz w:val="18"/>
                <w:szCs w:val="18"/>
              </w:rPr>
              <w:t xml:space="preserve">跟踪功能：应能对跳频无人机进行跟踪定位。无人机切换工作频段后，样品应能识别为同一架无人机，并在电子地图上通过同一轨迹标识；能同时跟踪跳</w:t>
            </w:r>
            <w:r>
              <w:rPr>
                <w:rFonts w:hint="eastAsia" w:ascii="宋体" w:hAnsi="宋体" w:cs="宋体"/>
                <w:color w:val="000000"/>
                <w:sz w:val="18"/>
                <w:szCs w:val="18"/>
              </w:rPr>
              <w:t xml:space="preserve">频目标</w:t>
            </w:r>
            <w:r>
              <w:rPr>
                <w:rFonts w:hint="eastAsia" w:ascii="宋体" w:hAnsi="宋体" w:cs="宋体"/>
                <w:color w:val="000000"/>
                <w:sz w:val="18"/>
                <w:szCs w:val="18"/>
              </w:rPr>
              <w:t xml:space="preserve">的数量应≥</w:t>
            </w:r>
            <w:r>
              <w:rPr>
                <w:rFonts w:hint="eastAsia" w:ascii="宋体" w:hAnsi="宋体" w:cs="宋体"/>
                <w:color w:val="000000"/>
                <w:sz w:val="18"/>
                <w:szCs w:val="18"/>
              </w:rPr>
              <w:t xml:space="preserve">10</w:t>
            </w:r>
            <w:r>
              <w:rPr>
                <w:rFonts w:hint="eastAsia" w:ascii="宋体" w:hAnsi="宋体" w:cs="宋体"/>
                <w:color w:val="000000"/>
                <w:sz w:val="18"/>
                <w:szCs w:val="18"/>
              </w:rPr>
              <w:t xml:space="preserve">架。</w:t>
            </w:r>
            <w:r>
              <w:rPr>
                <w:rFonts w:hint="eastAsia" w:ascii="宋体" w:hAnsi="宋体" w:cs="宋体"/>
                <w:color w:val="000000"/>
                <w:sz w:val="18"/>
                <w:szCs w:val="18"/>
              </w:rPr>
              <w:br/>
              <w:t xml:space="preserve">21. </w:t>
            </w:r>
            <w:r>
              <w:rPr>
                <w:rFonts w:hint="eastAsia" w:ascii="宋体" w:hAnsi="宋体" w:cs="宋体"/>
                <w:color w:val="000000"/>
                <w:sz w:val="18"/>
                <w:szCs w:val="18"/>
              </w:rPr>
              <w:t xml:space="preserve">动态工作功能：能在移动状态下（且移动速度≥</w:t>
            </w:r>
            <w:r>
              <w:rPr>
                <w:rFonts w:hint="eastAsia" w:ascii="宋体" w:hAnsi="宋体" w:cs="宋体"/>
                <w:color w:val="000000"/>
                <w:sz w:val="18"/>
                <w:szCs w:val="18"/>
              </w:rPr>
              <w:t xml:space="preserve">60km/h</w:t>
            </w:r>
            <w:r>
              <w:rPr>
                <w:rFonts w:hint="eastAsia" w:ascii="宋体" w:hAnsi="宋体" w:cs="宋体"/>
                <w:color w:val="000000"/>
                <w:sz w:val="18"/>
                <w:szCs w:val="18"/>
              </w:rPr>
              <w:t xml:space="preserve">）向管控平台推送位置信息，并能在电子地图上实时刷新，刷新时间应≤</w:t>
            </w:r>
            <w:r>
              <w:rPr>
                <w:rFonts w:hint="eastAsia" w:ascii="宋体" w:hAnsi="宋体" w:cs="宋体"/>
                <w:color w:val="000000"/>
                <w:sz w:val="18"/>
                <w:szCs w:val="18"/>
              </w:rPr>
              <w:t xml:space="preserve">5s</w:t>
            </w:r>
            <w:r>
              <w:rPr>
                <w:rFonts w:hint="eastAsia" w:ascii="宋体" w:hAnsi="宋体" w:cs="宋体"/>
                <w:color w:val="000000"/>
                <w:sz w:val="18"/>
                <w:szCs w:val="18"/>
              </w:rPr>
              <w:t xml:space="preserve">。能在移动状态下（且移动速度≥</w:t>
            </w:r>
            <w:r>
              <w:rPr>
                <w:rFonts w:hint="eastAsia" w:ascii="宋体" w:hAnsi="宋体" w:cs="宋体"/>
                <w:color w:val="000000"/>
                <w:sz w:val="18"/>
                <w:szCs w:val="18"/>
              </w:rPr>
              <w:t xml:space="preserve">60km/h</w:t>
            </w:r>
            <w:r>
              <w:rPr>
                <w:rFonts w:hint="eastAsia" w:ascii="宋体" w:hAnsi="宋体" w:cs="宋体"/>
                <w:color w:val="000000"/>
                <w:sz w:val="18"/>
                <w:szCs w:val="18"/>
              </w:rPr>
              <w:t xml:space="preserve">）对无人机进行探测及定位。</w:t>
            </w:r>
            <w:r>
              <w:rPr>
                <w:rFonts w:hint="eastAsia" w:ascii="宋体" w:hAnsi="宋体" w:cs="宋体"/>
                <w:color w:val="000000"/>
                <w:sz w:val="18"/>
                <w:szCs w:val="18"/>
              </w:rPr>
              <w:br/>
              <w:t xml:space="preserve">22. </w:t>
            </w:r>
            <w:r>
              <w:rPr>
                <w:rFonts w:hint="eastAsia" w:ascii="宋体" w:hAnsi="宋体" w:cs="宋体"/>
                <w:color w:val="000000"/>
                <w:sz w:val="18"/>
                <w:szCs w:val="18"/>
              </w:rPr>
              <w:t xml:space="preserve">自</w:t>
            </w:r>
            <w:r>
              <w:rPr>
                <w:rFonts w:hint="eastAsia" w:ascii="宋体" w:hAnsi="宋体" w:cs="宋体"/>
                <w:color w:val="000000"/>
                <w:sz w:val="18"/>
                <w:szCs w:val="18"/>
              </w:rPr>
              <w:t xml:space="preserve">动指北：具有自动指北功能，能显示样品当前朝向的方位角度，且指</w:t>
            </w:r>
            <w:r>
              <w:rPr>
                <w:rFonts w:hint="eastAsia" w:ascii="宋体" w:hAnsi="宋体" w:cs="宋体"/>
                <w:color w:val="000000"/>
                <w:sz w:val="18"/>
                <w:szCs w:val="18"/>
              </w:rPr>
              <w:t xml:space="preserve">北角度</w:t>
            </w:r>
            <w:r>
              <w:rPr>
                <w:rFonts w:hint="eastAsia" w:ascii="宋体" w:hAnsi="宋体" w:cs="宋体"/>
                <w:color w:val="000000"/>
                <w:sz w:val="18"/>
                <w:szCs w:val="18"/>
              </w:rPr>
              <w:t xml:space="preserve">误差应≤</w:t>
            </w:r>
            <w:r>
              <w:rPr>
                <w:rFonts w:hint="eastAsia" w:ascii="宋体" w:hAnsi="宋体" w:cs="宋体"/>
                <w:color w:val="000000"/>
                <w:sz w:val="18"/>
                <w:szCs w:val="18"/>
              </w:rPr>
              <w:t xml:space="preserve">3</w:t>
            </w:r>
            <w:r>
              <w:rPr>
                <w:rFonts w:hint="eastAsia" w:ascii="宋体" w:hAnsi="宋体" w:cs="宋体"/>
                <w:color w:val="000000"/>
                <w:sz w:val="18"/>
                <w:szCs w:val="18"/>
              </w:rPr>
              <w:t xml:space="preserve">°。</w:t>
            </w:r>
            <w:r>
              <w:rPr>
                <w:rFonts w:hint="eastAsia" w:ascii="宋体" w:hAnsi="宋体" w:cs="宋体"/>
                <w:color w:val="000000"/>
                <w:sz w:val="18"/>
                <w:szCs w:val="18"/>
              </w:rPr>
              <w:br/>
              <w:t xml:space="preserve">23. </w:t>
            </w:r>
            <w:r>
              <w:rPr>
                <w:rFonts w:hint="eastAsia" w:ascii="宋体" w:hAnsi="宋体" w:cs="宋体"/>
                <w:color w:val="000000"/>
                <w:sz w:val="18"/>
                <w:szCs w:val="18"/>
              </w:rPr>
              <w:t xml:space="preserve">组网功能：与其他探测</w:t>
            </w:r>
            <w:r>
              <w:rPr>
                <w:rFonts w:hint="eastAsia" w:ascii="宋体" w:hAnsi="宋体" w:cs="宋体"/>
                <w:color w:val="000000"/>
                <w:sz w:val="18"/>
                <w:szCs w:val="18"/>
              </w:rPr>
              <w:t xml:space="preserve">系统</w:t>
            </w:r>
            <w:r>
              <w:rPr>
                <w:rFonts w:hint="eastAsia" w:ascii="宋体" w:hAnsi="宋体" w:cs="宋体"/>
                <w:color w:val="000000"/>
                <w:sz w:val="18"/>
                <w:szCs w:val="18"/>
              </w:rPr>
              <w:t xml:space="preserve">组网后可通过</w:t>
            </w:r>
            <w:r>
              <w:rPr>
                <w:rFonts w:hint="eastAsia" w:ascii="宋体" w:hAnsi="宋体" w:cs="宋体"/>
                <w:color w:val="000000"/>
                <w:sz w:val="18"/>
                <w:szCs w:val="18"/>
              </w:rPr>
              <w:t xml:space="preserve">AOA</w:t>
            </w:r>
            <w:r>
              <w:rPr>
                <w:rFonts w:hint="eastAsia" w:ascii="宋体" w:hAnsi="宋体" w:cs="宋体"/>
                <w:color w:val="000000"/>
                <w:sz w:val="18"/>
                <w:szCs w:val="18"/>
              </w:rPr>
              <w:t xml:space="preserve">或</w:t>
            </w:r>
            <w:r>
              <w:rPr>
                <w:rFonts w:hint="eastAsia" w:ascii="宋体" w:hAnsi="宋体" w:cs="宋体"/>
                <w:color w:val="000000"/>
                <w:sz w:val="18"/>
                <w:szCs w:val="18"/>
              </w:rPr>
              <w:t xml:space="preserve">TDOA</w:t>
            </w:r>
            <w:r>
              <w:rPr>
                <w:rFonts w:hint="eastAsia" w:ascii="宋体" w:hAnsi="宋体" w:cs="宋体"/>
                <w:color w:val="000000"/>
                <w:sz w:val="18"/>
                <w:szCs w:val="18"/>
              </w:rPr>
              <w:t xml:space="preserve">方式对无人机进行探测定位。</w:t>
            </w:r>
            <w:r>
              <w:rPr>
                <w:rFonts w:hint="eastAsia" w:ascii="宋体" w:hAnsi="宋体" w:cs="宋体"/>
                <w:color w:val="000000"/>
                <w:sz w:val="18"/>
                <w:szCs w:val="18"/>
              </w:rPr>
              <w:br/>
              <w:t xml:space="preserve">24. </w:t>
            </w:r>
            <w:r>
              <w:rPr>
                <w:rFonts w:hint="eastAsia" w:ascii="宋体" w:hAnsi="宋体" w:cs="宋体"/>
                <w:color w:val="000000"/>
                <w:sz w:val="18"/>
                <w:szCs w:val="18"/>
              </w:rPr>
              <w:t xml:space="preserve">记录存储时间：能存储系统日志的时间应≥</w:t>
            </w:r>
            <w:r>
              <w:rPr>
                <w:rFonts w:hint="eastAsia" w:ascii="宋体" w:hAnsi="宋体" w:cs="宋体"/>
                <w:color w:val="000000"/>
                <w:sz w:val="18"/>
                <w:szCs w:val="18"/>
              </w:rPr>
              <w:t xml:space="preserve">365</w:t>
            </w:r>
            <w:r>
              <w:rPr>
                <w:rFonts w:hint="eastAsia" w:ascii="宋体" w:hAnsi="宋体" w:cs="宋体"/>
                <w:color w:val="000000"/>
                <w:sz w:val="18"/>
                <w:szCs w:val="18"/>
              </w:rPr>
              <w:t xml:space="preserve">天。</w:t>
            </w:r>
            <w:r>
              <w:rPr>
                <w:rFonts w:hint="eastAsia" w:ascii="宋体" w:hAnsi="宋体" w:cs="宋体"/>
                <w:color w:val="000000"/>
                <w:sz w:val="18"/>
                <w:szCs w:val="18"/>
              </w:rPr>
              <w:br/>
            </w:r>
            <w:r>
              <w:rPr>
                <w:rFonts w:hint="eastAsia" w:ascii="宋体" w:hAnsi="宋体" w:cs="宋体"/>
                <w:color w:val="000000"/>
                <w:sz w:val="18"/>
                <w:szCs w:val="18"/>
              </w:rPr>
              <w:t xml:space="preserve">干扰功能：</w:t>
            </w:r>
            <w:r>
              <w:rPr>
                <w:rFonts w:hint="eastAsia" w:ascii="宋体" w:hAnsi="宋体" w:cs="宋体"/>
                <w:color w:val="000000"/>
                <w:sz w:val="18"/>
                <w:szCs w:val="18"/>
              </w:rPr>
              <w:br/>
              <w:t xml:space="preserve">25.</w:t>
            </w:r>
            <w:r>
              <w:rPr>
                <w:rFonts w:hint="eastAsia" w:ascii="宋体" w:hAnsi="宋体" w:cs="宋体"/>
                <w:color w:val="000000"/>
                <w:sz w:val="18"/>
                <w:szCs w:val="18"/>
              </w:rPr>
              <w:t xml:space="preserve">精准打击功能：应能对指定无人机进行精准打击，使指定无人机返航，且应不影响干扰范围内同一型号、同一工作频段、同一方位其他无人机的正常飞行。</w:t>
            </w:r>
            <w:r>
              <w:rPr>
                <w:rFonts w:hint="eastAsia" w:ascii="宋体" w:hAnsi="宋体" w:cs="宋体"/>
                <w:color w:val="000000"/>
                <w:sz w:val="18"/>
                <w:szCs w:val="18"/>
              </w:rPr>
              <w:br/>
              <w:t xml:space="preserve">26.</w:t>
            </w:r>
            <w:r>
              <w:rPr>
                <w:rFonts w:hint="eastAsia" w:ascii="宋体" w:hAnsi="宋体" w:cs="宋体"/>
                <w:color w:val="000000"/>
                <w:sz w:val="18"/>
                <w:szCs w:val="18"/>
              </w:rPr>
              <w:t xml:space="preserve">发射频段</w:t>
            </w:r>
            <w:r>
              <w:rPr>
                <w:rFonts w:hint="eastAsia" w:ascii="宋体" w:hAnsi="宋体" w:cs="宋体"/>
                <w:color w:val="000000"/>
                <w:sz w:val="18"/>
                <w:szCs w:val="18"/>
              </w:rPr>
              <w:t xml:space="preserve"> </w:t>
            </w:r>
            <w:r>
              <w:rPr>
                <w:rFonts w:hint="eastAsia" w:ascii="宋体" w:hAnsi="宋体" w:cs="宋体"/>
                <w:color w:val="000000"/>
                <w:sz w:val="18"/>
                <w:szCs w:val="18"/>
              </w:rPr>
              <w:t xml:space="preserve">各信道的发射频段</w:t>
            </w:r>
            <w:r>
              <w:rPr>
                <w:rFonts w:hint="eastAsia" w:ascii="宋体" w:hAnsi="宋体" w:cs="宋体"/>
                <w:color w:val="000000"/>
                <w:sz w:val="18"/>
                <w:szCs w:val="18"/>
              </w:rPr>
              <w:br/>
            </w:r>
            <w:r>
              <w:rPr>
                <w:rFonts w:hint="eastAsia" w:ascii="宋体" w:hAnsi="宋体" w:cs="宋体"/>
                <w:color w:val="000000"/>
                <w:sz w:val="18"/>
                <w:szCs w:val="18"/>
              </w:rPr>
              <w:t xml:space="preserve">第</w:t>
            </w:r>
            <w:r>
              <w:rPr>
                <w:rFonts w:hint="eastAsia" w:ascii="宋体" w:hAnsi="宋体" w:cs="宋体"/>
                <w:color w:val="000000"/>
                <w:sz w:val="18"/>
                <w:szCs w:val="18"/>
              </w:rPr>
              <w:t xml:space="preserve">1</w:t>
            </w:r>
            <w:r>
              <w:rPr>
                <w:rFonts w:hint="eastAsia" w:ascii="宋体" w:hAnsi="宋体" w:cs="宋体"/>
                <w:color w:val="000000"/>
                <w:sz w:val="18"/>
                <w:szCs w:val="18"/>
              </w:rPr>
              <w:t xml:space="preserve">信道：（</w:t>
            </w:r>
            <w:r>
              <w:rPr>
                <w:rFonts w:hint="eastAsia" w:ascii="宋体" w:hAnsi="宋体" w:cs="宋体"/>
                <w:color w:val="000000"/>
                <w:sz w:val="18"/>
                <w:szCs w:val="18"/>
              </w:rPr>
              <w:t xml:space="preserve">840</w:t>
            </w:r>
            <w:r>
              <w:rPr>
                <w:rFonts w:hint="eastAsia" w:ascii="宋体" w:hAnsi="宋体" w:cs="宋体"/>
                <w:color w:val="000000"/>
                <w:sz w:val="18"/>
                <w:szCs w:val="18"/>
              </w:rPr>
              <w:t xml:space="preserve">±</w:t>
            </w:r>
            <w:r>
              <w:rPr>
                <w:rFonts w:hint="eastAsia" w:ascii="宋体" w:hAnsi="宋体" w:cs="宋体"/>
                <w:color w:val="000000"/>
                <w:sz w:val="18"/>
                <w:szCs w:val="18"/>
              </w:rPr>
              <w:t xml:space="preserve">10</w:t>
            </w:r>
            <w:r>
              <w:rPr>
                <w:rFonts w:hint="eastAsia" w:ascii="宋体" w:hAnsi="宋体" w:cs="宋体"/>
                <w:color w:val="000000"/>
                <w:sz w:val="18"/>
                <w:szCs w:val="18"/>
              </w:rPr>
              <w:t xml:space="preserve">）</w:t>
            </w:r>
            <w:r>
              <w:rPr>
                <w:rFonts w:hint="eastAsia" w:ascii="宋体" w:hAnsi="宋体" w:cs="宋体"/>
                <w:color w:val="000000"/>
                <w:sz w:val="18"/>
                <w:szCs w:val="18"/>
              </w:rPr>
              <w:t xml:space="preserve">MHz</w:t>
            </w:r>
            <w:r>
              <w:rPr>
                <w:rFonts w:hint="eastAsia" w:ascii="宋体" w:hAnsi="宋体" w:cs="宋体"/>
                <w:color w:val="000000"/>
                <w:sz w:val="18"/>
                <w:szCs w:val="18"/>
              </w:rPr>
              <w:t xml:space="preserve">～（</w:t>
            </w:r>
            <w:r>
              <w:rPr>
                <w:rFonts w:hint="eastAsia" w:ascii="宋体" w:hAnsi="宋体" w:cs="宋体"/>
                <w:color w:val="000000"/>
                <w:sz w:val="18"/>
                <w:szCs w:val="18"/>
              </w:rPr>
              <w:t xml:space="preserve">930</w:t>
            </w:r>
            <w:r>
              <w:rPr>
                <w:rFonts w:hint="eastAsia" w:ascii="宋体" w:hAnsi="宋体" w:cs="宋体"/>
                <w:color w:val="000000"/>
                <w:sz w:val="18"/>
                <w:szCs w:val="18"/>
              </w:rPr>
              <w:t xml:space="preserve">±</w:t>
            </w:r>
            <w:r>
              <w:rPr>
                <w:rFonts w:hint="eastAsia" w:ascii="宋体" w:hAnsi="宋体" w:cs="宋体"/>
                <w:color w:val="000000"/>
                <w:sz w:val="18"/>
                <w:szCs w:val="18"/>
              </w:rPr>
              <w:t xml:space="preserve">10</w:t>
            </w:r>
            <w:r>
              <w:rPr>
                <w:rFonts w:hint="eastAsia" w:ascii="宋体" w:hAnsi="宋体" w:cs="宋体"/>
                <w:color w:val="000000"/>
                <w:sz w:val="18"/>
                <w:szCs w:val="18"/>
              </w:rPr>
              <w:t xml:space="preserve">）</w:t>
            </w:r>
            <w:r>
              <w:rPr>
                <w:rFonts w:hint="eastAsia" w:ascii="宋体" w:hAnsi="宋体" w:cs="宋体"/>
                <w:color w:val="000000"/>
                <w:sz w:val="18"/>
                <w:szCs w:val="18"/>
              </w:rPr>
              <w:t xml:space="preserve">MHz</w:t>
            </w:r>
            <w:r>
              <w:rPr>
                <w:rFonts w:hint="eastAsia" w:ascii="宋体" w:hAnsi="宋体" w:cs="宋体"/>
                <w:color w:val="000000"/>
                <w:sz w:val="18"/>
                <w:szCs w:val="18"/>
              </w:rPr>
              <w:t xml:space="preserve">；</w:t>
            </w:r>
            <w:r>
              <w:rPr>
                <w:rFonts w:hint="eastAsia" w:ascii="宋体" w:hAnsi="宋体" w:cs="宋体"/>
                <w:color w:val="000000"/>
                <w:sz w:val="18"/>
                <w:szCs w:val="18"/>
              </w:rPr>
              <w:br/>
            </w:r>
            <w:r>
              <w:rPr>
                <w:rFonts w:hint="eastAsia" w:ascii="宋体" w:hAnsi="宋体" w:cs="宋体"/>
                <w:color w:val="000000"/>
                <w:sz w:val="18"/>
                <w:szCs w:val="18"/>
              </w:rPr>
              <w:t xml:space="preserve">第</w:t>
            </w:r>
            <w:r>
              <w:rPr>
                <w:rFonts w:hint="eastAsia" w:ascii="宋体" w:hAnsi="宋体" w:cs="宋体"/>
                <w:color w:val="000000"/>
                <w:sz w:val="18"/>
                <w:szCs w:val="18"/>
              </w:rPr>
              <w:t xml:space="preserve">2</w:t>
            </w:r>
            <w:r>
              <w:rPr>
                <w:rFonts w:hint="eastAsia" w:ascii="宋体" w:hAnsi="宋体" w:cs="宋体"/>
                <w:color w:val="000000"/>
                <w:sz w:val="18"/>
                <w:szCs w:val="18"/>
              </w:rPr>
              <w:t xml:space="preserve">信道：（</w:t>
            </w:r>
            <w:r>
              <w:rPr>
                <w:rFonts w:hint="eastAsia" w:ascii="宋体" w:hAnsi="宋体" w:cs="宋体"/>
                <w:color w:val="000000"/>
                <w:sz w:val="18"/>
                <w:szCs w:val="18"/>
              </w:rPr>
              <w:t xml:space="preserve">1535</w:t>
            </w:r>
            <w:r>
              <w:rPr>
                <w:rFonts w:hint="eastAsia" w:ascii="宋体" w:hAnsi="宋体" w:cs="宋体"/>
                <w:color w:val="000000"/>
                <w:sz w:val="18"/>
                <w:szCs w:val="18"/>
              </w:rPr>
              <w:t xml:space="preserve">±</w:t>
            </w:r>
            <w:r>
              <w:rPr>
                <w:rFonts w:hint="eastAsia" w:ascii="宋体" w:hAnsi="宋体" w:cs="宋体"/>
                <w:color w:val="000000"/>
                <w:sz w:val="18"/>
                <w:szCs w:val="18"/>
              </w:rPr>
              <w:t xml:space="preserve">10</w:t>
            </w:r>
            <w:r>
              <w:rPr>
                <w:rFonts w:hint="eastAsia" w:ascii="宋体" w:hAnsi="宋体" w:cs="宋体"/>
                <w:color w:val="000000"/>
                <w:sz w:val="18"/>
                <w:szCs w:val="18"/>
              </w:rPr>
              <w:t xml:space="preserve">）</w:t>
            </w:r>
            <w:r>
              <w:rPr>
                <w:rFonts w:hint="eastAsia" w:ascii="宋体" w:hAnsi="宋体" w:cs="宋体"/>
                <w:color w:val="000000"/>
                <w:sz w:val="18"/>
                <w:szCs w:val="18"/>
              </w:rPr>
              <w:t xml:space="preserve">MHz</w:t>
            </w:r>
            <w:r>
              <w:rPr>
                <w:rFonts w:hint="eastAsia" w:ascii="宋体" w:hAnsi="宋体" w:cs="宋体"/>
                <w:color w:val="000000"/>
                <w:sz w:val="18"/>
                <w:szCs w:val="18"/>
              </w:rPr>
              <w:t xml:space="preserve">～（</w:t>
            </w:r>
            <w:r>
              <w:rPr>
                <w:rFonts w:hint="eastAsia" w:ascii="宋体" w:hAnsi="宋体" w:cs="宋体"/>
                <w:color w:val="000000"/>
                <w:sz w:val="18"/>
                <w:szCs w:val="18"/>
              </w:rPr>
              <w:t xml:space="preserve">1635</w:t>
            </w:r>
            <w:r>
              <w:rPr>
                <w:rFonts w:hint="eastAsia" w:ascii="宋体" w:hAnsi="宋体" w:cs="宋体"/>
                <w:color w:val="000000"/>
                <w:sz w:val="18"/>
                <w:szCs w:val="18"/>
              </w:rPr>
              <w:t xml:space="preserve">±</w:t>
            </w:r>
            <w:r>
              <w:rPr>
                <w:rFonts w:hint="eastAsia" w:ascii="宋体" w:hAnsi="宋体" w:cs="宋体"/>
                <w:color w:val="000000"/>
                <w:sz w:val="18"/>
                <w:szCs w:val="18"/>
              </w:rPr>
              <w:t xml:space="preserve">10</w:t>
            </w:r>
            <w:r>
              <w:rPr>
                <w:rFonts w:hint="eastAsia" w:ascii="宋体" w:hAnsi="宋体" w:cs="宋体"/>
                <w:color w:val="000000"/>
                <w:sz w:val="18"/>
                <w:szCs w:val="18"/>
              </w:rPr>
              <w:t xml:space="preserve">）</w:t>
            </w:r>
            <w:r>
              <w:rPr>
                <w:rFonts w:hint="eastAsia" w:ascii="宋体" w:hAnsi="宋体" w:cs="宋体"/>
                <w:color w:val="000000"/>
                <w:sz w:val="18"/>
                <w:szCs w:val="18"/>
              </w:rPr>
              <w:t xml:space="preserve">MHz</w:t>
            </w:r>
            <w:r>
              <w:rPr>
                <w:rFonts w:hint="eastAsia" w:ascii="宋体" w:hAnsi="宋体" w:cs="宋体"/>
                <w:color w:val="000000"/>
                <w:sz w:val="18"/>
                <w:szCs w:val="18"/>
              </w:rPr>
              <w:t xml:space="preserve">；</w:t>
            </w:r>
            <w:r>
              <w:rPr>
                <w:rFonts w:hint="eastAsia" w:ascii="宋体" w:hAnsi="宋体" w:cs="宋体"/>
                <w:color w:val="000000"/>
                <w:sz w:val="18"/>
                <w:szCs w:val="18"/>
              </w:rPr>
              <w:br/>
            </w:r>
            <w:r>
              <w:rPr>
                <w:rFonts w:hint="eastAsia" w:ascii="宋体" w:hAnsi="宋体" w:cs="宋体"/>
                <w:color w:val="000000"/>
                <w:sz w:val="18"/>
                <w:szCs w:val="18"/>
              </w:rPr>
              <w:t xml:space="preserve">第</w:t>
            </w:r>
            <w:r>
              <w:rPr>
                <w:rFonts w:hint="eastAsia" w:ascii="宋体" w:hAnsi="宋体" w:cs="宋体"/>
                <w:color w:val="000000"/>
                <w:sz w:val="18"/>
                <w:szCs w:val="18"/>
              </w:rPr>
              <w:t xml:space="preserve">3</w:t>
            </w:r>
            <w:r>
              <w:rPr>
                <w:rFonts w:hint="eastAsia" w:ascii="宋体" w:hAnsi="宋体" w:cs="宋体"/>
                <w:color w:val="000000"/>
                <w:sz w:val="18"/>
                <w:szCs w:val="18"/>
              </w:rPr>
              <w:t xml:space="preserve">信道：（</w:t>
            </w:r>
            <w:r>
              <w:rPr>
                <w:rFonts w:hint="eastAsia" w:ascii="宋体" w:hAnsi="宋体" w:cs="宋体"/>
                <w:color w:val="000000"/>
                <w:sz w:val="18"/>
                <w:szCs w:val="18"/>
              </w:rPr>
              <w:t xml:space="preserve">2380</w:t>
            </w:r>
            <w:r>
              <w:rPr>
                <w:rFonts w:hint="eastAsia" w:ascii="宋体" w:hAnsi="宋体" w:cs="宋体"/>
                <w:color w:val="000000"/>
                <w:sz w:val="18"/>
                <w:szCs w:val="18"/>
              </w:rPr>
              <w:t xml:space="preserve">±</w:t>
            </w:r>
            <w:r>
              <w:rPr>
                <w:rFonts w:hint="eastAsia" w:ascii="宋体" w:hAnsi="宋体" w:cs="宋体"/>
                <w:color w:val="000000"/>
                <w:sz w:val="18"/>
                <w:szCs w:val="18"/>
              </w:rPr>
              <w:t xml:space="preserve">10</w:t>
            </w:r>
            <w:r>
              <w:rPr>
                <w:rFonts w:hint="eastAsia" w:ascii="宋体" w:hAnsi="宋体" w:cs="宋体"/>
                <w:color w:val="000000"/>
                <w:sz w:val="18"/>
                <w:szCs w:val="18"/>
              </w:rPr>
              <w:t xml:space="preserve">）</w:t>
            </w:r>
            <w:r>
              <w:rPr>
                <w:rFonts w:hint="eastAsia" w:ascii="宋体" w:hAnsi="宋体" w:cs="宋体"/>
                <w:color w:val="000000"/>
                <w:sz w:val="18"/>
                <w:szCs w:val="18"/>
              </w:rPr>
              <w:t xml:space="preserve">MHz</w:t>
            </w:r>
            <w:r>
              <w:rPr>
                <w:rFonts w:hint="eastAsia" w:ascii="宋体" w:hAnsi="宋体" w:cs="宋体"/>
                <w:color w:val="000000"/>
                <w:sz w:val="18"/>
                <w:szCs w:val="18"/>
              </w:rPr>
              <w:t xml:space="preserve">～（</w:t>
            </w:r>
            <w:r>
              <w:rPr>
                <w:rFonts w:hint="eastAsia" w:ascii="宋体" w:hAnsi="宋体" w:cs="宋体"/>
                <w:color w:val="000000"/>
                <w:sz w:val="18"/>
                <w:szCs w:val="18"/>
              </w:rPr>
              <w:t xml:space="preserve">2520</w:t>
            </w:r>
            <w:r>
              <w:rPr>
                <w:rFonts w:hint="eastAsia" w:ascii="宋体" w:hAnsi="宋体" w:cs="宋体"/>
                <w:color w:val="000000"/>
                <w:sz w:val="18"/>
                <w:szCs w:val="18"/>
              </w:rPr>
              <w:t xml:space="preserve">±</w:t>
            </w:r>
            <w:r>
              <w:rPr>
                <w:rFonts w:hint="eastAsia" w:ascii="宋体" w:hAnsi="宋体" w:cs="宋体"/>
                <w:color w:val="000000"/>
                <w:sz w:val="18"/>
                <w:szCs w:val="18"/>
              </w:rPr>
              <w:t xml:space="preserve">10</w:t>
            </w:r>
            <w:r>
              <w:rPr>
                <w:rFonts w:hint="eastAsia" w:ascii="宋体" w:hAnsi="宋体" w:cs="宋体"/>
                <w:color w:val="000000"/>
                <w:sz w:val="18"/>
                <w:szCs w:val="18"/>
              </w:rPr>
              <w:t xml:space="preserve">）</w:t>
            </w:r>
            <w:r>
              <w:rPr>
                <w:rFonts w:hint="eastAsia" w:ascii="宋体" w:hAnsi="宋体" w:cs="宋体"/>
                <w:color w:val="000000"/>
                <w:sz w:val="18"/>
                <w:szCs w:val="18"/>
              </w:rPr>
              <w:t xml:space="preserve">MHz</w:t>
            </w:r>
            <w:r>
              <w:rPr>
                <w:rFonts w:hint="eastAsia" w:ascii="宋体" w:hAnsi="宋体" w:cs="宋体"/>
                <w:color w:val="000000"/>
                <w:sz w:val="18"/>
                <w:szCs w:val="18"/>
              </w:rPr>
              <w:t xml:space="preserve">；</w:t>
            </w:r>
            <w:r>
              <w:rPr>
                <w:rFonts w:hint="eastAsia" w:ascii="宋体" w:hAnsi="宋体" w:cs="宋体"/>
                <w:color w:val="000000"/>
                <w:sz w:val="18"/>
                <w:szCs w:val="18"/>
              </w:rPr>
              <w:br/>
            </w:r>
            <w:r>
              <w:rPr>
                <w:rFonts w:hint="eastAsia" w:ascii="宋体" w:hAnsi="宋体" w:cs="宋体"/>
                <w:color w:val="000000"/>
                <w:sz w:val="18"/>
                <w:szCs w:val="18"/>
              </w:rPr>
              <w:t xml:space="preserve">第</w:t>
            </w:r>
            <w:r>
              <w:rPr>
                <w:rFonts w:hint="eastAsia" w:ascii="宋体" w:hAnsi="宋体" w:cs="宋体"/>
                <w:color w:val="000000"/>
                <w:sz w:val="18"/>
                <w:szCs w:val="18"/>
              </w:rPr>
              <w:t xml:space="preserve">4</w:t>
            </w:r>
            <w:r>
              <w:rPr>
                <w:rFonts w:hint="eastAsia" w:ascii="宋体" w:hAnsi="宋体" w:cs="宋体"/>
                <w:color w:val="000000"/>
                <w:sz w:val="18"/>
                <w:szCs w:val="18"/>
              </w:rPr>
              <w:t xml:space="preserve">信道：（</w:t>
            </w:r>
            <w:r>
              <w:rPr>
                <w:rFonts w:hint="eastAsia" w:ascii="宋体" w:hAnsi="宋体" w:cs="宋体"/>
                <w:color w:val="000000"/>
                <w:sz w:val="18"/>
                <w:szCs w:val="18"/>
              </w:rPr>
              <w:t xml:space="preserve">5130</w:t>
            </w:r>
            <w:r>
              <w:rPr>
                <w:rFonts w:hint="eastAsia" w:ascii="宋体" w:hAnsi="宋体" w:cs="宋体"/>
                <w:color w:val="000000"/>
                <w:sz w:val="18"/>
                <w:szCs w:val="18"/>
              </w:rPr>
              <w:t xml:space="preserve">±</w:t>
            </w:r>
            <w:r>
              <w:rPr>
                <w:rFonts w:hint="eastAsia" w:ascii="宋体" w:hAnsi="宋体" w:cs="宋体"/>
                <w:color w:val="000000"/>
                <w:sz w:val="18"/>
                <w:szCs w:val="18"/>
              </w:rPr>
              <w:t xml:space="preserve">10</w:t>
            </w:r>
            <w:r>
              <w:rPr>
                <w:rFonts w:hint="eastAsia" w:ascii="宋体" w:hAnsi="宋体" w:cs="宋体"/>
                <w:color w:val="000000"/>
                <w:sz w:val="18"/>
                <w:szCs w:val="18"/>
              </w:rPr>
              <w:t xml:space="preserve">）</w:t>
            </w:r>
            <w:r>
              <w:rPr>
                <w:rFonts w:hint="eastAsia" w:ascii="宋体" w:hAnsi="宋体" w:cs="宋体"/>
                <w:color w:val="000000"/>
                <w:sz w:val="18"/>
                <w:szCs w:val="18"/>
              </w:rPr>
              <w:t xml:space="preserve">MHz</w:t>
            </w:r>
            <w:r>
              <w:rPr>
                <w:rFonts w:hint="eastAsia" w:ascii="宋体" w:hAnsi="宋体" w:cs="宋体"/>
                <w:color w:val="000000"/>
                <w:sz w:val="18"/>
                <w:szCs w:val="18"/>
              </w:rPr>
              <w:t xml:space="preserve">～（</w:t>
            </w:r>
            <w:r>
              <w:rPr>
                <w:rFonts w:hint="eastAsia" w:ascii="宋体" w:hAnsi="宋体" w:cs="宋体"/>
                <w:color w:val="000000"/>
                <w:sz w:val="18"/>
                <w:szCs w:val="18"/>
              </w:rPr>
              <w:t xml:space="preserve">5370</w:t>
            </w:r>
            <w:r>
              <w:rPr>
                <w:rFonts w:hint="eastAsia" w:ascii="宋体" w:hAnsi="宋体" w:cs="宋体"/>
                <w:color w:val="000000"/>
                <w:sz w:val="18"/>
                <w:szCs w:val="18"/>
              </w:rPr>
              <w:t xml:space="preserve">±</w:t>
            </w:r>
            <w:r>
              <w:rPr>
                <w:rFonts w:hint="eastAsia" w:ascii="宋体" w:hAnsi="宋体" w:cs="宋体"/>
                <w:color w:val="000000"/>
                <w:sz w:val="18"/>
                <w:szCs w:val="18"/>
              </w:rPr>
              <w:t xml:space="preserve">10</w:t>
            </w:r>
            <w:r>
              <w:rPr>
                <w:rFonts w:hint="eastAsia" w:ascii="宋体" w:hAnsi="宋体" w:cs="宋体"/>
                <w:color w:val="000000"/>
                <w:sz w:val="18"/>
                <w:szCs w:val="18"/>
              </w:rPr>
              <w:t xml:space="preserve">）</w:t>
            </w:r>
            <w:r>
              <w:rPr>
                <w:rFonts w:hint="eastAsia" w:ascii="宋体" w:hAnsi="宋体" w:cs="宋体"/>
                <w:color w:val="000000"/>
                <w:sz w:val="18"/>
                <w:szCs w:val="18"/>
              </w:rPr>
              <w:t xml:space="preserve">MHz</w:t>
            </w:r>
            <w:r>
              <w:rPr>
                <w:rFonts w:hint="eastAsia" w:ascii="宋体" w:hAnsi="宋体" w:cs="宋体"/>
                <w:color w:val="000000"/>
                <w:sz w:val="18"/>
                <w:szCs w:val="18"/>
              </w:rPr>
              <w:t xml:space="preserve">；</w:t>
            </w:r>
            <w:r>
              <w:rPr>
                <w:rFonts w:hint="eastAsia" w:ascii="宋体" w:hAnsi="宋体" w:cs="宋体"/>
                <w:color w:val="000000"/>
                <w:sz w:val="18"/>
                <w:szCs w:val="18"/>
              </w:rPr>
              <w:br/>
            </w:r>
            <w:r>
              <w:rPr>
                <w:rFonts w:hint="eastAsia" w:ascii="宋体" w:hAnsi="宋体" w:cs="宋体"/>
                <w:color w:val="000000"/>
                <w:sz w:val="18"/>
                <w:szCs w:val="18"/>
              </w:rPr>
              <w:t xml:space="preserve">第</w:t>
            </w:r>
            <w:r>
              <w:rPr>
                <w:rFonts w:hint="eastAsia" w:ascii="宋体" w:hAnsi="宋体" w:cs="宋体"/>
                <w:color w:val="000000"/>
                <w:sz w:val="18"/>
                <w:szCs w:val="18"/>
              </w:rPr>
              <w:t xml:space="preserve">5</w:t>
            </w:r>
            <w:r>
              <w:rPr>
                <w:rFonts w:hint="eastAsia" w:ascii="宋体" w:hAnsi="宋体" w:cs="宋体"/>
                <w:color w:val="000000"/>
                <w:sz w:val="18"/>
                <w:szCs w:val="18"/>
              </w:rPr>
              <w:t xml:space="preserve">信道：（</w:t>
            </w:r>
            <w:r>
              <w:rPr>
                <w:rFonts w:hint="eastAsia" w:ascii="宋体" w:hAnsi="宋体" w:cs="宋体"/>
                <w:color w:val="000000"/>
                <w:sz w:val="18"/>
                <w:szCs w:val="18"/>
              </w:rPr>
              <w:t xml:space="preserve">5725</w:t>
            </w:r>
            <w:r>
              <w:rPr>
                <w:rFonts w:hint="eastAsia" w:ascii="宋体" w:hAnsi="宋体" w:cs="宋体"/>
                <w:color w:val="000000"/>
                <w:sz w:val="18"/>
                <w:szCs w:val="18"/>
              </w:rPr>
              <w:t xml:space="preserve">±</w:t>
            </w:r>
            <w:r>
              <w:rPr>
                <w:rFonts w:hint="eastAsia" w:ascii="宋体" w:hAnsi="宋体" w:cs="宋体"/>
                <w:color w:val="000000"/>
                <w:sz w:val="18"/>
                <w:szCs w:val="18"/>
              </w:rPr>
              <w:t xml:space="preserve">10</w:t>
            </w:r>
            <w:r>
              <w:rPr>
                <w:rFonts w:hint="eastAsia" w:ascii="宋体" w:hAnsi="宋体" w:cs="宋体"/>
                <w:color w:val="000000"/>
                <w:sz w:val="18"/>
                <w:szCs w:val="18"/>
              </w:rPr>
              <w:t xml:space="preserve">）</w:t>
            </w:r>
            <w:r>
              <w:rPr>
                <w:rFonts w:hint="eastAsia" w:ascii="宋体" w:hAnsi="宋体" w:cs="宋体"/>
                <w:color w:val="000000"/>
                <w:sz w:val="18"/>
                <w:szCs w:val="18"/>
              </w:rPr>
              <w:t xml:space="preserve">MHz</w:t>
            </w:r>
            <w:r>
              <w:rPr>
                <w:rFonts w:hint="eastAsia" w:ascii="宋体" w:hAnsi="宋体" w:cs="宋体"/>
                <w:color w:val="000000"/>
                <w:sz w:val="18"/>
                <w:szCs w:val="18"/>
              </w:rPr>
              <w:t xml:space="preserve">～（</w:t>
            </w:r>
            <w:r>
              <w:rPr>
                <w:rFonts w:hint="eastAsia" w:ascii="宋体" w:hAnsi="宋体" w:cs="宋体"/>
                <w:color w:val="000000"/>
                <w:sz w:val="18"/>
                <w:szCs w:val="18"/>
              </w:rPr>
              <w:t xml:space="preserve">5885</w:t>
            </w:r>
            <w:r>
              <w:rPr>
                <w:rFonts w:hint="eastAsia" w:ascii="宋体" w:hAnsi="宋体" w:cs="宋体"/>
                <w:color w:val="000000"/>
                <w:sz w:val="18"/>
                <w:szCs w:val="18"/>
              </w:rPr>
              <w:t xml:space="preserve">±</w:t>
            </w:r>
            <w:r>
              <w:rPr>
                <w:rFonts w:hint="eastAsia" w:ascii="宋体" w:hAnsi="宋体" w:cs="宋体"/>
                <w:color w:val="000000"/>
                <w:sz w:val="18"/>
                <w:szCs w:val="18"/>
              </w:rPr>
              <w:t xml:space="preserve">10</w:t>
            </w:r>
            <w:r>
              <w:rPr>
                <w:rFonts w:hint="eastAsia" w:ascii="宋体" w:hAnsi="宋体" w:cs="宋体"/>
                <w:color w:val="000000"/>
                <w:sz w:val="18"/>
                <w:szCs w:val="18"/>
              </w:rPr>
              <w:t xml:space="preserve">）</w:t>
            </w:r>
            <w:r>
              <w:rPr>
                <w:rFonts w:hint="eastAsia" w:ascii="宋体" w:hAnsi="宋体" w:cs="宋体"/>
                <w:color w:val="000000"/>
                <w:sz w:val="18"/>
                <w:szCs w:val="18"/>
              </w:rPr>
              <w:t xml:space="preserve">MHz</w:t>
            </w:r>
            <w:r>
              <w:rPr>
                <w:rFonts w:hint="eastAsia" w:ascii="宋体" w:hAnsi="宋体" w:cs="宋体"/>
                <w:color w:val="000000"/>
                <w:sz w:val="18"/>
                <w:szCs w:val="18"/>
              </w:rPr>
              <w:t xml:space="preserve">。</w:t>
            </w:r>
            <w:r>
              <w:rPr>
                <w:rFonts w:hint="eastAsia" w:ascii="宋体" w:hAnsi="宋体" w:cs="宋体"/>
                <w:color w:val="000000"/>
                <w:sz w:val="18"/>
                <w:szCs w:val="18"/>
              </w:rPr>
              <w:br/>
              <w:t xml:space="preserve">27. </w:t>
            </w:r>
            <w:r>
              <w:rPr>
                <w:rFonts w:hint="eastAsia" w:ascii="宋体" w:hAnsi="宋体" w:cs="宋体"/>
                <w:color w:val="000000"/>
                <w:sz w:val="18"/>
                <w:szCs w:val="18"/>
              </w:rPr>
              <w:t xml:space="preserve">发射功率：</w:t>
            </w:r>
            <w:r>
              <w:rPr>
                <w:rFonts w:hint="eastAsia" w:ascii="宋体" w:hAnsi="宋体" w:cs="宋体"/>
                <w:color w:val="000000"/>
                <w:sz w:val="18"/>
                <w:szCs w:val="18"/>
              </w:rPr>
              <w:br/>
            </w:r>
            <w:r>
              <w:rPr>
                <w:rFonts w:hint="eastAsia" w:ascii="宋体" w:hAnsi="宋体" w:cs="宋体"/>
                <w:color w:val="000000"/>
                <w:sz w:val="18"/>
                <w:szCs w:val="18"/>
              </w:rPr>
              <w:t xml:space="preserve">第</w:t>
            </w:r>
            <w:r>
              <w:rPr>
                <w:rFonts w:hint="eastAsia" w:ascii="宋体" w:hAnsi="宋体" w:cs="宋体"/>
                <w:color w:val="000000"/>
                <w:sz w:val="18"/>
                <w:szCs w:val="18"/>
              </w:rPr>
              <w:t xml:space="preserve">1</w:t>
            </w:r>
            <w:r>
              <w:rPr>
                <w:rFonts w:hint="eastAsia" w:ascii="宋体" w:hAnsi="宋体" w:cs="宋体"/>
                <w:color w:val="000000"/>
                <w:sz w:val="18"/>
                <w:szCs w:val="18"/>
              </w:rPr>
              <w:t xml:space="preserve">信道：（</w:t>
            </w:r>
            <w:r>
              <w:rPr>
                <w:rFonts w:hint="eastAsia" w:ascii="宋体" w:hAnsi="宋体" w:cs="宋体"/>
                <w:color w:val="000000"/>
                <w:sz w:val="18"/>
                <w:szCs w:val="18"/>
              </w:rPr>
              <w:t xml:space="preserve">47</w:t>
            </w:r>
            <w:r>
              <w:rPr>
                <w:rFonts w:hint="eastAsia" w:ascii="宋体" w:hAnsi="宋体" w:cs="宋体"/>
                <w:color w:val="000000"/>
                <w:sz w:val="18"/>
                <w:szCs w:val="18"/>
              </w:rPr>
              <w:t xml:space="preserve">±</w:t>
            </w:r>
            <w:r>
              <w:rPr>
                <w:rFonts w:hint="eastAsia" w:ascii="宋体" w:hAnsi="宋体" w:cs="宋体"/>
                <w:color w:val="000000"/>
                <w:sz w:val="18"/>
                <w:szCs w:val="18"/>
              </w:rPr>
              <w:t xml:space="preserve">2</w:t>
            </w:r>
            <w:r>
              <w:rPr>
                <w:rFonts w:hint="eastAsia" w:ascii="宋体" w:hAnsi="宋体" w:cs="宋体"/>
                <w:color w:val="000000"/>
                <w:sz w:val="18"/>
                <w:szCs w:val="18"/>
              </w:rPr>
              <w:t xml:space="preserve">）</w:t>
            </w:r>
            <w:r>
              <w:rPr>
                <w:rFonts w:hint="eastAsia" w:ascii="宋体" w:hAnsi="宋体" w:cs="宋体"/>
                <w:color w:val="000000"/>
                <w:sz w:val="18"/>
                <w:szCs w:val="18"/>
              </w:rPr>
              <w:t xml:space="preserve">dBm</w:t>
            </w:r>
            <w:r>
              <w:rPr>
                <w:rFonts w:hint="eastAsia" w:ascii="宋体" w:hAnsi="宋体" w:cs="宋体"/>
                <w:color w:val="000000"/>
                <w:sz w:val="18"/>
                <w:szCs w:val="18"/>
              </w:rPr>
              <w:t xml:space="preserve">；</w:t>
            </w:r>
            <w:r>
              <w:rPr>
                <w:rFonts w:hint="eastAsia" w:ascii="宋体" w:hAnsi="宋体" w:cs="宋体"/>
                <w:color w:val="000000"/>
                <w:sz w:val="18"/>
                <w:szCs w:val="18"/>
              </w:rPr>
              <w:br/>
            </w:r>
            <w:r>
              <w:rPr>
                <w:rFonts w:hint="eastAsia" w:ascii="宋体" w:hAnsi="宋体" w:cs="宋体"/>
                <w:color w:val="000000"/>
                <w:sz w:val="18"/>
                <w:szCs w:val="18"/>
              </w:rPr>
              <w:t xml:space="preserve">第</w:t>
            </w:r>
            <w:r>
              <w:rPr>
                <w:rFonts w:hint="eastAsia" w:ascii="宋体" w:hAnsi="宋体" w:cs="宋体"/>
                <w:color w:val="000000"/>
                <w:sz w:val="18"/>
                <w:szCs w:val="18"/>
              </w:rPr>
              <w:t xml:space="preserve">2</w:t>
            </w:r>
            <w:r>
              <w:rPr>
                <w:rFonts w:hint="eastAsia" w:ascii="宋体" w:hAnsi="宋体" w:cs="宋体"/>
                <w:color w:val="000000"/>
                <w:sz w:val="18"/>
                <w:szCs w:val="18"/>
              </w:rPr>
              <w:t xml:space="preserve">信道：（</w:t>
            </w:r>
            <w:r>
              <w:rPr>
                <w:rFonts w:hint="eastAsia" w:ascii="宋体" w:hAnsi="宋体" w:cs="宋体"/>
                <w:color w:val="000000"/>
                <w:sz w:val="18"/>
                <w:szCs w:val="18"/>
              </w:rPr>
              <w:t xml:space="preserve">47</w:t>
            </w:r>
            <w:r>
              <w:rPr>
                <w:rFonts w:hint="eastAsia" w:ascii="宋体" w:hAnsi="宋体" w:cs="宋体"/>
                <w:color w:val="000000"/>
                <w:sz w:val="18"/>
                <w:szCs w:val="18"/>
              </w:rPr>
              <w:t xml:space="preserve">±</w:t>
            </w:r>
            <w:r>
              <w:rPr>
                <w:rFonts w:hint="eastAsia" w:ascii="宋体" w:hAnsi="宋体" w:cs="宋体"/>
                <w:color w:val="000000"/>
                <w:sz w:val="18"/>
                <w:szCs w:val="18"/>
              </w:rPr>
              <w:t xml:space="preserve">2</w:t>
            </w:r>
            <w:r>
              <w:rPr>
                <w:rFonts w:hint="eastAsia" w:ascii="宋体" w:hAnsi="宋体" w:cs="宋体"/>
                <w:color w:val="000000"/>
                <w:sz w:val="18"/>
                <w:szCs w:val="18"/>
              </w:rPr>
              <w:t xml:space="preserve">）</w:t>
            </w:r>
            <w:r>
              <w:rPr>
                <w:rFonts w:hint="eastAsia" w:ascii="宋体" w:hAnsi="宋体" w:cs="宋体"/>
                <w:color w:val="000000"/>
                <w:sz w:val="18"/>
                <w:szCs w:val="18"/>
              </w:rPr>
              <w:t xml:space="preserve">dBm</w:t>
            </w:r>
            <w:r>
              <w:rPr>
                <w:rFonts w:hint="eastAsia" w:ascii="宋体" w:hAnsi="宋体" w:cs="宋体"/>
                <w:color w:val="000000"/>
                <w:sz w:val="18"/>
                <w:szCs w:val="18"/>
              </w:rPr>
              <w:t xml:space="preserve">；</w:t>
            </w:r>
            <w:r>
              <w:rPr>
                <w:rFonts w:hint="eastAsia" w:ascii="宋体" w:hAnsi="宋体" w:cs="宋体"/>
                <w:color w:val="000000"/>
                <w:sz w:val="18"/>
                <w:szCs w:val="18"/>
              </w:rPr>
              <w:br/>
            </w:r>
            <w:r>
              <w:rPr>
                <w:rFonts w:hint="eastAsia" w:ascii="宋体" w:hAnsi="宋体" w:cs="宋体"/>
                <w:color w:val="000000"/>
                <w:sz w:val="18"/>
                <w:szCs w:val="18"/>
              </w:rPr>
              <w:t xml:space="preserve">第</w:t>
            </w:r>
            <w:r>
              <w:rPr>
                <w:rFonts w:hint="eastAsia" w:ascii="宋体" w:hAnsi="宋体" w:cs="宋体"/>
                <w:color w:val="000000"/>
                <w:sz w:val="18"/>
                <w:szCs w:val="18"/>
              </w:rPr>
              <w:t xml:space="preserve">3</w:t>
            </w:r>
            <w:r>
              <w:rPr>
                <w:rFonts w:hint="eastAsia" w:ascii="宋体" w:hAnsi="宋体" w:cs="宋体"/>
                <w:color w:val="000000"/>
                <w:sz w:val="18"/>
                <w:szCs w:val="18"/>
              </w:rPr>
              <w:t xml:space="preserve">信道：（</w:t>
            </w:r>
            <w:r>
              <w:rPr>
                <w:rFonts w:hint="eastAsia" w:ascii="宋体" w:hAnsi="宋体" w:cs="宋体"/>
                <w:color w:val="000000"/>
                <w:sz w:val="18"/>
                <w:szCs w:val="18"/>
              </w:rPr>
              <w:t xml:space="preserve">50</w:t>
            </w:r>
            <w:r>
              <w:rPr>
                <w:rFonts w:hint="eastAsia" w:ascii="宋体" w:hAnsi="宋体" w:cs="宋体"/>
                <w:color w:val="000000"/>
                <w:sz w:val="18"/>
                <w:szCs w:val="18"/>
              </w:rPr>
              <w:t xml:space="preserve">±</w:t>
            </w:r>
            <w:r>
              <w:rPr>
                <w:rFonts w:hint="eastAsia" w:ascii="宋体" w:hAnsi="宋体" w:cs="宋体"/>
                <w:color w:val="000000"/>
                <w:sz w:val="18"/>
                <w:szCs w:val="18"/>
              </w:rPr>
              <w:t xml:space="preserve">2</w:t>
            </w:r>
            <w:r>
              <w:rPr>
                <w:rFonts w:hint="eastAsia" w:ascii="宋体" w:hAnsi="宋体" w:cs="宋体"/>
                <w:color w:val="000000"/>
                <w:sz w:val="18"/>
                <w:szCs w:val="18"/>
              </w:rPr>
              <w:t xml:space="preserve">）</w:t>
            </w:r>
            <w:r>
              <w:rPr>
                <w:rFonts w:hint="eastAsia" w:ascii="宋体" w:hAnsi="宋体" w:cs="宋体"/>
                <w:color w:val="000000"/>
                <w:sz w:val="18"/>
                <w:szCs w:val="18"/>
              </w:rPr>
              <w:t xml:space="preserve">dBm</w:t>
            </w:r>
            <w:r>
              <w:rPr>
                <w:rFonts w:hint="eastAsia" w:ascii="宋体" w:hAnsi="宋体" w:cs="宋体"/>
                <w:color w:val="000000"/>
                <w:sz w:val="18"/>
                <w:szCs w:val="18"/>
              </w:rPr>
              <w:t xml:space="preserve">；</w:t>
            </w:r>
            <w:r>
              <w:rPr>
                <w:rFonts w:hint="eastAsia" w:ascii="宋体" w:hAnsi="宋体" w:cs="宋体"/>
                <w:color w:val="000000"/>
                <w:sz w:val="18"/>
                <w:szCs w:val="18"/>
              </w:rPr>
              <w:br/>
            </w:r>
            <w:r>
              <w:rPr>
                <w:rFonts w:hint="eastAsia" w:ascii="宋体" w:hAnsi="宋体" w:cs="宋体"/>
                <w:color w:val="000000"/>
                <w:sz w:val="18"/>
                <w:szCs w:val="18"/>
              </w:rPr>
              <w:t xml:space="preserve">第</w:t>
            </w:r>
            <w:r>
              <w:rPr>
                <w:rFonts w:hint="eastAsia" w:ascii="宋体" w:hAnsi="宋体" w:cs="宋体"/>
                <w:color w:val="000000"/>
                <w:sz w:val="18"/>
                <w:szCs w:val="18"/>
              </w:rPr>
              <w:t xml:space="preserve">4</w:t>
            </w:r>
            <w:r>
              <w:rPr>
                <w:rFonts w:hint="eastAsia" w:ascii="宋体" w:hAnsi="宋体" w:cs="宋体"/>
                <w:color w:val="000000"/>
                <w:sz w:val="18"/>
                <w:szCs w:val="18"/>
              </w:rPr>
              <w:t xml:space="preserve">信道：（</w:t>
            </w:r>
            <w:r>
              <w:rPr>
                <w:rFonts w:hint="eastAsia" w:ascii="宋体" w:hAnsi="宋体" w:cs="宋体"/>
                <w:color w:val="000000"/>
                <w:sz w:val="18"/>
                <w:szCs w:val="18"/>
              </w:rPr>
              <w:t xml:space="preserve">49</w:t>
            </w:r>
            <w:r>
              <w:rPr>
                <w:rFonts w:hint="eastAsia" w:ascii="宋体" w:hAnsi="宋体" w:cs="宋体"/>
                <w:color w:val="000000"/>
                <w:sz w:val="18"/>
                <w:szCs w:val="18"/>
              </w:rPr>
              <w:t xml:space="preserve">±</w:t>
            </w:r>
            <w:r>
              <w:rPr>
                <w:rFonts w:hint="eastAsia" w:ascii="宋体" w:hAnsi="宋体" w:cs="宋体"/>
                <w:color w:val="000000"/>
                <w:sz w:val="18"/>
                <w:szCs w:val="18"/>
              </w:rPr>
              <w:t xml:space="preserve">2</w:t>
            </w:r>
            <w:r>
              <w:rPr>
                <w:rFonts w:hint="eastAsia" w:ascii="宋体" w:hAnsi="宋体" w:cs="宋体"/>
                <w:color w:val="000000"/>
                <w:sz w:val="18"/>
                <w:szCs w:val="18"/>
              </w:rPr>
              <w:t xml:space="preserve">）</w:t>
            </w:r>
            <w:r>
              <w:rPr>
                <w:rFonts w:hint="eastAsia" w:ascii="宋体" w:hAnsi="宋体" w:cs="宋体"/>
                <w:color w:val="000000"/>
                <w:sz w:val="18"/>
                <w:szCs w:val="18"/>
              </w:rPr>
              <w:t xml:space="preserve">dBm</w:t>
            </w:r>
            <w:r>
              <w:rPr>
                <w:rFonts w:hint="eastAsia" w:ascii="宋体" w:hAnsi="宋体" w:cs="宋体"/>
                <w:color w:val="000000"/>
                <w:sz w:val="18"/>
                <w:szCs w:val="18"/>
              </w:rPr>
              <w:t xml:space="preserve">；</w:t>
            </w:r>
            <w:r>
              <w:rPr>
                <w:rFonts w:hint="eastAsia" w:ascii="宋体" w:hAnsi="宋体" w:cs="宋体"/>
                <w:color w:val="000000"/>
                <w:sz w:val="18"/>
                <w:szCs w:val="18"/>
              </w:rPr>
              <w:br/>
            </w:r>
            <w:r>
              <w:rPr>
                <w:rFonts w:hint="eastAsia" w:ascii="宋体" w:hAnsi="宋体" w:cs="宋体"/>
                <w:color w:val="000000"/>
                <w:sz w:val="18"/>
                <w:szCs w:val="18"/>
              </w:rPr>
              <w:t xml:space="preserve">第</w:t>
            </w:r>
            <w:r>
              <w:rPr>
                <w:rFonts w:hint="eastAsia" w:ascii="宋体" w:hAnsi="宋体" w:cs="宋体"/>
                <w:color w:val="000000"/>
                <w:sz w:val="18"/>
                <w:szCs w:val="18"/>
              </w:rPr>
              <w:t xml:space="preserve">5</w:t>
            </w:r>
            <w:r>
              <w:rPr>
                <w:rFonts w:hint="eastAsia" w:ascii="宋体" w:hAnsi="宋体" w:cs="宋体"/>
                <w:color w:val="000000"/>
                <w:sz w:val="18"/>
                <w:szCs w:val="18"/>
              </w:rPr>
              <w:t xml:space="preserve">信道：（</w:t>
            </w:r>
            <w:r>
              <w:rPr>
                <w:rFonts w:hint="eastAsia" w:ascii="宋体" w:hAnsi="宋体" w:cs="宋体"/>
                <w:color w:val="000000"/>
                <w:sz w:val="18"/>
                <w:szCs w:val="18"/>
              </w:rPr>
              <w:t xml:space="preserve">49</w:t>
            </w:r>
            <w:r>
              <w:rPr>
                <w:rFonts w:hint="eastAsia" w:ascii="宋体" w:hAnsi="宋体" w:cs="宋体"/>
                <w:color w:val="000000"/>
                <w:sz w:val="18"/>
                <w:szCs w:val="18"/>
              </w:rPr>
              <w:t xml:space="preserve">±</w:t>
            </w:r>
            <w:r>
              <w:rPr>
                <w:rFonts w:hint="eastAsia" w:ascii="宋体" w:hAnsi="宋体" w:cs="宋体"/>
                <w:color w:val="000000"/>
                <w:sz w:val="18"/>
                <w:szCs w:val="18"/>
              </w:rPr>
              <w:t xml:space="preserve">2</w:t>
            </w:r>
            <w:r>
              <w:rPr>
                <w:rFonts w:hint="eastAsia" w:ascii="宋体" w:hAnsi="宋体" w:cs="宋体"/>
                <w:color w:val="000000"/>
                <w:sz w:val="18"/>
                <w:szCs w:val="18"/>
              </w:rPr>
              <w:t xml:space="preserve">）</w:t>
            </w:r>
            <w:r>
              <w:rPr>
                <w:rFonts w:hint="eastAsia" w:ascii="宋体" w:hAnsi="宋体" w:cs="宋体"/>
                <w:color w:val="000000"/>
                <w:sz w:val="18"/>
                <w:szCs w:val="18"/>
              </w:rPr>
              <w:t xml:space="preserve">dBm</w:t>
            </w:r>
            <w:r>
              <w:rPr>
                <w:rFonts w:hint="eastAsia" w:ascii="宋体" w:hAnsi="宋体" w:cs="宋体"/>
                <w:color w:val="000000"/>
                <w:sz w:val="18"/>
                <w:szCs w:val="18"/>
              </w:rPr>
              <w:t xml:space="preserve">。</w:t>
            </w:r>
            <w:r>
              <w:rPr>
                <w:rFonts w:hint="eastAsia" w:ascii="宋体" w:hAnsi="宋体" w:cs="宋体"/>
                <w:color w:val="000000"/>
                <w:sz w:val="18"/>
                <w:szCs w:val="18"/>
              </w:rPr>
              <w:br/>
              <w:t xml:space="preserve">28.</w:t>
            </w:r>
            <w:r>
              <w:rPr>
                <w:rFonts w:hint="eastAsia" w:ascii="宋体" w:hAnsi="宋体" w:cs="宋体"/>
                <w:color w:val="000000"/>
                <w:sz w:val="18"/>
                <w:szCs w:val="18"/>
              </w:rPr>
              <w:t xml:space="preserve">干扰距离：在无明显雨、雪、雾天气的环境（无明显遮挡、无明显电磁干扰）条件下，对无人机干扰距离≥</w:t>
            </w:r>
            <w:r>
              <w:rPr>
                <w:rFonts w:hint="eastAsia" w:ascii="宋体" w:hAnsi="宋体" w:cs="宋体"/>
                <w:color w:val="000000"/>
                <w:sz w:val="18"/>
                <w:szCs w:val="18"/>
              </w:rPr>
              <w:t xml:space="preserve">3km</w:t>
            </w:r>
            <w:r>
              <w:rPr>
                <w:rFonts w:hint="eastAsia" w:ascii="宋体" w:hAnsi="宋体" w:cs="宋体"/>
                <w:color w:val="000000"/>
                <w:sz w:val="18"/>
                <w:szCs w:val="18"/>
              </w:rPr>
              <w:t xml:space="preserve">。</w:t>
            </w:r>
            <w:r>
              <w:rPr>
                <w:rFonts w:hint="eastAsia" w:ascii="宋体" w:hAnsi="宋体" w:cs="宋体"/>
                <w:color w:val="000000"/>
                <w:sz w:val="18"/>
                <w:szCs w:val="18"/>
              </w:rPr>
              <w:br/>
            </w:r>
            <w:r>
              <w:rPr>
                <w:rFonts w:hint="eastAsia" w:ascii="宋体" w:hAnsi="宋体" w:cs="宋体"/>
                <w:color w:val="000000"/>
                <w:sz w:val="18"/>
                <w:szCs w:val="18"/>
              </w:rPr>
              <w:t xml:space="preserve">29.</w:t>
            </w:r>
            <w:r>
              <w:rPr>
                <w:rFonts w:hint="eastAsia" w:ascii="宋体" w:hAnsi="宋体" w:cs="宋体"/>
                <w:color w:val="000000"/>
                <w:sz w:val="18"/>
                <w:szCs w:val="18"/>
              </w:rPr>
              <w:t xml:space="preserve">干通比</w:t>
            </w:r>
            <w:r>
              <w:rPr>
                <w:rFonts w:hint="eastAsia" w:ascii="宋体" w:hAnsi="宋体" w:cs="宋体"/>
                <w:color w:val="000000"/>
                <w:sz w:val="18"/>
                <w:szCs w:val="18"/>
              </w:rPr>
              <w:t xml:space="preserve">：≥</w:t>
            </w:r>
            <w:r>
              <w:rPr>
                <w:rFonts w:hint="eastAsia" w:ascii="宋体" w:hAnsi="宋体" w:cs="宋体"/>
                <w:color w:val="000000"/>
                <w:sz w:val="18"/>
                <w:szCs w:val="18"/>
              </w:rPr>
              <w:t xml:space="preserve">20:1</w:t>
            </w:r>
            <w:r>
              <w:rPr>
                <w:rFonts w:hint="eastAsia" w:ascii="宋体" w:hAnsi="宋体" w:cs="宋体"/>
                <w:color w:val="000000"/>
                <w:sz w:val="18"/>
                <w:szCs w:val="18"/>
              </w:rPr>
              <w:t xml:space="preserve">。</w:t>
            </w:r>
            <w:r>
              <w:rPr>
                <w:rFonts w:hint="eastAsia" w:ascii="宋体" w:hAnsi="宋体" w:cs="宋体"/>
                <w:color w:val="000000"/>
                <w:sz w:val="18"/>
                <w:szCs w:val="18"/>
              </w:rPr>
              <w:br/>
              <w:t xml:space="preserve">30. </w:t>
            </w:r>
            <w:r>
              <w:rPr>
                <w:rFonts w:hint="eastAsia" w:ascii="宋体" w:hAnsi="宋体" w:cs="宋体"/>
                <w:color w:val="000000"/>
                <w:sz w:val="18"/>
                <w:szCs w:val="18"/>
              </w:rPr>
              <w:t xml:space="preserve">干扰角度水平方向：</w:t>
            </w:r>
            <w:r>
              <w:rPr>
                <w:rFonts w:hint="eastAsia" w:ascii="宋体" w:hAnsi="宋体" w:cs="宋体"/>
                <w:color w:val="000000"/>
                <w:sz w:val="18"/>
                <w:szCs w:val="18"/>
              </w:rPr>
              <w:t xml:space="preserve">360</w:t>
            </w:r>
            <w:r>
              <w:rPr>
                <w:rFonts w:hint="eastAsia" w:ascii="宋体" w:hAnsi="宋体" w:cs="宋体"/>
                <w:color w:val="000000"/>
                <w:sz w:val="18"/>
                <w:szCs w:val="18"/>
              </w:rPr>
              <w:t xml:space="preserve">°；俯仰方向：</w:t>
            </w:r>
            <w:r>
              <w:rPr>
                <w:rFonts w:hint="eastAsia" w:ascii="宋体" w:hAnsi="宋体" w:cs="宋体"/>
                <w:color w:val="000000"/>
                <w:sz w:val="18"/>
                <w:szCs w:val="18"/>
              </w:rPr>
              <w:t xml:space="preserve">-90</w:t>
            </w:r>
            <w:r>
              <w:rPr>
                <w:rFonts w:hint="eastAsia" w:ascii="宋体" w:hAnsi="宋体" w:cs="宋体"/>
                <w:color w:val="000000"/>
                <w:sz w:val="18"/>
                <w:szCs w:val="18"/>
              </w:rPr>
              <w:t xml:space="preserve">°～</w:t>
            </w:r>
            <w:r>
              <w:rPr>
                <w:rFonts w:hint="eastAsia" w:ascii="宋体" w:hAnsi="宋体" w:cs="宋体"/>
                <w:color w:val="000000"/>
                <w:sz w:val="18"/>
                <w:szCs w:val="18"/>
              </w:rPr>
              <w:t xml:space="preserve">+90</w:t>
            </w:r>
            <w:r>
              <w:rPr>
                <w:rFonts w:hint="eastAsia" w:ascii="宋体" w:hAnsi="宋体" w:cs="宋体"/>
                <w:color w:val="000000"/>
                <w:sz w:val="18"/>
                <w:szCs w:val="18"/>
              </w:rPr>
              <w:t xml:space="preserve">°。</w:t>
            </w:r>
            <w:r>
              <w:rPr>
                <w:rFonts w:hint="eastAsia" w:ascii="宋体" w:hAnsi="宋体" w:cs="宋体"/>
                <w:color w:val="000000"/>
                <w:sz w:val="18"/>
                <w:szCs w:val="18"/>
              </w:rPr>
              <w:br/>
              <w:t xml:space="preserve">31. </w:t>
            </w:r>
            <w:r>
              <w:rPr>
                <w:rFonts w:hint="eastAsia" w:ascii="宋体" w:hAnsi="宋体" w:cs="宋体"/>
                <w:color w:val="000000"/>
                <w:sz w:val="18"/>
                <w:szCs w:val="18"/>
              </w:rPr>
              <w:t xml:space="preserve">干扰响应时间：无明显遮挡、无明显电磁干扰的条件下，从开启</w:t>
            </w:r>
            <w:r>
              <w:rPr>
                <w:rFonts w:hint="eastAsia" w:ascii="宋体" w:hAnsi="宋体" w:cs="宋体"/>
                <w:color w:val="000000"/>
                <w:sz w:val="18"/>
                <w:szCs w:val="18"/>
              </w:rPr>
              <w:t xml:space="preserve">反制至无人机</w:t>
            </w:r>
            <w:r>
              <w:rPr>
                <w:rFonts w:hint="eastAsia" w:ascii="宋体" w:hAnsi="宋体" w:cs="宋体"/>
                <w:color w:val="000000"/>
                <w:sz w:val="18"/>
                <w:szCs w:val="18"/>
              </w:rPr>
              <w:t xml:space="preserve">信号丢失所需的时间应≤</w:t>
            </w:r>
            <w:r>
              <w:rPr>
                <w:rFonts w:hint="eastAsia" w:ascii="宋体" w:hAnsi="宋体" w:cs="宋体"/>
                <w:color w:val="000000"/>
                <w:sz w:val="18"/>
                <w:szCs w:val="18"/>
              </w:rPr>
              <w:t xml:space="preserve">5s</w:t>
            </w:r>
            <w:r>
              <w:rPr>
                <w:rFonts w:hint="eastAsia" w:ascii="宋体" w:hAnsi="宋体" w:cs="宋体"/>
                <w:color w:val="000000"/>
                <w:sz w:val="18"/>
                <w:szCs w:val="18"/>
              </w:rPr>
              <w:t xml:space="preserve">。</w:t>
            </w:r>
            <w:r>
              <w:rPr>
                <w:rFonts w:hint="eastAsia" w:ascii="宋体" w:hAnsi="宋体" w:cs="宋体"/>
                <w:color w:val="000000"/>
                <w:sz w:val="18"/>
                <w:szCs w:val="18"/>
              </w:rPr>
              <w:br/>
              <w:t xml:space="preserve">32.</w:t>
            </w:r>
            <w:r>
              <w:rPr>
                <w:rFonts w:hint="eastAsia" w:ascii="宋体" w:hAnsi="宋体" w:cs="宋体"/>
                <w:color w:val="000000"/>
                <w:sz w:val="18"/>
                <w:szCs w:val="18"/>
              </w:rPr>
              <w:t xml:space="preserve">多目标干扰功能：能同时干扰的无人机目标数量应≥</w:t>
            </w:r>
            <w:r>
              <w:rPr>
                <w:rFonts w:hint="eastAsia" w:ascii="宋体" w:hAnsi="宋体" w:cs="宋体"/>
                <w:color w:val="000000"/>
                <w:sz w:val="18"/>
                <w:szCs w:val="18"/>
              </w:rPr>
              <w:t xml:space="preserve">30</w:t>
            </w:r>
            <w:r>
              <w:rPr>
                <w:rFonts w:hint="eastAsia" w:ascii="宋体" w:hAnsi="宋体" w:cs="宋体"/>
                <w:color w:val="000000"/>
                <w:sz w:val="18"/>
                <w:szCs w:val="18"/>
              </w:rPr>
              <w:t xml:space="preserve">架（其中非</w:t>
            </w:r>
            <w:r>
              <w:rPr>
                <w:rFonts w:hint="eastAsia" w:ascii="宋体" w:hAnsi="宋体" w:cs="宋体"/>
                <w:color w:val="000000"/>
                <w:sz w:val="18"/>
                <w:szCs w:val="18"/>
              </w:rPr>
              <w:t xml:space="preserve">大疆品牌</w:t>
            </w:r>
            <w:r>
              <w:rPr>
                <w:rFonts w:hint="eastAsia" w:ascii="宋体" w:hAnsi="宋体" w:cs="宋体"/>
                <w:color w:val="000000"/>
                <w:sz w:val="18"/>
                <w:szCs w:val="18"/>
              </w:rPr>
              <w:t xml:space="preserve">的无人机数量应≥</w:t>
            </w:r>
            <w:r>
              <w:rPr>
                <w:rFonts w:hint="eastAsia" w:ascii="宋体" w:hAnsi="宋体" w:cs="宋体"/>
                <w:color w:val="000000"/>
                <w:sz w:val="18"/>
                <w:szCs w:val="18"/>
              </w:rPr>
              <w:t xml:space="preserve">25</w:t>
            </w:r>
            <w:r>
              <w:rPr>
                <w:rFonts w:hint="eastAsia" w:ascii="宋体" w:hAnsi="宋体" w:cs="宋体"/>
                <w:color w:val="000000"/>
                <w:sz w:val="18"/>
                <w:szCs w:val="18"/>
              </w:rPr>
              <w:t xml:space="preserve">架）；能同时干扰的跳频无人机目标数量应≥</w:t>
            </w:r>
            <w:r>
              <w:rPr>
                <w:rFonts w:hint="eastAsia" w:ascii="宋体" w:hAnsi="宋体" w:cs="宋体"/>
                <w:color w:val="000000"/>
                <w:sz w:val="18"/>
                <w:szCs w:val="18"/>
              </w:rPr>
              <w:t xml:space="preserve">10</w:t>
            </w:r>
            <w:r>
              <w:rPr>
                <w:rFonts w:hint="eastAsia" w:ascii="宋体" w:hAnsi="宋体" w:cs="宋体"/>
                <w:color w:val="000000"/>
                <w:sz w:val="18"/>
                <w:szCs w:val="18"/>
              </w:rPr>
              <w:t xml:space="preserve">架；</w:t>
            </w:r>
            <w:r>
              <w:rPr>
                <w:rFonts w:hint="eastAsia" w:ascii="宋体" w:hAnsi="宋体" w:cs="宋体"/>
                <w:color w:val="000000"/>
                <w:sz w:val="18"/>
                <w:szCs w:val="18"/>
              </w:rPr>
              <w:br/>
              <w:t xml:space="preserve">33.</w:t>
            </w:r>
            <w:r>
              <w:rPr>
                <w:rFonts w:hint="eastAsia" w:ascii="宋体" w:hAnsi="宋体" w:cs="宋体"/>
                <w:color w:val="000000"/>
                <w:sz w:val="18"/>
                <w:szCs w:val="18"/>
              </w:rPr>
              <w:t xml:space="preserve">干扰成功率：在无明显遮挡、无明显电磁干扰的条件下，干扰成功率应≥</w:t>
            </w:r>
            <w:r>
              <w:rPr>
                <w:rFonts w:hint="eastAsia" w:ascii="宋体" w:hAnsi="宋体" w:cs="宋体"/>
                <w:color w:val="000000"/>
                <w:sz w:val="18"/>
                <w:szCs w:val="18"/>
              </w:rPr>
              <w:t xml:space="preserve">99%</w:t>
            </w:r>
            <w:r>
              <w:rPr>
                <w:rFonts w:hint="eastAsia" w:ascii="宋体" w:hAnsi="宋体" w:cs="宋体"/>
                <w:color w:val="000000"/>
                <w:sz w:val="18"/>
                <w:szCs w:val="18"/>
              </w:rPr>
              <w:t xml:space="preserve">，（干扰成功率</w:t>
            </w:r>
            <w:r>
              <w:rPr>
                <w:rFonts w:hint="eastAsia" w:ascii="宋体" w:hAnsi="宋体" w:cs="宋体"/>
                <w:color w:val="000000"/>
                <w:sz w:val="18"/>
                <w:szCs w:val="18"/>
              </w:rPr>
              <w:t xml:space="preserve">=</w:t>
            </w:r>
            <w:r>
              <w:rPr>
                <w:rFonts w:hint="eastAsia" w:ascii="宋体" w:hAnsi="宋体" w:cs="宋体"/>
                <w:color w:val="000000"/>
                <w:sz w:val="18"/>
                <w:szCs w:val="18"/>
              </w:rPr>
              <w:t xml:space="preserve">干扰成功次数</w:t>
            </w:r>
            <w:r>
              <w:rPr>
                <w:rFonts w:hint="eastAsia" w:ascii="宋体" w:hAnsi="宋体" w:cs="宋体"/>
                <w:color w:val="000000"/>
                <w:sz w:val="18"/>
                <w:szCs w:val="18"/>
              </w:rPr>
              <w:t xml:space="preserve">/</w:t>
            </w:r>
            <w:r>
              <w:rPr>
                <w:rFonts w:hint="eastAsia" w:ascii="宋体" w:hAnsi="宋体" w:cs="宋体"/>
                <w:color w:val="000000"/>
                <w:sz w:val="18"/>
                <w:szCs w:val="18"/>
              </w:rPr>
              <w:t xml:space="preserve">总干扰次数×</w:t>
            </w:r>
            <w:r>
              <w:rPr>
                <w:rFonts w:hint="eastAsia" w:ascii="宋体" w:hAnsi="宋体" w:cs="宋体"/>
                <w:color w:val="000000"/>
                <w:sz w:val="18"/>
                <w:szCs w:val="18"/>
              </w:rPr>
              <w:t xml:space="preserve">100%</w:t>
            </w:r>
            <w:r>
              <w:rPr>
                <w:rFonts w:hint="eastAsia" w:ascii="宋体" w:hAnsi="宋体" w:cs="宋体"/>
                <w:color w:val="000000"/>
                <w:sz w:val="18"/>
                <w:szCs w:val="18"/>
              </w:rPr>
              <w:t xml:space="preserve">）</w:t>
            </w:r>
            <w:r>
              <w:rPr>
                <w:rFonts w:hint="eastAsia" w:ascii="宋体" w:hAnsi="宋体" w:cs="宋体"/>
                <w:color w:val="000000"/>
                <w:sz w:val="18"/>
                <w:szCs w:val="18"/>
              </w:rPr>
              <w:br/>
              <w:t xml:space="preserve">34. </w:t>
            </w:r>
            <w:r>
              <w:rPr>
                <w:rFonts w:hint="eastAsia" w:ascii="宋体" w:hAnsi="宋体" w:cs="宋体"/>
                <w:color w:val="000000"/>
                <w:sz w:val="18"/>
                <w:szCs w:val="18"/>
              </w:rPr>
              <w:t xml:space="preserve">供电方式：</w:t>
            </w:r>
            <w:r>
              <w:rPr>
                <w:rFonts w:hint="eastAsia" w:ascii="宋体" w:hAnsi="宋体" w:cs="宋体"/>
                <w:color w:val="000000"/>
                <w:sz w:val="18"/>
                <w:szCs w:val="18"/>
              </w:rPr>
              <w:t xml:space="preserve"> </w:t>
            </w:r>
            <w:r>
              <w:rPr>
                <w:rFonts w:hint="eastAsia" w:ascii="宋体" w:hAnsi="宋体" w:cs="宋体"/>
                <w:color w:val="000000"/>
                <w:sz w:val="18"/>
                <w:szCs w:val="18"/>
              </w:rPr>
              <w:t xml:space="preserve">应能通过市电或移</w:t>
            </w:r>
            <w:r>
              <w:rPr>
                <w:rFonts w:hint="eastAsia" w:ascii="宋体" w:hAnsi="宋体" w:cs="宋体"/>
                <w:color w:val="000000"/>
                <w:sz w:val="18"/>
                <w:szCs w:val="18"/>
              </w:rPr>
              <w:t xml:space="preserve">动电源供电。</w:t>
            </w:r>
            <w:r>
              <w:rPr>
                <w:rFonts w:hint="eastAsia" w:ascii="宋体" w:hAnsi="宋体" w:cs="宋体"/>
                <w:color w:val="000000"/>
                <w:sz w:val="18"/>
                <w:szCs w:val="18"/>
              </w:rPr>
              <w:br/>
              <w:t xml:space="preserve">35. </w:t>
            </w:r>
            <w:r>
              <w:rPr>
                <w:rFonts w:hint="eastAsia" w:ascii="宋体" w:hAnsi="宋体" w:cs="宋体"/>
                <w:color w:val="000000"/>
                <w:sz w:val="18"/>
                <w:szCs w:val="18"/>
              </w:rPr>
              <w:t xml:space="preserve">电源适应性：应能在电源电压</w:t>
            </w:r>
            <w:r>
              <w:rPr>
                <w:rFonts w:hint="eastAsia" w:ascii="宋体" w:hAnsi="宋体" w:cs="宋体"/>
                <w:color w:val="000000"/>
                <w:sz w:val="18"/>
                <w:szCs w:val="18"/>
              </w:rPr>
              <w:t xml:space="preserve">AC100V</w:t>
            </w:r>
            <w:r>
              <w:rPr>
                <w:rFonts w:hint="eastAsia" w:ascii="宋体" w:hAnsi="宋体" w:cs="宋体"/>
                <w:color w:val="000000"/>
                <w:sz w:val="18"/>
                <w:szCs w:val="18"/>
              </w:rPr>
              <w:t xml:space="preserve">～</w:t>
            </w:r>
            <w:r>
              <w:rPr>
                <w:rFonts w:hint="eastAsia" w:ascii="宋体" w:hAnsi="宋体" w:cs="宋体"/>
                <w:color w:val="000000"/>
                <w:sz w:val="18"/>
                <w:szCs w:val="18"/>
              </w:rPr>
              <w:t xml:space="preserve">240V</w:t>
            </w:r>
            <w:r>
              <w:rPr>
                <w:rFonts w:hint="eastAsia" w:ascii="宋体" w:hAnsi="宋体" w:cs="宋体"/>
                <w:color w:val="000000"/>
                <w:sz w:val="18"/>
                <w:szCs w:val="18"/>
              </w:rPr>
              <w:t xml:space="preserve">范围内应能正常工作。</w:t>
            </w:r>
            <w:r>
              <w:rPr>
                <w:rFonts w:hint="eastAsia" w:ascii="宋体" w:hAnsi="宋体" w:cs="宋体"/>
                <w:color w:val="000000"/>
                <w:sz w:val="18"/>
                <w:szCs w:val="18"/>
              </w:rPr>
              <w:br/>
              <w:t xml:space="preserve">36. </w:t>
            </w:r>
            <w:r>
              <w:rPr>
                <w:rFonts w:hint="eastAsia" w:ascii="宋体" w:hAnsi="宋体" w:cs="宋体"/>
                <w:color w:val="000000"/>
                <w:sz w:val="18"/>
                <w:szCs w:val="18"/>
              </w:rPr>
              <w:t xml:space="preserve">工作温度：</w:t>
            </w:r>
            <w:r>
              <w:rPr>
                <w:rFonts w:hint="eastAsia" w:ascii="宋体" w:hAnsi="宋体" w:cs="宋体"/>
                <w:color w:val="000000"/>
                <w:sz w:val="18"/>
                <w:szCs w:val="18"/>
              </w:rPr>
              <w:t xml:space="preserve">-40</w:t>
            </w:r>
            <w:r>
              <w:rPr>
                <w:rFonts w:hint="eastAsia" w:ascii="宋体" w:hAnsi="宋体" w:cs="宋体"/>
                <w:color w:val="000000"/>
                <w:sz w:val="18"/>
                <w:szCs w:val="18"/>
              </w:rPr>
              <w:t xml:space="preserve">℃</w:t>
            </w:r>
            <w:r>
              <w:rPr>
                <w:rFonts w:hint="eastAsia" w:ascii="宋体" w:hAnsi="宋体" w:cs="宋体"/>
                <w:color w:val="000000"/>
                <w:sz w:val="18"/>
                <w:szCs w:val="18"/>
              </w:rPr>
              <w:t xml:space="preserve">-70</w:t>
            </w:r>
            <w:r>
              <w:rPr>
                <w:rFonts w:hint="eastAsia" w:ascii="宋体" w:hAnsi="宋体" w:cs="宋体"/>
                <w:color w:val="000000"/>
                <w:sz w:val="18"/>
                <w:szCs w:val="18"/>
              </w:rPr>
              <w:t xml:space="preserve">℃</w:t>
            </w:r>
            <w:r>
              <w:rPr>
                <w:rFonts w:hint="eastAsia" w:ascii="宋体" w:hAnsi="宋体" w:cs="宋体"/>
                <w:color w:val="000000"/>
                <w:sz w:val="18"/>
                <w:szCs w:val="18"/>
              </w:rPr>
              <w:br/>
              <w:t xml:space="preserve">37. </w:t>
            </w:r>
            <w:r>
              <w:rPr>
                <w:rFonts w:hint="eastAsia" w:ascii="宋体" w:hAnsi="宋体" w:cs="宋体"/>
                <w:color w:val="000000"/>
                <w:sz w:val="18"/>
                <w:szCs w:val="18"/>
              </w:rPr>
              <w:t xml:space="preserve">防护等级</w:t>
            </w:r>
            <w:r>
              <w:rPr>
                <w:rFonts w:hint="eastAsia" w:ascii="宋体" w:hAnsi="宋体" w:cs="宋体"/>
                <w:color w:val="000000"/>
                <w:sz w:val="18"/>
                <w:szCs w:val="18"/>
              </w:rPr>
              <w:t xml:space="preserve"> IP66</w:t>
            </w:r>
            <w:r>
              <w:rPr>
                <w:rFonts w:hint="eastAsia" w:ascii="宋体" w:hAnsi="宋体" w:cs="宋体"/>
                <w:color w:val="000000"/>
                <w:sz w:val="18"/>
                <w:szCs w:val="18"/>
              </w:rPr>
              <w:t xml:space="preserve">。</w:t>
            </w:r>
            <w:r/>
          </w:p>
          <w:p>
            <w:pPr>
              <w:jc w:val="left"/>
              <w:widowControl/>
            </w:pPr>
            <w:r>
              <w:rPr>
                <w:rFonts w:hint="eastAsia" w:ascii="宋体" w:hAnsi="宋体" w:cs="宋体"/>
                <w:color w:val="000000"/>
                <w:sz w:val="18"/>
                <w:szCs w:val="18"/>
              </w:rPr>
              <w:t xml:space="preserve">38. </w:t>
            </w:r>
            <w:r>
              <w:rPr>
                <w:rFonts w:hint="eastAsia" w:ascii="宋体" w:hAnsi="宋体" w:cs="宋体"/>
                <w:color w:val="000000"/>
                <w:sz w:val="18"/>
                <w:szCs w:val="18"/>
              </w:rPr>
              <w:t xml:space="preserve">配套软件系统，开放接口对接。</w:t>
            </w:r>
            <w:r/>
          </w:p>
        </w:tc>
        <w:tc>
          <w:tcPr>
            <w:tcBorders>
              <w:top w:val="single" w:color="auto" w:sz="4" w:space="0"/>
              <w:left w:val="single" w:color="auto" w:sz="4" w:space="0"/>
              <w:bottom w:val="single" w:color="auto" w:sz="4" w:space="0"/>
              <w:right w:val="single" w:color="auto" w:sz="4" w:space="0"/>
            </w:tcBorders>
            <w:tcW w:w="34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套</w:t>
            </w:r>
            <w:r/>
          </w:p>
        </w:tc>
        <w:tc>
          <w:tcPr>
            <w:tcBorders>
              <w:top w:val="single" w:color="auto" w:sz="4" w:space="0"/>
              <w:left w:val="single" w:color="auto" w:sz="4" w:space="0"/>
              <w:bottom w:val="single" w:color="auto" w:sz="4" w:space="0"/>
              <w:right w:val="single" w:color="auto" w:sz="4" w:space="0"/>
            </w:tcBorders>
            <w:tcW w:w="44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single" w:color="auto" w:sz="4" w:space="0"/>
              <w:right w:val="single" w:color="auto" w:sz="4" w:space="0"/>
            </w:tcBorders>
            <w:tcW w:w="765" w:type="dxa"/>
            <w:vAlign w:val="center"/>
            <w:vMerge w:val="restart"/>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11</w:t>
            </w:r>
            <w:r/>
          </w:p>
        </w:tc>
        <w:tc>
          <w:tcPr>
            <w:gridSpan w:val="3"/>
            <w:tcBorders>
              <w:top w:val="single" w:color="auto" w:sz="4" w:space="0"/>
              <w:left w:val="single" w:color="auto" w:sz="4" w:space="0"/>
              <w:bottom w:val="single" w:color="auto" w:sz="4" w:space="0"/>
              <w:right w:val="single" w:color="auto" w:sz="4" w:space="0"/>
            </w:tcBorders>
            <w:tcW w:w="2530"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远程识别监测系统</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　</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　</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1. </w:t>
            </w:r>
            <w:r>
              <w:rPr>
                <w:rFonts w:hint="eastAsia" w:ascii="宋体" w:hAnsi="宋体" w:cs="宋体"/>
                <w:color w:val="000000"/>
                <w:sz w:val="18"/>
                <w:szCs w:val="18"/>
              </w:rPr>
              <w:t xml:space="preserve">无源探测：</w:t>
            </w:r>
            <w:r>
              <w:rPr>
                <w:rFonts w:hint="eastAsia" w:ascii="宋体" w:hAnsi="宋体" w:cs="宋体"/>
                <w:color w:val="000000"/>
                <w:sz w:val="18"/>
                <w:szCs w:val="18"/>
              </w:rPr>
              <w:t xml:space="preserve">系统</w:t>
            </w:r>
            <w:r>
              <w:rPr>
                <w:rFonts w:hint="eastAsia" w:ascii="宋体" w:hAnsi="宋体" w:cs="宋体"/>
                <w:color w:val="000000"/>
                <w:sz w:val="18"/>
                <w:szCs w:val="18"/>
              </w:rPr>
              <w:t xml:space="preserve">应为无源探测，在工作状态下，</w:t>
            </w:r>
            <w:r>
              <w:rPr>
                <w:rFonts w:hint="eastAsia" w:ascii="宋体" w:hAnsi="宋体" w:cs="宋体"/>
                <w:color w:val="000000"/>
                <w:sz w:val="18"/>
                <w:szCs w:val="18"/>
              </w:rPr>
              <w:t xml:space="preserve">系统</w:t>
            </w:r>
            <w:r>
              <w:rPr>
                <w:rFonts w:hint="eastAsia" w:ascii="宋体" w:hAnsi="宋体" w:cs="宋体"/>
                <w:color w:val="000000"/>
                <w:sz w:val="18"/>
                <w:szCs w:val="18"/>
              </w:rPr>
              <w:t xml:space="preserve">不会主动发射无线电信号，对周边环境无影响。</w:t>
            </w:r>
            <w:r>
              <w:rPr>
                <w:rFonts w:hint="eastAsia" w:ascii="宋体" w:hAnsi="宋体" w:cs="宋体"/>
                <w:color w:val="000000"/>
                <w:sz w:val="18"/>
                <w:szCs w:val="18"/>
              </w:rPr>
              <w:br/>
              <w:t xml:space="preserve">2. </w:t>
            </w:r>
            <w:r>
              <w:rPr>
                <w:rFonts w:hint="eastAsia" w:ascii="宋体" w:hAnsi="宋体" w:cs="宋体"/>
                <w:color w:val="000000"/>
                <w:sz w:val="18"/>
                <w:szCs w:val="18"/>
              </w:rPr>
              <w:t xml:space="preserve">侦测原理：</w:t>
            </w:r>
            <w:r>
              <w:rPr>
                <w:rFonts w:hint="eastAsia" w:ascii="宋体" w:hAnsi="宋体" w:cs="宋体"/>
                <w:color w:val="000000"/>
                <w:sz w:val="18"/>
                <w:szCs w:val="18"/>
              </w:rPr>
              <w:t xml:space="preserve">系统</w:t>
            </w:r>
            <w:r>
              <w:rPr>
                <w:rFonts w:hint="eastAsia" w:ascii="宋体" w:hAnsi="宋体" w:cs="宋体"/>
                <w:color w:val="000000"/>
                <w:sz w:val="18"/>
                <w:szCs w:val="18"/>
              </w:rPr>
              <w:t xml:space="preserve">应能基于</w:t>
            </w:r>
            <w:r>
              <w:rPr>
                <w:rFonts w:hint="eastAsia" w:ascii="宋体" w:hAnsi="宋体" w:cs="宋体"/>
                <w:color w:val="000000"/>
                <w:sz w:val="18"/>
                <w:szCs w:val="18"/>
              </w:rPr>
              <w:t xml:space="preserve">REMOTEID</w:t>
            </w:r>
            <w:r>
              <w:rPr>
                <w:rFonts w:hint="eastAsia" w:ascii="宋体" w:hAnsi="宋体" w:cs="宋体"/>
                <w:color w:val="000000"/>
                <w:sz w:val="18"/>
                <w:szCs w:val="18"/>
              </w:rPr>
              <w:t xml:space="preserve">进行报文解析。</w:t>
            </w:r>
            <w:r>
              <w:rPr>
                <w:rFonts w:hint="eastAsia" w:ascii="宋体" w:hAnsi="宋体" w:cs="宋体"/>
                <w:color w:val="000000"/>
                <w:sz w:val="18"/>
                <w:szCs w:val="18"/>
              </w:rPr>
              <w:br/>
              <w:t xml:space="preserve">3. </w:t>
            </w:r>
            <w:r>
              <w:rPr>
                <w:rFonts w:hint="eastAsia" w:ascii="宋体" w:hAnsi="宋体" w:cs="宋体"/>
                <w:color w:val="000000"/>
                <w:sz w:val="18"/>
                <w:szCs w:val="18"/>
              </w:rPr>
              <w:t xml:space="preserve">重点侦测频段：</w:t>
            </w:r>
            <w:r>
              <w:rPr>
                <w:rFonts w:hint="eastAsia" w:ascii="宋体" w:hAnsi="宋体" w:cs="宋体"/>
                <w:color w:val="000000"/>
                <w:sz w:val="18"/>
                <w:szCs w:val="18"/>
              </w:rPr>
              <w:t xml:space="preserve">2.4GHz</w:t>
            </w:r>
            <w:r>
              <w:rPr>
                <w:rFonts w:hint="eastAsia" w:ascii="宋体" w:hAnsi="宋体" w:cs="宋体"/>
                <w:color w:val="000000"/>
                <w:sz w:val="18"/>
                <w:szCs w:val="18"/>
              </w:rPr>
              <w:t xml:space="preserve">、</w:t>
            </w:r>
            <w:r>
              <w:rPr>
                <w:rFonts w:hint="eastAsia" w:ascii="宋体" w:hAnsi="宋体" w:cs="宋体"/>
                <w:color w:val="000000"/>
                <w:sz w:val="18"/>
                <w:szCs w:val="18"/>
              </w:rPr>
              <w:t xml:space="preserve">5.8GHz</w:t>
            </w:r>
            <w:r>
              <w:rPr>
                <w:rFonts w:hint="eastAsia" w:ascii="宋体" w:hAnsi="宋体" w:cs="宋体"/>
                <w:color w:val="000000"/>
                <w:sz w:val="18"/>
                <w:szCs w:val="18"/>
              </w:rPr>
              <w:t xml:space="preserve">。</w:t>
            </w:r>
            <w:r>
              <w:rPr>
                <w:rFonts w:hint="eastAsia" w:ascii="宋体" w:hAnsi="宋体" w:cs="宋体"/>
                <w:color w:val="000000"/>
                <w:sz w:val="18"/>
                <w:szCs w:val="18"/>
              </w:rPr>
              <w:br/>
              <w:t xml:space="preserve">4. </w:t>
            </w:r>
            <w:r>
              <w:rPr>
                <w:rFonts w:hint="eastAsia" w:ascii="宋体" w:hAnsi="宋体" w:cs="宋体"/>
                <w:color w:val="000000"/>
                <w:sz w:val="18"/>
                <w:szCs w:val="18"/>
              </w:rPr>
              <w:t xml:space="preserve">探测功能：</w:t>
            </w:r>
            <w:r>
              <w:rPr>
                <w:rFonts w:hint="eastAsia" w:ascii="宋体" w:hAnsi="宋体" w:cs="宋体"/>
                <w:color w:val="000000"/>
                <w:sz w:val="18"/>
                <w:szCs w:val="18"/>
              </w:rPr>
              <w:t xml:space="preserve">系统</w:t>
            </w:r>
            <w:r>
              <w:rPr>
                <w:rFonts w:hint="eastAsia" w:ascii="宋体" w:hAnsi="宋体" w:cs="宋体"/>
                <w:color w:val="000000"/>
                <w:sz w:val="18"/>
                <w:szCs w:val="18"/>
              </w:rPr>
              <w:t xml:space="preserve">应能通过</w:t>
            </w:r>
            <w:r>
              <w:rPr>
                <w:rFonts w:hint="eastAsia" w:ascii="宋体" w:hAnsi="宋体" w:cs="宋体"/>
                <w:color w:val="000000"/>
                <w:sz w:val="18"/>
                <w:szCs w:val="18"/>
              </w:rPr>
              <w:t xml:space="preserve">RemoteID</w:t>
            </w:r>
            <w:r>
              <w:rPr>
                <w:rFonts w:hint="eastAsia" w:ascii="宋体" w:hAnsi="宋体" w:cs="宋体"/>
                <w:color w:val="000000"/>
                <w:sz w:val="18"/>
                <w:szCs w:val="18"/>
              </w:rPr>
              <w:t xml:space="preserve">信号，识别各无人机的电子指纹</w:t>
            </w:r>
            <w:r>
              <w:rPr>
                <w:rFonts w:hint="eastAsia" w:ascii="宋体" w:hAnsi="宋体" w:cs="宋体"/>
                <w:color w:val="000000"/>
                <w:sz w:val="18"/>
                <w:szCs w:val="18"/>
              </w:rPr>
              <w:t xml:space="preserve">ID</w:t>
            </w:r>
            <w:r>
              <w:rPr>
                <w:rFonts w:hint="eastAsia" w:ascii="宋体" w:hAnsi="宋体" w:cs="宋体"/>
                <w:color w:val="000000"/>
                <w:sz w:val="18"/>
                <w:szCs w:val="18"/>
              </w:rPr>
              <w:t xml:space="preserve">（个体识别号）并对无人机和遥控器（飞手）进行单站定位，定位品牌类型应覆盖大疆、道通、</w:t>
            </w:r>
            <w:r>
              <w:rPr>
                <w:rFonts w:hint="eastAsia" w:ascii="宋体" w:hAnsi="宋体" w:cs="宋体"/>
                <w:color w:val="000000"/>
                <w:sz w:val="18"/>
                <w:szCs w:val="18"/>
              </w:rPr>
              <w:t xml:space="preserve">Wi-Fi</w:t>
            </w:r>
            <w:r>
              <w:rPr>
                <w:rFonts w:hint="eastAsia" w:ascii="宋体" w:hAnsi="宋体" w:cs="宋体"/>
                <w:color w:val="000000"/>
                <w:sz w:val="18"/>
                <w:szCs w:val="18"/>
              </w:rPr>
              <w:t xml:space="preserve">无人机。</w:t>
            </w:r>
            <w:r>
              <w:rPr>
                <w:rFonts w:hint="eastAsia" w:ascii="宋体" w:hAnsi="宋体" w:cs="宋体"/>
                <w:color w:val="000000"/>
                <w:sz w:val="18"/>
                <w:szCs w:val="18"/>
              </w:rPr>
              <w:br/>
              <w:t xml:space="preserve">5. </w:t>
            </w:r>
            <w:r>
              <w:rPr>
                <w:rFonts w:hint="eastAsia" w:ascii="宋体" w:hAnsi="宋体" w:cs="宋体"/>
                <w:color w:val="000000"/>
                <w:sz w:val="18"/>
                <w:szCs w:val="18"/>
              </w:rPr>
              <w:t xml:space="preserve">目标识别能力：实时接收无人机</w:t>
            </w:r>
            <w:r>
              <w:rPr>
                <w:rFonts w:hint="eastAsia" w:ascii="宋体" w:hAnsi="宋体" w:cs="宋体"/>
                <w:color w:val="000000"/>
                <w:sz w:val="18"/>
                <w:szCs w:val="18"/>
              </w:rPr>
              <w:t xml:space="preserve">SN</w:t>
            </w:r>
            <w:r>
              <w:rPr>
                <w:rFonts w:hint="eastAsia" w:ascii="宋体" w:hAnsi="宋体" w:cs="宋体"/>
                <w:color w:val="000000"/>
                <w:sz w:val="18"/>
                <w:szCs w:val="18"/>
              </w:rPr>
              <w:t xml:space="preserve">码、</w:t>
            </w:r>
            <w:r>
              <w:rPr>
                <w:rFonts w:hint="eastAsia" w:ascii="宋体" w:hAnsi="宋体" w:cs="宋体"/>
                <w:color w:val="000000"/>
                <w:sz w:val="18"/>
                <w:szCs w:val="18"/>
              </w:rPr>
              <w:t xml:space="preserve">飞手位置</w:t>
            </w:r>
            <w:r>
              <w:rPr>
                <w:rFonts w:hint="eastAsia" w:ascii="宋体" w:hAnsi="宋体" w:cs="宋体"/>
                <w:color w:val="000000"/>
                <w:sz w:val="18"/>
                <w:szCs w:val="18"/>
              </w:rPr>
              <w:t xml:space="preserve">、速度、航向等数据。实时显示飞行轨迹、生成电子围栏，并可联调反</w:t>
            </w:r>
            <w:r>
              <w:rPr>
                <w:rFonts w:hint="eastAsia" w:ascii="宋体" w:hAnsi="宋体" w:cs="宋体"/>
                <w:color w:val="000000"/>
                <w:sz w:val="18"/>
                <w:szCs w:val="18"/>
              </w:rPr>
              <w:t xml:space="preserve">制</w:t>
            </w:r>
            <w:r>
              <w:rPr>
                <w:rFonts w:hint="eastAsia" w:ascii="宋体" w:hAnsi="宋体" w:cs="宋体"/>
                <w:color w:val="000000"/>
                <w:sz w:val="18"/>
                <w:szCs w:val="18"/>
              </w:rPr>
              <w:t xml:space="preserve">系统</w:t>
            </w:r>
            <w:r>
              <w:rPr>
                <w:rFonts w:hint="eastAsia" w:ascii="宋体" w:hAnsi="宋体" w:cs="宋体"/>
                <w:color w:val="000000"/>
                <w:sz w:val="18"/>
                <w:szCs w:val="18"/>
              </w:rPr>
              <w:t xml:space="preserve">实现干扰反制。</w:t>
            </w:r>
            <w:r>
              <w:rPr>
                <w:rFonts w:hint="eastAsia" w:ascii="宋体" w:hAnsi="宋体" w:cs="宋体"/>
                <w:color w:val="000000"/>
                <w:sz w:val="18"/>
                <w:szCs w:val="18"/>
              </w:rPr>
              <w:br/>
              <w:t xml:space="preserve">6. </w:t>
            </w:r>
            <w:r>
              <w:rPr>
                <w:rFonts w:hint="eastAsia" w:ascii="宋体" w:hAnsi="宋体" w:cs="宋体"/>
                <w:color w:val="000000"/>
                <w:sz w:val="18"/>
                <w:szCs w:val="18"/>
              </w:rPr>
              <w:t xml:space="preserve">探测距离：在城市环境（存在遮挡、显著电磁干扰）的条件下，探测距离≥</w:t>
            </w:r>
            <w:r>
              <w:rPr>
                <w:rFonts w:hint="eastAsia" w:ascii="宋体" w:hAnsi="宋体" w:cs="宋体"/>
                <w:color w:val="000000"/>
                <w:sz w:val="18"/>
                <w:szCs w:val="18"/>
              </w:rPr>
              <w:t xml:space="preserve">1km</w:t>
            </w:r>
            <w:r>
              <w:rPr>
                <w:rFonts w:hint="eastAsia" w:ascii="宋体" w:hAnsi="宋体" w:cs="宋体"/>
                <w:color w:val="000000"/>
                <w:sz w:val="18"/>
                <w:szCs w:val="18"/>
              </w:rPr>
              <w:t xml:space="preserve">；在近郊环境（存在遮挡、电磁干扰中等）的条件下，探测距离≥</w:t>
            </w:r>
            <w:r>
              <w:rPr>
                <w:rFonts w:hint="eastAsia" w:ascii="宋体" w:hAnsi="宋体" w:cs="宋体"/>
                <w:color w:val="000000"/>
                <w:sz w:val="18"/>
                <w:szCs w:val="18"/>
              </w:rPr>
              <w:t xml:space="preserve">1km</w:t>
            </w:r>
            <w:r>
              <w:rPr>
                <w:rFonts w:hint="eastAsia" w:ascii="宋体" w:hAnsi="宋体" w:cs="宋体"/>
                <w:color w:val="000000"/>
                <w:sz w:val="18"/>
                <w:szCs w:val="18"/>
              </w:rPr>
              <w:t xml:space="preserve">；在无明显遮挡、无明显电磁干扰的条件下，探测距离≥</w:t>
            </w:r>
            <w:r>
              <w:rPr>
                <w:rFonts w:hint="eastAsia" w:ascii="宋体" w:hAnsi="宋体" w:cs="宋体"/>
                <w:color w:val="000000"/>
                <w:sz w:val="18"/>
                <w:szCs w:val="18"/>
              </w:rPr>
              <w:t xml:space="preserve">2km</w:t>
            </w:r>
            <w:r>
              <w:rPr>
                <w:rFonts w:hint="eastAsia" w:ascii="宋体" w:hAnsi="宋体" w:cs="宋体"/>
                <w:color w:val="000000"/>
                <w:sz w:val="18"/>
                <w:szCs w:val="18"/>
              </w:rPr>
              <w:t xml:space="preserve">。</w:t>
            </w:r>
            <w:r>
              <w:rPr>
                <w:rFonts w:hint="eastAsia" w:ascii="宋体" w:hAnsi="宋体" w:cs="宋体"/>
                <w:color w:val="000000"/>
                <w:sz w:val="18"/>
                <w:szCs w:val="18"/>
              </w:rPr>
              <w:br/>
              <w:t xml:space="preserve">7. </w:t>
            </w:r>
            <w:r>
              <w:rPr>
                <w:rFonts w:hint="eastAsia" w:ascii="宋体" w:hAnsi="宋体" w:cs="宋体"/>
                <w:color w:val="000000"/>
                <w:sz w:val="18"/>
                <w:szCs w:val="18"/>
              </w:rPr>
              <w:t xml:space="preserve">同时探测能</w:t>
            </w:r>
            <w:r>
              <w:rPr>
                <w:rFonts w:hint="eastAsia" w:ascii="宋体" w:hAnsi="宋体" w:cs="宋体"/>
                <w:color w:val="000000"/>
                <w:sz w:val="18"/>
                <w:szCs w:val="18"/>
              </w:rPr>
              <w:t xml:space="preserve">力：同时探测数量应≥</w:t>
            </w:r>
            <w:r>
              <w:rPr>
                <w:rFonts w:hint="eastAsia" w:ascii="宋体" w:hAnsi="宋体" w:cs="宋体"/>
                <w:color w:val="000000"/>
                <w:sz w:val="18"/>
                <w:szCs w:val="18"/>
              </w:rPr>
              <w:t xml:space="preserve">25</w:t>
            </w:r>
            <w:r>
              <w:rPr>
                <w:rFonts w:hint="eastAsia" w:ascii="宋体" w:hAnsi="宋体" w:cs="宋体"/>
                <w:color w:val="000000"/>
                <w:sz w:val="18"/>
                <w:szCs w:val="18"/>
              </w:rPr>
              <w:t xml:space="preserve">架次。</w:t>
            </w:r>
            <w:r>
              <w:rPr>
                <w:rFonts w:hint="eastAsia" w:ascii="宋体" w:hAnsi="宋体" w:cs="宋体"/>
                <w:color w:val="000000"/>
                <w:sz w:val="18"/>
                <w:szCs w:val="18"/>
              </w:rPr>
              <w:br/>
              <w:t xml:space="preserve">8. </w:t>
            </w:r>
            <w:r>
              <w:rPr>
                <w:rFonts w:hint="eastAsia" w:ascii="宋体" w:hAnsi="宋体" w:cs="宋体"/>
                <w:color w:val="000000"/>
                <w:sz w:val="18"/>
                <w:szCs w:val="18"/>
              </w:rPr>
              <w:t xml:space="preserve">数据处理能力：数据处理能力应达到≥</w:t>
            </w:r>
            <w:r>
              <w:rPr>
                <w:rFonts w:hint="eastAsia" w:ascii="宋体" w:hAnsi="宋体" w:cs="宋体"/>
                <w:color w:val="000000"/>
                <w:sz w:val="18"/>
                <w:szCs w:val="18"/>
              </w:rPr>
              <w:t xml:space="preserve">500</w:t>
            </w:r>
            <w:r>
              <w:rPr>
                <w:rFonts w:hint="eastAsia" w:ascii="宋体" w:hAnsi="宋体" w:cs="宋体"/>
                <w:color w:val="000000"/>
                <w:sz w:val="18"/>
                <w:szCs w:val="18"/>
              </w:rPr>
              <w:t xml:space="preserve">个报文</w:t>
            </w:r>
            <w:r>
              <w:rPr>
                <w:rFonts w:hint="eastAsia" w:ascii="宋体" w:hAnsi="宋体" w:cs="宋体"/>
                <w:color w:val="000000"/>
                <w:sz w:val="18"/>
                <w:szCs w:val="18"/>
              </w:rPr>
              <w:t xml:space="preserve">/</w:t>
            </w:r>
            <w:r>
              <w:rPr>
                <w:rFonts w:hint="eastAsia" w:ascii="宋体" w:hAnsi="宋体" w:cs="宋体"/>
                <w:color w:val="000000"/>
                <w:sz w:val="18"/>
                <w:szCs w:val="18"/>
              </w:rPr>
              <w:t xml:space="preserve">秒。</w:t>
            </w:r>
            <w:r>
              <w:rPr>
                <w:rFonts w:hint="eastAsia" w:ascii="宋体" w:hAnsi="宋体" w:cs="宋体"/>
                <w:color w:val="000000"/>
                <w:sz w:val="18"/>
                <w:szCs w:val="18"/>
              </w:rPr>
              <w:br/>
              <w:t xml:space="preserve">9. </w:t>
            </w:r>
            <w:r>
              <w:rPr>
                <w:rFonts w:hint="eastAsia" w:ascii="宋体" w:hAnsi="宋体" w:cs="宋体"/>
                <w:color w:val="000000"/>
                <w:sz w:val="18"/>
                <w:szCs w:val="18"/>
              </w:rPr>
              <w:t xml:space="preserve">探测刷新时间：</w:t>
            </w:r>
            <w:r>
              <w:rPr>
                <w:rFonts w:hint="eastAsia" w:ascii="宋体" w:hAnsi="宋体" w:cs="宋体"/>
                <w:color w:val="000000"/>
                <w:sz w:val="18"/>
                <w:szCs w:val="18"/>
              </w:rPr>
              <w:t xml:space="preserve">系统</w:t>
            </w:r>
            <w:r>
              <w:rPr>
                <w:rFonts w:hint="eastAsia" w:ascii="宋体" w:hAnsi="宋体" w:cs="宋体"/>
                <w:color w:val="000000"/>
                <w:sz w:val="18"/>
                <w:szCs w:val="18"/>
              </w:rPr>
              <w:t xml:space="preserve">对无人机的探测刷新时间应≤</w:t>
            </w:r>
            <w:r>
              <w:rPr>
                <w:rFonts w:hint="eastAsia" w:ascii="宋体" w:hAnsi="宋体" w:cs="宋体"/>
                <w:color w:val="000000"/>
                <w:sz w:val="18"/>
                <w:szCs w:val="18"/>
              </w:rPr>
              <w:t xml:space="preserve">3s</w:t>
            </w:r>
            <w:r>
              <w:rPr>
                <w:rFonts w:hint="eastAsia" w:ascii="宋体" w:hAnsi="宋体" w:cs="宋体"/>
                <w:color w:val="000000"/>
                <w:sz w:val="18"/>
                <w:szCs w:val="18"/>
              </w:rPr>
              <w:br/>
              <w:t xml:space="preserve">10. </w:t>
            </w:r>
            <w:r>
              <w:rPr>
                <w:rFonts w:hint="eastAsia" w:ascii="宋体" w:hAnsi="宋体" w:cs="宋体"/>
                <w:color w:val="000000"/>
                <w:sz w:val="18"/>
                <w:szCs w:val="18"/>
              </w:rPr>
              <w:t xml:space="preserve">处理延时：</w:t>
            </w:r>
            <w:r>
              <w:rPr>
                <w:rFonts w:hint="eastAsia" w:ascii="宋体" w:hAnsi="宋体" w:cs="宋体"/>
                <w:color w:val="000000"/>
                <w:sz w:val="18"/>
                <w:szCs w:val="18"/>
              </w:rPr>
              <w:t xml:space="preserve">系统</w:t>
            </w:r>
            <w:r>
              <w:rPr>
                <w:rFonts w:hint="eastAsia" w:ascii="宋体" w:hAnsi="宋体" w:cs="宋体"/>
                <w:color w:val="000000"/>
                <w:sz w:val="18"/>
                <w:szCs w:val="18"/>
              </w:rPr>
              <w:t xml:space="preserve">处理延时应≤</w:t>
            </w:r>
            <w:r>
              <w:rPr>
                <w:rFonts w:hint="eastAsia" w:ascii="宋体" w:hAnsi="宋体" w:cs="宋体"/>
                <w:color w:val="000000"/>
                <w:sz w:val="18"/>
                <w:szCs w:val="18"/>
              </w:rPr>
              <w:t xml:space="preserve">10ms</w:t>
            </w:r>
            <w:r>
              <w:rPr>
                <w:rFonts w:hint="eastAsia" w:ascii="宋体" w:hAnsi="宋体" w:cs="宋体"/>
                <w:color w:val="000000"/>
                <w:sz w:val="18"/>
                <w:szCs w:val="18"/>
              </w:rPr>
              <w:t xml:space="preserve">。</w:t>
            </w:r>
            <w:r>
              <w:rPr>
                <w:rFonts w:hint="eastAsia" w:ascii="宋体" w:hAnsi="宋体" w:cs="宋体"/>
                <w:color w:val="000000"/>
                <w:sz w:val="18"/>
                <w:szCs w:val="18"/>
              </w:rPr>
              <w:br/>
              <w:t xml:space="preserve">11. </w:t>
            </w:r>
            <w:r>
              <w:rPr>
                <w:rFonts w:hint="eastAsia" w:ascii="宋体" w:hAnsi="宋体" w:cs="宋体"/>
                <w:color w:val="000000"/>
                <w:sz w:val="18"/>
                <w:szCs w:val="18"/>
              </w:rPr>
              <w:t xml:space="preserve">接收灵敏度：应能探测到信号强度≤</w:t>
            </w:r>
            <w:r>
              <w:rPr>
                <w:rFonts w:hint="eastAsia" w:ascii="宋体" w:hAnsi="宋体" w:cs="宋体"/>
                <w:color w:val="000000"/>
                <w:sz w:val="18"/>
                <w:szCs w:val="18"/>
              </w:rPr>
              <w:t xml:space="preserve">-105dBm</w:t>
            </w:r>
            <w:r>
              <w:rPr>
                <w:rFonts w:hint="eastAsia" w:ascii="宋体" w:hAnsi="宋体" w:cs="宋体"/>
                <w:color w:val="000000"/>
                <w:sz w:val="18"/>
                <w:szCs w:val="18"/>
              </w:rPr>
              <w:t xml:space="preserve">。</w:t>
            </w:r>
            <w:r>
              <w:rPr>
                <w:rFonts w:hint="eastAsia" w:ascii="宋体" w:hAnsi="宋体" w:cs="宋体"/>
                <w:color w:val="000000"/>
                <w:sz w:val="18"/>
                <w:szCs w:val="18"/>
              </w:rPr>
              <w:br/>
              <w:t xml:space="preserve">12. </w:t>
            </w:r>
            <w:r>
              <w:rPr>
                <w:rFonts w:hint="eastAsia" w:ascii="宋体" w:hAnsi="宋体" w:cs="宋体"/>
                <w:color w:val="000000"/>
                <w:sz w:val="18"/>
                <w:szCs w:val="18"/>
              </w:rPr>
              <w:t xml:space="preserve">探测响应时间：在无人机处于正常广播报文状态下，从开启</w:t>
            </w:r>
            <w:r>
              <w:rPr>
                <w:rFonts w:hint="eastAsia" w:ascii="宋体" w:hAnsi="宋体" w:cs="宋体"/>
                <w:color w:val="000000"/>
                <w:sz w:val="18"/>
                <w:szCs w:val="18"/>
              </w:rPr>
              <w:t xml:space="preserve">系统</w:t>
            </w:r>
            <w:r>
              <w:rPr>
                <w:rFonts w:hint="eastAsia" w:ascii="宋体" w:hAnsi="宋体" w:cs="宋体"/>
                <w:color w:val="000000"/>
                <w:sz w:val="18"/>
                <w:szCs w:val="18"/>
              </w:rPr>
              <w:t xml:space="preserve">探测功能至指控软件报警所需时间应≤</w:t>
            </w:r>
            <w:r>
              <w:rPr>
                <w:rFonts w:hint="eastAsia" w:ascii="宋体" w:hAnsi="宋体" w:cs="宋体"/>
                <w:color w:val="000000"/>
                <w:sz w:val="18"/>
                <w:szCs w:val="18"/>
              </w:rPr>
              <w:t xml:space="preserve">2s</w:t>
            </w:r>
            <w:r>
              <w:rPr>
                <w:rFonts w:hint="eastAsia" w:ascii="宋体" w:hAnsi="宋体" w:cs="宋体"/>
                <w:color w:val="000000"/>
                <w:sz w:val="18"/>
                <w:szCs w:val="18"/>
              </w:rPr>
              <w:t xml:space="preserve">。</w:t>
            </w:r>
            <w:r>
              <w:rPr>
                <w:rFonts w:hint="eastAsia" w:ascii="宋体" w:hAnsi="宋体" w:cs="宋体"/>
                <w:color w:val="000000"/>
                <w:sz w:val="18"/>
                <w:szCs w:val="18"/>
              </w:rPr>
              <w:br/>
              <w:t xml:space="preserve">13. </w:t>
            </w:r>
            <w:r>
              <w:rPr>
                <w:rFonts w:hint="eastAsia" w:ascii="宋体" w:hAnsi="宋体" w:cs="宋体"/>
                <w:color w:val="000000"/>
                <w:sz w:val="18"/>
                <w:szCs w:val="18"/>
              </w:rPr>
              <w:t xml:space="preserve">定位精度：</w:t>
            </w:r>
            <w:r>
              <w:rPr>
                <w:rFonts w:hint="eastAsia" w:ascii="宋体" w:hAnsi="宋体" w:cs="宋体"/>
                <w:color w:val="000000"/>
                <w:sz w:val="18"/>
                <w:szCs w:val="18"/>
              </w:rPr>
              <w:t xml:space="preserve">系统</w:t>
            </w:r>
            <w:r>
              <w:rPr>
                <w:rFonts w:hint="eastAsia" w:ascii="宋体" w:hAnsi="宋体" w:cs="宋体"/>
                <w:color w:val="000000"/>
                <w:sz w:val="18"/>
                <w:szCs w:val="18"/>
              </w:rPr>
              <w:t xml:space="preserve">探测到的无人机经纬度坐标与无人机实际经纬度坐标（水平偏差）的平均定位误差应≤</w:t>
            </w:r>
            <w:r>
              <w:rPr>
                <w:rFonts w:hint="eastAsia" w:ascii="宋体" w:hAnsi="宋体" w:cs="宋体"/>
                <w:color w:val="000000"/>
                <w:sz w:val="18"/>
                <w:szCs w:val="18"/>
              </w:rPr>
              <w:t xml:space="preserve">1m</w:t>
            </w:r>
            <w:r>
              <w:rPr>
                <w:rFonts w:hint="eastAsia" w:ascii="宋体" w:hAnsi="宋体" w:cs="宋体"/>
                <w:color w:val="000000"/>
                <w:sz w:val="18"/>
                <w:szCs w:val="18"/>
              </w:rPr>
              <w:t xml:space="preserve">；</w:t>
            </w:r>
            <w:r>
              <w:rPr>
                <w:rFonts w:hint="eastAsia" w:ascii="宋体" w:hAnsi="宋体" w:cs="宋体"/>
                <w:color w:val="000000"/>
                <w:sz w:val="18"/>
                <w:szCs w:val="18"/>
              </w:rPr>
              <w:t xml:space="preserve">系统</w:t>
            </w:r>
            <w:r>
              <w:rPr>
                <w:rFonts w:hint="eastAsia" w:ascii="宋体" w:hAnsi="宋体" w:cs="宋体"/>
                <w:color w:val="000000"/>
                <w:sz w:val="18"/>
                <w:szCs w:val="18"/>
              </w:rPr>
              <w:t xml:space="preserve">探测到无人机的飞行高度与无人机实际飞行高度（垂</w:t>
            </w:r>
            <w:r>
              <w:rPr>
                <w:rFonts w:hint="eastAsia" w:ascii="宋体" w:hAnsi="宋体" w:cs="宋体"/>
                <w:color w:val="000000"/>
                <w:sz w:val="18"/>
                <w:szCs w:val="18"/>
              </w:rPr>
              <w:t xml:space="preserve">直偏差）的平均高度误差应≤</w:t>
            </w:r>
            <w:r>
              <w:rPr>
                <w:rFonts w:hint="eastAsia" w:ascii="宋体" w:hAnsi="宋体" w:cs="宋体"/>
                <w:color w:val="000000"/>
                <w:sz w:val="18"/>
                <w:szCs w:val="18"/>
              </w:rPr>
              <w:t xml:space="preserve">1m</w:t>
            </w:r>
            <w:r>
              <w:rPr>
                <w:rFonts w:hint="eastAsia" w:ascii="宋体" w:hAnsi="宋体" w:cs="宋体"/>
                <w:color w:val="000000"/>
                <w:sz w:val="18"/>
                <w:szCs w:val="18"/>
              </w:rPr>
              <w:t xml:space="preserve">；</w:t>
            </w:r>
            <w:r>
              <w:rPr>
                <w:rFonts w:hint="eastAsia" w:ascii="宋体" w:hAnsi="宋体" w:cs="宋体"/>
                <w:color w:val="000000"/>
                <w:sz w:val="18"/>
                <w:szCs w:val="18"/>
              </w:rPr>
              <w:t xml:space="preserve">系统</w:t>
            </w:r>
            <w:r>
              <w:rPr>
                <w:rFonts w:hint="eastAsia" w:ascii="宋体" w:hAnsi="宋体" w:cs="宋体"/>
                <w:color w:val="000000"/>
                <w:sz w:val="18"/>
                <w:szCs w:val="18"/>
              </w:rPr>
              <w:t xml:space="preserve">探测到</w:t>
            </w:r>
            <w:r>
              <w:rPr>
                <w:rFonts w:hint="eastAsia" w:ascii="宋体" w:hAnsi="宋体" w:cs="宋体"/>
                <w:color w:val="000000"/>
                <w:sz w:val="18"/>
                <w:szCs w:val="18"/>
              </w:rPr>
              <w:t xml:space="preserve">的飞手经纬度</w:t>
            </w:r>
            <w:r>
              <w:rPr>
                <w:rFonts w:hint="eastAsia" w:ascii="宋体" w:hAnsi="宋体" w:cs="宋体"/>
                <w:color w:val="000000"/>
                <w:sz w:val="18"/>
                <w:szCs w:val="18"/>
              </w:rPr>
              <w:t xml:space="preserve">坐标与遥控器（飞手）实际经纬度坐标误差≤</w:t>
            </w:r>
            <w:r>
              <w:rPr>
                <w:rFonts w:hint="eastAsia" w:ascii="宋体" w:hAnsi="宋体" w:cs="宋体"/>
                <w:color w:val="000000"/>
                <w:sz w:val="18"/>
                <w:szCs w:val="18"/>
              </w:rPr>
              <w:t xml:space="preserve">2m</w:t>
            </w:r>
            <w:r>
              <w:rPr>
                <w:rFonts w:hint="eastAsia" w:ascii="宋体" w:hAnsi="宋体" w:cs="宋体"/>
                <w:color w:val="000000"/>
                <w:sz w:val="18"/>
                <w:szCs w:val="18"/>
              </w:rPr>
              <w:t xml:space="preserve">。</w:t>
            </w:r>
            <w:r>
              <w:rPr>
                <w:rFonts w:hint="eastAsia" w:ascii="宋体" w:hAnsi="宋体" w:cs="宋体"/>
                <w:color w:val="000000"/>
                <w:sz w:val="18"/>
                <w:szCs w:val="18"/>
              </w:rPr>
              <w:br/>
              <w:t xml:space="preserve">14. RID</w:t>
            </w:r>
            <w:r>
              <w:rPr>
                <w:rFonts w:hint="eastAsia" w:ascii="宋体" w:hAnsi="宋体" w:cs="宋体"/>
                <w:color w:val="000000"/>
                <w:sz w:val="18"/>
                <w:szCs w:val="18"/>
              </w:rPr>
              <w:t xml:space="preserve">信号无人机跟踪功能试验应能跟踪到飞行速度≥</w:t>
            </w:r>
            <w:r>
              <w:rPr>
                <w:rFonts w:hint="eastAsia" w:ascii="宋体" w:hAnsi="宋体" w:cs="宋体"/>
                <w:color w:val="000000"/>
                <w:sz w:val="18"/>
                <w:szCs w:val="18"/>
              </w:rPr>
              <w:t xml:space="preserve">25m/s</w:t>
            </w:r>
            <w:r>
              <w:rPr>
                <w:rFonts w:hint="eastAsia" w:ascii="宋体" w:hAnsi="宋体" w:cs="宋体"/>
                <w:color w:val="000000"/>
                <w:sz w:val="18"/>
                <w:szCs w:val="18"/>
              </w:rPr>
              <w:t xml:space="preserve">的</w:t>
            </w:r>
            <w:r>
              <w:rPr>
                <w:rFonts w:hint="eastAsia" w:ascii="宋体" w:hAnsi="宋体" w:cs="宋体"/>
                <w:color w:val="000000"/>
                <w:sz w:val="18"/>
                <w:szCs w:val="18"/>
              </w:rPr>
              <w:t xml:space="preserve">RID</w:t>
            </w:r>
            <w:r>
              <w:rPr>
                <w:rFonts w:hint="eastAsia" w:ascii="宋体" w:hAnsi="宋体" w:cs="宋体"/>
                <w:color w:val="000000"/>
                <w:sz w:val="18"/>
                <w:szCs w:val="18"/>
              </w:rPr>
              <w:t xml:space="preserve">协议无人机。</w:t>
            </w:r>
            <w:r>
              <w:rPr>
                <w:rFonts w:hint="eastAsia" w:ascii="宋体" w:hAnsi="宋体" w:cs="宋体"/>
                <w:color w:val="000000"/>
                <w:sz w:val="18"/>
                <w:szCs w:val="18"/>
              </w:rPr>
              <w:br/>
              <w:t xml:space="preserve">15. </w:t>
            </w:r>
            <w:r>
              <w:rPr>
                <w:rFonts w:hint="eastAsia" w:ascii="宋体" w:hAnsi="宋体" w:cs="宋体"/>
                <w:color w:val="000000"/>
                <w:sz w:val="18"/>
                <w:szCs w:val="18"/>
              </w:rPr>
              <w:t xml:space="preserve">探测成功率：在无明显遮挡、无明显电磁干扰的条件下，</w:t>
            </w:r>
            <w:r>
              <w:rPr>
                <w:rFonts w:hint="eastAsia" w:ascii="宋体" w:hAnsi="宋体" w:cs="宋体"/>
                <w:color w:val="000000"/>
                <w:sz w:val="18"/>
                <w:szCs w:val="18"/>
              </w:rPr>
              <w:t xml:space="preserve">系统</w:t>
            </w:r>
            <w:r>
              <w:rPr>
                <w:rFonts w:hint="eastAsia" w:ascii="宋体" w:hAnsi="宋体" w:cs="宋体"/>
                <w:color w:val="000000"/>
                <w:sz w:val="18"/>
                <w:szCs w:val="18"/>
              </w:rPr>
              <w:t xml:space="preserve">的探测成功率应≥</w:t>
            </w:r>
            <w:r>
              <w:rPr>
                <w:rFonts w:hint="eastAsia" w:ascii="宋体" w:hAnsi="宋体" w:cs="宋体"/>
                <w:color w:val="000000"/>
                <w:sz w:val="18"/>
                <w:szCs w:val="18"/>
              </w:rPr>
              <w:t xml:space="preserve">99%</w:t>
            </w:r>
            <w:r>
              <w:rPr>
                <w:rFonts w:hint="eastAsia" w:ascii="宋体" w:hAnsi="宋体" w:cs="宋体"/>
                <w:color w:val="000000"/>
                <w:sz w:val="18"/>
                <w:szCs w:val="18"/>
              </w:rPr>
              <w:t xml:space="preserve">，识别成功率应≥</w:t>
            </w:r>
            <w:r>
              <w:rPr>
                <w:rFonts w:hint="eastAsia" w:ascii="宋体" w:hAnsi="宋体" w:cs="宋体"/>
                <w:color w:val="000000"/>
                <w:sz w:val="18"/>
                <w:szCs w:val="18"/>
              </w:rPr>
              <w:t xml:space="preserve">99%</w:t>
            </w:r>
            <w:r>
              <w:rPr>
                <w:rFonts w:hint="eastAsia" w:ascii="宋体" w:hAnsi="宋体" w:cs="宋体"/>
                <w:color w:val="000000"/>
                <w:sz w:val="18"/>
                <w:szCs w:val="18"/>
              </w:rPr>
              <w:t xml:space="preserve">。</w:t>
            </w:r>
            <w:r>
              <w:rPr>
                <w:rFonts w:hint="eastAsia" w:ascii="宋体" w:hAnsi="宋体" w:cs="宋体"/>
                <w:color w:val="000000"/>
                <w:sz w:val="18"/>
                <w:szCs w:val="18"/>
              </w:rPr>
              <w:br/>
              <w:t xml:space="preserve">16. </w:t>
            </w:r>
            <w:r>
              <w:rPr>
                <w:rFonts w:hint="eastAsia" w:ascii="宋体" w:hAnsi="宋体" w:cs="宋体"/>
                <w:color w:val="000000"/>
                <w:sz w:val="18"/>
                <w:szCs w:val="18"/>
              </w:rPr>
              <w:t xml:space="preserve">探测角度：应覆盖</w:t>
            </w:r>
            <w:r>
              <w:rPr>
                <w:rFonts w:hint="eastAsia" w:ascii="宋体" w:hAnsi="宋体" w:cs="宋体"/>
                <w:color w:val="000000"/>
                <w:sz w:val="18"/>
                <w:szCs w:val="18"/>
              </w:rPr>
              <w:t xml:space="preserve">0</w:t>
            </w:r>
            <w:r>
              <w:rPr>
                <w:rFonts w:hint="eastAsia" w:ascii="宋体" w:hAnsi="宋体" w:cs="宋体"/>
                <w:color w:val="000000"/>
                <w:sz w:val="18"/>
                <w:szCs w:val="18"/>
              </w:rPr>
              <w:t xml:space="preserve">°～</w:t>
            </w:r>
            <w:r>
              <w:rPr>
                <w:rFonts w:hint="eastAsia" w:ascii="宋体" w:hAnsi="宋体" w:cs="宋体"/>
                <w:color w:val="000000"/>
                <w:sz w:val="18"/>
                <w:szCs w:val="18"/>
              </w:rPr>
              <w:t xml:space="preserve">360</w:t>
            </w:r>
            <w:r>
              <w:rPr>
                <w:rFonts w:hint="eastAsia" w:ascii="宋体" w:hAnsi="宋体" w:cs="宋体"/>
                <w:color w:val="000000"/>
                <w:sz w:val="18"/>
                <w:szCs w:val="18"/>
              </w:rPr>
              <w:t xml:space="preserve">°。</w:t>
            </w:r>
            <w:r>
              <w:rPr>
                <w:rFonts w:hint="eastAsia" w:ascii="宋体" w:hAnsi="宋体" w:cs="宋体"/>
                <w:color w:val="000000"/>
                <w:sz w:val="18"/>
                <w:szCs w:val="18"/>
              </w:rPr>
              <w:br/>
              <w:t xml:space="preserve">17. </w:t>
            </w:r>
            <w:r>
              <w:rPr>
                <w:rFonts w:hint="eastAsia" w:ascii="宋体" w:hAnsi="宋体" w:cs="宋体"/>
                <w:color w:val="000000"/>
                <w:sz w:val="18"/>
                <w:szCs w:val="18"/>
              </w:rPr>
              <w:t xml:space="preserve">探测高度：应≥</w:t>
            </w:r>
            <w:r>
              <w:rPr>
                <w:rFonts w:hint="eastAsia" w:ascii="宋体" w:hAnsi="宋体" w:cs="宋体"/>
                <w:color w:val="000000"/>
                <w:sz w:val="18"/>
                <w:szCs w:val="18"/>
              </w:rPr>
              <w:t xml:space="preserve">1000m</w:t>
            </w:r>
            <w:r>
              <w:rPr>
                <w:rFonts w:hint="eastAsia" w:ascii="宋体" w:hAnsi="宋体" w:cs="宋体"/>
                <w:color w:val="000000"/>
                <w:sz w:val="18"/>
                <w:szCs w:val="18"/>
              </w:rPr>
              <w:t xml:space="preserve">。</w:t>
            </w:r>
            <w:r>
              <w:rPr>
                <w:rFonts w:hint="eastAsia" w:ascii="宋体" w:hAnsi="宋体" w:cs="宋体"/>
                <w:color w:val="000000"/>
                <w:sz w:val="18"/>
                <w:szCs w:val="18"/>
              </w:rPr>
              <w:br/>
              <w:t xml:space="preserve">18. </w:t>
            </w:r>
            <w:r>
              <w:rPr>
                <w:rFonts w:hint="eastAsia" w:ascii="宋体" w:hAnsi="宋体" w:cs="宋体"/>
                <w:color w:val="000000"/>
                <w:sz w:val="18"/>
                <w:szCs w:val="18"/>
              </w:rPr>
              <w:t xml:space="preserve">同时显示无人机轨迹数量：</w:t>
            </w:r>
            <w:r>
              <w:rPr>
                <w:rFonts w:hint="eastAsia" w:ascii="宋体" w:hAnsi="宋体" w:cs="宋体"/>
                <w:color w:val="000000"/>
                <w:sz w:val="18"/>
                <w:szCs w:val="18"/>
              </w:rPr>
              <w:t xml:space="preserve">系统</w:t>
            </w:r>
            <w:r>
              <w:rPr>
                <w:rFonts w:hint="eastAsia" w:ascii="宋体" w:hAnsi="宋体" w:cs="宋体"/>
                <w:color w:val="000000"/>
                <w:sz w:val="18"/>
                <w:szCs w:val="18"/>
              </w:rPr>
              <w:t xml:space="preserve">应具备多目标轨迹同时跟踪和显示能力，同时探测到多个目标时应能通过不同颜色区分不同架次无人机的飞行轨</w:t>
            </w:r>
            <w:r>
              <w:rPr>
                <w:rFonts w:hint="eastAsia" w:ascii="宋体" w:hAnsi="宋体" w:cs="宋体"/>
                <w:color w:val="000000"/>
                <w:sz w:val="18"/>
                <w:szCs w:val="18"/>
              </w:rPr>
              <w:t xml:space="preserve">迹、不同遥控器（飞手）位置图标与对应无人机的连线；应能同时显示的无人机飞行轨迹数量应≥</w:t>
            </w:r>
            <w:r>
              <w:rPr>
                <w:rFonts w:hint="eastAsia" w:ascii="宋体" w:hAnsi="宋体" w:cs="宋体"/>
                <w:color w:val="000000"/>
                <w:sz w:val="18"/>
                <w:szCs w:val="18"/>
              </w:rPr>
              <w:t xml:space="preserve">50</w:t>
            </w:r>
            <w:r>
              <w:rPr>
                <w:rFonts w:hint="eastAsia" w:ascii="宋体" w:hAnsi="宋体" w:cs="宋体"/>
                <w:color w:val="000000"/>
                <w:sz w:val="18"/>
                <w:szCs w:val="18"/>
              </w:rPr>
              <w:t xml:space="preserve">条；应能同时显示的遥控器（飞手）与对应无人机的连线数量应≥</w:t>
            </w:r>
            <w:r>
              <w:rPr>
                <w:rFonts w:hint="eastAsia" w:ascii="宋体" w:hAnsi="宋体" w:cs="宋体"/>
                <w:color w:val="000000"/>
                <w:sz w:val="18"/>
                <w:szCs w:val="18"/>
              </w:rPr>
              <w:t xml:space="preserve">50</w:t>
            </w:r>
            <w:r>
              <w:rPr>
                <w:rFonts w:hint="eastAsia" w:ascii="宋体" w:hAnsi="宋体" w:cs="宋体"/>
                <w:color w:val="000000"/>
                <w:sz w:val="18"/>
                <w:szCs w:val="18"/>
              </w:rPr>
              <w:t xml:space="preserve">条。</w:t>
            </w:r>
            <w:r>
              <w:rPr>
                <w:rFonts w:hint="eastAsia" w:ascii="宋体" w:hAnsi="宋体" w:cs="宋体"/>
                <w:color w:val="000000"/>
                <w:sz w:val="18"/>
                <w:szCs w:val="18"/>
              </w:rPr>
              <w:br/>
              <w:t xml:space="preserve">19. </w:t>
            </w:r>
            <w:r>
              <w:rPr>
                <w:rFonts w:hint="eastAsia" w:ascii="宋体" w:hAnsi="宋体" w:cs="宋体"/>
                <w:color w:val="000000"/>
                <w:sz w:val="18"/>
                <w:szCs w:val="18"/>
              </w:rPr>
              <w:t xml:space="preserve">供电方式：支持</w:t>
            </w:r>
            <w:r>
              <w:rPr>
                <w:rFonts w:hint="eastAsia" w:ascii="宋体" w:hAnsi="宋体" w:cs="宋体"/>
                <w:color w:val="000000"/>
                <w:sz w:val="18"/>
                <w:szCs w:val="18"/>
              </w:rPr>
              <w:t xml:space="preserve">AC110V</w:t>
            </w:r>
            <w:r>
              <w:rPr>
                <w:rFonts w:hint="eastAsia" w:ascii="宋体" w:hAnsi="宋体" w:cs="宋体"/>
                <w:color w:val="000000"/>
                <w:sz w:val="18"/>
                <w:szCs w:val="18"/>
              </w:rPr>
              <w:t xml:space="preserve">～</w:t>
            </w:r>
            <w:r>
              <w:rPr>
                <w:rFonts w:hint="eastAsia" w:ascii="宋体" w:hAnsi="宋体" w:cs="宋体"/>
                <w:color w:val="000000"/>
                <w:sz w:val="18"/>
                <w:szCs w:val="18"/>
              </w:rPr>
              <w:t xml:space="preserve">240V</w:t>
            </w:r>
            <w:r>
              <w:rPr>
                <w:rFonts w:hint="eastAsia" w:ascii="宋体" w:hAnsi="宋体" w:cs="宋体"/>
                <w:color w:val="000000"/>
                <w:sz w:val="18"/>
                <w:szCs w:val="18"/>
              </w:rPr>
              <w:t xml:space="preserve">供电。</w:t>
            </w:r>
            <w:r>
              <w:rPr>
                <w:rFonts w:hint="eastAsia" w:ascii="宋体" w:hAnsi="宋体" w:cs="宋体"/>
                <w:color w:val="000000"/>
                <w:sz w:val="18"/>
                <w:szCs w:val="18"/>
              </w:rPr>
              <w:br/>
              <w:t xml:space="preserve">20. </w:t>
            </w:r>
            <w:r>
              <w:rPr>
                <w:rFonts w:hint="eastAsia" w:ascii="宋体" w:hAnsi="宋体" w:cs="宋体"/>
                <w:color w:val="000000"/>
                <w:sz w:val="18"/>
                <w:szCs w:val="18"/>
              </w:rPr>
              <w:t xml:space="preserve">持续工作时间：正常供电条件下，</w:t>
            </w:r>
            <w:r>
              <w:rPr>
                <w:rFonts w:hint="eastAsia" w:ascii="宋体" w:hAnsi="宋体" w:cs="宋体"/>
                <w:color w:val="000000"/>
                <w:sz w:val="18"/>
                <w:szCs w:val="18"/>
              </w:rPr>
              <w:t xml:space="preserve">系统</w:t>
            </w:r>
            <w:r>
              <w:rPr>
                <w:rFonts w:hint="eastAsia" w:ascii="宋体" w:hAnsi="宋体" w:cs="宋体"/>
                <w:color w:val="000000"/>
                <w:sz w:val="18"/>
                <w:szCs w:val="18"/>
              </w:rPr>
              <w:t xml:space="preserve">支持</w:t>
            </w:r>
            <w:r>
              <w:rPr>
                <w:rFonts w:hint="eastAsia" w:ascii="宋体" w:hAnsi="宋体" w:cs="宋体"/>
                <w:color w:val="000000"/>
                <w:sz w:val="18"/>
                <w:szCs w:val="18"/>
              </w:rPr>
              <w:t xml:space="preserve">7*24</w:t>
            </w:r>
            <w:r>
              <w:rPr>
                <w:rFonts w:hint="eastAsia" w:ascii="宋体" w:hAnsi="宋体" w:cs="宋体"/>
                <w:color w:val="000000"/>
                <w:sz w:val="18"/>
                <w:szCs w:val="18"/>
              </w:rPr>
              <w:t xml:space="preserve">小时工作能力。</w:t>
            </w:r>
            <w:r>
              <w:rPr>
                <w:rFonts w:hint="eastAsia" w:ascii="宋体" w:hAnsi="宋体" w:cs="宋体"/>
                <w:color w:val="000000"/>
                <w:sz w:val="18"/>
                <w:szCs w:val="18"/>
              </w:rPr>
              <w:br/>
              <w:t xml:space="preserve">21. </w:t>
            </w:r>
            <w:r>
              <w:rPr>
                <w:rFonts w:hint="eastAsia" w:ascii="宋体" w:hAnsi="宋体" w:cs="宋体"/>
                <w:color w:val="000000"/>
                <w:sz w:val="18"/>
                <w:szCs w:val="18"/>
              </w:rPr>
              <w:t xml:space="preserve">协议兼容性：符合中</w:t>
            </w:r>
            <w:r>
              <w:rPr>
                <w:rFonts w:hint="eastAsia" w:ascii="宋体" w:hAnsi="宋体" w:cs="宋体"/>
                <w:color w:val="000000"/>
                <w:sz w:val="18"/>
                <w:szCs w:val="18"/>
              </w:rPr>
              <w:t xml:space="preserve">/</w:t>
            </w:r>
            <w:r>
              <w:rPr>
                <w:rFonts w:hint="eastAsia" w:ascii="宋体" w:hAnsi="宋体" w:cs="宋体"/>
                <w:color w:val="000000"/>
                <w:sz w:val="18"/>
                <w:szCs w:val="18"/>
              </w:rPr>
              <w:t xml:space="preserve">美</w:t>
            </w:r>
            <w:r>
              <w:rPr>
                <w:rFonts w:hint="eastAsia" w:ascii="宋体" w:hAnsi="宋体" w:cs="宋体"/>
                <w:color w:val="000000"/>
                <w:sz w:val="18"/>
                <w:szCs w:val="18"/>
              </w:rPr>
              <w:t xml:space="preserve">/</w:t>
            </w:r>
            <w:r>
              <w:rPr>
                <w:rFonts w:hint="eastAsia" w:ascii="宋体" w:hAnsi="宋体" w:cs="宋体"/>
                <w:color w:val="000000"/>
                <w:sz w:val="18"/>
                <w:szCs w:val="18"/>
              </w:rPr>
              <w:t xml:space="preserve">欧三国标准规定，中国</w:t>
            </w:r>
            <w:r>
              <w:rPr>
                <w:rFonts w:hint="eastAsia" w:ascii="宋体" w:hAnsi="宋体" w:cs="宋体"/>
                <w:color w:val="000000"/>
                <w:sz w:val="18"/>
                <w:szCs w:val="18"/>
              </w:rPr>
              <w:t xml:space="preserve">GB42590-2023</w:t>
            </w:r>
            <w:r>
              <w:rPr>
                <w:rFonts w:hint="eastAsia" w:ascii="宋体" w:hAnsi="宋体" w:cs="宋体"/>
                <w:color w:val="000000"/>
                <w:sz w:val="18"/>
                <w:szCs w:val="18"/>
              </w:rPr>
              <w:t xml:space="preserve">、美国</w:t>
            </w:r>
            <w:r>
              <w:rPr>
                <w:rFonts w:hint="eastAsia" w:ascii="宋体" w:hAnsi="宋体" w:cs="宋体"/>
                <w:color w:val="000000"/>
                <w:sz w:val="18"/>
                <w:szCs w:val="18"/>
              </w:rPr>
              <w:t xml:space="preserve">ASTMF3411-22a</w:t>
            </w:r>
            <w:r>
              <w:rPr>
                <w:rFonts w:hint="eastAsia" w:ascii="宋体" w:hAnsi="宋体" w:cs="宋体"/>
                <w:color w:val="000000"/>
                <w:sz w:val="18"/>
                <w:szCs w:val="18"/>
              </w:rPr>
              <w:t xml:space="preserve">、欧盟</w:t>
            </w:r>
            <w:r>
              <w:rPr>
                <w:rFonts w:hint="eastAsia" w:ascii="宋体" w:hAnsi="宋体" w:cs="宋体"/>
                <w:color w:val="000000"/>
                <w:sz w:val="18"/>
                <w:szCs w:val="18"/>
              </w:rPr>
              <w:t xml:space="preserve">ASD-STANPrEN4709-002</w:t>
            </w:r>
            <w:r>
              <w:rPr>
                <w:rFonts w:hint="eastAsia" w:ascii="宋体" w:hAnsi="宋体" w:cs="宋体"/>
                <w:color w:val="000000"/>
                <w:sz w:val="18"/>
                <w:szCs w:val="18"/>
              </w:rPr>
              <w:t xml:space="preserve">。</w:t>
            </w:r>
            <w:r/>
          </w:p>
          <w:p>
            <w:pPr>
              <w:jc w:val="left"/>
              <w:widowControl/>
              <w:rPr>
                <w:rFonts w:ascii="宋体" w:hAnsi="宋体" w:cs="宋体"/>
                <w:color w:val="000000"/>
                <w:sz w:val="18"/>
                <w:szCs w:val="18"/>
              </w:rPr>
            </w:pPr>
            <w:r>
              <w:rPr>
                <w:rFonts w:hint="eastAsia" w:ascii="宋体" w:hAnsi="宋体" w:cs="宋体"/>
                <w:color w:val="000000"/>
                <w:sz w:val="18"/>
                <w:szCs w:val="18"/>
              </w:rPr>
              <w:t xml:space="preserve">22. </w:t>
            </w:r>
            <w:r>
              <w:rPr>
                <w:rFonts w:hint="eastAsia" w:ascii="宋体" w:hAnsi="宋体" w:cs="宋体"/>
                <w:color w:val="000000"/>
                <w:sz w:val="18"/>
                <w:szCs w:val="18"/>
              </w:rPr>
              <w:t xml:space="preserve">配套软件系统，开放接口对接。</w:t>
            </w:r>
            <w:r/>
          </w:p>
          <w:p>
            <w:pPr>
              <w:pStyle w:val="767"/>
            </w:pPr>
            <w:r/>
            <w:r/>
          </w:p>
        </w:tc>
        <w:tc>
          <w:tcPr>
            <w:tcBorders>
              <w:top w:val="single" w:color="auto" w:sz="4" w:space="0"/>
              <w:left w:val="single" w:color="auto" w:sz="4" w:space="0"/>
              <w:bottom w:val="single" w:color="auto" w:sz="4" w:space="0"/>
              <w:right w:val="single" w:color="auto" w:sz="4" w:space="0"/>
            </w:tcBorders>
            <w:tcW w:w="34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套</w:t>
            </w:r>
            <w:r/>
          </w:p>
        </w:tc>
        <w:tc>
          <w:tcPr>
            <w:tcBorders>
              <w:top w:val="single" w:color="auto" w:sz="4" w:space="0"/>
              <w:left w:val="single" w:color="auto" w:sz="4" w:space="0"/>
              <w:bottom w:val="single" w:color="auto" w:sz="4" w:space="0"/>
              <w:right w:val="single" w:color="auto" w:sz="4" w:space="0"/>
            </w:tcBorders>
            <w:tcW w:w="44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30</w:t>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12</w:t>
            </w:r>
            <w:r/>
          </w:p>
        </w:tc>
        <w:tc>
          <w:tcPr>
            <w:gridSpan w:val="3"/>
            <w:tcBorders>
              <w:top w:val="single" w:color="auto" w:sz="4" w:space="0"/>
              <w:left w:val="none" w:color="000000" w:sz="4" w:space="0"/>
              <w:bottom w:val="none" w:color="000000" w:sz="4" w:space="0"/>
              <w:right w:val="single" w:color="auto" w:sz="4" w:space="0"/>
            </w:tcBorders>
            <w:tcW w:w="2530"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无人机</w:t>
            </w:r>
            <w:r>
              <w:rPr>
                <w:rFonts w:hint="eastAsia" w:ascii="宋体" w:hAnsi="宋体" w:cs="宋体"/>
                <w:color w:val="000000"/>
                <w:sz w:val="24"/>
                <w:szCs w:val="24"/>
              </w:rPr>
              <w:t xml:space="preserve">识别肩灯模块</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　</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　</w:t>
            </w:r>
            <w:r/>
          </w:p>
        </w:tc>
        <w:tc>
          <w:tcPr>
            <w:tcBorders>
              <w:top w:val="single" w:color="auto" w:sz="4" w:space="0"/>
              <w:left w:val="none" w:color="000000" w:sz="4" w:space="0"/>
              <w:bottom w:val="single" w:color="auto" w:sz="4" w:space="0"/>
              <w:right w:val="single" w:color="auto" w:sz="4" w:space="0"/>
            </w:tcBorders>
            <w:tcW w:w="512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1. </w:t>
            </w:r>
            <w:r>
              <w:rPr>
                <w:rFonts w:hint="eastAsia" w:ascii="宋体" w:hAnsi="宋体" w:cs="宋体"/>
                <w:color w:val="000000"/>
                <w:sz w:val="18"/>
                <w:szCs w:val="18"/>
              </w:rPr>
              <w:t xml:space="preserve">工作模式</w:t>
            </w:r>
            <w:r>
              <w:rPr>
                <w:rFonts w:hint="eastAsia" w:ascii="宋体" w:hAnsi="宋体" w:cs="宋体"/>
                <w:color w:val="000000"/>
                <w:sz w:val="18"/>
                <w:szCs w:val="18"/>
              </w:rPr>
              <w:t xml:space="preserve"> </w:t>
            </w:r>
            <w:r>
              <w:rPr>
                <w:rFonts w:hint="eastAsia" w:ascii="宋体" w:hAnsi="宋体" w:cs="宋体"/>
                <w:color w:val="000000"/>
                <w:sz w:val="18"/>
                <w:szCs w:val="18"/>
              </w:rPr>
              <w:t xml:space="preserve">无源侦测</w:t>
            </w:r>
            <w:r>
              <w:rPr>
                <w:rFonts w:hint="eastAsia" w:ascii="宋体" w:hAnsi="宋体" w:cs="宋体"/>
                <w:color w:val="000000"/>
                <w:sz w:val="18"/>
                <w:szCs w:val="18"/>
              </w:rPr>
              <w:br/>
              <w:t xml:space="preserve">2. </w:t>
            </w:r>
            <w:r>
              <w:rPr>
                <w:rFonts w:hint="eastAsia" w:ascii="宋体" w:hAnsi="宋体" w:cs="宋体"/>
                <w:color w:val="000000"/>
                <w:sz w:val="18"/>
                <w:szCs w:val="18"/>
              </w:rPr>
              <w:t xml:space="preserve">工作频段</w:t>
            </w:r>
            <w:r>
              <w:rPr>
                <w:rFonts w:hint="eastAsia" w:ascii="宋体" w:hAnsi="宋体" w:cs="宋体"/>
                <w:color w:val="000000"/>
                <w:sz w:val="18"/>
                <w:szCs w:val="18"/>
              </w:rPr>
              <w:t xml:space="preserve"> 2. 4GHz</w:t>
            </w:r>
            <w:r>
              <w:rPr>
                <w:rFonts w:hint="eastAsia" w:ascii="宋体" w:hAnsi="宋体" w:cs="宋体"/>
                <w:color w:val="000000"/>
                <w:sz w:val="18"/>
                <w:szCs w:val="18"/>
              </w:rPr>
              <w:t xml:space="preserve">、</w:t>
            </w:r>
            <w:r>
              <w:rPr>
                <w:rFonts w:hint="eastAsia" w:ascii="宋体" w:hAnsi="宋体" w:cs="宋体"/>
                <w:color w:val="000000"/>
                <w:sz w:val="18"/>
                <w:szCs w:val="18"/>
              </w:rPr>
              <w:t xml:space="preserve">5. 8GHz</w:t>
            </w:r>
            <w:r>
              <w:rPr>
                <w:rFonts w:hint="eastAsia" w:ascii="宋体" w:hAnsi="宋体" w:cs="宋体"/>
                <w:color w:val="000000"/>
                <w:sz w:val="18"/>
                <w:szCs w:val="18"/>
              </w:rPr>
              <w:t xml:space="preserve">、双频</w:t>
            </w:r>
            <w:r>
              <w:rPr>
                <w:rFonts w:hint="eastAsia" w:ascii="宋体" w:hAnsi="宋体" w:cs="宋体"/>
                <w:color w:val="000000"/>
                <w:sz w:val="18"/>
                <w:szCs w:val="18"/>
              </w:rPr>
              <w:t xml:space="preserve">WiFi6</w:t>
            </w:r>
            <w:r>
              <w:rPr>
                <w:rFonts w:hint="eastAsia" w:ascii="宋体" w:hAnsi="宋体" w:cs="宋体"/>
                <w:color w:val="000000"/>
                <w:sz w:val="18"/>
                <w:szCs w:val="18"/>
              </w:rPr>
              <w:br/>
              <w:t xml:space="preserve">3. </w:t>
            </w:r>
            <w:r>
              <w:rPr>
                <w:rFonts w:hint="eastAsia" w:ascii="宋体" w:hAnsi="宋体" w:cs="宋体"/>
                <w:color w:val="000000"/>
                <w:sz w:val="18"/>
                <w:szCs w:val="18"/>
              </w:rPr>
              <w:t xml:space="preserve">续航时间</w:t>
            </w:r>
            <w:r>
              <w:rPr>
                <w:rFonts w:hint="eastAsia" w:ascii="宋体" w:hAnsi="宋体" w:cs="宋体"/>
                <w:color w:val="000000"/>
                <w:sz w:val="18"/>
                <w:szCs w:val="18"/>
              </w:rPr>
              <w:t xml:space="preserve"> 12h</w:t>
            </w:r>
            <w:r>
              <w:rPr>
                <w:rFonts w:hint="eastAsia" w:ascii="宋体" w:hAnsi="宋体" w:cs="宋体"/>
                <w:color w:val="000000"/>
                <w:sz w:val="18"/>
                <w:szCs w:val="18"/>
              </w:rPr>
              <w:br/>
              <w:t xml:space="preserve">4. </w:t>
            </w:r>
            <w:r>
              <w:rPr>
                <w:rFonts w:hint="eastAsia" w:ascii="宋体" w:hAnsi="宋体" w:cs="宋体"/>
                <w:color w:val="000000"/>
                <w:sz w:val="18"/>
                <w:szCs w:val="18"/>
              </w:rPr>
              <w:t xml:space="preserve">供电方式</w:t>
            </w:r>
            <w:r>
              <w:rPr>
                <w:rFonts w:hint="eastAsia" w:ascii="宋体" w:hAnsi="宋体" w:cs="宋体"/>
                <w:color w:val="000000"/>
                <w:sz w:val="18"/>
                <w:szCs w:val="18"/>
              </w:rPr>
              <w:t xml:space="preserve"> </w:t>
            </w:r>
            <w:r>
              <w:rPr>
                <w:rFonts w:hint="eastAsia" w:ascii="宋体" w:hAnsi="宋体" w:cs="宋体"/>
                <w:color w:val="000000"/>
                <w:sz w:val="18"/>
                <w:szCs w:val="18"/>
              </w:rPr>
              <w:t xml:space="preserve">电池供电</w:t>
            </w:r>
            <w:r>
              <w:rPr>
                <w:rFonts w:hint="eastAsia" w:ascii="宋体" w:hAnsi="宋体" w:cs="宋体"/>
                <w:color w:val="000000"/>
                <w:sz w:val="18"/>
                <w:szCs w:val="18"/>
              </w:rPr>
              <w:br/>
              <w:t xml:space="preserve">5. </w:t>
            </w:r>
            <w:r>
              <w:rPr>
                <w:rFonts w:hint="eastAsia" w:ascii="宋体" w:hAnsi="宋体" w:cs="宋体"/>
                <w:color w:val="000000"/>
                <w:sz w:val="18"/>
                <w:szCs w:val="18"/>
              </w:rPr>
              <w:t xml:space="preserve">防护等级</w:t>
            </w:r>
            <w:r>
              <w:rPr>
                <w:rFonts w:hint="eastAsia" w:ascii="宋体" w:hAnsi="宋体" w:cs="宋体"/>
                <w:color w:val="000000"/>
                <w:sz w:val="18"/>
                <w:szCs w:val="18"/>
              </w:rPr>
              <w:t xml:space="preserve"> IP66</w:t>
            </w:r>
            <w:r>
              <w:rPr>
                <w:rFonts w:hint="eastAsia" w:ascii="宋体" w:hAnsi="宋体" w:cs="宋体"/>
                <w:color w:val="000000"/>
                <w:sz w:val="18"/>
                <w:szCs w:val="18"/>
              </w:rPr>
              <w:br/>
              <w:t xml:space="preserve">6. </w:t>
            </w:r>
            <w:r>
              <w:rPr>
                <w:rFonts w:hint="eastAsia" w:ascii="宋体" w:hAnsi="宋体" w:cs="宋体"/>
                <w:color w:val="000000"/>
                <w:sz w:val="18"/>
                <w:szCs w:val="18"/>
              </w:rPr>
              <w:t xml:space="preserve">监测半径</w:t>
            </w:r>
            <w:r>
              <w:rPr>
                <w:rFonts w:hint="eastAsia" w:ascii="宋体" w:hAnsi="宋体" w:cs="宋体"/>
                <w:color w:val="000000"/>
                <w:sz w:val="18"/>
                <w:szCs w:val="18"/>
              </w:rPr>
              <w:t xml:space="preserve"> </w:t>
            </w:r>
            <w:r>
              <w:rPr>
                <w:rFonts w:hint="eastAsia" w:ascii="宋体" w:hAnsi="宋体" w:cs="宋体"/>
                <w:color w:val="000000"/>
                <w:sz w:val="18"/>
                <w:szCs w:val="18"/>
              </w:rPr>
              <w:t xml:space="preserve">≤</w:t>
            </w:r>
            <w:r>
              <w:rPr>
                <w:rFonts w:hint="eastAsia" w:ascii="宋体" w:hAnsi="宋体" w:cs="宋体"/>
                <w:color w:val="000000"/>
                <w:sz w:val="18"/>
                <w:szCs w:val="18"/>
              </w:rPr>
              <w:t xml:space="preserve">2km</w:t>
            </w:r>
            <w:r>
              <w:rPr>
                <w:rFonts w:hint="eastAsia" w:ascii="宋体" w:hAnsi="宋体" w:cs="宋体"/>
                <w:color w:val="000000"/>
                <w:sz w:val="18"/>
                <w:szCs w:val="18"/>
              </w:rPr>
              <w:br/>
              <w:t xml:space="preserve">7. </w:t>
            </w:r>
            <w:r>
              <w:rPr>
                <w:rFonts w:hint="eastAsia" w:ascii="宋体" w:hAnsi="宋体" w:cs="宋体"/>
                <w:color w:val="000000"/>
                <w:sz w:val="18"/>
                <w:szCs w:val="18"/>
              </w:rPr>
              <w:t xml:space="preserve">报警方式</w:t>
            </w:r>
            <w:r>
              <w:rPr>
                <w:rFonts w:hint="eastAsia" w:ascii="宋体" w:hAnsi="宋体" w:cs="宋体"/>
                <w:color w:val="000000"/>
                <w:sz w:val="18"/>
                <w:szCs w:val="18"/>
              </w:rPr>
              <w:t xml:space="preserve"> </w:t>
            </w:r>
            <w:r>
              <w:rPr>
                <w:rFonts w:hint="eastAsia" w:ascii="宋体" w:hAnsi="宋体" w:cs="宋体"/>
                <w:color w:val="000000"/>
                <w:sz w:val="18"/>
                <w:szCs w:val="18"/>
              </w:rPr>
              <w:t xml:space="preserve">声音、灯光、震动、</w:t>
            </w:r>
            <w:r>
              <w:rPr>
                <w:rFonts w:hint="eastAsia" w:ascii="宋体" w:hAnsi="宋体" w:cs="宋体"/>
                <w:color w:val="000000"/>
                <w:sz w:val="18"/>
                <w:szCs w:val="18"/>
              </w:rPr>
              <w:t xml:space="preserve">APP</w:t>
            </w:r>
            <w:r>
              <w:rPr>
                <w:rFonts w:hint="eastAsia" w:ascii="宋体" w:hAnsi="宋体" w:cs="宋体"/>
                <w:color w:val="000000"/>
                <w:sz w:val="18"/>
                <w:szCs w:val="18"/>
              </w:rPr>
              <w:br/>
              <w:t xml:space="preserve">8. </w:t>
            </w:r>
            <w:r>
              <w:rPr>
                <w:rFonts w:hint="eastAsia" w:ascii="宋体" w:hAnsi="宋体" w:cs="宋体"/>
                <w:color w:val="000000"/>
                <w:sz w:val="18"/>
                <w:szCs w:val="18"/>
              </w:rPr>
              <w:t xml:space="preserve">支持机型</w:t>
            </w:r>
            <w:r>
              <w:rPr>
                <w:rFonts w:hint="eastAsia" w:ascii="宋体" w:hAnsi="宋体" w:cs="宋体"/>
                <w:color w:val="000000"/>
                <w:sz w:val="18"/>
                <w:szCs w:val="18"/>
              </w:rPr>
              <w:t xml:space="preserve"> </w:t>
            </w:r>
            <w:r>
              <w:rPr>
                <w:rFonts w:hint="eastAsia" w:ascii="宋体" w:hAnsi="宋体" w:cs="宋体"/>
                <w:color w:val="000000"/>
                <w:sz w:val="18"/>
                <w:szCs w:val="18"/>
              </w:rPr>
              <w:t xml:space="preserve">主动广播</w:t>
            </w:r>
            <w:r>
              <w:rPr>
                <w:rFonts w:hint="eastAsia" w:ascii="宋体" w:hAnsi="宋体" w:cs="宋体"/>
                <w:color w:val="000000"/>
                <w:sz w:val="18"/>
                <w:szCs w:val="18"/>
              </w:rPr>
              <w:t xml:space="preserve">Remote ID</w:t>
            </w:r>
            <w:r>
              <w:rPr>
                <w:rFonts w:hint="eastAsia" w:ascii="宋体" w:hAnsi="宋体" w:cs="宋体"/>
                <w:color w:val="000000"/>
                <w:sz w:val="18"/>
                <w:szCs w:val="18"/>
              </w:rPr>
              <w:t xml:space="preserve">信号的无人机</w:t>
            </w:r>
            <w:r>
              <w:rPr>
                <w:rFonts w:hint="eastAsia" w:ascii="宋体" w:hAnsi="宋体" w:cs="宋体"/>
                <w:color w:val="000000"/>
                <w:sz w:val="18"/>
                <w:szCs w:val="18"/>
              </w:rPr>
              <w:br/>
              <w:t xml:space="preserve">9. </w:t>
            </w:r>
            <w:r>
              <w:rPr>
                <w:rFonts w:hint="eastAsia" w:ascii="宋体" w:hAnsi="宋体" w:cs="宋体"/>
                <w:color w:val="000000"/>
                <w:sz w:val="18"/>
                <w:szCs w:val="18"/>
              </w:rPr>
              <w:t xml:space="preserve">操作方式</w:t>
            </w:r>
            <w:r>
              <w:rPr>
                <w:rFonts w:hint="eastAsia" w:ascii="宋体" w:hAnsi="宋体" w:cs="宋体"/>
                <w:color w:val="000000"/>
                <w:sz w:val="18"/>
                <w:szCs w:val="18"/>
              </w:rPr>
              <w:t xml:space="preserve"> </w:t>
            </w:r>
            <w:r>
              <w:rPr>
                <w:rFonts w:hint="eastAsia" w:ascii="宋体" w:hAnsi="宋体" w:cs="宋体"/>
                <w:color w:val="000000"/>
                <w:sz w:val="18"/>
                <w:szCs w:val="18"/>
              </w:rPr>
              <w:t xml:space="preserve">蓝牙连接</w:t>
            </w:r>
            <w:r>
              <w:rPr>
                <w:rFonts w:hint="eastAsia" w:ascii="宋体" w:hAnsi="宋体" w:cs="宋体"/>
                <w:color w:val="000000"/>
                <w:sz w:val="18"/>
                <w:szCs w:val="18"/>
              </w:rPr>
              <w:t xml:space="preserve">手机</w:t>
            </w:r>
            <w:r>
              <w:rPr>
                <w:rFonts w:hint="eastAsia" w:ascii="宋体" w:hAnsi="宋体" w:cs="宋体"/>
                <w:color w:val="000000"/>
                <w:sz w:val="18"/>
                <w:szCs w:val="18"/>
              </w:rPr>
              <w:t xml:space="preserve">APP</w:t>
            </w:r>
            <w:r>
              <w:rPr>
                <w:rFonts w:hint="eastAsia" w:ascii="宋体" w:hAnsi="宋体" w:cs="宋体"/>
                <w:color w:val="000000"/>
                <w:sz w:val="18"/>
                <w:szCs w:val="18"/>
              </w:rPr>
              <w:br/>
              <w:t xml:space="preserve">10. </w:t>
            </w:r>
            <w:r>
              <w:rPr>
                <w:rFonts w:hint="eastAsia" w:ascii="宋体" w:hAnsi="宋体" w:cs="宋体"/>
                <w:color w:val="000000"/>
                <w:sz w:val="18"/>
                <w:szCs w:val="18"/>
              </w:rPr>
              <w:t xml:space="preserve">兼容</w:t>
            </w:r>
            <w:r>
              <w:rPr>
                <w:rFonts w:hint="eastAsia" w:ascii="宋体" w:hAnsi="宋体" w:cs="宋体"/>
                <w:color w:val="000000"/>
                <w:sz w:val="18"/>
                <w:szCs w:val="18"/>
              </w:rPr>
              <w:t xml:space="preserve">GB 42590-2023</w:t>
            </w:r>
            <w:r>
              <w:rPr>
                <w:rFonts w:hint="eastAsia" w:ascii="宋体" w:hAnsi="宋体" w:cs="宋体"/>
                <w:color w:val="000000"/>
                <w:sz w:val="18"/>
                <w:szCs w:val="18"/>
              </w:rPr>
              <w:t xml:space="preserve">《民用无人驾驶航空器系统运行识别规范》等国家标准。</w:t>
            </w:r>
            <w:r/>
          </w:p>
        </w:tc>
        <w:tc>
          <w:tcPr>
            <w:tcBorders>
              <w:top w:val="single" w:color="auto" w:sz="4" w:space="0"/>
              <w:left w:val="none" w:color="000000" w:sz="4" w:space="0"/>
              <w:bottom w:val="single" w:color="auto" w:sz="4" w:space="0"/>
              <w:right w:val="single" w:color="auto" w:sz="4" w:space="0"/>
            </w:tcBorders>
            <w:tcW w:w="34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套</w:t>
            </w:r>
            <w:r/>
          </w:p>
        </w:tc>
        <w:tc>
          <w:tcPr>
            <w:tcBorders>
              <w:top w:val="single" w:color="auto" w:sz="4" w:space="0"/>
              <w:left w:val="none" w:color="000000" w:sz="4" w:space="0"/>
              <w:bottom w:val="single" w:color="auto" w:sz="4" w:space="0"/>
              <w:right w:val="single" w:color="auto" w:sz="4" w:space="0"/>
            </w:tcBorders>
            <w:tcW w:w="44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20</w:t>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none" w:color="000000" w:sz="4" w:space="0"/>
              <w:left w:val="single" w:color="auto" w:sz="4" w:space="0"/>
              <w:bottom w:val="single" w:color="auto" w:sz="4" w:space="0"/>
              <w:right w:val="single" w:color="auto" w:sz="4" w:space="0"/>
            </w:tcBorders>
            <w:tcW w:w="578"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13</w:t>
            </w:r>
            <w:r/>
          </w:p>
        </w:tc>
        <w:tc>
          <w:tcPr>
            <w:gridSpan w:val="3"/>
            <w:tcBorders>
              <w:top w:val="single" w:color="auto" w:sz="4" w:space="0"/>
              <w:left w:val="single" w:color="auto" w:sz="4" w:space="0"/>
              <w:bottom w:val="single" w:color="auto" w:sz="4" w:space="0"/>
              <w:right w:val="single" w:color="auto" w:sz="4" w:space="0"/>
            </w:tcBorders>
            <w:tcW w:w="2530"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应用、</w:t>
            </w:r>
            <w:r>
              <w:rPr>
                <w:rFonts w:hint="eastAsia" w:ascii="宋体" w:hAnsi="宋体" w:cs="宋体"/>
                <w:color w:val="000000"/>
                <w:sz w:val="24"/>
                <w:szCs w:val="24"/>
              </w:rPr>
              <w:t xml:space="preserve">飞控服务器</w:t>
            </w:r>
            <w:r/>
          </w:p>
        </w:tc>
        <w:tc>
          <w:tcPr>
            <w:tcBorders>
              <w:top w:val="none" w:color="000000" w:sz="4" w:space="0"/>
              <w:left w:val="none" w:color="000000" w:sz="4" w:space="0"/>
              <w:bottom w:val="single" w:color="auto" w:sz="4" w:space="0"/>
              <w:right w:val="single" w:color="auto" w:sz="4" w:space="0"/>
            </w:tcBorders>
            <w:tcW w:w="5128"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1. </w:t>
            </w:r>
            <w:r>
              <w:rPr>
                <w:rFonts w:hint="eastAsia" w:ascii="宋体" w:hAnsi="宋体" w:cs="宋体"/>
                <w:sz w:val="18"/>
                <w:szCs w:val="18"/>
              </w:rPr>
              <w:t xml:space="preserve">CPU</w:t>
            </w:r>
            <w:r>
              <w:rPr>
                <w:rFonts w:hint="eastAsia" w:ascii="宋体" w:hAnsi="宋体" w:cs="宋体"/>
                <w:sz w:val="18"/>
                <w:szCs w:val="18"/>
              </w:rPr>
              <w:t xml:space="preserve">处理器</w:t>
            </w:r>
            <w:r>
              <w:rPr>
                <w:rFonts w:hint="eastAsia" w:ascii="宋体" w:hAnsi="宋体" w:cs="宋体"/>
                <w:sz w:val="18"/>
                <w:szCs w:val="18"/>
              </w:rPr>
              <w:t xml:space="preserve">:</w:t>
            </w:r>
            <w:r>
              <w:rPr>
                <w:rFonts w:hint="eastAsia" w:ascii="宋体" w:hAnsi="宋体" w:cs="宋体"/>
                <w:sz w:val="18"/>
                <w:szCs w:val="18"/>
              </w:rPr>
              <w:t xml:space="preserve">采用</w:t>
            </w:r>
            <w:r>
              <w:rPr>
                <w:rFonts w:hint="eastAsia" w:ascii="宋体" w:hAnsi="宋体" w:cs="宋体"/>
                <w:sz w:val="18"/>
                <w:szCs w:val="18"/>
              </w:rPr>
              <w:t xml:space="preserve">1</w:t>
            </w:r>
            <w:r>
              <w:rPr>
                <w:rFonts w:hint="eastAsia" w:ascii="宋体" w:hAnsi="宋体" w:cs="宋体"/>
                <w:sz w:val="18"/>
                <w:szCs w:val="18"/>
              </w:rPr>
              <w:t xml:space="preserve">颗不低于</w:t>
            </w:r>
            <w:r>
              <w:rPr>
                <w:rFonts w:hint="eastAsia" w:ascii="宋体" w:hAnsi="宋体" w:cs="宋体"/>
                <w:sz w:val="18"/>
                <w:szCs w:val="18"/>
              </w:rPr>
              <w:t xml:space="preserve">24</w:t>
            </w:r>
            <w:r>
              <w:rPr>
                <w:rFonts w:hint="eastAsia" w:ascii="宋体" w:hAnsi="宋体" w:cs="宋体"/>
                <w:sz w:val="18"/>
                <w:szCs w:val="18"/>
              </w:rPr>
              <w:t xml:space="preserve">核国产化芯片，主频不低于</w:t>
            </w:r>
            <w:r>
              <w:rPr>
                <w:rFonts w:hint="eastAsia" w:ascii="宋体" w:hAnsi="宋体" w:cs="宋体"/>
                <w:sz w:val="18"/>
                <w:szCs w:val="18"/>
              </w:rPr>
              <w:t xml:space="preserve">2.6GHz</w:t>
            </w:r>
            <w:r>
              <w:rPr>
                <w:rFonts w:hint="eastAsia" w:ascii="宋体" w:hAnsi="宋体" w:cs="宋体"/>
                <w:sz w:val="18"/>
                <w:szCs w:val="18"/>
              </w:rPr>
              <w:t xml:space="preserve">；</w:t>
            </w:r>
            <w:r>
              <w:rPr>
                <w:rFonts w:hint="eastAsia" w:ascii="宋体" w:hAnsi="宋体" w:cs="宋体"/>
                <w:sz w:val="18"/>
                <w:szCs w:val="18"/>
              </w:rPr>
              <w:br/>
              <w:t xml:space="preserve">2. </w:t>
            </w:r>
            <w:r>
              <w:rPr>
                <w:rFonts w:hint="eastAsia" w:ascii="宋体" w:hAnsi="宋体" w:cs="宋体"/>
                <w:sz w:val="18"/>
                <w:szCs w:val="18"/>
              </w:rPr>
              <w:t xml:space="preserve">内存配置</w:t>
            </w:r>
            <w:r>
              <w:rPr>
                <w:rFonts w:hint="eastAsia" w:ascii="宋体" w:hAnsi="宋体" w:cs="宋体"/>
                <w:sz w:val="18"/>
                <w:szCs w:val="18"/>
              </w:rPr>
              <w:t xml:space="preserve">:</w:t>
            </w:r>
            <w:r>
              <w:rPr>
                <w:rFonts w:hint="eastAsia" w:ascii="宋体" w:hAnsi="宋体" w:cs="宋体"/>
                <w:sz w:val="18"/>
                <w:szCs w:val="18"/>
              </w:rPr>
              <w:t xml:space="preserve">具备不少于</w:t>
            </w:r>
            <w:r>
              <w:rPr>
                <w:rFonts w:hint="eastAsia" w:ascii="宋体" w:hAnsi="宋体" w:cs="宋体"/>
                <w:sz w:val="18"/>
                <w:szCs w:val="18"/>
              </w:rPr>
              <w:t xml:space="preserve">4</w:t>
            </w:r>
            <w:r>
              <w:rPr>
                <w:rFonts w:hint="eastAsia" w:ascii="宋体" w:hAnsi="宋体" w:cs="宋体"/>
                <w:sz w:val="18"/>
                <w:szCs w:val="18"/>
              </w:rPr>
              <w:t xml:space="preserve">个内存槽位，配置不少于</w:t>
            </w:r>
            <w:r>
              <w:rPr>
                <w:rFonts w:hint="eastAsia" w:ascii="宋体" w:hAnsi="宋体" w:cs="宋体"/>
                <w:sz w:val="18"/>
                <w:szCs w:val="18"/>
              </w:rPr>
              <w:t xml:space="preserve"> 128GB DDR4 </w:t>
            </w:r>
            <w:r>
              <w:rPr>
                <w:rFonts w:hint="eastAsia" w:ascii="宋体" w:hAnsi="宋体" w:cs="宋体"/>
                <w:sz w:val="18"/>
                <w:szCs w:val="18"/>
              </w:rPr>
              <w:t xml:space="preserve">内存；</w:t>
            </w:r>
            <w:r>
              <w:rPr>
                <w:rFonts w:hint="eastAsia" w:ascii="宋体" w:hAnsi="宋体" w:cs="宋体"/>
                <w:sz w:val="18"/>
                <w:szCs w:val="18"/>
              </w:rPr>
              <w:br/>
              <w:t xml:space="preserve">3. </w:t>
            </w:r>
            <w:r>
              <w:rPr>
                <w:rFonts w:hint="eastAsia" w:ascii="宋体" w:hAnsi="宋体" w:cs="宋体"/>
                <w:sz w:val="18"/>
                <w:szCs w:val="18"/>
              </w:rPr>
              <w:t xml:space="preserve">系统盘</w:t>
            </w:r>
            <w:r>
              <w:rPr>
                <w:rFonts w:hint="eastAsia" w:ascii="宋体" w:hAnsi="宋体" w:cs="宋体"/>
                <w:sz w:val="18"/>
                <w:szCs w:val="18"/>
              </w:rPr>
              <w:t xml:space="preserve">:</w:t>
            </w:r>
            <w:r>
              <w:rPr>
                <w:rFonts w:hint="eastAsia" w:ascii="宋体" w:hAnsi="宋体" w:cs="宋体"/>
                <w:sz w:val="18"/>
                <w:szCs w:val="18"/>
              </w:rPr>
              <w:t xml:space="preserve">系统盘为企业级</w:t>
            </w:r>
            <w:r>
              <w:rPr>
                <w:rFonts w:hint="eastAsia" w:ascii="宋体" w:hAnsi="宋体" w:cs="宋体"/>
                <w:sz w:val="18"/>
                <w:szCs w:val="18"/>
              </w:rPr>
              <w:t xml:space="preserve">SSD</w:t>
            </w:r>
            <w:r>
              <w:rPr>
                <w:rFonts w:hint="eastAsia" w:ascii="宋体" w:hAnsi="宋体" w:cs="宋体"/>
                <w:sz w:val="18"/>
                <w:szCs w:val="18"/>
              </w:rPr>
              <w:t xml:space="preserve">固态盘，配置</w:t>
            </w:r>
            <w:r>
              <w:rPr>
                <w:rFonts w:hint="eastAsia" w:ascii="宋体" w:hAnsi="宋体" w:cs="宋体"/>
                <w:sz w:val="18"/>
                <w:szCs w:val="18"/>
              </w:rPr>
              <w:t xml:space="preserve">1</w:t>
            </w:r>
            <w:r>
              <w:rPr>
                <w:rFonts w:hint="eastAsia" w:ascii="宋体" w:hAnsi="宋体" w:cs="宋体"/>
                <w:sz w:val="18"/>
                <w:szCs w:val="18"/>
              </w:rPr>
              <w:t xml:space="preserve">块不小于</w:t>
            </w:r>
            <w:r>
              <w:rPr>
                <w:rFonts w:hint="eastAsia" w:ascii="宋体" w:hAnsi="宋体" w:cs="宋体"/>
                <w:sz w:val="18"/>
                <w:szCs w:val="18"/>
              </w:rPr>
              <w:t xml:space="preserve">480G</w:t>
            </w:r>
            <w:r>
              <w:rPr>
                <w:rFonts w:hint="eastAsia" w:ascii="宋体" w:hAnsi="宋体" w:cs="宋体"/>
                <w:sz w:val="18"/>
                <w:szCs w:val="18"/>
              </w:rPr>
              <w:t xml:space="preserve">和</w:t>
            </w:r>
            <w:r>
              <w:rPr>
                <w:rFonts w:hint="eastAsia" w:ascii="宋体" w:hAnsi="宋体" w:cs="宋体"/>
                <w:sz w:val="18"/>
                <w:szCs w:val="18"/>
              </w:rPr>
              <w:t xml:space="preserve">1</w:t>
            </w:r>
            <w:r>
              <w:rPr>
                <w:rFonts w:hint="eastAsia" w:ascii="宋体" w:hAnsi="宋体" w:cs="宋体"/>
                <w:sz w:val="18"/>
                <w:szCs w:val="18"/>
              </w:rPr>
              <w:t xml:space="preserve">块不小于</w:t>
            </w:r>
            <w:r>
              <w:rPr>
                <w:rFonts w:hint="eastAsia" w:ascii="宋体" w:hAnsi="宋体" w:cs="宋体"/>
                <w:sz w:val="18"/>
                <w:szCs w:val="18"/>
              </w:rPr>
              <w:t xml:space="preserve">960G</w:t>
            </w:r>
            <w:r>
              <w:rPr>
                <w:rFonts w:hint="eastAsia" w:ascii="宋体" w:hAnsi="宋体" w:cs="宋体"/>
                <w:sz w:val="18"/>
                <w:szCs w:val="18"/>
              </w:rPr>
              <w:t xml:space="preserve">固态盘；</w:t>
            </w:r>
            <w:r>
              <w:rPr>
                <w:rFonts w:hint="eastAsia" w:ascii="宋体" w:hAnsi="宋体" w:cs="宋体"/>
                <w:sz w:val="18"/>
                <w:szCs w:val="18"/>
              </w:rPr>
              <w:br/>
              <w:t xml:space="preserve">4. </w:t>
            </w:r>
            <w:r>
              <w:rPr>
                <w:rFonts w:hint="eastAsia" w:ascii="宋体" w:hAnsi="宋体" w:cs="宋体"/>
                <w:sz w:val="18"/>
                <w:szCs w:val="18"/>
              </w:rPr>
              <w:t xml:space="preserve">数据存储</w:t>
            </w:r>
            <w:r>
              <w:rPr>
                <w:rFonts w:hint="eastAsia" w:ascii="宋体" w:hAnsi="宋体" w:cs="宋体"/>
                <w:sz w:val="18"/>
                <w:szCs w:val="18"/>
              </w:rPr>
              <w:t xml:space="preserve">:</w:t>
            </w:r>
            <w:r>
              <w:rPr>
                <w:rFonts w:hint="eastAsia" w:ascii="宋体" w:hAnsi="宋体" w:cs="宋体"/>
                <w:sz w:val="18"/>
                <w:szCs w:val="18"/>
              </w:rPr>
              <w:t xml:space="preserve">具备不少于</w:t>
            </w:r>
            <w:r>
              <w:rPr>
                <w:rFonts w:hint="eastAsia" w:ascii="宋体" w:hAnsi="宋体" w:cs="宋体"/>
                <w:sz w:val="18"/>
                <w:szCs w:val="18"/>
              </w:rPr>
              <w:t xml:space="preserve"> 4</w:t>
            </w:r>
            <w:r>
              <w:rPr>
                <w:rFonts w:hint="eastAsia" w:ascii="宋体" w:hAnsi="宋体" w:cs="宋体"/>
                <w:sz w:val="18"/>
                <w:szCs w:val="18"/>
              </w:rPr>
              <w:t xml:space="preserve">个</w:t>
            </w:r>
            <w:r>
              <w:rPr>
                <w:rFonts w:hint="eastAsia" w:ascii="宋体" w:hAnsi="宋体" w:cs="宋体"/>
                <w:sz w:val="18"/>
                <w:szCs w:val="18"/>
              </w:rPr>
              <w:t xml:space="preserve">2.5</w:t>
            </w:r>
            <w:r>
              <w:rPr>
                <w:rFonts w:hint="eastAsia" w:ascii="宋体" w:hAnsi="宋体" w:cs="宋体"/>
                <w:sz w:val="18"/>
                <w:szCs w:val="18"/>
              </w:rPr>
              <w:t xml:space="preserve">寸或</w:t>
            </w:r>
            <w:r>
              <w:rPr>
                <w:rFonts w:hint="eastAsia" w:ascii="宋体" w:hAnsi="宋体" w:cs="宋体"/>
                <w:sz w:val="18"/>
                <w:szCs w:val="18"/>
              </w:rPr>
              <w:t xml:space="preserve">3.5</w:t>
            </w:r>
            <w:r>
              <w:rPr>
                <w:rFonts w:hint="eastAsia" w:ascii="宋体" w:hAnsi="宋体" w:cs="宋体"/>
                <w:sz w:val="18"/>
                <w:szCs w:val="18"/>
              </w:rPr>
              <w:t xml:space="preserve">寸兼容硬盘插槽，配置不少于</w:t>
            </w:r>
            <w:r>
              <w:rPr>
                <w:rFonts w:hint="eastAsia" w:ascii="宋体" w:hAnsi="宋体" w:cs="宋体"/>
                <w:sz w:val="18"/>
                <w:szCs w:val="18"/>
              </w:rPr>
              <w:t xml:space="preserve">3</w:t>
            </w:r>
            <w:r>
              <w:rPr>
                <w:rFonts w:hint="eastAsia" w:ascii="宋体" w:hAnsi="宋体" w:cs="宋体"/>
                <w:sz w:val="18"/>
                <w:szCs w:val="18"/>
              </w:rPr>
              <w:t xml:space="preserve">块</w:t>
            </w:r>
            <w:r>
              <w:rPr>
                <w:rFonts w:hint="eastAsia" w:ascii="宋体" w:hAnsi="宋体" w:cs="宋体"/>
                <w:sz w:val="18"/>
                <w:szCs w:val="18"/>
              </w:rPr>
              <w:t xml:space="preserve">16T</w:t>
            </w:r>
            <w:r>
              <w:rPr>
                <w:rFonts w:hint="eastAsia" w:ascii="宋体" w:hAnsi="宋体" w:cs="宋体"/>
                <w:sz w:val="18"/>
                <w:szCs w:val="18"/>
              </w:rPr>
              <w:t xml:space="preserve">企业级硬盘；</w:t>
            </w:r>
            <w:r>
              <w:rPr>
                <w:rFonts w:hint="eastAsia" w:ascii="宋体" w:hAnsi="宋体" w:cs="宋体"/>
                <w:sz w:val="18"/>
                <w:szCs w:val="18"/>
              </w:rPr>
              <w:br/>
              <w:t xml:space="preserve">5. </w:t>
            </w:r>
            <w:r>
              <w:rPr>
                <w:rFonts w:hint="eastAsia" w:ascii="宋体" w:hAnsi="宋体" w:cs="宋体"/>
                <w:sz w:val="18"/>
                <w:szCs w:val="18"/>
              </w:rPr>
              <w:t xml:space="preserve">网络配置</w:t>
            </w:r>
            <w:r>
              <w:rPr>
                <w:rFonts w:hint="eastAsia" w:ascii="宋体" w:hAnsi="宋体" w:cs="宋体"/>
                <w:sz w:val="18"/>
                <w:szCs w:val="18"/>
              </w:rPr>
              <w:t xml:space="preserve">:</w:t>
            </w:r>
            <w:r>
              <w:rPr>
                <w:rFonts w:hint="eastAsia" w:ascii="宋体" w:hAnsi="宋体" w:cs="宋体"/>
                <w:sz w:val="18"/>
                <w:szCs w:val="18"/>
              </w:rPr>
              <w:t xml:space="preserve">不少于</w:t>
            </w:r>
            <w:r>
              <w:rPr>
                <w:rFonts w:hint="eastAsia" w:ascii="宋体" w:hAnsi="宋体" w:cs="宋体"/>
                <w:sz w:val="18"/>
                <w:szCs w:val="18"/>
              </w:rPr>
              <w:t xml:space="preserve">2</w:t>
            </w:r>
            <w:r>
              <w:rPr>
                <w:rFonts w:hint="eastAsia" w:ascii="宋体" w:hAnsi="宋体" w:cs="宋体"/>
                <w:sz w:val="18"/>
                <w:szCs w:val="18"/>
              </w:rPr>
              <w:t xml:space="preserve">个</w:t>
            </w:r>
            <w:r>
              <w:rPr>
                <w:rFonts w:hint="eastAsia" w:ascii="宋体" w:hAnsi="宋体" w:cs="宋体"/>
                <w:sz w:val="18"/>
                <w:szCs w:val="18"/>
              </w:rPr>
              <w:t xml:space="preserve">千兆电口</w:t>
            </w:r>
            <w:r>
              <w:rPr>
                <w:rFonts w:hint="eastAsia" w:ascii="宋体" w:hAnsi="宋体" w:cs="宋体"/>
                <w:sz w:val="18"/>
                <w:szCs w:val="18"/>
              </w:rPr>
              <w:t xml:space="preserve">；</w:t>
            </w:r>
            <w:r>
              <w:rPr>
                <w:rFonts w:hint="eastAsia" w:ascii="宋体" w:hAnsi="宋体" w:cs="宋体"/>
                <w:sz w:val="18"/>
                <w:szCs w:val="18"/>
              </w:rPr>
              <w:br/>
              <w:t xml:space="preserve">6. </w:t>
            </w:r>
            <w:r>
              <w:rPr>
                <w:rFonts w:hint="eastAsia" w:ascii="宋体" w:hAnsi="宋体" w:cs="宋体"/>
                <w:sz w:val="18"/>
                <w:szCs w:val="18"/>
              </w:rPr>
              <w:t xml:space="preserve">配置</w:t>
            </w:r>
            <w:r>
              <w:rPr>
                <w:rFonts w:hint="eastAsia" w:ascii="宋体" w:hAnsi="宋体" w:cs="宋体"/>
                <w:sz w:val="18"/>
                <w:szCs w:val="18"/>
              </w:rPr>
              <w:t xml:space="preserve">2</w:t>
            </w:r>
            <w:r>
              <w:rPr>
                <w:rFonts w:hint="eastAsia" w:ascii="宋体" w:hAnsi="宋体" w:cs="宋体"/>
                <w:sz w:val="18"/>
                <w:szCs w:val="18"/>
              </w:rPr>
              <w:t xml:space="preserve">块</w:t>
            </w:r>
            <w:r>
              <w:rPr>
                <w:rFonts w:hint="eastAsia" w:ascii="宋体" w:hAnsi="宋体" w:cs="宋体"/>
                <w:sz w:val="18"/>
                <w:szCs w:val="18"/>
              </w:rPr>
              <w:t xml:space="preserve">900W</w:t>
            </w:r>
            <w:r>
              <w:rPr>
                <w:rFonts w:hint="eastAsia" w:ascii="宋体" w:hAnsi="宋体" w:cs="宋体"/>
                <w:sz w:val="18"/>
                <w:szCs w:val="18"/>
              </w:rPr>
              <w:t xml:space="preserve">白金电源；含导轨。</w:t>
            </w:r>
            <w:r/>
          </w:p>
        </w:tc>
        <w:tc>
          <w:tcPr>
            <w:tcBorders>
              <w:top w:val="single" w:color="auto" w:sz="4" w:space="0"/>
              <w:left w:val="none" w:color="000000" w:sz="4" w:space="0"/>
              <w:bottom w:val="single" w:color="auto" w:sz="4" w:space="0"/>
              <w:right w:val="single" w:color="auto" w:sz="4" w:space="0"/>
            </w:tcBorders>
            <w:tcW w:w="34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tcBorders>
              <w:top w:val="single" w:color="auto" w:sz="4" w:space="0"/>
              <w:left w:val="none" w:color="000000" w:sz="4" w:space="0"/>
              <w:bottom w:val="single" w:color="auto" w:sz="4" w:space="0"/>
              <w:right w:val="single" w:color="auto" w:sz="4" w:space="0"/>
            </w:tcBorders>
            <w:tcW w:w="44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w:t>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b/>
                <w:bCs/>
                <w:sz w:val="24"/>
                <w:szCs w:val="24"/>
              </w:rPr>
            </w:pPr>
            <w:r>
              <w:rPr>
                <w:rFonts w:ascii="宋体" w:hAnsi="宋体" w:cs="宋体"/>
                <w:b/>
                <w:bCs/>
                <w:sz w:val="24"/>
                <w:szCs w:val="24"/>
              </w:rPr>
            </w:r>
            <w:r/>
          </w:p>
        </w:tc>
      </w:tr>
      <w:tr>
        <w:trPr>
          <w:trHeight w:val="540"/>
        </w:trPr>
        <w:tc>
          <w:tcPr>
            <w:tcBorders>
              <w:top w:val="none" w:color="000000" w:sz="4" w:space="0"/>
              <w:left w:val="single" w:color="auto" w:sz="4" w:space="0"/>
              <w:bottom w:val="single" w:color="auto" w:sz="4" w:space="0"/>
              <w:right w:val="single" w:color="auto" w:sz="4" w:space="0"/>
            </w:tcBorders>
            <w:tcW w:w="57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14</w:t>
            </w:r>
            <w:r/>
          </w:p>
        </w:tc>
        <w:tc>
          <w:tcPr>
            <w:gridSpan w:val="3"/>
            <w:tcBorders>
              <w:top w:val="single" w:color="auto" w:sz="4" w:space="0"/>
              <w:left w:val="single" w:color="auto" w:sz="4" w:space="0"/>
              <w:bottom w:val="single" w:color="auto" w:sz="4" w:space="0"/>
              <w:right w:val="single" w:color="auto" w:sz="4" w:space="0"/>
            </w:tcBorders>
            <w:tcW w:w="2530"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转发服务器</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5128"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1. </w:t>
            </w:r>
            <w:r>
              <w:rPr>
                <w:rFonts w:hint="eastAsia" w:ascii="宋体" w:hAnsi="宋体" w:cs="宋体"/>
                <w:sz w:val="18"/>
                <w:szCs w:val="18"/>
              </w:rPr>
              <w:t xml:space="preserve">CPU</w:t>
            </w:r>
            <w:r>
              <w:rPr>
                <w:rFonts w:hint="eastAsia" w:ascii="宋体" w:hAnsi="宋体" w:cs="宋体"/>
                <w:sz w:val="18"/>
                <w:szCs w:val="18"/>
              </w:rPr>
              <w:t xml:space="preserve">处理器</w:t>
            </w:r>
            <w:r>
              <w:rPr>
                <w:rFonts w:hint="eastAsia" w:ascii="宋体" w:hAnsi="宋体" w:cs="宋体"/>
                <w:sz w:val="18"/>
                <w:szCs w:val="18"/>
              </w:rPr>
              <w:t xml:space="preserve">:</w:t>
            </w:r>
            <w:r>
              <w:rPr>
                <w:rFonts w:hint="eastAsia" w:ascii="宋体" w:hAnsi="宋体" w:cs="宋体"/>
                <w:sz w:val="18"/>
                <w:szCs w:val="18"/>
              </w:rPr>
              <w:t xml:space="preserve">采用一颗不低于</w:t>
            </w:r>
            <w:r>
              <w:rPr>
                <w:rFonts w:hint="eastAsia" w:ascii="宋体" w:hAnsi="宋体" w:cs="宋体"/>
                <w:sz w:val="18"/>
                <w:szCs w:val="18"/>
              </w:rPr>
              <w:t xml:space="preserve">16</w:t>
            </w:r>
            <w:r>
              <w:rPr>
                <w:rFonts w:hint="eastAsia" w:ascii="宋体" w:hAnsi="宋体" w:cs="宋体"/>
                <w:sz w:val="18"/>
                <w:szCs w:val="18"/>
              </w:rPr>
              <w:t xml:space="preserve">核国产化芯片，主频不低于</w:t>
            </w:r>
            <w:r>
              <w:rPr>
                <w:rFonts w:hint="eastAsia" w:ascii="宋体" w:hAnsi="宋体" w:cs="宋体"/>
                <w:sz w:val="18"/>
                <w:szCs w:val="18"/>
              </w:rPr>
              <w:t xml:space="preserve">2.5GHz;</w:t>
            </w:r>
            <w:r>
              <w:rPr>
                <w:rFonts w:hint="eastAsia" w:ascii="宋体" w:hAnsi="宋体" w:cs="宋体"/>
                <w:sz w:val="18"/>
                <w:szCs w:val="18"/>
              </w:rPr>
              <w:br/>
              <w:t xml:space="preserve">2. </w:t>
            </w:r>
            <w:r>
              <w:rPr>
                <w:rFonts w:hint="eastAsia" w:ascii="宋体" w:hAnsi="宋体" w:cs="宋体"/>
                <w:sz w:val="18"/>
                <w:szCs w:val="18"/>
              </w:rPr>
              <w:t xml:space="preserve">内存配置</w:t>
            </w:r>
            <w:r>
              <w:rPr>
                <w:rFonts w:hint="eastAsia" w:ascii="宋体" w:hAnsi="宋体" w:cs="宋体"/>
                <w:sz w:val="18"/>
                <w:szCs w:val="18"/>
              </w:rPr>
              <w:t xml:space="preserve">:</w:t>
            </w:r>
            <w:r>
              <w:rPr>
                <w:rFonts w:hint="eastAsia" w:ascii="宋体" w:hAnsi="宋体" w:cs="宋体"/>
                <w:sz w:val="18"/>
                <w:szCs w:val="18"/>
              </w:rPr>
              <w:t xml:space="preserve">配置不少于</w:t>
            </w:r>
            <w:r>
              <w:rPr>
                <w:rFonts w:hint="eastAsia" w:ascii="宋体" w:hAnsi="宋体" w:cs="宋体"/>
                <w:sz w:val="18"/>
                <w:szCs w:val="18"/>
              </w:rPr>
              <w:t xml:space="preserve">16GB DDR4</w:t>
            </w:r>
            <w:r>
              <w:rPr>
                <w:rFonts w:hint="eastAsia" w:ascii="宋体" w:hAnsi="宋体" w:cs="宋体"/>
                <w:sz w:val="18"/>
                <w:szCs w:val="18"/>
              </w:rPr>
              <w:t xml:space="preserve">内存。</w:t>
            </w:r>
            <w:r>
              <w:rPr>
                <w:rFonts w:hint="eastAsia" w:ascii="宋体" w:hAnsi="宋体" w:cs="宋体"/>
                <w:sz w:val="18"/>
                <w:szCs w:val="18"/>
              </w:rPr>
              <w:br/>
              <w:t xml:space="preserve">3. </w:t>
            </w:r>
            <w:r>
              <w:rPr>
                <w:rFonts w:hint="eastAsia" w:ascii="宋体" w:hAnsi="宋体" w:cs="宋体"/>
                <w:sz w:val="18"/>
                <w:szCs w:val="18"/>
              </w:rPr>
              <w:t xml:space="preserve">系统盘</w:t>
            </w:r>
            <w:r>
              <w:rPr>
                <w:rFonts w:hint="eastAsia" w:ascii="宋体" w:hAnsi="宋体" w:cs="宋体"/>
                <w:sz w:val="18"/>
                <w:szCs w:val="18"/>
              </w:rPr>
              <w:t xml:space="preserve">:</w:t>
            </w:r>
            <w:r>
              <w:rPr>
                <w:rFonts w:hint="eastAsia" w:ascii="宋体" w:hAnsi="宋体" w:cs="宋体"/>
                <w:sz w:val="18"/>
                <w:szCs w:val="18"/>
              </w:rPr>
              <w:t xml:space="preserve">配置不少于</w:t>
            </w:r>
            <w:r>
              <w:rPr>
                <w:rFonts w:hint="eastAsia" w:ascii="宋体" w:hAnsi="宋体" w:cs="宋体"/>
                <w:sz w:val="18"/>
                <w:szCs w:val="18"/>
              </w:rPr>
              <w:t xml:space="preserve">1</w:t>
            </w:r>
            <w:r>
              <w:rPr>
                <w:rFonts w:hint="eastAsia" w:ascii="宋体" w:hAnsi="宋体" w:cs="宋体"/>
                <w:sz w:val="18"/>
                <w:szCs w:val="18"/>
              </w:rPr>
              <w:t xml:space="preserve">个系统盘，系统盘为企业级固态盘，单系统盘容量不小于</w:t>
            </w:r>
            <w:r>
              <w:rPr>
                <w:rFonts w:hint="eastAsia" w:ascii="宋体" w:hAnsi="宋体" w:cs="宋体"/>
                <w:sz w:val="18"/>
                <w:szCs w:val="18"/>
              </w:rPr>
              <w:t xml:space="preserve">480G;</w:t>
            </w:r>
            <w:r>
              <w:rPr>
                <w:rFonts w:hint="eastAsia" w:ascii="宋体" w:hAnsi="宋体" w:cs="宋体"/>
                <w:sz w:val="18"/>
                <w:szCs w:val="18"/>
              </w:rPr>
              <w:br/>
              <w:t xml:space="preserve">4. </w:t>
            </w:r>
            <w:r>
              <w:rPr>
                <w:rFonts w:hint="eastAsia" w:ascii="宋体" w:hAnsi="宋体" w:cs="宋体"/>
                <w:sz w:val="18"/>
                <w:szCs w:val="18"/>
              </w:rPr>
              <w:t xml:space="preserve">数据存储</w:t>
            </w:r>
            <w:r>
              <w:rPr>
                <w:rFonts w:hint="eastAsia" w:ascii="宋体" w:hAnsi="宋体" w:cs="宋体"/>
                <w:sz w:val="18"/>
                <w:szCs w:val="18"/>
              </w:rPr>
              <w:t xml:space="preserve">:</w:t>
            </w:r>
            <w:r>
              <w:rPr>
                <w:rFonts w:hint="eastAsia" w:ascii="宋体" w:hAnsi="宋体" w:cs="宋体"/>
                <w:sz w:val="18"/>
                <w:szCs w:val="18"/>
              </w:rPr>
              <w:t xml:space="preserve">配置不少于</w:t>
            </w:r>
            <w:r>
              <w:rPr>
                <w:rFonts w:hint="eastAsia" w:ascii="宋体" w:hAnsi="宋体" w:cs="宋体"/>
                <w:sz w:val="18"/>
                <w:szCs w:val="18"/>
              </w:rPr>
              <w:t xml:space="preserve">1</w:t>
            </w:r>
            <w:r>
              <w:rPr>
                <w:rFonts w:hint="eastAsia" w:ascii="宋体" w:hAnsi="宋体" w:cs="宋体"/>
                <w:sz w:val="18"/>
                <w:szCs w:val="18"/>
              </w:rPr>
              <w:t xml:space="preserve">个数据盘，数据盘为企业级机械盘，</w:t>
            </w:r>
            <w:r>
              <w:rPr>
                <w:rFonts w:hint="eastAsia" w:ascii="宋体" w:hAnsi="宋体" w:cs="宋体"/>
                <w:sz w:val="18"/>
                <w:szCs w:val="18"/>
              </w:rPr>
              <w:t xml:space="preserve">单数据盘容量</w:t>
            </w:r>
            <w:r>
              <w:rPr>
                <w:rFonts w:hint="eastAsia" w:ascii="宋体" w:hAnsi="宋体" w:cs="宋体"/>
                <w:sz w:val="18"/>
                <w:szCs w:val="18"/>
              </w:rPr>
              <w:t xml:space="preserve">不小于</w:t>
            </w:r>
            <w:r>
              <w:rPr>
                <w:rFonts w:hint="eastAsia" w:ascii="宋体" w:hAnsi="宋体" w:cs="宋体"/>
                <w:sz w:val="18"/>
                <w:szCs w:val="18"/>
              </w:rPr>
              <w:t xml:space="preserve">1T;</w:t>
            </w:r>
            <w:r>
              <w:rPr>
                <w:rFonts w:hint="eastAsia" w:ascii="宋体" w:hAnsi="宋体" w:cs="宋体"/>
                <w:sz w:val="18"/>
                <w:szCs w:val="18"/>
              </w:rPr>
              <w:br/>
              <w:t xml:space="preserve">5. </w:t>
            </w:r>
            <w:r>
              <w:rPr>
                <w:rFonts w:hint="eastAsia" w:ascii="宋体" w:hAnsi="宋体" w:cs="宋体"/>
                <w:sz w:val="18"/>
                <w:szCs w:val="18"/>
              </w:rPr>
              <w:t xml:space="preserve">网络配置</w:t>
            </w:r>
            <w:r>
              <w:rPr>
                <w:rFonts w:hint="eastAsia" w:ascii="宋体" w:hAnsi="宋体" w:cs="宋体"/>
                <w:sz w:val="18"/>
                <w:szCs w:val="18"/>
              </w:rPr>
              <w:t xml:space="preserve">:</w:t>
            </w:r>
            <w:r>
              <w:rPr>
                <w:rFonts w:hint="eastAsia" w:ascii="宋体" w:hAnsi="宋体" w:cs="宋体"/>
                <w:sz w:val="18"/>
                <w:szCs w:val="18"/>
              </w:rPr>
              <w:t xml:space="preserve">不少于</w:t>
            </w:r>
            <w:r>
              <w:rPr>
                <w:rFonts w:hint="eastAsia" w:ascii="宋体" w:hAnsi="宋体" w:cs="宋体"/>
                <w:sz w:val="18"/>
                <w:szCs w:val="18"/>
              </w:rPr>
              <w:t xml:space="preserve">2</w:t>
            </w:r>
            <w:r>
              <w:rPr>
                <w:rFonts w:hint="eastAsia" w:ascii="宋体" w:hAnsi="宋体" w:cs="宋体"/>
                <w:sz w:val="18"/>
                <w:szCs w:val="18"/>
              </w:rPr>
              <w:t xml:space="preserve">个千兆</w:t>
            </w:r>
            <w:r>
              <w:rPr>
                <w:rFonts w:hint="eastAsia" w:ascii="宋体" w:hAnsi="宋体" w:cs="宋体"/>
                <w:sz w:val="18"/>
                <w:szCs w:val="18"/>
              </w:rPr>
              <w:t xml:space="preserve">RJ45</w:t>
            </w:r>
            <w:r>
              <w:rPr>
                <w:rFonts w:hint="eastAsia" w:ascii="宋体" w:hAnsi="宋体" w:cs="宋体"/>
                <w:sz w:val="18"/>
                <w:szCs w:val="18"/>
              </w:rPr>
              <w:t xml:space="preserve">以太网口</w:t>
            </w:r>
            <w:r>
              <w:rPr>
                <w:rFonts w:hint="eastAsia" w:ascii="宋体" w:hAnsi="宋体" w:cs="宋体"/>
                <w:sz w:val="18"/>
                <w:szCs w:val="18"/>
              </w:rPr>
              <w:t xml:space="preserve">;</w:t>
            </w:r>
            <w:r>
              <w:rPr>
                <w:rFonts w:hint="eastAsia" w:ascii="宋体" w:hAnsi="宋体" w:cs="宋体"/>
                <w:sz w:val="18"/>
                <w:szCs w:val="18"/>
              </w:rPr>
              <w:br/>
              <w:t xml:space="preserve">6. </w:t>
            </w:r>
            <w:r>
              <w:rPr>
                <w:rFonts w:hint="eastAsia" w:ascii="宋体" w:hAnsi="宋体" w:cs="宋体"/>
                <w:sz w:val="18"/>
                <w:szCs w:val="18"/>
              </w:rPr>
              <w:t xml:space="preserve">至少配置</w:t>
            </w:r>
            <w:r>
              <w:rPr>
                <w:rFonts w:hint="eastAsia" w:ascii="宋体" w:hAnsi="宋体" w:cs="宋体"/>
                <w:sz w:val="18"/>
                <w:szCs w:val="18"/>
              </w:rPr>
              <w:t xml:space="preserve">1</w:t>
            </w:r>
            <w:r>
              <w:rPr>
                <w:rFonts w:hint="eastAsia" w:ascii="宋体" w:hAnsi="宋体" w:cs="宋体"/>
                <w:sz w:val="18"/>
                <w:szCs w:val="18"/>
              </w:rPr>
              <w:t xml:space="preserve">块不低于</w:t>
            </w:r>
            <w:r>
              <w:rPr>
                <w:rFonts w:hint="eastAsia" w:ascii="宋体" w:hAnsi="宋体" w:cs="宋体"/>
                <w:sz w:val="18"/>
                <w:szCs w:val="18"/>
              </w:rPr>
              <w:t xml:space="preserve">800W</w:t>
            </w:r>
            <w:r>
              <w:rPr>
                <w:rFonts w:hint="eastAsia" w:ascii="宋体" w:hAnsi="宋体" w:cs="宋体"/>
                <w:sz w:val="18"/>
                <w:szCs w:val="18"/>
              </w:rPr>
              <w:t xml:space="preserve">白金电源；含导轨。</w:t>
            </w:r>
            <w:r/>
          </w:p>
        </w:tc>
        <w:tc>
          <w:tcPr>
            <w:tcBorders>
              <w:top w:val="none" w:color="000000" w:sz="4" w:space="0"/>
              <w:left w:val="none" w:color="000000" w:sz="4" w:space="0"/>
              <w:bottom w:val="single" w:color="auto" w:sz="4" w:space="0"/>
              <w:right w:val="single" w:color="auto" w:sz="4" w:space="0"/>
            </w:tcBorders>
            <w:tcW w:w="34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tcBorders>
              <w:top w:val="none" w:color="000000" w:sz="4" w:space="0"/>
              <w:left w:val="none" w:color="000000" w:sz="4" w:space="0"/>
              <w:bottom w:val="single" w:color="auto" w:sz="4" w:space="0"/>
              <w:right w:val="single" w:color="auto" w:sz="4" w:space="0"/>
            </w:tcBorders>
            <w:tcW w:w="44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tcBorders>
              <w:left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15</w:t>
            </w:r>
            <w:r/>
          </w:p>
        </w:tc>
        <w:tc>
          <w:tcPr>
            <w:gridSpan w:val="3"/>
            <w:tcBorders>
              <w:top w:val="single" w:color="auto" w:sz="4" w:space="0"/>
              <w:left w:val="single" w:color="auto" w:sz="4" w:space="0"/>
              <w:bottom w:val="single" w:color="auto" w:sz="4" w:space="0"/>
              <w:right w:val="single" w:color="auto" w:sz="4" w:space="0"/>
            </w:tcBorders>
            <w:tcW w:w="2530"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AI</w:t>
            </w:r>
            <w:r>
              <w:rPr>
                <w:rFonts w:hint="eastAsia" w:ascii="宋体" w:hAnsi="宋体" w:cs="宋体"/>
                <w:color w:val="000000"/>
                <w:sz w:val="24"/>
                <w:szCs w:val="24"/>
              </w:rPr>
              <w:t xml:space="preserve">算力服务器</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　</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1. </w:t>
            </w:r>
            <w:r>
              <w:rPr>
                <w:rFonts w:hint="eastAsia" w:ascii="宋体" w:hAnsi="宋体" w:cs="宋体"/>
                <w:sz w:val="18"/>
                <w:szCs w:val="18"/>
              </w:rPr>
              <w:t xml:space="preserve">CPU</w:t>
            </w:r>
            <w:r>
              <w:rPr>
                <w:rFonts w:hint="eastAsia" w:ascii="宋体" w:hAnsi="宋体" w:cs="宋体"/>
                <w:sz w:val="18"/>
                <w:szCs w:val="18"/>
              </w:rPr>
              <w:t xml:space="preserve">处理器</w:t>
            </w:r>
            <w:r>
              <w:rPr>
                <w:rFonts w:hint="eastAsia" w:ascii="宋体" w:hAnsi="宋体" w:cs="宋体"/>
                <w:sz w:val="18"/>
                <w:szCs w:val="18"/>
              </w:rPr>
              <w:t xml:space="preserve">:</w:t>
            </w:r>
            <w:r>
              <w:rPr>
                <w:rFonts w:hint="eastAsia" w:ascii="宋体" w:hAnsi="宋体" w:cs="宋体"/>
                <w:sz w:val="18"/>
                <w:szCs w:val="18"/>
              </w:rPr>
              <w:t xml:space="preserve">采用</w:t>
            </w:r>
            <w:r>
              <w:rPr>
                <w:rFonts w:hint="eastAsia" w:ascii="宋体" w:hAnsi="宋体" w:cs="宋体"/>
                <w:sz w:val="18"/>
                <w:szCs w:val="18"/>
              </w:rPr>
              <w:t xml:space="preserve">2</w:t>
            </w:r>
            <w:r>
              <w:rPr>
                <w:rFonts w:hint="eastAsia" w:ascii="宋体" w:hAnsi="宋体" w:cs="宋体"/>
                <w:sz w:val="18"/>
                <w:szCs w:val="18"/>
              </w:rPr>
              <w:t xml:space="preserve">颗不低于</w:t>
            </w:r>
            <w:r>
              <w:rPr>
                <w:rFonts w:hint="eastAsia" w:ascii="宋体" w:hAnsi="宋体" w:cs="宋体"/>
                <w:sz w:val="18"/>
                <w:szCs w:val="18"/>
              </w:rPr>
              <w:t xml:space="preserve">32</w:t>
            </w:r>
            <w:r>
              <w:rPr>
                <w:rFonts w:hint="eastAsia" w:ascii="宋体" w:hAnsi="宋体" w:cs="宋体"/>
                <w:sz w:val="18"/>
                <w:szCs w:val="18"/>
              </w:rPr>
              <w:t xml:space="preserve">核国产化芯片，主频不低于</w:t>
            </w:r>
            <w:r>
              <w:rPr>
                <w:rFonts w:hint="eastAsia" w:ascii="宋体" w:hAnsi="宋体" w:cs="宋体"/>
                <w:sz w:val="18"/>
                <w:szCs w:val="18"/>
              </w:rPr>
              <w:t xml:space="preserve">2.6GHz</w:t>
            </w:r>
            <w:r>
              <w:rPr>
                <w:rFonts w:hint="eastAsia" w:ascii="宋体" w:hAnsi="宋体" w:cs="宋体"/>
                <w:sz w:val="18"/>
                <w:szCs w:val="18"/>
              </w:rPr>
              <w:t xml:space="preserve">；</w:t>
            </w:r>
            <w:r>
              <w:rPr>
                <w:rFonts w:hint="eastAsia" w:ascii="宋体" w:hAnsi="宋体" w:cs="宋体"/>
                <w:sz w:val="18"/>
                <w:szCs w:val="18"/>
              </w:rPr>
              <w:br/>
              <w:t xml:space="preserve">2. </w:t>
            </w:r>
            <w:r>
              <w:rPr>
                <w:rFonts w:hint="eastAsia" w:ascii="宋体" w:hAnsi="宋体" w:cs="宋体"/>
                <w:sz w:val="18"/>
                <w:szCs w:val="18"/>
              </w:rPr>
              <w:t xml:space="preserve">内存配置</w:t>
            </w:r>
            <w:r>
              <w:rPr>
                <w:rFonts w:hint="eastAsia" w:ascii="宋体" w:hAnsi="宋体" w:cs="宋体"/>
                <w:sz w:val="18"/>
                <w:szCs w:val="18"/>
              </w:rPr>
              <w:t xml:space="preserve">:</w:t>
            </w:r>
            <w:r>
              <w:rPr>
                <w:rFonts w:hint="eastAsia" w:ascii="宋体" w:hAnsi="宋体" w:cs="宋体"/>
                <w:sz w:val="18"/>
                <w:szCs w:val="18"/>
              </w:rPr>
              <w:t xml:space="preserve">配置不少于</w:t>
            </w:r>
            <w:r>
              <w:rPr>
                <w:rFonts w:hint="eastAsia" w:ascii="宋体" w:hAnsi="宋体" w:cs="宋体"/>
                <w:sz w:val="18"/>
                <w:szCs w:val="18"/>
              </w:rPr>
              <w:t xml:space="preserve"> 256GB DDR4 </w:t>
            </w:r>
            <w:r>
              <w:rPr>
                <w:rFonts w:hint="eastAsia" w:ascii="宋体" w:hAnsi="宋体" w:cs="宋体"/>
                <w:sz w:val="18"/>
                <w:szCs w:val="18"/>
              </w:rPr>
              <w:t xml:space="preserve">内存；</w:t>
            </w:r>
            <w:r>
              <w:rPr>
                <w:rFonts w:hint="eastAsia" w:ascii="宋体" w:hAnsi="宋体" w:cs="宋体"/>
                <w:sz w:val="18"/>
                <w:szCs w:val="18"/>
              </w:rPr>
              <w:br/>
              <w:t xml:space="preserve">3. </w:t>
            </w:r>
            <w:r>
              <w:rPr>
                <w:rFonts w:hint="eastAsia" w:ascii="宋体" w:hAnsi="宋体" w:cs="宋体"/>
                <w:sz w:val="18"/>
                <w:szCs w:val="18"/>
              </w:rPr>
              <w:t xml:space="preserve">系统盘</w:t>
            </w:r>
            <w:r>
              <w:rPr>
                <w:rFonts w:hint="eastAsia" w:ascii="宋体" w:hAnsi="宋体" w:cs="宋体"/>
                <w:sz w:val="18"/>
                <w:szCs w:val="18"/>
              </w:rPr>
              <w:t xml:space="preserve">:</w:t>
            </w:r>
            <w:r>
              <w:rPr>
                <w:rFonts w:hint="eastAsia" w:ascii="宋体" w:hAnsi="宋体" w:cs="宋体"/>
                <w:sz w:val="18"/>
                <w:szCs w:val="18"/>
              </w:rPr>
              <w:t xml:space="preserve">系统盘为企业级</w:t>
            </w:r>
            <w:r>
              <w:rPr>
                <w:rFonts w:hint="eastAsia" w:ascii="宋体" w:hAnsi="宋体" w:cs="宋体"/>
                <w:sz w:val="18"/>
                <w:szCs w:val="18"/>
              </w:rPr>
              <w:t xml:space="preserve">SSD</w:t>
            </w:r>
            <w:r>
              <w:rPr>
                <w:rFonts w:hint="eastAsia" w:ascii="宋体" w:hAnsi="宋体" w:cs="宋体"/>
                <w:sz w:val="18"/>
                <w:szCs w:val="18"/>
              </w:rPr>
              <w:t xml:space="preserve">固态盘，配置</w:t>
            </w:r>
            <w:r>
              <w:rPr>
                <w:rFonts w:hint="eastAsia" w:ascii="宋体" w:hAnsi="宋体" w:cs="宋体"/>
                <w:sz w:val="18"/>
                <w:szCs w:val="18"/>
              </w:rPr>
              <w:t xml:space="preserve">1</w:t>
            </w:r>
            <w:r>
              <w:rPr>
                <w:rFonts w:hint="eastAsia" w:ascii="宋体" w:hAnsi="宋体" w:cs="宋体"/>
                <w:sz w:val="18"/>
                <w:szCs w:val="18"/>
              </w:rPr>
              <w:t xml:space="preserve">块不小于</w:t>
            </w:r>
            <w:r>
              <w:rPr>
                <w:rFonts w:hint="eastAsia" w:ascii="宋体" w:hAnsi="宋体" w:cs="宋体"/>
                <w:sz w:val="18"/>
                <w:szCs w:val="18"/>
              </w:rPr>
              <w:t xml:space="preserve">480G</w:t>
            </w:r>
            <w:r>
              <w:rPr>
                <w:rFonts w:hint="eastAsia" w:ascii="宋体" w:hAnsi="宋体" w:cs="宋体"/>
                <w:sz w:val="18"/>
                <w:szCs w:val="18"/>
              </w:rPr>
              <w:t xml:space="preserve">和</w:t>
            </w:r>
            <w:r>
              <w:rPr>
                <w:rFonts w:hint="eastAsia" w:ascii="宋体" w:hAnsi="宋体" w:cs="宋体"/>
                <w:sz w:val="18"/>
                <w:szCs w:val="18"/>
              </w:rPr>
              <w:t xml:space="preserve">1</w:t>
            </w:r>
            <w:r>
              <w:rPr>
                <w:rFonts w:hint="eastAsia" w:ascii="宋体" w:hAnsi="宋体" w:cs="宋体"/>
                <w:sz w:val="18"/>
                <w:szCs w:val="18"/>
              </w:rPr>
              <w:t xml:space="preserve">块不小于</w:t>
            </w:r>
            <w:r>
              <w:rPr>
                <w:rFonts w:hint="eastAsia" w:ascii="宋体" w:hAnsi="宋体" w:cs="宋体"/>
                <w:sz w:val="18"/>
                <w:szCs w:val="18"/>
              </w:rPr>
              <w:t xml:space="preserve">960G</w:t>
            </w:r>
            <w:r>
              <w:rPr>
                <w:rFonts w:hint="eastAsia" w:ascii="宋体" w:hAnsi="宋体" w:cs="宋体"/>
                <w:sz w:val="18"/>
                <w:szCs w:val="18"/>
              </w:rPr>
              <w:t xml:space="preserve">固态盘；</w:t>
            </w:r>
            <w:r>
              <w:rPr>
                <w:rFonts w:hint="eastAsia" w:ascii="宋体" w:hAnsi="宋体" w:cs="宋体"/>
                <w:sz w:val="18"/>
                <w:szCs w:val="18"/>
              </w:rPr>
              <w:br/>
              <w:t xml:space="preserve">4. </w:t>
            </w:r>
            <w:r>
              <w:rPr>
                <w:rFonts w:hint="eastAsia" w:ascii="宋体" w:hAnsi="宋体" w:cs="宋体"/>
                <w:sz w:val="18"/>
                <w:szCs w:val="18"/>
              </w:rPr>
              <w:t xml:space="preserve">数据存储</w:t>
            </w:r>
            <w:r>
              <w:rPr>
                <w:rFonts w:hint="eastAsia" w:ascii="宋体" w:hAnsi="宋体" w:cs="宋体"/>
                <w:sz w:val="18"/>
                <w:szCs w:val="18"/>
              </w:rPr>
              <w:t xml:space="preserve">:</w:t>
            </w:r>
            <w:r>
              <w:rPr>
                <w:rFonts w:hint="eastAsia" w:ascii="宋体" w:hAnsi="宋体" w:cs="宋体"/>
                <w:sz w:val="18"/>
                <w:szCs w:val="18"/>
              </w:rPr>
              <w:t xml:space="preserve">具备不少于</w:t>
            </w:r>
            <w:r>
              <w:rPr>
                <w:rFonts w:hint="eastAsia" w:ascii="宋体" w:hAnsi="宋体" w:cs="宋体"/>
                <w:sz w:val="18"/>
                <w:szCs w:val="18"/>
              </w:rPr>
              <w:t xml:space="preserve"> 4</w:t>
            </w:r>
            <w:r>
              <w:rPr>
                <w:rFonts w:hint="eastAsia" w:ascii="宋体" w:hAnsi="宋体" w:cs="宋体"/>
                <w:sz w:val="18"/>
                <w:szCs w:val="18"/>
              </w:rPr>
              <w:t xml:space="preserve">个</w:t>
            </w:r>
            <w:r>
              <w:rPr>
                <w:rFonts w:hint="eastAsia" w:ascii="宋体" w:hAnsi="宋体" w:cs="宋体"/>
                <w:sz w:val="18"/>
                <w:szCs w:val="18"/>
              </w:rPr>
              <w:t xml:space="preserve">2.5</w:t>
            </w:r>
            <w:r>
              <w:rPr>
                <w:rFonts w:hint="eastAsia" w:ascii="宋体" w:hAnsi="宋体" w:cs="宋体"/>
                <w:sz w:val="18"/>
                <w:szCs w:val="18"/>
              </w:rPr>
              <w:t xml:space="preserve">寸或</w:t>
            </w:r>
            <w:r>
              <w:rPr>
                <w:rFonts w:hint="eastAsia" w:ascii="宋体" w:hAnsi="宋体" w:cs="宋体"/>
                <w:sz w:val="18"/>
                <w:szCs w:val="18"/>
              </w:rPr>
              <w:t xml:space="preserve">3.5</w:t>
            </w:r>
            <w:r>
              <w:rPr>
                <w:rFonts w:hint="eastAsia" w:ascii="宋体" w:hAnsi="宋体" w:cs="宋体"/>
                <w:sz w:val="18"/>
                <w:szCs w:val="18"/>
              </w:rPr>
              <w:t xml:space="preserve">寸兼容硬盘插槽，配置不少于</w:t>
            </w:r>
            <w:r>
              <w:rPr>
                <w:rFonts w:hint="eastAsia" w:ascii="宋体" w:hAnsi="宋体" w:cs="宋体"/>
                <w:sz w:val="18"/>
                <w:szCs w:val="18"/>
              </w:rPr>
              <w:t xml:space="preserve">4</w:t>
            </w:r>
            <w:r>
              <w:rPr>
                <w:rFonts w:hint="eastAsia" w:ascii="宋体" w:hAnsi="宋体" w:cs="宋体"/>
                <w:sz w:val="18"/>
                <w:szCs w:val="18"/>
              </w:rPr>
              <w:t xml:space="preserve">块</w:t>
            </w:r>
            <w:r>
              <w:rPr>
                <w:rFonts w:hint="eastAsia" w:ascii="宋体" w:hAnsi="宋体" w:cs="宋体"/>
                <w:sz w:val="18"/>
                <w:szCs w:val="18"/>
              </w:rPr>
              <w:t xml:space="preserve">16T</w:t>
            </w:r>
            <w:r>
              <w:rPr>
                <w:rFonts w:hint="eastAsia" w:ascii="宋体" w:hAnsi="宋体" w:cs="宋体"/>
                <w:sz w:val="18"/>
                <w:szCs w:val="18"/>
              </w:rPr>
              <w:t xml:space="preserve">企业级硬盘；</w:t>
            </w:r>
            <w:r>
              <w:rPr>
                <w:rFonts w:hint="eastAsia" w:ascii="宋体" w:hAnsi="宋体" w:cs="宋体"/>
                <w:sz w:val="18"/>
                <w:szCs w:val="18"/>
              </w:rPr>
              <w:br/>
              <w:t xml:space="preserve">5. </w:t>
            </w:r>
            <w:r>
              <w:rPr>
                <w:rFonts w:hint="eastAsia" w:ascii="宋体" w:hAnsi="宋体" w:cs="宋体"/>
                <w:sz w:val="18"/>
                <w:szCs w:val="18"/>
              </w:rPr>
              <w:t xml:space="preserve">含</w:t>
            </w:r>
            <w:r>
              <w:rPr>
                <w:rFonts w:hint="eastAsia" w:ascii="宋体" w:hAnsi="宋体" w:cs="宋体"/>
                <w:sz w:val="18"/>
                <w:szCs w:val="18"/>
              </w:rPr>
              <w:t xml:space="preserve">RAID</w:t>
            </w:r>
            <w:r>
              <w:rPr>
                <w:rFonts w:hint="eastAsia" w:ascii="宋体" w:hAnsi="宋体" w:cs="宋体"/>
                <w:sz w:val="18"/>
                <w:szCs w:val="18"/>
              </w:rPr>
              <w:t xml:space="preserve">卡，支持</w:t>
            </w:r>
            <w:r>
              <w:rPr>
                <w:rFonts w:hint="eastAsia" w:ascii="宋体" w:hAnsi="宋体" w:cs="宋体"/>
                <w:sz w:val="18"/>
                <w:szCs w:val="18"/>
              </w:rPr>
              <w:t xml:space="preserve">RAID0/1/10</w:t>
            </w:r>
            <w:r>
              <w:rPr>
                <w:rFonts w:hint="eastAsia" w:ascii="宋体" w:hAnsi="宋体" w:cs="宋体"/>
                <w:sz w:val="18"/>
                <w:szCs w:val="18"/>
              </w:rPr>
              <w:t xml:space="preserve">功能；</w:t>
            </w:r>
            <w:r>
              <w:rPr>
                <w:rFonts w:hint="eastAsia" w:ascii="宋体" w:hAnsi="宋体" w:cs="宋体"/>
                <w:sz w:val="18"/>
                <w:szCs w:val="18"/>
              </w:rPr>
              <w:br/>
              <w:t xml:space="preserve">6. </w:t>
            </w:r>
            <w:r>
              <w:rPr>
                <w:rFonts w:hint="eastAsia" w:ascii="宋体" w:hAnsi="宋体" w:cs="宋体"/>
                <w:sz w:val="18"/>
                <w:szCs w:val="18"/>
              </w:rPr>
              <w:t xml:space="preserve">配置</w:t>
            </w:r>
            <w:r>
              <w:rPr>
                <w:rFonts w:hint="eastAsia" w:ascii="宋体" w:hAnsi="宋体" w:cs="宋体"/>
                <w:sz w:val="18"/>
                <w:szCs w:val="18"/>
              </w:rPr>
              <w:t xml:space="preserve">2</w:t>
            </w:r>
            <w:r>
              <w:rPr>
                <w:rFonts w:hint="eastAsia" w:ascii="宋体" w:hAnsi="宋体" w:cs="宋体"/>
                <w:sz w:val="18"/>
                <w:szCs w:val="18"/>
              </w:rPr>
              <w:t xml:space="preserve">块智能分析卡，不低于</w:t>
            </w:r>
            <w:r>
              <w:rPr>
                <w:rFonts w:hint="eastAsia" w:ascii="宋体" w:hAnsi="宋体" w:cs="宋体"/>
                <w:sz w:val="18"/>
                <w:szCs w:val="18"/>
              </w:rPr>
              <w:t xml:space="preserve">LPDDR4X 48GB</w:t>
            </w:r>
            <w:r>
              <w:rPr>
                <w:rFonts w:hint="eastAsia" w:ascii="宋体" w:hAnsi="宋体" w:cs="宋体"/>
                <w:sz w:val="18"/>
                <w:szCs w:val="18"/>
              </w:rPr>
              <w:t xml:space="preserve">；</w:t>
            </w:r>
            <w:r>
              <w:rPr>
                <w:rFonts w:hint="eastAsia" w:ascii="宋体" w:hAnsi="宋体" w:cs="宋体"/>
                <w:sz w:val="18"/>
                <w:szCs w:val="18"/>
              </w:rPr>
              <w:t xml:space="preserve">单卡算力不</w:t>
            </w:r>
            <w:r>
              <w:rPr>
                <w:rFonts w:hint="eastAsia" w:ascii="宋体" w:hAnsi="宋体" w:cs="宋体"/>
                <w:sz w:val="18"/>
                <w:szCs w:val="18"/>
              </w:rPr>
              <w:t xml:space="preserve">低于</w:t>
            </w:r>
            <w:r>
              <w:rPr>
                <w:rFonts w:hint="eastAsia" w:ascii="宋体" w:hAnsi="宋体" w:cs="宋体"/>
                <w:sz w:val="18"/>
                <w:szCs w:val="18"/>
              </w:rPr>
              <w:t xml:space="preserve">140 TOPS INT8</w:t>
            </w:r>
            <w:r>
              <w:rPr>
                <w:rFonts w:hint="eastAsia" w:ascii="宋体" w:hAnsi="宋体" w:cs="宋体"/>
                <w:sz w:val="18"/>
                <w:szCs w:val="18"/>
              </w:rPr>
              <w:t xml:space="preserve">，</w:t>
            </w:r>
            <w:r>
              <w:rPr>
                <w:rFonts w:hint="eastAsia" w:ascii="宋体" w:hAnsi="宋体" w:cs="宋体"/>
                <w:sz w:val="18"/>
                <w:szCs w:val="18"/>
              </w:rPr>
              <w:t xml:space="preserve">70 TFLOPS FP16</w:t>
            </w:r>
            <w:r>
              <w:rPr>
                <w:rFonts w:hint="eastAsia" w:ascii="宋体" w:hAnsi="宋体" w:cs="宋体"/>
                <w:sz w:val="18"/>
                <w:szCs w:val="18"/>
              </w:rPr>
              <w:t xml:space="preserve">；</w:t>
            </w:r>
            <w:r>
              <w:rPr>
                <w:rFonts w:hint="eastAsia" w:ascii="宋体" w:hAnsi="宋体" w:cs="宋体"/>
                <w:sz w:val="18"/>
                <w:szCs w:val="18"/>
              </w:rPr>
              <w:br/>
              <w:t xml:space="preserve">7. </w:t>
            </w:r>
            <w:r>
              <w:rPr>
                <w:rFonts w:hint="eastAsia" w:ascii="宋体" w:hAnsi="宋体" w:cs="宋体"/>
                <w:sz w:val="18"/>
                <w:szCs w:val="18"/>
              </w:rPr>
              <w:t xml:space="preserve">网络配置</w:t>
            </w:r>
            <w:r>
              <w:rPr>
                <w:rFonts w:hint="eastAsia" w:ascii="宋体" w:hAnsi="宋体" w:cs="宋体"/>
                <w:sz w:val="18"/>
                <w:szCs w:val="18"/>
              </w:rPr>
              <w:t xml:space="preserve">:</w:t>
            </w:r>
            <w:r>
              <w:rPr>
                <w:rFonts w:hint="eastAsia" w:ascii="宋体" w:hAnsi="宋体" w:cs="宋体"/>
                <w:sz w:val="18"/>
                <w:szCs w:val="18"/>
              </w:rPr>
              <w:t xml:space="preserve">具备不少于</w:t>
            </w:r>
            <w:r>
              <w:rPr>
                <w:rFonts w:hint="eastAsia" w:ascii="宋体" w:hAnsi="宋体" w:cs="宋体"/>
                <w:sz w:val="18"/>
                <w:szCs w:val="18"/>
              </w:rPr>
              <w:t xml:space="preserve">4</w:t>
            </w:r>
            <w:r>
              <w:rPr>
                <w:rFonts w:hint="eastAsia" w:ascii="宋体" w:hAnsi="宋体" w:cs="宋体"/>
                <w:sz w:val="18"/>
                <w:szCs w:val="18"/>
              </w:rPr>
              <w:t xml:space="preserve">个</w:t>
            </w:r>
            <w:r>
              <w:rPr>
                <w:rFonts w:hint="eastAsia" w:ascii="宋体" w:hAnsi="宋体" w:cs="宋体"/>
                <w:sz w:val="18"/>
                <w:szCs w:val="18"/>
              </w:rPr>
              <w:t xml:space="preserve">千兆电口</w:t>
            </w:r>
            <w:r>
              <w:rPr>
                <w:rFonts w:hint="eastAsia" w:ascii="宋体" w:hAnsi="宋体" w:cs="宋体"/>
                <w:sz w:val="18"/>
                <w:szCs w:val="18"/>
              </w:rPr>
              <w:t xml:space="preserve">. 2</w:t>
            </w:r>
            <w:r>
              <w:rPr>
                <w:rFonts w:hint="eastAsia" w:ascii="宋体" w:hAnsi="宋体" w:cs="宋体"/>
                <w:sz w:val="18"/>
                <w:szCs w:val="18"/>
              </w:rPr>
              <w:t xml:space="preserve">个万兆</w:t>
            </w:r>
            <w:r>
              <w:rPr>
                <w:rFonts w:hint="eastAsia" w:ascii="宋体" w:hAnsi="宋体" w:cs="宋体"/>
                <w:sz w:val="18"/>
                <w:szCs w:val="18"/>
              </w:rPr>
              <w:t xml:space="preserve">以太网光口</w:t>
            </w:r>
            <w:r>
              <w:rPr>
                <w:rFonts w:hint="eastAsia" w:ascii="宋体" w:hAnsi="宋体" w:cs="宋体"/>
                <w:sz w:val="18"/>
                <w:szCs w:val="18"/>
              </w:rPr>
              <w:t xml:space="preserve">SFP+</w:t>
            </w:r>
            <w:r>
              <w:rPr>
                <w:rFonts w:hint="eastAsia" w:ascii="宋体" w:hAnsi="宋体" w:cs="宋体"/>
                <w:sz w:val="18"/>
                <w:szCs w:val="18"/>
              </w:rPr>
              <w:t xml:space="preserve">（含</w:t>
            </w:r>
            <w:r>
              <w:rPr>
                <w:rFonts w:hint="eastAsia" w:ascii="宋体" w:hAnsi="宋体" w:cs="宋体"/>
                <w:sz w:val="18"/>
                <w:szCs w:val="18"/>
              </w:rPr>
              <w:t xml:space="preserve">SFP+</w:t>
            </w:r>
            <w:r>
              <w:rPr>
                <w:rFonts w:hint="eastAsia" w:ascii="宋体" w:hAnsi="宋体" w:cs="宋体"/>
                <w:sz w:val="18"/>
                <w:szCs w:val="18"/>
              </w:rPr>
              <w:t xml:space="preserve">光模块）；</w:t>
            </w:r>
            <w:r>
              <w:rPr>
                <w:rFonts w:hint="eastAsia" w:ascii="宋体" w:hAnsi="宋体" w:cs="宋体"/>
                <w:sz w:val="18"/>
                <w:szCs w:val="18"/>
              </w:rPr>
              <w:br/>
              <w:t xml:space="preserve">8. </w:t>
            </w:r>
            <w:r>
              <w:rPr>
                <w:rFonts w:hint="eastAsia" w:ascii="宋体" w:hAnsi="宋体" w:cs="宋体"/>
                <w:sz w:val="18"/>
                <w:szCs w:val="18"/>
              </w:rPr>
              <w:t xml:space="preserve">配置</w:t>
            </w:r>
            <w:r>
              <w:rPr>
                <w:rFonts w:hint="eastAsia" w:ascii="宋体" w:hAnsi="宋体" w:cs="宋体"/>
                <w:sz w:val="18"/>
                <w:szCs w:val="18"/>
              </w:rPr>
              <w:t xml:space="preserve">2</w:t>
            </w:r>
            <w:r>
              <w:rPr>
                <w:rFonts w:hint="eastAsia" w:ascii="宋体" w:hAnsi="宋体" w:cs="宋体"/>
                <w:sz w:val="18"/>
                <w:szCs w:val="18"/>
              </w:rPr>
              <w:t xml:space="preserve">块</w:t>
            </w:r>
            <w:r>
              <w:rPr>
                <w:rFonts w:hint="eastAsia" w:ascii="宋体" w:hAnsi="宋体" w:cs="宋体"/>
                <w:sz w:val="18"/>
                <w:szCs w:val="18"/>
              </w:rPr>
              <w:t xml:space="preserve">900W</w:t>
            </w:r>
            <w:r>
              <w:rPr>
                <w:rFonts w:hint="eastAsia" w:ascii="宋体" w:hAnsi="宋体" w:cs="宋体"/>
                <w:sz w:val="18"/>
                <w:szCs w:val="18"/>
              </w:rPr>
              <w:t xml:space="preserve">白金电源；含导轨。</w:t>
            </w:r>
            <w:r/>
          </w:p>
        </w:tc>
        <w:tc>
          <w:tcPr>
            <w:tcBorders>
              <w:top w:val="single" w:color="auto" w:sz="4" w:space="0"/>
              <w:left w:val="single" w:color="auto" w:sz="4" w:space="0"/>
              <w:bottom w:val="single" w:color="auto" w:sz="4" w:space="0"/>
              <w:right w:val="single" w:color="auto" w:sz="4" w:space="0"/>
            </w:tcBorders>
            <w:tcW w:w="34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tcBorders>
              <w:top w:val="single" w:color="auto" w:sz="4" w:space="0"/>
              <w:left w:val="single" w:color="auto" w:sz="4" w:space="0"/>
              <w:bottom w:val="single" w:color="auto" w:sz="4" w:space="0"/>
              <w:right w:val="single" w:color="auto" w:sz="4" w:space="0"/>
            </w:tcBorders>
            <w:tcW w:w="44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tcBorders>
              <w:left w:val="single" w:color="auto" w:sz="4" w:space="0"/>
              <w:bottom w:val="single" w:color="auto" w:sz="4" w:space="0"/>
              <w:right w:val="single" w:color="auto" w:sz="4" w:space="0"/>
            </w:tcBorders>
            <w:tcW w:w="765"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40"/>
        </w:trPr>
        <w:tc>
          <w:tcPr>
            <w:tcBorders>
              <w:top w:val="single" w:color="auto" w:sz="4" w:space="0"/>
              <w:left w:val="single" w:color="auto" w:sz="4" w:space="0"/>
              <w:bottom w:val="single" w:color="auto" w:sz="4" w:space="0"/>
              <w:right w:val="none" w:color="000000" w:sz="4" w:space="0"/>
            </w:tcBorders>
            <w:tcW w:w="578"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三</w:t>
            </w:r>
            <w:r/>
          </w:p>
        </w:tc>
        <w:tc>
          <w:tcPr>
            <w:gridSpan w:val="4"/>
            <w:tcBorders>
              <w:top w:val="single" w:color="auto" w:sz="4" w:space="0"/>
              <w:left w:val="single" w:color="auto" w:sz="4" w:space="0"/>
              <w:bottom w:val="single" w:color="auto" w:sz="4" w:space="0"/>
              <w:right w:val="none" w:color="000000" w:sz="4" w:space="0"/>
            </w:tcBorders>
            <w:tcW w:w="7658" w:type="dxa"/>
            <w:vAlign w:val="center"/>
            <w:textDirection w:val="lrTb"/>
            <w:noWrap/>
          </w:tcPr>
          <w:p>
            <w:pPr>
              <w:jc w:val="left"/>
              <w:widowControl/>
              <w:rPr>
                <w:rFonts w:ascii="宋体" w:hAnsi="宋体" w:cs="宋体"/>
                <w:sz w:val="18"/>
                <w:szCs w:val="18"/>
              </w:rPr>
            </w:pPr>
            <w:r>
              <w:rPr>
                <w:rFonts w:hint="eastAsia" w:ascii="宋体" w:hAnsi="宋体" w:cs="宋体"/>
                <w:b/>
                <w:bCs/>
                <w:sz w:val="20"/>
                <w:szCs w:val="20"/>
              </w:rPr>
              <w:t xml:space="preserve">飞手培训</w:t>
            </w:r>
            <w:r>
              <w:rPr>
                <w:rFonts w:hint="eastAsia" w:ascii="宋体" w:hAnsi="宋体" w:cs="宋体"/>
                <w:b/>
                <w:bCs/>
                <w:sz w:val="20"/>
                <w:szCs w:val="20"/>
              </w:rPr>
              <w:t xml:space="preserve">服务</w:t>
            </w:r>
            <w:r/>
          </w:p>
        </w:tc>
        <w:tc>
          <w:tcPr>
            <w:tcBorders>
              <w:top w:val="single" w:color="auto" w:sz="4" w:space="0"/>
              <w:left w:val="none" w:color="000000" w:sz="4" w:space="0"/>
              <w:bottom w:val="single" w:color="auto" w:sz="4" w:space="0"/>
              <w:right w:val="none" w:color="000000" w:sz="4" w:space="0"/>
            </w:tcBorders>
            <w:tcW w:w="346" w:type="dxa"/>
            <w:vAlign w:val="center"/>
            <w:textDirection w:val="lrTb"/>
            <w:noWrap w:val="false"/>
          </w:tcPr>
          <w:p>
            <w:pPr>
              <w:jc w:val="center"/>
              <w:widowControl/>
              <w:rPr>
                <w:rFonts w:ascii="宋体" w:hAnsi="宋体" w:cs="宋体"/>
                <w:sz w:val="20"/>
                <w:szCs w:val="20"/>
              </w:rPr>
            </w:pPr>
            <w:r>
              <w:rPr>
                <w:rFonts w:hint="eastAsia" w:ascii="宋体" w:hAnsi="宋体" w:cs="宋体"/>
                <w:b/>
                <w:bCs/>
                <w:sz w:val="24"/>
                <w:szCs w:val="24"/>
              </w:rPr>
              <w:t xml:space="preserve">单位</w:t>
            </w:r>
            <w:r/>
          </w:p>
        </w:tc>
        <w:tc>
          <w:tcPr>
            <w:tcBorders>
              <w:top w:val="single" w:color="auto" w:sz="4" w:space="0"/>
              <w:left w:val="none" w:color="000000" w:sz="4" w:space="0"/>
              <w:bottom w:val="single" w:color="auto" w:sz="4" w:space="0"/>
              <w:right w:val="single" w:color="auto" w:sz="4" w:space="0"/>
            </w:tcBorders>
            <w:tcW w:w="445" w:type="dxa"/>
            <w:vAlign w:val="center"/>
            <w:textDirection w:val="lrTb"/>
            <w:noWrap w:val="false"/>
          </w:tcPr>
          <w:p>
            <w:pPr>
              <w:jc w:val="center"/>
              <w:widowControl/>
              <w:rPr>
                <w:rFonts w:ascii="宋体" w:hAnsi="宋体" w:cs="宋体"/>
                <w:sz w:val="20"/>
                <w:szCs w:val="20"/>
              </w:rPr>
            </w:pPr>
            <w:r>
              <w:rPr>
                <w:rFonts w:hint="eastAsia" w:ascii="宋体" w:hAnsi="宋体" w:cs="宋体"/>
                <w:b/>
                <w:bCs/>
                <w:sz w:val="24"/>
                <w:szCs w:val="24"/>
              </w:rPr>
              <w:t xml:space="preserve">数量</w:t>
            </w:r>
            <w:r/>
          </w:p>
        </w:tc>
        <w:tc>
          <w:tcPr>
            <w:tcBorders>
              <w:top w:val="single" w:color="auto" w:sz="4" w:space="0"/>
              <w:left w:val="none" w:color="000000" w:sz="4" w:space="0"/>
              <w:bottom w:val="single" w:color="auto" w:sz="4" w:space="0"/>
              <w:right w:val="single" w:color="auto" w:sz="4" w:space="0"/>
            </w:tcBorders>
            <w:tcW w:w="765" w:type="dxa"/>
            <w:vAlign w:val="center"/>
            <w:textDirection w:val="lrTb"/>
            <w:noWrap w:val="false"/>
          </w:tcPr>
          <w:p>
            <w:pPr>
              <w:jc w:val="center"/>
              <w:widowControl/>
              <w:rPr>
                <w:rFonts w:ascii="宋体" w:hAnsi="宋体" w:cs="宋体"/>
                <w:sz w:val="20"/>
                <w:szCs w:val="20"/>
              </w:rPr>
            </w:pPr>
            <w:r>
              <w:rPr>
                <w:rFonts w:hint="eastAsia" w:ascii="宋体" w:hAnsi="宋体" w:cs="宋体"/>
                <w:b/>
                <w:bCs/>
                <w:sz w:val="24"/>
                <w:szCs w:val="24"/>
              </w:rPr>
              <w:t xml:space="preserve">单价（万元）</w:t>
            </w:r>
            <w:r/>
          </w:p>
        </w:tc>
      </w:tr>
      <w:tr>
        <w:trPr>
          <w:trHeight w:val="540"/>
        </w:trPr>
        <w:tc>
          <w:tcPr>
            <w:tcBorders>
              <w:top w:val="single" w:color="auto" w:sz="4" w:space="0"/>
              <w:left w:val="single" w:color="auto" w:sz="4" w:space="0"/>
              <w:bottom w:val="single" w:color="auto" w:sz="4" w:space="0"/>
              <w:right w:val="single" w:color="auto" w:sz="4" w:space="0"/>
            </w:tcBorders>
            <w:tcW w:w="57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17</w:t>
            </w:r>
            <w:r/>
          </w:p>
        </w:tc>
        <w:tc>
          <w:tcPr>
            <w:gridSpan w:val="3"/>
            <w:tcBorders>
              <w:top w:val="single" w:color="auto" w:sz="4" w:space="0"/>
              <w:left w:val="single" w:color="auto" w:sz="4" w:space="0"/>
              <w:bottom w:val="single" w:color="auto" w:sz="4" w:space="0"/>
              <w:right w:val="single" w:color="auto" w:sz="4" w:space="0"/>
            </w:tcBorders>
            <w:tcW w:w="2530" w:type="dxa"/>
            <w:vAlign w:val="center"/>
            <w:textDirection w:val="lrTb"/>
            <w:noWrap/>
          </w:tcPr>
          <w:p>
            <w:pPr>
              <w:jc w:val="left"/>
              <w:widowControl/>
              <w:rPr>
                <w:rFonts w:ascii="宋体" w:hAnsi="宋体" w:cs="宋体"/>
                <w:sz w:val="18"/>
                <w:szCs w:val="18"/>
              </w:rPr>
            </w:pPr>
            <w:r>
              <w:rPr>
                <w:rFonts w:hint="eastAsia" w:ascii="宋体" w:hAnsi="宋体" w:cs="宋体"/>
                <w:sz w:val="18"/>
                <w:szCs w:val="18"/>
              </w:rPr>
              <w:t xml:space="preserve">飞手培训</w:t>
            </w:r>
            <w:r>
              <w:rPr>
                <w:rFonts w:hint="eastAsia" w:ascii="宋体" w:hAnsi="宋体" w:cs="宋体"/>
                <w:sz w:val="18"/>
                <w:szCs w:val="18"/>
              </w:rPr>
              <w:t xml:space="preserve">服务</w:t>
            </w:r>
            <w:r/>
          </w:p>
        </w:tc>
        <w:tc>
          <w:tcPr>
            <w:tcBorders>
              <w:top w:val="single" w:color="auto" w:sz="4" w:space="0"/>
              <w:left w:val="single" w:color="auto" w:sz="4" w:space="0"/>
              <w:bottom w:val="single" w:color="auto" w:sz="4" w:space="0"/>
              <w:right w:val="single" w:color="auto" w:sz="4" w:space="0"/>
            </w:tcBorders>
            <w:tcW w:w="512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完成</w:t>
            </w:r>
            <w:r>
              <w:rPr>
                <w:rFonts w:hint="eastAsia" w:ascii="宋体" w:hAnsi="宋体" w:cs="宋体"/>
                <w:sz w:val="18"/>
                <w:szCs w:val="18"/>
              </w:rPr>
              <w:t xml:space="preserve">40</w:t>
            </w:r>
            <w:r>
              <w:rPr>
                <w:rFonts w:hint="eastAsia" w:ascii="宋体" w:hAnsi="宋体" w:cs="宋体"/>
                <w:sz w:val="18"/>
                <w:szCs w:val="18"/>
              </w:rPr>
              <w:t xml:space="preserve">人的</w:t>
            </w:r>
            <w:r>
              <w:rPr>
                <w:rFonts w:hint="eastAsia" w:ascii="宋体" w:hAnsi="宋体" w:cs="宋体"/>
                <w:sz w:val="18"/>
                <w:szCs w:val="18"/>
              </w:rPr>
              <w:t xml:space="preserve">CAAC</w:t>
            </w:r>
            <w:r>
              <w:rPr>
                <w:rFonts w:hint="eastAsia" w:ascii="宋体" w:hAnsi="宋体" w:cs="宋体"/>
                <w:sz w:val="18"/>
                <w:szCs w:val="18"/>
              </w:rPr>
              <w:t xml:space="preserve">无人机机长执照考试培训并组织参训人员通过国家民航局组织的专业考试并取得相应资质证书（</w:t>
            </w:r>
            <w:r>
              <w:rPr>
                <w:rFonts w:hint="eastAsia" w:ascii="宋体" w:hAnsi="宋体" w:cs="宋体"/>
                <w:sz w:val="18"/>
                <w:szCs w:val="18"/>
              </w:rPr>
              <w:t xml:space="preserve">CAAC</w:t>
            </w:r>
            <w:r>
              <w:rPr>
                <w:rFonts w:hint="eastAsia" w:ascii="宋体" w:hAnsi="宋体" w:cs="宋体"/>
                <w:sz w:val="18"/>
                <w:szCs w:val="18"/>
              </w:rPr>
              <w:t xml:space="preserve">小型超视距多旋翼）</w:t>
            </w:r>
            <w:r/>
          </w:p>
        </w:tc>
        <w:tc>
          <w:tcPr>
            <w:tcBorders>
              <w:top w:val="single" w:color="auto" w:sz="4" w:space="0"/>
              <w:left w:val="single" w:color="auto" w:sz="4" w:space="0"/>
              <w:bottom w:val="single" w:color="auto" w:sz="4" w:space="0"/>
              <w:right w:val="single" w:color="auto" w:sz="4" w:space="0"/>
            </w:tcBorders>
            <w:tcW w:w="34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项</w:t>
            </w:r>
            <w:r/>
          </w:p>
        </w:tc>
        <w:tc>
          <w:tcPr>
            <w:tcBorders>
              <w:top w:val="single" w:color="auto" w:sz="4" w:space="0"/>
              <w:left w:val="single" w:color="auto" w:sz="4" w:space="0"/>
              <w:bottom w:val="single" w:color="auto" w:sz="4" w:space="0"/>
              <w:right w:val="single" w:color="auto" w:sz="4" w:space="0"/>
            </w:tcBorders>
            <w:tcW w:w="445"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jc w:val="center"/>
              <w:widowControl/>
              <w:rPr>
                <w:rFonts w:ascii="宋体" w:hAnsi="宋体" w:cs="宋体"/>
                <w:sz w:val="18"/>
                <w:szCs w:val="18"/>
              </w:rPr>
            </w:pPr>
            <w:r>
              <w:rPr>
                <w:rFonts w:hint="eastAsia" w:ascii="宋体" w:hAnsi="宋体" w:cs="宋体"/>
                <w:b/>
                <w:bCs/>
                <w:sz w:val="18"/>
                <w:szCs w:val="18"/>
              </w:rPr>
              <w:t xml:space="preserve">40</w:t>
            </w:r>
            <w:r/>
          </w:p>
        </w:tc>
      </w:tr>
      <w:tr>
        <w:trPr>
          <w:trHeight w:val="540"/>
        </w:trPr>
        <w:tc>
          <w:tcPr>
            <w:tcBorders>
              <w:top w:val="single" w:color="auto" w:sz="4" w:space="0"/>
              <w:left w:val="single" w:color="auto" w:sz="4" w:space="0"/>
              <w:bottom w:val="single" w:color="auto" w:sz="4" w:space="0"/>
              <w:right w:val="none" w:color="000000" w:sz="4" w:space="0"/>
            </w:tcBorders>
            <w:tcW w:w="578"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四</w:t>
            </w:r>
            <w:r/>
          </w:p>
        </w:tc>
        <w:tc>
          <w:tcPr>
            <w:gridSpan w:val="4"/>
            <w:tcBorders>
              <w:top w:val="single" w:color="auto" w:sz="4" w:space="0"/>
              <w:left w:val="single" w:color="auto" w:sz="4" w:space="0"/>
              <w:bottom w:val="single" w:color="auto" w:sz="4" w:space="0"/>
              <w:right w:val="none" w:color="000000" w:sz="4" w:space="0"/>
            </w:tcBorders>
            <w:tcW w:w="7658" w:type="dxa"/>
            <w:vAlign w:val="center"/>
            <w:textDirection w:val="lrTb"/>
            <w:noWrap/>
          </w:tcPr>
          <w:p>
            <w:pPr>
              <w:jc w:val="left"/>
              <w:widowControl/>
              <w:rPr>
                <w:rFonts w:ascii="宋体" w:hAnsi="宋体" w:cs="宋体"/>
                <w:sz w:val="18"/>
                <w:szCs w:val="18"/>
              </w:rPr>
            </w:pPr>
            <w:r>
              <w:rPr>
                <w:rFonts w:hint="eastAsia" w:ascii="宋体" w:hAnsi="宋体" w:cs="宋体"/>
                <w:b/>
                <w:bCs/>
                <w:sz w:val="20"/>
                <w:szCs w:val="20"/>
              </w:rPr>
              <w:t xml:space="preserve">通信服务</w:t>
            </w:r>
            <w:r>
              <w:rPr>
                <w:rFonts w:hint="eastAsia" w:ascii="宋体" w:hAnsi="宋体" w:cs="宋体"/>
                <w:sz w:val="18"/>
                <w:szCs w:val="18"/>
              </w:rPr>
              <w:t xml:space="preserve">　</w:t>
            </w:r>
            <w:r/>
          </w:p>
        </w:tc>
        <w:tc>
          <w:tcPr>
            <w:tcBorders>
              <w:top w:val="single" w:color="auto" w:sz="4" w:space="0"/>
              <w:left w:val="none" w:color="000000" w:sz="4" w:space="0"/>
              <w:bottom w:val="single" w:color="auto" w:sz="4" w:space="0"/>
              <w:right w:val="none" w:color="000000" w:sz="4" w:space="0"/>
            </w:tcBorders>
            <w:tcW w:w="346" w:type="dxa"/>
            <w:vAlign w:val="center"/>
            <w:textDirection w:val="lrTb"/>
            <w:noWrap w:val="false"/>
          </w:tcPr>
          <w:p>
            <w:pPr>
              <w:jc w:val="center"/>
              <w:widowControl/>
              <w:rPr>
                <w:rFonts w:ascii="宋体" w:hAnsi="宋体" w:cs="宋体"/>
                <w:sz w:val="20"/>
                <w:szCs w:val="20"/>
              </w:rPr>
            </w:pPr>
            <w:r>
              <w:rPr>
                <w:rFonts w:hint="eastAsia" w:ascii="宋体" w:hAnsi="宋体" w:cs="宋体"/>
                <w:b/>
                <w:bCs/>
                <w:sz w:val="24"/>
                <w:szCs w:val="24"/>
              </w:rPr>
              <w:t xml:space="preserve">单位</w:t>
            </w:r>
            <w:r/>
          </w:p>
        </w:tc>
        <w:tc>
          <w:tcPr>
            <w:tcBorders>
              <w:top w:val="single" w:color="auto" w:sz="4" w:space="0"/>
              <w:left w:val="none" w:color="000000" w:sz="4" w:space="0"/>
              <w:bottom w:val="single" w:color="auto" w:sz="4" w:space="0"/>
              <w:right w:val="single" w:color="auto" w:sz="4" w:space="0"/>
            </w:tcBorders>
            <w:tcW w:w="445" w:type="dxa"/>
            <w:vAlign w:val="center"/>
            <w:textDirection w:val="lrTb"/>
            <w:noWrap w:val="false"/>
          </w:tcPr>
          <w:p>
            <w:pPr>
              <w:jc w:val="center"/>
              <w:widowControl/>
              <w:rPr>
                <w:rFonts w:ascii="宋体" w:hAnsi="宋体" w:cs="宋体"/>
                <w:sz w:val="20"/>
                <w:szCs w:val="20"/>
              </w:rPr>
            </w:pPr>
            <w:r>
              <w:rPr>
                <w:rFonts w:hint="eastAsia" w:ascii="宋体" w:hAnsi="宋体" w:cs="宋体"/>
                <w:b/>
                <w:bCs/>
                <w:sz w:val="24"/>
                <w:szCs w:val="24"/>
              </w:rPr>
              <w:t xml:space="preserve">数量</w:t>
            </w:r>
            <w:r/>
          </w:p>
        </w:tc>
        <w:tc>
          <w:tcPr>
            <w:tcBorders>
              <w:top w:val="single" w:color="auto" w:sz="4" w:space="0"/>
              <w:left w:val="none" w:color="000000" w:sz="4" w:space="0"/>
              <w:bottom w:val="single" w:color="auto" w:sz="4" w:space="0"/>
              <w:right w:val="single" w:color="auto" w:sz="4" w:space="0"/>
            </w:tcBorders>
            <w:tcW w:w="765" w:type="dxa"/>
            <w:vAlign w:val="center"/>
            <w:textDirection w:val="lrTb"/>
            <w:noWrap w:val="false"/>
          </w:tcPr>
          <w:p>
            <w:pPr>
              <w:jc w:val="center"/>
              <w:widowControl/>
              <w:rPr>
                <w:rFonts w:ascii="宋体" w:hAnsi="宋体" w:cs="宋体"/>
                <w:sz w:val="20"/>
                <w:szCs w:val="20"/>
              </w:rPr>
            </w:pPr>
            <w:r>
              <w:rPr>
                <w:rFonts w:hint="eastAsia" w:ascii="宋体" w:hAnsi="宋体" w:cs="宋体"/>
                <w:b/>
                <w:bCs/>
                <w:sz w:val="24"/>
                <w:szCs w:val="24"/>
              </w:rPr>
              <w:t xml:space="preserve">单价（万元）</w:t>
            </w:r>
            <w:r/>
          </w:p>
        </w:tc>
      </w:tr>
      <w:tr>
        <w:trPr>
          <w:trHeight w:val="540"/>
        </w:trPr>
        <w:tc>
          <w:tcPr>
            <w:tcBorders>
              <w:top w:val="none" w:color="000000" w:sz="4" w:space="0"/>
              <w:left w:val="single" w:color="auto" w:sz="4" w:space="0"/>
              <w:bottom w:val="single" w:color="auto" w:sz="4" w:space="0"/>
              <w:right w:val="single" w:color="auto" w:sz="4" w:space="0"/>
            </w:tcBorders>
            <w:tcW w:w="57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w:t>
            </w:r>
            <w:r/>
          </w:p>
        </w:tc>
        <w:tc>
          <w:tcPr>
            <w:gridSpan w:val="3"/>
            <w:tcBorders>
              <w:top w:val="none" w:color="000000" w:sz="4" w:space="0"/>
              <w:left w:val="none" w:color="000000" w:sz="4" w:space="0"/>
              <w:bottom w:val="none" w:color="000000" w:sz="4" w:space="0"/>
              <w:right w:val="single" w:color="auto" w:sz="4" w:space="0"/>
            </w:tcBorders>
            <w:tcW w:w="2530" w:type="dxa"/>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数据专线</w:t>
            </w:r>
            <w:r>
              <w:rPr>
                <w:rFonts w:hint="eastAsia" w:ascii="宋体" w:hAnsi="宋体" w:cs="宋体"/>
                <w:color w:val="000000"/>
                <w:sz w:val="22"/>
              </w:rPr>
              <w:t xml:space="preserve">1</w:t>
            </w:r>
            <w:r/>
          </w:p>
        </w:tc>
        <w:tc>
          <w:tcPr>
            <w:tcBorders>
              <w:top w:val="single" w:color="auto" w:sz="4" w:space="0"/>
              <w:left w:val="none" w:color="000000" w:sz="4" w:space="0"/>
              <w:bottom w:val="single" w:color="auto" w:sz="4" w:space="0"/>
              <w:right w:val="single" w:color="auto" w:sz="4" w:space="0"/>
            </w:tcBorders>
            <w:tcW w:w="512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社会面接入数据专线，</w:t>
            </w:r>
            <w:r>
              <w:rPr>
                <w:rFonts w:hint="eastAsia" w:ascii="宋体" w:hAnsi="宋体" w:cs="宋体"/>
                <w:color w:val="000000"/>
                <w:sz w:val="18"/>
                <w:szCs w:val="18"/>
              </w:rPr>
              <w:t xml:space="preserve">1</w:t>
            </w:r>
            <w:r>
              <w:rPr>
                <w:rFonts w:hint="eastAsia" w:ascii="宋体" w:hAnsi="宋体" w:cs="宋体"/>
                <w:color w:val="000000"/>
                <w:sz w:val="18"/>
                <w:szCs w:val="18"/>
              </w:rPr>
              <w:t xml:space="preserve">年费用，</w:t>
            </w:r>
            <w:r>
              <w:rPr>
                <w:rFonts w:hint="eastAsia" w:ascii="宋体" w:hAnsi="宋体" w:cs="宋体"/>
                <w:color w:val="000000"/>
                <w:sz w:val="18"/>
                <w:szCs w:val="18"/>
              </w:rPr>
              <w:t xml:space="preserve">100M</w:t>
            </w:r>
            <w:r/>
          </w:p>
        </w:tc>
        <w:tc>
          <w:tcPr>
            <w:tcBorders>
              <w:top w:val="single" w:color="auto" w:sz="4" w:space="0"/>
              <w:left w:val="none" w:color="000000" w:sz="4" w:space="0"/>
              <w:bottom w:val="single" w:color="auto" w:sz="4" w:space="0"/>
              <w:right w:val="single" w:color="auto" w:sz="4" w:space="0"/>
            </w:tcBorders>
            <w:tcW w:w="34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条</w:t>
            </w:r>
            <w:r/>
          </w:p>
        </w:tc>
        <w:tc>
          <w:tcPr>
            <w:tcBorders>
              <w:top w:val="none" w:color="000000" w:sz="4" w:space="0"/>
              <w:left w:val="none" w:color="000000" w:sz="4" w:space="0"/>
              <w:bottom w:val="single" w:color="auto" w:sz="4" w:space="0"/>
              <w:right w:val="single" w:color="auto" w:sz="4" w:space="0"/>
            </w:tcBorders>
            <w:tcW w:w="445"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tcBorders>
              <w:top w:val="none" w:color="000000" w:sz="4" w:space="0"/>
              <w:left w:val="none" w:color="000000" w:sz="4" w:space="0"/>
              <w:bottom w:val="single" w:color="auto" w:sz="4" w:space="0"/>
              <w:right w:val="single" w:color="auto" w:sz="4" w:space="0"/>
            </w:tcBorders>
            <w:tcW w:w="765" w:type="dxa"/>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1</w:t>
            </w:r>
            <w:r/>
          </w:p>
        </w:tc>
      </w:tr>
      <w:tr>
        <w:trPr>
          <w:trHeight w:val="540"/>
        </w:trPr>
        <w:tc>
          <w:tcPr>
            <w:tcBorders>
              <w:top w:val="none" w:color="000000" w:sz="4" w:space="0"/>
              <w:left w:val="single" w:color="auto" w:sz="4" w:space="0"/>
              <w:bottom w:val="single" w:color="auto" w:sz="4" w:space="0"/>
              <w:right w:val="single" w:color="auto" w:sz="4" w:space="0"/>
            </w:tcBorders>
            <w:tcW w:w="57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19</w:t>
            </w:r>
            <w:r/>
          </w:p>
        </w:tc>
        <w:tc>
          <w:tcPr>
            <w:gridSpan w:val="3"/>
            <w:tcBorders>
              <w:top w:val="single" w:color="auto" w:sz="4" w:space="0"/>
              <w:left w:val="none" w:color="000000" w:sz="4" w:space="0"/>
              <w:bottom w:val="single" w:color="auto" w:sz="4" w:space="0"/>
              <w:right w:val="single" w:color="auto" w:sz="4" w:space="0"/>
            </w:tcBorders>
            <w:tcW w:w="2530" w:type="dxa"/>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数据专线</w:t>
            </w:r>
            <w:r>
              <w:rPr>
                <w:rFonts w:hint="eastAsia" w:ascii="宋体" w:hAnsi="宋体" w:cs="宋体"/>
                <w:color w:val="000000"/>
                <w:sz w:val="22"/>
              </w:rPr>
              <w:t xml:space="preserve">2</w:t>
            </w:r>
            <w:r/>
          </w:p>
        </w:tc>
        <w:tc>
          <w:tcPr>
            <w:tcBorders>
              <w:top w:val="none" w:color="000000" w:sz="4" w:space="0"/>
              <w:left w:val="none" w:color="000000" w:sz="4" w:space="0"/>
              <w:bottom w:val="single" w:color="auto" w:sz="4" w:space="0"/>
              <w:right w:val="single" w:color="auto" w:sz="4" w:space="0"/>
            </w:tcBorders>
            <w:tcW w:w="512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互联网专线网信号接入，</w:t>
            </w:r>
            <w:r>
              <w:rPr>
                <w:rFonts w:hint="eastAsia" w:ascii="宋体" w:hAnsi="宋体" w:cs="宋体"/>
                <w:color w:val="000000"/>
                <w:sz w:val="18"/>
                <w:szCs w:val="18"/>
              </w:rPr>
              <w:t xml:space="preserve">1</w:t>
            </w:r>
            <w:r>
              <w:rPr>
                <w:rFonts w:hint="eastAsia" w:ascii="宋体" w:hAnsi="宋体" w:cs="宋体"/>
                <w:color w:val="000000"/>
                <w:sz w:val="18"/>
                <w:szCs w:val="18"/>
              </w:rPr>
              <w:t xml:space="preserve">年费用，</w:t>
            </w:r>
            <w:r>
              <w:rPr>
                <w:rFonts w:hint="eastAsia" w:ascii="宋体" w:hAnsi="宋体" w:cs="宋体"/>
                <w:color w:val="000000"/>
                <w:sz w:val="18"/>
                <w:szCs w:val="18"/>
              </w:rPr>
              <w:t xml:space="preserve">10M</w:t>
            </w:r>
            <w:r/>
          </w:p>
        </w:tc>
        <w:tc>
          <w:tcPr>
            <w:tcBorders>
              <w:top w:val="none" w:color="000000" w:sz="4" w:space="0"/>
              <w:left w:val="none" w:color="000000" w:sz="4" w:space="0"/>
              <w:bottom w:val="single" w:color="auto" w:sz="4" w:space="0"/>
              <w:right w:val="single" w:color="auto" w:sz="4" w:space="0"/>
            </w:tcBorders>
            <w:tcW w:w="34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条</w:t>
            </w:r>
            <w:r/>
          </w:p>
        </w:tc>
        <w:tc>
          <w:tcPr>
            <w:tcBorders>
              <w:top w:val="none" w:color="000000" w:sz="4" w:space="0"/>
              <w:left w:val="none" w:color="000000" w:sz="4" w:space="0"/>
              <w:bottom w:val="single" w:color="auto" w:sz="4" w:space="0"/>
              <w:right w:val="single" w:color="auto" w:sz="4" w:space="0"/>
            </w:tcBorders>
            <w:tcW w:w="445"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tcBorders>
              <w:top w:val="none" w:color="000000" w:sz="4" w:space="0"/>
              <w:left w:val="none" w:color="000000" w:sz="4" w:space="0"/>
              <w:bottom w:val="single" w:color="auto" w:sz="4" w:space="0"/>
              <w:right w:val="single" w:color="auto" w:sz="4" w:space="0"/>
            </w:tcBorders>
            <w:tcW w:w="765" w:type="dxa"/>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1</w:t>
            </w:r>
            <w:r/>
          </w:p>
        </w:tc>
      </w:tr>
      <w:tr>
        <w:trPr>
          <w:trHeight w:val="540"/>
        </w:trPr>
        <w:tc>
          <w:tcPr>
            <w:tcBorders>
              <w:top w:val="none" w:color="000000" w:sz="4" w:space="0"/>
              <w:left w:val="single" w:color="auto" w:sz="4" w:space="0"/>
              <w:bottom w:val="none" w:color="000000" w:sz="4" w:space="0"/>
              <w:right w:val="single" w:color="auto" w:sz="4" w:space="0"/>
            </w:tcBorders>
            <w:tcW w:w="57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20</w:t>
            </w:r>
            <w:r/>
          </w:p>
        </w:tc>
        <w:tc>
          <w:tcPr>
            <w:gridSpan w:val="3"/>
            <w:tcBorders>
              <w:top w:val="none" w:color="000000" w:sz="4" w:space="0"/>
              <w:left w:val="none" w:color="000000" w:sz="4" w:space="0"/>
              <w:bottom w:val="none" w:color="000000" w:sz="4" w:space="0"/>
              <w:right w:val="single" w:color="auto" w:sz="4" w:space="0"/>
            </w:tcBorders>
            <w:tcW w:w="2530" w:type="dxa"/>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物</w:t>
            </w:r>
            <w:r>
              <w:rPr>
                <w:rFonts w:hint="eastAsia" w:ascii="宋体" w:hAnsi="宋体" w:cs="宋体"/>
                <w:color w:val="000000"/>
                <w:sz w:val="22"/>
              </w:rPr>
              <w:t xml:space="preserve">联网卡</w:t>
            </w:r>
            <w:r/>
          </w:p>
        </w:tc>
        <w:tc>
          <w:tcPr>
            <w:tcBorders>
              <w:top w:val="none" w:color="000000" w:sz="4" w:space="0"/>
              <w:left w:val="none" w:color="000000" w:sz="4" w:space="0"/>
              <w:bottom w:val="none" w:color="000000" w:sz="4" w:space="0"/>
              <w:right w:val="single" w:color="auto" w:sz="4" w:space="0"/>
            </w:tcBorders>
            <w:tcW w:w="512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每卡每月流量</w:t>
            </w:r>
            <w:r>
              <w:rPr>
                <w:rFonts w:hint="eastAsia" w:ascii="宋体" w:hAnsi="宋体" w:cs="宋体"/>
                <w:color w:val="000000"/>
                <w:sz w:val="18"/>
                <w:szCs w:val="18"/>
              </w:rPr>
              <w:t xml:space="preserve">30G</w:t>
            </w:r>
            <w:r>
              <w:rPr>
                <w:rFonts w:hint="eastAsia" w:ascii="宋体" w:hAnsi="宋体" w:cs="宋体"/>
                <w:color w:val="000000"/>
                <w:sz w:val="18"/>
                <w:szCs w:val="18"/>
              </w:rPr>
              <w:t xml:space="preserve">，</w:t>
            </w:r>
            <w:r>
              <w:rPr>
                <w:rFonts w:hint="eastAsia" w:ascii="宋体" w:hAnsi="宋体" w:cs="宋体"/>
                <w:color w:val="000000"/>
                <w:sz w:val="18"/>
                <w:szCs w:val="18"/>
              </w:rPr>
              <w:t xml:space="preserve">1</w:t>
            </w:r>
            <w:r>
              <w:rPr>
                <w:rFonts w:hint="eastAsia" w:ascii="宋体" w:hAnsi="宋体" w:cs="宋体"/>
                <w:color w:val="000000"/>
                <w:sz w:val="18"/>
                <w:szCs w:val="18"/>
              </w:rPr>
              <w:t xml:space="preserve">年费用。</w:t>
            </w:r>
            <w:r/>
          </w:p>
        </w:tc>
        <w:tc>
          <w:tcPr>
            <w:tcBorders>
              <w:top w:val="none" w:color="000000" w:sz="4" w:space="0"/>
              <w:left w:val="none" w:color="000000" w:sz="4" w:space="0"/>
              <w:bottom w:val="none" w:color="000000" w:sz="4" w:space="0"/>
              <w:right w:val="single" w:color="auto" w:sz="4" w:space="0"/>
            </w:tcBorders>
            <w:tcW w:w="34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张</w:t>
            </w:r>
            <w:r/>
          </w:p>
        </w:tc>
        <w:tc>
          <w:tcPr>
            <w:tcBorders>
              <w:top w:val="none" w:color="000000" w:sz="4" w:space="0"/>
              <w:left w:val="none" w:color="000000" w:sz="4" w:space="0"/>
              <w:bottom w:val="none" w:color="000000" w:sz="4" w:space="0"/>
              <w:right w:val="single" w:color="auto" w:sz="4" w:space="0"/>
            </w:tcBorders>
            <w:tcW w:w="445"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30</w:t>
            </w:r>
            <w:r/>
          </w:p>
        </w:tc>
        <w:tc>
          <w:tcPr>
            <w:tcBorders>
              <w:top w:val="none" w:color="000000" w:sz="4" w:space="0"/>
              <w:left w:val="none" w:color="000000" w:sz="4" w:space="0"/>
              <w:bottom w:val="none" w:color="000000" w:sz="4" w:space="0"/>
              <w:right w:val="single" w:color="auto" w:sz="4" w:space="0"/>
            </w:tcBorders>
            <w:tcW w:w="765" w:type="dxa"/>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1</w:t>
            </w:r>
            <w:r/>
          </w:p>
        </w:tc>
      </w:tr>
      <w:tr>
        <w:trPr>
          <w:trHeight w:val="540"/>
        </w:trPr>
        <w:tc>
          <w:tcPr>
            <w:gridSpan w:val="7"/>
            <w:tcBorders>
              <w:top w:val="none" w:color="000000" w:sz="4" w:space="0"/>
              <w:left w:val="single" w:color="auto" w:sz="4" w:space="0"/>
              <w:bottom w:val="single" w:color="auto" w:sz="4" w:space="0"/>
              <w:right w:val="single" w:color="auto" w:sz="4" w:space="0"/>
            </w:tcBorders>
            <w:tcW w:w="9027" w:type="dxa"/>
            <w:vAlign w:val="center"/>
            <w:textDirection w:val="lrTb"/>
            <w:noWrap w:val="false"/>
          </w:tcPr>
          <w:p>
            <w:pPr>
              <w:jc w:val="left"/>
              <w:widowControl/>
              <w:tabs>
                <w:tab w:val="left" w:pos="3798" w:leader="none"/>
              </w:tabs>
              <w:rPr>
                <w:rFonts w:ascii="宋体" w:hAnsi="宋体" w:cs="宋体"/>
                <w:sz w:val="18"/>
                <w:szCs w:val="18"/>
              </w:rPr>
            </w:pPr>
            <w:r>
              <w:rPr>
                <w:rFonts w:hint="eastAsia" w:ascii="宋体" w:hAnsi="宋体" w:cs="宋体"/>
                <w:sz w:val="18"/>
                <w:szCs w:val="18"/>
              </w:rPr>
              <w:tab/>
            </w:r>
            <w:r>
              <w:rPr>
                <w:rFonts w:hint="eastAsia" w:ascii="宋体" w:hAnsi="宋体" w:cs="宋体"/>
                <w:b/>
                <w:bCs/>
                <w:sz w:val="18"/>
                <w:szCs w:val="18"/>
              </w:rPr>
              <w:t xml:space="preserve">总价</w:t>
            </w:r>
            <w:r/>
          </w:p>
        </w:tc>
        <w:tc>
          <w:tcPr>
            <w:tcBorders>
              <w:top w:val="none" w:color="000000" w:sz="4" w:space="0"/>
              <w:left w:val="none" w:color="000000" w:sz="4" w:space="0"/>
              <w:bottom w:val="single" w:color="auto" w:sz="4" w:space="0"/>
              <w:right w:val="single" w:color="auto" w:sz="4" w:space="0"/>
            </w:tcBorders>
            <w:tcW w:w="765" w:type="dxa"/>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273</w:t>
            </w:r>
            <w:r/>
          </w:p>
        </w:tc>
      </w:tr>
    </w:tbl>
    <w:p>
      <w:pPr>
        <w:numPr>
          <w:ilvl w:val="0"/>
          <w:numId w:val="4"/>
        </w:numPr>
        <w:spacing w:line="360" w:lineRule="auto"/>
        <w:rPr>
          <w:rFonts w:ascii="宋体" w:hAnsi="宋体" w:cs="宋体"/>
          <w:sz w:val="24"/>
          <w:szCs w:val="21"/>
        </w:rPr>
      </w:pPr>
      <w:r>
        <w:rPr>
          <w:rFonts w:hint="eastAsia" w:ascii="宋体" w:hAnsi="宋体" w:cs="宋体"/>
          <w:sz w:val="24"/>
          <w:szCs w:val="21"/>
          <w:lang w:val="zh-CN"/>
        </w:rPr>
        <w:t xml:space="preserve">合同履行期限</w:t>
      </w:r>
      <w:r>
        <w:rPr>
          <w:rFonts w:hint="eastAsia" w:ascii="宋体" w:hAnsi="宋体" w:cs="宋体"/>
          <w:sz w:val="24"/>
          <w:szCs w:val="21"/>
        </w:rPr>
        <w:t xml:space="preserve">：</w:t>
      </w:r>
      <w:r>
        <w:rPr>
          <w:rFonts w:hint="eastAsia" w:ascii="宋体" w:hAnsi="宋体" w:cs="宋体"/>
          <w:sz w:val="24"/>
          <w:szCs w:val="21"/>
        </w:rPr>
        <w:t xml:space="preserve">2026</w:t>
      </w:r>
      <w:r>
        <w:rPr>
          <w:rFonts w:hint="eastAsia" w:ascii="宋体" w:hAnsi="宋体" w:cs="宋体"/>
          <w:sz w:val="24"/>
          <w:szCs w:val="21"/>
        </w:rPr>
        <w:t xml:space="preserve">年</w:t>
      </w:r>
      <w:r>
        <w:rPr>
          <w:rFonts w:hint="eastAsia" w:ascii="宋体" w:hAnsi="宋体" w:cs="宋体"/>
          <w:sz w:val="24"/>
          <w:szCs w:val="21"/>
        </w:rPr>
        <w:t xml:space="preserve">10</w:t>
      </w:r>
      <w:r>
        <w:rPr>
          <w:rFonts w:hint="eastAsia" w:ascii="宋体" w:hAnsi="宋体" w:cs="宋体"/>
          <w:sz w:val="24"/>
          <w:szCs w:val="21"/>
        </w:rPr>
        <w:t xml:space="preserve">月</w:t>
      </w:r>
      <w:r>
        <w:rPr>
          <w:rFonts w:hint="eastAsia" w:ascii="宋体" w:hAnsi="宋体" w:cs="宋体"/>
          <w:sz w:val="24"/>
          <w:szCs w:val="21"/>
        </w:rPr>
        <w:t xml:space="preserve">31</w:t>
      </w:r>
      <w:r>
        <w:rPr>
          <w:rFonts w:hint="eastAsia" w:ascii="宋体" w:hAnsi="宋体" w:cs="宋体"/>
          <w:sz w:val="24"/>
          <w:szCs w:val="21"/>
        </w:rPr>
        <w:t xml:space="preserve">日前完成。</w:t>
      </w:r>
      <w:r/>
    </w:p>
    <w:p>
      <w:pPr>
        <w:numPr>
          <w:ilvl w:val="0"/>
          <w:numId w:val="4"/>
        </w:numPr>
        <w:spacing w:line="360" w:lineRule="auto"/>
        <w:rPr>
          <w:rFonts w:ascii="宋体" w:hAnsi="宋体" w:cs="宋体"/>
          <w:sz w:val="24"/>
          <w:szCs w:val="21"/>
        </w:rPr>
      </w:pPr>
      <w:r>
        <w:rPr>
          <w:rFonts w:hint="eastAsia" w:ascii="宋体" w:hAnsi="宋体" w:cs="宋体"/>
          <w:sz w:val="24"/>
          <w:szCs w:val="21"/>
        </w:rPr>
        <w:t xml:space="preserve">付款方式：合同签订经甲方确认后，支付合同价款的</w:t>
      </w:r>
      <w:r>
        <w:rPr>
          <w:rFonts w:hint="eastAsia" w:ascii="宋体" w:hAnsi="宋体" w:cs="宋体"/>
          <w:sz w:val="24"/>
          <w:szCs w:val="21"/>
        </w:rPr>
        <w:t xml:space="preserve">30%</w:t>
      </w:r>
      <w:r>
        <w:rPr>
          <w:rFonts w:hint="eastAsia" w:ascii="宋体" w:hAnsi="宋体" w:cs="宋体"/>
          <w:sz w:val="24"/>
          <w:szCs w:val="21"/>
        </w:rPr>
        <w:t xml:space="preserve">作为预付款，项目验收合格，余款经审计后一次性付清。</w:t>
      </w:r>
      <w:r/>
    </w:p>
    <w:p>
      <w:pPr>
        <w:spacing w:line="360" w:lineRule="auto"/>
        <w:rPr>
          <w:sz w:val="24"/>
          <w:szCs w:val="24"/>
        </w:rPr>
      </w:pPr>
      <w:r>
        <w:rPr>
          <w:rFonts w:hint="eastAsia"/>
          <w:b/>
          <w:bCs/>
          <w:sz w:val="24"/>
          <w:szCs w:val="24"/>
        </w:rPr>
        <w:t xml:space="preserve">十三、</w:t>
      </w:r>
      <w:r>
        <w:rPr>
          <w:sz w:val="24"/>
          <w:szCs w:val="24"/>
        </w:rPr>
        <w:t xml:space="preserve">采购标的对应的中小企业划分标准所属行业一览表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25"/>
        <w:gridCol w:w="3054"/>
        <w:gridCol w:w="3767"/>
      </w:tblGrid>
      <w:tr>
        <w:trPr>
          <w:cantSplit/>
          <w:jc w:val="center"/>
        </w:trPr>
        <w:tc>
          <w:tcPr>
            <w:tcW w:w="725" w:type="dxa"/>
            <w:vAlign w:val="center"/>
            <w:textDirection w:val="lrTb"/>
            <w:noWrap w:val="false"/>
          </w:tcPr>
          <w:p>
            <w:pPr>
              <w:jc w:val="center"/>
              <w:spacing w:line="360" w:lineRule="auto"/>
              <w:rPr>
                <w:sz w:val="24"/>
                <w:szCs w:val="24"/>
              </w:rPr>
            </w:pPr>
            <w:r>
              <w:rPr>
                <w:sz w:val="24"/>
                <w:szCs w:val="24"/>
              </w:rPr>
              <w:t xml:space="preserve">序号</w:t>
            </w:r>
            <w:r/>
          </w:p>
        </w:tc>
        <w:tc>
          <w:tcPr>
            <w:tcW w:w="3054" w:type="dxa"/>
            <w:vAlign w:val="center"/>
            <w:textDirection w:val="lrTb"/>
            <w:noWrap w:val="false"/>
          </w:tcPr>
          <w:p>
            <w:pPr>
              <w:jc w:val="center"/>
              <w:spacing w:line="360" w:lineRule="auto"/>
              <w:rPr>
                <w:sz w:val="24"/>
                <w:szCs w:val="24"/>
              </w:rPr>
            </w:pPr>
            <w:r>
              <w:rPr>
                <w:sz w:val="24"/>
                <w:szCs w:val="24"/>
              </w:rPr>
              <w:t xml:space="preserve">采购标的</w:t>
            </w:r>
            <w:r/>
          </w:p>
        </w:tc>
        <w:tc>
          <w:tcPr>
            <w:tcW w:w="3767" w:type="dxa"/>
            <w:vAlign w:val="center"/>
            <w:textDirection w:val="lrTb"/>
            <w:noWrap w:val="false"/>
          </w:tcPr>
          <w:p>
            <w:pPr>
              <w:jc w:val="center"/>
              <w:spacing w:line="360" w:lineRule="auto"/>
              <w:rPr>
                <w:sz w:val="24"/>
                <w:szCs w:val="24"/>
              </w:rPr>
            </w:pPr>
            <w:r>
              <w:rPr>
                <w:sz w:val="24"/>
                <w:szCs w:val="24"/>
              </w:rPr>
              <w:t xml:space="preserve">对应中小企业划分标准所属行业</w:t>
            </w:r>
            <w:r/>
          </w:p>
        </w:tc>
      </w:tr>
      <w:tr>
        <w:trPr>
          <w:cantSplit/>
          <w:jc w:val="center"/>
          <w:trHeight w:val="291"/>
        </w:trPr>
        <w:tc>
          <w:tcPr>
            <w:tcW w:w="725" w:type="dxa"/>
            <w:vAlign w:val="center"/>
            <w:textDirection w:val="lrTb"/>
            <w:noWrap w:val="false"/>
          </w:tcPr>
          <w:p>
            <w:pPr>
              <w:jc w:val="center"/>
              <w:spacing w:line="360" w:lineRule="auto"/>
              <w:rPr>
                <w:sz w:val="24"/>
                <w:szCs w:val="24"/>
              </w:rPr>
            </w:pPr>
            <w:r>
              <w:rPr>
                <w:sz w:val="24"/>
                <w:szCs w:val="24"/>
              </w:rPr>
              <w:t xml:space="preserve">1</w:t>
            </w:r>
            <w:r/>
          </w:p>
        </w:tc>
        <w:tc>
          <w:tcPr>
            <w:tcW w:w="3054" w:type="dxa"/>
            <w:vAlign w:val="center"/>
            <w:textDirection w:val="lrTb"/>
            <w:noWrap w:val="false"/>
          </w:tcPr>
          <w:p>
            <w:pPr>
              <w:jc w:val="center"/>
              <w:spacing w:line="360" w:lineRule="auto"/>
              <w:rPr>
                <w:sz w:val="24"/>
                <w:szCs w:val="24"/>
              </w:rPr>
            </w:pPr>
            <w:r>
              <w:rPr>
                <w:rFonts w:hint="eastAsia"/>
                <w:spacing w:val="2"/>
                <w:sz w:val="24"/>
              </w:rPr>
              <w:t xml:space="preserve">低空警航安全</w:t>
            </w:r>
            <w:r>
              <w:rPr>
                <w:rFonts w:hint="eastAsia"/>
                <w:spacing w:val="2"/>
                <w:sz w:val="24"/>
              </w:rPr>
              <w:t xml:space="preserve">守护项目</w:t>
            </w:r>
            <w:r/>
          </w:p>
        </w:tc>
        <w:tc>
          <w:tcPr>
            <w:tcW w:w="3767" w:type="dxa"/>
            <w:vAlign w:val="center"/>
            <w:textDirection w:val="lrTb"/>
            <w:noWrap w:val="false"/>
          </w:tcPr>
          <w:p>
            <w:pPr>
              <w:jc w:val="center"/>
              <w:spacing w:line="360" w:lineRule="auto"/>
              <w:rPr>
                <w:sz w:val="24"/>
                <w:szCs w:val="24"/>
              </w:rPr>
            </w:pPr>
            <w:r>
              <w:rPr>
                <w:rFonts w:hint="eastAsia"/>
                <w:sz w:val="24"/>
                <w:szCs w:val="24"/>
              </w:rPr>
              <w:t xml:space="preserve">软件和信息技术服务业</w:t>
            </w:r>
            <w:r/>
          </w:p>
        </w:tc>
      </w:tr>
    </w:tbl>
    <w:p>
      <w:pPr>
        <w:pStyle w:val="767"/>
      </w:pPr>
      <w:r/>
      <w:r/>
    </w:p>
    <w:p>
      <w:pPr>
        <w:ind w:firstLine="480"/>
        <w:spacing w:line="360" w:lineRule="auto"/>
        <w:rPr>
          <w:sz w:val="24"/>
          <w:szCs w:val="24"/>
        </w:rPr>
      </w:pPr>
      <w:r>
        <w:rPr>
          <w:sz w:val="24"/>
          <w:szCs w:val="24"/>
        </w:rPr>
      </w:r>
      <w:r/>
    </w:p>
    <w:p>
      <w:pPr>
        <w:ind w:firstLine="480"/>
        <w:spacing w:line="0" w:lineRule="atLeast"/>
        <w:rPr>
          <w:sz w:val="24"/>
          <w:szCs w:val="21"/>
        </w:rPr>
      </w:pPr>
      <w:r>
        <w:rPr>
          <w:sz w:val="24"/>
          <w:szCs w:val="21"/>
        </w:rPr>
      </w:r>
      <w:r/>
    </w:p>
    <w:p>
      <w:pPr>
        <w:spacing w:line="0" w:lineRule="atLeast"/>
        <w:rPr>
          <w:sz w:val="24"/>
          <w:szCs w:val="24"/>
        </w:rPr>
      </w:pPr>
      <w:r>
        <w:rPr>
          <w:sz w:val="24"/>
          <w:szCs w:val="24"/>
        </w:rPr>
      </w:r>
      <w:r/>
    </w:p>
    <w:p>
      <w:pPr>
        <w:rPr>
          <w:rFonts w:eastAsia="黑体"/>
          <w:sz w:val="44"/>
          <w:szCs w:val="44"/>
        </w:rPr>
      </w:pPr>
      <w:r/>
      <w:bookmarkStart w:id="182" w:name="_Toc120614281"/>
      <w:r>
        <w:rPr>
          <w:rFonts w:eastAsia="黑体"/>
          <w:sz w:val="44"/>
          <w:szCs w:val="44"/>
        </w:rPr>
        <w:br w:type="page" w:clear="all"/>
      </w:r>
      <w:r/>
    </w:p>
    <w:p>
      <w:pPr>
        <w:jc w:val="center"/>
        <w:keepNext/>
        <w:spacing w:before="156" w:after="156"/>
        <w:rPr>
          <w:rFonts w:eastAsia="黑体"/>
          <w:sz w:val="44"/>
          <w:szCs w:val="44"/>
        </w:rPr>
        <w:outlineLvl w:val="0"/>
      </w:pPr>
      <w:r/>
      <w:bookmarkStart w:id="183" w:name="_Toc2634"/>
      <w:r>
        <w:rPr>
          <w:rFonts w:eastAsia="黑体"/>
          <w:sz w:val="44"/>
          <w:szCs w:val="44"/>
        </w:rPr>
        <w:t xml:space="preserve">第五章</w:t>
      </w:r>
      <w:r>
        <w:rPr>
          <w:rFonts w:eastAsia="黑体"/>
          <w:sz w:val="44"/>
          <w:szCs w:val="44"/>
        </w:rPr>
        <w:t xml:space="preserve">  </w:t>
      </w:r>
      <w:r>
        <w:rPr>
          <w:rFonts w:eastAsia="黑体"/>
          <w:sz w:val="44"/>
          <w:szCs w:val="44"/>
        </w:rPr>
        <w:t xml:space="preserve">评审方法与评审标准</w:t>
      </w:r>
      <w:bookmarkEnd w:id="183"/>
      <w:r/>
      <w:r/>
    </w:p>
    <w:p>
      <w:pPr>
        <w:keepLines/>
        <w:keepNext/>
        <w:spacing w:line="360" w:lineRule="auto"/>
        <w:rPr>
          <w:b/>
          <w:bCs/>
          <w:sz w:val="32"/>
          <w:szCs w:val="32"/>
        </w:rPr>
        <w:outlineLvl w:val="2"/>
      </w:pPr>
      <w:r>
        <w:rPr>
          <w:b/>
          <w:bCs/>
          <w:sz w:val="32"/>
          <w:szCs w:val="32"/>
        </w:rPr>
        <w:t xml:space="preserve">一、政府采购政策功能落实</w:t>
      </w:r>
      <w:r/>
    </w:p>
    <w:p>
      <w:pPr>
        <w:ind w:firstLine="480"/>
        <w:jc w:val="left"/>
        <w:spacing w:line="360" w:lineRule="auto"/>
        <w:rPr>
          <w:sz w:val="24"/>
          <w:szCs w:val="24"/>
        </w:rPr>
      </w:pPr>
      <w:r>
        <w:rPr>
          <w:sz w:val="24"/>
          <w:szCs w:val="24"/>
        </w:rPr>
        <w:t xml:space="preserve">1</w:t>
      </w:r>
      <w:r>
        <w:rPr>
          <w:sz w:val="24"/>
          <w:szCs w:val="24"/>
        </w:rPr>
        <w:t xml:space="preserve">、小微型企业价格扣除</w:t>
      </w:r>
      <w:r/>
    </w:p>
    <w:p>
      <w:pPr>
        <w:ind w:firstLine="480"/>
        <w:jc w:val="left"/>
        <w:spacing w:line="360" w:lineRule="auto"/>
        <w:rPr>
          <w:sz w:val="24"/>
          <w:szCs w:val="24"/>
        </w:rPr>
      </w:pPr>
      <w:r>
        <w:rPr>
          <w:sz w:val="24"/>
          <w:szCs w:val="24"/>
        </w:rPr>
        <w:t xml:space="preserve">（</w:t>
      </w:r>
      <w:r>
        <w:rPr>
          <w:sz w:val="24"/>
          <w:szCs w:val="24"/>
        </w:rPr>
        <w:t xml:space="preserve">1</w:t>
      </w:r>
      <w:r>
        <w:rPr>
          <w:sz w:val="24"/>
          <w:szCs w:val="24"/>
        </w:rPr>
        <w:t xml:space="preserve">）本项目对小型和微型企业产品给予</w:t>
      </w:r>
      <w:r>
        <w:rPr>
          <w:sz w:val="24"/>
          <w:szCs w:val="24"/>
          <w:u w:val="single"/>
        </w:rPr>
        <w:t xml:space="preserve">20%</w:t>
      </w:r>
      <w:r>
        <w:rPr>
          <w:sz w:val="24"/>
          <w:szCs w:val="24"/>
        </w:rPr>
        <w:t xml:space="preserve">的扣除价格，用扣除后的价格参与评审。</w:t>
      </w:r>
      <w:r/>
    </w:p>
    <w:p>
      <w:pPr>
        <w:ind w:firstLine="480"/>
        <w:jc w:val="left"/>
        <w:spacing w:line="360" w:lineRule="auto"/>
        <w:rPr>
          <w:sz w:val="24"/>
          <w:szCs w:val="24"/>
        </w:rPr>
      </w:pPr>
      <w:r>
        <w:rPr>
          <w:sz w:val="24"/>
          <w:szCs w:val="24"/>
        </w:rPr>
        <w:t xml:space="preserve">（</w:t>
      </w:r>
      <w:r>
        <w:rPr>
          <w:sz w:val="24"/>
          <w:szCs w:val="24"/>
        </w:rPr>
        <w:t xml:space="preserve">2</w:t>
      </w:r>
      <w:r>
        <w:rPr>
          <w:sz w:val="24"/>
          <w:szCs w:val="24"/>
        </w:rPr>
        <w:t xml:space="preserve">）供应商需按照采购文件的要求提供相应的《小微企业声明函》。</w:t>
      </w:r>
      <w:r/>
    </w:p>
    <w:p>
      <w:pPr>
        <w:ind w:firstLine="480"/>
        <w:jc w:val="left"/>
        <w:spacing w:line="360" w:lineRule="auto"/>
        <w:rPr>
          <w:sz w:val="24"/>
          <w:szCs w:val="24"/>
        </w:rPr>
      </w:pPr>
      <w:r>
        <w:rPr>
          <w:sz w:val="24"/>
          <w:szCs w:val="24"/>
        </w:rPr>
        <w:t xml:space="preserve">（</w:t>
      </w:r>
      <w:r>
        <w:rPr>
          <w:sz w:val="24"/>
          <w:szCs w:val="24"/>
        </w:rPr>
        <w:t xml:space="preserve">3</w:t>
      </w:r>
      <w:r>
        <w:rPr>
          <w:sz w:val="24"/>
          <w:szCs w:val="24"/>
        </w:rPr>
        <w:t xml:space="preserve">）企业标准请参照《关于印发中小企业划型标准规定的通知》（工信部联企业</w:t>
      </w:r>
      <w:r>
        <w:rPr>
          <w:sz w:val="24"/>
          <w:szCs w:val="24"/>
        </w:rPr>
        <w:t xml:space="preserve">[2011]300</w:t>
      </w:r>
      <w:r>
        <w:rPr>
          <w:sz w:val="24"/>
          <w:szCs w:val="24"/>
        </w:rPr>
        <w:t xml:space="preserve">号）文件规定自行填写。</w:t>
      </w:r>
      <w:r/>
    </w:p>
    <w:p>
      <w:pPr>
        <w:ind w:firstLine="480"/>
        <w:jc w:val="left"/>
        <w:spacing w:line="360" w:lineRule="auto"/>
        <w:rPr>
          <w:sz w:val="24"/>
          <w:szCs w:val="24"/>
        </w:rPr>
      </w:pPr>
      <w:r>
        <w:rPr>
          <w:sz w:val="24"/>
          <w:szCs w:val="24"/>
        </w:rPr>
        <w:t xml:space="preserve">2</w:t>
      </w:r>
      <w:r>
        <w:rPr>
          <w:sz w:val="24"/>
          <w:szCs w:val="24"/>
        </w:rPr>
        <w:t xml:space="preserve">、残疾人福利单位价格扣除</w:t>
      </w:r>
      <w:r/>
    </w:p>
    <w:p>
      <w:pPr>
        <w:ind w:firstLine="480"/>
        <w:jc w:val="left"/>
        <w:spacing w:line="360" w:lineRule="auto"/>
        <w:rPr>
          <w:sz w:val="24"/>
          <w:szCs w:val="24"/>
        </w:rPr>
      </w:pPr>
      <w:r>
        <w:rPr>
          <w:sz w:val="24"/>
          <w:szCs w:val="24"/>
        </w:rPr>
        <w:t xml:space="preserve">（</w:t>
      </w:r>
      <w:r>
        <w:rPr>
          <w:sz w:val="24"/>
          <w:szCs w:val="24"/>
        </w:rPr>
        <w:t xml:space="preserve">1</w:t>
      </w:r>
      <w:r>
        <w:rPr>
          <w:sz w:val="24"/>
          <w:szCs w:val="24"/>
        </w:rPr>
        <w:t xml:space="preserve">）本项目对残疾人福利性单位视同小型、微型企业，给予</w:t>
      </w:r>
      <w:r>
        <w:rPr>
          <w:sz w:val="24"/>
          <w:szCs w:val="24"/>
          <w:u w:val="single"/>
        </w:rPr>
        <w:t xml:space="preserve">10%</w:t>
      </w:r>
      <w:r>
        <w:rPr>
          <w:sz w:val="24"/>
          <w:szCs w:val="24"/>
        </w:rPr>
        <w:t xml:space="preserve">的价格扣除，用扣除后的价格参与评审。</w:t>
      </w:r>
      <w:r/>
    </w:p>
    <w:p>
      <w:pPr>
        <w:ind w:firstLine="480"/>
        <w:jc w:val="left"/>
        <w:spacing w:line="360" w:lineRule="auto"/>
        <w:rPr>
          <w:sz w:val="24"/>
          <w:szCs w:val="24"/>
        </w:rPr>
      </w:pPr>
      <w:r>
        <w:rPr>
          <w:sz w:val="24"/>
          <w:szCs w:val="24"/>
        </w:rPr>
        <w:t xml:space="preserve">（</w:t>
      </w:r>
      <w:r>
        <w:rPr>
          <w:sz w:val="24"/>
          <w:szCs w:val="24"/>
        </w:rPr>
        <w:t xml:space="preserve">2</w:t>
      </w:r>
      <w:r>
        <w:rPr>
          <w:sz w:val="24"/>
          <w:szCs w:val="24"/>
        </w:rPr>
        <w:t xml:space="preserve">）残疾人福利单位需按照采购文件的要求提供《残疾人福利性单位声明函》。</w:t>
      </w:r>
      <w:r/>
    </w:p>
    <w:p>
      <w:pPr>
        <w:ind w:firstLine="480"/>
        <w:jc w:val="left"/>
        <w:spacing w:line="360" w:lineRule="auto"/>
        <w:rPr>
          <w:sz w:val="24"/>
          <w:szCs w:val="24"/>
        </w:rPr>
      </w:pPr>
      <w:r>
        <w:rPr>
          <w:sz w:val="24"/>
          <w:szCs w:val="24"/>
        </w:rPr>
        <w:t xml:space="preserve">（</w:t>
      </w:r>
      <w:r>
        <w:rPr>
          <w:sz w:val="24"/>
          <w:szCs w:val="24"/>
        </w:rPr>
        <w:t xml:space="preserve">3</w:t>
      </w:r>
      <w:r>
        <w:rPr>
          <w:sz w:val="24"/>
          <w:szCs w:val="24"/>
        </w:rPr>
        <w:t xml:space="preserve">）残疾人福利单位标准请参照《关于促进残疾人就业政府采购政策的通知》（财库〔</w:t>
      </w:r>
      <w:r>
        <w:rPr>
          <w:sz w:val="24"/>
          <w:szCs w:val="24"/>
        </w:rPr>
        <w:t xml:space="preserve">2017</w:t>
      </w:r>
      <w:r>
        <w:rPr>
          <w:sz w:val="24"/>
          <w:szCs w:val="24"/>
        </w:rPr>
        <w:t xml:space="preserve">〕</w:t>
      </w:r>
      <w:r>
        <w:rPr>
          <w:sz w:val="24"/>
          <w:szCs w:val="24"/>
        </w:rPr>
        <w:t xml:space="preserve">141</w:t>
      </w:r>
      <w:r>
        <w:rPr>
          <w:sz w:val="24"/>
          <w:szCs w:val="24"/>
        </w:rPr>
        <w:t xml:space="preserve">号）。</w:t>
      </w:r>
      <w:r/>
    </w:p>
    <w:p>
      <w:pPr>
        <w:ind w:firstLine="480"/>
        <w:jc w:val="left"/>
        <w:spacing w:line="360" w:lineRule="auto"/>
        <w:rPr>
          <w:sz w:val="24"/>
          <w:szCs w:val="24"/>
        </w:rPr>
      </w:pPr>
      <w:r>
        <w:rPr>
          <w:sz w:val="24"/>
          <w:szCs w:val="24"/>
        </w:rPr>
        <w:t xml:space="preserve">3</w:t>
      </w:r>
      <w:r>
        <w:rPr>
          <w:sz w:val="24"/>
          <w:szCs w:val="24"/>
        </w:rPr>
        <w:t xml:space="preserve">、监狱和戒毒企业价格扣除</w:t>
      </w:r>
      <w:r/>
    </w:p>
    <w:p>
      <w:pPr>
        <w:ind w:firstLine="480"/>
        <w:jc w:val="left"/>
        <w:spacing w:line="360" w:lineRule="auto"/>
        <w:rPr>
          <w:sz w:val="24"/>
          <w:szCs w:val="24"/>
        </w:rPr>
      </w:pPr>
      <w:r>
        <w:rPr>
          <w:sz w:val="24"/>
          <w:szCs w:val="24"/>
        </w:rPr>
        <w:t xml:space="preserve">（</w:t>
      </w:r>
      <w:r>
        <w:rPr>
          <w:sz w:val="24"/>
          <w:szCs w:val="24"/>
        </w:rPr>
        <w:t xml:space="preserve">1</w:t>
      </w:r>
      <w:r>
        <w:rPr>
          <w:sz w:val="24"/>
          <w:szCs w:val="24"/>
        </w:rPr>
        <w:t xml:space="preserve">）本项目对监狱和戒毒企业（简称监狱企业）视同小型、微型企业，给予</w:t>
      </w:r>
      <w:r>
        <w:rPr>
          <w:sz w:val="24"/>
          <w:szCs w:val="24"/>
          <w:u w:val="single"/>
        </w:rPr>
        <w:t xml:space="preserve">10%</w:t>
      </w:r>
      <w:r>
        <w:rPr>
          <w:sz w:val="24"/>
          <w:szCs w:val="24"/>
        </w:rPr>
        <w:t xml:space="preserve">的价格扣除，用扣除后的价格参与评审。</w:t>
      </w:r>
      <w:r/>
    </w:p>
    <w:p>
      <w:pPr>
        <w:ind w:firstLine="480"/>
        <w:jc w:val="left"/>
        <w:spacing w:line="360" w:lineRule="auto"/>
        <w:rPr>
          <w:sz w:val="24"/>
          <w:szCs w:val="24"/>
        </w:rPr>
      </w:pPr>
      <w:r>
        <w:rPr>
          <w:sz w:val="24"/>
          <w:szCs w:val="24"/>
        </w:rPr>
        <w:t xml:space="preserve">（</w:t>
      </w:r>
      <w:r>
        <w:rPr>
          <w:sz w:val="24"/>
          <w:szCs w:val="24"/>
        </w:rPr>
        <w:t xml:space="preserve">2</w:t>
      </w:r>
      <w:r>
        <w:rPr>
          <w:sz w:val="24"/>
          <w:szCs w:val="24"/>
        </w:rPr>
        <w:t xml:space="preserve">）监狱企业参加政府采购活动时，需提供由省级以上监狱管理局、戒毒管理局</w:t>
      </w:r>
      <w:r>
        <w:rPr>
          <w:sz w:val="24"/>
          <w:szCs w:val="24"/>
        </w:rPr>
        <w:t xml:space="preserve">(</w:t>
      </w:r>
      <w:r>
        <w:rPr>
          <w:sz w:val="24"/>
          <w:szCs w:val="24"/>
        </w:rPr>
        <w:t xml:space="preserve">含新疆生产建设兵团</w:t>
      </w:r>
      <w:r>
        <w:rPr>
          <w:sz w:val="24"/>
          <w:szCs w:val="24"/>
        </w:rPr>
        <w:t xml:space="preserve">)</w:t>
      </w:r>
      <w:r>
        <w:rPr>
          <w:sz w:val="24"/>
          <w:szCs w:val="24"/>
        </w:rPr>
        <w:t xml:space="preserve">出具的属于监狱企业的证明文件。供应商如不提供上述证明文件，价格将不做相应扣除。</w:t>
      </w:r>
      <w:r/>
    </w:p>
    <w:p>
      <w:pPr>
        <w:ind w:firstLine="480"/>
        <w:jc w:val="left"/>
        <w:spacing w:line="360" w:lineRule="auto"/>
        <w:rPr>
          <w:sz w:val="24"/>
          <w:szCs w:val="24"/>
        </w:rPr>
      </w:pPr>
      <w:r>
        <w:rPr>
          <w:sz w:val="24"/>
          <w:szCs w:val="24"/>
        </w:rPr>
        <w:t xml:space="preserve">（</w:t>
      </w:r>
      <w:r>
        <w:rPr>
          <w:sz w:val="24"/>
          <w:szCs w:val="24"/>
        </w:rPr>
        <w:t xml:space="preserve">3</w:t>
      </w:r>
      <w:r>
        <w:rPr>
          <w:sz w:val="24"/>
          <w:szCs w:val="24"/>
        </w:rPr>
        <w:t xml:space="preserve">）监狱企业标准请参</w:t>
      </w:r>
      <w:r>
        <w:rPr>
          <w:sz w:val="24"/>
          <w:szCs w:val="24"/>
        </w:rPr>
        <w:t xml:space="preserve">照《关于政府采购支持监狱企业发展有关问题的通知》（财库</w:t>
      </w:r>
      <w:r>
        <w:rPr>
          <w:sz w:val="24"/>
          <w:szCs w:val="24"/>
        </w:rPr>
        <w:t xml:space="preserve">[2014]68</w:t>
      </w:r>
      <w:r>
        <w:rPr>
          <w:sz w:val="24"/>
          <w:szCs w:val="24"/>
        </w:rPr>
        <w:t xml:space="preserve">号）。</w:t>
      </w:r>
      <w:r/>
    </w:p>
    <w:p>
      <w:pPr>
        <w:ind w:firstLine="480"/>
        <w:jc w:val="left"/>
        <w:spacing w:line="360" w:lineRule="auto"/>
        <w:rPr>
          <w:sz w:val="24"/>
          <w:szCs w:val="24"/>
        </w:rPr>
      </w:pPr>
      <w:r>
        <w:rPr>
          <w:sz w:val="24"/>
          <w:szCs w:val="24"/>
        </w:rPr>
        <w:t xml:space="preserve">4</w:t>
      </w:r>
      <w:r>
        <w:rPr>
          <w:sz w:val="24"/>
          <w:szCs w:val="24"/>
        </w:rPr>
        <w:t xml:space="preserve">、残疾人福利单位、监狱企业属于小型、微型企业的，不重复享受政策。</w:t>
      </w:r>
      <w:r/>
    </w:p>
    <w:p>
      <w:pPr>
        <w:ind w:firstLine="480"/>
        <w:jc w:val="left"/>
        <w:spacing w:line="360" w:lineRule="auto"/>
        <w:rPr>
          <w:sz w:val="24"/>
          <w:szCs w:val="24"/>
        </w:rPr>
      </w:pPr>
      <w:r>
        <w:rPr>
          <w:sz w:val="24"/>
          <w:szCs w:val="24"/>
        </w:rPr>
        <w:t xml:space="preserve">5</w:t>
      </w:r>
      <w:r>
        <w:rPr>
          <w:sz w:val="24"/>
          <w:szCs w:val="24"/>
        </w:rPr>
        <w:t xml:space="preserve">、如本项目同意联合体参加磋商或同意分包履行合同的</w:t>
      </w:r>
      <w:r>
        <w:rPr>
          <w:sz w:val="24"/>
          <w:szCs w:val="24"/>
        </w:rPr>
        <w:t xml:space="preserve">,</w:t>
      </w:r>
      <w:r>
        <w:rPr>
          <w:sz w:val="24"/>
          <w:szCs w:val="24"/>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sz w:val="24"/>
          <w:szCs w:val="24"/>
        </w:rPr>
        <w:t xml:space="preserve">30%</w:t>
      </w:r>
      <w:r>
        <w:rPr>
          <w:sz w:val="24"/>
          <w:szCs w:val="24"/>
        </w:rPr>
        <w:t xml:space="preserve">以上的，给予联合体或者大中型企业</w:t>
      </w:r>
      <w:r>
        <w:rPr>
          <w:sz w:val="24"/>
          <w:szCs w:val="24"/>
          <w:u w:val="single"/>
        </w:rPr>
        <w:t xml:space="preserve">4%</w:t>
      </w:r>
      <w:r>
        <w:rPr>
          <w:sz w:val="24"/>
          <w:szCs w:val="24"/>
        </w:rPr>
        <w:t xml:space="preserve">的价格扣除，用扣除后的价格参与评审。</w:t>
      </w:r>
      <w:r/>
    </w:p>
    <w:p>
      <w:pPr>
        <w:ind w:firstLine="480"/>
        <w:jc w:val="left"/>
        <w:spacing w:line="360" w:lineRule="auto"/>
        <w:rPr>
          <w:sz w:val="24"/>
          <w:szCs w:val="24"/>
        </w:rPr>
      </w:pPr>
      <w:r>
        <w:rPr>
          <w:sz w:val="24"/>
          <w:szCs w:val="24"/>
        </w:rPr>
        <w:t xml:space="preserve">6</w:t>
      </w:r>
      <w:r>
        <w:rPr>
          <w:sz w:val="24"/>
          <w:szCs w:val="24"/>
        </w:rPr>
        <w:t xml:space="preserve">、联合体各方均为小型、微型企业（残疾人</w:t>
      </w:r>
      <w:r>
        <w:rPr>
          <w:sz w:val="24"/>
          <w:szCs w:val="24"/>
        </w:rPr>
        <w:t xml:space="preserve">福利单位、监狱企业）的，联合体享受</w:t>
      </w:r>
      <w:r>
        <w:rPr>
          <w:sz w:val="24"/>
          <w:szCs w:val="24"/>
          <w:u w:val="single"/>
        </w:rPr>
        <w:t xml:space="preserve">20%</w:t>
      </w:r>
      <w:r>
        <w:rPr>
          <w:sz w:val="24"/>
          <w:szCs w:val="24"/>
        </w:rPr>
        <w:t xml:space="preserve">价格扣除，用扣除后的价格参与评审。</w:t>
      </w:r>
      <w:r/>
    </w:p>
    <w:p>
      <w:pPr>
        <w:keepLines/>
        <w:keepNext/>
        <w:spacing w:line="360" w:lineRule="auto"/>
        <w:rPr>
          <w:b/>
          <w:bCs/>
          <w:sz w:val="32"/>
          <w:szCs w:val="32"/>
        </w:rPr>
        <w:outlineLvl w:val="2"/>
      </w:pPr>
      <w:r>
        <w:rPr>
          <w:b/>
          <w:bCs/>
          <w:sz w:val="32"/>
          <w:szCs w:val="32"/>
        </w:rPr>
        <w:t xml:space="preserve">二、评审方法与评审标准</w:t>
      </w:r>
      <w:r/>
    </w:p>
    <w:p>
      <w:pPr>
        <w:ind w:firstLine="480"/>
        <w:spacing w:line="360" w:lineRule="auto"/>
        <w:tabs>
          <w:tab w:val="left" w:pos="360" w:leader="none"/>
        </w:tabs>
        <w:rPr>
          <w:sz w:val="24"/>
        </w:rPr>
        <w:outlineLvl w:val="1"/>
      </w:pPr>
      <w:r>
        <w:rPr>
          <w:sz w:val="24"/>
        </w:rPr>
        <w:t xml:space="preserve">1</w:t>
      </w:r>
      <w:r>
        <w:rPr>
          <w:sz w:val="24"/>
        </w:rPr>
        <w:t xml:space="preserve">、评审方法和评审标准</w:t>
      </w:r>
      <w:r/>
    </w:p>
    <w:p>
      <w:pPr>
        <w:ind w:firstLine="480"/>
        <w:spacing w:line="360" w:lineRule="auto"/>
        <w:tabs>
          <w:tab w:val="left" w:pos="1080" w:leader="none"/>
          <w:tab w:val="left" w:pos="1872" w:leader="none"/>
        </w:tabs>
        <w:rPr>
          <w:sz w:val="24"/>
        </w:rPr>
      </w:pPr>
      <w:r>
        <w:rPr>
          <w:sz w:val="24"/>
        </w:rPr>
        <w:t xml:space="preserve">（</w:t>
      </w:r>
      <w:r>
        <w:rPr>
          <w:sz w:val="24"/>
        </w:rPr>
        <w:t xml:space="preserve">1</w:t>
      </w:r>
      <w:r>
        <w:rPr>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rPr>
          <w:sz w:val="24"/>
        </w:rPr>
        <w:t xml:space="preserve">  </w:t>
      </w:r>
      <w:r/>
    </w:p>
    <w:p>
      <w:pPr>
        <w:ind w:firstLine="480"/>
        <w:spacing w:line="360" w:lineRule="auto"/>
        <w:tabs>
          <w:tab w:val="left" w:pos="1080" w:leader="none"/>
          <w:tab w:val="left" w:pos="1872" w:leader="none"/>
        </w:tabs>
        <w:rPr>
          <w:sz w:val="24"/>
        </w:rPr>
      </w:pPr>
      <w:r>
        <w:rPr>
          <w:sz w:val="24"/>
        </w:rPr>
        <w:t xml:space="preserve">（</w:t>
      </w:r>
      <w:r>
        <w:rPr>
          <w:sz w:val="24"/>
        </w:rPr>
        <w:t xml:space="preserve">2</w:t>
      </w:r>
      <w:r>
        <w:rPr>
          <w:sz w:val="24"/>
        </w:rPr>
        <w:t xml:space="preserve">）竞争性磋商文件中没有规定的评审标准不得作为评审依据。</w:t>
      </w:r>
      <w:r/>
    </w:p>
    <w:p>
      <w:pPr>
        <w:ind w:firstLine="480"/>
        <w:spacing w:line="360" w:lineRule="auto"/>
        <w:tabs>
          <w:tab w:val="left" w:pos="1080" w:leader="none"/>
          <w:tab w:val="left" w:pos="1872" w:leader="none"/>
        </w:tabs>
        <w:rPr>
          <w:sz w:val="24"/>
        </w:rPr>
      </w:pPr>
      <w:r>
        <w:rPr>
          <w:sz w:val="24"/>
        </w:rPr>
        <w:t xml:space="preserve">（</w:t>
      </w:r>
      <w:r>
        <w:rPr>
          <w:sz w:val="24"/>
        </w:rPr>
        <w:t xml:space="preserve">3</w:t>
      </w:r>
      <w:r>
        <w:rPr>
          <w:sz w:val="24"/>
        </w:rPr>
        <w:t xml:space="preserve">）非政府强制采购的节能产品或环境标志产品，依据品目清单和认证证书实施政府优先采购。优先采购的具体规定（如涉及）见评分标准相关评分项。</w:t>
      </w:r>
      <w:r/>
    </w:p>
    <w:p>
      <w:pPr>
        <w:ind w:firstLine="480"/>
        <w:spacing w:line="360" w:lineRule="auto"/>
        <w:tabs>
          <w:tab w:val="left" w:pos="1080" w:leader="none"/>
          <w:tab w:val="left" w:pos="1872" w:leader="none"/>
        </w:tabs>
        <w:rPr>
          <w:sz w:val="24"/>
        </w:rPr>
      </w:pPr>
      <w:r>
        <w:rPr>
          <w:sz w:val="24"/>
        </w:rPr>
        <w:t xml:space="preserve">（</w:t>
      </w:r>
      <w:r>
        <w:rPr>
          <w:sz w:val="24"/>
        </w:rPr>
        <w:t xml:space="preserve">4</w:t>
      </w:r>
      <w:r>
        <w:rPr>
          <w:sz w:val="24"/>
        </w:rPr>
        <w:t xml:space="preserve">）</w:t>
      </w:r>
      <w:r>
        <w:rPr>
          <w:sz w:val="24"/>
        </w:rPr>
        <w:t xml:space="preserve">关于无线局域网认证产品政府采购清单中的产品，优先采购的具体规定（如涉及）见评分标准相关评分项。</w:t>
      </w:r>
      <w:r/>
    </w:p>
    <w:p>
      <w:pPr>
        <w:ind w:firstLine="480"/>
        <w:spacing w:line="360" w:lineRule="auto"/>
        <w:tabs>
          <w:tab w:val="left" w:pos="360" w:leader="none"/>
        </w:tabs>
        <w:rPr>
          <w:sz w:val="24"/>
        </w:rPr>
        <w:outlineLvl w:val="1"/>
      </w:pPr>
      <w:r>
        <w:rPr>
          <w:sz w:val="24"/>
        </w:rPr>
        <w:t xml:space="preserve">2</w:t>
      </w:r>
      <w:r>
        <w:rPr>
          <w:sz w:val="24"/>
        </w:rPr>
        <w:t xml:space="preserve">、确定</w:t>
      </w:r>
      <w:bookmarkStart w:id="184" w:name="_Toc164229387"/>
      <w:r/>
      <w:bookmarkStart w:id="185" w:name="_Toc305158814"/>
      <w:r/>
      <w:bookmarkStart w:id="186" w:name="_Toc142311048"/>
      <w:r/>
      <w:bookmarkStart w:id="187" w:name="_Toc164608815"/>
      <w:r/>
      <w:bookmarkStart w:id="188" w:name="_Toc265228384"/>
      <w:r/>
      <w:bookmarkStart w:id="189" w:name="_Toc150509297"/>
      <w:r/>
      <w:bookmarkStart w:id="190" w:name="_Toc164229241"/>
      <w:r/>
      <w:bookmarkStart w:id="191" w:name="_Toc226965736"/>
      <w:r/>
      <w:bookmarkStart w:id="192" w:name="_Toc151193860"/>
      <w:r/>
      <w:bookmarkStart w:id="193" w:name="_Toc150774751"/>
      <w:r/>
      <w:bookmarkStart w:id="194" w:name="_Toc127151747"/>
      <w:r/>
      <w:bookmarkStart w:id="195" w:name="_Toc305158888"/>
      <w:r/>
      <w:bookmarkStart w:id="196" w:name="_Toc127161460"/>
      <w:r/>
      <w:bookmarkStart w:id="197" w:name="_Toc226309790"/>
      <w:r/>
      <w:bookmarkStart w:id="198" w:name="_Toc164608660"/>
      <w:r/>
      <w:bookmarkStart w:id="199" w:name="_Toc151193934"/>
      <w:r/>
      <w:bookmarkStart w:id="200" w:name="_Toc149720839"/>
      <w:r/>
      <w:bookmarkStart w:id="201" w:name="_Toc151193716"/>
      <w:r/>
      <w:bookmarkStart w:id="202" w:name="_Toc150774646"/>
      <w:r/>
      <w:bookmarkStart w:id="203" w:name="_Toc127151546"/>
      <w:r/>
      <w:bookmarkStart w:id="204" w:name="_Toc520356170"/>
      <w:r/>
      <w:bookmarkStart w:id="205" w:name="_Toc151190173"/>
      <w:r/>
      <w:bookmarkStart w:id="206" w:name="_Toc195842911"/>
      <w:r/>
      <w:bookmarkStart w:id="207" w:name="_Toc150480784"/>
      <w:r/>
      <w:bookmarkStart w:id="208" w:name="_Toc164351640"/>
      <w:r/>
      <w:bookmarkStart w:id="209" w:name="_Toc226337242"/>
      <w:r/>
      <w:bookmarkStart w:id="210" w:name="_Toc151193644"/>
      <w:r/>
      <w:bookmarkStart w:id="211" w:name="_Toc226965819"/>
      <w:r/>
      <w:bookmarkStart w:id="212" w:name="_Toc151193788"/>
      <w:r/>
      <w:bookmarkStart w:id="213" w:name="_Toc264969236"/>
      <w:r/>
      <w:bookmarkStart w:id="214" w:name="_Ref467307010"/>
      <w:r>
        <w:rPr>
          <w:sz w:val="24"/>
        </w:rPr>
        <w:t xml:space="preserve">成交候选人名单</w:t>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r/>
    </w:p>
    <w:p>
      <w:pPr>
        <w:ind w:firstLine="480"/>
        <w:spacing w:line="360" w:lineRule="auto"/>
        <w:tabs>
          <w:tab w:val="left" w:pos="1080" w:leader="none"/>
          <w:tab w:val="left" w:pos="1872" w:leader="none"/>
        </w:tabs>
        <w:rPr>
          <w:sz w:val="24"/>
        </w:rPr>
      </w:pPr>
      <w:r>
        <w:rPr>
          <w:sz w:val="24"/>
        </w:rPr>
        <w:t xml:space="preserve">（</w:t>
      </w:r>
      <w:r>
        <w:rPr>
          <w:sz w:val="24"/>
        </w:rPr>
        <w:t xml:space="preserve">1</w:t>
      </w: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w:t>
      </w:r>
      <w:r>
        <w:rPr>
          <w:sz w:val="24"/>
        </w:rPr>
        <w:t xml:space="preserve">且按照</w:t>
      </w:r>
      <w:r>
        <w:rPr>
          <w:sz w:val="24"/>
        </w:rPr>
        <w:t xml:space="preserve">评审因素的量化指标评审得分最高的供应商为排名第一的成交候选人。评分分值计算保留小数点后两位</w:t>
      </w:r>
      <w:r>
        <w:rPr>
          <w:sz w:val="24"/>
        </w:rPr>
        <w:t xml:space="preserve">，第三位四舍五入。</w:t>
      </w:r>
      <w:r>
        <w:rPr>
          <w:sz w:val="24"/>
        </w:rPr>
        <w:t xml:space="preserve"> </w:t>
      </w:r>
      <w:r/>
    </w:p>
    <w:p>
      <w:pPr>
        <w:ind w:firstLine="480"/>
        <w:spacing w:line="360" w:lineRule="auto"/>
        <w:tabs>
          <w:tab w:val="left" w:pos="1080" w:leader="none"/>
          <w:tab w:val="left" w:pos="1872" w:leader="none"/>
        </w:tabs>
        <w:rPr>
          <w:sz w:val="24"/>
        </w:rPr>
      </w:pPr>
      <w:r>
        <w:rPr>
          <w:sz w:val="24"/>
          <w:szCs w:val="20"/>
        </w:rPr>
        <w:t xml:space="preserve">（</w:t>
      </w:r>
      <w:r>
        <w:rPr>
          <w:sz w:val="24"/>
          <w:szCs w:val="20"/>
        </w:rPr>
        <w:t xml:space="preserve">2</w:t>
      </w:r>
      <w:r>
        <w:rPr>
          <w:sz w:val="24"/>
          <w:szCs w:val="20"/>
        </w:rPr>
        <w:t xml:space="preserve">）磋商小组根据上述供应商排序，依次推荐排序前</w:t>
      </w:r>
      <w:r>
        <w:rPr>
          <w:sz w:val="24"/>
        </w:rPr>
        <w:t xml:space="preserve">3</w:t>
      </w:r>
      <w:r>
        <w:rPr>
          <w:sz w:val="24"/>
        </w:rPr>
        <w:t xml:space="preserve">名</w:t>
      </w:r>
      <w:r>
        <w:rPr>
          <w:sz w:val="24"/>
          <w:szCs w:val="20"/>
        </w:rPr>
        <w:t xml:space="preserve">的供应商为</w:t>
      </w:r>
      <w:r>
        <w:rPr>
          <w:sz w:val="24"/>
          <w:szCs w:val="21"/>
        </w:rPr>
        <w:t xml:space="preserve">成交候选供应商</w:t>
      </w:r>
      <w:r>
        <w:rPr>
          <w:sz w:val="24"/>
          <w:szCs w:val="20"/>
        </w:rPr>
        <w:t xml:space="preserve">（若在磋商文件允许的情形下提交最终报价的供应商为二家，则依次推荐二名供应商为成交候选供应商），并编写评审报告。</w:t>
      </w:r>
      <w:r/>
    </w:p>
    <w:p>
      <w:pPr>
        <w:ind w:firstLine="480"/>
        <w:spacing w:line="360" w:lineRule="auto"/>
        <w:tabs>
          <w:tab w:val="left" w:pos="1080" w:leader="none"/>
          <w:tab w:val="left" w:pos="1872" w:leader="none"/>
        </w:tabs>
        <w:rPr>
          <w:sz w:val="24"/>
        </w:rPr>
      </w:pPr>
      <w:r>
        <w:rPr>
          <w:sz w:val="24"/>
        </w:rPr>
        <w:t xml:space="preserve">（</w:t>
      </w:r>
      <w:r>
        <w:rPr>
          <w:sz w:val="24"/>
        </w:rPr>
        <w:t xml:space="preserve">3</w:t>
      </w:r>
      <w:r>
        <w:rPr>
          <w:sz w:val="24"/>
        </w:rPr>
        <w:t xml:space="preserve">）磋商小组要对评分汇总情况进行复核，特别是对排名第一的、报价最低的、响应文件被认定为无效的情形进行重点复核。</w:t>
      </w:r>
      <w:r/>
    </w:p>
    <w:p>
      <w:pPr>
        <w:ind w:firstLine="480"/>
        <w:spacing w:line="360" w:lineRule="auto"/>
        <w:tabs>
          <w:tab w:val="left" w:pos="360" w:leader="none"/>
        </w:tabs>
        <w:rPr>
          <w:sz w:val="24"/>
        </w:rPr>
        <w:outlineLvl w:val="1"/>
      </w:pPr>
      <w:r>
        <w:rPr>
          <w:sz w:val="24"/>
        </w:rPr>
        <w:t xml:space="preserve">3</w:t>
      </w:r>
      <w:r>
        <w:rPr>
          <w:sz w:val="24"/>
        </w:rPr>
        <w:t xml:space="preserve">、报告违法行为</w:t>
      </w:r>
      <w:r/>
    </w:p>
    <w:p>
      <w:pPr>
        <w:ind w:firstLine="480"/>
        <w:spacing w:line="360" w:lineRule="auto"/>
        <w:tabs>
          <w:tab w:val="left" w:pos="1080" w:leader="none"/>
          <w:tab w:val="left" w:pos="1872" w:leader="none"/>
        </w:tabs>
        <w:rPr>
          <w:sz w:val="24"/>
        </w:rPr>
      </w:pPr>
      <w:r>
        <w:rPr>
          <w:sz w:val="24"/>
        </w:rPr>
        <w:t xml:space="preserve">磋商小组在评审过程中发现供应商有行贿、提供虚假材料或者串通等违法行为时，有向采购人、采购代理机构或者有关部门报告的职责。</w:t>
      </w:r>
      <w:r/>
    </w:p>
    <w:p>
      <w:pPr>
        <w:keepLines/>
        <w:keepNext/>
        <w:spacing w:line="360" w:lineRule="auto"/>
        <w:rPr>
          <w:b/>
          <w:bCs/>
          <w:sz w:val="32"/>
          <w:szCs w:val="32"/>
        </w:rPr>
        <w:outlineLvl w:val="2"/>
      </w:pPr>
      <w:r>
        <w:rPr>
          <w:b/>
          <w:bCs/>
          <w:sz w:val="32"/>
          <w:szCs w:val="32"/>
        </w:rPr>
        <w:t xml:space="preserve">三、评审标准</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5"/>
        <w:gridCol w:w="1035"/>
        <w:gridCol w:w="872"/>
        <w:gridCol w:w="4261"/>
        <w:gridCol w:w="1523"/>
      </w:tblGrid>
      <w:tr>
        <w:trPr>
          <w:trHeight w:val="493"/>
          <w:tblHeader/>
        </w:trPr>
        <w:tc>
          <w:tcPr>
            <w:shd w:val="clear" w:color="auto" w:fill="d0d0d0" w:themeFill="background2" w:themeFillShade="E5"/>
            <w:tcW w:w="617"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序号</w:t>
            </w:r>
            <w:r/>
          </w:p>
        </w:tc>
        <w:tc>
          <w:tcPr>
            <w:shd w:val="clear" w:color="auto" w:fill="d0d0d0" w:themeFill="background2" w:themeFillShade="E5"/>
            <w:tcW w:w="1060"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评分因素</w:t>
            </w:r>
            <w:r/>
          </w:p>
        </w:tc>
        <w:tc>
          <w:tcPr>
            <w:shd w:val="clear" w:color="auto" w:fill="d0d0d0" w:themeFill="background2" w:themeFillShade="E5"/>
            <w:tcW w:w="892"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分值</w:t>
            </w:r>
            <w:r/>
          </w:p>
        </w:tc>
        <w:tc>
          <w:tcPr>
            <w:shd w:val="clear" w:color="auto" w:fill="d0d0d0" w:themeFill="background2" w:themeFillShade="E5"/>
            <w:tcW w:w="4389"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评分标准</w:t>
            </w:r>
            <w:r/>
          </w:p>
        </w:tc>
        <w:tc>
          <w:tcPr>
            <w:shd w:val="clear" w:color="auto" w:fill="d0d0d0" w:themeFill="background2" w:themeFillShade="E5"/>
            <w:tcW w:w="1564" w:type="dxa"/>
            <w:vAlign w:val="center"/>
            <w:textDirection w:val="lrTb"/>
            <w:noWrap w:val="false"/>
          </w:tcPr>
          <w:p>
            <w:pPr>
              <w:pStyle w:val="1047"/>
              <w:spacing w:before="0" w:after="0" w:line="240" w:lineRule="auto"/>
              <w:rPr>
                <w:rFonts w:ascii="宋体" w:hAnsi="宋体" w:eastAsia="宋体" w:cs="宋体"/>
                <w:sz w:val="21"/>
                <w:szCs w:val="21"/>
              </w:rPr>
            </w:pPr>
            <w:r>
              <w:rPr>
                <w:rFonts w:hint="eastAsia" w:ascii="宋体" w:hAnsi="宋体" w:eastAsia="宋体" w:cs="宋体"/>
                <w:sz w:val="21"/>
                <w:szCs w:val="21"/>
              </w:rPr>
              <w:t xml:space="preserve">说明</w:t>
            </w:r>
            <w:r/>
          </w:p>
        </w:tc>
      </w:tr>
      <w:tr>
        <w:trPr>
          <w:trHeight w:val="1564"/>
        </w:trPr>
        <w:tc>
          <w:tcPr>
            <w:tcW w:w="617" w:type="dxa"/>
            <w:vAlign w:val="center"/>
            <w:textDirection w:val="lrTb"/>
            <w:noWrap w:val="false"/>
          </w:tcPr>
          <w:p>
            <w:pPr>
              <w:ind w:firstLine="28"/>
              <w:jc w:val="center"/>
              <w:rPr>
                <w:rFonts w:ascii="宋体" w:hAnsi="宋体" w:cs="宋体"/>
                <w:bCs/>
                <w:szCs w:val="21"/>
              </w:rPr>
            </w:pPr>
            <w:r>
              <w:rPr>
                <w:rFonts w:hint="eastAsia" w:ascii="宋体" w:hAnsi="宋体" w:cs="宋体"/>
                <w:bCs/>
                <w:szCs w:val="21"/>
              </w:rPr>
              <w:t xml:space="preserve">1</w:t>
            </w:r>
            <w:r/>
          </w:p>
        </w:tc>
        <w:tc>
          <w:tcPr>
            <w:tcW w:w="1060"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价格分</w:t>
            </w:r>
            <w:r/>
          </w:p>
        </w:tc>
        <w:tc>
          <w:tcPr>
            <w:tcW w:w="892" w:type="dxa"/>
            <w:vAlign w:val="center"/>
            <w:textDirection w:val="lrTb"/>
            <w:noWrap w:val="false"/>
          </w:tcPr>
          <w:p>
            <w:pPr>
              <w:jc w:val="left"/>
              <w:rPr>
                <w:rFonts w:ascii="宋体" w:hAnsi="宋体" w:cs="宋体"/>
                <w:bCs/>
                <w:szCs w:val="21"/>
              </w:rPr>
            </w:pPr>
            <w:r>
              <w:rPr>
                <w:rFonts w:hint="eastAsia" w:ascii="宋体" w:hAnsi="宋体" w:cs="宋体"/>
                <w:bCs/>
                <w:szCs w:val="21"/>
              </w:rPr>
              <w:t xml:space="preserve">10</w:t>
            </w:r>
            <w:r/>
          </w:p>
        </w:tc>
        <w:tc>
          <w:tcPr>
            <w:tcW w:w="4389" w:type="dxa"/>
            <w:vAlign w:val="center"/>
            <w:textDirection w:val="lrTb"/>
            <w:noWrap w:val="false"/>
          </w:tcPr>
          <w:p>
            <w:pPr>
              <w:jc w:val="left"/>
              <w:rPr>
                <w:rFonts w:ascii="宋体" w:hAnsi="宋体" w:cs="宋体"/>
                <w:bCs/>
                <w:szCs w:val="21"/>
              </w:rPr>
            </w:pPr>
            <w:r>
              <w:rPr>
                <w:rFonts w:hint="eastAsia" w:ascii="宋体" w:hAnsi="宋体" w:cs="宋体"/>
                <w:bCs/>
                <w:szCs w:val="21"/>
              </w:rPr>
              <w:t xml:space="preserve">满足招标文件要求且</w:t>
            </w:r>
            <w:r>
              <w:rPr>
                <w:rFonts w:hint="eastAsia" w:ascii="宋体" w:hAnsi="宋体" w:cs="宋体"/>
                <w:bCs/>
                <w:szCs w:val="21"/>
              </w:rPr>
              <w:t xml:space="preserve">响应</w:t>
            </w:r>
            <w:r>
              <w:rPr>
                <w:rFonts w:hint="eastAsia" w:ascii="宋体" w:hAnsi="宋体" w:cs="宋体"/>
                <w:bCs/>
                <w:szCs w:val="21"/>
              </w:rPr>
              <w:t xml:space="preserve">价格最低的</w:t>
            </w:r>
            <w:r>
              <w:rPr>
                <w:rFonts w:hint="eastAsia" w:ascii="宋体" w:hAnsi="宋体" w:cs="宋体"/>
                <w:bCs/>
                <w:szCs w:val="21"/>
              </w:rPr>
              <w:t xml:space="preserve">响应</w:t>
            </w:r>
            <w:r>
              <w:rPr>
                <w:rFonts w:hint="eastAsia" w:ascii="宋体" w:hAnsi="宋体" w:cs="宋体"/>
                <w:bCs/>
                <w:szCs w:val="21"/>
              </w:rPr>
              <w:t xml:space="preserve">报价为评标基准价，其价格分为满分。其他</w:t>
            </w:r>
            <w:r>
              <w:rPr>
                <w:rFonts w:hint="eastAsia" w:ascii="宋体" w:hAnsi="宋体" w:cs="宋体"/>
                <w:bCs/>
                <w:szCs w:val="21"/>
              </w:rPr>
              <w:t xml:space="preserve">供应商</w:t>
            </w:r>
            <w:r>
              <w:rPr>
                <w:rFonts w:hint="eastAsia" w:ascii="宋体" w:hAnsi="宋体" w:cs="宋体"/>
                <w:bCs/>
                <w:szCs w:val="21"/>
              </w:rPr>
              <w:t xml:space="preserve">的价格</w:t>
            </w:r>
            <w:r>
              <w:rPr>
                <w:rFonts w:hint="eastAsia" w:ascii="宋体" w:hAnsi="宋体" w:cs="宋体"/>
                <w:bCs/>
                <w:szCs w:val="21"/>
              </w:rPr>
              <w:t xml:space="preserve">分统一</w:t>
            </w:r>
            <w:r>
              <w:rPr>
                <w:rFonts w:hint="eastAsia" w:ascii="宋体" w:hAnsi="宋体" w:cs="宋体"/>
                <w:bCs/>
                <w:szCs w:val="21"/>
              </w:rPr>
              <w:t xml:space="preserve">按照下列公式计算：</w:t>
            </w:r>
            <w:r/>
          </w:p>
          <w:p>
            <w:pPr>
              <w:jc w:val="left"/>
              <w:rPr>
                <w:rFonts w:ascii="宋体" w:hAnsi="宋体" w:cs="宋体"/>
                <w:bCs/>
                <w:szCs w:val="21"/>
              </w:rPr>
            </w:pPr>
            <w:r>
              <w:rPr>
                <w:rFonts w:hint="eastAsia" w:ascii="宋体" w:hAnsi="宋体" w:cs="宋体"/>
                <w:bCs/>
                <w:szCs w:val="21"/>
              </w:rPr>
              <w:t xml:space="preserve">响应</w:t>
            </w:r>
            <w:r>
              <w:rPr>
                <w:rFonts w:hint="eastAsia" w:ascii="宋体" w:hAnsi="宋体" w:cs="宋体"/>
                <w:bCs/>
                <w:szCs w:val="21"/>
              </w:rPr>
              <w:t xml:space="preserve">报价得分＝（评标基准价</w:t>
            </w:r>
            <w:r>
              <w:rPr>
                <w:rFonts w:hint="eastAsia" w:ascii="宋体" w:hAnsi="宋体" w:cs="宋体"/>
                <w:bCs/>
                <w:szCs w:val="21"/>
              </w:rPr>
              <w:t xml:space="preserve">/</w:t>
            </w:r>
            <w:r>
              <w:rPr>
                <w:rFonts w:hint="eastAsia" w:ascii="宋体" w:hAnsi="宋体" w:cs="宋体"/>
                <w:bCs/>
                <w:szCs w:val="21"/>
              </w:rPr>
              <w:t xml:space="preserve">响应</w:t>
            </w:r>
            <w:r>
              <w:rPr>
                <w:rFonts w:hint="eastAsia" w:ascii="宋体" w:hAnsi="宋体" w:cs="宋体"/>
                <w:bCs/>
                <w:szCs w:val="21"/>
              </w:rPr>
              <w:t xml:space="preserve">报价）×分值。</w:t>
            </w:r>
            <w:r/>
          </w:p>
        </w:tc>
        <w:tc>
          <w:tcPr>
            <w:tcW w:w="1564" w:type="dxa"/>
            <w:vAlign w:val="center"/>
            <w:textDirection w:val="lrTb"/>
            <w:noWrap w:val="false"/>
          </w:tcPr>
          <w:p>
            <w:pPr>
              <w:ind w:left="-38"/>
              <w:rPr>
                <w:rFonts w:ascii="宋体" w:hAnsi="宋体" w:cs="宋体"/>
                <w:bCs/>
                <w:szCs w:val="21"/>
              </w:rPr>
            </w:pPr>
            <w:r>
              <w:rPr>
                <w:rFonts w:ascii="宋体" w:hAnsi="宋体" w:cs="宋体"/>
                <w:bCs/>
                <w:szCs w:val="21"/>
              </w:rPr>
            </w:r>
            <w:r/>
          </w:p>
        </w:tc>
      </w:tr>
      <w:tr>
        <w:trPr>
          <w:trHeight w:val="501"/>
        </w:trPr>
        <w:tc>
          <w:tcPr>
            <w:tcW w:w="617" w:type="dxa"/>
            <w:vAlign w:val="center"/>
            <w:textDirection w:val="lrTb"/>
            <w:noWrap w:val="false"/>
          </w:tcPr>
          <w:p>
            <w:pPr>
              <w:ind w:firstLine="28"/>
              <w:jc w:val="center"/>
              <w:rPr>
                <w:rFonts w:ascii="宋体" w:hAnsi="宋体" w:cs="宋体"/>
                <w:bCs/>
                <w:szCs w:val="21"/>
              </w:rPr>
            </w:pPr>
            <w:r>
              <w:rPr>
                <w:rFonts w:hint="eastAsia" w:ascii="宋体" w:hAnsi="宋体" w:cs="宋体"/>
                <w:bCs/>
                <w:szCs w:val="21"/>
              </w:rPr>
              <w:t xml:space="preserve">2</w:t>
            </w:r>
            <w:r/>
          </w:p>
        </w:tc>
        <w:tc>
          <w:tcPr>
            <w:tcW w:w="1060"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主观分</w:t>
            </w:r>
            <w:r/>
          </w:p>
        </w:tc>
        <w:tc>
          <w:tcPr>
            <w:gridSpan w:val="3"/>
            <w:tcW w:w="6845" w:type="dxa"/>
            <w:vAlign w:val="center"/>
            <w:textDirection w:val="lrTb"/>
            <w:noWrap w:val="false"/>
          </w:tcPr>
          <w:p>
            <w:pPr>
              <w:jc w:val="left"/>
              <w:rPr>
                <w:rFonts w:ascii="宋体" w:hAnsi="宋体" w:cs="宋体"/>
                <w:bCs/>
                <w:szCs w:val="21"/>
              </w:rPr>
            </w:pPr>
            <w:r>
              <w:rPr>
                <w:rFonts w:hint="eastAsia" w:ascii="宋体" w:hAnsi="宋体" w:cs="宋体"/>
                <w:bCs/>
                <w:szCs w:val="21"/>
              </w:rPr>
              <w:t xml:space="preserve">54</w:t>
            </w:r>
            <w:r/>
          </w:p>
        </w:tc>
      </w:tr>
      <w:tr>
        <w:trPr>
          <w:trHeight w:val="4003"/>
        </w:trPr>
        <w:tc>
          <w:tcPr>
            <w:tcW w:w="617" w:type="dxa"/>
            <w:vAlign w:val="center"/>
            <w:textDirection w:val="lrTb"/>
            <w:noWrap w:val="false"/>
          </w:tcPr>
          <w:p>
            <w:pPr>
              <w:jc w:val="center"/>
              <w:rPr>
                <w:rFonts w:ascii="宋体" w:hAnsi="宋体" w:cs="宋体"/>
                <w:bCs/>
                <w:szCs w:val="21"/>
              </w:rPr>
            </w:pPr>
            <w:r>
              <w:rPr>
                <w:rFonts w:hint="eastAsia" w:ascii="宋体" w:hAnsi="宋体" w:cs="宋体"/>
                <w:bCs/>
                <w:color w:val="000000"/>
                <w:szCs w:val="21"/>
              </w:rPr>
              <w:t xml:space="preserve">2.1</w:t>
            </w:r>
            <w:r/>
          </w:p>
        </w:tc>
        <w:tc>
          <w:tcPr>
            <w:tcW w:w="1060"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项目</w:t>
            </w:r>
            <w:r>
              <w:rPr>
                <w:rFonts w:hint="eastAsia" w:ascii="宋体" w:hAnsi="宋体" w:cs="宋体"/>
                <w:b/>
                <w:szCs w:val="21"/>
              </w:rPr>
              <w:t xml:space="preserve">整体实施方案</w:t>
            </w:r>
            <w:r/>
          </w:p>
        </w:tc>
        <w:tc>
          <w:tcPr>
            <w:tcW w:w="892"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12</w:t>
            </w:r>
            <w:r/>
          </w:p>
        </w:tc>
        <w:tc>
          <w:tcPr>
            <w:tcW w:w="4389" w:type="dxa"/>
            <w:vAlign w:val="center"/>
            <w:textDirection w:val="lrTb"/>
            <w:noWrap w:val="false"/>
          </w:tcPr>
          <w:p>
            <w:pPr>
              <w:rPr>
                <w:rFonts w:ascii="宋体" w:hAnsi="宋体" w:cs="宋体"/>
                <w:szCs w:val="21"/>
              </w:rPr>
            </w:pPr>
            <w:r>
              <w:rPr>
                <w:rFonts w:hint="eastAsia" w:ascii="宋体" w:hAnsi="宋体" w:cs="宋体"/>
                <w:szCs w:val="21"/>
              </w:rPr>
              <w:t xml:space="preserve">根据</w:t>
            </w:r>
            <w:r>
              <w:rPr>
                <w:rFonts w:hint="eastAsia" w:ascii="宋体" w:hAnsi="宋体" w:cs="宋体"/>
                <w:szCs w:val="21"/>
              </w:rPr>
              <w:t xml:space="preserve">供应商</w:t>
            </w:r>
            <w:r>
              <w:rPr>
                <w:rFonts w:hint="eastAsia" w:ascii="宋体" w:hAnsi="宋体" w:cs="宋体"/>
                <w:color w:val="000000"/>
                <w:spacing w:val="-4"/>
                <w:szCs w:val="21"/>
              </w:rPr>
              <w:t xml:space="preserve">对本项目的</w:t>
            </w:r>
            <w:r>
              <w:rPr>
                <w:rFonts w:hint="eastAsia" w:ascii="宋体" w:hAnsi="宋体" w:cs="宋体"/>
                <w:bCs/>
                <w:szCs w:val="21"/>
              </w:rPr>
              <w:t xml:space="preserve">项目需求理解</w:t>
            </w:r>
            <w:r>
              <w:rPr>
                <w:rFonts w:hint="eastAsia" w:ascii="宋体" w:hAnsi="宋体" w:cs="宋体"/>
                <w:szCs w:val="21"/>
              </w:rPr>
              <w:t xml:space="preserve">进行</w:t>
            </w:r>
            <w:r>
              <w:rPr>
                <w:rFonts w:hint="eastAsia" w:ascii="宋体" w:hAnsi="宋体" w:cs="宋体"/>
                <w:szCs w:val="21"/>
              </w:rPr>
              <w:t xml:space="preserve">评分</w:t>
            </w:r>
            <w:r>
              <w:rPr>
                <w:rFonts w:hint="eastAsia" w:ascii="宋体" w:hAnsi="宋体" w:cs="宋体"/>
                <w:szCs w:val="21"/>
              </w:rPr>
              <w:t xml:space="preserve">，</w:t>
            </w:r>
            <w:r>
              <w:rPr>
                <w:rFonts w:hint="eastAsia" w:ascii="宋体" w:hAnsi="宋体" w:cs="宋体"/>
                <w:color w:val="000000"/>
                <w:spacing w:val="-4"/>
                <w:szCs w:val="21"/>
              </w:rPr>
              <w:t xml:space="preserve">包括但不限于以下内容：</w:t>
            </w:r>
            <w:r>
              <w:rPr>
                <w:rFonts w:hint="eastAsia" w:ascii="宋体" w:hAnsi="宋体" w:cs="宋体"/>
                <w:szCs w:val="21"/>
              </w:rPr>
              <w:t xml:space="preserve">①项目整体综合分析</w:t>
            </w:r>
            <w:r>
              <w:rPr>
                <w:rFonts w:hint="eastAsia" w:ascii="宋体" w:hAnsi="宋体" w:cs="宋体"/>
                <w:szCs w:val="21"/>
              </w:rPr>
              <w:t xml:space="preserve">、</w:t>
            </w:r>
            <w:r>
              <w:rPr>
                <w:rFonts w:hint="eastAsia" w:ascii="宋体" w:hAnsi="宋体" w:cs="宋体"/>
                <w:szCs w:val="21"/>
              </w:rPr>
              <w:t xml:space="preserve">②</w:t>
            </w:r>
            <w:r>
              <w:rPr>
                <w:rFonts w:hint="eastAsia" w:ascii="宋体" w:hAnsi="宋体" w:cs="宋体"/>
                <w:color w:val="000000"/>
                <w:szCs w:val="21"/>
              </w:rPr>
              <w:t xml:space="preserve">系统设备点位选址与整体布局规划</w:t>
            </w:r>
            <w:r>
              <w:rPr>
                <w:rFonts w:hint="eastAsia" w:ascii="宋体" w:hAnsi="宋体" w:cs="宋体"/>
                <w:szCs w:val="21"/>
              </w:rPr>
              <w:t xml:space="preserve">、</w:t>
            </w:r>
            <w:r>
              <w:rPr>
                <w:rFonts w:hint="eastAsia" w:ascii="宋体" w:hAnsi="宋体" w:cs="宋体"/>
                <w:szCs w:val="21"/>
              </w:rPr>
              <w:t xml:space="preserve">③</w:t>
            </w:r>
            <w:r>
              <w:rPr>
                <w:rFonts w:hint="eastAsia" w:ascii="宋体" w:hAnsi="宋体" w:cs="宋体"/>
                <w:color w:val="000000"/>
                <w:szCs w:val="21"/>
              </w:rPr>
              <w:t xml:space="preserve">设备安装调试专项方案（</w:t>
            </w:r>
            <w:r>
              <w:rPr>
                <w:rFonts w:hint="eastAsia" w:ascii="宋体" w:hAnsi="宋体" w:cs="宋体"/>
                <w:color w:val="000000"/>
                <w:szCs w:val="21"/>
              </w:rPr>
              <w:t xml:space="preserve">含施工重难点研</w:t>
            </w:r>
            <w:r>
              <w:rPr>
                <w:rFonts w:hint="eastAsia" w:ascii="宋体" w:hAnsi="宋体" w:cs="宋体"/>
                <w:color w:val="000000"/>
                <w:szCs w:val="21"/>
              </w:rPr>
              <w:t xml:space="preserve">判及配套处置保障措施）、④项目物资供货保障方案</w:t>
            </w:r>
            <w:r>
              <w:rPr>
                <w:rFonts w:hint="eastAsia" w:ascii="宋体" w:hAnsi="宋体" w:cs="宋体"/>
                <w:szCs w:val="21"/>
              </w:rPr>
              <w:t xml:space="preserve">等。</w:t>
            </w:r>
            <w:r>
              <w:rPr>
                <w:rFonts w:hint="eastAsia" w:ascii="宋体" w:hAnsi="宋体" w:cs="宋体"/>
                <w:color w:val="000000"/>
                <w:spacing w:val="-4"/>
                <w:szCs w:val="21"/>
              </w:rPr>
              <w:t xml:space="preserve">根据以上内容进行综合评审，上述内容满足采购文件及采购</w:t>
            </w:r>
            <w:r>
              <w:rPr>
                <w:rFonts w:hint="eastAsia" w:ascii="宋体" w:hAnsi="宋体" w:cs="宋体"/>
                <w:szCs w:val="21"/>
              </w:rPr>
              <w:t xml:space="preserve">需求的得</w:t>
            </w:r>
            <w:r>
              <w:rPr>
                <w:rFonts w:hint="eastAsia" w:ascii="宋体" w:hAnsi="宋体" w:cs="宋体"/>
                <w:szCs w:val="21"/>
              </w:rPr>
              <w:t xml:space="preserve">12</w:t>
            </w:r>
            <w:r>
              <w:rPr>
                <w:rFonts w:hint="eastAsia" w:ascii="宋体" w:hAnsi="宋体" w:cs="宋体"/>
                <w:szCs w:val="21"/>
              </w:rPr>
              <w:t xml:space="preserve">分，</w:t>
            </w:r>
            <w:r>
              <w:rPr>
                <w:rFonts w:hint="eastAsia" w:ascii="宋体" w:hAnsi="宋体" w:cs="宋体"/>
                <w:szCs w:val="21"/>
              </w:rPr>
              <w:t xml:space="preserve">每缺失一项内容扣</w:t>
            </w:r>
            <w:r>
              <w:rPr>
                <w:rFonts w:hint="eastAsia" w:ascii="宋体" w:hAnsi="宋体" w:cs="宋体"/>
                <w:szCs w:val="21"/>
              </w:rPr>
              <w:t xml:space="preserve">3</w:t>
            </w:r>
            <w:r>
              <w:rPr>
                <w:rFonts w:hint="eastAsia" w:ascii="宋体" w:hAnsi="宋体" w:cs="宋体"/>
                <w:szCs w:val="21"/>
              </w:rPr>
              <w:t xml:space="preserve">分，方案每有一处存在错误或瑕疵的扣</w:t>
            </w:r>
            <w:r>
              <w:rPr>
                <w:rFonts w:hint="eastAsia" w:ascii="宋体" w:hAnsi="宋体" w:cs="宋体"/>
                <w:szCs w:val="21"/>
              </w:rPr>
              <w:t xml:space="preserve">1</w:t>
            </w:r>
            <w:r>
              <w:rPr>
                <w:rFonts w:hint="eastAsia" w:ascii="宋体" w:hAnsi="宋体" w:cs="宋体"/>
                <w:szCs w:val="21"/>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jc w:val="left"/>
              <w:widowControl/>
              <w:rPr>
                <w:rFonts w:ascii="宋体" w:hAnsi="宋体" w:cs="宋体"/>
                <w:bCs/>
                <w:spacing w:val="-3"/>
                <w:szCs w:val="21"/>
              </w:rPr>
            </w:pPr>
            <w:r>
              <w:rPr>
                <w:rFonts w:hint="eastAsia" w:ascii="宋体" w:hAnsi="宋体" w:cs="宋体"/>
                <w:b/>
                <w:bCs/>
                <w:szCs w:val="21"/>
              </w:rPr>
              <w:t xml:space="preserve">未提供方案不得分。</w:t>
            </w:r>
            <w:r/>
          </w:p>
        </w:tc>
        <w:tc>
          <w:tcPr>
            <w:tcW w:w="1564" w:type="dxa"/>
            <w:vAlign w:val="center"/>
            <w:textDirection w:val="lrTb"/>
            <w:noWrap w:val="false"/>
          </w:tcPr>
          <w:p>
            <w:pPr>
              <w:rPr>
                <w:rFonts w:ascii="宋体" w:hAnsi="宋体" w:cs="宋体"/>
                <w:bCs/>
                <w:szCs w:val="21"/>
              </w:rPr>
            </w:pPr>
            <w:r>
              <w:rPr>
                <w:rFonts w:hint="eastAsia" w:ascii="宋体" w:hAnsi="宋体" w:cs="宋体"/>
                <w:szCs w:val="21"/>
              </w:rPr>
              <w:t xml:space="preserve">该评分</w:t>
            </w:r>
            <w:r>
              <w:rPr>
                <w:rFonts w:hint="eastAsia" w:ascii="宋体" w:hAnsi="宋体" w:cs="宋体"/>
                <w:szCs w:val="21"/>
              </w:rPr>
              <w:t xml:space="preserve">项属于</w:t>
            </w:r>
            <w:r>
              <w:rPr>
                <w:rFonts w:hint="eastAsia" w:ascii="宋体" w:hAnsi="宋体" w:cs="宋体"/>
                <w:szCs w:val="21"/>
              </w:rPr>
              <w:t xml:space="preserve">暗标评审项目，各投标人</w:t>
            </w:r>
            <w:r>
              <w:rPr>
                <w:rFonts w:hint="eastAsia" w:ascii="宋体" w:hAnsi="宋体" w:cs="宋体"/>
                <w:szCs w:val="21"/>
              </w:rPr>
              <w:t xml:space="preserve">(</w:t>
            </w:r>
            <w:r>
              <w:rPr>
                <w:rFonts w:hint="eastAsia" w:ascii="宋体" w:hAnsi="宋体" w:cs="宋体"/>
                <w:szCs w:val="21"/>
              </w:rPr>
              <w:t xml:space="preserve">供应商</w:t>
            </w:r>
            <w:r>
              <w:rPr>
                <w:rFonts w:hint="eastAsia" w:ascii="宋体" w:hAnsi="宋体" w:cs="宋体"/>
                <w:szCs w:val="21"/>
              </w:rPr>
              <w:t xml:space="preserve">)</w:t>
            </w:r>
            <w:r>
              <w:rPr>
                <w:rFonts w:hint="eastAsia" w:ascii="宋体" w:hAnsi="宋体" w:cs="宋体"/>
                <w:szCs w:val="21"/>
              </w:rPr>
              <w:t xml:space="preserve">提供评审材料中不能出现投标人</w:t>
            </w:r>
            <w:r>
              <w:rPr>
                <w:rFonts w:hint="eastAsia" w:ascii="宋体" w:hAnsi="宋体" w:cs="宋体"/>
                <w:szCs w:val="21"/>
              </w:rPr>
              <w:t xml:space="preserve">(</w:t>
            </w:r>
            <w:r>
              <w:rPr>
                <w:rFonts w:hint="eastAsia" w:ascii="宋体" w:hAnsi="宋体" w:cs="宋体"/>
                <w:szCs w:val="21"/>
              </w:rPr>
              <w:t xml:space="preserve">供应商</w:t>
            </w:r>
            <w:r>
              <w:rPr>
                <w:rFonts w:hint="eastAsia" w:ascii="宋体" w:hAnsi="宋体" w:cs="宋体"/>
                <w:szCs w:val="21"/>
              </w:rPr>
              <w:t xml:space="preserve">)</w:t>
            </w:r>
            <w:r>
              <w:rPr>
                <w:rFonts w:hint="eastAsia" w:ascii="宋体" w:hAnsi="宋体" w:cs="宋体"/>
                <w:szCs w:val="21"/>
              </w:rPr>
              <w:t xml:space="preserve">的名称、标志、标记以及其它能够体现投标人</w:t>
            </w:r>
            <w:r>
              <w:rPr>
                <w:rFonts w:hint="eastAsia" w:ascii="宋体" w:hAnsi="宋体" w:cs="宋体"/>
                <w:szCs w:val="21"/>
              </w:rPr>
              <w:t xml:space="preserve">(</w:t>
            </w:r>
            <w:r>
              <w:rPr>
                <w:rFonts w:hint="eastAsia" w:ascii="宋体" w:hAnsi="宋体" w:cs="宋体"/>
                <w:szCs w:val="21"/>
              </w:rPr>
              <w:t xml:space="preserve">供应商</w:t>
            </w:r>
            <w:r>
              <w:rPr>
                <w:rFonts w:hint="eastAsia" w:ascii="宋体" w:hAnsi="宋体" w:cs="宋体"/>
                <w:szCs w:val="21"/>
              </w:rPr>
              <w:t xml:space="preserve">)</w:t>
            </w:r>
            <w:r>
              <w:rPr>
                <w:rFonts w:hint="eastAsia" w:ascii="宋体" w:hAnsi="宋体" w:cs="宋体"/>
                <w:szCs w:val="21"/>
              </w:rPr>
              <w:t xml:space="preserve">的信息，否则所有暗标评审项</w:t>
            </w:r>
            <w:r>
              <w:rPr>
                <w:rFonts w:hint="eastAsia" w:ascii="宋体" w:hAnsi="宋体" w:cs="宋体"/>
                <w:szCs w:val="21"/>
              </w:rPr>
              <w:t xml:space="preserve">目均不得分。</w:t>
            </w:r>
            <w:r/>
          </w:p>
        </w:tc>
      </w:tr>
      <w:tr>
        <w:trPr>
          <w:trHeight w:val="997"/>
        </w:trPr>
        <w:tc>
          <w:tcPr>
            <w:tcW w:w="617" w:type="dxa"/>
            <w:vAlign w:val="center"/>
            <w:textDirection w:val="lrTb"/>
            <w:noWrap w:val="false"/>
          </w:tcPr>
          <w:p>
            <w:pPr>
              <w:jc w:val="center"/>
              <w:rPr>
                <w:rFonts w:ascii="宋体" w:hAnsi="宋体" w:cs="宋体"/>
                <w:bCs/>
                <w:color w:val="000000"/>
                <w:szCs w:val="21"/>
              </w:rPr>
            </w:pPr>
            <w:r>
              <w:rPr>
                <w:rFonts w:hint="eastAsia" w:ascii="宋体" w:hAnsi="宋体" w:cs="宋体"/>
                <w:bCs/>
                <w:color w:val="000000"/>
                <w:szCs w:val="21"/>
              </w:rPr>
              <w:t xml:space="preserve">2.2</w:t>
            </w:r>
            <w:r/>
          </w:p>
        </w:tc>
        <w:tc>
          <w:tcPr>
            <w:tcW w:w="1060" w:type="dxa"/>
            <w:vAlign w:val="center"/>
            <w:textDirection w:val="lrTb"/>
            <w:noWrap w:val="false"/>
          </w:tcPr>
          <w:p>
            <w:pPr>
              <w:jc w:val="center"/>
              <w:rPr>
                <w:rFonts w:ascii="宋体" w:hAnsi="宋体" w:cs="宋体"/>
                <w:b/>
                <w:color w:val="000000"/>
                <w:szCs w:val="21"/>
              </w:rPr>
            </w:pPr>
            <w:r>
              <w:rPr>
                <w:rFonts w:hint="eastAsia" w:ascii="宋体" w:hAnsi="宋体" w:cs="宋体"/>
                <w:b/>
                <w:bCs/>
                <w:szCs w:val="21"/>
              </w:rPr>
              <w:t xml:space="preserve">系统功能设计</w:t>
            </w:r>
            <w:r/>
          </w:p>
        </w:tc>
        <w:tc>
          <w:tcPr>
            <w:tcW w:w="892" w:type="dxa"/>
            <w:vAlign w:val="center"/>
            <w:textDirection w:val="lrTb"/>
            <w:noWrap w:val="false"/>
          </w:tcPr>
          <w:p>
            <w:pPr>
              <w:jc w:val="center"/>
              <w:rPr>
                <w:rFonts w:ascii="宋体" w:hAnsi="宋体" w:cs="宋体"/>
                <w:bCs/>
                <w:color w:val="000000"/>
                <w:szCs w:val="21"/>
              </w:rPr>
            </w:pPr>
            <w:r>
              <w:rPr>
                <w:rFonts w:hint="eastAsia" w:ascii="宋体" w:hAnsi="宋体" w:cs="宋体"/>
                <w:bCs/>
                <w:color w:val="000000"/>
                <w:szCs w:val="21"/>
              </w:rPr>
              <w:t xml:space="preserve">9</w:t>
            </w:r>
            <w:r/>
          </w:p>
        </w:tc>
        <w:tc>
          <w:tcPr>
            <w:tcW w:w="4389" w:type="dxa"/>
            <w:vAlign w:val="center"/>
            <w:textDirection w:val="lrTb"/>
            <w:noWrap w:val="false"/>
          </w:tcPr>
          <w:p>
            <w:pPr>
              <w:rPr>
                <w:rFonts w:ascii="宋体" w:hAnsi="宋体" w:cs="宋体"/>
                <w:szCs w:val="21"/>
              </w:rPr>
            </w:pPr>
            <w:r>
              <w:rPr>
                <w:rFonts w:hint="eastAsia" w:ascii="宋体" w:hAnsi="宋体" w:cs="宋体"/>
                <w:szCs w:val="21"/>
              </w:rPr>
              <w:t xml:space="preserve">根据</w:t>
            </w:r>
            <w:r>
              <w:rPr>
                <w:rFonts w:hint="eastAsia" w:ascii="宋体" w:hAnsi="宋体" w:cs="宋体"/>
                <w:szCs w:val="21"/>
              </w:rPr>
              <w:t xml:space="preserve">供应商</w:t>
            </w:r>
            <w:r>
              <w:rPr>
                <w:rFonts w:hint="eastAsia" w:ascii="宋体" w:hAnsi="宋体" w:cs="宋体"/>
                <w:color w:val="000000"/>
                <w:spacing w:val="-4"/>
                <w:szCs w:val="21"/>
              </w:rPr>
              <w:t xml:space="preserve">对本项目的</w:t>
            </w:r>
            <w:r>
              <w:rPr>
                <w:rFonts w:hint="eastAsia" w:ascii="宋体" w:hAnsi="宋体" w:cs="宋体"/>
                <w:szCs w:val="21"/>
              </w:rPr>
              <w:t xml:space="preserve">系统功能设计</w:t>
            </w:r>
            <w:r>
              <w:rPr>
                <w:rFonts w:hint="eastAsia" w:ascii="宋体" w:hAnsi="宋体" w:cs="宋体"/>
                <w:szCs w:val="21"/>
              </w:rPr>
              <w:t xml:space="preserve">进行</w:t>
            </w:r>
            <w:r>
              <w:rPr>
                <w:rFonts w:hint="eastAsia" w:ascii="宋体" w:hAnsi="宋体" w:cs="宋体"/>
                <w:szCs w:val="21"/>
              </w:rPr>
              <w:t xml:space="preserve">评分</w:t>
            </w:r>
            <w:r>
              <w:rPr>
                <w:rFonts w:hint="eastAsia" w:ascii="宋体" w:hAnsi="宋体" w:cs="宋体"/>
                <w:szCs w:val="21"/>
              </w:rPr>
              <w:t xml:space="preserve">，</w:t>
            </w:r>
            <w:r>
              <w:rPr>
                <w:rFonts w:hint="eastAsia" w:ascii="宋体" w:hAnsi="宋体" w:cs="宋体"/>
                <w:color w:val="000000"/>
                <w:spacing w:val="-4"/>
                <w:szCs w:val="21"/>
              </w:rPr>
              <w:t xml:space="preserve">包括但不限于以下内容：</w:t>
            </w:r>
            <w:r>
              <w:rPr>
                <w:rFonts w:hint="eastAsia" w:ascii="宋体" w:hAnsi="宋体" w:cs="宋体"/>
                <w:szCs w:val="21"/>
              </w:rPr>
              <w:t xml:space="preserve">①</w:t>
            </w:r>
            <w:r>
              <w:rPr>
                <w:rFonts w:hint="eastAsia" w:ascii="宋体" w:hAnsi="宋体" w:cs="宋体"/>
                <w:color w:val="000000"/>
                <w:szCs w:val="21"/>
              </w:rPr>
              <w:t xml:space="preserve">整体系统总体设计</w:t>
            </w:r>
            <w:r>
              <w:rPr>
                <w:rFonts w:hint="eastAsia" w:ascii="宋体" w:hAnsi="宋体" w:cs="宋体"/>
                <w:szCs w:val="21"/>
              </w:rPr>
              <w:t xml:space="preserve">、</w:t>
            </w:r>
            <w:r>
              <w:rPr>
                <w:rFonts w:hint="eastAsia" w:ascii="宋体" w:hAnsi="宋体" w:cs="宋体"/>
                <w:szCs w:val="21"/>
              </w:rPr>
              <w:t xml:space="preserve">②</w:t>
            </w:r>
            <w:r>
              <w:rPr>
                <w:rFonts w:hint="eastAsia" w:ascii="宋体" w:hAnsi="宋体" w:cs="宋体"/>
                <w:color w:val="000000"/>
                <w:szCs w:val="21"/>
              </w:rPr>
              <w:t xml:space="preserve">集成对接</w:t>
            </w:r>
            <w:r>
              <w:rPr>
                <w:rFonts w:hint="eastAsia" w:ascii="宋体" w:hAnsi="宋体" w:cs="宋体"/>
                <w:szCs w:val="21"/>
              </w:rPr>
              <w:t xml:space="preserve">、</w:t>
            </w:r>
            <w:r>
              <w:rPr>
                <w:rFonts w:hint="eastAsia" w:ascii="宋体" w:hAnsi="宋体" w:cs="宋体"/>
                <w:szCs w:val="21"/>
              </w:rPr>
              <w:t xml:space="preserve">③</w:t>
            </w:r>
            <w:r>
              <w:rPr>
                <w:rFonts w:hint="eastAsia" w:ascii="宋体" w:hAnsi="宋体" w:cs="宋体"/>
                <w:color w:val="000000"/>
                <w:szCs w:val="21"/>
              </w:rPr>
              <w:t xml:space="preserve">数据共享</w:t>
            </w:r>
            <w:r>
              <w:rPr>
                <w:rFonts w:hint="eastAsia" w:ascii="宋体" w:hAnsi="宋体" w:cs="宋体"/>
                <w:szCs w:val="21"/>
              </w:rPr>
              <w:t xml:space="preserve">等。</w:t>
            </w:r>
            <w:r>
              <w:rPr>
                <w:rFonts w:hint="eastAsia" w:ascii="宋体" w:hAnsi="宋体" w:cs="宋体"/>
                <w:color w:val="000000"/>
                <w:spacing w:val="-4"/>
                <w:szCs w:val="21"/>
              </w:rPr>
              <w:t xml:space="preserve">根据以上内容进行综合评审，上述内容满足采购文件及采购</w:t>
            </w:r>
            <w:r>
              <w:rPr>
                <w:rFonts w:hint="eastAsia" w:ascii="宋体" w:hAnsi="宋体" w:cs="宋体"/>
                <w:szCs w:val="21"/>
              </w:rPr>
              <w:t xml:space="preserve">需求的得</w:t>
            </w:r>
            <w:r>
              <w:rPr>
                <w:rFonts w:hint="eastAsia" w:ascii="宋体" w:hAnsi="宋体" w:cs="宋体"/>
                <w:szCs w:val="21"/>
              </w:rPr>
              <w:t xml:space="preserve">9</w:t>
            </w:r>
            <w:r>
              <w:rPr>
                <w:rFonts w:hint="eastAsia" w:ascii="宋体" w:hAnsi="宋体" w:cs="宋体"/>
                <w:szCs w:val="21"/>
              </w:rPr>
              <w:t xml:space="preserve">分，</w:t>
            </w:r>
            <w:r>
              <w:rPr>
                <w:rFonts w:hint="eastAsia" w:ascii="宋体" w:hAnsi="宋体" w:cs="宋体"/>
                <w:szCs w:val="21"/>
              </w:rPr>
              <w:t xml:space="preserve">每缺失一项内容扣</w:t>
            </w:r>
            <w:r>
              <w:rPr>
                <w:rFonts w:hint="eastAsia" w:ascii="宋体" w:hAnsi="宋体" w:cs="宋体"/>
                <w:szCs w:val="21"/>
              </w:rPr>
              <w:t xml:space="preserve">3</w:t>
            </w:r>
            <w:r>
              <w:rPr>
                <w:rFonts w:hint="eastAsia" w:ascii="宋体" w:hAnsi="宋体" w:cs="宋体"/>
                <w:szCs w:val="21"/>
              </w:rPr>
              <w:t xml:space="preserve">分，方案每有一处存在错误或瑕疵的扣</w:t>
            </w:r>
            <w:r>
              <w:rPr>
                <w:rFonts w:hint="eastAsia" w:ascii="宋体" w:hAnsi="宋体" w:cs="宋体"/>
                <w:szCs w:val="21"/>
              </w:rPr>
              <w:t xml:space="preserve">1</w:t>
            </w:r>
            <w:r>
              <w:rPr>
                <w:rFonts w:hint="eastAsia" w:ascii="宋体" w:hAnsi="宋体" w:cs="宋体"/>
                <w:szCs w:val="21"/>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jc w:val="left"/>
              <w:rPr>
                <w:rFonts w:ascii="宋体" w:hAnsi="宋体" w:cs="宋体"/>
                <w:bCs/>
                <w:spacing w:val="7"/>
                <w:szCs w:val="21"/>
              </w:rPr>
            </w:pPr>
            <w:r>
              <w:rPr>
                <w:rFonts w:hint="eastAsia" w:ascii="宋体" w:hAnsi="宋体" w:cs="宋体"/>
                <w:b/>
                <w:bCs/>
                <w:szCs w:val="21"/>
              </w:rPr>
              <w:t xml:space="preserve">未提供方案不得分。</w:t>
            </w:r>
            <w:r/>
          </w:p>
        </w:tc>
        <w:tc>
          <w:tcPr>
            <w:tcW w:w="1564" w:type="dxa"/>
            <w:vAlign w:val="center"/>
            <w:textDirection w:val="lrTb"/>
            <w:noWrap w:val="false"/>
          </w:tcPr>
          <w:p>
            <w:pPr>
              <w:rPr>
                <w:rFonts w:ascii="宋体" w:hAnsi="宋体" w:cs="宋体"/>
                <w:bCs/>
                <w:szCs w:val="21"/>
              </w:rPr>
            </w:pPr>
            <w:r>
              <w:rPr>
                <w:rFonts w:hint="eastAsia" w:ascii="宋体" w:hAnsi="宋体" w:cs="宋体"/>
                <w:szCs w:val="21"/>
              </w:rPr>
              <w:t xml:space="preserve">该评分</w:t>
            </w:r>
            <w:r>
              <w:rPr>
                <w:rFonts w:hint="eastAsia" w:ascii="宋体" w:hAnsi="宋体" w:cs="宋体"/>
                <w:szCs w:val="21"/>
              </w:rPr>
              <w:t xml:space="preserve">项属于</w:t>
            </w:r>
            <w:r>
              <w:rPr>
                <w:rFonts w:hint="eastAsia" w:ascii="宋体" w:hAnsi="宋体" w:cs="宋体"/>
                <w:szCs w:val="21"/>
              </w:rPr>
              <w:t xml:space="preserve">暗标评审项目，各投标人</w:t>
            </w:r>
            <w:r>
              <w:rPr>
                <w:rFonts w:hint="eastAsia" w:ascii="宋体" w:hAnsi="宋体" w:cs="宋体"/>
                <w:szCs w:val="21"/>
              </w:rPr>
              <w:t xml:space="preserve">(</w:t>
            </w:r>
            <w:r>
              <w:rPr>
                <w:rFonts w:hint="eastAsia" w:ascii="宋体" w:hAnsi="宋体" w:cs="宋体"/>
                <w:szCs w:val="21"/>
              </w:rPr>
              <w:t xml:space="preserve">供应商</w:t>
            </w:r>
            <w:r>
              <w:rPr>
                <w:rFonts w:hint="eastAsia" w:ascii="宋体" w:hAnsi="宋体" w:cs="宋体"/>
                <w:szCs w:val="21"/>
              </w:rPr>
              <w:t xml:space="preserve">)</w:t>
            </w:r>
            <w:r>
              <w:rPr>
                <w:rFonts w:hint="eastAsia" w:ascii="宋体" w:hAnsi="宋体" w:cs="宋体"/>
                <w:szCs w:val="21"/>
              </w:rPr>
              <w:t xml:space="preserve">提供评审材料中不能出现投标人</w:t>
            </w:r>
            <w:r>
              <w:rPr>
                <w:rFonts w:hint="eastAsia" w:ascii="宋体" w:hAnsi="宋体" w:cs="宋体"/>
                <w:szCs w:val="21"/>
              </w:rPr>
              <w:t xml:space="preserve">(</w:t>
            </w:r>
            <w:r>
              <w:rPr>
                <w:rFonts w:hint="eastAsia" w:ascii="宋体" w:hAnsi="宋体" w:cs="宋体"/>
                <w:szCs w:val="21"/>
              </w:rPr>
              <w:t xml:space="preserve">供应商</w:t>
            </w:r>
            <w:r>
              <w:rPr>
                <w:rFonts w:hint="eastAsia" w:ascii="宋体" w:hAnsi="宋体" w:cs="宋体"/>
                <w:szCs w:val="21"/>
              </w:rPr>
              <w:t xml:space="preserve">)</w:t>
            </w:r>
            <w:r>
              <w:rPr>
                <w:rFonts w:hint="eastAsia" w:ascii="宋体" w:hAnsi="宋体" w:cs="宋体"/>
                <w:szCs w:val="21"/>
              </w:rPr>
              <w:t xml:space="preserve">的名称、标志、标记以及其它能够体现投标人</w:t>
            </w:r>
            <w:r>
              <w:rPr>
                <w:rFonts w:hint="eastAsia" w:ascii="宋体" w:hAnsi="宋体" w:cs="宋体"/>
                <w:szCs w:val="21"/>
              </w:rPr>
              <w:t xml:space="preserve">(</w:t>
            </w:r>
            <w:r>
              <w:rPr>
                <w:rFonts w:hint="eastAsia" w:ascii="宋体" w:hAnsi="宋体" w:cs="宋体"/>
                <w:szCs w:val="21"/>
              </w:rPr>
              <w:t xml:space="preserve">供应商</w:t>
            </w:r>
            <w:r>
              <w:rPr>
                <w:rFonts w:hint="eastAsia" w:ascii="宋体" w:hAnsi="宋体" w:cs="宋体"/>
                <w:szCs w:val="21"/>
              </w:rPr>
              <w:t xml:space="preserve">)</w:t>
            </w:r>
            <w:r>
              <w:rPr>
                <w:rFonts w:hint="eastAsia" w:ascii="宋体" w:hAnsi="宋体" w:cs="宋体"/>
                <w:szCs w:val="21"/>
              </w:rPr>
              <w:t xml:space="preserve">的信息，否则所有暗标评审项</w:t>
            </w:r>
            <w:r>
              <w:rPr>
                <w:rFonts w:hint="eastAsia" w:ascii="宋体" w:hAnsi="宋体" w:cs="宋体"/>
                <w:szCs w:val="21"/>
              </w:rPr>
              <w:t xml:space="preserve">目均不得分。</w:t>
            </w:r>
            <w:r/>
          </w:p>
        </w:tc>
      </w:tr>
      <w:tr>
        <w:trPr>
          <w:trHeight w:val="1341"/>
        </w:trPr>
        <w:tc>
          <w:tcPr>
            <w:shd w:val="clear" w:color="auto" w:fill="auto"/>
            <w:tcW w:w="617" w:type="dxa"/>
            <w:vAlign w:val="center"/>
            <w:textDirection w:val="lrTb"/>
            <w:noWrap w:val="false"/>
          </w:tcPr>
          <w:p>
            <w:pPr>
              <w:ind w:firstLine="28"/>
              <w:jc w:val="center"/>
              <w:rPr>
                <w:rFonts w:ascii="宋体" w:hAnsi="宋体" w:cs="宋体"/>
                <w:bCs/>
                <w:color w:val="000000"/>
                <w:szCs w:val="21"/>
              </w:rPr>
            </w:pPr>
            <w:r>
              <w:rPr>
                <w:rFonts w:hint="eastAsia" w:ascii="宋体" w:hAnsi="宋体" w:cs="宋体"/>
                <w:bCs/>
                <w:color w:val="000000"/>
                <w:szCs w:val="21"/>
              </w:rPr>
              <w:t xml:space="preserve">2.3</w:t>
            </w:r>
            <w:r/>
          </w:p>
        </w:tc>
        <w:tc>
          <w:tcPr>
            <w:shd w:val="clear" w:color="auto" w:fill="auto"/>
            <w:tcW w:w="1060" w:type="dxa"/>
            <w:vAlign w:val="center"/>
            <w:textDirection w:val="lrTb"/>
            <w:noWrap w:val="false"/>
          </w:tcPr>
          <w:p>
            <w:pPr>
              <w:jc w:val="center"/>
              <w:rPr>
                <w:rFonts w:ascii="宋体" w:hAnsi="宋体" w:cs="宋体"/>
                <w:b/>
                <w:szCs w:val="21"/>
              </w:rPr>
            </w:pPr>
            <w:r>
              <w:rPr>
                <w:rFonts w:hint="eastAsia" w:ascii="宋体" w:hAnsi="宋体" w:cs="宋体"/>
                <w:b/>
                <w:bCs/>
                <w:szCs w:val="21"/>
              </w:rPr>
              <w:t xml:space="preserve">进度计划保障措施</w:t>
            </w:r>
            <w:r/>
          </w:p>
        </w:tc>
        <w:tc>
          <w:tcPr>
            <w:shd w:val="clear" w:color="auto" w:fill="auto"/>
            <w:tcW w:w="892"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12</w:t>
            </w:r>
            <w:r/>
          </w:p>
        </w:tc>
        <w:tc>
          <w:tcPr>
            <w:shd w:val="clear" w:color="auto" w:fill="auto"/>
            <w:tcW w:w="4389" w:type="dxa"/>
            <w:vAlign w:val="center"/>
            <w:textDirection w:val="lrTb"/>
            <w:noWrap w:val="false"/>
          </w:tcPr>
          <w:p>
            <w:pPr>
              <w:rPr>
                <w:rFonts w:ascii="宋体" w:hAnsi="宋体" w:cs="宋体"/>
                <w:szCs w:val="21"/>
              </w:rPr>
            </w:pPr>
            <w:r>
              <w:rPr>
                <w:rFonts w:hint="eastAsia" w:ascii="宋体" w:hAnsi="宋体" w:cs="宋体"/>
                <w:szCs w:val="21"/>
              </w:rPr>
              <w:t xml:space="preserve">根据</w:t>
            </w:r>
            <w:r>
              <w:rPr>
                <w:rFonts w:hint="eastAsia" w:ascii="宋体" w:hAnsi="宋体" w:cs="宋体"/>
                <w:szCs w:val="21"/>
              </w:rPr>
              <w:t xml:space="preserve">供应商</w:t>
            </w:r>
            <w:r>
              <w:rPr>
                <w:rFonts w:hint="eastAsia" w:ascii="宋体" w:hAnsi="宋体" w:cs="宋体"/>
                <w:color w:val="000000"/>
                <w:spacing w:val="-4"/>
                <w:szCs w:val="21"/>
              </w:rPr>
              <w:t xml:space="preserve">对本项目的</w:t>
            </w:r>
            <w:r>
              <w:rPr>
                <w:rFonts w:hint="eastAsia" w:ascii="宋体" w:hAnsi="宋体" w:cs="宋体"/>
                <w:szCs w:val="21"/>
              </w:rPr>
              <w:t xml:space="preserve">进度计划保障措施</w:t>
            </w:r>
            <w:r>
              <w:rPr>
                <w:rFonts w:hint="eastAsia" w:ascii="宋体" w:hAnsi="宋体" w:cs="宋体"/>
                <w:szCs w:val="21"/>
              </w:rPr>
              <w:t xml:space="preserve">评分</w:t>
            </w:r>
            <w:r>
              <w:rPr>
                <w:rFonts w:hint="eastAsia" w:ascii="宋体" w:hAnsi="宋体" w:cs="宋体"/>
                <w:szCs w:val="21"/>
              </w:rPr>
              <w:t xml:space="preserve">，</w:t>
            </w:r>
            <w:r>
              <w:rPr>
                <w:rFonts w:hint="eastAsia" w:ascii="宋体" w:hAnsi="宋体" w:cs="宋体"/>
                <w:color w:val="000000"/>
                <w:spacing w:val="-4"/>
                <w:szCs w:val="21"/>
              </w:rPr>
              <w:t xml:space="preserve">包括但不限于以下内容：</w:t>
            </w:r>
            <w:r>
              <w:rPr>
                <w:rFonts w:hint="eastAsia" w:ascii="宋体" w:hAnsi="宋体" w:cs="宋体"/>
                <w:szCs w:val="21"/>
              </w:rPr>
              <w:t xml:space="preserve">①</w:t>
            </w:r>
            <w:r>
              <w:rPr>
                <w:rFonts w:hint="eastAsia" w:ascii="宋体" w:hAnsi="宋体" w:cs="宋体"/>
                <w:color w:val="000000"/>
                <w:szCs w:val="21"/>
              </w:rPr>
              <w:t xml:space="preserve">整体进度规划与阶段划分</w:t>
            </w:r>
            <w:r>
              <w:rPr>
                <w:rFonts w:hint="eastAsia" w:ascii="宋体" w:hAnsi="宋体" w:cs="宋体"/>
                <w:szCs w:val="21"/>
              </w:rPr>
              <w:t xml:space="preserve">、</w:t>
            </w:r>
            <w:r>
              <w:rPr>
                <w:rFonts w:hint="eastAsia" w:ascii="宋体" w:hAnsi="宋体" w:cs="宋体"/>
                <w:szCs w:val="21"/>
              </w:rPr>
              <w:t xml:space="preserve">②</w:t>
            </w:r>
            <w:r>
              <w:rPr>
                <w:rFonts w:hint="eastAsia" w:ascii="宋体" w:hAnsi="宋体" w:cs="宋体"/>
                <w:color w:val="000000"/>
                <w:szCs w:val="21"/>
              </w:rPr>
              <w:t xml:space="preserve">人员与资源保障配置</w:t>
            </w:r>
            <w:r>
              <w:rPr>
                <w:rFonts w:hint="eastAsia" w:ascii="宋体" w:hAnsi="宋体" w:cs="宋体"/>
                <w:szCs w:val="21"/>
              </w:rPr>
              <w:t xml:space="preserve">、</w:t>
            </w:r>
            <w:r>
              <w:rPr>
                <w:rFonts w:hint="eastAsia" w:ascii="宋体" w:hAnsi="宋体" w:cs="宋体"/>
                <w:szCs w:val="21"/>
              </w:rPr>
              <w:t xml:space="preserve">③</w:t>
            </w:r>
            <w:r>
              <w:rPr>
                <w:rFonts w:hint="eastAsia" w:ascii="宋体" w:hAnsi="宋体" w:cs="宋体"/>
                <w:color w:val="000000"/>
                <w:szCs w:val="21"/>
              </w:rPr>
              <w:t xml:space="preserve">过程管控与风险应急保障</w:t>
            </w:r>
            <w:r>
              <w:rPr>
                <w:rFonts w:hint="eastAsia" w:ascii="宋体" w:hAnsi="宋体" w:cs="宋体"/>
                <w:szCs w:val="21"/>
              </w:rPr>
              <w:t xml:space="preserve">等。</w:t>
            </w:r>
            <w:r>
              <w:rPr>
                <w:rFonts w:hint="eastAsia" w:ascii="宋体" w:hAnsi="宋体" w:cs="宋体"/>
                <w:color w:val="000000"/>
                <w:spacing w:val="-4"/>
                <w:szCs w:val="21"/>
              </w:rPr>
              <w:t xml:space="preserve">根据以上内容进行综合评审，上述内容满足采购文件及采购</w:t>
            </w:r>
            <w:r>
              <w:rPr>
                <w:rFonts w:hint="eastAsia" w:ascii="宋体" w:hAnsi="宋体" w:cs="宋体"/>
                <w:szCs w:val="21"/>
              </w:rPr>
              <w:t xml:space="preserve">需求的得</w:t>
            </w:r>
            <w:r>
              <w:rPr>
                <w:rFonts w:hint="eastAsia" w:ascii="宋体" w:hAnsi="宋体" w:cs="宋体"/>
                <w:szCs w:val="21"/>
              </w:rPr>
              <w:t xml:space="preserve">12</w:t>
            </w:r>
            <w:r>
              <w:rPr>
                <w:rFonts w:hint="eastAsia" w:ascii="宋体" w:hAnsi="宋体" w:cs="宋体"/>
                <w:szCs w:val="21"/>
              </w:rPr>
              <w:t xml:space="preserve">分，</w:t>
            </w:r>
            <w:r>
              <w:rPr>
                <w:rFonts w:hint="eastAsia" w:ascii="宋体" w:hAnsi="宋体" w:cs="宋体"/>
                <w:szCs w:val="21"/>
              </w:rPr>
              <w:t xml:space="preserve">每缺失一项内容扣</w:t>
            </w:r>
            <w:r>
              <w:rPr>
                <w:rFonts w:hint="eastAsia" w:ascii="宋体" w:hAnsi="宋体" w:cs="宋体"/>
                <w:szCs w:val="21"/>
              </w:rPr>
              <w:t xml:space="preserve">4</w:t>
            </w:r>
            <w:r>
              <w:rPr>
                <w:rFonts w:hint="eastAsia" w:ascii="宋体" w:hAnsi="宋体" w:cs="宋体"/>
                <w:szCs w:val="21"/>
              </w:rPr>
              <w:t xml:space="preserve">分，方案每有一处存在错误或瑕疵的扣</w:t>
            </w:r>
            <w:r>
              <w:rPr>
                <w:rFonts w:hint="eastAsia" w:ascii="宋体" w:hAnsi="宋体" w:cs="宋体"/>
                <w:szCs w:val="21"/>
              </w:rPr>
              <w:t xml:space="preserve">1</w:t>
            </w:r>
            <w:r>
              <w:rPr>
                <w:rFonts w:hint="eastAsia" w:ascii="宋体" w:hAnsi="宋体" w:cs="宋体"/>
                <w:szCs w:val="21"/>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jc w:val="left"/>
              <w:widowControl/>
              <w:rPr>
                <w:rFonts w:ascii="宋体" w:hAnsi="宋体" w:cs="宋体"/>
                <w:bCs/>
                <w:spacing w:val="8"/>
                <w:szCs w:val="21"/>
              </w:rPr>
            </w:pPr>
            <w:r>
              <w:rPr>
                <w:rFonts w:hint="eastAsia" w:ascii="宋体" w:hAnsi="宋体" w:cs="宋体"/>
                <w:b/>
                <w:bCs/>
                <w:szCs w:val="21"/>
              </w:rPr>
              <w:t xml:space="preserve">未提供方案不得分。</w:t>
            </w:r>
            <w:r/>
          </w:p>
        </w:tc>
        <w:tc>
          <w:tcPr>
            <w:tcW w:w="1564" w:type="dxa"/>
            <w:vAlign w:val="center"/>
            <w:textDirection w:val="lrTb"/>
            <w:noWrap w:val="false"/>
          </w:tcPr>
          <w:p>
            <w:pPr>
              <w:rPr>
                <w:rFonts w:ascii="宋体" w:hAnsi="宋体" w:cs="宋体"/>
                <w:bCs/>
                <w:szCs w:val="21"/>
              </w:rPr>
            </w:pPr>
            <w:r>
              <w:rPr>
                <w:rFonts w:hint="eastAsia" w:ascii="宋体" w:hAnsi="宋体" w:cs="宋体"/>
                <w:szCs w:val="21"/>
              </w:rPr>
              <w:t xml:space="preserve">该评分</w:t>
            </w:r>
            <w:r>
              <w:rPr>
                <w:rFonts w:hint="eastAsia" w:ascii="宋体" w:hAnsi="宋体" w:cs="宋体"/>
                <w:szCs w:val="21"/>
              </w:rPr>
              <w:t xml:space="preserve">项属于</w:t>
            </w:r>
            <w:r>
              <w:rPr>
                <w:rFonts w:hint="eastAsia" w:ascii="宋体" w:hAnsi="宋体" w:cs="宋体"/>
                <w:szCs w:val="21"/>
              </w:rPr>
              <w:t xml:space="preserve">暗标评审项目，各投标人</w:t>
            </w:r>
            <w:r>
              <w:rPr>
                <w:rFonts w:hint="eastAsia" w:ascii="宋体" w:hAnsi="宋体" w:cs="宋体"/>
                <w:szCs w:val="21"/>
              </w:rPr>
              <w:t xml:space="preserve">(</w:t>
            </w:r>
            <w:r>
              <w:rPr>
                <w:rFonts w:hint="eastAsia" w:ascii="宋体" w:hAnsi="宋体" w:cs="宋体"/>
                <w:szCs w:val="21"/>
              </w:rPr>
              <w:t xml:space="preserve">供应商</w:t>
            </w:r>
            <w:r>
              <w:rPr>
                <w:rFonts w:hint="eastAsia" w:ascii="宋体" w:hAnsi="宋体" w:cs="宋体"/>
                <w:szCs w:val="21"/>
              </w:rPr>
              <w:t xml:space="preserve">)</w:t>
            </w:r>
            <w:r>
              <w:rPr>
                <w:rFonts w:hint="eastAsia" w:ascii="宋体" w:hAnsi="宋体" w:cs="宋体"/>
                <w:szCs w:val="21"/>
              </w:rPr>
              <w:t xml:space="preserve">提供评审材料中不能出现投标人</w:t>
            </w:r>
            <w:r>
              <w:rPr>
                <w:rFonts w:hint="eastAsia" w:ascii="宋体" w:hAnsi="宋体" w:cs="宋体"/>
                <w:szCs w:val="21"/>
              </w:rPr>
              <w:t xml:space="preserve">(</w:t>
            </w:r>
            <w:r>
              <w:rPr>
                <w:rFonts w:hint="eastAsia" w:ascii="宋体" w:hAnsi="宋体" w:cs="宋体"/>
                <w:szCs w:val="21"/>
              </w:rPr>
              <w:t xml:space="preserve">供应商</w:t>
            </w:r>
            <w:r>
              <w:rPr>
                <w:rFonts w:hint="eastAsia" w:ascii="宋体" w:hAnsi="宋体" w:cs="宋体"/>
                <w:szCs w:val="21"/>
              </w:rPr>
              <w:t xml:space="preserve">)</w:t>
            </w:r>
            <w:r>
              <w:rPr>
                <w:rFonts w:hint="eastAsia" w:ascii="宋体" w:hAnsi="宋体" w:cs="宋体"/>
                <w:szCs w:val="21"/>
              </w:rPr>
              <w:t xml:space="preserve">的名称、标志、标记以及其它能够体现投标人</w:t>
            </w:r>
            <w:r>
              <w:rPr>
                <w:rFonts w:hint="eastAsia" w:ascii="宋体" w:hAnsi="宋体" w:cs="宋体"/>
                <w:szCs w:val="21"/>
              </w:rPr>
              <w:t xml:space="preserve">(</w:t>
            </w:r>
            <w:r>
              <w:rPr>
                <w:rFonts w:hint="eastAsia" w:ascii="宋体" w:hAnsi="宋体" w:cs="宋体"/>
                <w:szCs w:val="21"/>
              </w:rPr>
              <w:t xml:space="preserve">供应商</w:t>
            </w:r>
            <w:r>
              <w:rPr>
                <w:rFonts w:hint="eastAsia" w:ascii="宋体" w:hAnsi="宋体" w:cs="宋体"/>
                <w:szCs w:val="21"/>
              </w:rPr>
              <w:t xml:space="preserve">)</w:t>
            </w:r>
            <w:r>
              <w:rPr>
                <w:rFonts w:hint="eastAsia" w:ascii="宋体" w:hAnsi="宋体" w:cs="宋体"/>
                <w:szCs w:val="21"/>
              </w:rPr>
              <w:t xml:space="preserve">的信息，否则所有暗标评审项</w:t>
            </w:r>
            <w:r>
              <w:rPr>
                <w:rFonts w:hint="eastAsia" w:ascii="宋体" w:hAnsi="宋体" w:cs="宋体"/>
                <w:szCs w:val="21"/>
              </w:rPr>
              <w:t xml:space="preserve">目均不得分。</w:t>
            </w:r>
            <w:r/>
          </w:p>
        </w:tc>
      </w:tr>
      <w:tr>
        <w:trPr>
          <w:trHeight w:val="548"/>
        </w:trPr>
        <w:tc>
          <w:tcPr>
            <w:shd w:val="clear" w:color="auto" w:fill="auto"/>
            <w:tcW w:w="617" w:type="dxa"/>
            <w:vAlign w:val="center"/>
            <w:textDirection w:val="lrTb"/>
            <w:noWrap w:val="false"/>
          </w:tcPr>
          <w:p>
            <w:pPr>
              <w:ind w:firstLine="28"/>
              <w:jc w:val="center"/>
              <w:rPr>
                <w:rFonts w:ascii="宋体" w:hAnsi="宋体" w:cs="宋体"/>
                <w:bCs/>
                <w:szCs w:val="21"/>
              </w:rPr>
            </w:pPr>
            <w:r>
              <w:rPr>
                <w:rFonts w:hint="eastAsia" w:ascii="宋体" w:hAnsi="宋体" w:cs="宋体"/>
                <w:bCs/>
                <w:color w:val="000000"/>
                <w:szCs w:val="21"/>
              </w:rPr>
              <w:t xml:space="preserve">2.4</w:t>
            </w:r>
            <w:r/>
          </w:p>
        </w:tc>
        <w:tc>
          <w:tcPr>
            <w:shd w:val="clear" w:color="auto" w:fill="auto"/>
            <w:tcW w:w="1060" w:type="dxa"/>
            <w:vAlign w:val="center"/>
            <w:textDirection w:val="lrTb"/>
            <w:noWrap w:val="false"/>
          </w:tcPr>
          <w:p>
            <w:pPr>
              <w:jc w:val="center"/>
              <w:rPr>
                <w:rFonts w:ascii="宋体" w:hAnsi="宋体" w:cs="宋体"/>
                <w:b/>
                <w:szCs w:val="21"/>
              </w:rPr>
            </w:pPr>
            <w:r>
              <w:rPr>
                <w:rFonts w:hint="eastAsia" w:ascii="宋体" w:hAnsi="宋体" w:cs="宋体"/>
                <w:b/>
                <w:bCs/>
                <w:szCs w:val="21"/>
              </w:rPr>
              <w:t xml:space="preserve">服务人员培训方案</w:t>
            </w:r>
            <w:r/>
          </w:p>
        </w:tc>
        <w:tc>
          <w:tcPr>
            <w:shd w:val="clear" w:color="auto" w:fill="auto"/>
            <w:tcW w:w="892"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12</w:t>
            </w:r>
            <w:r/>
          </w:p>
        </w:tc>
        <w:tc>
          <w:tcPr>
            <w:tcW w:w="4389" w:type="dxa"/>
            <w:vAlign w:val="center"/>
            <w:textDirection w:val="lrTb"/>
            <w:noWrap w:val="false"/>
          </w:tcPr>
          <w:p>
            <w:pPr>
              <w:rPr>
                <w:rFonts w:ascii="宋体" w:hAnsi="宋体" w:cs="宋体"/>
                <w:szCs w:val="21"/>
              </w:rPr>
            </w:pPr>
            <w:r>
              <w:rPr>
                <w:rFonts w:hint="eastAsia" w:ascii="宋体" w:hAnsi="宋体" w:cs="宋体"/>
                <w:szCs w:val="21"/>
              </w:rPr>
              <w:t xml:space="preserve">根据</w:t>
            </w:r>
            <w:r>
              <w:rPr>
                <w:rFonts w:hint="eastAsia" w:ascii="宋体" w:hAnsi="宋体" w:cs="宋体"/>
                <w:szCs w:val="21"/>
              </w:rPr>
              <w:t xml:space="preserve">供应商</w:t>
            </w:r>
            <w:r>
              <w:rPr>
                <w:rFonts w:hint="eastAsia" w:ascii="宋体" w:hAnsi="宋体" w:cs="宋体"/>
                <w:color w:val="000000"/>
                <w:spacing w:val="-4"/>
                <w:szCs w:val="21"/>
              </w:rPr>
              <w:t xml:space="preserve">对本项目的</w:t>
            </w:r>
            <w:r>
              <w:rPr>
                <w:rFonts w:hint="eastAsia" w:ascii="宋体" w:hAnsi="宋体" w:cs="宋体"/>
                <w:szCs w:val="21"/>
              </w:rPr>
              <w:t xml:space="preserve">服务人员培训方案</w:t>
            </w:r>
            <w:r>
              <w:rPr>
                <w:rFonts w:hint="eastAsia" w:ascii="宋体" w:hAnsi="宋体" w:cs="宋体"/>
                <w:szCs w:val="21"/>
              </w:rPr>
              <w:t xml:space="preserve">评分</w:t>
            </w:r>
            <w:r>
              <w:rPr>
                <w:rFonts w:hint="eastAsia" w:ascii="宋体" w:hAnsi="宋体" w:cs="宋体"/>
                <w:szCs w:val="21"/>
              </w:rPr>
              <w:t xml:space="preserve">，</w:t>
            </w:r>
            <w:r>
              <w:rPr>
                <w:rFonts w:hint="eastAsia" w:ascii="宋体" w:hAnsi="宋体" w:cs="宋体"/>
                <w:color w:val="000000"/>
                <w:spacing w:val="-4"/>
                <w:szCs w:val="21"/>
              </w:rPr>
              <w:t xml:space="preserve">包括但不限于以下内容：</w:t>
            </w:r>
            <w:r>
              <w:rPr>
                <w:rFonts w:hint="eastAsia" w:ascii="宋体" w:hAnsi="宋体" w:cs="宋体"/>
                <w:szCs w:val="21"/>
              </w:rPr>
              <w:t xml:space="preserve">①</w:t>
            </w:r>
            <w:r>
              <w:rPr>
                <w:rFonts w:hint="eastAsia" w:ascii="宋体" w:hAnsi="宋体" w:cs="宋体"/>
                <w:color w:val="000000"/>
                <w:szCs w:val="21"/>
              </w:rPr>
              <w:t xml:space="preserve">培训内容</w:t>
            </w:r>
            <w:r>
              <w:rPr>
                <w:rFonts w:hint="eastAsia" w:ascii="宋体" w:hAnsi="宋体" w:cs="宋体"/>
                <w:szCs w:val="21"/>
              </w:rPr>
              <w:t xml:space="preserve">、</w:t>
            </w:r>
            <w:r>
              <w:rPr>
                <w:rFonts w:hint="eastAsia" w:ascii="宋体" w:hAnsi="宋体" w:cs="宋体"/>
                <w:szCs w:val="21"/>
              </w:rPr>
              <w:t xml:space="preserve">②</w:t>
            </w:r>
            <w:r>
              <w:rPr>
                <w:rFonts w:hint="eastAsia" w:ascii="宋体" w:hAnsi="宋体" w:cs="宋体"/>
                <w:color w:val="000000"/>
                <w:szCs w:val="21"/>
              </w:rPr>
              <w:t xml:space="preserve">培训频次</w:t>
            </w:r>
            <w:r>
              <w:rPr>
                <w:rFonts w:hint="eastAsia" w:ascii="宋体" w:hAnsi="宋体" w:cs="宋体"/>
                <w:szCs w:val="21"/>
              </w:rPr>
              <w:t xml:space="preserve">、</w:t>
            </w:r>
            <w:r>
              <w:rPr>
                <w:rFonts w:hint="eastAsia" w:ascii="宋体" w:hAnsi="宋体" w:cs="宋体"/>
                <w:szCs w:val="21"/>
              </w:rPr>
              <w:t xml:space="preserve">③</w:t>
            </w:r>
            <w:r>
              <w:rPr>
                <w:rFonts w:hint="eastAsia" w:ascii="宋体" w:hAnsi="宋体" w:cs="宋体"/>
                <w:color w:val="000000"/>
                <w:szCs w:val="21"/>
              </w:rPr>
              <w:t xml:space="preserve">培训考核</w:t>
            </w:r>
            <w:r>
              <w:rPr>
                <w:rFonts w:hint="eastAsia" w:ascii="宋体" w:hAnsi="宋体" w:cs="宋体"/>
                <w:szCs w:val="21"/>
              </w:rPr>
              <w:t xml:space="preserve">等。</w:t>
            </w:r>
            <w:r>
              <w:rPr>
                <w:rFonts w:hint="eastAsia" w:ascii="宋体" w:hAnsi="宋体" w:cs="宋体"/>
                <w:color w:val="000000"/>
                <w:spacing w:val="-4"/>
                <w:szCs w:val="21"/>
              </w:rPr>
              <w:t xml:space="preserve">根据以上内容进行综合评审，上述内容满足采购文件及采购</w:t>
            </w:r>
            <w:r>
              <w:rPr>
                <w:rFonts w:hint="eastAsia" w:ascii="宋体" w:hAnsi="宋体" w:cs="宋体"/>
                <w:szCs w:val="21"/>
              </w:rPr>
              <w:t xml:space="preserve">需求的得</w:t>
            </w:r>
            <w:r>
              <w:rPr>
                <w:rFonts w:hint="eastAsia" w:ascii="宋体" w:hAnsi="宋体" w:cs="宋体"/>
                <w:szCs w:val="21"/>
              </w:rPr>
              <w:t xml:space="preserve">12</w:t>
            </w:r>
            <w:r>
              <w:rPr>
                <w:rFonts w:hint="eastAsia" w:ascii="宋体" w:hAnsi="宋体" w:cs="宋体"/>
                <w:szCs w:val="21"/>
              </w:rPr>
              <w:t xml:space="preserve">分，</w:t>
            </w:r>
            <w:r>
              <w:rPr>
                <w:rFonts w:hint="eastAsia" w:ascii="宋体" w:hAnsi="宋体" w:cs="宋体"/>
                <w:szCs w:val="21"/>
              </w:rPr>
              <w:t xml:space="preserve">每缺失一项内容扣</w:t>
            </w:r>
            <w:r>
              <w:rPr>
                <w:rFonts w:hint="eastAsia" w:ascii="宋体" w:hAnsi="宋体" w:cs="宋体"/>
                <w:szCs w:val="21"/>
              </w:rPr>
              <w:t xml:space="preserve">4</w:t>
            </w:r>
            <w:r>
              <w:rPr>
                <w:rFonts w:hint="eastAsia" w:ascii="宋体" w:hAnsi="宋体" w:cs="宋体"/>
                <w:szCs w:val="21"/>
              </w:rPr>
              <w:t xml:space="preserve">分，方案每有一处存在错误或瑕疵的扣</w:t>
            </w:r>
            <w:r>
              <w:rPr>
                <w:rFonts w:hint="eastAsia" w:ascii="宋体" w:hAnsi="宋体" w:cs="宋体"/>
                <w:szCs w:val="21"/>
              </w:rPr>
              <w:t xml:space="preserve">1</w:t>
            </w:r>
            <w:r>
              <w:rPr>
                <w:rFonts w:hint="eastAsia" w:ascii="宋体" w:hAnsi="宋体" w:cs="宋体"/>
                <w:szCs w:val="21"/>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jc w:val="left"/>
              <w:rPr>
                <w:rFonts w:ascii="宋体" w:hAnsi="宋体" w:cs="宋体"/>
                <w:bCs/>
                <w:szCs w:val="21"/>
              </w:rPr>
            </w:pPr>
            <w:r>
              <w:rPr>
                <w:rFonts w:hint="eastAsia" w:ascii="宋体" w:hAnsi="宋体" w:cs="宋体"/>
                <w:b/>
                <w:bCs/>
                <w:szCs w:val="21"/>
              </w:rPr>
              <w:t xml:space="preserve">未提供方案不得分。</w:t>
            </w:r>
            <w:r/>
          </w:p>
        </w:tc>
        <w:tc>
          <w:tcPr>
            <w:tcW w:w="1564" w:type="dxa"/>
            <w:vAlign w:val="center"/>
            <w:textDirection w:val="lrTb"/>
            <w:noWrap w:val="false"/>
          </w:tcPr>
          <w:p>
            <w:pPr>
              <w:rPr>
                <w:rFonts w:ascii="宋体" w:hAnsi="宋体" w:cs="宋体"/>
                <w:bCs/>
                <w:szCs w:val="21"/>
              </w:rPr>
            </w:pPr>
            <w:r>
              <w:rPr>
                <w:rFonts w:hint="eastAsia" w:ascii="宋体" w:hAnsi="宋体" w:cs="宋体"/>
                <w:szCs w:val="21"/>
              </w:rPr>
              <w:t xml:space="preserve">该评分</w:t>
            </w:r>
            <w:r>
              <w:rPr>
                <w:rFonts w:hint="eastAsia" w:ascii="宋体" w:hAnsi="宋体" w:cs="宋体"/>
                <w:szCs w:val="21"/>
              </w:rPr>
              <w:t xml:space="preserve">项属于</w:t>
            </w:r>
            <w:r>
              <w:rPr>
                <w:rFonts w:hint="eastAsia" w:ascii="宋体" w:hAnsi="宋体" w:cs="宋体"/>
                <w:szCs w:val="21"/>
              </w:rPr>
              <w:t xml:space="preserve">暗标评审项目，各投标人</w:t>
            </w:r>
            <w:r>
              <w:rPr>
                <w:rFonts w:hint="eastAsia" w:ascii="宋体" w:hAnsi="宋体" w:cs="宋体"/>
                <w:szCs w:val="21"/>
              </w:rPr>
              <w:t xml:space="preserve">(</w:t>
            </w:r>
            <w:r>
              <w:rPr>
                <w:rFonts w:hint="eastAsia" w:ascii="宋体" w:hAnsi="宋体" w:cs="宋体"/>
                <w:szCs w:val="21"/>
              </w:rPr>
              <w:t xml:space="preserve">供应商</w:t>
            </w:r>
            <w:r>
              <w:rPr>
                <w:rFonts w:hint="eastAsia" w:ascii="宋体" w:hAnsi="宋体" w:cs="宋体"/>
                <w:szCs w:val="21"/>
              </w:rPr>
              <w:t xml:space="preserve">)</w:t>
            </w:r>
            <w:r>
              <w:rPr>
                <w:rFonts w:hint="eastAsia" w:ascii="宋体" w:hAnsi="宋体" w:cs="宋体"/>
                <w:szCs w:val="21"/>
              </w:rPr>
              <w:t xml:space="preserve">提供评审材料中不能出现投标人</w:t>
            </w:r>
            <w:r>
              <w:rPr>
                <w:rFonts w:hint="eastAsia" w:ascii="宋体" w:hAnsi="宋体" w:cs="宋体"/>
                <w:szCs w:val="21"/>
              </w:rPr>
              <w:t xml:space="preserve">(</w:t>
            </w:r>
            <w:r>
              <w:rPr>
                <w:rFonts w:hint="eastAsia" w:ascii="宋体" w:hAnsi="宋体" w:cs="宋体"/>
                <w:szCs w:val="21"/>
              </w:rPr>
              <w:t xml:space="preserve">供应商</w:t>
            </w:r>
            <w:r>
              <w:rPr>
                <w:rFonts w:hint="eastAsia" w:ascii="宋体" w:hAnsi="宋体" w:cs="宋体"/>
                <w:szCs w:val="21"/>
              </w:rPr>
              <w:t xml:space="preserve">)</w:t>
            </w:r>
            <w:r>
              <w:rPr>
                <w:rFonts w:hint="eastAsia" w:ascii="宋体" w:hAnsi="宋体" w:cs="宋体"/>
                <w:szCs w:val="21"/>
              </w:rPr>
              <w:t xml:space="preserve">的名称、标志、标记以及其它能够体现投标人</w:t>
            </w:r>
            <w:r>
              <w:rPr>
                <w:rFonts w:hint="eastAsia" w:ascii="宋体" w:hAnsi="宋体" w:cs="宋体"/>
                <w:szCs w:val="21"/>
              </w:rPr>
              <w:t xml:space="preserve">(</w:t>
            </w:r>
            <w:r>
              <w:rPr>
                <w:rFonts w:hint="eastAsia" w:ascii="宋体" w:hAnsi="宋体" w:cs="宋体"/>
                <w:szCs w:val="21"/>
              </w:rPr>
              <w:t xml:space="preserve">供应商</w:t>
            </w:r>
            <w:r>
              <w:rPr>
                <w:rFonts w:hint="eastAsia" w:ascii="宋体" w:hAnsi="宋体" w:cs="宋体"/>
                <w:szCs w:val="21"/>
              </w:rPr>
              <w:t xml:space="preserve">)</w:t>
            </w:r>
            <w:r>
              <w:rPr>
                <w:rFonts w:hint="eastAsia" w:ascii="宋体" w:hAnsi="宋体" w:cs="宋体"/>
                <w:szCs w:val="21"/>
              </w:rPr>
              <w:t xml:space="preserve">的信息，否则所有暗标评审项</w:t>
            </w:r>
            <w:r>
              <w:rPr>
                <w:rFonts w:hint="eastAsia" w:ascii="宋体" w:hAnsi="宋体" w:cs="宋体"/>
                <w:szCs w:val="21"/>
              </w:rPr>
              <w:t xml:space="preserve">目均不得分。</w:t>
            </w:r>
            <w:r/>
          </w:p>
        </w:tc>
      </w:tr>
      <w:tr>
        <w:trPr>
          <w:trHeight w:val="548"/>
        </w:trPr>
        <w:tc>
          <w:tcPr>
            <w:shd w:val="clear" w:color="auto" w:fill="auto"/>
            <w:tcW w:w="617" w:type="dxa"/>
            <w:vAlign w:val="center"/>
            <w:textDirection w:val="lrTb"/>
            <w:noWrap w:val="false"/>
          </w:tcPr>
          <w:p>
            <w:pPr>
              <w:ind w:firstLine="28"/>
              <w:jc w:val="center"/>
              <w:rPr>
                <w:rFonts w:ascii="宋体" w:hAnsi="宋体" w:cs="宋体"/>
                <w:bCs/>
                <w:color w:val="000000"/>
                <w:szCs w:val="21"/>
              </w:rPr>
            </w:pPr>
            <w:r>
              <w:rPr>
                <w:rFonts w:hint="eastAsia" w:ascii="宋体" w:hAnsi="宋体" w:cs="宋体"/>
                <w:bCs/>
                <w:color w:val="000000"/>
                <w:szCs w:val="21"/>
              </w:rPr>
              <w:t xml:space="preserve">2.5</w:t>
            </w:r>
            <w:r/>
          </w:p>
        </w:tc>
        <w:tc>
          <w:tcPr>
            <w:shd w:val="clear" w:color="auto" w:fill="auto"/>
            <w:tcW w:w="1060" w:type="dxa"/>
            <w:vAlign w:val="center"/>
            <w:textDirection w:val="lrTb"/>
            <w:noWrap w:val="false"/>
          </w:tcPr>
          <w:p>
            <w:pPr>
              <w:jc w:val="center"/>
              <w:rPr>
                <w:rFonts w:ascii="宋体" w:hAnsi="宋体" w:cs="宋体"/>
                <w:b/>
                <w:szCs w:val="21"/>
              </w:rPr>
            </w:pPr>
            <w:r>
              <w:rPr>
                <w:rFonts w:hint="eastAsia" w:ascii="宋体" w:hAnsi="宋体" w:cs="宋体"/>
                <w:b/>
                <w:bCs/>
                <w:szCs w:val="21"/>
              </w:rPr>
              <w:t xml:space="preserve">售后服务方案</w:t>
            </w:r>
            <w:r/>
          </w:p>
        </w:tc>
        <w:tc>
          <w:tcPr>
            <w:shd w:val="clear" w:color="auto" w:fill="auto"/>
            <w:tcW w:w="892"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9</w:t>
            </w:r>
            <w:r/>
          </w:p>
        </w:tc>
        <w:tc>
          <w:tcPr>
            <w:shd w:val="clear" w:color="auto" w:fill="auto"/>
            <w:tcW w:w="4389" w:type="dxa"/>
            <w:vAlign w:val="center"/>
            <w:textDirection w:val="lrTb"/>
            <w:noWrap w:val="false"/>
          </w:tcPr>
          <w:p>
            <w:pPr>
              <w:rPr>
                <w:rFonts w:ascii="宋体" w:hAnsi="宋体" w:cs="宋体"/>
                <w:szCs w:val="21"/>
              </w:rPr>
            </w:pPr>
            <w:r>
              <w:rPr>
                <w:rFonts w:hint="eastAsia" w:ascii="宋体" w:hAnsi="宋体" w:cs="宋体"/>
                <w:szCs w:val="21"/>
              </w:rPr>
              <w:t xml:space="preserve">根据</w:t>
            </w:r>
            <w:r>
              <w:rPr>
                <w:rFonts w:hint="eastAsia" w:ascii="宋体" w:hAnsi="宋体" w:cs="宋体"/>
                <w:szCs w:val="21"/>
              </w:rPr>
              <w:t xml:space="preserve">供应商</w:t>
            </w:r>
            <w:r>
              <w:rPr>
                <w:rFonts w:hint="eastAsia" w:ascii="宋体" w:hAnsi="宋体" w:cs="宋体"/>
                <w:color w:val="000000"/>
                <w:spacing w:val="-4"/>
                <w:szCs w:val="21"/>
              </w:rPr>
              <w:t xml:space="preserve">对本项目的</w:t>
            </w:r>
            <w:r>
              <w:rPr>
                <w:rFonts w:hint="eastAsia" w:ascii="宋体" w:hAnsi="宋体" w:cs="宋体"/>
                <w:szCs w:val="21"/>
              </w:rPr>
              <w:t xml:space="preserve">服务人员售后服务方案</w:t>
            </w:r>
            <w:r>
              <w:rPr>
                <w:rFonts w:hint="eastAsia" w:ascii="宋体" w:hAnsi="宋体" w:cs="宋体"/>
                <w:szCs w:val="21"/>
              </w:rPr>
              <w:t xml:space="preserve">评分</w:t>
            </w:r>
            <w:r>
              <w:rPr>
                <w:rFonts w:hint="eastAsia" w:ascii="宋体" w:hAnsi="宋体" w:cs="宋体"/>
                <w:szCs w:val="21"/>
              </w:rPr>
              <w:t xml:space="preserve">，</w:t>
            </w:r>
            <w:r>
              <w:rPr>
                <w:rFonts w:hint="eastAsia" w:ascii="宋体" w:hAnsi="宋体" w:cs="宋体"/>
                <w:color w:val="000000"/>
                <w:spacing w:val="-4"/>
                <w:szCs w:val="21"/>
              </w:rPr>
              <w:t xml:space="preserve">包括但不限于以下内容：</w:t>
            </w:r>
            <w:r>
              <w:rPr>
                <w:rFonts w:hint="eastAsia" w:ascii="宋体" w:hAnsi="宋体" w:cs="宋体"/>
                <w:szCs w:val="21"/>
              </w:rPr>
              <w:t xml:space="preserve">①</w:t>
            </w:r>
            <w:r>
              <w:rPr>
                <w:rFonts w:hint="eastAsia" w:ascii="宋体" w:hAnsi="宋体" w:cs="宋体"/>
                <w:color w:val="000000"/>
                <w:szCs w:val="21"/>
              </w:rPr>
              <w:t xml:space="preserve">售后服务体系</w:t>
            </w:r>
            <w:r>
              <w:rPr>
                <w:rFonts w:hint="eastAsia" w:ascii="宋体" w:hAnsi="宋体" w:cs="宋体"/>
                <w:szCs w:val="21"/>
              </w:rPr>
              <w:t xml:space="preserve">、</w:t>
            </w:r>
            <w:r>
              <w:rPr>
                <w:rFonts w:hint="eastAsia" w:ascii="宋体" w:hAnsi="宋体" w:cs="宋体"/>
                <w:szCs w:val="21"/>
              </w:rPr>
              <w:t xml:space="preserve">②</w:t>
            </w:r>
            <w:r>
              <w:rPr>
                <w:rFonts w:hint="eastAsia" w:ascii="宋体" w:hAnsi="宋体" w:cs="宋体"/>
                <w:color w:val="000000"/>
                <w:szCs w:val="21"/>
              </w:rPr>
              <w:t xml:space="preserve">售后响应时间</w:t>
            </w:r>
            <w:r>
              <w:rPr>
                <w:rFonts w:hint="eastAsia" w:ascii="宋体" w:hAnsi="宋体" w:cs="宋体"/>
                <w:szCs w:val="21"/>
              </w:rPr>
              <w:t xml:space="preserve">、</w:t>
            </w:r>
            <w:r>
              <w:rPr>
                <w:rFonts w:hint="eastAsia" w:ascii="宋体" w:hAnsi="宋体" w:cs="宋体"/>
                <w:szCs w:val="21"/>
              </w:rPr>
              <w:t xml:space="preserve">③</w:t>
            </w:r>
            <w:r>
              <w:rPr>
                <w:rFonts w:hint="eastAsia" w:ascii="宋体" w:hAnsi="宋体" w:cs="宋体"/>
                <w:color w:val="000000"/>
                <w:szCs w:val="21"/>
              </w:rPr>
              <w:t xml:space="preserve">技术力量配备</w:t>
            </w:r>
            <w:r>
              <w:rPr>
                <w:rFonts w:hint="eastAsia" w:ascii="宋体" w:hAnsi="宋体" w:cs="宋体"/>
                <w:szCs w:val="21"/>
              </w:rPr>
              <w:t xml:space="preserve">等。</w:t>
            </w:r>
            <w:r>
              <w:rPr>
                <w:rFonts w:hint="eastAsia" w:ascii="宋体" w:hAnsi="宋体" w:cs="宋体"/>
                <w:color w:val="000000"/>
                <w:spacing w:val="-4"/>
                <w:szCs w:val="21"/>
              </w:rPr>
              <w:t xml:space="preserve">根据以上内容进行综合评审，上述内容满足采购文件及采购</w:t>
            </w:r>
            <w:r>
              <w:rPr>
                <w:rFonts w:hint="eastAsia" w:ascii="宋体" w:hAnsi="宋体" w:cs="宋体"/>
                <w:szCs w:val="21"/>
              </w:rPr>
              <w:t xml:space="preserve">需求的得</w:t>
            </w:r>
            <w:r>
              <w:rPr>
                <w:rFonts w:hint="eastAsia" w:ascii="宋体" w:hAnsi="宋体" w:cs="宋体"/>
                <w:szCs w:val="21"/>
              </w:rPr>
              <w:t xml:space="preserve">9</w:t>
            </w:r>
            <w:r>
              <w:rPr>
                <w:rFonts w:hint="eastAsia" w:ascii="宋体" w:hAnsi="宋体" w:cs="宋体"/>
                <w:szCs w:val="21"/>
              </w:rPr>
              <w:t xml:space="preserve">分，</w:t>
            </w:r>
            <w:r>
              <w:rPr>
                <w:rFonts w:hint="eastAsia" w:ascii="宋体" w:hAnsi="宋体" w:cs="宋体"/>
                <w:szCs w:val="21"/>
              </w:rPr>
              <w:t xml:space="preserve">每缺失一项内容扣</w:t>
            </w:r>
            <w:r>
              <w:rPr>
                <w:rFonts w:hint="eastAsia" w:ascii="宋体" w:hAnsi="宋体" w:cs="宋体"/>
                <w:szCs w:val="21"/>
              </w:rPr>
              <w:t xml:space="preserve">3</w:t>
            </w:r>
            <w:r>
              <w:rPr>
                <w:rFonts w:hint="eastAsia" w:ascii="宋体" w:hAnsi="宋体" w:cs="宋体"/>
                <w:szCs w:val="21"/>
              </w:rPr>
              <w:t xml:space="preserve">分，方案每有一处存在错误或瑕疵的扣</w:t>
            </w:r>
            <w:r>
              <w:rPr>
                <w:rFonts w:hint="eastAsia" w:ascii="宋体" w:hAnsi="宋体" w:cs="宋体"/>
                <w:szCs w:val="21"/>
              </w:rPr>
              <w:t xml:space="preserve">1</w:t>
            </w:r>
            <w:r>
              <w:rPr>
                <w:rFonts w:hint="eastAsia" w:ascii="宋体" w:hAnsi="宋体" w:cs="宋体"/>
                <w:szCs w:val="21"/>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jc w:val="left"/>
              <w:rPr>
                <w:rFonts w:ascii="宋体" w:hAnsi="宋体" w:cs="宋体"/>
                <w:bCs/>
                <w:szCs w:val="21"/>
              </w:rPr>
            </w:pPr>
            <w:r>
              <w:rPr>
                <w:rFonts w:hint="eastAsia" w:ascii="宋体" w:hAnsi="宋体" w:cs="宋体"/>
                <w:b/>
                <w:bCs/>
                <w:szCs w:val="21"/>
              </w:rPr>
              <w:t xml:space="preserve">未提供方案不得分。</w:t>
            </w:r>
            <w:r/>
          </w:p>
        </w:tc>
        <w:tc>
          <w:tcPr>
            <w:shd w:val="clear" w:color="auto" w:fill="auto"/>
            <w:tcW w:w="1564" w:type="dxa"/>
            <w:vAlign w:val="center"/>
            <w:textDirection w:val="lrTb"/>
            <w:noWrap w:val="false"/>
          </w:tcPr>
          <w:p>
            <w:pPr>
              <w:rPr>
                <w:rFonts w:ascii="宋体" w:hAnsi="宋体" w:cs="宋体"/>
                <w:bCs/>
                <w:szCs w:val="21"/>
              </w:rPr>
            </w:pPr>
            <w:r>
              <w:rPr>
                <w:rFonts w:hint="eastAsia" w:ascii="宋体" w:hAnsi="宋体" w:cs="宋体"/>
                <w:szCs w:val="21"/>
              </w:rPr>
              <w:t xml:space="preserve">该评分</w:t>
            </w:r>
            <w:r>
              <w:rPr>
                <w:rFonts w:hint="eastAsia" w:ascii="宋体" w:hAnsi="宋体" w:cs="宋体"/>
                <w:szCs w:val="21"/>
              </w:rPr>
              <w:t xml:space="preserve">项属于</w:t>
            </w:r>
            <w:r>
              <w:rPr>
                <w:rFonts w:hint="eastAsia" w:ascii="宋体" w:hAnsi="宋体" w:cs="宋体"/>
                <w:szCs w:val="21"/>
              </w:rPr>
              <w:t xml:space="preserve">暗标评审项目，各投标人</w:t>
            </w:r>
            <w:r>
              <w:rPr>
                <w:rFonts w:hint="eastAsia" w:ascii="宋体" w:hAnsi="宋体" w:cs="宋体"/>
                <w:szCs w:val="21"/>
              </w:rPr>
              <w:t xml:space="preserve">(</w:t>
            </w:r>
            <w:r>
              <w:rPr>
                <w:rFonts w:hint="eastAsia" w:ascii="宋体" w:hAnsi="宋体" w:cs="宋体"/>
                <w:szCs w:val="21"/>
              </w:rPr>
              <w:t xml:space="preserve">供应商</w:t>
            </w:r>
            <w:r>
              <w:rPr>
                <w:rFonts w:hint="eastAsia" w:ascii="宋体" w:hAnsi="宋体" w:cs="宋体"/>
                <w:szCs w:val="21"/>
              </w:rPr>
              <w:t xml:space="preserve">)</w:t>
            </w:r>
            <w:r>
              <w:rPr>
                <w:rFonts w:hint="eastAsia" w:ascii="宋体" w:hAnsi="宋体" w:cs="宋体"/>
                <w:szCs w:val="21"/>
              </w:rPr>
              <w:t xml:space="preserve">提供评审材料中不能出现投标人</w:t>
            </w:r>
            <w:r>
              <w:rPr>
                <w:rFonts w:hint="eastAsia" w:ascii="宋体" w:hAnsi="宋体" w:cs="宋体"/>
                <w:szCs w:val="21"/>
              </w:rPr>
              <w:t xml:space="preserve">(</w:t>
            </w:r>
            <w:r>
              <w:rPr>
                <w:rFonts w:hint="eastAsia" w:ascii="宋体" w:hAnsi="宋体" w:cs="宋体"/>
                <w:szCs w:val="21"/>
              </w:rPr>
              <w:t xml:space="preserve">供应商</w:t>
            </w:r>
            <w:r>
              <w:rPr>
                <w:rFonts w:hint="eastAsia" w:ascii="宋体" w:hAnsi="宋体" w:cs="宋体"/>
                <w:szCs w:val="21"/>
              </w:rPr>
              <w:t xml:space="preserve">)</w:t>
            </w:r>
            <w:r>
              <w:rPr>
                <w:rFonts w:hint="eastAsia" w:ascii="宋体" w:hAnsi="宋体" w:cs="宋体"/>
                <w:szCs w:val="21"/>
              </w:rPr>
              <w:t xml:space="preserve">的名称、标志、标记以及其它能够体现投标人</w:t>
            </w:r>
            <w:r>
              <w:rPr>
                <w:rFonts w:hint="eastAsia" w:ascii="宋体" w:hAnsi="宋体" w:cs="宋体"/>
                <w:szCs w:val="21"/>
              </w:rPr>
              <w:t xml:space="preserve">(</w:t>
            </w:r>
            <w:r>
              <w:rPr>
                <w:rFonts w:hint="eastAsia" w:ascii="宋体" w:hAnsi="宋体" w:cs="宋体"/>
                <w:szCs w:val="21"/>
              </w:rPr>
              <w:t xml:space="preserve">供应商</w:t>
            </w:r>
            <w:r>
              <w:rPr>
                <w:rFonts w:hint="eastAsia" w:ascii="宋体" w:hAnsi="宋体" w:cs="宋体"/>
                <w:szCs w:val="21"/>
              </w:rPr>
              <w:t xml:space="preserve">)</w:t>
            </w:r>
            <w:r>
              <w:rPr>
                <w:rFonts w:hint="eastAsia" w:ascii="宋体" w:hAnsi="宋体" w:cs="宋体"/>
                <w:szCs w:val="21"/>
              </w:rPr>
              <w:t xml:space="preserve">的信息，否则所有暗标评审项</w:t>
            </w:r>
            <w:r>
              <w:rPr>
                <w:rFonts w:hint="eastAsia" w:ascii="宋体" w:hAnsi="宋体" w:cs="宋体"/>
                <w:szCs w:val="21"/>
              </w:rPr>
              <w:t xml:space="preserve">目均不得分。</w:t>
            </w:r>
            <w:r/>
          </w:p>
        </w:tc>
      </w:tr>
      <w:tr>
        <w:trPr>
          <w:trHeight w:val="497"/>
        </w:trPr>
        <w:tc>
          <w:tcPr>
            <w:shd w:val="clear" w:color="auto" w:fill="auto"/>
            <w:tcW w:w="617" w:type="dxa"/>
            <w:vAlign w:val="center"/>
            <w:textDirection w:val="lrTb"/>
            <w:noWrap w:val="false"/>
          </w:tcPr>
          <w:p>
            <w:pPr>
              <w:ind w:firstLine="28"/>
              <w:jc w:val="center"/>
              <w:rPr>
                <w:rFonts w:ascii="宋体" w:hAnsi="宋体" w:cs="宋体"/>
                <w:bCs/>
                <w:szCs w:val="21"/>
              </w:rPr>
            </w:pPr>
            <w:r>
              <w:rPr>
                <w:rFonts w:hint="eastAsia" w:ascii="宋体" w:hAnsi="宋体" w:cs="宋体"/>
                <w:bCs/>
                <w:szCs w:val="21"/>
              </w:rPr>
              <w:t xml:space="preserve">3</w:t>
            </w:r>
            <w:r/>
          </w:p>
        </w:tc>
        <w:tc>
          <w:tcPr>
            <w:shd w:val="clear" w:color="auto" w:fill="auto"/>
            <w:tcW w:w="1060"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客观分</w:t>
            </w:r>
            <w:r/>
          </w:p>
        </w:tc>
        <w:tc>
          <w:tcPr>
            <w:gridSpan w:val="3"/>
            <w:shd w:val="clear" w:color="auto" w:fill="auto"/>
            <w:tcW w:w="6845" w:type="dxa"/>
            <w:vAlign w:val="center"/>
            <w:textDirection w:val="lrTb"/>
            <w:noWrap w:val="false"/>
          </w:tcPr>
          <w:p>
            <w:pPr>
              <w:jc w:val="left"/>
              <w:rPr>
                <w:rFonts w:ascii="宋体" w:hAnsi="宋体" w:cs="宋体"/>
                <w:bCs/>
                <w:szCs w:val="21"/>
              </w:rPr>
            </w:pPr>
            <w:r>
              <w:rPr>
                <w:rFonts w:hint="eastAsia" w:ascii="宋体" w:hAnsi="宋体" w:cs="宋体"/>
                <w:bCs/>
                <w:szCs w:val="21"/>
              </w:rPr>
              <w:t xml:space="preserve">36</w:t>
            </w:r>
            <w:r/>
          </w:p>
        </w:tc>
      </w:tr>
      <w:tr>
        <w:trPr>
          <w:trHeight w:val="1163"/>
        </w:trPr>
        <w:tc>
          <w:tcPr>
            <w:shd w:val="clear" w:color="auto" w:fill="auto"/>
            <w:tcW w:w="617" w:type="dxa"/>
            <w:vAlign w:val="center"/>
            <w:textDirection w:val="lrTb"/>
            <w:noWrap w:val="false"/>
          </w:tcPr>
          <w:p>
            <w:pPr>
              <w:ind w:firstLine="28"/>
              <w:jc w:val="center"/>
              <w:rPr>
                <w:rFonts w:ascii="宋体" w:hAnsi="宋体" w:cs="宋体"/>
                <w:bCs/>
                <w:color w:val="000000"/>
                <w:szCs w:val="21"/>
              </w:rPr>
            </w:pPr>
            <w:r>
              <w:rPr>
                <w:rFonts w:hint="eastAsia" w:ascii="宋体" w:hAnsi="宋体" w:cs="宋体"/>
                <w:bCs/>
                <w:color w:val="000000"/>
                <w:szCs w:val="21"/>
              </w:rPr>
              <w:t xml:space="preserve">3.1</w:t>
            </w:r>
            <w:r/>
          </w:p>
        </w:tc>
        <w:tc>
          <w:tcPr>
            <w:shd w:val="clear" w:color="auto" w:fill="auto"/>
            <w:tcW w:w="1060"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业绩</w:t>
            </w:r>
            <w:r/>
          </w:p>
        </w:tc>
        <w:tc>
          <w:tcPr>
            <w:shd w:val="clear" w:color="auto" w:fill="auto"/>
            <w:tcW w:w="892"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12</w:t>
            </w:r>
            <w:r/>
          </w:p>
        </w:tc>
        <w:tc>
          <w:tcPr>
            <w:tcW w:w="4389" w:type="dxa"/>
            <w:vAlign w:val="center"/>
            <w:textDirection w:val="lrTb"/>
            <w:noWrap w:val="false"/>
          </w:tcPr>
          <w:p>
            <w:pPr>
              <w:jc w:val="left"/>
              <w:rPr>
                <w:rFonts w:ascii="宋体" w:hAnsi="宋体" w:cs="宋体"/>
                <w:szCs w:val="21"/>
              </w:rPr>
            </w:pPr>
            <w:r>
              <w:rPr>
                <w:rFonts w:hint="eastAsia" w:ascii="宋体" w:hAnsi="宋体" w:cs="宋体"/>
                <w:color w:val="000000"/>
                <w:szCs w:val="21"/>
              </w:rPr>
              <w:t xml:space="preserve">供应商</w:t>
            </w:r>
            <w:r>
              <w:rPr>
                <w:rFonts w:hint="eastAsia" w:ascii="宋体" w:hAnsi="宋体"/>
                <w:szCs w:val="21"/>
              </w:rPr>
              <w:t xml:space="preserve">自</w:t>
            </w:r>
            <w:r>
              <w:rPr>
                <w:rFonts w:hint="eastAsia" w:ascii="宋体" w:hAnsi="宋体"/>
                <w:szCs w:val="21"/>
              </w:rPr>
              <w:t xml:space="preserve">202</w:t>
            </w:r>
            <w:r>
              <w:rPr>
                <w:rFonts w:hint="eastAsia" w:ascii="宋体" w:hAnsi="宋体"/>
                <w:szCs w:val="21"/>
              </w:rPr>
              <w:t xml:space="preserve">3</w:t>
            </w:r>
            <w:r>
              <w:rPr>
                <w:rFonts w:hint="eastAsia" w:ascii="宋体" w:hAnsi="宋体"/>
                <w:szCs w:val="21"/>
              </w:rPr>
              <w:t xml:space="preserve">年</w:t>
            </w:r>
            <w:r>
              <w:rPr>
                <w:rFonts w:hint="eastAsia" w:ascii="宋体" w:hAnsi="宋体"/>
                <w:szCs w:val="21"/>
              </w:rPr>
              <w:t xml:space="preserve">07</w:t>
            </w:r>
            <w:r>
              <w:rPr>
                <w:rFonts w:hint="eastAsia" w:ascii="宋体" w:hAnsi="宋体"/>
                <w:szCs w:val="21"/>
              </w:rPr>
              <w:t xml:space="preserve">月</w:t>
            </w:r>
            <w:r>
              <w:rPr>
                <w:rFonts w:hint="eastAsia" w:ascii="宋体" w:hAnsi="宋体"/>
                <w:szCs w:val="21"/>
              </w:rPr>
              <w:t xml:space="preserve">0</w:t>
            </w:r>
            <w:r>
              <w:rPr>
                <w:rFonts w:hint="eastAsia" w:ascii="宋体" w:hAnsi="宋体"/>
                <w:szCs w:val="21"/>
              </w:rPr>
              <w:t xml:space="preserve">1</w:t>
            </w:r>
            <w:r>
              <w:rPr>
                <w:rFonts w:hint="eastAsia" w:ascii="宋体" w:hAnsi="宋体"/>
                <w:szCs w:val="21"/>
              </w:rPr>
              <w:t xml:space="preserve">日以来</w:t>
            </w:r>
            <w:r>
              <w:rPr>
                <w:rFonts w:hint="eastAsia" w:ascii="宋体" w:hAnsi="宋体" w:cs="宋体"/>
                <w:color w:val="000000"/>
                <w:szCs w:val="21"/>
              </w:rPr>
              <w:t xml:space="preserve">承担过类似</w:t>
            </w:r>
            <w:r>
              <w:rPr>
                <w:rFonts w:hint="eastAsia" w:ascii="宋体" w:hAnsi="宋体" w:cs="宋体"/>
                <w:color w:val="000000"/>
                <w:szCs w:val="21"/>
              </w:rPr>
              <w:t xml:space="preserve">业绩</w:t>
            </w:r>
            <w:r>
              <w:rPr>
                <w:rFonts w:hint="eastAsia" w:ascii="宋体" w:hAnsi="宋体" w:cs="宋体"/>
                <w:color w:val="000000"/>
                <w:szCs w:val="21"/>
              </w:rPr>
              <w:t xml:space="preserve">的</w:t>
            </w:r>
            <w:r>
              <w:rPr>
                <w:rFonts w:hint="eastAsia" w:ascii="宋体" w:hAnsi="宋体" w:cs="宋体"/>
                <w:color w:val="000000"/>
                <w:szCs w:val="21"/>
              </w:rPr>
              <w:t xml:space="preserve">，</w:t>
            </w:r>
            <w:r>
              <w:rPr>
                <w:rFonts w:hint="eastAsia" w:ascii="宋体" w:hAnsi="宋体" w:cs="宋体"/>
                <w:color w:val="000000"/>
                <w:szCs w:val="21"/>
              </w:rPr>
              <w:t xml:space="preserve">有一个得</w:t>
            </w:r>
            <w:r>
              <w:rPr>
                <w:rFonts w:hint="eastAsia" w:ascii="宋体" w:hAnsi="宋体" w:cs="宋体"/>
                <w:color w:val="000000"/>
                <w:szCs w:val="21"/>
              </w:rPr>
              <w:t xml:space="preserve">4</w:t>
            </w:r>
            <w:r>
              <w:rPr>
                <w:rFonts w:hint="eastAsia" w:ascii="宋体" w:hAnsi="宋体" w:cs="宋体"/>
                <w:color w:val="000000"/>
                <w:szCs w:val="21"/>
              </w:rPr>
              <w:t xml:space="preserve">分。最高得分不超过</w:t>
            </w:r>
            <w:r>
              <w:rPr>
                <w:rFonts w:hint="eastAsia" w:ascii="宋体" w:hAnsi="宋体" w:cs="宋体"/>
                <w:color w:val="000000"/>
                <w:szCs w:val="21"/>
              </w:rPr>
              <w:t xml:space="preserve">12</w:t>
            </w:r>
            <w:r>
              <w:rPr>
                <w:rFonts w:hint="eastAsia" w:ascii="宋体" w:hAnsi="宋体" w:cs="宋体"/>
                <w:color w:val="000000"/>
                <w:szCs w:val="21"/>
              </w:rPr>
              <w:t xml:space="preserve">分。</w:t>
            </w:r>
            <w:r/>
          </w:p>
        </w:tc>
        <w:tc>
          <w:tcPr>
            <w:tcW w:w="1564" w:type="dxa"/>
            <w:vAlign w:val="center"/>
            <w:textDirection w:val="lrTb"/>
            <w:noWrap w:val="false"/>
          </w:tcPr>
          <w:p>
            <w:pPr>
              <w:rPr>
                <w:rFonts w:ascii="宋体" w:hAnsi="宋体" w:cs="宋体"/>
                <w:bCs/>
                <w:szCs w:val="21"/>
              </w:rPr>
            </w:pPr>
            <w:r>
              <w:rPr>
                <w:rFonts w:hint="eastAsia" w:ascii="宋体" w:hAnsi="宋体" w:cs="宋体"/>
                <w:color w:val="000000"/>
                <w:szCs w:val="21"/>
              </w:rPr>
              <w:t xml:space="preserve">提供合同</w:t>
            </w:r>
            <w:r>
              <w:rPr>
                <w:rFonts w:hint="eastAsia" w:ascii="宋体" w:hAnsi="宋体" w:cs="宋体"/>
                <w:color w:val="000000"/>
                <w:szCs w:val="21"/>
              </w:rPr>
              <w:t xml:space="preserve">扫描件</w:t>
            </w:r>
            <w:r>
              <w:rPr>
                <w:rFonts w:hint="eastAsia" w:ascii="宋体" w:hAnsi="宋体" w:cs="宋体"/>
                <w:color w:val="000000"/>
                <w:szCs w:val="21"/>
              </w:rPr>
              <w:t xml:space="preserve">加盖公章</w:t>
            </w:r>
            <w:r>
              <w:rPr>
                <w:rFonts w:hint="eastAsia" w:ascii="宋体" w:hAnsi="宋体" w:cs="宋体"/>
                <w:color w:val="000000"/>
                <w:szCs w:val="21"/>
              </w:rPr>
              <w:t xml:space="preserve">上传，</w:t>
            </w:r>
            <w:r>
              <w:rPr>
                <w:rFonts w:hint="eastAsia" w:ascii="宋体" w:hAnsi="宋体" w:cs="宋体"/>
                <w:color w:val="000000"/>
                <w:szCs w:val="21"/>
              </w:rPr>
              <w:t xml:space="preserve">未提供不得分。</w:t>
            </w:r>
            <w:r/>
          </w:p>
        </w:tc>
      </w:tr>
      <w:tr>
        <w:trPr>
          <w:trHeight w:val="1413"/>
        </w:trPr>
        <w:tc>
          <w:tcPr>
            <w:shd w:val="clear" w:color="auto" w:fill="auto"/>
            <w:tcW w:w="617" w:type="dxa"/>
            <w:vAlign w:val="center"/>
            <w:textDirection w:val="lrTb"/>
            <w:noWrap w:val="false"/>
          </w:tcPr>
          <w:p>
            <w:pPr>
              <w:ind w:firstLine="28"/>
              <w:jc w:val="center"/>
              <w:rPr>
                <w:rFonts w:ascii="宋体" w:hAnsi="宋体" w:cs="宋体"/>
                <w:bCs/>
                <w:szCs w:val="21"/>
              </w:rPr>
            </w:pPr>
            <w:r>
              <w:rPr>
                <w:rFonts w:hint="eastAsia" w:ascii="宋体" w:hAnsi="宋体" w:cs="宋体"/>
                <w:bCs/>
                <w:szCs w:val="21"/>
              </w:rPr>
              <w:t xml:space="preserve">3.2</w:t>
            </w:r>
            <w:r/>
          </w:p>
        </w:tc>
        <w:tc>
          <w:tcPr>
            <w:shd w:val="clear" w:color="auto" w:fill="auto"/>
            <w:tcW w:w="1060" w:type="dxa"/>
            <w:vAlign w:val="center"/>
            <w:textDirection w:val="lrTb"/>
            <w:noWrap w:val="false"/>
          </w:tcPr>
          <w:p>
            <w:pPr>
              <w:jc w:val="center"/>
              <w:rPr>
                <w:rFonts w:ascii="宋体" w:hAnsi="宋体" w:cs="宋体"/>
                <w:b/>
                <w:szCs w:val="21"/>
              </w:rPr>
            </w:pPr>
            <w:r>
              <w:rPr>
                <w:rFonts w:hint="eastAsia" w:ascii="宋体" w:hAnsi="宋体" w:cs="宋体"/>
                <w:b/>
                <w:bCs/>
                <w:szCs w:val="21"/>
              </w:rPr>
              <w:t xml:space="preserve">项目负责人</w:t>
            </w:r>
            <w:r/>
          </w:p>
        </w:tc>
        <w:tc>
          <w:tcPr>
            <w:shd w:val="clear" w:color="auto" w:fill="auto"/>
            <w:tcW w:w="892"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9</w:t>
            </w:r>
            <w:r/>
          </w:p>
        </w:tc>
        <w:tc>
          <w:tcPr>
            <w:shd w:val="clear" w:color="auto" w:fill="auto"/>
            <w:tcW w:w="4389" w:type="dxa"/>
            <w:vAlign w:val="center"/>
            <w:textDirection w:val="lrTb"/>
            <w:noWrap w:val="false"/>
          </w:tcPr>
          <w:p>
            <w:pPr>
              <w:ind w:firstLine="28"/>
              <w:jc w:val="left"/>
              <w:rPr>
                <w:rFonts w:ascii="宋体" w:hAnsi="宋体" w:cs="宋体"/>
                <w:color w:val="000000"/>
                <w:szCs w:val="21"/>
              </w:rPr>
            </w:pPr>
            <w:r>
              <w:rPr>
                <w:rFonts w:hint="eastAsia" w:ascii="宋体" w:hAnsi="宋体" w:cs="宋体"/>
                <w:color w:val="000000"/>
                <w:szCs w:val="21"/>
                <w:lang w:val="zh-CN"/>
              </w:rPr>
              <w:t xml:space="preserve">投标人配备项目负责人</w:t>
            </w:r>
            <w:r>
              <w:rPr>
                <w:rFonts w:hint="eastAsia" w:ascii="宋体" w:hAnsi="宋体" w:cs="宋体"/>
                <w:color w:val="000000"/>
                <w:szCs w:val="21"/>
                <w:lang w:val="zh-CN"/>
              </w:rPr>
              <w:t xml:space="preserve">1</w:t>
            </w:r>
            <w:r>
              <w:rPr>
                <w:rFonts w:hint="eastAsia" w:ascii="宋体" w:hAnsi="宋体" w:cs="宋体"/>
                <w:color w:val="000000"/>
                <w:szCs w:val="21"/>
                <w:lang w:val="zh-CN"/>
              </w:rPr>
              <w:t xml:space="preserve">名，具有通信专业工程师相关证书、系统集成项目管理工程师证书、程序员证书（软件设计师）中任意一个证书的得</w:t>
            </w:r>
            <w:r>
              <w:rPr>
                <w:rFonts w:hint="eastAsia" w:ascii="宋体" w:hAnsi="宋体" w:cs="宋体"/>
                <w:color w:val="000000"/>
                <w:szCs w:val="21"/>
                <w:lang w:val="zh-CN"/>
              </w:rPr>
              <w:t xml:space="preserve">3</w:t>
            </w:r>
            <w:r>
              <w:rPr>
                <w:rFonts w:hint="eastAsia" w:ascii="宋体" w:hAnsi="宋体" w:cs="宋体"/>
                <w:color w:val="000000"/>
                <w:szCs w:val="21"/>
                <w:lang w:val="zh-CN"/>
              </w:rPr>
              <w:t xml:space="preserve">分</w:t>
            </w:r>
            <w:r>
              <w:rPr>
                <w:rFonts w:hint="eastAsia" w:ascii="宋体" w:hAnsi="宋体" w:cs="宋体"/>
                <w:color w:val="000000"/>
                <w:szCs w:val="21"/>
                <w:lang w:val="zh-CN"/>
              </w:rPr>
              <w:t xml:space="preserve">，最高得</w:t>
            </w:r>
            <w:r>
              <w:rPr>
                <w:rFonts w:hint="eastAsia" w:ascii="宋体" w:hAnsi="宋体" w:cs="宋体"/>
                <w:color w:val="000000"/>
                <w:szCs w:val="21"/>
              </w:rPr>
              <w:t xml:space="preserve">9</w:t>
            </w:r>
            <w:r>
              <w:rPr>
                <w:rFonts w:hint="eastAsia" w:ascii="宋体" w:hAnsi="宋体" w:cs="宋体"/>
                <w:color w:val="000000"/>
                <w:szCs w:val="21"/>
              </w:rPr>
              <w:t xml:space="preserve">分</w:t>
            </w:r>
            <w:r>
              <w:rPr>
                <w:rFonts w:hint="eastAsia" w:ascii="宋体" w:hAnsi="宋体" w:cs="宋体"/>
                <w:color w:val="000000"/>
                <w:szCs w:val="21"/>
                <w:lang w:val="zh-CN"/>
              </w:rPr>
              <w:t xml:space="preserve">。不提供不得分。</w:t>
            </w:r>
            <w:r/>
          </w:p>
        </w:tc>
        <w:tc>
          <w:tcPr>
            <w:shd w:val="clear" w:color="auto" w:fill="auto"/>
            <w:tcW w:w="1564" w:type="dxa"/>
            <w:vAlign w:val="center"/>
            <w:vMerge w:val="restart"/>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提供</w:t>
            </w:r>
            <w:r>
              <w:rPr>
                <w:rFonts w:hint="eastAsia" w:ascii="宋体" w:hAnsi="宋体" w:cs="宋体"/>
                <w:color w:val="000000"/>
                <w:szCs w:val="21"/>
              </w:rPr>
              <w:t xml:space="preserve">证书扫描件</w:t>
            </w:r>
            <w:r>
              <w:rPr>
                <w:rFonts w:hint="eastAsia" w:ascii="宋体" w:hAnsi="宋体" w:cs="宋体"/>
                <w:color w:val="000000"/>
                <w:szCs w:val="21"/>
              </w:rPr>
              <w:t xml:space="preserve">加盖公章</w:t>
            </w:r>
            <w:r>
              <w:rPr>
                <w:rFonts w:hint="eastAsia" w:ascii="宋体" w:hAnsi="宋体" w:cs="宋体"/>
                <w:color w:val="000000"/>
                <w:szCs w:val="21"/>
              </w:rPr>
              <w:t xml:space="preserve">上传，</w:t>
            </w:r>
            <w:r>
              <w:rPr>
                <w:rFonts w:hint="eastAsia" w:ascii="宋体" w:hAnsi="宋体" w:cs="宋体"/>
                <w:color w:val="000000"/>
                <w:szCs w:val="21"/>
              </w:rPr>
              <w:t xml:space="preserve">需提供近三个月</w:t>
            </w:r>
            <w:r>
              <w:rPr>
                <w:rFonts w:hint="eastAsia" w:ascii="宋体" w:hAnsi="宋体" w:cs="宋体"/>
                <w:color w:val="000000"/>
                <w:szCs w:val="21"/>
              </w:rPr>
              <w:t xml:space="preserve">在</w:t>
            </w:r>
            <w:r>
              <w:rPr>
                <w:rFonts w:hint="eastAsia" w:ascii="宋体" w:hAnsi="宋体" w:cs="宋体"/>
                <w:color w:val="000000"/>
                <w:szCs w:val="21"/>
              </w:rPr>
              <w:t xml:space="preserve">响应</w:t>
            </w:r>
            <w:r>
              <w:rPr>
                <w:rFonts w:hint="eastAsia" w:ascii="宋体" w:hAnsi="宋体" w:cs="宋体"/>
                <w:color w:val="000000"/>
                <w:szCs w:val="21"/>
              </w:rPr>
              <w:t xml:space="preserve">单位</w:t>
            </w:r>
            <w:r>
              <w:rPr>
                <w:rFonts w:hint="eastAsia" w:ascii="宋体" w:hAnsi="宋体" w:cs="宋体"/>
                <w:color w:val="000000"/>
                <w:szCs w:val="21"/>
              </w:rPr>
              <w:t xml:space="preserve">的社保缴费证明</w:t>
            </w:r>
            <w:r>
              <w:rPr>
                <w:rFonts w:hint="eastAsia" w:ascii="宋体" w:hAnsi="宋体" w:cs="宋体"/>
                <w:color w:val="000000"/>
                <w:szCs w:val="21"/>
              </w:rPr>
              <w:t xml:space="preserve">，</w:t>
            </w:r>
            <w:r>
              <w:rPr>
                <w:rFonts w:hint="eastAsia" w:ascii="宋体" w:hAnsi="宋体" w:cs="宋体"/>
                <w:color w:val="000000"/>
                <w:szCs w:val="21"/>
              </w:rPr>
              <w:t xml:space="preserve">未提供不得分。</w:t>
            </w:r>
            <w:r/>
          </w:p>
        </w:tc>
      </w:tr>
      <w:tr>
        <w:trPr>
          <w:trHeight w:val="1413"/>
        </w:trPr>
        <w:tc>
          <w:tcPr>
            <w:shd w:val="clear" w:color="auto" w:fill="auto"/>
            <w:tcW w:w="617" w:type="dxa"/>
            <w:vAlign w:val="center"/>
            <w:textDirection w:val="lrTb"/>
            <w:noWrap w:val="false"/>
          </w:tcPr>
          <w:p>
            <w:pPr>
              <w:ind w:firstLine="28"/>
              <w:jc w:val="center"/>
              <w:rPr>
                <w:rFonts w:ascii="宋体" w:hAnsi="宋体" w:cs="宋体"/>
                <w:bCs/>
                <w:szCs w:val="21"/>
              </w:rPr>
            </w:pPr>
            <w:r>
              <w:rPr>
                <w:rFonts w:hint="eastAsia" w:ascii="宋体" w:hAnsi="宋体" w:cs="宋体"/>
                <w:bCs/>
                <w:szCs w:val="21"/>
              </w:rPr>
              <w:t xml:space="preserve">3.3</w:t>
            </w:r>
            <w:r/>
          </w:p>
        </w:tc>
        <w:tc>
          <w:tcPr>
            <w:shd w:val="clear" w:color="auto" w:fill="auto"/>
            <w:tcW w:w="1060"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技术负责人</w:t>
            </w:r>
            <w:r/>
          </w:p>
        </w:tc>
        <w:tc>
          <w:tcPr>
            <w:shd w:val="clear" w:color="auto" w:fill="auto"/>
            <w:tcW w:w="892"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6</w:t>
            </w:r>
            <w:r/>
          </w:p>
        </w:tc>
        <w:tc>
          <w:tcPr>
            <w:shd w:val="clear" w:color="auto" w:fill="auto"/>
            <w:tcW w:w="4389" w:type="dxa"/>
            <w:vAlign w:val="center"/>
            <w:textDirection w:val="lrTb"/>
            <w:noWrap w:val="false"/>
          </w:tcPr>
          <w:p>
            <w:pPr>
              <w:ind w:firstLine="28"/>
              <w:jc w:val="left"/>
              <w:rPr>
                <w:rFonts w:ascii="宋体" w:hAnsi="宋体" w:cs="宋体"/>
                <w:color w:val="000000"/>
                <w:szCs w:val="21"/>
                <w:lang w:val="zh-CN"/>
              </w:rPr>
            </w:pPr>
            <w:r>
              <w:rPr>
                <w:rFonts w:hint="eastAsia" w:ascii="宋体" w:hAnsi="宋体" w:cs="宋体"/>
                <w:color w:val="000000"/>
                <w:szCs w:val="21"/>
                <w:lang w:val="zh-CN"/>
              </w:rPr>
              <w:t xml:space="preserve">投标人配备</w:t>
            </w:r>
            <w:r>
              <w:rPr>
                <w:rFonts w:hint="eastAsia" w:ascii="宋体" w:hAnsi="宋体" w:cs="宋体"/>
                <w:color w:val="000000"/>
                <w:szCs w:val="21"/>
                <w:lang w:val="zh-CN"/>
              </w:rPr>
              <w:t xml:space="preserve">技术</w:t>
            </w:r>
            <w:r>
              <w:rPr>
                <w:rFonts w:hint="eastAsia" w:ascii="宋体" w:hAnsi="宋体" w:cs="宋体"/>
                <w:color w:val="000000"/>
                <w:szCs w:val="21"/>
                <w:lang w:val="zh-CN"/>
              </w:rPr>
              <w:t xml:space="preserve">负责人</w:t>
            </w:r>
            <w:r>
              <w:rPr>
                <w:rFonts w:hint="eastAsia" w:ascii="宋体" w:hAnsi="宋体" w:cs="宋体"/>
                <w:color w:val="000000"/>
                <w:szCs w:val="21"/>
                <w:lang w:val="zh-CN"/>
              </w:rPr>
              <w:t xml:space="preserve">1</w:t>
            </w:r>
            <w:r>
              <w:rPr>
                <w:rFonts w:hint="eastAsia" w:ascii="宋体" w:hAnsi="宋体" w:cs="宋体"/>
                <w:color w:val="000000"/>
                <w:szCs w:val="21"/>
                <w:lang w:val="zh-CN"/>
              </w:rPr>
              <w:t xml:space="preserve">名，具有</w:t>
            </w:r>
            <w:r>
              <w:rPr>
                <w:rFonts w:hint="eastAsia" w:ascii="宋体" w:hAnsi="宋体" w:cs="宋体"/>
                <w:color w:val="000000"/>
                <w:szCs w:val="21"/>
                <w:lang w:val="zh-CN"/>
              </w:rPr>
              <w:t xml:space="preserve">CISE</w:t>
            </w:r>
            <w:r>
              <w:rPr>
                <w:rFonts w:hint="eastAsia" w:ascii="宋体" w:hAnsi="宋体" w:cs="宋体"/>
                <w:color w:val="000000"/>
                <w:szCs w:val="21"/>
                <w:lang w:val="zh-CN"/>
              </w:rPr>
              <w:t xml:space="preserve">注册信息安全工程师、系统规划与管理师、通信专业技术人员资格证书</w:t>
            </w:r>
            <w:r>
              <w:rPr>
                <w:rFonts w:hint="eastAsia" w:ascii="宋体" w:hAnsi="宋体" w:cs="宋体"/>
                <w:color w:val="000000"/>
                <w:szCs w:val="21"/>
                <w:lang w:val="zh-CN"/>
              </w:rPr>
              <w:t xml:space="preserve">(</w:t>
            </w:r>
            <w:r>
              <w:rPr>
                <w:rFonts w:hint="eastAsia" w:ascii="宋体" w:hAnsi="宋体" w:cs="宋体"/>
                <w:color w:val="000000"/>
                <w:szCs w:val="21"/>
                <w:lang w:val="zh-CN"/>
              </w:rPr>
              <w:t xml:space="preserve">互联网技术</w:t>
            </w:r>
            <w:r>
              <w:rPr>
                <w:rFonts w:hint="eastAsia" w:ascii="宋体" w:hAnsi="宋体" w:cs="宋体"/>
                <w:color w:val="000000"/>
                <w:szCs w:val="21"/>
                <w:lang w:val="zh-CN"/>
              </w:rPr>
              <w:t xml:space="preserve">)</w:t>
            </w:r>
            <w:r>
              <w:rPr>
                <w:rFonts w:hint="eastAsia" w:ascii="宋体" w:hAnsi="宋体" w:cs="宋体"/>
                <w:color w:val="000000"/>
                <w:szCs w:val="21"/>
                <w:lang w:val="zh-CN"/>
              </w:rPr>
              <w:t xml:space="preserve">中任意一个证书的得</w:t>
            </w:r>
            <w:r>
              <w:rPr>
                <w:rFonts w:hint="eastAsia" w:ascii="宋体" w:hAnsi="宋体" w:cs="宋体"/>
                <w:color w:val="000000"/>
                <w:szCs w:val="21"/>
              </w:rPr>
              <w:t xml:space="preserve">2</w:t>
            </w:r>
            <w:r>
              <w:rPr>
                <w:rFonts w:hint="eastAsia" w:ascii="宋体" w:hAnsi="宋体" w:cs="宋体"/>
                <w:color w:val="000000"/>
                <w:szCs w:val="21"/>
                <w:lang w:val="zh-CN"/>
              </w:rPr>
              <w:t xml:space="preserve">分</w:t>
            </w:r>
            <w:r>
              <w:rPr>
                <w:rFonts w:hint="eastAsia" w:ascii="宋体" w:hAnsi="宋体" w:cs="宋体"/>
                <w:color w:val="000000"/>
                <w:szCs w:val="21"/>
                <w:lang w:val="zh-CN"/>
              </w:rPr>
              <w:t xml:space="preserve">，最高</w:t>
            </w:r>
            <w:r>
              <w:rPr>
                <w:rFonts w:hint="eastAsia" w:ascii="宋体" w:hAnsi="宋体" w:cs="宋体"/>
                <w:color w:val="000000"/>
                <w:szCs w:val="21"/>
                <w:lang w:val="zh-CN"/>
              </w:rPr>
              <w:t xml:space="preserve">得</w:t>
            </w:r>
            <w:r>
              <w:rPr>
                <w:rFonts w:hint="eastAsia" w:ascii="宋体" w:hAnsi="宋体" w:cs="宋体"/>
                <w:color w:val="000000"/>
                <w:szCs w:val="21"/>
              </w:rPr>
              <w:t xml:space="preserve">6</w:t>
            </w:r>
            <w:r>
              <w:rPr>
                <w:rFonts w:hint="eastAsia" w:ascii="宋体" w:hAnsi="宋体" w:cs="宋体"/>
                <w:color w:val="000000"/>
                <w:szCs w:val="21"/>
                <w:lang w:val="zh-CN"/>
              </w:rPr>
              <w:t xml:space="preserve">分。不提供不得分。</w:t>
            </w:r>
            <w:r/>
          </w:p>
        </w:tc>
        <w:tc>
          <w:tcPr>
            <w:shd w:val="clear" w:color="auto" w:fill="auto"/>
            <w:tcW w:w="1564" w:type="dxa"/>
            <w:vAlign w:val="center"/>
            <w:vMerge w:val="continue"/>
            <w:textDirection w:val="lrTb"/>
            <w:noWrap w:val="false"/>
          </w:tcPr>
          <w:p>
            <w:pPr>
              <w:jc w:val="left"/>
              <w:spacing w:line="360" w:lineRule="auto"/>
              <w:rPr>
                <w:rFonts w:ascii="宋体" w:hAnsi="宋体" w:cs="宋体"/>
                <w:color w:val="000000"/>
                <w:szCs w:val="21"/>
              </w:rPr>
            </w:pPr>
            <w:r>
              <w:rPr>
                <w:rFonts w:ascii="宋体" w:hAnsi="宋体" w:cs="宋体"/>
                <w:color w:val="000000"/>
                <w:szCs w:val="21"/>
              </w:rPr>
            </w:r>
            <w:r/>
          </w:p>
        </w:tc>
      </w:tr>
      <w:tr>
        <w:trPr>
          <w:trHeight w:val="1678"/>
        </w:trPr>
        <w:tc>
          <w:tcPr>
            <w:shd w:val="clear" w:color="auto" w:fill="auto"/>
            <w:tcW w:w="617" w:type="dxa"/>
            <w:vAlign w:val="center"/>
            <w:textDirection w:val="lrTb"/>
            <w:noWrap w:val="false"/>
          </w:tcPr>
          <w:p>
            <w:pPr>
              <w:ind w:firstLine="28"/>
              <w:jc w:val="center"/>
              <w:rPr>
                <w:rFonts w:ascii="宋体" w:hAnsi="宋体" w:cs="宋体"/>
                <w:bCs/>
                <w:szCs w:val="21"/>
              </w:rPr>
            </w:pPr>
            <w:r>
              <w:rPr>
                <w:rFonts w:hint="eastAsia" w:ascii="宋体" w:hAnsi="宋体" w:cs="宋体"/>
                <w:bCs/>
                <w:szCs w:val="21"/>
              </w:rPr>
              <w:t xml:space="preserve">3.4</w:t>
            </w:r>
            <w:r/>
          </w:p>
        </w:tc>
        <w:tc>
          <w:tcPr>
            <w:shd w:val="clear" w:color="auto" w:fill="auto"/>
            <w:tcW w:w="1060"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安全负责人</w:t>
            </w:r>
            <w:r/>
          </w:p>
        </w:tc>
        <w:tc>
          <w:tcPr>
            <w:shd w:val="clear" w:color="auto" w:fill="auto"/>
            <w:tcW w:w="892"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6</w:t>
            </w:r>
            <w:r/>
          </w:p>
        </w:tc>
        <w:tc>
          <w:tcPr>
            <w:shd w:val="clear" w:color="auto" w:fill="auto"/>
            <w:tcW w:w="4389" w:type="dxa"/>
            <w:vAlign w:val="center"/>
            <w:textDirection w:val="lrTb"/>
            <w:noWrap w:val="false"/>
          </w:tcPr>
          <w:p>
            <w:pPr>
              <w:ind w:firstLine="28"/>
              <w:jc w:val="left"/>
              <w:rPr>
                <w:rFonts w:ascii="宋体" w:hAnsi="宋体" w:cs="宋体"/>
                <w:color w:val="000000"/>
                <w:szCs w:val="21"/>
                <w:lang w:val="zh-CN"/>
              </w:rPr>
            </w:pPr>
            <w:r>
              <w:rPr>
                <w:rFonts w:hint="eastAsia" w:ascii="宋体" w:hAnsi="宋体" w:cs="宋体"/>
                <w:color w:val="000000"/>
                <w:szCs w:val="21"/>
                <w:lang w:val="zh-CN"/>
              </w:rPr>
              <w:t xml:space="preserve">投标人配备</w:t>
            </w:r>
            <w:r>
              <w:rPr>
                <w:rFonts w:hint="eastAsia" w:ascii="宋体" w:hAnsi="宋体" w:cs="宋体"/>
                <w:color w:val="000000"/>
                <w:szCs w:val="21"/>
                <w:lang w:val="zh-CN"/>
              </w:rPr>
              <w:t xml:space="preserve">安全</w:t>
            </w:r>
            <w:r>
              <w:rPr>
                <w:rFonts w:hint="eastAsia" w:ascii="宋体" w:hAnsi="宋体" w:cs="宋体"/>
                <w:color w:val="000000"/>
                <w:szCs w:val="21"/>
                <w:lang w:val="zh-CN"/>
              </w:rPr>
              <w:t xml:space="preserve">负责人</w:t>
            </w:r>
            <w:r>
              <w:rPr>
                <w:rFonts w:hint="eastAsia" w:ascii="宋体" w:hAnsi="宋体" w:cs="宋体"/>
                <w:color w:val="000000"/>
                <w:szCs w:val="21"/>
                <w:lang w:val="zh-CN"/>
              </w:rPr>
              <w:t xml:space="preserve">1</w:t>
            </w:r>
            <w:r>
              <w:rPr>
                <w:rFonts w:hint="eastAsia" w:ascii="宋体" w:hAnsi="宋体" w:cs="宋体"/>
                <w:color w:val="000000"/>
                <w:szCs w:val="21"/>
                <w:lang w:val="zh-CN"/>
              </w:rPr>
              <w:t xml:space="preserve">名，具有</w:t>
            </w:r>
            <w:r>
              <w:rPr>
                <w:rFonts w:hint="eastAsia" w:ascii="宋体" w:hAnsi="宋体" w:cs="宋体"/>
                <w:color w:val="000000"/>
                <w:szCs w:val="21"/>
                <w:lang w:val="zh-CN"/>
              </w:rPr>
              <w:t xml:space="preserve">信息安全保障人员认证</w:t>
            </w:r>
            <w:r>
              <w:rPr>
                <w:rFonts w:hint="eastAsia" w:ascii="宋体" w:hAnsi="宋体" w:cs="宋体"/>
                <w:color w:val="000000"/>
                <w:szCs w:val="21"/>
                <w:lang w:val="zh-CN"/>
              </w:rPr>
              <w:t xml:space="preserve">CISAW</w:t>
            </w:r>
            <w:r>
              <w:rPr>
                <w:rFonts w:hint="eastAsia" w:ascii="宋体" w:hAnsi="宋体" w:cs="宋体"/>
                <w:color w:val="000000"/>
                <w:szCs w:val="21"/>
                <w:lang w:val="zh-CN"/>
              </w:rPr>
              <w:t xml:space="preserve">应急服务证书</w:t>
            </w:r>
            <w:r>
              <w:rPr>
                <w:rFonts w:hint="eastAsia" w:ascii="宋体" w:hAnsi="宋体" w:cs="宋体"/>
                <w:color w:val="000000"/>
                <w:szCs w:val="21"/>
                <w:lang w:val="zh-CN"/>
              </w:rPr>
              <w:t xml:space="preserve">、</w:t>
            </w:r>
            <w:r>
              <w:rPr>
                <w:rFonts w:hint="eastAsia" w:ascii="宋体" w:hAnsi="宋体" w:cs="宋体"/>
                <w:color w:val="000000"/>
                <w:szCs w:val="21"/>
                <w:lang w:val="zh-CN"/>
              </w:rPr>
              <w:t xml:space="preserve">具有</w:t>
            </w:r>
            <w:r>
              <w:rPr>
                <w:rFonts w:hint="eastAsia" w:ascii="宋体" w:hAnsi="宋体" w:cs="宋体"/>
                <w:color w:val="000000"/>
                <w:szCs w:val="21"/>
                <w:lang w:val="zh-CN"/>
              </w:rPr>
              <w:t xml:space="preserve">DSO</w:t>
            </w:r>
            <w:r>
              <w:rPr>
                <w:rFonts w:hint="eastAsia" w:ascii="宋体" w:hAnsi="宋体" w:cs="宋体"/>
                <w:color w:val="000000"/>
                <w:szCs w:val="21"/>
                <w:lang w:val="zh-CN"/>
              </w:rPr>
              <w:t xml:space="preserve">数据安全官证书中任意一个证书</w:t>
            </w:r>
            <w:r>
              <w:rPr>
                <w:rFonts w:hint="eastAsia" w:ascii="宋体" w:hAnsi="宋体" w:cs="宋体"/>
                <w:color w:val="000000"/>
                <w:szCs w:val="21"/>
                <w:lang w:val="zh-CN"/>
              </w:rPr>
              <w:t xml:space="preserve">得</w:t>
            </w:r>
            <w:r>
              <w:rPr>
                <w:rFonts w:hint="eastAsia" w:ascii="宋体" w:hAnsi="宋体" w:cs="宋体"/>
                <w:color w:val="000000"/>
                <w:szCs w:val="21"/>
              </w:rPr>
              <w:t xml:space="preserve">3分</w:t>
            </w:r>
            <w:r>
              <w:rPr>
                <w:rFonts w:hint="eastAsia" w:ascii="宋体" w:hAnsi="宋体" w:cs="宋体"/>
                <w:color w:val="000000"/>
                <w:szCs w:val="21"/>
                <w:lang w:val="zh-CN"/>
              </w:rPr>
              <w:t xml:space="preserve">，最高得</w:t>
            </w:r>
            <w:r>
              <w:rPr>
                <w:rFonts w:hint="eastAsia" w:ascii="宋体" w:hAnsi="宋体" w:cs="宋体"/>
                <w:color w:val="000000"/>
                <w:szCs w:val="21"/>
              </w:rPr>
              <w:t xml:space="preserve">6</w:t>
            </w:r>
            <w:r>
              <w:rPr>
                <w:rFonts w:hint="eastAsia" w:ascii="宋体" w:hAnsi="宋体" w:cs="宋体"/>
                <w:color w:val="000000"/>
                <w:szCs w:val="21"/>
              </w:rPr>
              <w:t xml:space="preserve">分</w:t>
            </w:r>
            <w:r>
              <w:rPr>
                <w:rFonts w:hint="eastAsia" w:ascii="宋体" w:hAnsi="宋体" w:cs="宋体"/>
                <w:color w:val="000000"/>
                <w:szCs w:val="21"/>
                <w:lang w:val="zh-CN"/>
              </w:rPr>
              <w:t xml:space="preserve">。不提供不得分。</w:t>
            </w:r>
            <w:r/>
          </w:p>
        </w:tc>
        <w:tc>
          <w:tcPr>
            <w:shd w:val="clear" w:color="auto" w:fill="auto"/>
            <w:tcW w:w="1564" w:type="dxa"/>
            <w:vAlign w:val="center"/>
            <w:vMerge w:val="continue"/>
            <w:textDirection w:val="lrTb"/>
            <w:noWrap w:val="false"/>
          </w:tcPr>
          <w:p>
            <w:pPr>
              <w:jc w:val="left"/>
              <w:spacing w:line="360" w:lineRule="auto"/>
              <w:rPr>
                <w:rFonts w:ascii="宋体" w:hAnsi="宋体" w:cs="宋体"/>
                <w:color w:val="000000"/>
                <w:szCs w:val="21"/>
              </w:rPr>
            </w:pPr>
            <w:r>
              <w:rPr>
                <w:rFonts w:ascii="宋体" w:hAnsi="宋体" w:cs="宋体"/>
                <w:color w:val="000000"/>
                <w:szCs w:val="21"/>
              </w:rPr>
            </w:r>
            <w:r/>
          </w:p>
        </w:tc>
      </w:tr>
      <w:tr>
        <w:trPr>
          <w:trHeight w:val="1157"/>
        </w:trPr>
        <w:tc>
          <w:tcPr>
            <w:shd w:val="clear" w:color="auto" w:fill="auto"/>
            <w:tcW w:w="617" w:type="dxa"/>
            <w:vAlign w:val="center"/>
            <w:textDirection w:val="lrTb"/>
            <w:noWrap w:val="false"/>
          </w:tcPr>
          <w:p>
            <w:pPr>
              <w:ind w:firstLine="28"/>
              <w:jc w:val="center"/>
              <w:rPr>
                <w:rFonts w:ascii="宋体" w:hAnsi="宋体" w:cs="宋体"/>
                <w:bCs/>
                <w:szCs w:val="21"/>
              </w:rPr>
            </w:pPr>
            <w:r>
              <w:rPr>
                <w:rFonts w:hint="eastAsia" w:ascii="宋体" w:hAnsi="宋体" w:cs="宋体"/>
                <w:bCs/>
                <w:szCs w:val="21"/>
              </w:rPr>
              <w:t xml:space="preserve">3.5</w:t>
            </w:r>
            <w:r/>
          </w:p>
        </w:tc>
        <w:tc>
          <w:tcPr>
            <w:shd w:val="clear" w:color="auto" w:fill="auto"/>
            <w:tcW w:w="1060"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项目组成员</w:t>
            </w:r>
            <w:r/>
          </w:p>
        </w:tc>
        <w:tc>
          <w:tcPr>
            <w:shd w:val="clear" w:color="auto" w:fill="auto"/>
            <w:tcW w:w="892"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3</w:t>
            </w:r>
            <w:r/>
          </w:p>
        </w:tc>
        <w:tc>
          <w:tcPr>
            <w:shd w:val="clear" w:color="auto" w:fill="auto"/>
            <w:tcW w:w="4389" w:type="dxa"/>
            <w:vAlign w:val="center"/>
            <w:textDirection w:val="lrTb"/>
            <w:noWrap w:val="false"/>
          </w:tcPr>
          <w:p>
            <w:pPr>
              <w:ind w:firstLine="28"/>
              <w:jc w:val="left"/>
              <w:rPr>
                <w:rFonts w:ascii="宋体" w:hAnsi="宋体" w:cs="宋体"/>
                <w:color w:val="000000"/>
                <w:szCs w:val="21"/>
              </w:rPr>
            </w:pPr>
            <w:r>
              <w:rPr>
                <w:rFonts w:hint="eastAsia" w:ascii="宋体" w:hAnsi="宋体" w:cs="宋体"/>
                <w:color w:val="000000"/>
                <w:szCs w:val="21"/>
                <w:lang w:val="zh-CN"/>
              </w:rPr>
              <w:t xml:space="preserve">拟派人员中</w:t>
            </w:r>
            <w:r>
              <w:rPr>
                <w:rFonts w:hint="eastAsia" w:ascii="宋体" w:hAnsi="宋体" w:cs="宋体"/>
                <w:color w:val="000000"/>
                <w:szCs w:val="21"/>
                <w:lang w:val="zh-CN"/>
              </w:rPr>
              <w:t xml:space="preserve">每有一个</w:t>
            </w:r>
            <w:r>
              <w:rPr>
                <w:rFonts w:hint="eastAsia" w:ascii="宋体" w:hAnsi="宋体" w:cs="宋体"/>
                <w:color w:val="000000"/>
                <w:szCs w:val="21"/>
                <w:lang w:val="zh-CN"/>
              </w:rPr>
              <w:t xml:space="preserve">CISP-PTS</w:t>
            </w:r>
            <w:r>
              <w:rPr>
                <w:rFonts w:hint="eastAsia" w:ascii="宋体" w:hAnsi="宋体" w:cs="宋体"/>
                <w:color w:val="000000"/>
                <w:szCs w:val="21"/>
                <w:lang w:val="zh-CN"/>
              </w:rPr>
              <w:t xml:space="preserve">渗透测试专家认证证书得</w:t>
            </w:r>
            <w:r>
              <w:rPr>
                <w:rFonts w:hint="eastAsia" w:ascii="宋体" w:hAnsi="宋体" w:cs="宋体"/>
                <w:color w:val="000000"/>
                <w:szCs w:val="21"/>
              </w:rPr>
              <w:t xml:space="preserve">1</w:t>
            </w:r>
            <w:r>
              <w:rPr>
                <w:rFonts w:hint="eastAsia" w:ascii="宋体" w:hAnsi="宋体" w:cs="宋体"/>
                <w:color w:val="000000"/>
                <w:szCs w:val="21"/>
                <w:lang w:val="zh-CN"/>
              </w:rPr>
              <w:t xml:space="preserve">分；每有一个具有网络规划设计师证书得</w:t>
            </w:r>
            <w:r>
              <w:rPr>
                <w:rFonts w:hint="eastAsia" w:ascii="宋体" w:hAnsi="宋体" w:cs="宋体"/>
                <w:color w:val="000000"/>
                <w:szCs w:val="21"/>
              </w:rPr>
              <w:t xml:space="preserve">1</w:t>
            </w:r>
            <w:r>
              <w:rPr>
                <w:rFonts w:hint="eastAsia" w:ascii="宋体" w:hAnsi="宋体" w:cs="宋体"/>
                <w:color w:val="000000"/>
                <w:szCs w:val="21"/>
                <w:lang w:val="zh-CN"/>
              </w:rPr>
              <w:t xml:space="preserve">分；每有一个具有数据库管理系统认证专家证书得</w:t>
            </w:r>
            <w:r>
              <w:rPr>
                <w:rFonts w:hint="eastAsia" w:ascii="宋体" w:hAnsi="宋体" w:cs="宋体"/>
                <w:color w:val="000000"/>
                <w:szCs w:val="21"/>
              </w:rPr>
              <w:t xml:space="preserve">1</w:t>
            </w:r>
            <w:r>
              <w:rPr>
                <w:rFonts w:hint="eastAsia" w:ascii="宋体" w:hAnsi="宋体" w:cs="宋体"/>
                <w:color w:val="000000"/>
                <w:szCs w:val="21"/>
                <w:lang w:val="zh-CN"/>
              </w:rPr>
              <w:t xml:space="preserve">分，最高得</w:t>
            </w:r>
            <w:r>
              <w:rPr>
                <w:rFonts w:hint="eastAsia" w:ascii="宋体" w:hAnsi="宋体" w:cs="宋体"/>
                <w:color w:val="000000"/>
                <w:szCs w:val="21"/>
              </w:rPr>
              <w:t xml:space="preserve">3</w:t>
            </w:r>
            <w:r>
              <w:rPr>
                <w:rFonts w:hint="eastAsia" w:ascii="宋体" w:hAnsi="宋体" w:cs="宋体"/>
                <w:color w:val="000000"/>
                <w:szCs w:val="21"/>
                <w:lang w:val="zh-CN"/>
              </w:rPr>
              <w:t xml:space="preserve">分，不提供不得分。</w:t>
            </w:r>
            <w:r/>
          </w:p>
        </w:tc>
        <w:tc>
          <w:tcPr>
            <w:shd w:val="clear" w:color="auto" w:fill="auto"/>
            <w:tcW w:w="1564" w:type="dxa"/>
            <w:vAlign w:val="center"/>
            <w:vMerge w:val="continue"/>
            <w:textDirection w:val="lrTb"/>
            <w:noWrap w:val="false"/>
          </w:tcPr>
          <w:p>
            <w:pPr>
              <w:jc w:val="left"/>
              <w:spacing w:line="360" w:lineRule="auto"/>
              <w:rPr>
                <w:rFonts w:ascii="宋体" w:hAnsi="宋体" w:cs="宋体"/>
                <w:color w:val="000000"/>
                <w:szCs w:val="21"/>
              </w:rPr>
            </w:pPr>
            <w:r>
              <w:rPr>
                <w:rFonts w:ascii="宋体" w:hAnsi="宋体" w:cs="宋体"/>
                <w:color w:val="000000"/>
                <w:szCs w:val="21"/>
              </w:rPr>
            </w:r>
            <w:r/>
          </w:p>
        </w:tc>
      </w:tr>
      <w:tr>
        <w:trPr>
          <w:trHeight w:val="548"/>
        </w:trPr>
        <w:tc>
          <w:tcPr>
            <w:shd w:val="clear" w:color="auto" w:fill="auto"/>
            <w:tcW w:w="617" w:type="dxa"/>
            <w:vAlign w:val="center"/>
            <w:textDirection w:val="lrTb"/>
            <w:noWrap w:val="false"/>
          </w:tcPr>
          <w:p>
            <w:pPr>
              <w:ind w:firstLine="28"/>
              <w:jc w:val="center"/>
              <w:rPr>
                <w:rFonts w:ascii="宋体" w:hAnsi="宋体" w:cs="宋体"/>
                <w:bCs/>
                <w:szCs w:val="21"/>
              </w:rPr>
            </w:pPr>
            <w:r>
              <w:rPr>
                <w:rFonts w:hint="eastAsia" w:ascii="宋体" w:hAnsi="宋体" w:cs="宋体"/>
                <w:bCs/>
                <w:szCs w:val="21"/>
              </w:rPr>
              <w:t xml:space="preserve">4</w:t>
            </w:r>
            <w:r/>
          </w:p>
        </w:tc>
        <w:tc>
          <w:tcPr>
            <w:shd w:val="clear" w:color="auto" w:fill="auto"/>
            <w:tcW w:w="1060"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总分</w:t>
            </w:r>
            <w:r/>
          </w:p>
        </w:tc>
        <w:tc>
          <w:tcPr>
            <w:gridSpan w:val="3"/>
            <w:shd w:val="clear" w:color="auto" w:fill="auto"/>
            <w:tcW w:w="6845"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100</w:t>
            </w:r>
            <w:r>
              <w:rPr>
                <w:rFonts w:hint="eastAsia" w:ascii="宋体" w:hAnsi="宋体" w:cs="宋体"/>
                <w:bCs/>
                <w:szCs w:val="21"/>
              </w:rPr>
              <w:t xml:space="preserve">分</w:t>
            </w:r>
            <w:bookmarkEnd w:id="177"/>
            <w:r/>
            <w:bookmarkEnd w:id="178"/>
            <w:r/>
            <w:bookmarkEnd w:id="180"/>
            <w:r/>
            <w:bookmarkEnd w:id="181"/>
            <w:r/>
            <w:bookmarkEnd w:id="182"/>
            <w:r/>
            <w:r/>
          </w:p>
        </w:tc>
      </w:tr>
    </w:tbl>
    <w:p>
      <w:pPr>
        <w:rPr>
          <w:szCs w:val="21"/>
        </w:rPr>
      </w:pPr>
      <w:r>
        <w:rPr>
          <w:szCs w:val="21"/>
        </w:rPr>
      </w:r>
      <w:r/>
    </w:p>
    <w:p>
      <w:pPr>
        <w:rPr>
          <w:szCs w:val="21"/>
        </w:rPr>
      </w:pPr>
      <w:r>
        <w:rPr>
          <w:szCs w:val="21"/>
        </w:rPr>
      </w:r>
      <w:r/>
    </w:p>
    <w:p>
      <w:pPr>
        <w:jc w:val="center"/>
        <w:keepNext/>
        <w:rPr>
          <w:rFonts w:eastAsia="黑体"/>
          <w:bCs/>
          <w:sz w:val="44"/>
          <w:szCs w:val="28"/>
        </w:rPr>
      </w:pPr>
      <w:r>
        <w:rPr>
          <w:rFonts w:eastAsia="黑体"/>
          <w:bCs/>
          <w:sz w:val="44"/>
          <w:szCs w:val="28"/>
        </w:rPr>
      </w:r>
      <w:r/>
    </w:p>
    <w:p>
      <w:pPr>
        <w:jc w:val="center"/>
        <w:keepNext/>
        <w:rPr>
          <w:rFonts w:eastAsia="黑体"/>
          <w:sz w:val="44"/>
          <w:szCs w:val="44"/>
        </w:rPr>
        <w:outlineLvl w:val="0"/>
      </w:pPr>
      <w:r>
        <w:rPr>
          <w:rFonts w:eastAsia="黑体"/>
          <w:bCs/>
          <w:sz w:val="44"/>
          <w:szCs w:val="28"/>
        </w:rPr>
        <w:br w:type="page" w:clear="all"/>
      </w:r>
      <w:bookmarkStart w:id="215" w:name="_Toc1261"/>
      <w:r>
        <w:rPr>
          <w:rFonts w:eastAsia="黑体"/>
          <w:sz w:val="44"/>
          <w:szCs w:val="44"/>
        </w:rPr>
        <w:t xml:space="preserve">第六章</w:t>
      </w:r>
      <w:r>
        <w:rPr>
          <w:rFonts w:eastAsia="黑体"/>
          <w:sz w:val="44"/>
          <w:szCs w:val="44"/>
        </w:rPr>
        <w:t xml:space="preserve">  </w:t>
      </w:r>
      <w:r>
        <w:rPr>
          <w:rFonts w:eastAsia="黑体"/>
          <w:sz w:val="44"/>
          <w:szCs w:val="44"/>
        </w:rPr>
        <w:t xml:space="preserve">响应文件格式</w:t>
      </w:r>
      <w:bookmarkEnd w:id="215"/>
      <w:r>
        <w:rPr>
          <w:rFonts w:eastAsia="黑体"/>
          <w:sz w:val="44"/>
          <w:szCs w:val="44"/>
        </w:rPr>
        <w:t xml:space="preserve"> </w:t>
      </w:r>
      <w:r/>
    </w:p>
    <w:p>
      <w:pPr>
        <w:jc w:val="center"/>
        <w:rPr>
          <w:b/>
          <w:sz w:val="72"/>
          <w:szCs w:val="21"/>
        </w:rPr>
      </w:pPr>
      <w:r>
        <w:rPr>
          <w:b/>
          <w:sz w:val="72"/>
          <w:szCs w:val="21"/>
        </w:rPr>
      </w:r>
      <w:r/>
    </w:p>
    <w:p>
      <w:pPr>
        <w:jc w:val="center"/>
        <w:rPr>
          <w:b/>
          <w:sz w:val="72"/>
          <w:szCs w:val="21"/>
        </w:rPr>
      </w:pPr>
      <w:r>
        <w:rPr>
          <w:b/>
          <w:sz w:val="72"/>
          <w:szCs w:val="21"/>
        </w:rPr>
        <w:t xml:space="preserve">响</w:t>
      </w:r>
      <w:r>
        <w:rPr>
          <w:b/>
          <w:sz w:val="72"/>
          <w:szCs w:val="21"/>
        </w:rPr>
        <w:t xml:space="preserve">  </w:t>
      </w:r>
      <w:r>
        <w:rPr>
          <w:b/>
          <w:sz w:val="72"/>
          <w:szCs w:val="21"/>
        </w:rPr>
        <w:t xml:space="preserve">应</w:t>
      </w:r>
      <w:r>
        <w:rPr>
          <w:b/>
          <w:sz w:val="72"/>
          <w:szCs w:val="21"/>
        </w:rPr>
        <w:t xml:space="preserve">  </w:t>
      </w:r>
      <w:r>
        <w:rPr>
          <w:b/>
          <w:sz w:val="72"/>
          <w:szCs w:val="21"/>
        </w:rPr>
        <w:t xml:space="preserve">文</w:t>
      </w:r>
      <w:r>
        <w:rPr>
          <w:b/>
          <w:sz w:val="72"/>
          <w:szCs w:val="21"/>
        </w:rPr>
        <w:t xml:space="preserve">  </w:t>
      </w:r>
      <w:r>
        <w:rPr>
          <w:b/>
          <w:sz w:val="72"/>
          <w:szCs w:val="21"/>
        </w:rPr>
        <w:t xml:space="preserve">件</w:t>
      </w:r>
      <w:r/>
    </w:p>
    <w:p>
      <w:pPr>
        <w:jc w:val="center"/>
        <w:rPr>
          <w:b/>
          <w:sz w:val="72"/>
          <w:szCs w:val="21"/>
        </w:rPr>
      </w:pPr>
      <w:r>
        <w:rPr>
          <w:b/>
          <w:sz w:val="72"/>
          <w:szCs w:val="21"/>
        </w:rPr>
      </w:r>
      <w:r/>
    </w:p>
    <w:p>
      <w:pPr>
        <w:jc w:val="center"/>
        <w:rPr>
          <w:b/>
          <w:sz w:val="72"/>
          <w:szCs w:val="21"/>
        </w:rPr>
      </w:pPr>
      <w:r>
        <w:rPr>
          <w:b/>
          <w:sz w:val="72"/>
          <w:szCs w:val="21"/>
        </w:rPr>
      </w:r>
      <w:r/>
    </w:p>
    <w:p>
      <w:pPr>
        <w:jc w:val="center"/>
        <w:rPr>
          <w:b/>
          <w:sz w:val="36"/>
          <w:szCs w:val="21"/>
        </w:rPr>
      </w:pPr>
      <w:r>
        <w:rPr>
          <w:b/>
          <w:sz w:val="36"/>
          <w:szCs w:val="21"/>
        </w:rPr>
      </w:r>
      <w:r/>
    </w:p>
    <w:p>
      <w:pPr>
        <w:jc w:val="center"/>
        <w:rPr>
          <w:b/>
          <w:sz w:val="36"/>
          <w:szCs w:val="21"/>
        </w:rPr>
      </w:pPr>
      <w:r>
        <w:rPr>
          <w:b/>
          <w:sz w:val="36"/>
          <w:szCs w:val="21"/>
        </w:rPr>
      </w:r>
      <w:r/>
    </w:p>
    <w:p>
      <w:pPr>
        <w:jc w:val="center"/>
        <w:rPr>
          <w:b/>
          <w:sz w:val="36"/>
          <w:szCs w:val="21"/>
        </w:rPr>
      </w:pPr>
      <w:r>
        <w:rPr>
          <w:b/>
          <w:sz w:val="36"/>
          <w:szCs w:val="21"/>
        </w:rPr>
      </w:r>
      <w:r/>
    </w:p>
    <w:p>
      <w:pPr>
        <w:ind w:firstLine="1446"/>
        <w:rPr>
          <w:b/>
          <w:sz w:val="36"/>
          <w:szCs w:val="21"/>
        </w:rPr>
      </w:pPr>
      <w:r>
        <w:rPr>
          <w:b/>
          <w:sz w:val="36"/>
          <w:szCs w:val="21"/>
        </w:rPr>
        <w:t xml:space="preserve">项</w:t>
      </w:r>
      <w:r>
        <w:rPr>
          <w:b/>
          <w:sz w:val="36"/>
          <w:szCs w:val="21"/>
        </w:rPr>
        <w:t xml:space="preserve"> </w:t>
      </w:r>
      <w:r>
        <w:rPr>
          <w:b/>
          <w:sz w:val="36"/>
          <w:szCs w:val="21"/>
        </w:rPr>
        <w:t xml:space="preserve">目</w:t>
      </w:r>
      <w:r>
        <w:rPr>
          <w:b/>
          <w:sz w:val="36"/>
          <w:szCs w:val="21"/>
        </w:rPr>
        <w:t xml:space="preserve"> </w:t>
      </w:r>
      <w:r>
        <w:rPr>
          <w:b/>
          <w:sz w:val="36"/>
          <w:szCs w:val="21"/>
        </w:rPr>
        <w:t xml:space="preserve">名</w:t>
      </w:r>
      <w:r>
        <w:rPr>
          <w:b/>
          <w:sz w:val="36"/>
          <w:szCs w:val="21"/>
        </w:rPr>
        <w:t xml:space="preserve"> </w:t>
      </w:r>
      <w:r>
        <w:rPr>
          <w:b/>
          <w:sz w:val="36"/>
          <w:szCs w:val="21"/>
        </w:rPr>
        <w:t xml:space="preserve">称：</w:t>
      </w:r>
      <w:r>
        <w:rPr>
          <w:b/>
          <w:sz w:val="36"/>
          <w:szCs w:val="21"/>
          <w:u w:val="single"/>
        </w:rPr>
        <w:t xml:space="preserve">               </w:t>
      </w:r>
      <w:r/>
    </w:p>
    <w:p>
      <w:pPr>
        <w:ind w:firstLine="1446"/>
        <w:rPr>
          <w:b/>
          <w:sz w:val="36"/>
          <w:szCs w:val="21"/>
          <w:u w:val="single"/>
        </w:rPr>
      </w:pPr>
      <w:r>
        <w:rPr>
          <w:b/>
          <w:sz w:val="36"/>
          <w:szCs w:val="21"/>
        </w:rPr>
        <w:t xml:space="preserve">项</w:t>
      </w:r>
      <w:r>
        <w:rPr>
          <w:b/>
          <w:sz w:val="36"/>
          <w:szCs w:val="21"/>
        </w:rPr>
        <w:t xml:space="preserve"> </w:t>
      </w:r>
      <w:r>
        <w:rPr>
          <w:b/>
          <w:sz w:val="36"/>
          <w:szCs w:val="21"/>
        </w:rPr>
        <w:t xml:space="preserve">目</w:t>
      </w:r>
      <w:r>
        <w:rPr>
          <w:b/>
          <w:sz w:val="36"/>
          <w:szCs w:val="21"/>
        </w:rPr>
        <w:t xml:space="preserve"> </w:t>
      </w:r>
      <w:r>
        <w:rPr>
          <w:b/>
          <w:sz w:val="36"/>
          <w:szCs w:val="21"/>
        </w:rPr>
        <w:t xml:space="preserve">编</w:t>
      </w:r>
      <w:r>
        <w:rPr>
          <w:b/>
          <w:sz w:val="36"/>
          <w:szCs w:val="21"/>
        </w:rPr>
        <w:t xml:space="preserve"> </w:t>
      </w:r>
      <w:r>
        <w:rPr>
          <w:b/>
          <w:sz w:val="36"/>
          <w:szCs w:val="21"/>
        </w:rPr>
        <w:t xml:space="preserve">号：</w:t>
      </w:r>
      <w:r>
        <w:rPr>
          <w:b/>
          <w:sz w:val="36"/>
          <w:szCs w:val="21"/>
          <w:u w:val="single"/>
        </w:rPr>
        <w:t xml:space="preserve">               </w:t>
      </w:r>
      <w:r/>
    </w:p>
    <w:p>
      <w:pPr>
        <w:rPr>
          <w:b/>
          <w:sz w:val="36"/>
          <w:szCs w:val="21"/>
          <w:u w:val="single"/>
        </w:rPr>
      </w:pPr>
      <w:r>
        <w:rPr>
          <w:b/>
          <w:sz w:val="36"/>
          <w:szCs w:val="21"/>
        </w:rPr>
        <w:t xml:space="preserve">        </w:t>
      </w:r>
      <w:r>
        <w:rPr>
          <w:b/>
          <w:sz w:val="36"/>
          <w:szCs w:val="21"/>
        </w:rPr>
        <w:t xml:space="preserve">供应商名称</w:t>
      </w:r>
      <w:r>
        <w:rPr>
          <w:b/>
          <w:sz w:val="36"/>
          <w:szCs w:val="21"/>
        </w:rPr>
        <w:t xml:space="preserve"> </w:t>
      </w:r>
      <w:r>
        <w:rPr>
          <w:b/>
          <w:sz w:val="36"/>
          <w:szCs w:val="21"/>
        </w:rPr>
        <w:t xml:space="preserve">：</w:t>
      </w:r>
      <w:r>
        <w:rPr>
          <w:b/>
          <w:sz w:val="36"/>
          <w:szCs w:val="21"/>
          <w:u w:val="single"/>
        </w:rPr>
        <w:t xml:space="preserve">（加盖</w:t>
      </w:r>
      <w:r>
        <w:rPr>
          <w:b/>
          <w:sz w:val="36"/>
          <w:szCs w:val="21"/>
          <w:u w:val="single"/>
        </w:rPr>
        <w:t xml:space="preserve">CA</w:t>
      </w:r>
      <w:r>
        <w:rPr>
          <w:b/>
          <w:sz w:val="36"/>
          <w:szCs w:val="21"/>
          <w:u w:val="single"/>
        </w:rPr>
        <w:t xml:space="preserve">电子公章）</w:t>
      </w:r>
      <w:r/>
    </w:p>
    <w:p>
      <w:pPr>
        <w:rPr>
          <w:b/>
          <w:sz w:val="36"/>
          <w:szCs w:val="21"/>
          <w:u w:val="single"/>
        </w:rPr>
      </w:pPr>
      <w:r>
        <w:rPr>
          <w:b/>
          <w:sz w:val="36"/>
          <w:szCs w:val="21"/>
        </w:rPr>
        <w:t xml:space="preserve">        </w:t>
      </w:r>
      <w:r>
        <w:rPr>
          <w:b/>
          <w:sz w:val="36"/>
          <w:szCs w:val="21"/>
        </w:rPr>
        <w:t xml:space="preserve">日</w:t>
      </w:r>
      <w:r>
        <w:rPr>
          <w:b/>
          <w:sz w:val="36"/>
          <w:szCs w:val="21"/>
        </w:rPr>
        <w:t xml:space="preserve">      </w:t>
      </w:r>
      <w:r>
        <w:rPr>
          <w:b/>
          <w:sz w:val="36"/>
          <w:szCs w:val="21"/>
        </w:rPr>
        <w:t xml:space="preserve">期</w:t>
      </w:r>
      <w:r>
        <w:rPr>
          <w:b/>
          <w:sz w:val="36"/>
          <w:szCs w:val="21"/>
        </w:rPr>
        <w:t xml:space="preserve"> </w:t>
      </w:r>
      <w:r>
        <w:rPr>
          <w:b/>
          <w:sz w:val="36"/>
          <w:szCs w:val="21"/>
        </w:rPr>
        <w:t xml:space="preserve">：</w:t>
      </w:r>
      <w:r>
        <w:rPr>
          <w:b/>
          <w:sz w:val="36"/>
          <w:szCs w:val="21"/>
          <w:u w:val="single"/>
        </w:rPr>
        <w:t xml:space="preserve">               </w:t>
      </w:r>
      <w:r/>
    </w:p>
    <w:p>
      <w:pPr>
        <w:jc w:val="center"/>
        <w:spacing w:line="440" w:lineRule="exact"/>
        <w:rPr>
          <w:b/>
          <w:bCs/>
          <w:sz w:val="32"/>
          <w:szCs w:val="32"/>
        </w:rPr>
      </w:pPr>
      <w:r>
        <w:rPr>
          <w:b/>
          <w:bCs/>
          <w:sz w:val="32"/>
          <w:szCs w:val="32"/>
        </w:rPr>
      </w:r>
      <w:r/>
    </w:p>
    <w:p>
      <w:pPr>
        <w:spacing w:line="440" w:lineRule="exact"/>
        <w:rPr>
          <w:szCs w:val="21"/>
        </w:rPr>
      </w:pPr>
      <w:r>
        <w:rPr>
          <w:szCs w:val="21"/>
        </w:rPr>
      </w:r>
      <w:r/>
    </w:p>
    <w:p>
      <w:pPr>
        <w:jc w:val="center"/>
        <w:rPr>
          <w:b/>
          <w:bCs/>
          <w:sz w:val="32"/>
          <w:szCs w:val="32"/>
        </w:rPr>
      </w:pPr>
      <w:r>
        <w:rPr>
          <w:b/>
          <w:sz w:val="36"/>
          <w:szCs w:val="21"/>
          <w:u w:val="single"/>
        </w:rPr>
        <w:br w:type="page" w:clear="all"/>
      </w:r>
      <w:r>
        <w:rPr>
          <w:b/>
          <w:bCs/>
          <w:sz w:val="32"/>
          <w:szCs w:val="32"/>
        </w:rPr>
        <w:t xml:space="preserve">响应文件目录</w:t>
      </w:r>
      <w:r/>
    </w:p>
    <w:p>
      <w:pPr>
        <w:jc w:val="center"/>
        <w:spacing w:line="440" w:lineRule="exact"/>
        <w:rPr>
          <w:b/>
          <w:bCs/>
          <w:sz w:val="32"/>
          <w:szCs w:val="32"/>
        </w:rPr>
      </w:pPr>
      <w:r>
        <w:rPr>
          <w:b/>
          <w:bCs/>
          <w:sz w:val="32"/>
          <w:szCs w:val="32"/>
        </w:rPr>
      </w:r>
      <w:r/>
    </w:p>
    <w:p>
      <w:pPr>
        <w:spacing w:line="440" w:lineRule="exact"/>
        <w:rPr>
          <w:i/>
          <w:sz w:val="24"/>
          <w:u w:val="single"/>
        </w:rPr>
      </w:pPr>
      <w:r>
        <w:rPr>
          <w:i/>
          <w:sz w:val="24"/>
          <w:u w:val="single"/>
        </w:rPr>
        <w:t xml:space="preserve">一、供应商资格声明函</w:t>
      </w:r>
      <w:r/>
    </w:p>
    <w:p>
      <w:pPr>
        <w:spacing w:line="440" w:lineRule="exact"/>
        <w:rPr>
          <w:i/>
          <w:sz w:val="24"/>
          <w:u w:val="single"/>
        </w:rPr>
      </w:pPr>
      <w:r>
        <w:rPr>
          <w:i/>
          <w:sz w:val="24"/>
          <w:u w:val="single"/>
        </w:rPr>
        <w:t xml:space="preserve">二、特定资格要求的证明文件（如果本项目设置特定资格要求，则需要提供）</w:t>
      </w:r>
      <w:r/>
    </w:p>
    <w:p>
      <w:pPr>
        <w:spacing w:line="440" w:lineRule="exact"/>
        <w:rPr>
          <w:i/>
          <w:sz w:val="24"/>
          <w:u w:val="single"/>
        </w:rPr>
      </w:pPr>
      <w:r>
        <w:rPr>
          <w:i/>
          <w:sz w:val="24"/>
          <w:u w:val="single"/>
        </w:rPr>
        <w:t xml:space="preserve">三、</w:t>
      </w:r>
      <w:r>
        <w:rPr>
          <w:rFonts w:hint="eastAsia"/>
          <w:i/>
          <w:sz w:val="24"/>
          <w:u w:val="single"/>
        </w:rPr>
        <w:t xml:space="preserve">响应函</w:t>
      </w:r>
      <w:r/>
    </w:p>
    <w:p>
      <w:pPr>
        <w:spacing w:line="440" w:lineRule="exact"/>
        <w:rPr>
          <w:i/>
          <w:sz w:val="24"/>
          <w:u w:val="single"/>
        </w:rPr>
      </w:pPr>
      <w:r>
        <w:rPr>
          <w:rFonts w:hint="eastAsia"/>
          <w:i/>
          <w:sz w:val="24"/>
          <w:u w:val="single"/>
        </w:rPr>
        <w:t xml:space="preserve">四、</w:t>
      </w:r>
      <w:r>
        <w:rPr>
          <w:i/>
          <w:sz w:val="24"/>
          <w:u w:val="single"/>
        </w:rPr>
        <w:t xml:space="preserve">法定代表人资格证明书</w:t>
      </w:r>
      <w:r/>
    </w:p>
    <w:p>
      <w:pPr>
        <w:spacing w:line="440" w:lineRule="exact"/>
        <w:rPr>
          <w:i/>
          <w:sz w:val="24"/>
          <w:u w:val="single"/>
        </w:rPr>
      </w:pPr>
      <w:r>
        <w:rPr>
          <w:rFonts w:hint="eastAsia"/>
          <w:i/>
          <w:sz w:val="24"/>
          <w:u w:val="single"/>
        </w:rPr>
        <w:t xml:space="preserve">五、</w:t>
      </w:r>
      <w:r>
        <w:rPr>
          <w:i/>
          <w:sz w:val="24"/>
          <w:u w:val="single"/>
        </w:rPr>
        <w:t xml:space="preserve">政府采购供应商信用承诺书</w:t>
      </w:r>
      <w:r/>
    </w:p>
    <w:p>
      <w:pPr>
        <w:spacing w:line="440" w:lineRule="exact"/>
        <w:rPr>
          <w:i/>
          <w:sz w:val="24"/>
          <w:u w:val="single"/>
        </w:rPr>
      </w:pPr>
      <w:r>
        <w:rPr>
          <w:rFonts w:hint="eastAsia"/>
          <w:i/>
          <w:sz w:val="24"/>
          <w:u w:val="single"/>
        </w:rPr>
        <w:t xml:space="preserve">六、中小企业声明函</w:t>
      </w:r>
      <w:r/>
    </w:p>
    <w:p>
      <w:pPr>
        <w:spacing w:line="440" w:lineRule="exact"/>
        <w:rPr>
          <w:i/>
          <w:sz w:val="24"/>
          <w:u w:val="single"/>
        </w:rPr>
      </w:pPr>
      <w:r>
        <w:rPr>
          <w:rFonts w:hint="eastAsia"/>
          <w:i/>
          <w:sz w:val="24"/>
          <w:u w:val="single"/>
        </w:rPr>
        <w:t xml:space="preserve">七、残疾人福利性单位声明函或监狱企业证明</w:t>
      </w:r>
      <w:r/>
    </w:p>
    <w:p>
      <w:pPr>
        <w:spacing w:line="440" w:lineRule="exact"/>
        <w:rPr>
          <w:i/>
          <w:sz w:val="24"/>
          <w:u w:val="single"/>
        </w:rPr>
      </w:pPr>
      <w:r>
        <w:rPr>
          <w:rFonts w:hint="eastAsia"/>
          <w:i/>
          <w:sz w:val="24"/>
          <w:u w:val="single"/>
        </w:rPr>
        <w:t xml:space="preserve">八、</w:t>
      </w:r>
      <w:r>
        <w:rPr>
          <w:rFonts w:hint="eastAsia"/>
          <w:i/>
          <w:sz w:val="24"/>
          <w:u w:val="single"/>
        </w:rPr>
        <w:t xml:space="preserve">分项报价表</w:t>
      </w:r>
      <w:r/>
    </w:p>
    <w:p>
      <w:pPr>
        <w:spacing w:line="440" w:lineRule="exact"/>
        <w:rPr>
          <w:i/>
          <w:sz w:val="24"/>
          <w:u w:val="single"/>
        </w:rPr>
      </w:pPr>
      <w:r>
        <w:rPr>
          <w:rFonts w:hint="eastAsia"/>
          <w:i/>
          <w:sz w:val="24"/>
          <w:u w:val="single"/>
        </w:rPr>
        <w:t xml:space="preserve">九、</w:t>
      </w:r>
      <w:r>
        <w:rPr>
          <w:rFonts w:hint="eastAsia"/>
          <w:i/>
          <w:sz w:val="24"/>
          <w:u w:val="single"/>
        </w:rPr>
        <w:t xml:space="preserve">技术要求响应及偏离表</w:t>
      </w:r>
      <w:r/>
    </w:p>
    <w:p>
      <w:pPr>
        <w:spacing w:line="440" w:lineRule="exact"/>
        <w:rPr>
          <w:i/>
          <w:sz w:val="24"/>
          <w:u w:val="single"/>
        </w:rPr>
      </w:pPr>
      <w:r>
        <w:rPr>
          <w:rFonts w:hint="eastAsia"/>
          <w:i/>
          <w:sz w:val="24"/>
          <w:u w:val="single"/>
        </w:rPr>
        <w:t xml:space="preserve">十</w:t>
      </w:r>
      <w:r>
        <w:rPr>
          <w:rFonts w:hint="eastAsia"/>
          <w:i/>
          <w:sz w:val="24"/>
          <w:u w:val="single"/>
        </w:rPr>
        <w:t xml:space="preserve">、商务要求响应及偏离表</w:t>
      </w:r>
      <w:r/>
    </w:p>
    <w:p>
      <w:pPr>
        <w:ind w:firstLine="480"/>
        <w:spacing w:line="440" w:lineRule="exact"/>
        <w:rPr>
          <w:i/>
          <w:sz w:val="24"/>
          <w:szCs w:val="21"/>
          <w:u w:val="single"/>
        </w:rPr>
      </w:pPr>
      <w:r>
        <w:rPr>
          <w:i/>
          <w:sz w:val="24"/>
          <w:szCs w:val="21"/>
          <w:u w:val="single"/>
        </w:rPr>
      </w:r>
      <w:r/>
    </w:p>
    <w:p>
      <w:pPr>
        <w:spacing w:line="440" w:lineRule="exact"/>
        <w:rPr>
          <w:sz w:val="24"/>
          <w:szCs w:val="21"/>
        </w:rPr>
      </w:pPr>
      <w:r>
        <w:rPr>
          <w:sz w:val="24"/>
          <w:szCs w:val="21"/>
        </w:rPr>
      </w:r>
      <w:r/>
    </w:p>
    <w:p>
      <w:pPr>
        <w:rPr>
          <w:rFonts w:eastAsia="黑体"/>
          <w:i/>
          <w:sz w:val="32"/>
          <w:szCs w:val="32"/>
          <w:u w:val="single"/>
        </w:rPr>
        <w:sectPr>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eastAsia="黑体"/>
          <w:i/>
          <w:sz w:val="32"/>
          <w:szCs w:val="32"/>
          <w:u w:val="single"/>
        </w:rPr>
      </w:r>
      <w:r/>
    </w:p>
    <w:p>
      <w:pPr>
        <w:rPr>
          <w:rFonts w:eastAsia="黑体"/>
          <w:i/>
          <w:sz w:val="32"/>
          <w:szCs w:val="32"/>
          <w:u w:val="single"/>
        </w:rPr>
      </w:pPr>
      <w:r>
        <w:rPr>
          <w:rFonts w:eastAsia="黑体"/>
          <w:i/>
          <w:sz w:val="32"/>
          <w:szCs w:val="32"/>
          <w:u w:val="single"/>
        </w:rPr>
        <w:t xml:space="preserve">一、供应商资格声明函</w:t>
      </w:r>
      <w:r/>
    </w:p>
    <w:p>
      <w:pPr>
        <w:jc w:val="center"/>
        <w:spacing w:before="156" w:line="360" w:lineRule="auto"/>
        <w:widowControl/>
        <w:rPr>
          <w:b/>
          <w:sz w:val="28"/>
          <w:szCs w:val="28"/>
        </w:rPr>
      </w:pPr>
      <w:r>
        <w:rPr>
          <w:b/>
          <w:sz w:val="28"/>
          <w:szCs w:val="28"/>
        </w:rPr>
      </w:r>
      <w:r/>
    </w:p>
    <w:p>
      <w:pPr>
        <w:jc w:val="center"/>
        <w:spacing w:before="156" w:line="360" w:lineRule="auto"/>
        <w:widowControl/>
      </w:pPr>
      <w:r>
        <w:rPr>
          <w:b/>
          <w:sz w:val="28"/>
          <w:szCs w:val="28"/>
        </w:rPr>
        <w:t xml:space="preserve">供应商资格声明函</w:t>
      </w:r>
      <w:r/>
    </w:p>
    <w:p>
      <w:pPr>
        <w:pStyle w:val="768"/>
        <w:ind w:firstLine="480"/>
        <w:spacing w:line="460" w:lineRule="exact"/>
      </w:pPr>
      <w:r/>
      <w:r/>
    </w:p>
    <w:p>
      <w:pPr>
        <w:pStyle w:val="768"/>
        <w:ind w:firstLine="480"/>
        <w:spacing w:line="460" w:lineRule="exact"/>
      </w:pPr>
      <w:r>
        <w:t xml:space="preserve">致：溧阳市政府采购中心</w:t>
      </w:r>
      <w:r/>
    </w:p>
    <w:p>
      <w:pPr>
        <w:pStyle w:val="768"/>
        <w:ind w:firstLine="840"/>
        <w:spacing w:line="460" w:lineRule="exact"/>
      </w:pPr>
      <w:r>
        <w:rPr>
          <w:u w:val="single"/>
        </w:rPr>
        <w:t xml:space="preserve">（采购人名称）</w:t>
      </w:r>
      <w:r/>
    </w:p>
    <w:p>
      <w:pPr>
        <w:pStyle w:val="768"/>
        <w:ind w:firstLine="480"/>
        <w:spacing w:line="460" w:lineRule="exact"/>
      </w:pPr>
      <w:r>
        <w:t xml:space="preserve">按照《中华人民共和国政府采购法》第二十二条和招标文件的规定，我单位郑重声明如下：</w:t>
      </w:r>
      <w:r/>
    </w:p>
    <w:p>
      <w:pPr>
        <w:pStyle w:val="768"/>
        <w:ind w:firstLine="480"/>
        <w:spacing w:line="460" w:lineRule="exact"/>
      </w:pPr>
      <w:r>
        <w:t xml:space="preserve">一、我单位是按照中华人民共和国法律规定登记注册的，注册地点为</w:t>
      </w:r>
      <w:r>
        <w:rPr>
          <w:u w:val="single"/>
        </w:rPr>
        <w:t xml:space="preserve">         </w:t>
      </w:r>
      <w:r>
        <w:t xml:space="preserve">，全称为</w:t>
      </w:r>
      <w:r>
        <w:rPr>
          <w:u w:val="single"/>
        </w:rPr>
        <w:t xml:space="preserve">        </w:t>
      </w:r>
      <w:r>
        <w:t xml:space="preserve">，统一社会信用代码为</w:t>
      </w:r>
      <w:r>
        <w:rPr>
          <w:u w:val="single"/>
        </w:rPr>
        <w:t xml:space="preserve">           </w:t>
      </w:r>
      <w:r>
        <w:t xml:space="preserve"> </w:t>
      </w:r>
      <w:r>
        <w:t xml:space="preserve">，法定代表人（单位负责人）为</w:t>
      </w:r>
      <w:r>
        <w:rPr>
          <w:u w:val="single"/>
        </w:rPr>
        <w:t xml:space="preserve">         </w:t>
      </w:r>
      <w:r>
        <w:t xml:space="preserve">，具有独立承担民事责任的能力</w:t>
      </w:r>
      <w:r>
        <w:rPr>
          <w:b/>
          <w:i/>
          <w:u w:val="single"/>
        </w:rPr>
        <w:t xml:space="preserve">（如属于分公司经总公司授权参与项目，由总公司承担民事责任的，需提供总公司项目授权书）</w:t>
      </w:r>
      <w:r>
        <w:t xml:space="preserve">。</w:t>
      </w:r>
      <w:r/>
    </w:p>
    <w:p>
      <w:pPr>
        <w:pStyle w:val="768"/>
        <w:ind w:firstLine="480"/>
        <w:spacing w:line="460" w:lineRule="exact"/>
      </w:pPr>
      <w:r>
        <w:t xml:space="preserve">二、我单位具有良好的商业信誉（指供应商经营状况良好，无本资格声明第十条情形）和健全的财务会计制度。</w:t>
      </w:r>
      <w:r/>
    </w:p>
    <w:p>
      <w:pPr>
        <w:pStyle w:val="768"/>
        <w:ind w:firstLine="480"/>
        <w:spacing w:line="460" w:lineRule="exact"/>
      </w:pPr>
      <w:r>
        <w:t xml:space="preserve">三、我单位依法进行纳税和社会保险申报并实际履行了义务。</w:t>
      </w:r>
      <w:r/>
    </w:p>
    <w:p>
      <w:pPr>
        <w:pStyle w:val="768"/>
        <w:ind w:firstLine="480"/>
        <w:spacing w:line="460" w:lineRule="exact"/>
      </w:pPr>
      <w:r>
        <w:t xml:space="preserve">四、我单位具有履行本项目采购合同所必需的设备和专业技术能力，并具有履行合同的良好记录。为履行本项采购合同我单位具备如下主要设备和主要专业技术能力</w:t>
      </w:r>
      <w:r>
        <w:t xml:space="preserve">:</w:t>
      </w:r>
      <w:r/>
    </w:p>
    <w:p>
      <w:pPr>
        <w:pStyle w:val="768"/>
        <w:ind w:firstLine="480"/>
        <w:spacing w:line="460" w:lineRule="exact"/>
      </w:pPr>
      <w:r>
        <w:t xml:space="preserve">主要设备有：</w:t>
      </w:r>
      <w:r>
        <w:rPr>
          <w:u w:val="single"/>
        </w:rPr>
        <w:t xml:space="preserve">            </w:t>
      </w:r>
      <w:r/>
    </w:p>
    <w:p>
      <w:pPr>
        <w:pStyle w:val="768"/>
        <w:ind w:firstLine="480"/>
        <w:spacing w:line="460" w:lineRule="exact"/>
      </w:pPr>
      <w:r>
        <w:t xml:space="preserve">主要专业技术能力有</w:t>
      </w:r>
      <w:r>
        <w:rPr>
          <w:u w:val="single"/>
        </w:rPr>
        <w:t xml:space="preserve">                 </w:t>
      </w:r>
      <w:r/>
    </w:p>
    <w:p>
      <w:pPr>
        <w:pStyle w:val="768"/>
        <w:ind w:firstLine="480"/>
        <w:spacing w:line="460" w:lineRule="exact"/>
      </w:pPr>
      <w:r>
        <w:t xml:space="preserve">五、我单位在参加采购项目政府采购活动前三年内，在经营活动中，未因违法经营受到刑事处罚或者责令停产停业、吊销许可证或者</w:t>
      </w:r>
      <w:r>
        <w:t xml:space="preserve">执照、较大数额罚款等行政处罚。其中较大数额罚款是指：达到处罚地行政处罚听证范围中</w:t>
      </w:r>
      <w:r>
        <w:t xml:space="preserve">“</w:t>
      </w:r>
      <w:r>
        <w:t xml:space="preserve">较大数额罚款</w:t>
      </w:r>
      <w:r>
        <w:t xml:space="preserve">”</w:t>
      </w:r>
      <w:r>
        <w:t xml:space="preserve">标准的；法律、法规、规章、国务院有关行政主管部门对</w:t>
      </w:r>
      <w:r>
        <w:t xml:space="preserve">“</w:t>
      </w:r>
      <w:r>
        <w:t xml:space="preserve">较大数额罚款</w:t>
      </w:r>
      <w:r>
        <w:t xml:space="preserve">”</w:t>
      </w:r>
      <w:r>
        <w:t xml:space="preserve">标准另有规定的，从其规定。（供应商如在参加政府采购活动前</w:t>
      </w:r>
      <w:r>
        <w:t xml:space="preserve">3</w:t>
      </w:r>
      <w:r>
        <w:t xml:space="preserve">年内因违法经营被禁止在一定期限内参加政府采购活动，期限届满的，可以参加政府采购活动。）</w:t>
      </w:r>
      <w:r/>
    </w:p>
    <w:p>
      <w:pPr>
        <w:pStyle w:val="768"/>
        <w:ind w:firstLine="480"/>
        <w:spacing w:line="460" w:lineRule="exact"/>
      </w:pPr>
      <w:r>
        <w:t xml:space="preserve">六、我单位具备法律、行政法规规定的其他条件。</w:t>
      </w:r>
      <w:r/>
    </w:p>
    <w:p>
      <w:pPr>
        <w:pStyle w:val="768"/>
        <w:ind w:firstLine="480"/>
        <w:spacing w:line="460" w:lineRule="exact"/>
      </w:pPr>
      <w:r>
        <w:t xml:space="preserve">七、与我单位存在</w:t>
      </w:r>
      <w:r>
        <w:t xml:space="preserve">“</w:t>
      </w:r>
      <w:r>
        <w:t xml:space="preserve">单位负责人为同一人或者存在直接控股、管理关系</w:t>
      </w:r>
      <w:r>
        <w:t xml:space="preserve">”</w:t>
      </w:r>
      <w:r>
        <w:t xml:space="preserve">的其他单位信息如下（如无此情形的，填写</w:t>
      </w:r>
      <w:r>
        <w:t xml:space="preserve">“</w:t>
      </w:r>
      <w:r>
        <w:t xml:space="preserve">无</w:t>
      </w:r>
      <w:r>
        <w:t xml:space="preserve">”</w:t>
      </w:r>
      <w:r>
        <w:t xml:space="preserve">）：</w:t>
      </w:r>
      <w:r/>
    </w:p>
    <w:p>
      <w:pPr>
        <w:pStyle w:val="768"/>
        <w:ind w:firstLine="480"/>
        <w:spacing w:line="460" w:lineRule="exact"/>
      </w:pPr>
      <w:r>
        <w:t xml:space="preserve">1</w:t>
      </w:r>
      <w:r>
        <w:t xml:space="preserve">、与我单位的法定代表人（单位负责人）为同一</w:t>
      </w:r>
      <w:r>
        <w:t xml:space="preserve">人的其他单位如下：</w:t>
      </w:r>
      <w:r>
        <w:rPr>
          <w:u w:val="single"/>
        </w:rPr>
        <w:t xml:space="preserve">     </w:t>
      </w:r>
      <w:r>
        <w:t xml:space="preserve">          </w:t>
      </w:r>
      <w:r/>
    </w:p>
    <w:p>
      <w:pPr>
        <w:pStyle w:val="768"/>
        <w:ind w:firstLine="480"/>
        <w:spacing w:line="460" w:lineRule="exact"/>
      </w:pPr>
      <w:r>
        <w:t xml:space="preserve">2</w:t>
      </w:r>
      <w:r>
        <w:t xml:space="preserve">、我单位直接控股的其他单位如下：</w:t>
      </w:r>
      <w:r>
        <w:rPr>
          <w:u w:val="single"/>
        </w:rPr>
        <w:t xml:space="preserve">                    </w:t>
      </w:r>
      <w:r>
        <w:t xml:space="preserve"> </w:t>
      </w:r>
      <w:r/>
    </w:p>
    <w:p>
      <w:pPr>
        <w:pStyle w:val="768"/>
        <w:ind w:firstLine="480"/>
        <w:spacing w:line="460" w:lineRule="exact"/>
      </w:pPr>
      <w:r>
        <w:t xml:space="preserve">3</w:t>
      </w:r>
      <w:r>
        <w:t xml:space="preserve">、与我单位存在管理关系的其他单位如下：</w:t>
      </w:r>
      <w:r>
        <w:rPr>
          <w:u w:val="single"/>
        </w:rPr>
        <w:t xml:space="preserve">              </w:t>
      </w:r>
      <w:r>
        <w:t xml:space="preserve"> </w:t>
      </w:r>
      <w:r/>
    </w:p>
    <w:p>
      <w:pPr>
        <w:pStyle w:val="768"/>
        <w:ind w:firstLine="480"/>
        <w:spacing w:line="460" w:lineRule="exact"/>
      </w:pPr>
      <w:r>
        <w:t xml:space="preserve">八、我单位不属于为本项目提供整体设计、规范编制或者项目管理、监理、检测等服务的供应商。</w:t>
      </w:r>
      <w:r/>
    </w:p>
    <w:p>
      <w:pPr>
        <w:pStyle w:val="768"/>
        <w:ind w:firstLine="480"/>
        <w:spacing w:line="460" w:lineRule="exact"/>
      </w:pPr>
      <w:r>
        <w:t xml:space="preserve">九、我单位</w:t>
      </w:r>
      <w:r>
        <w:t xml:space="preserve">无以下</w:t>
      </w:r>
      <w:r>
        <w:t xml:space="preserve">不良信用记录情形：</w:t>
      </w:r>
      <w:r/>
    </w:p>
    <w:p>
      <w:pPr>
        <w:pStyle w:val="768"/>
        <w:ind w:firstLine="480"/>
        <w:spacing w:line="460" w:lineRule="exact"/>
      </w:pPr>
      <w:r>
        <w:t xml:space="preserve">1</w:t>
      </w:r>
      <w:r>
        <w:t xml:space="preserve">、在</w:t>
      </w:r>
      <w:r>
        <w:t xml:space="preserve">“</w:t>
      </w:r>
      <w:r>
        <w:t xml:space="preserve">信用中国</w:t>
      </w:r>
      <w:r>
        <w:t xml:space="preserve">”</w:t>
      </w:r>
      <w:r>
        <w:t xml:space="preserve">网站被列入失信被执行人和重大税收违法案件当事人名单；</w:t>
      </w:r>
      <w:r/>
    </w:p>
    <w:p>
      <w:pPr>
        <w:pStyle w:val="768"/>
        <w:ind w:firstLine="480"/>
        <w:spacing w:line="460" w:lineRule="exact"/>
      </w:pPr>
      <w:r>
        <w:t xml:space="preserve">2</w:t>
      </w:r>
      <w:r>
        <w:t xml:space="preserve">、在</w:t>
      </w:r>
      <w:r>
        <w:t xml:space="preserve">“</w:t>
      </w:r>
      <w:r>
        <w:t xml:space="preserve">中国政府采购网</w:t>
      </w:r>
      <w:r>
        <w:t xml:space="preserve">”</w:t>
      </w:r>
      <w:r>
        <w:t xml:space="preserve">网站被列入政府采购严重违法失信行为记录名单；</w:t>
      </w:r>
      <w:r/>
    </w:p>
    <w:p>
      <w:pPr>
        <w:pStyle w:val="768"/>
        <w:ind w:firstLine="480"/>
        <w:spacing w:line="460" w:lineRule="exact"/>
      </w:pPr>
      <w:r>
        <w:t xml:space="preserve">3</w:t>
      </w:r>
      <w:r>
        <w:t xml:space="preserve">、不符合《政府采购法》第二十二条规定的条件。</w:t>
      </w:r>
      <w:r/>
    </w:p>
    <w:p>
      <w:pPr>
        <w:pStyle w:val="768"/>
        <w:ind w:firstLine="480"/>
        <w:spacing w:line="460" w:lineRule="exact"/>
      </w:pPr>
      <w:r/>
      <w:r/>
    </w:p>
    <w:p>
      <w:pPr>
        <w:pStyle w:val="768"/>
        <w:ind w:firstLine="480"/>
        <w:spacing w:line="460" w:lineRule="exact"/>
      </w:pPr>
      <w:r>
        <w:t xml:space="preserve">我单位保证上述声明的事项都是真实的，如有虚假，我单位愿意承担相应的法律责任，并承担因此所造成的一切损失。</w:t>
      </w:r>
      <w:r/>
    </w:p>
    <w:p>
      <w:pPr>
        <w:pStyle w:val="768"/>
        <w:ind w:firstLine="480"/>
        <w:spacing w:line="460" w:lineRule="exact"/>
      </w:pPr>
      <w:r/>
      <w:r/>
    </w:p>
    <w:p>
      <w:pPr>
        <w:pStyle w:val="768"/>
        <w:ind w:firstLine="480"/>
        <w:spacing w:line="460" w:lineRule="exact"/>
      </w:pPr>
      <w:r/>
      <w:r/>
    </w:p>
    <w:p>
      <w:pPr>
        <w:pStyle w:val="768"/>
        <w:ind w:firstLine="480"/>
        <w:spacing w:line="460" w:lineRule="exact"/>
      </w:pPr>
      <w:r>
        <w:t xml:space="preserve">                                            </w:t>
      </w:r>
      <w:r>
        <w:t xml:space="preserve">供应商：（加盖公章）</w:t>
      </w:r>
      <w:r/>
    </w:p>
    <w:p>
      <w:pPr>
        <w:pStyle w:val="768"/>
        <w:ind w:firstLine="480"/>
        <w:spacing w:line="460" w:lineRule="exact"/>
      </w:pPr>
      <w:r>
        <w:t xml:space="preserve">                                           </w:t>
      </w:r>
      <w:r>
        <w:t xml:space="preserve">法定代表人（或单位负责人）签字或盖章：</w:t>
      </w:r>
      <w:r/>
    </w:p>
    <w:p>
      <w:pPr>
        <w:pStyle w:val="768"/>
        <w:ind w:firstLine="4305"/>
        <w:spacing w:line="460" w:lineRule="exact"/>
      </w:pPr>
      <w:r>
        <w:t xml:space="preserve">日期：</w:t>
      </w:r>
      <w:r>
        <w:t xml:space="preserve">    </w:t>
      </w:r>
      <w:r>
        <w:t xml:space="preserve">年</w:t>
      </w:r>
      <w:r>
        <w:t xml:space="preserve">    </w:t>
      </w:r>
      <w:r>
        <w:t xml:space="preserve">月</w:t>
      </w:r>
      <w:r>
        <w:t xml:space="preserve">    </w:t>
      </w:r>
      <w:r>
        <w:t xml:space="preserve">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说明：供应商承诺不实的，依据《政府采购法》第七十七条</w:t>
      </w:r>
      <w:r>
        <w:rPr>
          <w:sz w:val="24"/>
        </w:rPr>
        <w:t xml:space="preserve">“</w:t>
      </w:r>
      <w:r>
        <w:rPr>
          <w:sz w:val="24"/>
        </w:rPr>
        <w:t xml:space="preserve">提供虚假材料谋取中标、成交的</w:t>
      </w:r>
      <w:r>
        <w:rPr>
          <w:sz w:val="24"/>
        </w:rPr>
        <w:t xml:space="preserve">”</w:t>
      </w:r>
      <w:r>
        <w:rPr>
          <w:sz w:val="24"/>
        </w:rPr>
        <w:t xml:space="preserve">有关规定予以处理。</w:t>
      </w:r>
      <w:r/>
    </w:p>
    <w:p>
      <w:pPr>
        <w:spacing w:line="360" w:lineRule="auto"/>
        <w:tabs>
          <w:tab w:val="left" w:pos="5580" w:leader="none"/>
        </w:tabs>
        <w:rPr>
          <w:sz w:val="24"/>
        </w:rPr>
        <w:sectPr>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rPr>
          <w:rFonts w:eastAsia="黑体"/>
          <w:i/>
          <w:sz w:val="32"/>
          <w:szCs w:val="32"/>
          <w:u w:val="single"/>
        </w:rPr>
      </w:pPr>
      <w:r>
        <w:rPr>
          <w:rFonts w:eastAsia="黑体"/>
          <w:i/>
          <w:sz w:val="32"/>
          <w:szCs w:val="32"/>
          <w:u w:val="single"/>
        </w:rPr>
        <w:t xml:space="preserve">二、特定资格要求的证明文件</w:t>
      </w:r>
      <w:r/>
    </w:p>
    <w:p>
      <w:pPr>
        <w:spacing w:line="460" w:lineRule="exact"/>
        <w:rPr>
          <w:bCs/>
          <w:sz w:val="24"/>
        </w:rPr>
      </w:pPr>
      <w:r>
        <w:rPr>
          <w:sz w:val="24"/>
        </w:rPr>
        <w:t xml:space="preserve">    </w:t>
      </w:r>
      <w:r>
        <w:rPr>
          <w:sz w:val="24"/>
        </w:rPr>
        <w:t xml:space="preserve">如果本项目申请人的特定资格要求中要求提供的，必须提供。</w:t>
      </w:r>
      <w:r/>
    </w:p>
    <w:p>
      <w:pPr>
        <w:spacing w:line="460" w:lineRule="exact"/>
        <w:rPr>
          <w:bCs/>
          <w:sz w:val="24"/>
        </w:rPr>
      </w:pPr>
      <w:r>
        <w:rPr>
          <w:bCs/>
          <w:sz w:val="24"/>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sectPr>
          <w:headerReference w:type="default" r:id="rId10"/>
          <w:headerReference w:type="first" r:id="rId11"/>
          <w:footerReference w:type="default" r:id="rId14"/>
          <w:footerReference w:type="even" r:id="rId15"/>
          <w:footerReference w:type="first" r:id="rId16"/>
          <w:footnotePr/>
          <w:endnotePr/>
          <w:type w:val="nextPage"/>
          <w:pgSz w:w="11906" w:h="16838" w:orient="portrait"/>
          <w:pgMar w:top="1440" w:right="1800" w:bottom="1440" w:left="1800" w:header="851" w:footer="907" w:gutter="0"/>
          <w:pgNumType w:start="0"/>
          <w:cols w:num="1" w:sep="0" w:space="720" w:equalWidth="1"/>
          <w:docGrid w:linePitch="360"/>
          <w:titlePg/>
        </w:sectPr>
      </w:pPr>
      <w:r>
        <w:rPr>
          <w:rFonts w:eastAsia="黑体"/>
          <w:i/>
          <w:sz w:val="32"/>
          <w:szCs w:val="32"/>
          <w:u w:val="single"/>
        </w:rPr>
      </w:r>
      <w:r/>
    </w:p>
    <w:p>
      <w:pPr>
        <w:keepLines/>
        <w:keepNext/>
        <w:spacing w:before="260" w:after="260" w:line="416" w:lineRule="auto"/>
        <w:rPr>
          <w:rFonts w:eastAsia="黑体"/>
          <w:bCs/>
          <w:i/>
          <w:sz w:val="32"/>
          <w:szCs w:val="32"/>
          <w:u w:val="single"/>
        </w:rPr>
      </w:pPr>
      <w:r>
        <w:rPr>
          <w:rFonts w:eastAsia="黑体"/>
          <w:i/>
          <w:sz w:val="32"/>
          <w:szCs w:val="32"/>
          <w:u w:val="single"/>
        </w:rPr>
        <w:t xml:space="preserve">三、</w:t>
      </w:r>
      <w:r>
        <w:rPr>
          <w:rFonts w:eastAsia="黑体"/>
          <w:bCs/>
          <w:i/>
          <w:sz w:val="32"/>
          <w:szCs w:val="32"/>
          <w:u w:val="single"/>
        </w:rPr>
        <w:t xml:space="preserve">响应函</w:t>
      </w:r>
      <w:r/>
    </w:p>
    <w:p>
      <w:pPr>
        <w:ind w:firstLine="480"/>
        <w:jc w:val="center"/>
        <w:spacing w:line="460" w:lineRule="exact"/>
        <w:rPr>
          <w:sz w:val="24"/>
          <w:szCs w:val="24"/>
        </w:rPr>
      </w:pPr>
      <w:r>
        <w:rPr>
          <w:b/>
          <w:sz w:val="36"/>
          <w:szCs w:val="36"/>
        </w:rPr>
        <w:t xml:space="preserve">响应函</w:t>
      </w:r>
      <w:r/>
    </w:p>
    <w:p>
      <w:pPr>
        <w:ind w:firstLine="480"/>
        <w:spacing w:line="460" w:lineRule="exact"/>
        <w:rPr>
          <w:sz w:val="24"/>
          <w:szCs w:val="24"/>
        </w:rPr>
      </w:pPr>
      <w:r>
        <w:rPr>
          <w:sz w:val="24"/>
          <w:szCs w:val="24"/>
        </w:rPr>
        <w:t xml:space="preserve">致：溧阳市政府采购中心</w:t>
      </w:r>
      <w:r/>
    </w:p>
    <w:p>
      <w:pPr>
        <w:ind w:firstLine="840"/>
        <w:spacing w:line="460" w:lineRule="exact"/>
        <w:rPr>
          <w:sz w:val="24"/>
          <w:szCs w:val="24"/>
        </w:rPr>
      </w:pPr>
      <w:r>
        <w:rPr>
          <w:sz w:val="24"/>
          <w:szCs w:val="24"/>
          <w:u w:val="single"/>
        </w:rPr>
        <w:t xml:space="preserve">（采购人名称）</w:t>
      </w:r>
      <w:r/>
    </w:p>
    <w:p>
      <w:pPr>
        <w:spacing w:line="360" w:lineRule="auto"/>
        <w:tabs>
          <w:tab w:val="left" w:pos="5580" w:leader="none"/>
        </w:tabs>
        <w:rPr>
          <w:sz w:val="24"/>
          <w:szCs w:val="20"/>
        </w:rPr>
      </w:pPr>
      <w:r>
        <w:rPr>
          <w:sz w:val="24"/>
          <w:szCs w:val="20"/>
        </w:rPr>
      </w:r>
      <w:r/>
    </w:p>
    <w:p>
      <w:pPr>
        <w:ind w:firstLine="408"/>
        <w:spacing w:line="360" w:lineRule="auto"/>
        <w:tabs>
          <w:tab w:val="left" w:pos="5580" w:leader="none"/>
        </w:tabs>
        <w:rPr>
          <w:sz w:val="24"/>
          <w:szCs w:val="20"/>
        </w:rPr>
      </w:pPr>
      <w:r>
        <w:rPr>
          <w:sz w:val="24"/>
          <w:szCs w:val="20"/>
        </w:rPr>
        <w:t xml:space="preserve">我方参加你方就</w:t>
      </w:r>
      <w:r>
        <w:rPr>
          <w:sz w:val="24"/>
          <w:szCs w:val="20"/>
        </w:rPr>
        <w:t xml:space="preserve">___________</w:t>
      </w:r>
      <w:r>
        <w:rPr>
          <w:sz w:val="24"/>
          <w:szCs w:val="20"/>
        </w:rPr>
        <w:t xml:space="preserve">（项目名称，项目编号）组织的政府采购活动，并对此项目进行响应。</w:t>
      </w:r>
      <w:r/>
    </w:p>
    <w:p>
      <w:pPr>
        <w:ind w:firstLine="408"/>
        <w:spacing w:line="360" w:lineRule="auto"/>
        <w:tabs>
          <w:tab w:val="left" w:pos="5580" w:leader="none"/>
        </w:tabs>
        <w:rPr>
          <w:sz w:val="24"/>
          <w:szCs w:val="20"/>
        </w:rPr>
      </w:pPr>
      <w:r>
        <w:rPr>
          <w:sz w:val="24"/>
          <w:szCs w:val="20"/>
        </w:rPr>
        <w:t xml:space="preserve">1. </w:t>
      </w:r>
      <w:r>
        <w:rPr>
          <w:sz w:val="24"/>
          <w:szCs w:val="20"/>
        </w:rPr>
        <w:t xml:space="preserve">我方</w:t>
      </w:r>
      <w:r>
        <w:rPr>
          <w:sz w:val="24"/>
          <w:szCs w:val="24"/>
        </w:rPr>
        <w:t xml:space="preserve">已详细审查全部磋商文件</w:t>
      </w:r>
      <w:r>
        <w:rPr>
          <w:sz w:val="24"/>
          <w:szCs w:val="20"/>
        </w:rPr>
        <w:t xml:space="preserve">，自愿参与响应并承诺如下：</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1</w:t>
      </w:r>
      <w:r>
        <w:rPr>
          <w:sz w:val="24"/>
          <w:szCs w:val="20"/>
        </w:rPr>
        <w:t xml:space="preserve">）本响应有效期为自提交响应文件的截止之日起</w:t>
      </w:r>
      <w:r>
        <w:rPr>
          <w:sz w:val="24"/>
          <w:szCs w:val="24"/>
        </w:rPr>
        <w:t xml:space="preserve">60</w:t>
      </w:r>
      <w:r>
        <w:rPr>
          <w:sz w:val="24"/>
          <w:szCs w:val="20"/>
        </w:rPr>
        <w:t xml:space="preserve">个日历日。</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2</w:t>
      </w:r>
      <w:r>
        <w:rPr>
          <w:sz w:val="24"/>
          <w:szCs w:val="20"/>
        </w:rPr>
        <w:t xml:space="preserve">）除合同条款及采购需求偏离表列出的偏离外，我方响应磋商文件的全部要求。</w:t>
      </w:r>
      <w:r/>
    </w:p>
    <w:p>
      <w:pPr>
        <w:ind w:firstLine="420"/>
        <w:spacing w:line="360" w:lineRule="auto"/>
        <w:tabs>
          <w:tab w:val="left" w:pos="5580" w:leader="none"/>
        </w:tabs>
        <w:rPr>
          <w:sz w:val="24"/>
          <w:szCs w:val="20"/>
        </w:rPr>
      </w:pPr>
      <w:r>
        <w:rPr>
          <w:sz w:val="24"/>
          <w:szCs w:val="20"/>
        </w:rPr>
        <w:t xml:space="preserve">（</w:t>
      </w:r>
      <w:r>
        <w:rPr>
          <w:sz w:val="24"/>
          <w:szCs w:val="20"/>
        </w:rPr>
        <w:t xml:space="preserve">3</w:t>
      </w:r>
      <w:r>
        <w:rPr>
          <w:sz w:val="24"/>
          <w:szCs w:val="20"/>
        </w:rPr>
        <w:t xml:space="preserve">）我方已提供的全部文件资料是真实、准确的，并对此承担一切法律后果。</w:t>
      </w:r>
      <w:r/>
    </w:p>
    <w:p>
      <w:pPr>
        <w:ind w:firstLine="420"/>
        <w:spacing w:line="360" w:lineRule="auto"/>
        <w:tabs>
          <w:tab w:val="left" w:pos="5580" w:leader="none"/>
        </w:tabs>
        <w:rPr>
          <w:sz w:val="24"/>
          <w:szCs w:val="24"/>
        </w:rPr>
      </w:pPr>
      <w:r>
        <w:rPr>
          <w:sz w:val="24"/>
          <w:szCs w:val="20"/>
        </w:rPr>
        <w:t xml:space="preserve">（</w:t>
      </w:r>
      <w:r>
        <w:rPr>
          <w:sz w:val="24"/>
          <w:szCs w:val="20"/>
        </w:rPr>
        <w:t xml:space="preserve">4</w:t>
      </w:r>
      <w:r>
        <w:rPr>
          <w:sz w:val="24"/>
          <w:szCs w:val="20"/>
        </w:rPr>
        <w:t xml:space="preserve">）如我方中标，我方将在法律规定的期限内与你方签订合同，按照磋商文件要求提交履约保证金，并在合同约定的期限内完成合同规定的全部义务。</w:t>
      </w:r>
      <w:r/>
    </w:p>
    <w:p>
      <w:pPr>
        <w:ind w:left="420"/>
        <w:spacing w:line="360" w:lineRule="auto"/>
        <w:rPr>
          <w:sz w:val="24"/>
          <w:szCs w:val="24"/>
        </w:rPr>
      </w:pPr>
      <w:r>
        <w:rPr>
          <w:sz w:val="24"/>
          <w:szCs w:val="24"/>
        </w:rPr>
        <w:t xml:space="preserve">2. </w:t>
      </w:r>
      <w:r>
        <w:rPr>
          <w:sz w:val="24"/>
          <w:szCs w:val="24"/>
        </w:rPr>
        <w:t xml:space="preserve">其他补充条款（如有）：</w:t>
      </w:r>
      <w:r>
        <w:rPr>
          <w:sz w:val="24"/>
          <w:szCs w:val="20"/>
        </w:rPr>
        <w:t xml:space="preserve">___________</w:t>
      </w:r>
      <w:r>
        <w:rPr>
          <w:sz w:val="24"/>
          <w:szCs w:val="24"/>
        </w:rPr>
        <w:t xml:space="preserve">。</w:t>
      </w:r>
      <w:r/>
    </w:p>
    <w:p>
      <w:pPr>
        <w:ind w:firstLine="480"/>
        <w:spacing w:line="360" w:lineRule="auto"/>
        <w:rPr>
          <w:sz w:val="24"/>
          <w:szCs w:val="24"/>
        </w:rPr>
      </w:pPr>
      <w:r>
        <w:rPr>
          <w:sz w:val="24"/>
          <w:szCs w:val="24"/>
        </w:rPr>
        <w:t xml:space="preserve">与本响应有关的一切正式往来信函请寄：</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地址</w:t>
      </w:r>
      <w:r>
        <w:rPr>
          <w:sz w:val="24"/>
          <w:szCs w:val="20"/>
        </w:rPr>
        <w:t xml:space="preserve">_________________________   </w:t>
      </w:r>
      <w:r>
        <w:rPr>
          <w:sz w:val="24"/>
          <w:szCs w:val="20"/>
        </w:rPr>
        <w:t xml:space="preserve">传真</w:t>
      </w:r>
      <w:r>
        <w:rPr>
          <w:sz w:val="24"/>
          <w:szCs w:val="20"/>
        </w:rPr>
        <w:t xml:space="preserve">____________________________</w:t>
      </w:r>
      <w:r/>
    </w:p>
    <w:p>
      <w:pPr>
        <w:ind w:left="420"/>
        <w:spacing w:line="360" w:lineRule="auto"/>
        <w:tabs>
          <w:tab w:val="left" w:pos="5580" w:leader="none"/>
        </w:tabs>
        <w:rPr>
          <w:sz w:val="24"/>
          <w:szCs w:val="20"/>
        </w:rPr>
      </w:pPr>
      <w:r>
        <w:rPr>
          <w:sz w:val="24"/>
          <w:szCs w:val="20"/>
        </w:rPr>
        <w:t xml:space="preserve">电话</w:t>
      </w:r>
      <w:r>
        <w:rPr>
          <w:sz w:val="24"/>
          <w:szCs w:val="20"/>
        </w:rPr>
        <w:t xml:space="preserve">_________________________   </w:t>
      </w:r>
      <w:r>
        <w:rPr>
          <w:sz w:val="24"/>
          <w:szCs w:val="20"/>
        </w:rPr>
        <w:t xml:space="preserve">电子函件</w:t>
      </w:r>
      <w:r>
        <w:rPr>
          <w:sz w:val="24"/>
          <w:szCs w:val="20"/>
        </w:rPr>
        <w:t xml:space="preserve">________________________</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供应商名称（加盖公章）</w:t>
      </w:r>
      <w:r>
        <w:rPr>
          <w:sz w:val="24"/>
          <w:szCs w:val="20"/>
        </w:rPr>
        <w:t xml:space="preserve"> ___________</w:t>
      </w:r>
      <w:r/>
    </w:p>
    <w:p>
      <w:pPr>
        <w:ind w:firstLine="480"/>
        <w:rPr>
          <w:sz w:val="24"/>
          <w:szCs w:val="20"/>
        </w:rPr>
      </w:pPr>
      <w:r>
        <w:rPr>
          <w:sz w:val="24"/>
          <w:szCs w:val="20"/>
        </w:rPr>
      </w:r>
      <w:r/>
    </w:p>
    <w:p>
      <w:pPr>
        <w:ind w:left="420" w:firstLine="480"/>
        <w:jc w:val="left"/>
        <w:spacing w:line="420" w:lineRule="exact"/>
        <w:rPr>
          <w:sz w:val="24"/>
          <w:szCs w:val="21"/>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p>
    <w:p>
      <w:pPr>
        <w:ind w:firstLine="240"/>
        <w:jc w:val="center"/>
        <w:spacing w:line="560" w:lineRule="exact"/>
        <w:rPr>
          <w:bCs/>
          <w:sz w:val="24"/>
          <w:szCs w:val="21"/>
        </w:rPr>
      </w:pPr>
      <w:r>
        <w:rPr>
          <w:bCs/>
          <w:sz w:val="24"/>
          <w:szCs w:val="21"/>
        </w:rPr>
      </w:r>
      <w:r/>
    </w:p>
    <w:p>
      <w:pPr>
        <w:ind w:firstLine="240"/>
        <w:jc w:val="center"/>
        <w:spacing w:line="560" w:lineRule="exact"/>
        <w:rPr>
          <w:bCs/>
          <w:sz w:val="24"/>
          <w:szCs w:val="21"/>
        </w:rPr>
      </w:pPr>
      <w:r>
        <w:rPr>
          <w:bCs/>
          <w:sz w:val="24"/>
          <w:szCs w:val="21"/>
        </w:rPr>
      </w:r>
      <w:r/>
    </w:p>
    <w:p>
      <w:pPr>
        <w:ind w:firstLine="240"/>
        <w:jc w:val="center"/>
        <w:spacing w:line="560" w:lineRule="exact"/>
        <w:rPr>
          <w:bCs/>
          <w:sz w:val="24"/>
          <w:szCs w:val="21"/>
        </w:rPr>
      </w:pPr>
      <w:r>
        <w:rPr>
          <w:bCs/>
          <w:sz w:val="24"/>
          <w:szCs w:val="21"/>
        </w:rPr>
      </w:r>
      <w:r/>
    </w:p>
    <w:p>
      <w:pPr>
        <w:ind w:firstLine="240"/>
        <w:jc w:val="center"/>
        <w:spacing w:line="560" w:lineRule="exact"/>
        <w:rPr>
          <w:bCs/>
          <w:sz w:val="24"/>
          <w:szCs w:val="21"/>
        </w:rPr>
      </w:pPr>
      <w:r>
        <w:rPr>
          <w:bCs/>
          <w:sz w:val="24"/>
          <w:szCs w:val="21"/>
        </w:rPr>
      </w:r>
      <w:r/>
    </w:p>
    <w:p>
      <w:pPr>
        <w:rPr>
          <w:rFonts w:eastAsia="黑体"/>
          <w:i/>
          <w:sz w:val="32"/>
          <w:szCs w:val="32"/>
          <w:u w:val="single"/>
        </w:rPr>
      </w:pPr>
      <w:r>
        <w:rPr>
          <w:rFonts w:hint="eastAsia" w:eastAsia="黑体"/>
          <w:i/>
          <w:sz w:val="32"/>
          <w:szCs w:val="32"/>
          <w:u w:val="single"/>
        </w:rPr>
        <w:t xml:space="preserve">四</w:t>
      </w:r>
      <w:r>
        <w:rPr>
          <w:rFonts w:eastAsia="黑体"/>
          <w:i/>
          <w:sz w:val="32"/>
          <w:szCs w:val="32"/>
          <w:u w:val="single"/>
        </w:rPr>
        <w:t xml:space="preserve">、法定代表人资格证明书</w:t>
      </w:r>
      <w:r/>
    </w:p>
    <w:p>
      <w:pPr>
        <w:jc w:val="left"/>
        <w:widowControl/>
        <w:rPr>
          <w:sz w:val="24"/>
          <w:szCs w:val="24"/>
        </w:rPr>
      </w:pPr>
      <w:r>
        <w:rPr>
          <w:sz w:val="24"/>
          <w:szCs w:val="24"/>
        </w:rPr>
      </w:r>
      <w:r/>
    </w:p>
    <w:p>
      <w:pPr>
        <w:jc w:val="center"/>
        <w:spacing w:line="360" w:lineRule="auto"/>
        <w:rPr>
          <w:b/>
          <w:sz w:val="32"/>
          <w:szCs w:val="32"/>
        </w:rPr>
      </w:pPr>
      <w:r>
        <w:rPr>
          <w:b/>
          <w:sz w:val="32"/>
          <w:szCs w:val="32"/>
        </w:rPr>
      </w:r>
      <w:r/>
    </w:p>
    <w:p>
      <w:pPr>
        <w:jc w:val="center"/>
        <w:spacing w:line="360" w:lineRule="auto"/>
        <w:rPr>
          <w:b/>
          <w:sz w:val="32"/>
          <w:szCs w:val="32"/>
        </w:rPr>
      </w:pPr>
      <w:r>
        <w:rPr>
          <w:b/>
          <w:sz w:val="32"/>
          <w:szCs w:val="32"/>
        </w:rPr>
        <w:t xml:space="preserve">法定代表人资格证明书</w:t>
      </w:r>
      <w:r/>
    </w:p>
    <w:p>
      <w:pPr>
        <w:spacing w:line="560" w:lineRule="exact"/>
        <w:rPr>
          <w:sz w:val="24"/>
          <w:szCs w:val="24"/>
        </w:rPr>
      </w:pPr>
      <w:r>
        <w:rPr>
          <w:sz w:val="24"/>
          <w:szCs w:val="24"/>
        </w:rPr>
        <w:t xml:space="preserve">单位名称</w:t>
      </w:r>
      <w:r>
        <w:rPr>
          <w:sz w:val="24"/>
          <w:szCs w:val="24"/>
        </w:rPr>
        <w:t xml:space="preserve">:</w:t>
      </w:r>
      <w:r/>
    </w:p>
    <w:p>
      <w:pPr>
        <w:spacing w:line="560" w:lineRule="exact"/>
        <w:rPr>
          <w:sz w:val="24"/>
          <w:szCs w:val="24"/>
        </w:rPr>
      </w:pPr>
      <w:r>
        <w:rPr>
          <w:sz w:val="24"/>
          <w:szCs w:val="24"/>
        </w:rPr>
        <w:t xml:space="preserve">地址</w:t>
      </w:r>
      <w:r>
        <w:rPr>
          <w:sz w:val="24"/>
          <w:szCs w:val="24"/>
        </w:rPr>
        <w:t xml:space="preserve">:</w:t>
      </w:r>
      <w:r/>
    </w:p>
    <w:p>
      <w:pPr>
        <w:spacing w:line="560" w:lineRule="exact"/>
        <w:rPr>
          <w:sz w:val="24"/>
          <w:szCs w:val="24"/>
        </w:rPr>
      </w:pPr>
      <w:r>
        <w:rPr>
          <w:sz w:val="24"/>
          <w:szCs w:val="24"/>
        </w:rPr>
        <w:t xml:space="preserve">姓名</w:t>
      </w:r>
      <w:r>
        <w:rPr>
          <w:sz w:val="24"/>
          <w:szCs w:val="24"/>
        </w:rPr>
        <w:t xml:space="preserve">:     </w:t>
      </w:r>
      <w:r>
        <w:rPr>
          <w:sz w:val="24"/>
          <w:szCs w:val="24"/>
        </w:rPr>
        <w:t xml:space="preserve">性别</w:t>
      </w:r>
      <w:r>
        <w:rPr>
          <w:sz w:val="24"/>
          <w:szCs w:val="24"/>
        </w:rPr>
        <w:t xml:space="preserve">:       </w:t>
      </w:r>
      <w:r>
        <w:rPr>
          <w:sz w:val="24"/>
          <w:szCs w:val="24"/>
        </w:rPr>
        <w:t xml:space="preserve">年龄</w:t>
      </w:r>
      <w:r>
        <w:rPr>
          <w:sz w:val="24"/>
          <w:szCs w:val="24"/>
        </w:rPr>
        <w:t xml:space="preserve">:      </w:t>
      </w:r>
      <w:r>
        <w:rPr>
          <w:sz w:val="24"/>
          <w:szCs w:val="24"/>
        </w:rPr>
        <w:t xml:space="preserve">职务</w:t>
      </w:r>
      <w:r>
        <w:rPr>
          <w:sz w:val="24"/>
          <w:szCs w:val="24"/>
        </w:rPr>
        <w:t xml:space="preserve">:</w:t>
      </w:r>
      <w:r/>
    </w:p>
    <w:p>
      <w:pPr>
        <w:spacing w:line="560" w:lineRule="exact"/>
        <w:rPr>
          <w:sz w:val="24"/>
          <w:szCs w:val="24"/>
        </w:rPr>
      </w:pPr>
      <w:r>
        <w:rPr>
          <w:sz w:val="24"/>
          <w:szCs w:val="24"/>
        </w:rPr>
        <w:t xml:space="preserve">系</w:t>
      </w:r>
      <w:r>
        <w:rPr>
          <w:sz w:val="24"/>
          <w:szCs w:val="24"/>
          <w:u w:val="single"/>
        </w:rPr>
        <w:t xml:space="preserve">（供应商名称）</w:t>
      </w:r>
      <w:r>
        <w:rPr>
          <w:sz w:val="24"/>
          <w:szCs w:val="24"/>
        </w:rPr>
        <w:t xml:space="preserve">的法定代表人。为参与</w:t>
      </w:r>
      <w:r>
        <w:rPr>
          <w:sz w:val="24"/>
          <w:szCs w:val="24"/>
          <w:u w:val="single"/>
        </w:rPr>
        <w:t xml:space="preserve">（项目名称）</w:t>
      </w:r>
      <w:r>
        <w:rPr>
          <w:sz w:val="24"/>
          <w:szCs w:val="24"/>
        </w:rPr>
        <w:t xml:space="preserve">的政府采购活动，</w:t>
      </w:r>
      <w:r>
        <w:rPr>
          <w:sz w:val="24"/>
          <w:szCs w:val="20"/>
        </w:rPr>
        <w:t xml:space="preserve">签署、澄清确认、递交、撤回、修改</w:t>
      </w:r>
      <w:r>
        <w:rPr>
          <w:sz w:val="24"/>
          <w:szCs w:val="24"/>
        </w:rPr>
        <w:t xml:space="preserve">上述项目的响应文件、进行合同磋商、签署合同和处理与之有关的一切事务。</w:t>
      </w:r>
      <w:r/>
    </w:p>
    <w:p>
      <w:pPr>
        <w:spacing w:line="560" w:lineRule="exact"/>
        <w:rPr>
          <w:sz w:val="24"/>
          <w:szCs w:val="24"/>
        </w:rPr>
      </w:pPr>
      <w:r>
        <w:rPr>
          <w:sz w:val="24"/>
          <w:szCs w:val="24"/>
        </w:rPr>
        <w:t xml:space="preserve">特此证明。</w:t>
      </w:r>
      <w:r/>
    </w:p>
    <w:p>
      <w:pPr>
        <w:spacing w:line="560" w:lineRule="exact"/>
        <w:rPr>
          <w:sz w:val="24"/>
          <w:szCs w:val="24"/>
        </w:rPr>
      </w:pPr>
      <w:r>
        <w:rPr>
          <w:sz w:val="24"/>
          <w:szCs w:val="24"/>
        </w:rPr>
      </w:r>
      <w:r/>
    </w:p>
    <w:p>
      <w:pPr>
        <w:ind w:right="-46"/>
        <w:spacing w:before="120" w:line="583" w:lineRule="auto"/>
        <w:tabs>
          <w:tab w:val="left" w:pos="567" w:leader="none"/>
        </w:tabs>
        <w:rPr>
          <w:spacing w:val="-3"/>
          <w:sz w:val="24"/>
          <w:szCs w:val="24"/>
        </w:rPr>
      </w:pPr>
      <w:r>
        <w:rPr>
          <w:sz w:val="24"/>
          <w:szCs w:val="24"/>
        </w:rPr>
        <w:t xml:space="preserve">附：</w:t>
      </w:r>
      <w:r>
        <w:rPr>
          <w:spacing w:val="-3"/>
          <w:sz w:val="24"/>
          <w:szCs w:val="24"/>
        </w:rPr>
        <w:t xml:space="preserve">法</w:t>
      </w:r>
      <w:r>
        <w:rPr>
          <w:sz w:val="24"/>
          <w:szCs w:val="24"/>
        </w:rPr>
        <w:t xml:space="preserve">定</w:t>
      </w:r>
      <w:r>
        <w:rPr>
          <w:spacing w:val="-3"/>
          <w:sz w:val="24"/>
          <w:szCs w:val="24"/>
        </w:rPr>
        <w:t xml:space="preserve">代</w:t>
      </w:r>
      <w:r>
        <w:rPr>
          <w:sz w:val="24"/>
          <w:szCs w:val="24"/>
        </w:rPr>
        <w:t xml:space="preserve">表</w:t>
      </w:r>
      <w:r>
        <w:rPr>
          <w:spacing w:val="-3"/>
          <w:sz w:val="24"/>
          <w:szCs w:val="24"/>
        </w:rPr>
        <w:t xml:space="preserve">人有效期内的身份证正反面电子件。</w:t>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sz w:val="24"/>
                <w:szCs w:val="20"/>
              </w:rPr>
            </w:pPr>
            <w:r>
              <w:rPr>
                <w:sz w:val="24"/>
                <w:szCs w:val="20"/>
              </w:rPr>
            </w:r>
            <w:r/>
          </w:p>
          <w:p>
            <w:pPr>
              <w:jc w:val="left"/>
              <w:spacing w:line="360" w:lineRule="auto"/>
              <w:tabs>
                <w:tab w:val="left" w:pos="5580" w:leader="none"/>
              </w:tabs>
              <w:rPr>
                <w:sz w:val="24"/>
                <w:szCs w:val="20"/>
              </w:rPr>
            </w:pPr>
            <w:r>
              <w:rPr>
                <w:sz w:val="24"/>
                <w:szCs w:val="20"/>
              </w:rPr>
            </w:r>
            <w:r/>
          </w:p>
          <w:p>
            <w:pPr>
              <w:jc w:val="left"/>
              <w:spacing w:line="360" w:lineRule="auto"/>
              <w:tabs>
                <w:tab w:val="left" w:pos="5580" w:leader="none"/>
              </w:tabs>
              <w:rPr>
                <w:sz w:val="24"/>
                <w:szCs w:val="20"/>
              </w:rPr>
            </w:pPr>
            <w:r>
              <w:rPr>
                <w:sz w:val="24"/>
                <w:szCs w:val="20"/>
              </w:rPr>
            </w:r>
            <w:r/>
          </w:p>
        </w:tc>
        <w:tc>
          <w:tcPr>
            <w:tcW w:w="4536" w:type="dxa"/>
            <w:textDirection w:val="lrTb"/>
            <w:noWrap w:val="false"/>
          </w:tcPr>
          <w:p>
            <w:pPr>
              <w:jc w:val="left"/>
              <w:spacing w:line="360" w:lineRule="auto"/>
              <w:tabs>
                <w:tab w:val="left" w:pos="5580" w:leader="none"/>
              </w:tabs>
              <w:rPr>
                <w:sz w:val="24"/>
                <w:szCs w:val="20"/>
              </w:rPr>
            </w:pPr>
            <w:r>
              <w:rPr>
                <w:sz w:val="24"/>
                <w:szCs w:val="20"/>
              </w:rPr>
            </w:r>
            <w:r/>
          </w:p>
          <w:p>
            <w:pPr>
              <w:jc w:val="left"/>
              <w:spacing w:line="360" w:lineRule="auto"/>
              <w:tabs>
                <w:tab w:val="left" w:pos="5580" w:leader="none"/>
              </w:tabs>
              <w:rPr>
                <w:sz w:val="24"/>
                <w:szCs w:val="20"/>
              </w:rPr>
            </w:pPr>
            <w:r>
              <w:rPr>
                <w:sz w:val="24"/>
                <w:szCs w:val="20"/>
              </w:rPr>
            </w:r>
            <w:r/>
          </w:p>
          <w:p>
            <w:pPr>
              <w:jc w:val="left"/>
              <w:spacing w:line="360" w:lineRule="auto"/>
              <w:tabs>
                <w:tab w:val="left" w:pos="5580" w:leader="none"/>
              </w:tabs>
              <w:rPr>
                <w:sz w:val="24"/>
                <w:szCs w:val="20"/>
              </w:rPr>
            </w:pPr>
            <w:r>
              <w:rPr>
                <w:sz w:val="24"/>
                <w:szCs w:val="20"/>
              </w:rPr>
            </w:r>
            <w:r/>
          </w:p>
        </w:tc>
      </w:tr>
    </w:tbl>
    <w:p>
      <w:pPr>
        <w:spacing w:line="560" w:lineRule="exact"/>
        <w:rPr>
          <w:sz w:val="24"/>
          <w:szCs w:val="24"/>
        </w:rPr>
      </w:pPr>
      <w:r>
        <w:rPr>
          <w:sz w:val="24"/>
          <w:szCs w:val="24"/>
        </w:rPr>
        <w:t xml:space="preserve">                     </w:t>
      </w:r>
      <w:r>
        <w:rPr>
          <w:rFonts w:hint="eastAsia"/>
          <w:sz w:val="24"/>
          <w:szCs w:val="24"/>
        </w:rPr>
        <w:t xml:space="preserve">    </w:t>
      </w:r>
      <w:r>
        <w:rPr>
          <w:sz w:val="24"/>
          <w:szCs w:val="24"/>
        </w:rPr>
        <w:t xml:space="preserve">供应商：（加盖公章）</w:t>
      </w:r>
      <w:r/>
    </w:p>
    <w:p>
      <w:pPr>
        <w:spacing w:line="560" w:lineRule="exact"/>
        <w:rPr>
          <w:sz w:val="24"/>
          <w:szCs w:val="24"/>
        </w:rPr>
      </w:pPr>
      <w:r>
        <w:rPr>
          <w:sz w:val="24"/>
          <w:szCs w:val="24"/>
        </w:rPr>
        <w:t xml:space="preserve">                       </w:t>
      </w:r>
      <w:r>
        <w:rPr>
          <w:rFonts w:hint="eastAsia"/>
          <w:sz w:val="24"/>
          <w:szCs w:val="24"/>
        </w:rPr>
        <w:t xml:space="preserve"> </w:t>
      </w:r>
      <w:r>
        <w:rPr>
          <w:sz w:val="24"/>
          <w:szCs w:val="24"/>
        </w:rPr>
        <w:t xml:space="preserve">法定代表人</w:t>
      </w:r>
      <w:r>
        <w:rPr>
          <w:sz w:val="24"/>
          <w:szCs w:val="20"/>
        </w:rPr>
        <w:t xml:space="preserve">签字</w:t>
      </w:r>
      <w:r>
        <w:rPr>
          <w:rFonts w:hint="eastAsia"/>
          <w:sz w:val="24"/>
          <w:szCs w:val="20"/>
        </w:rPr>
        <w:t xml:space="preserve">或</w:t>
      </w:r>
      <w:r>
        <w:rPr>
          <w:sz w:val="24"/>
          <w:szCs w:val="20"/>
        </w:rPr>
        <w:t xml:space="preserve">签章或印鉴</w:t>
      </w:r>
      <w:r>
        <w:rPr>
          <w:sz w:val="24"/>
          <w:szCs w:val="24"/>
        </w:rPr>
        <w:t xml:space="preserve">：</w:t>
      </w:r>
      <w:r/>
    </w:p>
    <w:p>
      <w:pPr>
        <w:ind w:firstLine="240"/>
        <w:jc w:val="center"/>
        <w:spacing w:line="560" w:lineRule="exact"/>
        <w:rPr>
          <w:sz w:val="24"/>
          <w:szCs w:val="24"/>
        </w:rPr>
      </w:pPr>
      <w:r>
        <w:rPr>
          <w:sz w:val="24"/>
          <w:szCs w:val="24"/>
        </w:rPr>
        <w:t xml:space="preserve">日期：</w:t>
      </w:r>
      <w:r>
        <w:rPr>
          <w:sz w:val="24"/>
          <w:szCs w:val="24"/>
        </w:rPr>
        <w:t xml:space="preserve">    </w:t>
      </w:r>
      <w:r>
        <w:rPr>
          <w:sz w:val="24"/>
          <w:szCs w:val="24"/>
        </w:rPr>
        <w:t xml:space="preserve">年</w:t>
      </w:r>
      <w:r>
        <w:rPr>
          <w:sz w:val="24"/>
          <w:szCs w:val="24"/>
        </w:rPr>
        <w:t xml:space="preserve">    </w:t>
      </w:r>
      <w:r>
        <w:rPr>
          <w:sz w:val="24"/>
          <w:szCs w:val="24"/>
        </w:rPr>
        <w:t xml:space="preserve">月</w:t>
      </w:r>
      <w:r>
        <w:rPr>
          <w:sz w:val="24"/>
          <w:szCs w:val="24"/>
        </w:rPr>
        <w:t xml:space="preserve">    </w:t>
      </w:r>
      <w:r>
        <w:rPr>
          <w:sz w:val="24"/>
          <w:szCs w:val="24"/>
        </w:rPr>
        <w:t xml:space="preserve">日</w:t>
      </w:r>
      <w:r/>
    </w:p>
    <w:p>
      <w:pPr>
        <w:pStyle w:val="767"/>
        <w:rPr>
          <w:sz w:val="24"/>
          <w:szCs w:val="24"/>
        </w:rPr>
      </w:pPr>
      <w:r>
        <w:rPr>
          <w:sz w:val="24"/>
          <w:szCs w:val="24"/>
        </w:rPr>
      </w:r>
      <w:r/>
    </w:p>
    <w:p>
      <w:pPr>
        <w:rPr>
          <w:sz w:val="24"/>
          <w:szCs w:val="24"/>
        </w:rPr>
      </w:pPr>
      <w:r>
        <w:rPr>
          <w:sz w:val="24"/>
          <w:szCs w:val="24"/>
        </w:rPr>
      </w:r>
      <w:r/>
    </w:p>
    <w:p>
      <w:pPr>
        <w:pStyle w:val="767"/>
        <w:rPr>
          <w:sz w:val="24"/>
          <w:szCs w:val="24"/>
        </w:rPr>
      </w:pPr>
      <w:r>
        <w:rPr>
          <w:sz w:val="24"/>
          <w:szCs w:val="24"/>
        </w:rPr>
      </w:r>
      <w:r/>
    </w:p>
    <w:p>
      <w:pPr>
        <w:rPr>
          <w:sz w:val="24"/>
          <w:szCs w:val="24"/>
        </w:rPr>
      </w:pPr>
      <w:r>
        <w:rPr>
          <w:sz w:val="24"/>
          <w:szCs w:val="24"/>
        </w:rPr>
      </w:r>
      <w:r/>
    </w:p>
    <w:p>
      <w:pPr>
        <w:pStyle w:val="767"/>
        <w:rPr>
          <w:sz w:val="24"/>
          <w:szCs w:val="24"/>
        </w:rPr>
      </w:pPr>
      <w:r>
        <w:rPr>
          <w:sz w:val="24"/>
          <w:szCs w:val="24"/>
        </w:rPr>
      </w:r>
      <w:r/>
    </w:p>
    <w:p>
      <w:pPr>
        <w:rPr>
          <w:sz w:val="24"/>
          <w:szCs w:val="24"/>
        </w:rPr>
      </w:pPr>
      <w:r>
        <w:rPr>
          <w:sz w:val="24"/>
          <w:szCs w:val="24"/>
        </w:rPr>
      </w:r>
      <w:r/>
    </w:p>
    <w:p>
      <w:pPr>
        <w:pStyle w:val="767"/>
        <w:rPr>
          <w:sz w:val="24"/>
          <w:szCs w:val="24"/>
        </w:rPr>
      </w:pPr>
      <w:r>
        <w:rPr>
          <w:sz w:val="24"/>
          <w:szCs w:val="24"/>
        </w:rPr>
      </w:r>
      <w:r/>
    </w:p>
    <w:p>
      <w:pPr>
        <w:rPr>
          <w:sz w:val="24"/>
          <w:szCs w:val="24"/>
        </w:rPr>
      </w:pPr>
      <w:r>
        <w:rPr>
          <w:sz w:val="24"/>
          <w:szCs w:val="24"/>
        </w:rPr>
      </w:r>
      <w:r/>
    </w:p>
    <w:p>
      <w:pPr>
        <w:pStyle w:val="767"/>
        <w:rPr>
          <w:sz w:val="24"/>
          <w:szCs w:val="24"/>
        </w:rPr>
      </w:pPr>
      <w:r>
        <w:rPr>
          <w:sz w:val="24"/>
          <w:szCs w:val="24"/>
        </w:rPr>
      </w:r>
      <w:r/>
    </w:p>
    <w:p>
      <w:pPr>
        <w:rPr>
          <w:sz w:val="24"/>
          <w:szCs w:val="24"/>
        </w:rPr>
      </w:pPr>
      <w:r>
        <w:rPr>
          <w:sz w:val="24"/>
          <w:szCs w:val="24"/>
        </w:rPr>
      </w:r>
      <w:r/>
    </w:p>
    <w:p>
      <w:pPr>
        <w:pStyle w:val="767"/>
      </w:pPr>
      <w:r/>
      <w:r/>
    </w:p>
    <w:p>
      <w:pPr>
        <w:rPr>
          <w:rFonts w:eastAsia="黑体"/>
          <w:i/>
          <w:sz w:val="32"/>
          <w:szCs w:val="32"/>
          <w:u w:val="single"/>
        </w:rPr>
      </w:pPr>
      <w:r>
        <w:rPr>
          <w:rFonts w:hint="eastAsia" w:eastAsia="黑体"/>
          <w:i/>
          <w:sz w:val="32"/>
          <w:szCs w:val="32"/>
          <w:u w:val="single"/>
        </w:rPr>
        <w:t xml:space="preserve">五</w:t>
      </w:r>
      <w:r>
        <w:rPr>
          <w:rFonts w:eastAsia="黑体"/>
          <w:i/>
          <w:sz w:val="32"/>
          <w:szCs w:val="32"/>
          <w:u w:val="single"/>
        </w:rPr>
        <w:t xml:space="preserve">、政府采购供应商信用承诺书</w:t>
      </w:r>
      <w:r/>
    </w:p>
    <w:p>
      <w:pPr>
        <w:jc w:val="left"/>
        <w:widowControl/>
        <w:rPr>
          <w:sz w:val="24"/>
          <w:szCs w:val="24"/>
        </w:rPr>
      </w:pPr>
      <w:r>
        <w:rPr>
          <w:sz w:val="24"/>
          <w:szCs w:val="24"/>
        </w:rPr>
      </w:r>
      <w:r/>
    </w:p>
    <w:p>
      <w:pPr>
        <w:ind w:firstLine="321"/>
        <w:jc w:val="center"/>
        <w:spacing w:line="560" w:lineRule="exact"/>
        <w:rPr>
          <w:rFonts w:eastAsia="黑体"/>
          <w:b/>
          <w:sz w:val="32"/>
          <w:szCs w:val="32"/>
        </w:rPr>
      </w:pPr>
      <w:r>
        <w:rPr>
          <w:rFonts w:eastAsia="黑体"/>
          <w:b/>
          <w:sz w:val="32"/>
          <w:szCs w:val="32"/>
        </w:rPr>
      </w:r>
      <w:r/>
    </w:p>
    <w:p>
      <w:pPr>
        <w:ind w:firstLine="321"/>
        <w:jc w:val="center"/>
        <w:spacing w:line="560" w:lineRule="exact"/>
        <w:rPr>
          <w:rFonts w:eastAsia="黑体"/>
          <w:b/>
          <w:sz w:val="32"/>
          <w:szCs w:val="32"/>
        </w:rPr>
      </w:pPr>
      <w:r>
        <w:rPr>
          <w:rFonts w:eastAsia="黑体"/>
          <w:b/>
          <w:sz w:val="32"/>
          <w:szCs w:val="32"/>
        </w:rPr>
        <w:t xml:space="preserve">政府采购供应商信用承诺书</w:t>
      </w:r>
      <w:r/>
    </w:p>
    <w:p>
      <w:pPr>
        <w:ind w:firstLine="640"/>
        <w:rPr>
          <w:szCs w:val="24"/>
        </w:rPr>
      </w:pPr>
      <w:r>
        <w:rPr>
          <w:szCs w:val="24"/>
        </w:rPr>
      </w:r>
      <w:r/>
    </w:p>
    <w:p>
      <w:pPr>
        <w:ind w:firstLine="480"/>
        <w:spacing w:line="276" w:lineRule="auto"/>
        <w:rPr>
          <w:sz w:val="24"/>
          <w:szCs w:val="24"/>
        </w:rPr>
      </w:pPr>
      <w:r>
        <w:rPr>
          <w:sz w:val="24"/>
          <w:szCs w:val="24"/>
        </w:rPr>
        <w:t xml:space="preserve">为维护公开、公平、公正的政府采购市场秩序，树立诚实守信的供应商形象，本单位在参与政府采购活动中</w:t>
      </w:r>
      <w:r>
        <w:rPr>
          <w:sz w:val="24"/>
          <w:szCs w:val="24"/>
        </w:rPr>
        <w:t xml:space="preserve">,</w:t>
      </w:r>
      <w:r>
        <w:rPr>
          <w:sz w:val="24"/>
          <w:szCs w:val="24"/>
        </w:rPr>
        <w:t xml:space="preserve">自愿</w:t>
      </w:r>
      <w:r>
        <w:rPr>
          <w:sz w:val="24"/>
          <w:szCs w:val="24"/>
        </w:rPr>
        <w:t xml:space="preserve">作出</w:t>
      </w:r>
      <w:r>
        <w:rPr>
          <w:sz w:val="24"/>
          <w:szCs w:val="24"/>
        </w:rPr>
        <w:t xml:space="preserve">以下承诺：</w:t>
      </w:r>
      <w:r/>
    </w:p>
    <w:p>
      <w:pPr>
        <w:ind w:firstLine="480"/>
        <w:spacing w:line="276" w:lineRule="auto"/>
        <w:rPr>
          <w:sz w:val="24"/>
          <w:szCs w:val="24"/>
        </w:rPr>
      </w:pPr>
      <w:r>
        <w:rPr>
          <w:sz w:val="24"/>
          <w:szCs w:val="24"/>
        </w:rPr>
        <w:t xml:space="preserve">一、严格遵守国家法律、法规和规章，全面履行应尽的责任和义务，全面做到履约守信，具备《政府采购法》第二十二条第一款规定的条件。</w:t>
      </w:r>
      <w:r/>
    </w:p>
    <w:p>
      <w:pPr>
        <w:ind w:firstLine="480"/>
        <w:spacing w:line="276" w:lineRule="auto"/>
        <w:rPr>
          <w:sz w:val="24"/>
          <w:szCs w:val="24"/>
        </w:rPr>
      </w:pPr>
      <w:r>
        <w:rPr>
          <w:sz w:val="24"/>
          <w:szCs w:val="24"/>
        </w:rPr>
        <w:t xml:space="preserve">二、本单位已经阅读并充分理解《常州市政府采购供应商信用管理暂行办法》，自愿按照《常州市政府采购供应商信用管理暂行办法》规定，发生失信行为将记录并公开到</w:t>
      </w:r>
      <w:r>
        <w:rPr>
          <w:sz w:val="24"/>
          <w:szCs w:val="24"/>
        </w:rPr>
        <w:t xml:space="preserve">“</w:t>
      </w:r>
      <w:r>
        <w:rPr>
          <w:sz w:val="24"/>
          <w:szCs w:val="24"/>
        </w:rPr>
        <w:t xml:space="preserve">信用常州</w:t>
      </w:r>
      <w:r>
        <w:rPr>
          <w:sz w:val="24"/>
          <w:szCs w:val="24"/>
        </w:rPr>
        <w:t xml:space="preserve">”</w:t>
      </w:r>
      <w:r>
        <w:rPr>
          <w:sz w:val="24"/>
          <w:szCs w:val="24"/>
        </w:rPr>
        <w:t xml:space="preserve">、常州市政府采购网。</w:t>
      </w:r>
      <w:r/>
    </w:p>
    <w:p>
      <w:pPr>
        <w:ind w:firstLine="480"/>
        <w:spacing w:line="276" w:lineRule="auto"/>
        <w:rPr>
          <w:sz w:val="24"/>
          <w:szCs w:val="24"/>
        </w:rPr>
      </w:pPr>
      <w:r>
        <w:rPr>
          <w:sz w:val="24"/>
          <w:szCs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sz w:val="24"/>
          <w:szCs w:val="24"/>
        </w:rPr>
      </w:pPr>
      <w:r>
        <w:rPr>
          <w:sz w:val="24"/>
          <w:szCs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sz w:val="24"/>
          <w:szCs w:val="24"/>
        </w:rPr>
      </w:pPr>
      <w:r>
        <w:rPr>
          <w:sz w:val="24"/>
          <w:szCs w:val="24"/>
        </w:rPr>
        <w:t xml:space="preserve">五、承诺本单位自觉接</w:t>
      </w:r>
      <w:r>
        <w:rPr>
          <w:sz w:val="24"/>
          <w:szCs w:val="24"/>
        </w:rPr>
        <w:t xml:space="preserve">受行政管理部门、行业组织、社会公众、新闻舆论的监督。</w:t>
      </w:r>
      <w:r>
        <w:rPr>
          <w:sz w:val="24"/>
          <w:szCs w:val="24"/>
        </w:rPr>
        <w:t xml:space="preserve"> </w:t>
      </w:r>
      <w:r/>
    </w:p>
    <w:p>
      <w:pPr>
        <w:ind w:firstLine="480"/>
        <w:spacing w:line="276" w:lineRule="auto"/>
        <w:rPr>
          <w:sz w:val="24"/>
          <w:szCs w:val="24"/>
        </w:rPr>
      </w:pPr>
      <w:r>
        <w:rPr>
          <w:sz w:val="24"/>
          <w:szCs w:val="24"/>
        </w:rPr>
        <w:t xml:space="preserve">六、承诺本单位自我约束、自我管理，重合同、守信用，</w:t>
      </w:r>
      <w:r>
        <w:rPr>
          <w:sz w:val="24"/>
          <w:szCs w:val="24"/>
        </w:rPr>
        <w:t xml:space="preserve">不</w:t>
      </w:r>
      <w:r>
        <w:rPr>
          <w:sz w:val="24"/>
          <w:szCs w:val="24"/>
        </w:rPr>
        <w:t xml:space="preserve">制假售假、商标侵权、虚假宣传、违约毁约、恶意逃债、偷税漏税、价格欺诈、垄断和不正当竞争，维护经营者、消费者的合法权益。</w:t>
      </w:r>
      <w:r>
        <w:rPr>
          <w:sz w:val="24"/>
          <w:szCs w:val="24"/>
        </w:rPr>
        <w:t xml:space="preserve"> </w:t>
      </w:r>
      <w:r/>
    </w:p>
    <w:p>
      <w:pPr>
        <w:ind w:firstLine="480"/>
        <w:spacing w:line="276" w:lineRule="auto"/>
        <w:rPr>
          <w:sz w:val="24"/>
          <w:szCs w:val="24"/>
        </w:rPr>
      </w:pPr>
      <w:r>
        <w:rPr>
          <w:sz w:val="24"/>
          <w:szCs w:val="24"/>
        </w:rPr>
        <w:t xml:space="preserve">七、承诺本单位在信用中国（江苏）网站中无违法违规、较重或严重失信记录。</w:t>
      </w:r>
      <w:r>
        <w:rPr>
          <w:sz w:val="24"/>
          <w:szCs w:val="24"/>
        </w:rPr>
        <w:t xml:space="preserve"> </w:t>
      </w:r>
      <w:r/>
    </w:p>
    <w:p>
      <w:pPr>
        <w:ind w:firstLine="480"/>
        <w:spacing w:line="276" w:lineRule="auto"/>
        <w:rPr>
          <w:sz w:val="24"/>
          <w:szCs w:val="24"/>
        </w:rPr>
      </w:pPr>
      <w:r>
        <w:rPr>
          <w:sz w:val="24"/>
          <w:szCs w:val="24"/>
        </w:rPr>
        <w:t xml:space="preserve">八、承诺本单位提出政府采购质疑和投诉坚持依法依规、诚实信用原则。</w:t>
      </w:r>
      <w:r/>
    </w:p>
    <w:p>
      <w:pPr>
        <w:ind w:firstLine="480"/>
        <w:spacing w:line="276" w:lineRule="auto"/>
        <w:rPr>
          <w:sz w:val="24"/>
          <w:szCs w:val="24"/>
        </w:rPr>
      </w:pPr>
      <w:r>
        <w:rPr>
          <w:sz w:val="24"/>
          <w:szCs w:val="24"/>
        </w:rPr>
        <w:t xml:space="preserve">九、根据政府采购相关法律法规的规定需要</w:t>
      </w:r>
      <w:r>
        <w:rPr>
          <w:sz w:val="24"/>
          <w:szCs w:val="24"/>
        </w:rPr>
        <w:t xml:space="preserve">作出</w:t>
      </w:r>
      <w:r>
        <w:rPr>
          <w:sz w:val="24"/>
          <w:szCs w:val="24"/>
        </w:rPr>
        <w:t xml:space="preserve">的其他承诺。</w:t>
      </w:r>
      <w:r>
        <w:rPr>
          <w:sz w:val="24"/>
          <w:szCs w:val="24"/>
        </w:rPr>
        <w:t xml:space="preserve"> </w:t>
      </w:r>
      <w:r/>
    </w:p>
    <w:p>
      <w:pPr>
        <w:ind w:firstLine="480"/>
        <w:spacing w:line="276" w:lineRule="auto"/>
        <w:rPr>
          <w:sz w:val="24"/>
          <w:szCs w:val="24"/>
        </w:rPr>
      </w:pPr>
      <w:r>
        <w:rPr>
          <w:sz w:val="24"/>
          <w:szCs w:val="24"/>
        </w:rPr>
        <w:t xml:space="preserve">十、承诺本单位若违背承诺约定，经查实，愿意接受行业主管部门和信用管理部门相应的规定处</w:t>
      </w:r>
      <w:r>
        <w:rPr>
          <w:sz w:val="24"/>
          <w:szCs w:val="24"/>
        </w:rPr>
        <w:t xml:space="preserve">罚，承担违约责任，并依法承担相应的法律责任。</w:t>
      </w:r>
      <w:r/>
    </w:p>
    <w:p>
      <w:pPr>
        <w:ind w:firstLine="480"/>
        <w:spacing w:line="276" w:lineRule="auto"/>
        <w:rPr>
          <w:sz w:val="24"/>
          <w:szCs w:val="24"/>
        </w:rPr>
      </w:pPr>
      <w:r>
        <w:rPr>
          <w:sz w:val="24"/>
          <w:szCs w:val="24"/>
        </w:rPr>
        <w:t xml:space="preserve">十一、承诺本单位同意将以上承诺事项上网公示，违背承诺约定行为将作为失信信息，记录到常州市公共信用信息系统，并予以公开。</w:t>
      </w:r>
      <w:r/>
    </w:p>
    <w:p>
      <w:pPr>
        <w:ind w:right="1050" w:firstLine="2880"/>
        <w:spacing w:line="276" w:lineRule="auto"/>
        <w:rPr>
          <w:sz w:val="24"/>
        </w:rPr>
      </w:pPr>
      <w:r>
        <w:rPr>
          <w:sz w:val="24"/>
        </w:rPr>
      </w:r>
      <w:r/>
    </w:p>
    <w:p>
      <w:pPr>
        <w:spacing w:before="25" w:after="25" w:line="360" w:lineRule="auto"/>
        <w:rPr>
          <w:sz w:val="24"/>
          <w:szCs w:val="24"/>
        </w:rPr>
      </w:pPr>
      <w:r>
        <w:rPr>
          <w:sz w:val="24"/>
          <w:szCs w:val="24"/>
        </w:rPr>
        <w:t xml:space="preserve">供应商名称（加盖公章）</w:t>
      </w:r>
      <w:r>
        <w:rPr>
          <w:sz w:val="24"/>
          <w:szCs w:val="24"/>
          <w:lang w:val="zh-CN"/>
        </w:rPr>
        <w:t xml:space="preserve">：</w:t>
      </w:r>
      <w:r>
        <w:rPr>
          <w:sz w:val="24"/>
          <w:szCs w:val="24"/>
          <w:lang w:val="zh-CN"/>
        </w:rPr>
        <w:t xml:space="preserve">____________</w:t>
      </w:r>
      <w:r/>
    </w:p>
    <w:p>
      <w:pPr>
        <w:pStyle w:val="1019"/>
        <w:ind w:firstLine="480"/>
        <w:spacing w:line="360" w:lineRule="auto"/>
        <w:rPr>
          <w:sz w:val="24"/>
          <w:szCs w:val="24"/>
          <w:u w:val="single"/>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p>
    <w:p>
      <w:pPr>
        <w:ind w:firstLine="480"/>
        <w:rPr>
          <w:sz w:val="24"/>
          <w:szCs w:val="24"/>
        </w:rPr>
      </w:pPr>
      <w:r>
        <w:rPr>
          <w:sz w:val="24"/>
          <w:szCs w:val="24"/>
        </w:rPr>
      </w:r>
      <w:r/>
    </w:p>
    <w:p>
      <w:pPr>
        <w:rPr>
          <w:rFonts w:eastAsia="黑体"/>
          <w:i/>
          <w:sz w:val="32"/>
          <w:szCs w:val="32"/>
          <w:u w:val="single"/>
        </w:rPr>
      </w:pPr>
      <w:r>
        <w:rPr>
          <w:rFonts w:eastAsia="黑体"/>
          <w:b/>
          <w:sz w:val="32"/>
          <w:szCs w:val="32"/>
        </w:rPr>
        <w:br w:type="page" w:clear="all"/>
      </w:r>
      <w:r>
        <w:rPr>
          <w:rFonts w:eastAsia="黑体"/>
          <w:bCs/>
          <w:i/>
          <w:sz w:val="32"/>
          <w:szCs w:val="32"/>
          <w:u w:val="single"/>
        </w:rPr>
        <w:t xml:space="preserve">六、</w:t>
      </w:r>
      <w:r>
        <w:rPr>
          <w:rFonts w:eastAsia="黑体"/>
          <w:i/>
          <w:sz w:val="32"/>
          <w:szCs w:val="32"/>
          <w:u w:val="single"/>
        </w:rPr>
        <w:t xml:space="preserve">中小企业声明函（服务）（分包号：</w:t>
      </w:r>
      <w:r>
        <w:rPr>
          <w:rFonts w:eastAsia="黑体"/>
          <w:i/>
          <w:sz w:val="32"/>
          <w:szCs w:val="32"/>
          <w:u w:val="single"/>
        </w:rPr>
        <w:t xml:space="preserve">**</w:t>
      </w:r>
      <w:r>
        <w:rPr>
          <w:rFonts w:eastAsia="黑体"/>
          <w:i/>
          <w:sz w:val="32"/>
          <w:szCs w:val="32"/>
          <w:u w:val="single"/>
        </w:rPr>
        <w:t xml:space="preserve">）</w:t>
      </w:r>
      <w:r/>
    </w:p>
    <w:p>
      <w:pPr>
        <w:ind w:firstLine="360"/>
        <w:spacing w:line="560" w:lineRule="exact"/>
        <w:rPr>
          <w:sz w:val="24"/>
          <w:szCs w:val="24"/>
        </w:rPr>
      </w:pPr>
      <w:r>
        <w:rPr>
          <w:sz w:val="24"/>
          <w:szCs w:val="24"/>
        </w:rPr>
        <w:t xml:space="preserve">本公司（联合体）郑重声明，根据《政府采购促进中小企业发展管理办法》</w:t>
      </w:r>
      <w:r>
        <w:rPr>
          <w:sz w:val="24"/>
          <w:szCs w:val="24"/>
        </w:rPr>
        <w:t xml:space="preserve">(</w:t>
      </w:r>
      <w:r>
        <w:rPr>
          <w:sz w:val="24"/>
          <w:szCs w:val="24"/>
        </w:rPr>
        <w:t xml:space="preserve">财库</w:t>
      </w:r>
      <w:r>
        <w:rPr>
          <w:sz w:val="24"/>
          <w:szCs w:val="24"/>
        </w:rPr>
        <w:t xml:space="preserve">[2020]46</w:t>
      </w:r>
      <w:r>
        <w:rPr>
          <w:sz w:val="24"/>
          <w:szCs w:val="24"/>
        </w:rPr>
        <w:t xml:space="preserve">号</w:t>
      </w:r>
      <w:r>
        <w:rPr>
          <w:sz w:val="24"/>
          <w:szCs w:val="24"/>
        </w:rPr>
        <w:t xml:space="preserve">)</w:t>
      </w:r>
      <w:r>
        <w:rPr>
          <w:sz w:val="24"/>
          <w:szCs w:val="24"/>
        </w:rPr>
        <w:t xml:space="preserve">的规定，本公司（联合体）参加溧阳市政府采购中心组织的</w:t>
      </w:r>
      <w:r>
        <w:rPr>
          <w:sz w:val="24"/>
          <w:szCs w:val="24"/>
          <w:u w:val="single"/>
        </w:rPr>
        <w:t xml:space="preserve">（单位名称）</w:t>
      </w:r>
      <w:r>
        <w:rPr>
          <w:sz w:val="24"/>
          <w:szCs w:val="24"/>
        </w:rPr>
        <w:t xml:space="preserve">采购编号为</w:t>
      </w:r>
      <w:r>
        <w:rPr>
          <w:sz w:val="24"/>
          <w:szCs w:val="24"/>
          <w:u w:val="single"/>
        </w:rPr>
        <w:t xml:space="preserve">***</w:t>
      </w:r>
      <w:r>
        <w:rPr>
          <w:sz w:val="24"/>
          <w:szCs w:val="24"/>
        </w:rPr>
        <w:t xml:space="preserve">，</w:t>
      </w:r>
      <w:r>
        <w:rPr>
          <w:sz w:val="24"/>
          <w:szCs w:val="24"/>
          <w:u w:val="single"/>
        </w:rPr>
        <w:t xml:space="preserve">（项目名称）（分包号：</w:t>
      </w:r>
      <w:r>
        <w:rPr>
          <w:sz w:val="24"/>
          <w:szCs w:val="24"/>
          <w:u w:val="single"/>
        </w:rPr>
        <w:t xml:space="preserve">**</w:t>
      </w:r>
      <w:r>
        <w:rPr>
          <w:sz w:val="24"/>
          <w:szCs w:val="24"/>
          <w:u w:val="single"/>
        </w:rPr>
        <w:t xml:space="preserve">）</w:t>
      </w:r>
      <w:r>
        <w:rPr>
          <w:sz w:val="24"/>
          <w:szCs w:val="24"/>
        </w:rPr>
        <w:t xml:space="preserve">的采购活动，服务全部由符合政策的中小企业承接。根据《工业和信息化部、国家统计局、国家发展和改革委员会、财政部关于印发中小企业划型标准规定的通知》</w:t>
      </w:r>
      <w:r>
        <w:rPr>
          <w:sz w:val="24"/>
          <w:szCs w:val="24"/>
        </w:rPr>
        <w:t xml:space="preserve">(</w:t>
      </w:r>
      <w:r>
        <w:rPr>
          <w:sz w:val="24"/>
          <w:szCs w:val="24"/>
        </w:rPr>
        <w:t xml:space="preserve">工信部联企业</w:t>
      </w:r>
      <w:r>
        <w:rPr>
          <w:sz w:val="24"/>
          <w:szCs w:val="24"/>
        </w:rPr>
        <w:t xml:space="preserve">[2011]300</w:t>
      </w:r>
      <w:r>
        <w:rPr>
          <w:sz w:val="24"/>
          <w:szCs w:val="24"/>
        </w:rPr>
        <w:t xml:space="preserve">号</w:t>
      </w:r>
      <w:r>
        <w:rPr>
          <w:sz w:val="24"/>
          <w:szCs w:val="24"/>
        </w:rPr>
        <w:t xml:space="preserve">)</w:t>
      </w:r>
      <w:r>
        <w:rPr>
          <w:sz w:val="24"/>
          <w:szCs w:val="24"/>
        </w:rPr>
        <w:t xml:space="preserve">的规定，相关企业（含联合体中的中小企业、签订分包意向协议的中小企业）的具体情况如下：</w:t>
      </w:r>
      <w:r/>
    </w:p>
    <w:p>
      <w:pPr>
        <w:ind w:firstLine="360"/>
        <w:spacing w:line="560" w:lineRule="exact"/>
        <w:rPr>
          <w:i/>
          <w:sz w:val="24"/>
          <w:szCs w:val="24"/>
          <w:u w:val="single"/>
        </w:rPr>
      </w:pPr>
      <w:r>
        <w:rPr>
          <w:sz w:val="24"/>
          <w:szCs w:val="24"/>
        </w:rPr>
        <w:t xml:space="preserve">1.</w:t>
      </w:r>
      <w:r>
        <w:rPr>
          <w:sz w:val="24"/>
          <w:szCs w:val="24"/>
          <w:u w:val="single"/>
        </w:rPr>
        <w:t xml:space="preserve">（标的名称）</w:t>
      </w:r>
      <w:r>
        <w:rPr>
          <w:i/>
          <w:sz w:val="24"/>
          <w:szCs w:val="24"/>
        </w:rPr>
        <w:t xml:space="preserve">，</w:t>
      </w:r>
      <w:r>
        <w:rPr>
          <w:sz w:val="24"/>
          <w:szCs w:val="24"/>
        </w:rPr>
        <w:t xml:space="preserve">属于</w:t>
      </w:r>
      <w:r>
        <w:rPr>
          <w:sz w:val="24"/>
          <w:szCs w:val="24"/>
          <w:u w:val="single"/>
        </w:rPr>
        <w:t xml:space="preserve">       </w:t>
      </w:r>
      <w:r>
        <w:rPr>
          <w:sz w:val="24"/>
          <w:szCs w:val="24"/>
        </w:rPr>
        <w:t xml:space="preserve">行业；承</w:t>
      </w:r>
      <w:r>
        <w:rPr>
          <w:sz w:val="24"/>
          <w:szCs w:val="24"/>
        </w:rPr>
        <w:t xml:space="preserve">接企业为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w:t>
      </w:r>
      <w:r>
        <w:rPr>
          <w:sz w:val="24"/>
          <w:szCs w:val="24"/>
          <w:vertAlign w:val="superscript"/>
        </w:rPr>
        <w:t xml:space="preserve">1</w:t>
      </w:r>
      <w:r>
        <w:rPr>
          <w:sz w:val="24"/>
          <w:szCs w:val="24"/>
        </w:rPr>
        <w:t xml:space="preserve">，属于</w:t>
      </w:r>
      <w:r>
        <w:rPr>
          <w:sz w:val="24"/>
          <w:szCs w:val="24"/>
          <w:u w:val="single"/>
        </w:rPr>
        <w:t xml:space="preserve">（中型企业、小型企业、微型企业）；</w:t>
      </w:r>
      <w:r/>
    </w:p>
    <w:p>
      <w:pPr>
        <w:ind w:firstLine="360"/>
        <w:spacing w:line="560" w:lineRule="exact"/>
        <w:rPr>
          <w:i/>
          <w:sz w:val="24"/>
          <w:szCs w:val="24"/>
          <w:u w:val="single"/>
        </w:rPr>
      </w:pPr>
      <w:r>
        <w:rPr>
          <w:sz w:val="24"/>
          <w:szCs w:val="24"/>
        </w:rPr>
        <w:t xml:space="preserve">2.</w:t>
      </w:r>
      <w:r>
        <w:rPr>
          <w:sz w:val="24"/>
          <w:szCs w:val="24"/>
          <w:u w:val="single"/>
        </w:rPr>
        <w:t xml:space="preserve">（标的名称）</w:t>
      </w:r>
      <w:r>
        <w:rPr>
          <w:i/>
          <w:sz w:val="24"/>
          <w:szCs w:val="24"/>
        </w:rPr>
        <w:t xml:space="preserve">，</w:t>
      </w:r>
      <w:r>
        <w:rPr>
          <w:sz w:val="24"/>
          <w:szCs w:val="24"/>
        </w:rPr>
        <w:t xml:space="preserve">属于</w:t>
      </w:r>
      <w:r>
        <w:rPr>
          <w:sz w:val="24"/>
          <w:szCs w:val="24"/>
          <w:u w:val="single"/>
        </w:rPr>
        <w:t xml:space="preserve">       </w:t>
      </w:r>
      <w:r>
        <w:rPr>
          <w:sz w:val="24"/>
          <w:szCs w:val="24"/>
        </w:rPr>
        <w:t xml:space="preserve">行业；承接企业为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w:t>
      </w:r>
      <w:r>
        <w:rPr>
          <w:sz w:val="24"/>
          <w:szCs w:val="24"/>
          <w:vertAlign w:val="superscript"/>
        </w:rPr>
        <w:t xml:space="preserve">1</w:t>
      </w:r>
      <w:r>
        <w:rPr>
          <w:sz w:val="24"/>
          <w:szCs w:val="24"/>
        </w:rPr>
        <w:t xml:space="preserve">，属于</w:t>
      </w:r>
      <w:r>
        <w:rPr>
          <w:sz w:val="24"/>
          <w:szCs w:val="24"/>
          <w:u w:val="single"/>
        </w:rPr>
        <w:t xml:space="preserve">（中型企业、小型企业、微型企业）；</w:t>
      </w:r>
      <w:r/>
    </w:p>
    <w:p>
      <w:pPr>
        <w:ind w:firstLine="360"/>
        <w:spacing w:line="560" w:lineRule="exact"/>
        <w:rPr>
          <w:sz w:val="24"/>
          <w:szCs w:val="24"/>
        </w:rPr>
      </w:pPr>
      <w:r>
        <w:rPr>
          <w:sz w:val="24"/>
          <w:szCs w:val="24"/>
        </w:rPr>
        <w:t xml:space="preserve">……</w:t>
      </w:r>
      <w:r/>
    </w:p>
    <w:p>
      <w:pPr>
        <w:ind w:firstLine="360"/>
        <w:spacing w:line="560" w:lineRule="exact"/>
        <w:rPr>
          <w:sz w:val="24"/>
          <w:szCs w:val="24"/>
        </w:rPr>
      </w:pPr>
      <w:r>
        <w:rPr>
          <w:sz w:val="24"/>
          <w:szCs w:val="24"/>
        </w:rPr>
        <w:t xml:space="preserve">以上企业，不属于大企业的分支机构，不存在控股股东为大企业的情形，也不存在与大企业的负责人为同一人的情形。</w:t>
      </w:r>
      <w:r/>
    </w:p>
    <w:p>
      <w:pPr>
        <w:ind w:firstLine="360"/>
        <w:spacing w:line="560" w:lineRule="exact"/>
        <w:rPr>
          <w:sz w:val="24"/>
          <w:szCs w:val="24"/>
        </w:rPr>
      </w:pPr>
      <w:r>
        <w:rPr>
          <w:sz w:val="24"/>
          <w:szCs w:val="24"/>
        </w:rPr>
        <w:t xml:space="preserve">本企业对上述声明内容的真实性负责。如有虚假，将依法承担相应责任</w:t>
      </w:r>
      <w:r/>
    </w:p>
    <w:p>
      <w:pPr>
        <w:ind w:right="180" w:firstLine="360"/>
        <w:jc w:val="right"/>
        <w:spacing w:line="560" w:lineRule="exact"/>
        <w:rPr>
          <w:sz w:val="24"/>
          <w:szCs w:val="24"/>
        </w:rPr>
      </w:pPr>
      <w:r>
        <w:rPr>
          <w:sz w:val="24"/>
          <w:szCs w:val="24"/>
        </w:rPr>
        <w:t xml:space="preserve">企业名称（加盖</w:t>
      </w:r>
      <w:r>
        <w:rPr>
          <w:sz w:val="24"/>
          <w:szCs w:val="24"/>
        </w:rPr>
        <w:t xml:space="preserve">CA</w:t>
      </w:r>
      <w:r>
        <w:rPr>
          <w:sz w:val="24"/>
          <w:szCs w:val="24"/>
        </w:rPr>
        <w:t xml:space="preserve">电子公章）：</w:t>
      </w:r>
      <w:r/>
    </w:p>
    <w:p>
      <w:pPr>
        <w:ind w:right="480" w:firstLine="5400"/>
        <w:spacing w:line="560" w:lineRule="exact"/>
        <w:rPr>
          <w:sz w:val="24"/>
          <w:szCs w:val="24"/>
        </w:rPr>
      </w:pPr>
      <w:r>
        <w:rPr>
          <w:sz w:val="24"/>
          <w:szCs w:val="24"/>
        </w:rPr>
        <w:t xml:space="preserve">日</w:t>
      </w:r>
      <w:r>
        <w:rPr>
          <w:sz w:val="24"/>
          <w:szCs w:val="24"/>
        </w:rPr>
        <w:t xml:space="preserve">  </w:t>
      </w:r>
      <w:r>
        <w:rPr>
          <w:sz w:val="24"/>
          <w:szCs w:val="24"/>
        </w:rPr>
        <w:t xml:space="preserve">期：</w:t>
      </w:r>
      <w:r/>
    </w:p>
    <w:p>
      <w:pPr>
        <w:ind w:firstLine="240"/>
        <w:spacing w:line="560" w:lineRule="exact"/>
        <w:rPr>
          <w:sz w:val="24"/>
          <w:szCs w:val="24"/>
        </w:rPr>
      </w:pPr>
      <w:r>
        <w:rPr>
          <w:sz w:val="24"/>
          <w:szCs w:val="24"/>
        </w:rPr>
      </w:r>
      <w:r/>
    </w:p>
    <w:p>
      <w:pPr>
        <w:ind w:firstLine="480"/>
        <w:rPr>
          <w:sz w:val="24"/>
          <w:szCs w:val="24"/>
        </w:rPr>
      </w:pPr>
      <w:r>
        <w:rPr>
          <w:sz w:val="24"/>
          <w:szCs w:val="24"/>
        </w:rPr>
        <w:t xml:space="preserve">备注：从业人员、营业收入、资产总额填报上一年度数据，无上</w:t>
      </w:r>
      <w:r>
        <w:rPr>
          <w:sz w:val="24"/>
          <w:szCs w:val="24"/>
        </w:rPr>
        <w:t xml:space="preserve">一</w:t>
      </w:r>
      <w:r>
        <w:rPr>
          <w:sz w:val="24"/>
          <w:szCs w:val="24"/>
        </w:rPr>
        <w:t xml:space="preserve">年度数据的新成立企业可不填报。</w:t>
      </w:r>
      <w:r/>
    </w:p>
    <w:p>
      <w:pPr>
        <w:ind w:right="1560"/>
        <w:jc w:val="right"/>
        <w:spacing w:line="588" w:lineRule="exact"/>
        <w:tabs>
          <w:tab w:val="left" w:pos="4860" w:leader="none"/>
        </w:tabs>
        <w:rPr>
          <w:sz w:val="24"/>
          <w:szCs w:val="21"/>
        </w:rPr>
      </w:pPr>
      <w:r>
        <w:rPr>
          <w:sz w:val="24"/>
          <w:szCs w:val="21"/>
        </w:rPr>
      </w:r>
      <w:r/>
    </w:p>
    <w:p>
      <w:pPr>
        <w:jc w:val="center"/>
        <w:spacing w:line="560" w:lineRule="exact"/>
        <w:rPr>
          <w:rFonts w:eastAsia="黑体"/>
          <w:b/>
          <w:sz w:val="32"/>
          <w:szCs w:val="32"/>
        </w:rPr>
      </w:pPr>
      <w:r>
        <w:rPr>
          <w:rFonts w:eastAsia="黑体"/>
          <w:b/>
          <w:sz w:val="32"/>
          <w:szCs w:val="32"/>
        </w:rPr>
      </w:r>
      <w:r/>
    </w:p>
    <w:p>
      <w:pPr>
        <w:jc w:val="center"/>
        <w:spacing w:line="560" w:lineRule="exact"/>
        <w:rPr>
          <w:rFonts w:eastAsia="黑体"/>
          <w:b/>
          <w:sz w:val="32"/>
          <w:szCs w:val="32"/>
        </w:rPr>
      </w:pPr>
      <w:r>
        <w:rPr>
          <w:rFonts w:eastAsia="黑体"/>
          <w:b/>
          <w:sz w:val="32"/>
          <w:szCs w:val="32"/>
        </w:rPr>
      </w:r>
      <w:r/>
    </w:p>
    <w:p>
      <w:pPr>
        <w:spacing w:line="460" w:lineRule="exact"/>
        <w:rPr>
          <w:rFonts w:eastAsia="黑体"/>
          <w:bCs/>
          <w:i/>
          <w:sz w:val="32"/>
          <w:szCs w:val="32"/>
          <w:u w:val="single"/>
        </w:rPr>
      </w:pPr>
      <w:r>
        <w:rPr>
          <w:rFonts w:hint="eastAsia" w:eastAsia="黑体"/>
          <w:bCs/>
          <w:i/>
          <w:sz w:val="32"/>
          <w:szCs w:val="32"/>
          <w:u w:val="single"/>
        </w:rPr>
        <w:t xml:space="preserve">七</w:t>
      </w:r>
      <w:r>
        <w:rPr>
          <w:rFonts w:eastAsia="黑体"/>
          <w:bCs/>
          <w:i/>
          <w:sz w:val="32"/>
          <w:szCs w:val="32"/>
          <w:u w:val="single"/>
        </w:rPr>
        <w:t xml:space="preserve">、残疾人福利性单位声明函（分包号：</w:t>
      </w:r>
      <w:r>
        <w:rPr>
          <w:rFonts w:eastAsia="黑体"/>
          <w:bCs/>
          <w:i/>
          <w:sz w:val="32"/>
          <w:szCs w:val="32"/>
          <w:u w:val="single"/>
        </w:rPr>
        <w:t xml:space="preserve">**</w:t>
      </w:r>
      <w:r>
        <w:rPr>
          <w:rFonts w:eastAsia="黑体"/>
          <w:bCs/>
          <w:i/>
          <w:sz w:val="32"/>
          <w:szCs w:val="32"/>
          <w:u w:val="single"/>
        </w:rPr>
        <w:t xml:space="preserve">）</w:t>
      </w:r>
      <w:r/>
    </w:p>
    <w:p>
      <w:pPr>
        <w:ind w:firstLine="480"/>
        <w:spacing w:line="588" w:lineRule="exact"/>
        <w:rPr>
          <w:sz w:val="24"/>
          <w:szCs w:val="21"/>
        </w:rPr>
      </w:pPr>
      <w:r>
        <w:rPr>
          <w:sz w:val="24"/>
          <w:szCs w:val="21"/>
        </w:rPr>
        <w:t xml:space="preserve">本单位郑重声明，根据《财政部</w:t>
      </w:r>
      <w:r>
        <w:rPr>
          <w:sz w:val="24"/>
          <w:szCs w:val="21"/>
        </w:rPr>
        <w:t xml:space="preserve"> </w:t>
      </w:r>
      <w:r>
        <w:rPr>
          <w:sz w:val="24"/>
          <w:szCs w:val="21"/>
        </w:rPr>
        <w:t xml:space="preserve">民政部</w:t>
      </w:r>
      <w:r>
        <w:rPr>
          <w:sz w:val="24"/>
          <w:szCs w:val="21"/>
        </w:rPr>
        <w:t xml:space="preserve"> </w:t>
      </w:r>
      <w:r>
        <w:rPr>
          <w:sz w:val="24"/>
          <w:szCs w:val="21"/>
        </w:rPr>
        <w:t xml:space="preserve">中国残疾人联合会关于促进残疾人就业政府采购政策的通知》（财库〔</w:t>
      </w:r>
      <w:r>
        <w:rPr>
          <w:sz w:val="24"/>
          <w:szCs w:val="21"/>
        </w:rPr>
        <w:t xml:space="preserve">2017</w:t>
      </w:r>
      <w:r>
        <w:rPr>
          <w:sz w:val="24"/>
          <w:szCs w:val="21"/>
        </w:rPr>
        <w:t xml:space="preserve">〕</w:t>
      </w:r>
      <w:r>
        <w:rPr>
          <w:sz w:val="24"/>
          <w:szCs w:val="21"/>
        </w:rPr>
        <w:t xml:space="preserve"> 141</w:t>
      </w:r>
      <w:r>
        <w:rPr>
          <w:sz w:val="24"/>
          <w:szCs w:val="21"/>
        </w:rPr>
        <w:t xml:space="preserve">号）的规定，本单位为符合条件的残疾人福利性单位，且本单位参加</w:t>
      </w:r>
      <w:r>
        <w:rPr>
          <w:sz w:val="24"/>
          <w:szCs w:val="21"/>
        </w:rPr>
        <w:t xml:space="preserve">______</w:t>
      </w:r>
      <w:r>
        <w:rPr>
          <w:sz w:val="24"/>
          <w:szCs w:val="21"/>
        </w:rPr>
        <w:t xml:space="preserve">单位的采购文件编号为</w:t>
      </w:r>
      <w:r>
        <w:rPr>
          <w:sz w:val="24"/>
          <w:szCs w:val="21"/>
        </w:rPr>
        <w:t xml:space="preserve">______</w:t>
      </w:r>
      <w:r>
        <w:rPr>
          <w:sz w:val="24"/>
          <w:szCs w:val="21"/>
        </w:rPr>
        <w:t xml:space="preserve">的</w:t>
      </w:r>
      <w:r>
        <w:rPr>
          <w:sz w:val="24"/>
          <w:szCs w:val="21"/>
          <w:u w:val="single"/>
        </w:rPr>
        <w:t xml:space="preserve">       </w:t>
      </w:r>
      <w:r>
        <w:rPr>
          <w:sz w:val="24"/>
          <w:szCs w:val="21"/>
        </w:rPr>
        <w:t xml:space="preserve">项目（分包号：</w:t>
      </w:r>
      <w:r>
        <w:rPr>
          <w:sz w:val="24"/>
          <w:szCs w:val="21"/>
        </w:rPr>
        <w:t xml:space="preserve">**</w:t>
      </w:r>
      <w:r>
        <w:rPr>
          <w:sz w:val="24"/>
          <w:szCs w:val="21"/>
        </w:rPr>
        <w:t xml:space="preserve">）采购活动提供本单位制造的货物，或者提供其他残疾人福利性单位制造的货物（不包括使用非残疾人福利性单位注册商标的货物）。</w:t>
      </w:r>
      <w:r/>
    </w:p>
    <w:p>
      <w:pPr>
        <w:ind w:firstLine="480"/>
        <w:spacing w:line="588" w:lineRule="exact"/>
        <w:rPr>
          <w:sz w:val="24"/>
          <w:szCs w:val="21"/>
        </w:rPr>
      </w:pPr>
      <w:r>
        <w:rPr>
          <w:sz w:val="24"/>
          <w:szCs w:val="21"/>
        </w:rPr>
        <w:t xml:space="preserve">本单位对上述声明的真实性负责。如有虚假，将依法承担相应责任。</w:t>
      </w:r>
      <w:r/>
    </w:p>
    <w:p>
      <w:pPr>
        <w:ind w:firstLine="480"/>
        <w:spacing w:line="588" w:lineRule="exact"/>
        <w:rPr>
          <w:sz w:val="24"/>
          <w:szCs w:val="21"/>
        </w:rPr>
      </w:pPr>
      <w:r>
        <w:rPr>
          <w:sz w:val="24"/>
          <w:szCs w:val="21"/>
        </w:rPr>
      </w:r>
      <w:r/>
    </w:p>
    <w:p>
      <w:pPr>
        <w:ind w:firstLine="480"/>
        <w:spacing w:line="588" w:lineRule="exact"/>
        <w:rPr>
          <w:sz w:val="24"/>
        </w:rPr>
      </w:pPr>
      <w:r>
        <w:rPr>
          <w:sz w:val="24"/>
        </w:rPr>
        <w:t xml:space="preserve">（备注：如是残疾人福利单位的应提供，否则</w:t>
      </w:r>
      <w:r>
        <w:rPr>
          <w:sz w:val="24"/>
          <w:szCs w:val="24"/>
        </w:rPr>
        <w:t xml:space="preserve">资格审查不予通过，作为无效响应。</w:t>
      </w:r>
      <w:r>
        <w:rPr>
          <w:sz w:val="24"/>
        </w:rPr>
        <w:t xml:space="preserve">此</w:t>
      </w:r>
      <w:r>
        <w:rPr>
          <w:sz w:val="24"/>
        </w:rPr>
        <w:t xml:space="preserve">声明函将随</w:t>
      </w:r>
      <w:r>
        <w:rPr>
          <w:sz w:val="24"/>
        </w:rPr>
        <w:t xml:space="preserve">成交结果同时公告，接受社会监督）</w:t>
      </w:r>
      <w:r/>
    </w:p>
    <w:p>
      <w:pPr>
        <w:ind w:firstLine="624"/>
        <w:spacing w:line="588" w:lineRule="exact"/>
        <w:rPr>
          <w:rFonts w:eastAsia="仿宋_GB2312"/>
          <w:spacing w:val="6"/>
          <w:sz w:val="30"/>
          <w:szCs w:val="30"/>
        </w:rPr>
      </w:pPr>
      <w:r>
        <w:rPr>
          <w:rFonts w:eastAsia="仿宋_GB2312"/>
          <w:spacing w:val="6"/>
          <w:sz w:val="30"/>
          <w:szCs w:val="30"/>
        </w:rPr>
      </w:r>
      <w:r/>
    </w:p>
    <w:p>
      <w:pPr>
        <w:ind w:right="1560"/>
        <w:jc w:val="right"/>
        <w:spacing w:line="588" w:lineRule="exact"/>
        <w:tabs>
          <w:tab w:val="left" w:pos="4860" w:leader="none"/>
        </w:tabs>
        <w:rPr>
          <w:sz w:val="24"/>
          <w:szCs w:val="21"/>
        </w:rPr>
      </w:pPr>
      <w:r>
        <w:rPr>
          <w:sz w:val="24"/>
          <w:szCs w:val="21"/>
        </w:rPr>
        <w:t xml:space="preserve">供应商全称（加盖</w:t>
      </w:r>
      <w:r>
        <w:rPr>
          <w:sz w:val="24"/>
          <w:szCs w:val="21"/>
        </w:rPr>
        <w:t xml:space="preserve">CA</w:t>
      </w:r>
      <w:r>
        <w:rPr>
          <w:sz w:val="24"/>
          <w:szCs w:val="21"/>
        </w:rPr>
        <w:t xml:space="preserve">电子公章）：</w:t>
      </w:r>
      <w:r/>
    </w:p>
    <w:p>
      <w:pPr>
        <w:ind w:right="1560"/>
        <w:jc w:val="right"/>
        <w:spacing w:line="588" w:lineRule="exact"/>
        <w:tabs>
          <w:tab w:val="left" w:pos="4860" w:leader="none"/>
        </w:tabs>
        <w:rPr>
          <w:sz w:val="24"/>
          <w:szCs w:val="21"/>
        </w:rPr>
      </w:pPr>
      <w:r>
        <w:rPr>
          <w:sz w:val="24"/>
          <w:szCs w:val="21"/>
        </w:rPr>
        <w:t xml:space="preserve">日</w:t>
      </w:r>
      <w:r>
        <w:rPr>
          <w:sz w:val="24"/>
          <w:szCs w:val="21"/>
        </w:rPr>
        <w:t xml:space="preserve">  </w:t>
      </w:r>
      <w:r>
        <w:rPr>
          <w:sz w:val="24"/>
          <w:szCs w:val="21"/>
        </w:rPr>
        <w:t xml:space="preserve">期：</w:t>
      </w:r>
      <w:r/>
    </w:p>
    <w:p>
      <w:pPr>
        <w:jc w:val="center"/>
        <w:spacing w:line="560" w:lineRule="exact"/>
        <w:rPr>
          <w:rFonts w:eastAsia="黑体"/>
          <w:b/>
          <w:sz w:val="32"/>
          <w:szCs w:val="32"/>
        </w:rPr>
      </w:pPr>
      <w:r>
        <w:rPr>
          <w:rFonts w:eastAsia="黑体"/>
          <w:b/>
          <w:sz w:val="32"/>
          <w:szCs w:val="32"/>
        </w:rPr>
      </w:r>
      <w:r/>
    </w:p>
    <w:p>
      <w:pPr>
        <w:jc w:val="center"/>
        <w:spacing w:line="560" w:lineRule="exact"/>
        <w:rPr>
          <w:rFonts w:eastAsia="黑体"/>
          <w:b/>
          <w:sz w:val="32"/>
          <w:szCs w:val="32"/>
        </w:rPr>
      </w:pPr>
      <w:r>
        <w:rPr>
          <w:rFonts w:eastAsia="黑体"/>
          <w:b/>
          <w:sz w:val="32"/>
          <w:szCs w:val="32"/>
        </w:rPr>
      </w:r>
      <w:r/>
    </w:p>
    <w:p>
      <w:pPr>
        <w:jc w:val="center"/>
        <w:spacing w:line="560" w:lineRule="exact"/>
        <w:rPr>
          <w:rFonts w:eastAsia="黑体"/>
          <w:b/>
          <w:sz w:val="32"/>
          <w:szCs w:val="32"/>
        </w:rPr>
      </w:pPr>
      <w:r>
        <w:rPr>
          <w:rFonts w:eastAsia="黑体"/>
          <w:b/>
          <w:sz w:val="32"/>
          <w:szCs w:val="32"/>
        </w:rPr>
      </w:r>
      <w:r/>
    </w:p>
    <w:p>
      <w:pPr>
        <w:jc w:val="center"/>
        <w:spacing w:line="560" w:lineRule="exact"/>
        <w:rPr>
          <w:rFonts w:eastAsia="黑体"/>
          <w:b/>
          <w:sz w:val="32"/>
          <w:szCs w:val="32"/>
        </w:rPr>
      </w:pPr>
      <w:r>
        <w:rPr>
          <w:rFonts w:eastAsia="黑体"/>
          <w:b/>
          <w:sz w:val="32"/>
          <w:szCs w:val="32"/>
        </w:rPr>
      </w:r>
      <w:r/>
    </w:p>
    <w:p>
      <w:pPr>
        <w:spacing w:line="588" w:lineRule="exact"/>
        <w:rPr>
          <w:rFonts w:eastAsia="黑体"/>
          <w:bCs/>
          <w:i/>
          <w:sz w:val="32"/>
          <w:szCs w:val="32"/>
          <w:u w:val="single"/>
        </w:rPr>
      </w:pPr>
      <w:r>
        <w:rPr>
          <w:rFonts w:eastAsia="黑体"/>
          <w:bCs/>
          <w:i/>
          <w:sz w:val="32"/>
          <w:szCs w:val="32"/>
          <w:u w:val="single"/>
        </w:rPr>
        <w:t xml:space="preserve">监狱企业证明文件</w:t>
      </w:r>
      <w:r/>
    </w:p>
    <w:p>
      <w:pPr>
        <w:ind w:firstLine="480"/>
        <w:spacing w:line="588" w:lineRule="exact"/>
        <w:rPr>
          <w:sz w:val="24"/>
        </w:rPr>
      </w:pPr>
      <w:r>
        <w:rPr>
          <w:sz w:val="24"/>
        </w:rPr>
        <w:t xml:space="preserve">监狱企业须提供由省级以上监狱管理局、戒毒管理局（含新疆生产建设兵团）出具的属于监狱企业的证明文件。（备注：如是监狱企业的应提供，否则</w:t>
      </w:r>
      <w:r>
        <w:rPr>
          <w:sz w:val="24"/>
          <w:szCs w:val="24"/>
        </w:rPr>
        <w:t xml:space="preserve">资格审查不予通过，作为无效响应。</w:t>
      </w:r>
      <w:r>
        <w:rPr>
          <w:sz w:val="24"/>
        </w:rPr>
        <w:t xml:space="preserve">）</w:t>
      </w:r>
      <w:r/>
    </w:p>
    <w:p>
      <w:pPr>
        <w:jc w:val="center"/>
        <w:spacing w:line="560" w:lineRule="exact"/>
        <w:rPr>
          <w:rFonts w:eastAsia="黑体"/>
          <w:b/>
          <w:sz w:val="32"/>
          <w:szCs w:val="32"/>
        </w:rPr>
      </w:pPr>
      <w:r>
        <w:rPr>
          <w:rFonts w:eastAsia="黑体"/>
          <w:b/>
          <w:sz w:val="32"/>
          <w:szCs w:val="32"/>
        </w:rPr>
      </w:r>
      <w:r/>
    </w:p>
    <w:p>
      <w:pPr>
        <w:jc w:val="left"/>
        <w:spacing w:line="560" w:lineRule="exact"/>
        <w:tabs>
          <w:tab w:val="left" w:pos="1693" w:leader="none"/>
          <w:tab w:val="right" w:pos="9146" w:leader="none"/>
        </w:tabs>
        <w:rPr>
          <w:bCs/>
          <w:sz w:val="24"/>
          <w:szCs w:val="21"/>
        </w:rPr>
      </w:pPr>
      <w:r>
        <w:rPr>
          <w:rFonts w:hint="eastAsia"/>
          <w:sz w:val="24"/>
          <w:szCs w:val="21"/>
        </w:rPr>
        <w:tab/>
      </w:r>
      <w:r>
        <w:rPr>
          <w:sz w:val="24"/>
          <w:szCs w:val="21"/>
        </w:rPr>
        <w:t xml:space="preserve">      </w:t>
      </w:r>
      <w:r/>
    </w:p>
    <w:p>
      <w:pPr>
        <w:rPr>
          <w:rFonts w:eastAsia="黑体"/>
          <w:bCs/>
          <w:i/>
          <w:sz w:val="32"/>
          <w:szCs w:val="32"/>
          <w:u w:val="single"/>
        </w:rPr>
      </w:pPr>
      <w:r>
        <w:rPr>
          <w:rFonts w:eastAsia="黑体"/>
          <w:bCs/>
          <w:i/>
          <w:sz w:val="32"/>
          <w:szCs w:val="32"/>
          <w:u w:val="single"/>
        </w:rPr>
        <w:t xml:space="preserve">八、分项报价表（分包号：</w:t>
      </w:r>
      <w:r>
        <w:rPr>
          <w:rFonts w:eastAsia="黑体"/>
          <w:bCs/>
          <w:i/>
          <w:sz w:val="32"/>
          <w:szCs w:val="32"/>
          <w:u w:val="single"/>
        </w:rPr>
        <w:t xml:space="preserve">**</w:t>
      </w:r>
      <w:r>
        <w:rPr>
          <w:rFonts w:eastAsia="黑体"/>
          <w:bCs/>
          <w:i/>
          <w:sz w:val="32"/>
          <w:szCs w:val="32"/>
          <w:u w:val="single"/>
        </w:rPr>
        <w:t xml:space="preserve">）（服务类）</w:t>
      </w:r>
      <w:r/>
    </w:p>
    <w:tbl>
      <w:tblPr>
        <w:tblW w:w="905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sz w:val="24"/>
                <w:szCs w:val="24"/>
              </w:rPr>
            </w:pPr>
            <w:r>
              <w:rPr>
                <w:sz w:val="24"/>
                <w:szCs w:val="24"/>
              </w:rPr>
              <w:t xml:space="preserve">序号</w:t>
            </w:r>
            <w:r/>
          </w:p>
        </w:tc>
        <w:tc>
          <w:tcPr>
            <w:tcW w:w="1274" w:type="dxa"/>
            <w:vAlign w:val="center"/>
            <w:textDirection w:val="lrTb"/>
            <w:noWrap w:val="false"/>
          </w:tcPr>
          <w:p>
            <w:pPr>
              <w:jc w:val="center"/>
              <w:spacing w:line="0" w:lineRule="atLeast"/>
              <w:rPr>
                <w:sz w:val="24"/>
                <w:szCs w:val="24"/>
              </w:rPr>
            </w:pPr>
            <w:r>
              <w:rPr>
                <w:sz w:val="24"/>
                <w:szCs w:val="24"/>
              </w:rPr>
              <w:t xml:space="preserve">1</w:t>
            </w:r>
            <w:r/>
          </w:p>
        </w:tc>
        <w:tc>
          <w:tcPr>
            <w:tcW w:w="1288" w:type="dxa"/>
            <w:vAlign w:val="center"/>
            <w:textDirection w:val="lrTb"/>
            <w:noWrap w:val="false"/>
          </w:tcPr>
          <w:p>
            <w:pPr>
              <w:jc w:val="center"/>
              <w:spacing w:line="0" w:lineRule="atLeast"/>
              <w:rPr>
                <w:sz w:val="24"/>
                <w:szCs w:val="24"/>
              </w:rPr>
            </w:pPr>
            <w:r>
              <w:rPr>
                <w:sz w:val="24"/>
                <w:szCs w:val="24"/>
              </w:rPr>
              <w:t xml:space="preserve">2</w:t>
            </w:r>
            <w:r/>
          </w:p>
        </w:tc>
        <w:tc>
          <w:tcPr>
            <w:tcW w:w="924" w:type="dxa"/>
            <w:vAlign w:val="center"/>
            <w:textDirection w:val="lrTb"/>
            <w:noWrap w:val="false"/>
          </w:tcPr>
          <w:p>
            <w:pPr>
              <w:jc w:val="center"/>
              <w:spacing w:line="0" w:lineRule="atLeast"/>
              <w:rPr>
                <w:sz w:val="24"/>
                <w:szCs w:val="24"/>
              </w:rPr>
            </w:pPr>
            <w:r>
              <w:rPr>
                <w:sz w:val="24"/>
                <w:szCs w:val="24"/>
              </w:rPr>
              <w:t xml:space="preserve">3</w:t>
            </w:r>
            <w:r/>
          </w:p>
        </w:tc>
        <w:tc>
          <w:tcPr>
            <w:tcW w:w="1203" w:type="dxa"/>
            <w:vAlign w:val="center"/>
            <w:textDirection w:val="lrTb"/>
            <w:noWrap w:val="false"/>
          </w:tcPr>
          <w:p>
            <w:pPr>
              <w:jc w:val="center"/>
              <w:spacing w:line="0" w:lineRule="atLeast"/>
              <w:rPr>
                <w:sz w:val="24"/>
                <w:szCs w:val="24"/>
              </w:rPr>
            </w:pPr>
            <w:r>
              <w:rPr>
                <w:sz w:val="24"/>
                <w:szCs w:val="24"/>
              </w:rPr>
              <w:t xml:space="preserve">4</w:t>
            </w:r>
            <w:r/>
          </w:p>
        </w:tc>
        <w:tc>
          <w:tcPr>
            <w:tcW w:w="1618" w:type="dxa"/>
            <w:vAlign w:val="center"/>
            <w:textDirection w:val="lrTb"/>
            <w:noWrap w:val="false"/>
          </w:tcPr>
          <w:p>
            <w:pPr>
              <w:jc w:val="center"/>
              <w:spacing w:line="0" w:lineRule="atLeast"/>
              <w:rPr>
                <w:sz w:val="24"/>
                <w:szCs w:val="24"/>
              </w:rPr>
            </w:pPr>
            <w:r>
              <w:rPr>
                <w:sz w:val="24"/>
                <w:szCs w:val="24"/>
              </w:rPr>
              <w:t xml:space="preserve">5</w:t>
            </w:r>
            <w:r/>
          </w:p>
        </w:tc>
        <w:tc>
          <w:tcPr>
            <w:tcW w:w="1798" w:type="dxa"/>
            <w:vAlign w:val="center"/>
            <w:textDirection w:val="lrTb"/>
            <w:noWrap w:val="false"/>
          </w:tcPr>
          <w:p>
            <w:pPr>
              <w:jc w:val="center"/>
              <w:spacing w:line="0" w:lineRule="atLeast"/>
              <w:rPr>
                <w:sz w:val="24"/>
                <w:szCs w:val="24"/>
              </w:rPr>
            </w:pPr>
            <w:r>
              <w:rPr>
                <w:sz w:val="24"/>
                <w:szCs w:val="24"/>
              </w:rPr>
              <w:t xml:space="preserve">6</w:t>
            </w:r>
            <w:r/>
          </w:p>
        </w:tc>
      </w:tr>
      <w:tr>
        <w:trPr>
          <w:cantSplit/>
          <w:trHeight w:val="294"/>
        </w:trPr>
        <w:tc>
          <w:tcPr>
            <w:tcW w:w="948" w:type="dxa"/>
            <w:vAlign w:val="center"/>
            <w:vMerge w:val="continue"/>
            <w:textDirection w:val="lrTb"/>
            <w:noWrap w:val="false"/>
          </w:tcPr>
          <w:p>
            <w:pPr>
              <w:jc w:val="center"/>
              <w:spacing w:line="0" w:lineRule="atLeast"/>
              <w:rPr>
                <w:sz w:val="24"/>
                <w:szCs w:val="24"/>
              </w:rPr>
            </w:pPr>
            <w:r>
              <w:rPr>
                <w:sz w:val="24"/>
                <w:szCs w:val="24"/>
              </w:rPr>
            </w:r>
            <w:r/>
          </w:p>
        </w:tc>
        <w:tc>
          <w:tcPr>
            <w:tcW w:w="1274" w:type="dxa"/>
            <w:vAlign w:val="center"/>
            <w:textDirection w:val="lrTb"/>
            <w:noWrap w:val="false"/>
          </w:tcPr>
          <w:p>
            <w:pPr>
              <w:jc w:val="center"/>
              <w:spacing w:line="0" w:lineRule="atLeast"/>
              <w:rPr>
                <w:sz w:val="24"/>
                <w:szCs w:val="24"/>
              </w:rPr>
            </w:pPr>
            <w:r>
              <w:rPr>
                <w:sz w:val="24"/>
                <w:szCs w:val="24"/>
              </w:rPr>
              <w:t xml:space="preserve">分项名称</w:t>
            </w:r>
            <w:r/>
          </w:p>
        </w:tc>
        <w:tc>
          <w:tcPr>
            <w:tcW w:w="1288" w:type="dxa"/>
            <w:vAlign w:val="center"/>
            <w:textDirection w:val="lrTb"/>
            <w:noWrap w:val="false"/>
          </w:tcPr>
          <w:p>
            <w:pPr>
              <w:jc w:val="center"/>
              <w:spacing w:line="0" w:lineRule="atLeast"/>
              <w:rPr>
                <w:sz w:val="24"/>
                <w:szCs w:val="24"/>
              </w:rPr>
            </w:pPr>
            <w:r>
              <w:rPr>
                <w:sz w:val="24"/>
                <w:szCs w:val="24"/>
              </w:rPr>
              <w:t xml:space="preserve">交付期</w:t>
            </w:r>
            <w:r/>
          </w:p>
        </w:tc>
        <w:tc>
          <w:tcPr>
            <w:tcW w:w="924" w:type="dxa"/>
            <w:vAlign w:val="center"/>
            <w:textDirection w:val="lrTb"/>
            <w:noWrap w:val="false"/>
          </w:tcPr>
          <w:p>
            <w:pPr>
              <w:jc w:val="center"/>
              <w:spacing w:line="0" w:lineRule="atLeast"/>
              <w:rPr>
                <w:sz w:val="24"/>
                <w:szCs w:val="24"/>
              </w:rPr>
            </w:pPr>
            <w:r>
              <w:rPr>
                <w:sz w:val="24"/>
                <w:szCs w:val="24"/>
              </w:rPr>
              <w:t xml:space="preserve">分项单位</w:t>
            </w:r>
            <w:r/>
          </w:p>
        </w:tc>
        <w:tc>
          <w:tcPr>
            <w:tcW w:w="1203" w:type="dxa"/>
            <w:vAlign w:val="center"/>
            <w:textDirection w:val="lrTb"/>
            <w:noWrap w:val="false"/>
          </w:tcPr>
          <w:p>
            <w:pPr>
              <w:jc w:val="center"/>
              <w:spacing w:line="0" w:lineRule="atLeast"/>
              <w:rPr>
                <w:sz w:val="24"/>
                <w:szCs w:val="24"/>
              </w:rPr>
            </w:pPr>
            <w:r>
              <w:rPr>
                <w:sz w:val="24"/>
                <w:szCs w:val="24"/>
              </w:rPr>
              <w:t xml:space="preserve">数量</w:t>
            </w:r>
            <w:r/>
          </w:p>
        </w:tc>
        <w:tc>
          <w:tcPr>
            <w:tcW w:w="1618" w:type="dxa"/>
            <w:vAlign w:val="center"/>
            <w:textDirection w:val="lrTb"/>
            <w:noWrap w:val="false"/>
          </w:tcPr>
          <w:p>
            <w:pPr>
              <w:jc w:val="center"/>
              <w:spacing w:line="0" w:lineRule="atLeast"/>
              <w:rPr>
                <w:sz w:val="24"/>
                <w:szCs w:val="24"/>
              </w:rPr>
            </w:pPr>
            <w:r>
              <w:rPr>
                <w:sz w:val="24"/>
                <w:szCs w:val="24"/>
              </w:rPr>
              <w:t xml:space="preserve">分项</w:t>
            </w:r>
            <w:r/>
          </w:p>
          <w:p>
            <w:pPr>
              <w:jc w:val="center"/>
              <w:spacing w:line="0" w:lineRule="atLeast"/>
              <w:rPr>
                <w:sz w:val="24"/>
                <w:szCs w:val="24"/>
              </w:rPr>
            </w:pPr>
            <w:r>
              <w:rPr>
                <w:sz w:val="24"/>
                <w:szCs w:val="24"/>
              </w:rPr>
              <w:t xml:space="preserve">单价</w:t>
            </w:r>
            <w:r/>
          </w:p>
        </w:tc>
        <w:tc>
          <w:tcPr>
            <w:tcW w:w="1798" w:type="dxa"/>
            <w:vAlign w:val="center"/>
            <w:textDirection w:val="lrTb"/>
            <w:noWrap w:val="false"/>
          </w:tcPr>
          <w:p>
            <w:pPr>
              <w:jc w:val="center"/>
              <w:spacing w:line="0" w:lineRule="atLeast"/>
              <w:rPr>
                <w:sz w:val="24"/>
                <w:szCs w:val="24"/>
              </w:rPr>
            </w:pPr>
            <w:r>
              <w:rPr>
                <w:sz w:val="24"/>
                <w:szCs w:val="24"/>
              </w:rPr>
              <w:t xml:space="preserve">分项</w:t>
            </w:r>
            <w:r/>
          </w:p>
          <w:p>
            <w:pPr>
              <w:jc w:val="center"/>
              <w:spacing w:line="0" w:lineRule="atLeast"/>
              <w:rPr>
                <w:sz w:val="24"/>
                <w:szCs w:val="24"/>
              </w:rPr>
            </w:pPr>
            <w:r>
              <w:rPr>
                <w:sz w:val="24"/>
                <w:szCs w:val="24"/>
              </w:rPr>
              <w:t xml:space="preserve">总价</w:t>
            </w:r>
            <w:r/>
          </w:p>
        </w:tc>
      </w:tr>
      <w:tr>
        <w:trPr>
          <w:cantSplit/>
          <w:trHeight w:val="654"/>
        </w:trPr>
        <w:tc>
          <w:tcPr>
            <w:tcW w:w="948" w:type="dxa"/>
            <w:vAlign w:val="center"/>
            <w:textDirection w:val="lrTb"/>
            <w:noWrap w:val="false"/>
          </w:tcPr>
          <w:p>
            <w:pPr>
              <w:jc w:val="center"/>
              <w:spacing w:line="0" w:lineRule="atLeast"/>
              <w:rPr>
                <w:sz w:val="24"/>
                <w:szCs w:val="24"/>
              </w:rPr>
            </w:pPr>
            <w:r>
              <w:rPr>
                <w:sz w:val="24"/>
                <w:szCs w:val="24"/>
              </w:rPr>
              <w:t xml:space="preserve">1</w:t>
            </w:r>
            <w:r/>
          </w:p>
        </w:tc>
        <w:tc>
          <w:tcPr>
            <w:tcW w:w="1274" w:type="dxa"/>
            <w:vAlign w:val="center"/>
            <w:textDirection w:val="lrTb"/>
            <w:noWrap w:val="false"/>
          </w:tcPr>
          <w:p>
            <w:pPr>
              <w:jc w:val="center"/>
              <w:spacing w:line="0" w:lineRule="atLeast"/>
              <w:rPr>
                <w:sz w:val="24"/>
                <w:szCs w:val="24"/>
              </w:rPr>
            </w:pPr>
            <w:r>
              <w:rPr>
                <w:sz w:val="24"/>
                <w:szCs w:val="24"/>
              </w:rPr>
            </w:r>
            <w:r/>
          </w:p>
        </w:tc>
        <w:tc>
          <w:tcPr>
            <w:tcW w:w="1288" w:type="dxa"/>
            <w:vAlign w:val="center"/>
            <w:textDirection w:val="lrTb"/>
            <w:noWrap w:val="false"/>
          </w:tcPr>
          <w:p>
            <w:pPr>
              <w:jc w:val="center"/>
              <w:spacing w:line="0" w:lineRule="atLeast"/>
              <w:rPr>
                <w:sz w:val="24"/>
                <w:szCs w:val="24"/>
              </w:rPr>
            </w:pPr>
            <w:r>
              <w:rPr>
                <w:sz w:val="24"/>
                <w:szCs w:val="24"/>
              </w:rPr>
            </w:r>
            <w:r/>
          </w:p>
        </w:tc>
        <w:tc>
          <w:tcPr>
            <w:tcW w:w="924" w:type="dxa"/>
            <w:vAlign w:val="center"/>
            <w:textDirection w:val="lrTb"/>
            <w:noWrap w:val="false"/>
          </w:tcPr>
          <w:p>
            <w:pPr>
              <w:jc w:val="center"/>
              <w:spacing w:line="0" w:lineRule="atLeast"/>
              <w:rPr>
                <w:sz w:val="24"/>
                <w:szCs w:val="24"/>
              </w:rPr>
            </w:pPr>
            <w:r>
              <w:rPr>
                <w:sz w:val="24"/>
                <w:szCs w:val="24"/>
              </w:rPr>
            </w:r>
            <w:r/>
          </w:p>
        </w:tc>
        <w:tc>
          <w:tcPr>
            <w:tcW w:w="1203" w:type="dxa"/>
            <w:vAlign w:val="center"/>
            <w:textDirection w:val="lrTb"/>
            <w:noWrap w:val="false"/>
          </w:tcPr>
          <w:p>
            <w:pPr>
              <w:jc w:val="center"/>
              <w:spacing w:line="0" w:lineRule="atLeast"/>
              <w:rPr>
                <w:sz w:val="24"/>
                <w:szCs w:val="24"/>
              </w:rPr>
            </w:pPr>
            <w:r>
              <w:rPr>
                <w:sz w:val="24"/>
                <w:szCs w:val="24"/>
              </w:rPr>
            </w:r>
            <w:r/>
          </w:p>
        </w:tc>
        <w:tc>
          <w:tcPr>
            <w:tcW w:w="1618" w:type="dxa"/>
            <w:vAlign w:val="center"/>
            <w:textDirection w:val="lrTb"/>
            <w:noWrap w:val="false"/>
          </w:tcPr>
          <w:p>
            <w:pPr>
              <w:jc w:val="center"/>
              <w:spacing w:line="0" w:lineRule="atLeast"/>
              <w:rPr>
                <w:sz w:val="24"/>
                <w:szCs w:val="24"/>
              </w:rPr>
            </w:pPr>
            <w:r>
              <w:rPr>
                <w:sz w:val="24"/>
                <w:szCs w:val="24"/>
              </w:rPr>
            </w:r>
            <w:r/>
          </w:p>
        </w:tc>
        <w:tc>
          <w:tcPr>
            <w:tcW w:w="1798" w:type="dxa"/>
            <w:vAlign w:val="center"/>
            <w:textDirection w:val="lrTb"/>
            <w:noWrap w:val="false"/>
          </w:tcPr>
          <w:p>
            <w:pPr>
              <w:jc w:val="center"/>
              <w:spacing w:line="0" w:lineRule="atLeast"/>
              <w:rPr>
                <w:sz w:val="24"/>
                <w:szCs w:val="24"/>
              </w:rPr>
            </w:pPr>
            <w:r>
              <w:rPr>
                <w:sz w:val="24"/>
                <w:szCs w:val="24"/>
              </w:rPr>
            </w:r>
            <w:r/>
          </w:p>
        </w:tc>
      </w:tr>
      <w:tr>
        <w:trPr>
          <w:cantSplit/>
          <w:trHeight w:val="654"/>
        </w:trPr>
        <w:tc>
          <w:tcPr>
            <w:tcW w:w="948" w:type="dxa"/>
            <w:vAlign w:val="center"/>
            <w:textDirection w:val="lrTb"/>
            <w:noWrap w:val="false"/>
          </w:tcPr>
          <w:p>
            <w:pPr>
              <w:jc w:val="center"/>
              <w:spacing w:line="0" w:lineRule="atLeast"/>
              <w:rPr>
                <w:sz w:val="24"/>
                <w:szCs w:val="24"/>
              </w:rPr>
            </w:pPr>
            <w:r>
              <w:rPr>
                <w:sz w:val="24"/>
                <w:szCs w:val="24"/>
              </w:rPr>
              <w:t xml:space="preserve">2</w:t>
            </w:r>
            <w:r/>
          </w:p>
        </w:tc>
        <w:tc>
          <w:tcPr>
            <w:tcW w:w="1274" w:type="dxa"/>
            <w:vAlign w:val="center"/>
            <w:textDirection w:val="lrTb"/>
            <w:noWrap w:val="false"/>
          </w:tcPr>
          <w:p>
            <w:pPr>
              <w:jc w:val="center"/>
              <w:spacing w:line="0" w:lineRule="atLeast"/>
              <w:rPr>
                <w:sz w:val="24"/>
                <w:szCs w:val="24"/>
              </w:rPr>
            </w:pPr>
            <w:r>
              <w:rPr>
                <w:sz w:val="24"/>
                <w:szCs w:val="24"/>
              </w:rPr>
            </w:r>
            <w:r/>
          </w:p>
        </w:tc>
        <w:tc>
          <w:tcPr>
            <w:tcW w:w="1288" w:type="dxa"/>
            <w:vAlign w:val="center"/>
            <w:textDirection w:val="lrTb"/>
            <w:noWrap w:val="false"/>
          </w:tcPr>
          <w:p>
            <w:pPr>
              <w:jc w:val="center"/>
              <w:spacing w:line="0" w:lineRule="atLeast"/>
              <w:rPr>
                <w:sz w:val="24"/>
                <w:szCs w:val="24"/>
              </w:rPr>
            </w:pPr>
            <w:r>
              <w:rPr>
                <w:sz w:val="24"/>
                <w:szCs w:val="24"/>
              </w:rPr>
            </w:r>
            <w:r/>
          </w:p>
        </w:tc>
        <w:tc>
          <w:tcPr>
            <w:tcW w:w="924" w:type="dxa"/>
            <w:vAlign w:val="center"/>
            <w:textDirection w:val="lrTb"/>
            <w:noWrap w:val="false"/>
          </w:tcPr>
          <w:p>
            <w:pPr>
              <w:jc w:val="center"/>
              <w:spacing w:line="0" w:lineRule="atLeast"/>
              <w:rPr>
                <w:sz w:val="24"/>
                <w:szCs w:val="24"/>
              </w:rPr>
            </w:pPr>
            <w:r>
              <w:rPr>
                <w:sz w:val="24"/>
                <w:szCs w:val="24"/>
              </w:rPr>
            </w:r>
            <w:r/>
          </w:p>
        </w:tc>
        <w:tc>
          <w:tcPr>
            <w:tcW w:w="1203" w:type="dxa"/>
            <w:vAlign w:val="center"/>
            <w:textDirection w:val="lrTb"/>
            <w:noWrap w:val="false"/>
          </w:tcPr>
          <w:p>
            <w:pPr>
              <w:jc w:val="center"/>
              <w:spacing w:line="0" w:lineRule="atLeast"/>
              <w:rPr>
                <w:sz w:val="24"/>
                <w:szCs w:val="24"/>
              </w:rPr>
            </w:pPr>
            <w:r>
              <w:rPr>
                <w:sz w:val="24"/>
                <w:szCs w:val="24"/>
              </w:rPr>
            </w:r>
            <w:r/>
          </w:p>
        </w:tc>
        <w:tc>
          <w:tcPr>
            <w:tcW w:w="1618" w:type="dxa"/>
            <w:vAlign w:val="center"/>
            <w:textDirection w:val="lrTb"/>
            <w:noWrap w:val="false"/>
          </w:tcPr>
          <w:p>
            <w:pPr>
              <w:jc w:val="center"/>
              <w:spacing w:line="0" w:lineRule="atLeast"/>
              <w:rPr>
                <w:sz w:val="24"/>
                <w:szCs w:val="24"/>
              </w:rPr>
            </w:pPr>
            <w:r>
              <w:rPr>
                <w:sz w:val="24"/>
                <w:szCs w:val="24"/>
              </w:rPr>
            </w:r>
            <w:r/>
          </w:p>
        </w:tc>
        <w:tc>
          <w:tcPr>
            <w:tcW w:w="1798" w:type="dxa"/>
            <w:vAlign w:val="center"/>
            <w:textDirection w:val="lrTb"/>
            <w:noWrap w:val="false"/>
          </w:tcPr>
          <w:p>
            <w:pPr>
              <w:jc w:val="center"/>
              <w:spacing w:line="0" w:lineRule="atLeast"/>
              <w:rPr>
                <w:sz w:val="24"/>
                <w:szCs w:val="24"/>
              </w:rPr>
            </w:pPr>
            <w:r>
              <w:rPr>
                <w:sz w:val="24"/>
                <w:szCs w:val="24"/>
              </w:rPr>
            </w:r>
            <w:r/>
          </w:p>
        </w:tc>
      </w:tr>
      <w:tr>
        <w:trPr>
          <w:cantSplit/>
          <w:trHeight w:val="654"/>
        </w:trPr>
        <w:tc>
          <w:tcPr>
            <w:tcW w:w="948" w:type="dxa"/>
            <w:vAlign w:val="center"/>
            <w:textDirection w:val="lrTb"/>
            <w:noWrap w:val="false"/>
          </w:tcPr>
          <w:p>
            <w:pPr>
              <w:jc w:val="center"/>
              <w:spacing w:line="0" w:lineRule="atLeast"/>
              <w:rPr>
                <w:sz w:val="24"/>
                <w:szCs w:val="24"/>
              </w:rPr>
            </w:pPr>
            <w:r>
              <w:rPr>
                <w:sz w:val="24"/>
                <w:szCs w:val="24"/>
              </w:rPr>
              <w:t xml:space="preserve">3</w:t>
            </w:r>
            <w:r/>
          </w:p>
        </w:tc>
        <w:tc>
          <w:tcPr>
            <w:tcW w:w="1274" w:type="dxa"/>
            <w:vAlign w:val="center"/>
            <w:textDirection w:val="lrTb"/>
            <w:noWrap w:val="false"/>
          </w:tcPr>
          <w:p>
            <w:pPr>
              <w:jc w:val="center"/>
              <w:spacing w:line="0" w:lineRule="atLeast"/>
              <w:rPr>
                <w:sz w:val="24"/>
                <w:szCs w:val="24"/>
              </w:rPr>
            </w:pPr>
            <w:r>
              <w:rPr>
                <w:sz w:val="24"/>
                <w:szCs w:val="24"/>
              </w:rPr>
            </w:r>
            <w:r/>
          </w:p>
        </w:tc>
        <w:tc>
          <w:tcPr>
            <w:tcW w:w="1288" w:type="dxa"/>
            <w:vAlign w:val="center"/>
            <w:textDirection w:val="lrTb"/>
            <w:noWrap w:val="false"/>
          </w:tcPr>
          <w:p>
            <w:pPr>
              <w:jc w:val="center"/>
              <w:spacing w:line="0" w:lineRule="atLeast"/>
              <w:rPr>
                <w:sz w:val="24"/>
                <w:szCs w:val="24"/>
              </w:rPr>
            </w:pPr>
            <w:r>
              <w:rPr>
                <w:sz w:val="24"/>
                <w:szCs w:val="24"/>
              </w:rPr>
            </w:r>
            <w:r/>
          </w:p>
        </w:tc>
        <w:tc>
          <w:tcPr>
            <w:tcW w:w="924" w:type="dxa"/>
            <w:vAlign w:val="center"/>
            <w:textDirection w:val="lrTb"/>
            <w:noWrap w:val="false"/>
          </w:tcPr>
          <w:p>
            <w:pPr>
              <w:jc w:val="center"/>
              <w:spacing w:line="0" w:lineRule="atLeast"/>
              <w:rPr>
                <w:sz w:val="24"/>
                <w:szCs w:val="24"/>
              </w:rPr>
            </w:pPr>
            <w:r>
              <w:rPr>
                <w:sz w:val="24"/>
                <w:szCs w:val="24"/>
              </w:rPr>
            </w:r>
            <w:r/>
          </w:p>
        </w:tc>
        <w:tc>
          <w:tcPr>
            <w:tcW w:w="1203" w:type="dxa"/>
            <w:vAlign w:val="center"/>
            <w:textDirection w:val="lrTb"/>
            <w:noWrap w:val="false"/>
          </w:tcPr>
          <w:p>
            <w:pPr>
              <w:jc w:val="center"/>
              <w:spacing w:line="0" w:lineRule="atLeast"/>
              <w:rPr>
                <w:sz w:val="24"/>
                <w:szCs w:val="24"/>
              </w:rPr>
            </w:pPr>
            <w:r>
              <w:rPr>
                <w:sz w:val="24"/>
                <w:szCs w:val="24"/>
              </w:rPr>
            </w:r>
            <w:r/>
          </w:p>
        </w:tc>
        <w:tc>
          <w:tcPr>
            <w:tcW w:w="1618" w:type="dxa"/>
            <w:vAlign w:val="center"/>
            <w:textDirection w:val="lrTb"/>
            <w:noWrap w:val="false"/>
          </w:tcPr>
          <w:p>
            <w:pPr>
              <w:jc w:val="center"/>
              <w:spacing w:line="0" w:lineRule="atLeast"/>
              <w:rPr>
                <w:sz w:val="24"/>
                <w:szCs w:val="24"/>
              </w:rPr>
            </w:pPr>
            <w:r>
              <w:rPr>
                <w:sz w:val="24"/>
                <w:szCs w:val="24"/>
              </w:rPr>
            </w:r>
            <w:r/>
          </w:p>
        </w:tc>
        <w:tc>
          <w:tcPr>
            <w:tcW w:w="1798" w:type="dxa"/>
            <w:vAlign w:val="center"/>
            <w:textDirection w:val="lrTb"/>
            <w:noWrap w:val="false"/>
          </w:tcPr>
          <w:p>
            <w:pPr>
              <w:jc w:val="center"/>
              <w:spacing w:line="0" w:lineRule="atLeast"/>
              <w:rPr>
                <w:sz w:val="24"/>
                <w:szCs w:val="24"/>
              </w:rPr>
            </w:pPr>
            <w:r>
              <w:rPr>
                <w:sz w:val="24"/>
                <w:szCs w:val="24"/>
              </w:rPr>
            </w:r>
            <w:r/>
          </w:p>
        </w:tc>
      </w:tr>
      <w:tr>
        <w:trPr>
          <w:cantSplit/>
          <w:trHeight w:val="654"/>
        </w:trPr>
        <w:tc>
          <w:tcPr>
            <w:tcW w:w="948" w:type="dxa"/>
            <w:vAlign w:val="center"/>
            <w:textDirection w:val="lrTb"/>
            <w:noWrap w:val="false"/>
          </w:tcPr>
          <w:p>
            <w:pPr>
              <w:jc w:val="center"/>
              <w:spacing w:line="0" w:lineRule="atLeast"/>
              <w:rPr>
                <w:sz w:val="24"/>
                <w:szCs w:val="24"/>
              </w:rPr>
            </w:pPr>
            <w:r>
              <w:rPr>
                <w:sz w:val="24"/>
                <w:szCs w:val="24"/>
              </w:rPr>
              <w:t xml:space="preserve">……</w:t>
            </w:r>
            <w:r/>
          </w:p>
        </w:tc>
        <w:tc>
          <w:tcPr>
            <w:tcW w:w="1274" w:type="dxa"/>
            <w:vAlign w:val="center"/>
            <w:textDirection w:val="lrTb"/>
            <w:noWrap w:val="false"/>
          </w:tcPr>
          <w:p>
            <w:pPr>
              <w:jc w:val="center"/>
              <w:spacing w:line="0" w:lineRule="atLeast"/>
              <w:rPr>
                <w:sz w:val="24"/>
                <w:szCs w:val="24"/>
              </w:rPr>
            </w:pPr>
            <w:r>
              <w:rPr>
                <w:sz w:val="24"/>
                <w:szCs w:val="24"/>
              </w:rPr>
              <w:t xml:space="preserve">……</w:t>
            </w:r>
            <w:r/>
          </w:p>
        </w:tc>
        <w:tc>
          <w:tcPr>
            <w:tcW w:w="1288" w:type="dxa"/>
            <w:vAlign w:val="center"/>
            <w:textDirection w:val="lrTb"/>
            <w:noWrap w:val="false"/>
          </w:tcPr>
          <w:p>
            <w:pPr>
              <w:jc w:val="center"/>
              <w:spacing w:line="0" w:lineRule="atLeast"/>
              <w:rPr>
                <w:sz w:val="24"/>
                <w:szCs w:val="24"/>
              </w:rPr>
            </w:pPr>
            <w:r>
              <w:rPr>
                <w:sz w:val="24"/>
                <w:szCs w:val="24"/>
              </w:rPr>
            </w:r>
            <w:r/>
          </w:p>
        </w:tc>
        <w:tc>
          <w:tcPr>
            <w:tcW w:w="924" w:type="dxa"/>
            <w:vAlign w:val="center"/>
            <w:textDirection w:val="lrTb"/>
            <w:noWrap w:val="false"/>
          </w:tcPr>
          <w:p>
            <w:pPr>
              <w:jc w:val="center"/>
              <w:spacing w:line="0" w:lineRule="atLeast"/>
              <w:rPr>
                <w:sz w:val="24"/>
                <w:szCs w:val="24"/>
              </w:rPr>
            </w:pPr>
            <w:r>
              <w:rPr>
                <w:sz w:val="24"/>
                <w:szCs w:val="24"/>
              </w:rPr>
            </w:r>
            <w:r/>
          </w:p>
        </w:tc>
        <w:tc>
          <w:tcPr>
            <w:tcW w:w="1203" w:type="dxa"/>
            <w:vAlign w:val="center"/>
            <w:textDirection w:val="lrTb"/>
            <w:noWrap w:val="false"/>
          </w:tcPr>
          <w:p>
            <w:pPr>
              <w:jc w:val="center"/>
              <w:spacing w:line="0" w:lineRule="atLeast"/>
              <w:rPr>
                <w:sz w:val="24"/>
                <w:szCs w:val="24"/>
              </w:rPr>
            </w:pPr>
            <w:r>
              <w:rPr>
                <w:sz w:val="24"/>
                <w:szCs w:val="24"/>
              </w:rPr>
            </w:r>
            <w:r/>
          </w:p>
        </w:tc>
        <w:tc>
          <w:tcPr>
            <w:tcW w:w="1618" w:type="dxa"/>
            <w:vAlign w:val="center"/>
            <w:textDirection w:val="lrTb"/>
            <w:noWrap w:val="false"/>
          </w:tcPr>
          <w:p>
            <w:pPr>
              <w:jc w:val="center"/>
              <w:spacing w:line="0" w:lineRule="atLeast"/>
              <w:rPr>
                <w:sz w:val="24"/>
                <w:szCs w:val="24"/>
              </w:rPr>
            </w:pPr>
            <w:r>
              <w:rPr>
                <w:sz w:val="24"/>
                <w:szCs w:val="24"/>
              </w:rPr>
            </w:r>
            <w:r/>
          </w:p>
        </w:tc>
        <w:tc>
          <w:tcPr>
            <w:tcW w:w="1798" w:type="dxa"/>
            <w:vAlign w:val="center"/>
            <w:textDirection w:val="lrTb"/>
            <w:noWrap w:val="false"/>
          </w:tcPr>
          <w:p>
            <w:pPr>
              <w:jc w:val="center"/>
              <w:spacing w:line="0" w:lineRule="atLeast"/>
              <w:rPr>
                <w:sz w:val="24"/>
                <w:szCs w:val="24"/>
              </w:rPr>
            </w:pPr>
            <w:r>
              <w:rPr>
                <w:sz w:val="24"/>
                <w:szCs w:val="24"/>
              </w:rPr>
            </w:r>
            <w:r/>
          </w:p>
        </w:tc>
      </w:tr>
      <w:tr>
        <w:trPr>
          <w:cantSplit/>
          <w:trHeight w:val="487"/>
        </w:trPr>
        <w:tc>
          <w:tcPr>
            <w:gridSpan w:val="6"/>
            <w:tcW w:w="7255" w:type="dxa"/>
            <w:vAlign w:val="center"/>
            <w:textDirection w:val="lrTb"/>
            <w:noWrap w:val="false"/>
          </w:tcPr>
          <w:p>
            <w:pPr>
              <w:jc w:val="center"/>
              <w:spacing w:line="0" w:lineRule="atLeast"/>
              <w:rPr>
                <w:sz w:val="24"/>
                <w:szCs w:val="24"/>
              </w:rPr>
            </w:pPr>
            <w:r>
              <w:rPr>
                <w:sz w:val="24"/>
                <w:szCs w:val="24"/>
              </w:rPr>
              <w:t xml:space="preserve">总报价（人民币：元）</w:t>
            </w:r>
            <w:r/>
          </w:p>
        </w:tc>
        <w:tc>
          <w:tcPr>
            <w:tcW w:w="1798" w:type="dxa"/>
            <w:textDirection w:val="lrTb"/>
            <w:noWrap w:val="false"/>
          </w:tcPr>
          <w:p>
            <w:pPr>
              <w:spacing w:line="0" w:lineRule="atLeast"/>
              <w:rPr>
                <w:sz w:val="24"/>
                <w:szCs w:val="24"/>
              </w:rPr>
            </w:pPr>
            <w:r>
              <w:rPr>
                <w:sz w:val="24"/>
                <w:szCs w:val="24"/>
              </w:rPr>
            </w:r>
            <w:r/>
          </w:p>
        </w:tc>
      </w:tr>
    </w:tbl>
    <w:p>
      <w:pPr>
        <w:rPr>
          <w:sz w:val="24"/>
          <w:szCs w:val="24"/>
        </w:rPr>
      </w:pPr>
      <w:r>
        <w:rPr>
          <w:sz w:val="24"/>
          <w:szCs w:val="24"/>
        </w:rPr>
        <w:t xml:space="preserve">备注：</w:t>
      </w:r>
      <w:r>
        <w:rPr>
          <w:sz w:val="24"/>
          <w:szCs w:val="24"/>
        </w:rPr>
        <w:t xml:space="preserve"> </w:t>
      </w:r>
      <w:r>
        <w:rPr>
          <w:sz w:val="24"/>
          <w:szCs w:val="24"/>
        </w:rPr>
        <w:t xml:space="preserve">磋商报价</w:t>
      </w:r>
      <w:r>
        <w:rPr>
          <w:sz w:val="24"/>
          <w:szCs w:val="24"/>
        </w:rPr>
        <w:t xml:space="preserve">采用总</w:t>
      </w:r>
      <w:r>
        <w:rPr>
          <w:sz w:val="24"/>
          <w:szCs w:val="24"/>
        </w:rPr>
        <w:t xml:space="preserve">承包方式，供应商的</w:t>
      </w:r>
      <w:r>
        <w:rPr>
          <w:sz w:val="24"/>
          <w:szCs w:val="24"/>
        </w:rPr>
        <w:t xml:space="preserve">“</w:t>
      </w:r>
      <w:r>
        <w:rPr>
          <w:sz w:val="24"/>
          <w:szCs w:val="24"/>
        </w:rPr>
        <w:t xml:space="preserve">总报价</w:t>
      </w:r>
      <w:r>
        <w:rPr>
          <w:sz w:val="24"/>
          <w:szCs w:val="24"/>
        </w:rPr>
        <w:t xml:space="preserve">”</w:t>
      </w:r>
      <w:r>
        <w:rPr>
          <w:sz w:val="24"/>
          <w:szCs w:val="24"/>
        </w:rPr>
        <w:t xml:space="preserve">应包括采购人需求的服务（包含与服务相关的产品）价格、质量保证费用、培训费用及售后服务费用，项目在指定地点、环境交付、安装、调试、验收所需费用和所有相关税金费用及为完成整个项目所产生的其它所有费用。</w:t>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rFonts w:eastAsia="黑体"/>
          <w:bCs/>
          <w:sz w:val="32"/>
          <w:szCs w:val="32"/>
        </w:rPr>
        <w:sectPr>
          <w:footnotePr/>
          <w:endnotePr/>
          <w:type w:val="nextPage"/>
          <w:pgSz w:w="11906" w:h="16838" w:orient="portrait"/>
          <w:pgMar w:top="1440" w:right="1800" w:bottom="1440" w:left="1800" w:header="851" w:footer="907" w:gutter="0"/>
          <w:pgNumType w:start="0"/>
          <w:cols w:num="1" w:sep="0" w:space="720" w:equalWidth="1"/>
          <w:docGrid w:linePitch="360"/>
          <w:titlePg/>
        </w:sectPr>
      </w:pPr>
      <w:r>
        <w:rPr>
          <w:rFonts w:eastAsia="黑体"/>
          <w:bCs/>
          <w:sz w:val="32"/>
          <w:szCs w:val="32"/>
        </w:rPr>
      </w:r>
      <w:r/>
    </w:p>
    <w:p>
      <w:pPr>
        <w:rPr>
          <w:rFonts w:eastAsia="黑体"/>
          <w:bCs/>
          <w:sz w:val="32"/>
          <w:szCs w:val="32"/>
        </w:rPr>
      </w:pPr>
      <w:r>
        <w:rPr>
          <w:rFonts w:eastAsia="黑体"/>
          <w:bCs/>
          <w:sz w:val="32"/>
          <w:szCs w:val="32"/>
        </w:rPr>
        <w:t xml:space="preserve">九、技术要求响应及偏离表（分包号：</w:t>
      </w:r>
      <w:r>
        <w:rPr>
          <w:rFonts w:eastAsia="黑体"/>
          <w:bCs/>
          <w:sz w:val="32"/>
          <w:szCs w:val="32"/>
        </w:rPr>
        <w:t xml:space="preserve">**</w:t>
      </w:r>
      <w:r>
        <w:rPr>
          <w:rFonts w:eastAsia="黑体"/>
          <w:bCs/>
          <w:sz w:val="32"/>
          <w:szCs w:val="32"/>
        </w:rPr>
        <w:t xml:space="preserve">）</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sz w:val="24"/>
              </w:rPr>
            </w:pPr>
            <w:r>
              <w:rPr>
                <w:b/>
                <w:sz w:val="24"/>
              </w:rPr>
              <w:t xml:space="preserve">对本项目技术要求条款的偏离情况（请进行勾选）：</w:t>
            </w:r>
            <w:r/>
          </w:p>
          <w:p>
            <w:pPr>
              <w:jc w:val="left"/>
              <w:rPr>
                <w:b/>
                <w:sz w:val="24"/>
              </w:rPr>
            </w:pPr>
            <w:r>
              <w:rPr>
                <w:b/>
                <w:sz w:val="24"/>
              </w:rPr>
              <w:t xml:space="preserve">□</w:t>
            </w:r>
            <w:r>
              <w:rPr>
                <w:b/>
                <w:sz w:val="24"/>
              </w:rPr>
              <w:t xml:space="preserve">无偏离</w:t>
            </w:r>
            <w:r>
              <w:rPr>
                <w:sz w:val="24"/>
              </w:rPr>
              <w:t xml:space="preserve">（如无偏离，仅</w:t>
            </w:r>
            <w:r>
              <w:rPr>
                <w:sz w:val="24"/>
              </w:rPr>
              <w:t xml:space="preserve">勾选无</w:t>
            </w:r>
            <w:r>
              <w:rPr>
                <w:sz w:val="24"/>
              </w:rPr>
              <w:t xml:space="preserve">偏离即可）</w:t>
            </w:r>
            <w:r/>
          </w:p>
          <w:p>
            <w:pPr>
              <w:rPr>
                <w:sz w:val="24"/>
                <w:szCs w:val="24"/>
              </w:rPr>
            </w:pPr>
            <w:r>
              <w:rPr>
                <w:b/>
                <w:sz w:val="24"/>
              </w:rPr>
              <w:t xml:space="preserve">□</w:t>
            </w:r>
            <w:r>
              <w:rPr>
                <w:b/>
                <w:sz w:val="24"/>
              </w:rPr>
              <w:t xml:space="preserve">有偏离</w:t>
            </w:r>
            <w:r>
              <w:rPr>
                <w:sz w:val="24"/>
              </w:rPr>
              <w:t xml:space="preserve">（如有超出或者偏离，则须在本表中对超出或者偏离项逐一列明）</w:t>
            </w:r>
            <w:r/>
          </w:p>
        </w:tc>
      </w:tr>
      <w:tr>
        <w:trPr>
          <w:cantSplit/>
        </w:trPr>
        <w:tc>
          <w:tcPr>
            <w:tcW w:w="545" w:type="dxa"/>
            <w:vAlign w:val="center"/>
            <w:textDirection w:val="lrTb"/>
            <w:noWrap w:val="false"/>
          </w:tcPr>
          <w:p>
            <w:pPr>
              <w:jc w:val="center"/>
              <w:rPr>
                <w:sz w:val="24"/>
                <w:szCs w:val="24"/>
              </w:rPr>
            </w:pPr>
            <w:r>
              <w:rPr>
                <w:sz w:val="24"/>
                <w:szCs w:val="24"/>
              </w:rPr>
              <w:t xml:space="preserve">序号</w:t>
            </w:r>
            <w:r/>
          </w:p>
        </w:tc>
        <w:tc>
          <w:tcPr>
            <w:tcW w:w="3291" w:type="dxa"/>
            <w:vAlign w:val="center"/>
            <w:textDirection w:val="lrTb"/>
            <w:noWrap w:val="false"/>
          </w:tcPr>
          <w:p>
            <w:pPr>
              <w:jc w:val="center"/>
              <w:rPr>
                <w:sz w:val="24"/>
                <w:szCs w:val="24"/>
              </w:rPr>
            </w:pPr>
            <w:r>
              <w:rPr>
                <w:sz w:val="24"/>
                <w:szCs w:val="24"/>
              </w:rPr>
              <w:t xml:space="preserve">磋商文件要求</w:t>
            </w:r>
            <w:r/>
          </w:p>
        </w:tc>
        <w:tc>
          <w:tcPr>
            <w:tcW w:w="2852" w:type="dxa"/>
            <w:vAlign w:val="center"/>
            <w:textDirection w:val="lrTb"/>
            <w:noWrap w:val="false"/>
          </w:tcPr>
          <w:p>
            <w:pPr>
              <w:jc w:val="center"/>
              <w:rPr>
                <w:sz w:val="24"/>
                <w:szCs w:val="24"/>
              </w:rPr>
            </w:pPr>
            <w:r>
              <w:rPr>
                <w:sz w:val="24"/>
                <w:szCs w:val="24"/>
              </w:rPr>
              <w:t xml:space="preserve">响应情况</w:t>
            </w:r>
            <w:r/>
          </w:p>
        </w:tc>
        <w:tc>
          <w:tcPr>
            <w:tcW w:w="1308" w:type="dxa"/>
            <w:vAlign w:val="center"/>
            <w:textDirection w:val="lrTb"/>
            <w:noWrap w:val="false"/>
          </w:tcPr>
          <w:p>
            <w:pPr>
              <w:jc w:val="center"/>
              <w:rPr>
                <w:sz w:val="24"/>
                <w:szCs w:val="24"/>
              </w:rPr>
            </w:pPr>
            <w:r>
              <w:rPr>
                <w:sz w:val="24"/>
                <w:szCs w:val="24"/>
              </w:rPr>
              <w:t xml:space="preserve">超出、</w:t>
            </w:r>
            <w:r/>
          </w:p>
          <w:p>
            <w:pPr>
              <w:jc w:val="center"/>
              <w:rPr>
                <w:sz w:val="24"/>
                <w:szCs w:val="24"/>
              </w:rPr>
            </w:pPr>
            <w:r>
              <w:rPr>
                <w:sz w:val="24"/>
                <w:szCs w:val="24"/>
              </w:rPr>
              <w:t xml:space="preserve">或偏离</w:t>
            </w:r>
            <w:r/>
          </w:p>
        </w:tc>
        <w:tc>
          <w:tcPr>
            <w:tcW w:w="1173" w:type="dxa"/>
            <w:vAlign w:val="center"/>
            <w:textDirection w:val="lrTb"/>
            <w:noWrap w:val="false"/>
          </w:tcPr>
          <w:p>
            <w:pPr>
              <w:jc w:val="center"/>
              <w:rPr>
                <w:sz w:val="24"/>
                <w:szCs w:val="24"/>
              </w:rPr>
            </w:pPr>
            <w:r>
              <w:rPr>
                <w:sz w:val="24"/>
                <w:szCs w:val="24"/>
              </w:rPr>
              <w:t xml:space="preserve">证明</w:t>
            </w:r>
            <w:r/>
          </w:p>
          <w:p>
            <w:pPr>
              <w:jc w:val="center"/>
              <w:rPr>
                <w:sz w:val="24"/>
                <w:szCs w:val="24"/>
              </w:rPr>
            </w:pPr>
            <w:r>
              <w:rPr>
                <w:sz w:val="24"/>
                <w:szCs w:val="24"/>
              </w:rPr>
              <w:t xml:space="preserve">材料</w:t>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t xml:space="preserve">……</w:t>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bl>
    <w:p>
      <w:pPr>
        <w:rPr>
          <w:sz w:val="24"/>
          <w:szCs w:val="24"/>
        </w:rPr>
      </w:pPr>
      <w:r>
        <w:rPr>
          <w:sz w:val="24"/>
          <w:szCs w:val="24"/>
        </w:rPr>
        <w:t xml:space="preserve">注：</w:t>
      </w:r>
      <w:r>
        <w:rPr>
          <w:sz w:val="24"/>
          <w:szCs w:val="24"/>
        </w:rPr>
        <w:t xml:space="preserve"> </w:t>
      </w:r>
      <w:r>
        <w:rPr>
          <w:sz w:val="24"/>
          <w:szCs w:val="24"/>
        </w:rPr>
        <w:t xml:space="preserve">行数不够，可自行添加。</w:t>
      </w:r>
      <w:r/>
    </w:p>
    <w:p>
      <w:pPr>
        <w:jc w:val="center"/>
        <w:rPr>
          <w:rFonts w:eastAsia="黑体"/>
          <w:b/>
          <w:sz w:val="36"/>
          <w:szCs w:val="21"/>
        </w:rPr>
      </w:pPr>
      <w:r>
        <w:rPr>
          <w:rFonts w:eastAsia="黑体"/>
          <w:b/>
          <w:sz w:val="36"/>
          <w:szCs w:val="21"/>
        </w:rPr>
      </w:r>
      <w:r/>
    </w:p>
    <w:p>
      <w:pPr>
        <w:jc w:val="center"/>
        <w:rPr>
          <w:rFonts w:eastAsia="黑体"/>
          <w:b/>
          <w:sz w:val="36"/>
          <w:szCs w:val="21"/>
        </w:rPr>
      </w:pPr>
      <w:r>
        <w:rPr>
          <w:rFonts w:eastAsia="黑体"/>
          <w:b/>
          <w:sz w:val="36"/>
          <w:szCs w:val="21"/>
        </w:rPr>
      </w:r>
      <w:r/>
    </w:p>
    <w:p>
      <w:pPr>
        <w:jc w:val="center"/>
        <w:rPr>
          <w:rFonts w:eastAsia="黑体"/>
          <w:b/>
          <w:sz w:val="36"/>
          <w:szCs w:val="21"/>
        </w:rPr>
      </w:pPr>
      <w:r>
        <w:rPr>
          <w:rFonts w:eastAsia="黑体"/>
          <w:b/>
          <w:sz w:val="36"/>
          <w:szCs w:val="21"/>
        </w:rPr>
      </w:r>
      <w:r/>
    </w:p>
    <w:p>
      <w:pPr>
        <w:jc w:val="center"/>
        <w:rPr>
          <w:rFonts w:eastAsia="黑体"/>
          <w:b/>
          <w:sz w:val="36"/>
          <w:szCs w:val="21"/>
        </w:rPr>
      </w:pPr>
      <w:r>
        <w:rPr>
          <w:rFonts w:eastAsia="黑体"/>
          <w:b/>
          <w:sz w:val="36"/>
          <w:szCs w:val="21"/>
        </w:rPr>
      </w:r>
      <w:r/>
    </w:p>
    <w:p>
      <w:pPr>
        <w:rPr>
          <w:rFonts w:eastAsia="黑体"/>
          <w:sz w:val="32"/>
          <w:szCs w:val="21"/>
        </w:rPr>
      </w:pPr>
      <w:r>
        <w:rPr>
          <w:rFonts w:eastAsia="黑体"/>
          <w:sz w:val="32"/>
          <w:szCs w:val="21"/>
        </w:rPr>
      </w:r>
      <w:r/>
    </w:p>
    <w:p>
      <w:pPr>
        <w:rPr>
          <w:rFonts w:eastAsia="黑体"/>
          <w:sz w:val="32"/>
          <w:szCs w:val="21"/>
        </w:rPr>
      </w:pPr>
      <w:r>
        <w:rPr>
          <w:rFonts w:eastAsia="黑体"/>
          <w:sz w:val="32"/>
          <w:szCs w:val="21"/>
        </w:rPr>
      </w:r>
      <w:r/>
    </w:p>
    <w:p>
      <w:pPr>
        <w:rPr>
          <w:rFonts w:eastAsia="黑体"/>
          <w:sz w:val="32"/>
          <w:szCs w:val="21"/>
        </w:rPr>
      </w:pPr>
      <w:r>
        <w:rPr>
          <w:rFonts w:eastAsia="黑体"/>
          <w:sz w:val="32"/>
          <w:szCs w:val="21"/>
        </w:rPr>
      </w:r>
      <w:r/>
    </w:p>
    <w:p>
      <w:pPr>
        <w:rPr>
          <w:rFonts w:eastAsia="黑体"/>
          <w:sz w:val="32"/>
          <w:szCs w:val="21"/>
        </w:rPr>
      </w:pPr>
      <w:r>
        <w:rPr>
          <w:rFonts w:eastAsia="黑体"/>
          <w:sz w:val="32"/>
          <w:szCs w:val="21"/>
        </w:rPr>
      </w:r>
      <w:r/>
    </w:p>
    <w:p>
      <w:pPr>
        <w:rPr>
          <w:rFonts w:eastAsia="黑体"/>
          <w:sz w:val="32"/>
          <w:szCs w:val="21"/>
        </w:rPr>
      </w:pPr>
      <w:r>
        <w:rPr>
          <w:rFonts w:eastAsia="黑体"/>
          <w:sz w:val="32"/>
          <w:szCs w:val="21"/>
        </w:rPr>
      </w:r>
      <w:r/>
    </w:p>
    <w:p>
      <w:pPr>
        <w:rPr>
          <w:rFonts w:eastAsia="黑体"/>
          <w:bCs/>
          <w:sz w:val="32"/>
          <w:szCs w:val="32"/>
        </w:rPr>
      </w:pPr>
      <w:r>
        <w:rPr>
          <w:rFonts w:eastAsia="黑体"/>
          <w:bCs/>
          <w:sz w:val="32"/>
          <w:szCs w:val="32"/>
        </w:rPr>
        <w:br w:type="page" w:clear="all"/>
      </w:r>
      <w:r/>
    </w:p>
    <w:p>
      <w:pPr>
        <w:rPr>
          <w:rFonts w:eastAsia="黑体"/>
          <w:b/>
          <w:sz w:val="32"/>
          <w:szCs w:val="32"/>
        </w:rPr>
      </w:pPr>
      <w:r>
        <w:rPr>
          <w:rFonts w:eastAsia="黑体"/>
          <w:bCs/>
          <w:sz w:val="32"/>
          <w:szCs w:val="32"/>
        </w:rPr>
        <w:t xml:space="preserve">十、商务要求响应及偏离表（分包号：</w:t>
      </w:r>
      <w:r>
        <w:rPr>
          <w:rFonts w:eastAsia="黑体"/>
          <w:bCs/>
          <w:sz w:val="32"/>
          <w:szCs w:val="32"/>
        </w:rPr>
        <w:t xml:space="preserve">**</w:t>
      </w:r>
      <w:r>
        <w:rPr>
          <w:rFonts w:eastAsia="黑体"/>
          <w:bCs/>
          <w:sz w:val="32"/>
          <w:szCs w:val="32"/>
        </w:rPr>
        <w:t xml:space="preserve">）</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sz w:val="24"/>
              </w:rPr>
            </w:pPr>
            <w:r>
              <w:rPr>
                <w:b/>
                <w:sz w:val="24"/>
              </w:rPr>
              <w:t xml:space="preserve">对本项目商务要求条款的偏离情况（请进行勾选）：</w:t>
            </w:r>
            <w:r/>
          </w:p>
          <w:p>
            <w:pPr>
              <w:jc w:val="left"/>
              <w:rPr>
                <w:b/>
                <w:sz w:val="24"/>
              </w:rPr>
            </w:pPr>
            <w:r>
              <w:rPr>
                <w:b/>
                <w:sz w:val="24"/>
              </w:rPr>
              <w:t xml:space="preserve">□</w:t>
            </w:r>
            <w:r>
              <w:rPr>
                <w:b/>
                <w:sz w:val="24"/>
              </w:rPr>
              <w:t xml:space="preserve">无偏离</w:t>
            </w:r>
            <w:r>
              <w:rPr>
                <w:sz w:val="24"/>
              </w:rPr>
              <w:t xml:space="preserve">（如无偏离，仅</w:t>
            </w:r>
            <w:r>
              <w:rPr>
                <w:sz w:val="24"/>
              </w:rPr>
              <w:t xml:space="preserve">勾选无</w:t>
            </w:r>
            <w:r>
              <w:rPr>
                <w:sz w:val="24"/>
              </w:rPr>
              <w:t xml:space="preserve">偏离即可）</w:t>
            </w:r>
            <w:r/>
          </w:p>
          <w:p>
            <w:pPr>
              <w:rPr>
                <w:sz w:val="24"/>
                <w:szCs w:val="24"/>
              </w:rPr>
            </w:pPr>
            <w:r>
              <w:rPr>
                <w:b/>
                <w:sz w:val="24"/>
              </w:rPr>
              <w:t xml:space="preserve">□</w:t>
            </w:r>
            <w:r>
              <w:rPr>
                <w:b/>
                <w:sz w:val="24"/>
              </w:rPr>
              <w:t xml:space="preserve">有偏离</w:t>
            </w:r>
            <w:r>
              <w:rPr>
                <w:sz w:val="24"/>
              </w:rPr>
              <w:t xml:space="preserve">（如有超出或者偏离，则须在本表中对超出或者偏离项逐一列明）</w:t>
            </w:r>
            <w:r/>
          </w:p>
        </w:tc>
      </w:tr>
      <w:tr>
        <w:trPr>
          <w:cantSplit/>
        </w:trPr>
        <w:tc>
          <w:tcPr>
            <w:tcW w:w="545" w:type="dxa"/>
            <w:vAlign w:val="center"/>
            <w:textDirection w:val="lrTb"/>
            <w:noWrap w:val="false"/>
          </w:tcPr>
          <w:p>
            <w:pPr>
              <w:jc w:val="center"/>
              <w:rPr>
                <w:sz w:val="24"/>
                <w:szCs w:val="24"/>
              </w:rPr>
            </w:pPr>
            <w:r>
              <w:rPr>
                <w:sz w:val="24"/>
                <w:szCs w:val="24"/>
              </w:rPr>
              <w:t xml:space="preserve">序号</w:t>
            </w:r>
            <w:r/>
          </w:p>
        </w:tc>
        <w:tc>
          <w:tcPr>
            <w:tcW w:w="3291" w:type="dxa"/>
            <w:vAlign w:val="center"/>
            <w:textDirection w:val="lrTb"/>
            <w:noWrap w:val="false"/>
          </w:tcPr>
          <w:p>
            <w:pPr>
              <w:jc w:val="center"/>
              <w:rPr>
                <w:sz w:val="24"/>
                <w:szCs w:val="24"/>
              </w:rPr>
            </w:pPr>
            <w:r>
              <w:rPr>
                <w:sz w:val="24"/>
                <w:szCs w:val="24"/>
              </w:rPr>
              <w:t xml:space="preserve">磋商文件要求</w:t>
            </w:r>
            <w:r/>
          </w:p>
        </w:tc>
        <w:tc>
          <w:tcPr>
            <w:tcW w:w="2852" w:type="dxa"/>
            <w:vAlign w:val="center"/>
            <w:textDirection w:val="lrTb"/>
            <w:noWrap w:val="false"/>
          </w:tcPr>
          <w:p>
            <w:pPr>
              <w:jc w:val="center"/>
              <w:rPr>
                <w:sz w:val="24"/>
                <w:szCs w:val="24"/>
              </w:rPr>
            </w:pPr>
            <w:r>
              <w:rPr>
                <w:sz w:val="24"/>
                <w:szCs w:val="24"/>
              </w:rPr>
              <w:t xml:space="preserve">响应情况</w:t>
            </w:r>
            <w:r/>
          </w:p>
        </w:tc>
        <w:tc>
          <w:tcPr>
            <w:tcW w:w="1308" w:type="dxa"/>
            <w:vAlign w:val="center"/>
            <w:textDirection w:val="lrTb"/>
            <w:noWrap w:val="false"/>
          </w:tcPr>
          <w:p>
            <w:pPr>
              <w:jc w:val="center"/>
              <w:rPr>
                <w:sz w:val="24"/>
                <w:szCs w:val="24"/>
              </w:rPr>
            </w:pPr>
            <w:r>
              <w:rPr>
                <w:sz w:val="24"/>
                <w:szCs w:val="24"/>
              </w:rPr>
              <w:t xml:space="preserve">超出、</w:t>
            </w:r>
            <w:r/>
          </w:p>
          <w:p>
            <w:pPr>
              <w:jc w:val="center"/>
              <w:rPr>
                <w:sz w:val="24"/>
                <w:szCs w:val="24"/>
              </w:rPr>
            </w:pPr>
            <w:r>
              <w:rPr>
                <w:sz w:val="24"/>
                <w:szCs w:val="24"/>
              </w:rPr>
              <w:t xml:space="preserve">或偏离</w:t>
            </w:r>
            <w:r/>
          </w:p>
        </w:tc>
        <w:tc>
          <w:tcPr>
            <w:tcW w:w="1173" w:type="dxa"/>
            <w:vAlign w:val="center"/>
            <w:textDirection w:val="lrTb"/>
            <w:noWrap w:val="false"/>
          </w:tcPr>
          <w:p>
            <w:pPr>
              <w:jc w:val="center"/>
              <w:rPr>
                <w:sz w:val="24"/>
                <w:szCs w:val="24"/>
              </w:rPr>
            </w:pPr>
            <w:r>
              <w:rPr>
                <w:sz w:val="24"/>
                <w:szCs w:val="24"/>
              </w:rPr>
              <w:t xml:space="preserve">证明</w:t>
            </w:r>
            <w:r/>
          </w:p>
          <w:p>
            <w:pPr>
              <w:jc w:val="center"/>
              <w:rPr>
                <w:sz w:val="24"/>
                <w:szCs w:val="24"/>
              </w:rPr>
            </w:pPr>
            <w:r>
              <w:rPr>
                <w:sz w:val="24"/>
                <w:szCs w:val="24"/>
              </w:rPr>
              <w:t xml:space="preserve">材料</w:t>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t xml:space="preserve">……</w:t>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bl>
    <w:p>
      <w:pPr>
        <w:rPr>
          <w:sz w:val="24"/>
          <w:szCs w:val="24"/>
        </w:rPr>
      </w:pPr>
      <w:r>
        <w:rPr>
          <w:sz w:val="24"/>
          <w:szCs w:val="24"/>
        </w:rPr>
        <w:t xml:space="preserve">注：</w:t>
      </w:r>
      <w:r>
        <w:rPr>
          <w:sz w:val="24"/>
          <w:szCs w:val="24"/>
        </w:rPr>
        <w:t xml:space="preserve"> </w:t>
      </w:r>
      <w:r>
        <w:rPr>
          <w:sz w:val="24"/>
          <w:szCs w:val="24"/>
        </w:rPr>
        <w:t xml:space="preserve">行数不够，可自行添加。</w:t>
      </w:r>
      <w:r/>
    </w:p>
    <w:p>
      <w:pPr>
        <w:spacing w:line="480" w:lineRule="auto"/>
        <w:rPr>
          <w:sz w:val="24"/>
          <w:szCs w:val="21"/>
        </w:rPr>
      </w:pPr>
      <w:r>
        <w:rPr>
          <w:sz w:val="24"/>
          <w:szCs w:val="21"/>
        </w:rPr>
      </w:r>
      <w:r/>
    </w:p>
    <w:p>
      <w:pPr>
        <w:spacing w:line="480" w:lineRule="auto"/>
        <w:rPr>
          <w:sz w:val="30"/>
          <w:szCs w:val="21"/>
        </w:rPr>
      </w:pPr>
      <w:r>
        <w:rPr>
          <w:sz w:val="30"/>
          <w:szCs w:val="21"/>
        </w:rPr>
      </w:r>
      <w:r/>
    </w:p>
    <w:p>
      <w:pPr>
        <w:rPr>
          <w:sz w:val="24"/>
          <w:szCs w:val="21"/>
        </w:rPr>
      </w:pPr>
      <w:r>
        <w:rPr>
          <w:sz w:val="24"/>
          <w:szCs w:val="21"/>
        </w:rPr>
      </w:r>
      <w:r/>
    </w:p>
    <w:p>
      <w:pPr>
        <w:jc w:val="center"/>
        <w:rPr>
          <w:rFonts w:eastAsia="黑体"/>
          <w:b/>
          <w:sz w:val="32"/>
          <w:szCs w:val="32"/>
        </w:rPr>
      </w:pPr>
      <w:r>
        <w:rPr>
          <w:rFonts w:eastAsia="黑体"/>
          <w:b/>
          <w:sz w:val="32"/>
          <w:szCs w:val="32"/>
        </w:rPr>
      </w:r>
      <w:r/>
    </w:p>
    <w:p>
      <w:pPr>
        <w:jc w:val="center"/>
        <w:rPr>
          <w:rFonts w:eastAsia="黑体"/>
          <w:b/>
          <w:sz w:val="32"/>
          <w:szCs w:val="32"/>
        </w:rPr>
      </w:pPr>
      <w:r>
        <w:rPr>
          <w:rFonts w:eastAsia="黑体"/>
          <w:b/>
          <w:sz w:val="32"/>
          <w:szCs w:val="32"/>
        </w:rPr>
      </w:r>
      <w:r/>
    </w:p>
    <w:p>
      <w:pPr>
        <w:jc w:val="center"/>
        <w:rPr>
          <w:rFonts w:eastAsia="黑体"/>
          <w:b/>
          <w:sz w:val="32"/>
          <w:szCs w:val="32"/>
        </w:rPr>
      </w:pPr>
      <w:r>
        <w:rPr>
          <w:rFonts w:eastAsia="黑体"/>
          <w:b/>
          <w:sz w:val="32"/>
          <w:szCs w:val="32"/>
        </w:rPr>
      </w:r>
      <w:r/>
    </w:p>
    <w:p>
      <w:pPr>
        <w:jc w:val="center"/>
        <w:rPr>
          <w:b/>
          <w:bCs/>
          <w:sz w:val="32"/>
          <w:szCs w:val="32"/>
        </w:rPr>
        <w:sectPr>
          <w:footnotePr/>
          <w:endnotePr/>
          <w:type w:val="nextPage"/>
          <w:pgSz w:w="11906" w:h="16838" w:orient="portrait"/>
          <w:pgMar w:top="1440" w:right="1800" w:bottom="1440" w:left="1800" w:header="851" w:footer="907" w:gutter="0"/>
          <w:pgNumType w:start="0"/>
          <w:cols w:num="1" w:sep="0" w:space="720" w:equalWidth="1"/>
          <w:docGrid w:linePitch="360"/>
          <w:titlePg/>
        </w:sectPr>
      </w:pPr>
      <w:r>
        <w:rPr>
          <w:b/>
          <w:bCs/>
          <w:sz w:val="32"/>
          <w:szCs w:val="32"/>
        </w:rPr>
      </w:r>
      <w:r/>
    </w:p>
    <w:p>
      <w:pPr>
        <w:jc w:val="center"/>
        <w:rPr>
          <w:b/>
          <w:bCs/>
          <w:sz w:val="32"/>
          <w:szCs w:val="32"/>
        </w:rPr>
      </w:pPr>
      <w:r>
        <w:rPr>
          <w:b/>
          <w:bCs/>
          <w:sz w:val="32"/>
          <w:szCs w:val="32"/>
        </w:rPr>
        <w:t xml:space="preserve">质疑函范本</w:t>
      </w:r>
      <w:r/>
    </w:p>
    <w:p>
      <w:pPr>
        <w:spacing w:before="290" w:line="360" w:lineRule="auto"/>
        <w:rPr>
          <w:bCs/>
          <w:sz w:val="24"/>
          <w:szCs w:val="24"/>
        </w:rPr>
      </w:pPr>
      <w:r>
        <w:rPr>
          <w:bCs/>
          <w:sz w:val="24"/>
          <w:szCs w:val="24"/>
        </w:rPr>
        <w:t xml:space="preserve">一、质疑供应商基本信息</w:t>
      </w:r>
      <w:r/>
    </w:p>
    <w:p>
      <w:pPr>
        <w:spacing w:line="360" w:lineRule="auto"/>
        <w:rPr>
          <w:sz w:val="24"/>
          <w:szCs w:val="24"/>
          <w:u w:val="single"/>
        </w:rPr>
      </w:pPr>
      <w:r>
        <w:rPr>
          <w:sz w:val="24"/>
          <w:szCs w:val="24"/>
        </w:rPr>
        <w:t xml:space="preserve">质疑供应商：</w:t>
      </w:r>
      <w:r>
        <w:rPr>
          <w:sz w:val="24"/>
          <w:szCs w:val="24"/>
          <w:u w:val="single"/>
        </w:rPr>
        <w:t xml:space="preserve">                                                              </w:t>
      </w:r>
      <w:r/>
    </w:p>
    <w:p>
      <w:pPr>
        <w:spacing w:line="360" w:lineRule="auto"/>
        <w:rPr>
          <w:sz w:val="24"/>
          <w:szCs w:val="24"/>
        </w:rPr>
      </w:pPr>
      <w:r>
        <w:rPr>
          <w:sz w:val="24"/>
          <w:szCs w:val="24"/>
        </w:rPr>
        <w:t xml:space="preserve">地址：</w:t>
      </w:r>
      <w:r>
        <w:rPr>
          <w:sz w:val="24"/>
          <w:szCs w:val="24"/>
          <w:u w:val="single"/>
        </w:rPr>
        <w:t xml:space="preserve">                             </w:t>
      </w:r>
      <w:r>
        <w:rPr>
          <w:sz w:val="24"/>
          <w:szCs w:val="24"/>
        </w:rPr>
        <w:t xml:space="preserve">邮编：</w:t>
      </w:r>
      <w:r>
        <w:rPr>
          <w:sz w:val="24"/>
          <w:szCs w:val="24"/>
          <w:u w:val="single"/>
        </w:rPr>
        <w:t xml:space="preserve">                                    </w:t>
      </w:r>
      <w:r/>
    </w:p>
    <w:p>
      <w:pPr>
        <w:spacing w:line="360" w:lineRule="auto"/>
        <w:rPr>
          <w:sz w:val="24"/>
          <w:szCs w:val="24"/>
        </w:rPr>
      </w:pPr>
      <w:r>
        <w:rPr>
          <w:sz w:val="24"/>
          <w:szCs w:val="24"/>
        </w:rPr>
        <w:t xml:space="preserve">联系人：</w:t>
      </w:r>
      <w:r>
        <w:rPr>
          <w:sz w:val="24"/>
          <w:szCs w:val="24"/>
          <w:u w:val="single"/>
        </w:rPr>
        <w:t xml:space="preserve">                      </w:t>
      </w:r>
      <w:r>
        <w:rPr>
          <w:sz w:val="24"/>
          <w:szCs w:val="24"/>
        </w:rPr>
        <w:t xml:space="preserve">联系电话：</w:t>
      </w:r>
      <w:r>
        <w:rPr>
          <w:sz w:val="24"/>
          <w:szCs w:val="24"/>
          <w:u w:val="single"/>
        </w:rPr>
        <w:t xml:space="preserve">                                       </w:t>
      </w:r>
      <w:r/>
    </w:p>
    <w:p>
      <w:pPr>
        <w:spacing w:line="360" w:lineRule="auto"/>
        <w:rPr>
          <w:sz w:val="24"/>
          <w:szCs w:val="24"/>
          <w:u w:val="single"/>
        </w:rPr>
      </w:pPr>
      <w:r>
        <w:rPr>
          <w:sz w:val="24"/>
          <w:szCs w:val="24"/>
        </w:rPr>
        <w:t xml:space="preserve">授权代表：</w:t>
      </w:r>
      <w:r>
        <w:rPr>
          <w:sz w:val="24"/>
          <w:szCs w:val="24"/>
          <w:u w:val="single"/>
        </w:rPr>
        <w:t xml:space="preserve">                                                                 </w:t>
      </w:r>
      <w:r/>
    </w:p>
    <w:p>
      <w:pPr>
        <w:spacing w:line="360" w:lineRule="auto"/>
        <w:rPr>
          <w:sz w:val="24"/>
          <w:szCs w:val="24"/>
        </w:rPr>
      </w:pPr>
      <w:r>
        <w:rPr>
          <w:sz w:val="24"/>
          <w:szCs w:val="24"/>
        </w:rPr>
        <w:t xml:space="preserve">联系电话：</w:t>
      </w:r>
      <w:r>
        <w:rPr>
          <w:sz w:val="24"/>
          <w:szCs w:val="24"/>
          <w:u w:val="single"/>
        </w:rPr>
        <w:t xml:space="preserve">                                                                </w:t>
      </w:r>
      <w:r/>
    </w:p>
    <w:p>
      <w:pPr>
        <w:spacing w:line="360" w:lineRule="auto"/>
        <w:rPr>
          <w:sz w:val="24"/>
          <w:szCs w:val="24"/>
        </w:rPr>
      </w:pPr>
      <w:r>
        <w:rPr>
          <w:sz w:val="24"/>
          <w:szCs w:val="24"/>
        </w:rPr>
        <w:t xml:space="preserve">地址：</w:t>
      </w:r>
      <w:r>
        <w:rPr>
          <w:sz w:val="24"/>
          <w:szCs w:val="24"/>
        </w:rPr>
        <w:t xml:space="preserve"> </w:t>
      </w:r>
      <w:r>
        <w:rPr>
          <w:sz w:val="24"/>
          <w:szCs w:val="24"/>
          <w:u w:val="single"/>
        </w:rPr>
        <w:t xml:space="preserve">                        </w:t>
      </w:r>
      <w:r>
        <w:rPr>
          <w:sz w:val="24"/>
          <w:szCs w:val="24"/>
        </w:rPr>
        <w:t xml:space="preserve">邮编：</w:t>
      </w:r>
      <w:r>
        <w:rPr>
          <w:sz w:val="24"/>
          <w:szCs w:val="24"/>
          <w:u w:val="single"/>
        </w:rPr>
        <w:t xml:space="preserve">                 </w:t>
      </w:r>
      <w:r>
        <w:rPr>
          <w:sz w:val="24"/>
          <w:szCs w:val="24"/>
          <w:u w:val="single"/>
        </w:rPr>
        <w:t xml:space="preserve">                    </w:t>
      </w:r>
      <w:r/>
    </w:p>
    <w:p>
      <w:pPr>
        <w:spacing w:line="360" w:lineRule="auto"/>
        <w:rPr>
          <w:bCs/>
          <w:sz w:val="24"/>
          <w:szCs w:val="24"/>
        </w:rPr>
      </w:pPr>
      <w:r>
        <w:rPr>
          <w:bCs/>
          <w:sz w:val="24"/>
          <w:szCs w:val="24"/>
        </w:rPr>
        <w:t xml:space="preserve">二、质疑项目基本情况</w:t>
      </w:r>
      <w:r/>
    </w:p>
    <w:p>
      <w:pPr>
        <w:spacing w:line="360" w:lineRule="auto"/>
        <w:rPr>
          <w:sz w:val="24"/>
          <w:szCs w:val="24"/>
        </w:rPr>
      </w:pPr>
      <w:r>
        <w:rPr>
          <w:sz w:val="24"/>
          <w:szCs w:val="24"/>
        </w:rPr>
        <w:t xml:space="preserve">质疑项目的名称：</w:t>
      </w:r>
      <w:r>
        <w:rPr>
          <w:sz w:val="24"/>
          <w:szCs w:val="24"/>
          <w:u w:val="single"/>
        </w:rPr>
        <w:t xml:space="preserve">                                                          </w:t>
      </w:r>
      <w:r/>
    </w:p>
    <w:p>
      <w:pPr>
        <w:spacing w:line="360" w:lineRule="auto"/>
        <w:rPr>
          <w:sz w:val="24"/>
          <w:szCs w:val="24"/>
        </w:rPr>
      </w:pPr>
      <w:r>
        <w:rPr>
          <w:sz w:val="24"/>
          <w:szCs w:val="24"/>
        </w:rPr>
        <w:t xml:space="preserve">质疑项目的编号：</w:t>
      </w:r>
      <w:r>
        <w:rPr>
          <w:sz w:val="24"/>
          <w:szCs w:val="24"/>
          <w:u w:val="single"/>
        </w:rPr>
        <w:t xml:space="preserve">                         </w:t>
      </w:r>
      <w:r>
        <w:rPr>
          <w:sz w:val="24"/>
          <w:szCs w:val="24"/>
        </w:rPr>
        <w:t xml:space="preserve">包号：</w:t>
      </w:r>
      <w:r>
        <w:rPr>
          <w:sz w:val="24"/>
          <w:szCs w:val="24"/>
          <w:u w:val="single"/>
        </w:rPr>
        <w:t xml:space="preserve">                           </w:t>
      </w:r>
      <w:r/>
    </w:p>
    <w:p>
      <w:pPr>
        <w:spacing w:line="360" w:lineRule="auto"/>
        <w:rPr>
          <w:sz w:val="24"/>
          <w:szCs w:val="24"/>
          <w:u w:val="single"/>
        </w:rPr>
      </w:pPr>
      <w:r>
        <w:rPr>
          <w:sz w:val="24"/>
          <w:szCs w:val="24"/>
        </w:rPr>
        <w:t xml:space="preserve">采购人名称：</w:t>
      </w:r>
      <w:r>
        <w:rPr>
          <w:sz w:val="24"/>
          <w:szCs w:val="24"/>
          <w:u w:val="single"/>
        </w:rPr>
        <w:t xml:space="preserve">                                                              </w:t>
      </w:r>
      <w:r/>
    </w:p>
    <w:p>
      <w:pPr>
        <w:spacing w:line="360" w:lineRule="auto"/>
        <w:rPr>
          <w:sz w:val="24"/>
          <w:szCs w:val="24"/>
        </w:rPr>
      </w:pPr>
      <w:r>
        <w:rPr>
          <w:sz w:val="24"/>
          <w:szCs w:val="24"/>
        </w:rPr>
        <w:t xml:space="preserve">采购文件获取日期：</w:t>
      </w:r>
      <w:r>
        <w:rPr>
          <w:sz w:val="24"/>
          <w:szCs w:val="24"/>
          <w:u w:val="single"/>
        </w:rPr>
        <w:t xml:space="preserve">               </w:t>
      </w:r>
      <w:r>
        <w:rPr>
          <w:sz w:val="24"/>
          <w:szCs w:val="24"/>
          <w:u w:val="single"/>
        </w:rPr>
        <w:t xml:space="preserve">                                         </w:t>
      </w:r>
      <w:r/>
    </w:p>
    <w:p>
      <w:pPr>
        <w:spacing w:line="360" w:lineRule="auto"/>
        <w:rPr>
          <w:bCs/>
          <w:sz w:val="24"/>
          <w:szCs w:val="24"/>
        </w:rPr>
      </w:pPr>
      <w:r>
        <w:rPr>
          <w:bCs/>
          <w:sz w:val="24"/>
          <w:szCs w:val="24"/>
        </w:rPr>
        <w:t xml:space="preserve">三、质疑事项具体内容</w:t>
      </w:r>
      <w:r/>
    </w:p>
    <w:p>
      <w:pPr>
        <w:spacing w:line="360" w:lineRule="auto"/>
        <w:rPr>
          <w:sz w:val="24"/>
          <w:szCs w:val="24"/>
          <w:u w:val="single"/>
        </w:rPr>
      </w:pPr>
      <w:r>
        <w:rPr>
          <w:sz w:val="24"/>
          <w:szCs w:val="24"/>
        </w:rPr>
        <w:t xml:space="preserve">质疑事项</w:t>
      </w:r>
      <w:r>
        <w:rPr>
          <w:sz w:val="24"/>
          <w:szCs w:val="24"/>
        </w:rPr>
        <w:t xml:space="preserve">1</w:t>
      </w:r>
      <w:r>
        <w:rPr>
          <w:sz w:val="24"/>
          <w:szCs w:val="24"/>
        </w:rPr>
        <w:t xml:space="preserve">：</w:t>
      </w:r>
      <w:r>
        <w:rPr>
          <w:sz w:val="24"/>
          <w:szCs w:val="24"/>
          <w:u w:val="single"/>
        </w:rPr>
        <w:t xml:space="preserve">                                                              </w:t>
      </w:r>
      <w:r/>
    </w:p>
    <w:p>
      <w:pPr>
        <w:spacing w:line="360" w:lineRule="auto"/>
        <w:rPr>
          <w:sz w:val="24"/>
          <w:szCs w:val="24"/>
          <w:u w:val="single"/>
        </w:rPr>
      </w:pPr>
      <w:r>
        <w:rPr>
          <w:sz w:val="24"/>
          <w:szCs w:val="24"/>
        </w:rPr>
        <w:t xml:space="preserve">事实依据：</w:t>
      </w:r>
      <w:r>
        <w:rPr>
          <w:sz w:val="24"/>
          <w:szCs w:val="24"/>
          <w:u w:val="single"/>
        </w:rPr>
        <w:t xml:space="preserve">                                                                </w:t>
      </w:r>
      <w:r/>
    </w:p>
    <w:p>
      <w:pPr>
        <w:spacing w:line="360" w:lineRule="auto"/>
        <w:rPr>
          <w:sz w:val="24"/>
          <w:szCs w:val="24"/>
        </w:rPr>
      </w:pPr>
      <w:r>
        <w:rPr>
          <w:sz w:val="24"/>
          <w:szCs w:val="24"/>
          <w:u w:val="single"/>
        </w:rPr>
        <w:t xml:space="preserve">                                                                </w:t>
      </w:r>
      <w:r>
        <w:rPr>
          <w:sz w:val="24"/>
          <w:szCs w:val="24"/>
          <w:u w:val="single"/>
        </w:rPr>
        <w:t xml:space="preserve">           </w:t>
      </w:r>
      <w:r/>
    </w:p>
    <w:p>
      <w:pPr>
        <w:spacing w:line="360" w:lineRule="auto"/>
        <w:rPr>
          <w:sz w:val="24"/>
          <w:szCs w:val="24"/>
          <w:u w:val="single"/>
        </w:rPr>
      </w:pPr>
      <w:r>
        <w:rPr>
          <w:sz w:val="24"/>
          <w:szCs w:val="24"/>
        </w:rPr>
        <w:t xml:space="preserve">法律依据：</w:t>
      </w:r>
      <w:r>
        <w:rPr>
          <w:sz w:val="24"/>
          <w:szCs w:val="24"/>
          <w:u w:val="single"/>
        </w:rPr>
        <w:t xml:space="preserve">                                                                 </w:t>
      </w:r>
      <w:r/>
    </w:p>
    <w:p>
      <w:pPr>
        <w:spacing w:line="360" w:lineRule="auto"/>
        <w:rPr>
          <w:sz w:val="24"/>
          <w:szCs w:val="24"/>
          <w:u w:val="single"/>
        </w:rPr>
      </w:pPr>
      <w:r>
        <w:rPr>
          <w:sz w:val="24"/>
          <w:szCs w:val="24"/>
          <w:u w:val="single"/>
        </w:rPr>
        <w:t xml:space="preserve">                                                                           </w:t>
      </w:r>
      <w:r/>
    </w:p>
    <w:p>
      <w:pPr>
        <w:spacing w:line="360" w:lineRule="auto"/>
        <w:rPr>
          <w:sz w:val="24"/>
          <w:szCs w:val="24"/>
          <w:u w:val="single"/>
        </w:rPr>
      </w:pPr>
      <w:r>
        <w:rPr>
          <w:sz w:val="24"/>
          <w:szCs w:val="24"/>
        </w:rPr>
        <w:t xml:space="preserve">质疑事项</w:t>
      </w:r>
      <w:r>
        <w:rPr>
          <w:sz w:val="24"/>
          <w:szCs w:val="24"/>
        </w:rPr>
        <w:t xml:space="preserve">2</w:t>
      </w:r>
      <w:r/>
    </w:p>
    <w:p>
      <w:pPr>
        <w:spacing w:line="360" w:lineRule="auto"/>
        <w:rPr>
          <w:sz w:val="24"/>
          <w:szCs w:val="24"/>
        </w:rPr>
      </w:pPr>
      <w:r>
        <w:rPr>
          <w:sz w:val="24"/>
          <w:szCs w:val="24"/>
        </w:rPr>
        <w:t xml:space="preserve">……</w:t>
      </w:r>
      <w:r/>
    </w:p>
    <w:p>
      <w:pPr>
        <w:spacing w:line="360" w:lineRule="auto"/>
        <w:rPr>
          <w:bCs/>
          <w:sz w:val="24"/>
          <w:szCs w:val="24"/>
        </w:rPr>
      </w:pPr>
      <w:r>
        <w:rPr>
          <w:bCs/>
          <w:sz w:val="24"/>
          <w:szCs w:val="24"/>
        </w:rPr>
        <w:t xml:space="preserve">四、与质疑事项相关的质疑请求</w:t>
      </w:r>
      <w:r/>
    </w:p>
    <w:p>
      <w:pPr>
        <w:spacing w:line="360" w:lineRule="auto"/>
        <w:rPr>
          <w:sz w:val="24"/>
          <w:szCs w:val="24"/>
          <w:u w:val="single"/>
        </w:rPr>
      </w:pPr>
      <w:r>
        <w:rPr>
          <w:sz w:val="24"/>
          <w:szCs w:val="24"/>
        </w:rPr>
        <w:t xml:space="preserve">请求：</w:t>
      </w:r>
      <w:r>
        <w:rPr>
          <w:sz w:val="24"/>
          <w:szCs w:val="24"/>
          <w:u w:val="single"/>
        </w:rPr>
        <w:t xml:space="preserve">                                                                     </w:t>
      </w:r>
      <w:r/>
    </w:p>
    <w:p>
      <w:pPr>
        <w:rPr>
          <w:sz w:val="24"/>
          <w:szCs w:val="24"/>
        </w:rPr>
      </w:pPr>
      <w:r>
        <w:rPr>
          <w:sz w:val="24"/>
          <w:szCs w:val="24"/>
        </w:rPr>
        <w:t xml:space="preserve">签字</w:t>
      </w:r>
      <w:r>
        <w:rPr>
          <w:sz w:val="24"/>
          <w:szCs w:val="24"/>
        </w:rPr>
        <w:t xml:space="preserve">(</w:t>
      </w:r>
      <w:r>
        <w:rPr>
          <w:sz w:val="24"/>
          <w:szCs w:val="24"/>
        </w:rPr>
        <w:t xml:space="preserve">签章</w:t>
      </w:r>
      <w:r>
        <w:rPr>
          <w:sz w:val="24"/>
          <w:szCs w:val="24"/>
        </w:rPr>
        <w:t xml:space="preserve">)</w:t>
      </w:r>
      <w:r>
        <w:rPr>
          <w:sz w:val="24"/>
          <w:szCs w:val="24"/>
        </w:rPr>
        <w:t xml:space="preserve">：</w:t>
      </w:r>
      <w:r>
        <w:rPr>
          <w:sz w:val="24"/>
          <w:szCs w:val="24"/>
        </w:rPr>
        <w:t xml:space="preserve">                   </w:t>
      </w:r>
      <w:r>
        <w:rPr>
          <w:sz w:val="24"/>
          <w:szCs w:val="24"/>
        </w:rPr>
        <w:t xml:space="preserve">公章：</w:t>
      </w:r>
      <w:r>
        <w:rPr>
          <w:sz w:val="24"/>
          <w:szCs w:val="24"/>
        </w:rPr>
        <w:t xml:space="preserve">                      </w:t>
      </w:r>
      <w:r/>
    </w:p>
    <w:p>
      <w:pPr>
        <w:rPr>
          <w:sz w:val="24"/>
          <w:szCs w:val="24"/>
        </w:rPr>
      </w:pPr>
      <w:r>
        <w:rPr>
          <w:sz w:val="24"/>
          <w:szCs w:val="24"/>
        </w:rPr>
        <w:t xml:space="preserve">日期：</w:t>
      </w:r>
      <w:r>
        <w:rPr>
          <w:sz w:val="24"/>
          <w:szCs w:val="24"/>
        </w:rPr>
        <w:t xml:space="preserve">    </w:t>
      </w:r>
      <w:r/>
    </w:p>
    <w:p>
      <w:pPr>
        <w:rPr>
          <w:b/>
          <w:sz w:val="24"/>
          <w:szCs w:val="24"/>
        </w:rPr>
      </w:pPr>
      <w:r>
        <w:rPr>
          <w:b/>
          <w:sz w:val="24"/>
          <w:szCs w:val="24"/>
        </w:rPr>
        <w:br w:type="page" w:clear="all"/>
      </w:r>
      <w:r/>
    </w:p>
    <w:p>
      <w:pPr>
        <w:spacing w:line="400" w:lineRule="exact"/>
        <w:rPr>
          <w:b/>
          <w:sz w:val="24"/>
          <w:szCs w:val="24"/>
        </w:rPr>
      </w:pPr>
      <w:r>
        <w:rPr>
          <w:b/>
          <w:sz w:val="24"/>
          <w:szCs w:val="24"/>
        </w:rPr>
        <w:t xml:space="preserve">质疑函制作说明：</w:t>
      </w:r>
      <w:r/>
    </w:p>
    <w:p>
      <w:pPr>
        <w:ind w:firstLine="480"/>
        <w:jc w:val="left"/>
        <w:spacing w:line="400" w:lineRule="exact"/>
        <w:widowControl/>
        <w:rPr>
          <w:sz w:val="24"/>
          <w:szCs w:val="24"/>
        </w:rPr>
      </w:pPr>
      <w:r>
        <w:rPr>
          <w:sz w:val="24"/>
          <w:szCs w:val="24"/>
        </w:rPr>
        <w:t xml:space="preserve">1.</w:t>
      </w:r>
      <w:r>
        <w:rPr>
          <w:sz w:val="24"/>
          <w:szCs w:val="24"/>
        </w:rPr>
        <w:t xml:space="preserve">供应商提出质疑时，应提交质疑函和必要的证明材料。</w:t>
      </w:r>
      <w:r/>
    </w:p>
    <w:p>
      <w:pPr>
        <w:ind w:firstLine="480"/>
        <w:jc w:val="left"/>
        <w:spacing w:line="400" w:lineRule="exact"/>
        <w:widowControl/>
        <w:rPr>
          <w:sz w:val="24"/>
          <w:szCs w:val="24"/>
        </w:rPr>
      </w:pPr>
      <w:r>
        <w:rPr>
          <w:sz w:val="24"/>
          <w:szCs w:val="24"/>
        </w:rPr>
        <w:t xml:space="preserve">2.</w:t>
      </w:r>
      <w:r>
        <w:rPr>
          <w:sz w:val="24"/>
          <w:szCs w:val="24"/>
        </w:rPr>
        <w:t xml:space="preserve">质疑供应商若委托代理人进行质疑的，</w:t>
      </w:r>
      <w:r>
        <w:rPr>
          <w:sz w:val="24"/>
          <w:szCs w:val="24"/>
        </w:rPr>
        <w:t xml:space="preserve">质疑函应按</w:t>
      </w:r>
      <w:r>
        <w:rPr>
          <w:sz w:val="24"/>
          <w:szCs w:val="24"/>
        </w:rPr>
        <w:t xml:space="preserve">要求列明</w:t>
      </w:r>
      <w:r>
        <w:rPr>
          <w:sz w:val="24"/>
          <w:szCs w:val="24"/>
        </w:rPr>
        <w:t xml:space="preserve">“</w:t>
      </w:r>
      <w:r>
        <w:rPr>
          <w:sz w:val="24"/>
          <w:szCs w:val="24"/>
        </w:rPr>
        <w:t xml:space="preserve">授权代表</w:t>
      </w:r>
      <w:r>
        <w:rPr>
          <w:sz w:val="24"/>
          <w:szCs w:val="24"/>
        </w:rPr>
        <w:t xml:space="preserve">”</w:t>
      </w:r>
      <w:r>
        <w:rPr>
          <w:sz w:val="24"/>
          <w:szCs w:val="24"/>
        </w:rPr>
        <w:t xml:space="preserve">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sz w:val="24"/>
          <w:szCs w:val="24"/>
        </w:rPr>
      </w:pPr>
      <w:r>
        <w:rPr>
          <w:sz w:val="24"/>
          <w:szCs w:val="24"/>
        </w:rPr>
        <w:t xml:space="preserve">3.</w:t>
      </w:r>
      <w:r>
        <w:rPr>
          <w:sz w:val="24"/>
          <w:szCs w:val="24"/>
        </w:rPr>
        <w:t xml:space="preserve">质疑供应商若对项目的某一分包进行质疑，质疑函中应列明具体分包号。</w:t>
      </w:r>
      <w:r/>
    </w:p>
    <w:p>
      <w:pPr>
        <w:ind w:firstLine="480"/>
        <w:jc w:val="left"/>
        <w:spacing w:line="400" w:lineRule="exact"/>
        <w:widowControl/>
        <w:rPr>
          <w:sz w:val="24"/>
          <w:szCs w:val="24"/>
        </w:rPr>
      </w:pPr>
      <w:r>
        <w:rPr>
          <w:sz w:val="24"/>
          <w:szCs w:val="24"/>
        </w:rPr>
        <w:t xml:space="preserve">4.</w:t>
      </w:r>
      <w:r>
        <w:rPr>
          <w:sz w:val="24"/>
          <w:szCs w:val="24"/>
        </w:rPr>
        <w:t xml:space="preserve">质疑函的质疑事项应具体、明确，并有必要的事实依据和法律依据。</w:t>
      </w:r>
      <w:r/>
    </w:p>
    <w:p>
      <w:pPr>
        <w:ind w:firstLine="480"/>
        <w:jc w:val="left"/>
        <w:spacing w:line="400" w:lineRule="exact"/>
        <w:widowControl/>
        <w:rPr>
          <w:sz w:val="24"/>
          <w:szCs w:val="24"/>
        </w:rPr>
      </w:pPr>
      <w:r>
        <w:rPr>
          <w:sz w:val="24"/>
          <w:szCs w:val="24"/>
        </w:rPr>
        <w:t xml:space="preserve">5.</w:t>
      </w:r>
      <w:r>
        <w:rPr>
          <w:sz w:val="24"/>
          <w:szCs w:val="24"/>
        </w:rPr>
        <w:t xml:space="preserve">质疑函的质疑请求应与质疑事项相关。</w:t>
      </w:r>
      <w:r/>
    </w:p>
    <w:p>
      <w:pPr>
        <w:ind w:firstLine="480"/>
        <w:jc w:val="left"/>
        <w:spacing w:line="400" w:lineRule="exact"/>
        <w:widowControl/>
        <w:rPr>
          <w:sz w:val="24"/>
          <w:szCs w:val="24"/>
        </w:rPr>
      </w:pPr>
      <w:r>
        <w:rPr>
          <w:sz w:val="24"/>
          <w:szCs w:val="24"/>
        </w:rPr>
        <w:t xml:space="preserve">6.</w:t>
      </w:r>
      <w:r>
        <w:rPr>
          <w:sz w:val="24"/>
          <w:szCs w:val="24"/>
        </w:rPr>
        <w:t xml:space="preserve">质疑供应商为自然人的，</w:t>
      </w:r>
      <w:r>
        <w:rPr>
          <w:sz w:val="24"/>
          <w:szCs w:val="24"/>
        </w:rPr>
        <w:t xml:space="preserve">质疑函应由</w:t>
      </w:r>
      <w:r>
        <w:rPr>
          <w:sz w:val="24"/>
          <w:szCs w:val="24"/>
        </w:rPr>
        <w:t xml:space="preserve">本人签字；质疑供应商为法人或者其他组织的，</w:t>
      </w:r>
      <w:r>
        <w:rPr>
          <w:sz w:val="24"/>
          <w:szCs w:val="24"/>
        </w:rPr>
        <w:t xml:space="preserve">质疑函应由</w:t>
      </w:r>
      <w:r>
        <w:rPr>
          <w:sz w:val="24"/>
          <w:szCs w:val="24"/>
        </w:rPr>
        <w:t xml:space="preserve">法定代表人、主要负责人，或者其授权代表签字或者盖章，并加盖公章。</w:t>
      </w:r>
      <w:r/>
    </w:p>
    <w:p>
      <w:pPr>
        <w:ind w:firstLine="420"/>
        <w:rPr>
          <w:sz w:val="24"/>
          <w:szCs w:val="24"/>
        </w:rPr>
      </w:pPr>
      <w:r>
        <w:rPr>
          <w:sz w:val="24"/>
          <w:szCs w:val="24"/>
        </w:rPr>
      </w:r>
      <w:r/>
    </w:p>
    <w:p>
      <w:pPr>
        <w:ind w:firstLine="420"/>
        <w:rPr>
          <w:sz w:val="24"/>
          <w:szCs w:val="24"/>
        </w:rPr>
      </w:pPr>
      <w:r>
        <w:rPr>
          <w:sz w:val="24"/>
          <w:szCs w:val="24"/>
        </w:rPr>
      </w:r>
      <w:r/>
    </w:p>
    <w:p>
      <w:r/>
      <w:r/>
    </w:p>
    <w:p>
      <w:r/>
      <w:r/>
    </w:p>
    <w:sectPr>
      <w:footnotePr/>
      <w:endnotePr/>
      <w:type w:val="nextPage"/>
      <w:pgSz w:w="11906" w:h="16838" w:orient="portrait"/>
      <w:pgMar w:top="1440" w:right="1800" w:bottom="1440" w:left="180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5929"/>
      <w:spacing w:line="178" w:lineRule="auto"/>
      <w:rPr>
        <w:rFonts w:eastAsia="Calibri" w:cs="Calibri"/>
        <w:sz w:val="18"/>
        <w:szCs w:val="18"/>
      </w:rPr>
    </w:pPr>
    <w:r>
      <w:rPr>
        <w:rFonts w:eastAsia="Calibri" w:cs="Calibri"/>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5928"/>
      <w:spacing w:line="178" w:lineRule="auto"/>
      <w:rPr>
        <w:rFonts w:eastAsia="Calibri" w:cs="Calibri"/>
        <w:sz w:val="18"/>
        <w:szCs w:val="18"/>
      </w:rPr>
    </w:pPr>
    <w:r>
      <w:rPr>
        <w:rFonts w:eastAsia="Calibri" w:cs="Calibri"/>
        <w:spacing w:val="-3"/>
        <w:sz w:val="18"/>
        <w:szCs w:val="18"/>
      </w:rPr>
      <w:t xml:space="preserve">3</w:t>
    </w:r>
    <w:r>
      <w:rPr>
        <w:rFonts w:eastAsia="Calibri" w:cs="Calibri"/>
        <w:spacing w:val="-2"/>
        <w:sz w:val="18"/>
        <w:szCs w:val="18"/>
      </w:rPr>
      <w:t xml:space="preserve">3</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jc w:val="center"/>
      <w:rPr>
        <w:b/>
        <w:i/>
      </w:rPr>
    </w:pP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rPr>
        <w:rStyle w:val="807"/>
      </w:rPr>
      <w:framePr w:wrap="around" w:vAnchor="text" w:hAnchor="margin" w:xAlign="center" w:y="1"/>
    </w:pPr>
    <w:r>
      <w:fldChar w:fldCharType="begin"/>
    </w:r>
    <w:r>
      <w:rPr>
        <w:rStyle w:val="807"/>
      </w:rPr>
      <w:instrText xml:space="preserve">PAGE  </w:instrText>
    </w:r>
    <w:r>
      <w:fldChar w:fldCharType="separate"/>
    </w:r>
    <w:r>
      <w:rPr>
        <w:rStyle w:val="807"/>
      </w:rPr>
      <w:t xml:space="preserve">1</w:t>
    </w:r>
    <w:r>
      <w:fldChar w:fldCharType="end"/>
    </w:r>
    <w:r/>
  </w:p>
  <w:p>
    <w:pPr>
      <w:pStyle w:val="78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jc w:val="both"/>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1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60"/>
      <w:isLgl w:val="false"/>
      <w:suff w:val="nothing"/>
      <w:lvlText w:val=""/>
      <w:lvlJc w:val="left"/>
      <w:pPr>
        <w:ind w:left="0" w:firstLine="0"/>
      </w:pPr>
      <w:rPr>
        <w:rFonts w:hint="eastAsia"/>
      </w:rPr>
    </w:lvl>
    <w:lvl w:ilvl="6">
      <w:start w:val="1"/>
      <w:numFmt w:val="none"/>
      <w:pStyle w:val="761"/>
      <w:isLgl w:val="false"/>
      <w:suff w:val="nothing"/>
      <w:lvlText w:val=""/>
      <w:lvlJc w:val="left"/>
      <w:pPr>
        <w:ind w:left="0" w:firstLine="0"/>
      </w:pPr>
      <w:rPr>
        <w:rFonts w:hint="eastAsia"/>
      </w:rPr>
    </w:lvl>
    <w:lvl w:ilvl="7">
      <w:start w:val="1"/>
      <w:numFmt w:val="none"/>
      <w:pStyle w:val="762"/>
      <w:isLgl w:val="false"/>
      <w:suff w:val="nothing"/>
      <w:lvlText w:val=""/>
      <w:lvlJc w:val="left"/>
      <w:pPr>
        <w:ind w:left="0" w:firstLine="0"/>
      </w:pPr>
      <w:rPr>
        <w:rFonts w:hint="eastAsia"/>
      </w:rPr>
    </w:lvl>
    <w:lvl w:ilvl="8">
      <w:start w:val="1"/>
      <w:numFmt w:val="none"/>
      <w:pStyle w:val="763"/>
      <w:isLgl w:val="false"/>
      <w:suff w:val="nothing"/>
      <w:lvlText w:val=""/>
      <w:lvlJc w:val="left"/>
      <w:pPr>
        <w:ind w:left="0" w:firstLine="0"/>
      </w:pPr>
      <w:rPr>
        <w:rFonts w:hint="eastAsia"/>
      </w:rPr>
    </w:lvl>
  </w:abstractNum>
  <w:abstractNum w:abstractNumId="2">
    <w:multiLevelType w:val="hybridMultilevel"/>
    <w:lvl w:ilvl="0">
      <w:start w:val="11"/>
      <w:numFmt w:val="chineseCounting"/>
      <w:isLgl w:val="false"/>
      <w:suff w:val="nothing"/>
      <w:lvlText w:val="%1、"/>
      <w:lvlJc w:val="left"/>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3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34">
    <w:name w:val="Plain Table 1"/>
    <w:basedOn w:val="7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2"/>
    <w:basedOn w:val="7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3"/>
    <w:basedOn w:val="7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name w:val="Plain Table 4"/>
    <w:basedOn w:val="7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name w:val="Plain Table 5"/>
    <w:basedOn w:val="7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9">
    <w:name w:val="Grid Table 1 Light"/>
    <w:basedOn w:val="7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0">
    <w:name w:val="Grid Table 2"/>
    <w:basedOn w:val="7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1">
    <w:name w:val="Grid Table 3"/>
    <w:basedOn w:val="7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4"/>
    <w:basedOn w:val="7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name w:val="Grid Table 5 Dark"/>
    <w:basedOn w:val="7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4">
    <w:name w:val="Grid Table 6 Colorful"/>
    <w:basedOn w:val="7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5">
    <w:name w:val="Grid Table 7 Colorful"/>
    <w:basedOn w:val="7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6">
    <w:name w:val="List Table 1 Light"/>
    <w:basedOn w:val="7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7">
    <w:name w:val="List Table 2"/>
    <w:basedOn w:val="7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8">
    <w:name w:val="List Table 3"/>
    <w:basedOn w:val="7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4"/>
    <w:basedOn w:val="7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5 Dark"/>
    <w:basedOn w:val="7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1">
    <w:name w:val="List Table 6 Colorful"/>
    <w:basedOn w:val="7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2">
    <w:name w:val="List Table 7 Colorful"/>
    <w:basedOn w:val="7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53">
    <w:name w:val="TOC Heading"/>
    <w:uiPriority w:val="39"/>
    <w:unhideWhenUsed/>
  </w:style>
  <w:style w:type="paragraph" w:styleId="754" w:default="1">
    <w:name w:val="Normal"/>
    <w:next w:val="767"/>
    <w:qFormat/>
    <w:pPr>
      <w:jc w:val="both"/>
      <w:widowControl w:val="off"/>
    </w:pPr>
    <w:rPr>
      <w:sz w:val="21"/>
      <w:szCs w:val="22"/>
    </w:rPr>
  </w:style>
  <w:style w:type="paragraph" w:styleId="755">
    <w:name w:val="Heading 1"/>
    <w:basedOn w:val="754"/>
    <w:next w:val="754"/>
    <w:link w:val="984"/>
    <w:qFormat/>
    <w:pPr>
      <w:jc w:val="center"/>
      <w:keepNext/>
      <w:outlineLvl w:val="0"/>
    </w:pPr>
    <w:rPr>
      <w:rFonts w:ascii="楷体_GB2312" w:eastAsia="楷体_GB2312"/>
      <w:sz w:val="28"/>
      <w:szCs w:val="28"/>
    </w:rPr>
  </w:style>
  <w:style w:type="paragraph" w:styleId="756">
    <w:name w:val="Heading 2"/>
    <w:basedOn w:val="754"/>
    <w:next w:val="754"/>
    <w:link w:val="985"/>
    <w:qFormat/>
    <w:pPr>
      <w:jc w:val="center"/>
      <w:keepLines/>
      <w:keepNext/>
      <w:spacing w:before="260" w:after="260" w:line="416" w:lineRule="auto"/>
      <w:outlineLvl w:val="1"/>
    </w:pPr>
    <w:rPr>
      <w:rFonts w:ascii="Arial" w:hAnsi="Arial" w:eastAsia="幼圆" w:cs="Arial"/>
      <w:b/>
      <w:bCs/>
      <w:sz w:val="44"/>
      <w:szCs w:val="44"/>
    </w:rPr>
  </w:style>
  <w:style w:type="paragraph" w:styleId="757">
    <w:name w:val="Heading 3"/>
    <w:basedOn w:val="754"/>
    <w:next w:val="754"/>
    <w:link w:val="986"/>
    <w:qFormat/>
    <w:pPr>
      <w:keepLines/>
      <w:keepNext/>
      <w:spacing w:before="260" w:after="260" w:line="416" w:lineRule="auto"/>
      <w:outlineLvl w:val="2"/>
    </w:pPr>
    <w:rPr>
      <w:b/>
      <w:bCs/>
      <w:sz w:val="32"/>
      <w:szCs w:val="32"/>
    </w:rPr>
  </w:style>
  <w:style w:type="paragraph" w:styleId="758">
    <w:name w:val="Heading 4"/>
    <w:basedOn w:val="754"/>
    <w:next w:val="768"/>
    <w:link w:val="988"/>
    <w:qFormat/>
    <w:pPr>
      <w:keepLines/>
      <w:keepNext/>
      <w:spacing w:before="280" w:after="290" w:line="376" w:lineRule="auto"/>
      <w:outlineLvl w:val="3"/>
    </w:pPr>
    <w:rPr>
      <w:rFonts w:ascii="Arial" w:hAnsi="Arial" w:eastAsia="黑体" w:cs="Arial"/>
      <w:b/>
      <w:bCs/>
      <w:sz w:val="28"/>
      <w:szCs w:val="28"/>
    </w:rPr>
  </w:style>
  <w:style w:type="paragraph" w:styleId="759">
    <w:name w:val="Heading 5"/>
    <w:basedOn w:val="754"/>
    <w:next w:val="768"/>
    <w:link w:val="989"/>
    <w:qFormat/>
    <w:pPr>
      <w:keepNext/>
      <w:outlineLvl w:val="4"/>
    </w:pPr>
    <w:rPr>
      <w:rFonts w:ascii="宋体"/>
      <w:color w:val="000000"/>
      <w:sz w:val="28"/>
      <w:szCs w:val="28"/>
    </w:rPr>
  </w:style>
  <w:style w:type="paragraph" w:styleId="760">
    <w:name w:val="Heading 6"/>
    <w:basedOn w:val="754"/>
    <w:next w:val="754"/>
    <w:link w:val="990"/>
    <w:qFormat/>
    <w:pPr>
      <w:numPr>
        <w:ilvl w:val="5"/>
        <w:numId w:val="1"/>
      </w:numPr>
      <w:keepLines/>
      <w:keepNext/>
      <w:spacing w:before="240" w:after="64" w:line="320" w:lineRule="auto"/>
      <w:outlineLvl w:val="5"/>
    </w:pPr>
    <w:rPr>
      <w:rFonts w:ascii="Arial" w:hAnsi="Arial" w:eastAsia="黑体"/>
      <w:b/>
      <w:bCs/>
      <w:sz w:val="24"/>
      <w:szCs w:val="24"/>
    </w:rPr>
  </w:style>
  <w:style w:type="paragraph" w:styleId="761">
    <w:name w:val="Heading 7"/>
    <w:basedOn w:val="754"/>
    <w:next w:val="754"/>
    <w:link w:val="991"/>
    <w:qFormat/>
    <w:pPr>
      <w:numPr>
        <w:ilvl w:val="6"/>
        <w:numId w:val="1"/>
      </w:numPr>
      <w:keepLines/>
      <w:keepNext/>
      <w:spacing w:before="240" w:after="64" w:line="320" w:lineRule="auto"/>
      <w:outlineLvl w:val="6"/>
    </w:pPr>
    <w:rPr>
      <w:b/>
      <w:bCs/>
      <w:sz w:val="24"/>
      <w:szCs w:val="24"/>
    </w:rPr>
  </w:style>
  <w:style w:type="paragraph" w:styleId="762">
    <w:name w:val="Heading 8"/>
    <w:basedOn w:val="754"/>
    <w:next w:val="754"/>
    <w:link w:val="992"/>
    <w:qFormat/>
    <w:pPr>
      <w:numPr>
        <w:ilvl w:val="7"/>
        <w:numId w:val="1"/>
      </w:numPr>
      <w:keepLines/>
      <w:keepNext/>
      <w:spacing w:before="240" w:after="64" w:line="320" w:lineRule="auto"/>
      <w:outlineLvl w:val="7"/>
    </w:pPr>
    <w:rPr>
      <w:rFonts w:ascii="Arial" w:hAnsi="Arial" w:eastAsia="黑体"/>
      <w:sz w:val="24"/>
      <w:szCs w:val="24"/>
    </w:rPr>
  </w:style>
  <w:style w:type="paragraph" w:styleId="763">
    <w:name w:val="Heading 9"/>
    <w:basedOn w:val="754"/>
    <w:next w:val="754"/>
    <w:link w:val="993"/>
    <w:qFormat/>
    <w:pPr>
      <w:numPr>
        <w:ilvl w:val="8"/>
        <w:numId w:val="1"/>
      </w:numPr>
      <w:keepLines/>
      <w:keepNext/>
      <w:spacing w:before="240" w:after="64" w:line="320" w:lineRule="auto"/>
      <w:outlineLvl w:val="8"/>
    </w:pPr>
    <w:rPr>
      <w:rFonts w:ascii="Arial" w:hAnsi="Arial" w:eastAsia="黑体"/>
      <w:szCs w:val="21"/>
    </w:rPr>
  </w:style>
  <w:style w:type="character" w:styleId="764" w:default="1">
    <w:name w:val="Default Paragraph Font"/>
    <w:uiPriority w:val="1"/>
    <w:semiHidden/>
    <w:unhideWhenUsed/>
  </w:style>
  <w:style w:type="table" w:styleId="765" w:default="1">
    <w:name w:val="Normal Table"/>
    <w:uiPriority w:val="99"/>
    <w:semiHidden/>
    <w:unhideWhenUsed/>
    <w:tblPr>
      <w:tblInd w:w="0" w:type="dxa"/>
      <w:tblCellMar>
        <w:left w:w="108" w:type="dxa"/>
        <w:top w:w="0" w:type="dxa"/>
        <w:right w:w="108" w:type="dxa"/>
        <w:bottom w:w="0" w:type="dxa"/>
      </w:tblCellMar>
    </w:tblPr>
  </w:style>
  <w:style w:type="numbering" w:styleId="766" w:default="1">
    <w:name w:val="No List"/>
    <w:uiPriority w:val="99"/>
    <w:semiHidden/>
    <w:unhideWhenUsed/>
  </w:style>
  <w:style w:type="paragraph" w:styleId="767">
    <w:name w:val="Body Text"/>
    <w:basedOn w:val="754"/>
    <w:next w:val="754"/>
    <w:link w:val="997"/>
    <w:qFormat/>
    <w:rPr>
      <w:rFonts w:ascii="楷体_GB2312" w:hAnsi="Arial" w:eastAsia="楷体_GB2312"/>
      <w:sz w:val="28"/>
      <w:szCs w:val="28"/>
    </w:rPr>
  </w:style>
  <w:style w:type="paragraph" w:styleId="768">
    <w:name w:val="Normal Indent"/>
    <w:basedOn w:val="754"/>
    <w:link w:val="987"/>
    <w:uiPriority w:val="99"/>
    <w:qFormat/>
    <w:pPr>
      <w:ind w:firstLine="420"/>
    </w:pPr>
    <w:rPr>
      <w:szCs w:val="21"/>
    </w:rPr>
  </w:style>
  <w:style w:type="paragraph" w:styleId="769">
    <w:name w:val="List 3"/>
    <w:basedOn w:val="754"/>
    <w:qFormat/>
    <w:pPr>
      <w:ind w:left="100" w:hanging="200"/>
    </w:pPr>
    <w:rPr>
      <w:szCs w:val="21"/>
    </w:rPr>
  </w:style>
  <w:style w:type="paragraph" w:styleId="770">
    <w:name w:val="toc 7"/>
    <w:basedOn w:val="754"/>
    <w:next w:val="754"/>
    <w:semiHidden/>
    <w:qFormat/>
    <w:pPr>
      <w:ind w:left="1260"/>
      <w:jc w:val="left"/>
    </w:pPr>
    <w:rPr>
      <w:szCs w:val="21"/>
    </w:rPr>
  </w:style>
  <w:style w:type="paragraph" w:styleId="771">
    <w:name w:val="Caption"/>
    <w:basedOn w:val="754"/>
    <w:next w:val="754"/>
    <w:uiPriority w:val="35"/>
    <w:semiHidden/>
    <w:unhideWhenUsed/>
    <w:qFormat/>
    <w:pPr>
      <w:spacing w:line="276" w:lineRule="auto"/>
    </w:pPr>
    <w:rPr>
      <w:b/>
      <w:bCs/>
      <w:color w:val="156082" w:themeColor="accent1"/>
      <w:sz w:val="18"/>
      <w:szCs w:val="18"/>
    </w:rPr>
  </w:style>
  <w:style w:type="paragraph" w:styleId="772">
    <w:name w:val="Document Map"/>
    <w:basedOn w:val="754"/>
    <w:link w:val="994"/>
    <w:semiHidden/>
    <w:qFormat/>
    <w:pPr>
      <w:shd w:val="clear" w:color="auto" w:fill="000080"/>
    </w:pPr>
    <w:rPr>
      <w:szCs w:val="21"/>
    </w:rPr>
  </w:style>
  <w:style w:type="paragraph" w:styleId="773">
    <w:name w:val="annotation text"/>
    <w:basedOn w:val="754"/>
    <w:link w:val="995"/>
    <w:unhideWhenUsed/>
    <w:qFormat/>
    <w:pPr>
      <w:jc w:val="left"/>
    </w:pPr>
  </w:style>
  <w:style w:type="paragraph" w:styleId="774">
    <w:name w:val="Body Text 3"/>
    <w:basedOn w:val="754"/>
    <w:link w:val="996"/>
    <w:qFormat/>
    <w:rPr>
      <w:rFonts w:ascii="仿宋_GB2312" w:hAnsi="Arial" w:eastAsia="仿宋_GB2312"/>
      <w:sz w:val="32"/>
      <w:szCs w:val="32"/>
    </w:rPr>
  </w:style>
  <w:style w:type="paragraph" w:styleId="775">
    <w:name w:val="Body Text Indent"/>
    <w:basedOn w:val="754"/>
    <w:link w:val="998"/>
    <w:unhideWhenUsed/>
    <w:qFormat/>
    <w:pPr>
      <w:ind w:left="420"/>
      <w:spacing w:after="120"/>
    </w:pPr>
  </w:style>
  <w:style w:type="paragraph" w:styleId="776">
    <w:name w:val="List 2"/>
    <w:basedOn w:val="754"/>
    <w:qFormat/>
    <w:pPr>
      <w:ind w:left="100" w:hanging="200"/>
    </w:pPr>
    <w:rPr>
      <w:szCs w:val="21"/>
    </w:rPr>
  </w:style>
  <w:style w:type="paragraph" w:styleId="777">
    <w:name w:val="toc 5"/>
    <w:basedOn w:val="754"/>
    <w:next w:val="754"/>
    <w:semiHidden/>
    <w:qFormat/>
    <w:pPr>
      <w:ind w:left="840"/>
      <w:jc w:val="left"/>
    </w:pPr>
    <w:rPr>
      <w:szCs w:val="21"/>
    </w:rPr>
  </w:style>
  <w:style w:type="paragraph" w:styleId="778">
    <w:name w:val="toc 3"/>
    <w:basedOn w:val="754"/>
    <w:next w:val="754"/>
    <w:semiHidden/>
    <w:qFormat/>
    <w:pPr>
      <w:ind w:left="420"/>
      <w:jc w:val="left"/>
    </w:pPr>
    <w:rPr>
      <w:i/>
      <w:iCs/>
      <w:szCs w:val="24"/>
    </w:rPr>
  </w:style>
  <w:style w:type="paragraph" w:styleId="779">
    <w:name w:val="Plain Text"/>
    <w:basedOn w:val="754"/>
    <w:link w:val="999"/>
    <w:qFormat/>
    <w:rPr>
      <w:rFonts w:ascii="宋体" w:hAnsi="Courier New" w:cs="Courier New"/>
      <w:szCs w:val="21"/>
    </w:rPr>
  </w:style>
  <w:style w:type="paragraph" w:styleId="780">
    <w:name w:val="toc 8"/>
    <w:basedOn w:val="754"/>
    <w:next w:val="754"/>
    <w:semiHidden/>
    <w:qFormat/>
    <w:pPr>
      <w:ind w:left="1470"/>
      <w:jc w:val="left"/>
    </w:pPr>
    <w:rPr>
      <w:szCs w:val="21"/>
    </w:rPr>
  </w:style>
  <w:style w:type="paragraph" w:styleId="781">
    <w:name w:val="Date"/>
    <w:basedOn w:val="754"/>
    <w:next w:val="754"/>
    <w:link w:val="1000"/>
    <w:qFormat/>
    <w:rPr>
      <w:sz w:val="24"/>
      <w:szCs w:val="24"/>
    </w:rPr>
  </w:style>
  <w:style w:type="paragraph" w:styleId="782">
    <w:name w:val="Body Text Indent 2"/>
    <w:basedOn w:val="754"/>
    <w:link w:val="1001"/>
    <w:qFormat/>
    <w:pPr>
      <w:ind w:left="630" w:firstLine="645"/>
    </w:pPr>
    <w:rPr>
      <w:rFonts w:ascii="Arial" w:hAnsi="Arial" w:eastAsia="仿宋_GB2312" w:cs="Arial"/>
      <w:sz w:val="32"/>
      <w:szCs w:val="32"/>
    </w:rPr>
  </w:style>
  <w:style w:type="paragraph" w:styleId="783">
    <w:name w:val="endnote text"/>
    <w:basedOn w:val="754"/>
    <w:link w:val="982"/>
    <w:uiPriority w:val="99"/>
    <w:semiHidden/>
    <w:unhideWhenUsed/>
    <w:qFormat/>
    <w:rPr>
      <w:sz w:val="20"/>
    </w:rPr>
  </w:style>
  <w:style w:type="paragraph" w:styleId="784">
    <w:name w:val="Balloon Text"/>
    <w:basedOn w:val="754"/>
    <w:link w:val="1002"/>
    <w:semiHidden/>
    <w:qFormat/>
    <w:rPr>
      <w:sz w:val="18"/>
      <w:szCs w:val="18"/>
    </w:rPr>
  </w:style>
  <w:style w:type="paragraph" w:styleId="785">
    <w:name w:val="Footer"/>
    <w:basedOn w:val="754"/>
    <w:link w:val="1003"/>
    <w:qFormat/>
    <w:pPr>
      <w:jc w:val="left"/>
      <w:tabs>
        <w:tab w:val="center" w:pos="4153" w:leader="none"/>
        <w:tab w:val="right" w:pos="8306" w:leader="none"/>
      </w:tabs>
    </w:pPr>
    <w:rPr>
      <w:sz w:val="18"/>
      <w:szCs w:val="18"/>
    </w:rPr>
  </w:style>
  <w:style w:type="paragraph" w:styleId="786">
    <w:name w:val="Header"/>
    <w:basedOn w:val="754"/>
    <w:link w:val="1004"/>
    <w:qFormat/>
    <w:pPr>
      <w:jc w:val="center"/>
      <w:tabs>
        <w:tab w:val="center" w:pos="4153" w:leader="none"/>
        <w:tab w:val="right" w:pos="8306" w:leader="none"/>
      </w:tabs>
      <w:pBdr>
        <w:bottom w:val="single" w:color="auto" w:sz="6" w:space="1"/>
      </w:pBdr>
    </w:pPr>
    <w:rPr>
      <w:sz w:val="18"/>
      <w:szCs w:val="18"/>
    </w:rPr>
  </w:style>
  <w:style w:type="paragraph" w:styleId="787">
    <w:name w:val="toc 1"/>
    <w:basedOn w:val="754"/>
    <w:next w:val="754"/>
    <w:semiHidden/>
    <w:qFormat/>
    <w:pPr>
      <w:jc w:val="left"/>
      <w:spacing w:before="120" w:after="120" w:line="400" w:lineRule="exact"/>
      <w:tabs>
        <w:tab w:val="right" w:pos="8720" w:leader="dot"/>
      </w:tabs>
    </w:pPr>
    <w:rPr>
      <w:rFonts w:ascii="宋体" w:hAnsi="宋体"/>
      <w:caps/>
      <w:sz w:val="24"/>
      <w:szCs w:val="24"/>
    </w:rPr>
  </w:style>
  <w:style w:type="paragraph" w:styleId="788">
    <w:name w:val="toc 4"/>
    <w:basedOn w:val="754"/>
    <w:next w:val="754"/>
    <w:semiHidden/>
    <w:qFormat/>
    <w:pPr>
      <w:ind w:left="630"/>
      <w:jc w:val="left"/>
    </w:pPr>
    <w:rPr>
      <w:szCs w:val="21"/>
    </w:rPr>
  </w:style>
  <w:style w:type="paragraph" w:styleId="789">
    <w:name w:val="Subtitle"/>
    <w:basedOn w:val="754"/>
    <w:next w:val="754"/>
    <w:link w:val="848"/>
    <w:uiPriority w:val="11"/>
    <w:qFormat/>
    <w:pPr>
      <w:spacing w:before="200" w:after="200"/>
    </w:pPr>
    <w:rPr>
      <w:sz w:val="24"/>
      <w:szCs w:val="24"/>
    </w:rPr>
  </w:style>
  <w:style w:type="paragraph" w:styleId="790">
    <w:name w:val="List"/>
    <w:basedOn w:val="754"/>
    <w:qFormat/>
    <w:pPr>
      <w:ind w:left="200" w:hanging="200"/>
    </w:pPr>
    <w:rPr>
      <w:szCs w:val="21"/>
    </w:rPr>
  </w:style>
  <w:style w:type="paragraph" w:styleId="791">
    <w:name w:val="footnote text"/>
    <w:basedOn w:val="754"/>
    <w:link w:val="981"/>
    <w:uiPriority w:val="99"/>
    <w:semiHidden/>
    <w:unhideWhenUsed/>
    <w:qFormat/>
    <w:pPr>
      <w:spacing w:after="40"/>
    </w:pPr>
    <w:rPr>
      <w:sz w:val="18"/>
    </w:rPr>
  </w:style>
  <w:style w:type="paragraph" w:styleId="792">
    <w:name w:val="toc 6"/>
    <w:basedOn w:val="754"/>
    <w:next w:val="754"/>
    <w:semiHidden/>
    <w:qFormat/>
    <w:pPr>
      <w:ind w:left="1050"/>
      <w:jc w:val="left"/>
    </w:pPr>
    <w:rPr>
      <w:szCs w:val="21"/>
    </w:rPr>
  </w:style>
  <w:style w:type="paragraph" w:styleId="793">
    <w:name w:val="Body Text Indent 3"/>
    <w:basedOn w:val="754"/>
    <w:link w:val="1005"/>
    <w:qFormat/>
    <w:pPr>
      <w:ind w:left="645" w:firstLine="645"/>
    </w:pPr>
    <w:rPr>
      <w:rFonts w:ascii="Arial" w:hAnsi="Arial" w:eastAsia="仿宋_GB2312" w:cs="Arial"/>
      <w:color w:val="ffff00"/>
      <w:sz w:val="32"/>
      <w:szCs w:val="32"/>
    </w:rPr>
  </w:style>
  <w:style w:type="paragraph" w:styleId="794">
    <w:name w:val="table of figures"/>
    <w:basedOn w:val="754"/>
    <w:next w:val="754"/>
    <w:semiHidden/>
    <w:qFormat/>
    <w:pPr>
      <w:ind w:left="840" w:hanging="420"/>
    </w:pPr>
    <w:rPr>
      <w:szCs w:val="21"/>
    </w:rPr>
  </w:style>
  <w:style w:type="paragraph" w:styleId="795">
    <w:name w:val="toc 2"/>
    <w:basedOn w:val="754"/>
    <w:next w:val="754"/>
    <w:semiHidden/>
    <w:qFormat/>
    <w:pPr>
      <w:ind w:left="210"/>
      <w:jc w:val="left"/>
    </w:pPr>
    <w:rPr>
      <w:smallCaps/>
      <w:szCs w:val="24"/>
    </w:rPr>
  </w:style>
  <w:style w:type="paragraph" w:styleId="796">
    <w:name w:val="toc 9"/>
    <w:basedOn w:val="754"/>
    <w:next w:val="754"/>
    <w:semiHidden/>
    <w:qFormat/>
    <w:pPr>
      <w:ind w:left="1680"/>
      <w:jc w:val="left"/>
    </w:pPr>
    <w:rPr>
      <w:szCs w:val="21"/>
    </w:rPr>
  </w:style>
  <w:style w:type="paragraph" w:styleId="797">
    <w:name w:val="Body Text 2"/>
    <w:basedOn w:val="754"/>
    <w:link w:val="1006"/>
    <w:qFormat/>
    <w:pPr>
      <w:jc w:val="center"/>
      <w:widowControl/>
    </w:pPr>
    <w:rPr>
      <w:rFonts w:ascii="楷体_GB2312" w:eastAsia="楷体_GB2312"/>
      <w:sz w:val="28"/>
      <w:szCs w:val="28"/>
    </w:rPr>
  </w:style>
  <w:style w:type="paragraph" w:styleId="798">
    <w:name w:val="Normal (Web)"/>
    <w:basedOn w:val="754"/>
    <w:uiPriority w:val="99"/>
    <w:qFormat/>
    <w:pPr>
      <w:jc w:val="left"/>
      <w:spacing w:before="100" w:beforeAutospacing="1" w:after="100" w:afterAutospacing="1"/>
      <w:widowControl/>
    </w:pPr>
    <w:rPr>
      <w:rFonts w:ascii="宋体" w:hAnsi="宋体" w:cs="宋体"/>
      <w:sz w:val="24"/>
      <w:szCs w:val="24"/>
    </w:rPr>
  </w:style>
  <w:style w:type="paragraph" w:styleId="799">
    <w:name w:val="index 1"/>
    <w:basedOn w:val="754"/>
    <w:next w:val="754"/>
    <w:semiHidden/>
    <w:qFormat/>
    <w:pPr>
      <w:spacing w:line="240" w:lineRule="atLeast"/>
    </w:pPr>
    <w:rPr>
      <w:b/>
      <w:bCs/>
      <w:szCs w:val="21"/>
    </w:rPr>
  </w:style>
  <w:style w:type="paragraph" w:styleId="800">
    <w:name w:val="Title"/>
    <w:basedOn w:val="754"/>
    <w:next w:val="754"/>
    <w:link w:val="847"/>
    <w:uiPriority w:val="10"/>
    <w:qFormat/>
    <w:pPr>
      <w:contextualSpacing/>
      <w:spacing w:before="300" w:after="200"/>
    </w:pPr>
    <w:rPr>
      <w:sz w:val="48"/>
      <w:szCs w:val="48"/>
    </w:rPr>
  </w:style>
  <w:style w:type="paragraph" w:styleId="801">
    <w:name w:val="annotation subject"/>
    <w:basedOn w:val="773"/>
    <w:next w:val="773"/>
    <w:link w:val="1007"/>
    <w:semiHidden/>
    <w:qFormat/>
    <w:rPr>
      <w:b/>
      <w:bCs/>
      <w:szCs w:val="21"/>
    </w:rPr>
  </w:style>
  <w:style w:type="paragraph" w:styleId="802">
    <w:name w:val="Body Text First Indent"/>
    <w:basedOn w:val="767"/>
    <w:next w:val="792"/>
    <w:link w:val="1008"/>
    <w:qFormat/>
    <w:pPr>
      <w:ind w:firstLine="200"/>
      <w:spacing w:line="360" w:lineRule="auto"/>
    </w:pPr>
    <w:rPr>
      <w:rFonts w:ascii="仿宋_GB2312" w:hAnsi="Times New Roman" w:eastAsia="仿宋_GB2312"/>
      <w:sz w:val="30"/>
      <w:szCs w:val="30"/>
    </w:rPr>
  </w:style>
  <w:style w:type="paragraph" w:styleId="803">
    <w:name w:val="Body Text First Indent 2"/>
    <w:basedOn w:val="775"/>
    <w:link w:val="1009"/>
    <w:qFormat/>
    <w:pPr>
      <w:ind w:left="0" w:firstLine="420"/>
      <w:spacing w:after="0" w:line="360" w:lineRule="auto"/>
    </w:pPr>
    <w:rPr>
      <w:rFonts w:ascii="宋体" w:hAnsi="宋体"/>
      <w:szCs w:val="20"/>
    </w:rPr>
  </w:style>
  <w:style w:type="table" w:styleId="804">
    <w:name w:val="Table Grid"/>
    <w:basedOn w:val="76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5">
    <w:name w:val="Strong"/>
    <w:qFormat/>
    <w:rPr>
      <w:b/>
      <w:bCs/>
    </w:rPr>
  </w:style>
  <w:style w:type="character" w:styleId="806">
    <w:name w:val="endnote reference"/>
    <w:basedOn w:val="764"/>
    <w:uiPriority w:val="99"/>
    <w:semiHidden/>
    <w:unhideWhenUsed/>
    <w:qFormat/>
    <w:rPr>
      <w:vertAlign w:val="superscript"/>
    </w:rPr>
  </w:style>
  <w:style w:type="character" w:styleId="807">
    <w:name w:val="page number"/>
    <w:qFormat/>
  </w:style>
  <w:style w:type="character" w:styleId="808">
    <w:name w:val="FollowedHyperlink"/>
    <w:qFormat/>
    <w:rPr>
      <w:color w:val="800080"/>
      <w:u w:val="single"/>
    </w:rPr>
  </w:style>
  <w:style w:type="character" w:styleId="809">
    <w:name w:val="Hyperlink"/>
    <w:qFormat/>
    <w:rPr>
      <w:color w:val="0000ff"/>
      <w:u w:val="single"/>
    </w:rPr>
  </w:style>
  <w:style w:type="character" w:styleId="810">
    <w:name w:val="annotation reference"/>
    <w:semiHidden/>
    <w:qFormat/>
    <w:rPr>
      <w:sz w:val="21"/>
      <w:szCs w:val="21"/>
    </w:rPr>
  </w:style>
  <w:style w:type="character" w:styleId="811">
    <w:name w:val="footnote reference"/>
    <w:basedOn w:val="764"/>
    <w:uiPriority w:val="99"/>
    <w:unhideWhenUsed/>
    <w:qFormat/>
    <w:rPr>
      <w:vertAlign w:val="superscript"/>
    </w:rPr>
  </w:style>
  <w:style w:type="character" w:styleId="812" w:customStyle="1">
    <w:name w:val="Title Char"/>
    <w:basedOn w:val="764"/>
    <w:uiPriority w:val="10"/>
    <w:qFormat/>
    <w:rPr>
      <w:sz w:val="48"/>
      <w:szCs w:val="48"/>
    </w:rPr>
  </w:style>
  <w:style w:type="character" w:styleId="813" w:customStyle="1">
    <w:name w:val="Subtitle Char"/>
    <w:basedOn w:val="764"/>
    <w:uiPriority w:val="11"/>
    <w:qFormat/>
    <w:rPr>
      <w:sz w:val="24"/>
      <w:szCs w:val="24"/>
    </w:rPr>
  </w:style>
  <w:style w:type="character" w:styleId="814" w:customStyle="1">
    <w:name w:val="Quote Char"/>
    <w:uiPriority w:val="29"/>
    <w:qFormat/>
    <w:rPr>
      <w:i/>
    </w:rPr>
  </w:style>
  <w:style w:type="character" w:styleId="815" w:customStyle="1">
    <w:name w:val="Intense Quote Char"/>
    <w:uiPriority w:val="30"/>
    <w:qFormat/>
    <w:rPr>
      <w:i/>
    </w:rPr>
  </w:style>
  <w:style w:type="table" w:styleId="816" w:customStyle="1">
    <w:name w:val="无格式表格 11"/>
    <w:basedOn w:val="76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无格式表格 21"/>
    <w:basedOn w:val="76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无格式表格 31"/>
    <w:basedOn w:val="76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customStyle="1">
    <w:name w:val="无格式表格 41"/>
    <w:basedOn w:val="76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customStyle="1">
    <w:name w:val="无格式表格 51"/>
    <w:basedOn w:val="76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1" w:customStyle="1">
    <w:name w:val="网格表 1 浅色1"/>
    <w:basedOn w:val="765"/>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2" w:customStyle="1">
    <w:name w:val="网格表 21"/>
    <w:basedOn w:val="76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3" w:customStyle="1">
    <w:name w:val="网格表 31"/>
    <w:basedOn w:val="76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网格表 41"/>
    <w:basedOn w:val="765"/>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customStyle="1">
    <w:name w:val="网格表 5 深色1"/>
    <w:basedOn w:val="7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6" w:customStyle="1">
    <w:name w:val="网格表 6 彩色1"/>
    <w:basedOn w:val="765"/>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27" w:customStyle="1">
    <w:name w:val="网格表 7 彩色1"/>
    <w:basedOn w:val="765"/>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8" w:customStyle="1">
    <w:name w:val="清单表 1 浅色1"/>
    <w:basedOn w:val="765"/>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customStyle="1">
    <w:name w:val="清单表 21"/>
    <w:basedOn w:val="765"/>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0" w:customStyle="1">
    <w:name w:val="清单表 31"/>
    <w:basedOn w:val="76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清单表 41"/>
    <w:basedOn w:val="76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清单表 5 深色1"/>
    <w:basedOn w:val="765"/>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3" w:customStyle="1">
    <w:name w:val="清单表 6 彩色1"/>
    <w:basedOn w:val="765"/>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4" w:customStyle="1">
    <w:name w:val="清单表 7 彩色1"/>
    <w:basedOn w:val="765"/>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35" w:customStyle="1">
    <w:name w:val="Footnote Text Char"/>
    <w:uiPriority w:val="99"/>
    <w:qFormat/>
    <w:rPr>
      <w:sz w:val="18"/>
    </w:rPr>
  </w:style>
  <w:style w:type="character" w:styleId="836" w:customStyle="1">
    <w:name w:val="Endnote Text Char"/>
    <w:uiPriority w:val="99"/>
    <w:qFormat/>
    <w:rPr>
      <w:sz w:val="20"/>
    </w:rPr>
  </w:style>
  <w:style w:type="paragraph" w:styleId="837" w:customStyle="1">
    <w:name w:val="TOC 标题1"/>
    <w:uiPriority w:val="39"/>
    <w:unhideWhenUsed/>
    <w:qFormat/>
  </w:style>
  <w:style w:type="character" w:styleId="838" w:customStyle="1">
    <w:name w:val="Heading 1 Char"/>
    <w:basedOn w:val="764"/>
    <w:uiPriority w:val="9"/>
    <w:qFormat/>
    <w:rPr>
      <w:rFonts w:ascii="Arial" w:hAnsi="Arial" w:eastAsia="Arial" w:cs="Arial"/>
      <w:sz w:val="40"/>
      <w:szCs w:val="40"/>
    </w:rPr>
  </w:style>
  <w:style w:type="character" w:styleId="839" w:customStyle="1">
    <w:name w:val="Heading 2 Char"/>
    <w:basedOn w:val="764"/>
    <w:uiPriority w:val="9"/>
    <w:qFormat/>
    <w:rPr>
      <w:rFonts w:ascii="Arial" w:hAnsi="Arial" w:eastAsia="Arial" w:cs="Arial"/>
      <w:sz w:val="34"/>
    </w:rPr>
  </w:style>
  <w:style w:type="character" w:styleId="840" w:customStyle="1">
    <w:name w:val="Heading 3 Char"/>
    <w:basedOn w:val="764"/>
    <w:uiPriority w:val="9"/>
    <w:qFormat/>
    <w:rPr>
      <w:rFonts w:ascii="Arial" w:hAnsi="Arial" w:eastAsia="Arial" w:cs="Arial"/>
      <w:sz w:val="30"/>
      <w:szCs w:val="30"/>
    </w:rPr>
  </w:style>
  <w:style w:type="character" w:styleId="841" w:customStyle="1">
    <w:name w:val="Heading 4 Char"/>
    <w:basedOn w:val="764"/>
    <w:uiPriority w:val="9"/>
    <w:qFormat/>
    <w:rPr>
      <w:rFonts w:ascii="Arial" w:hAnsi="Arial" w:eastAsia="Arial" w:cs="Arial"/>
      <w:b/>
      <w:bCs/>
      <w:sz w:val="26"/>
      <w:szCs w:val="26"/>
    </w:rPr>
  </w:style>
  <w:style w:type="character" w:styleId="842" w:customStyle="1">
    <w:name w:val="Heading 5 Char"/>
    <w:basedOn w:val="764"/>
    <w:uiPriority w:val="9"/>
    <w:qFormat/>
    <w:rPr>
      <w:rFonts w:ascii="Arial" w:hAnsi="Arial" w:eastAsia="Arial" w:cs="Arial"/>
      <w:b/>
      <w:bCs/>
      <w:sz w:val="24"/>
      <w:szCs w:val="24"/>
    </w:rPr>
  </w:style>
  <w:style w:type="character" w:styleId="843" w:customStyle="1">
    <w:name w:val="Heading 6 Char"/>
    <w:basedOn w:val="764"/>
    <w:uiPriority w:val="9"/>
    <w:qFormat/>
    <w:rPr>
      <w:rFonts w:ascii="Arial" w:hAnsi="Arial" w:eastAsia="Arial" w:cs="Arial"/>
      <w:b/>
      <w:bCs/>
      <w:sz w:val="22"/>
      <w:szCs w:val="22"/>
    </w:rPr>
  </w:style>
  <w:style w:type="character" w:styleId="844" w:customStyle="1">
    <w:name w:val="Heading 7 Char"/>
    <w:basedOn w:val="764"/>
    <w:uiPriority w:val="9"/>
    <w:qFormat/>
    <w:rPr>
      <w:rFonts w:ascii="Arial" w:hAnsi="Arial" w:eastAsia="Arial" w:cs="Arial"/>
      <w:b/>
      <w:bCs/>
      <w:i/>
      <w:iCs/>
      <w:sz w:val="22"/>
      <w:szCs w:val="22"/>
    </w:rPr>
  </w:style>
  <w:style w:type="character" w:styleId="845" w:customStyle="1">
    <w:name w:val="Heading 8 Char"/>
    <w:basedOn w:val="764"/>
    <w:uiPriority w:val="9"/>
    <w:qFormat/>
    <w:rPr>
      <w:rFonts w:ascii="Arial" w:hAnsi="Arial" w:eastAsia="Arial" w:cs="Arial"/>
      <w:i/>
      <w:iCs/>
      <w:sz w:val="22"/>
      <w:szCs w:val="22"/>
    </w:rPr>
  </w:style>
  <w:style w:type="character" w:styleId="846" w:customStyle="1">
    <w:name w:val="Heading 9 Char"/>
    <w:basedOn w:val="764"/>
    <w:uiPriority w:val="9"/>
    <w:qFormat/>
    <w:rPr>
      <w:rFonts w:ascii="Arial" w:hAnsi="Arial" w:eastAsia="Arial" w:cs="Arial"/>
      <w:i/>
      <w:iCs/>
      <w:sz w:val="21"/>
      <w:szCs w:val="21"/>
    </w:rPr>
  </w:style>
  <w:style w:type="character" w:styleId="847" w:customStyle="1">
    <w:name w:val="标题 字符"/>
    <w:basedOn w:val="764"/>
    <w:link w:val="800"/>
    <w:uiPriority w:val="10"/>
    <w:qFormat/>
    <w:rPr>
      <w:sz w:val="48"/>
      <w:szCs w:val="48"/>
    </w:rPr>
  </w:style>
  <w:style w:type="character" w:styleId="848" w:customStyle="1">
    <w:name w:val="副标题 字符"/>
    <w:basedOn w:val="764"/>
    <w:link w:val="789"/>
    <w:uiPriority w:val="11"/>
    <w:qFormat/>
    <w:rPr>
      <w:sz w:val="24"/>
      <w:szCs w:val="24"/>
    </w:rPr>
  </w:style>
  <w:style w:type="paragraph" w:styleId="849">
    <w:name w:val="Quote"/>
    <w:basedOn w:val="754"/>
    <w:next w:val="754"/>
    <w:link w:val="850"/>
    <w:uiPriority w:val="29"/>
    <w:qFormat/>
    <w:pPr>
      <w:ind w:left="720" w:right="720"/>
    </w:pPr>
    <w:rPr>
      <w:i/>
    </w:rPr>
  </w:style>
  <w:style w:type="character" w:styleId="850" w:customStyle="1">
    <w:name w:val="引用 字符"/>
    <w:link w:val="849"/>
    <w:uiPriority w:val="29"/>
    <w:qFormat/>
    <w:rPr>
      <w:i/>
    </w:rPr>
  </w:style>
  <w:style w:type="paragraph" w:styleId="851">
    <w:name w:val="Intense Quote"/>
    <w:basedOn w:val="754"/>
    <w:next w:val="754"/>
    <w:link w:val="8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2" w:customStyle="1">
    <w:name w:val="明显引用 字符"/>
    <w:link w:val="851"/>
    <w:uiPriority w:val="30"/>
    <w:qFormat/>
    <w:rPr>
      <w:i/>
    </w:rPr>
  </w:style>
  <w:style w:type="character" w:styleId="853" w:customStyle="1">
    <w:name w:val="Header Char"/>
    <w:basedOn w:val="764"/>
    <w:uiPriority w:val="99"/>
    <w:qFormat/>
  </w:style>
  <w:style w:type="character" w:styleId="854" w:customStyle="1">
    <w:name w:val="Footer Char"/>
    <w:basedOn w:val="764"/>
    <w:uiPriority w:val="99"/>
    <w:qFormat/>
  </w:style>
  <w:style w:type="character" w:styleId="855" w:customStyle="1">
    <w:name w:val="Caption Char"/>
    <w:uiPriority w:val="99"/>
    <w:qFormat/>
  </w:style>
  <w:style w:type="table" w:styleId="856" w:customStyle="1">
    <w:name w:val="Table Grid Light"/>
    <w:basedOn w:val="76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57" w:customStyle="1">
    <w:name w:val="无格式表格 11"/>
    <w:basedOn w:val="76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8" w:customStyle="1">
    <w:name w:val="无格式表格 21"/>
    <w:basedOn w:val="76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无格式表格 31"/>
    <w:basedOn w:val="76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0" w:customStyle="1">
    <w:name w:val="无格式表格 41"/>
    <w:basedOn w:val="76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1" w:customStyle="1">
    <w:name w:val="无格式表格 51"/>
    <w:basedOn w:val="76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2" w:customStyle="1">
    <w:name w:val="网格表 1 浅色1"/>
    <w:basedOn w:val="765"/>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1"/>
    <w:basedOn w:val="765"/>
    <w:uiPriority w:val="99"/>
    <w:qFormat/>
    <w:tblPr>
      <w:tbl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insideH w:val="single" w:color="81C9EA" w:themeColor="accent1" w:themeTint="67" w:sz="4" w:space="0"/>
        <w:insideV w:val="single" w:color="81C9EA" w:themeColor="accent1" w:themeTint="67" w:sz="4" w:space="0"/>
      </w:tblBorders>
    </w:tblPr>
    <w:tblStylePr w:type="band1Horz">
      <w:rPr>
        <w:rFonts w:ascii="Arial" w:hAnsi="Arial"/>
        <w:color w:val="404040"/>
        <w:sz w:val="22"/>
      </w:rPr>
      <w:tcPr>
        <w:tc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tcBorders>
      </w:tcPr>
    </w:tblStylePr>
    <w:tblStylePr w:type="firstCol">
      <w:rPr>
        <w:b/>
        <w:color w:val="404040"/>
      </w:rPr>
    </w:tblStylePr>
    <w:tblStylePr w:type="firstRow">
      <w:rPr>
        <w:b/>
        <w:color w:val="404040"/>
      </w:rPr>
      <w:tcPr>
        <w:tcBorders>
          <w:bottom w:val="single" w:color="4AB2E1" w:themeColor="accent1"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2"/>
    <w:basedOn w:val="765"/>
    <w:uiPriority w:val="99"/>
    <w:qFormat/>
    <w:tblPr>
      <w:tbl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insideH w:val="single" w:color="F6C5AB" w:themeColor="accent2" w:themeTint="67" w:sz="4" w:space="0"/>
        <w:insideV w:val="single" w:color="F6C5AB" w:themeColor="accent2" w:themeTint="67" w:sz="4" w:space="0"/>
      </w:tblBorders>
    </w:tblPr>
    <w:tblStylePr w:type="band1Horz">
      <w:rPr>
        <w:rFonts w:ascii="Arial" w:hAnsi="Arial"/>
        <w:color w:val="404040"/>
        <w:sz w:val="22"/>
      </w:rPr>
      <w:tcPr>
        <w:tc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tcBorders>
      </w:tcPr>
    </w:tblStylePr>
    <w:tblStylePr w:type="firstCol">
      <w:rPr>
        <w:b/>
        <w:color w:val="404040"/>
      </w:rPr>
    </w:tblStylePr>
    <w:tblStylePr w:type="firstRow">
      <w:rPr>
        <w:b/>
        <w:color w:val="404040"/>
      </w:rPr>
      <w:tcPr>
        <w:tcBorders>
          <w:bottom w:val="single" w:color="F2AB87" w:themeColor="accent2"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3"/>
    <w:basedOn w:val="765"/>
    <w:uiPriority w:val="99"/>
    <w:qFormat/>
    <w:tblPr>
      <w:tbl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insideH w:val="single" w:color="83E28F" w:themeColor="accent3" w:themeTint="67" w:sz="4" w:space="0"/>
        <w:insideV w:val="single" w:color="83E28F" w:themeColor="accent3" w:themeTint="67" w:sz="4" w:space="0"/>
      </w:tblBorders>
    </w:tblPr>
    <w:tblStylePr w:type="band1Horz">
      <w:rPr>
        <w:rFonts w:ascii="Arial" w:hAnsi="Arial"/>
        <w:color w:val="404040"/>
        <w:sz w:val="22"/>
      </w:rPr>
      <w:tcPr>
        <w:tc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tcBorders>
      </w:tcPr>
    </w:tblStylePr>
    <w:tblStylePr w:type="firstCol">
      <w:rPr>
        <w:b/>
        <w:color w:val="404040"/>
      </w:rPr>
    </w:tblStylePr>
    <w:tblStylePr w:type="firstRow">
      <w:rPr>
        <w:b/>
        <w:color w:val="404040"/>
      </w:rPr>
      <w:tcPr>
        <w:tcBorders>
          <w:bottom w:val="single" w:color="4BD55E" w:themeColor="accent3"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4"/>
    <w:basedOn w:val="765"/>
    <w:uiPriority w:val="99"/>
    <w:qFormat/>
    <w:tblPr>
      <w:tbl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insideH w:val="single" w:color="94DBF7" w:themeColor="accent4" w:themeTint="67" w:sz="4" w:space="0"/>
        <w:insideV w:val="single" w:color="94DBF7" w:themeColor="accent4" w:themeTint="67" w:sz="4" w:space="0"/>
      </w:tblBorders>
    </w:tblPr>
    <w:tblStylePr w:type="band1Horz">
      <w:rPr>
        <w:rFonts w:ascii="Arial" w:hAnsi="Arial"/>
        <w:color w:val="404040"/>
        <w:sz w:val="22"/>
      </w:rPr>
      <w:tcPr>
        <w:tc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tcBorders>
      </w:tcPr>
    </w:tblStylePr>
    <w:tblStylePr w:type="firstCol">
      <w:rPr>
        <w:b/>
        <w:color w:val="404040"/>
      </w:rPr>
    </w:tblStylePr>
    <w:tblStylePr w:type="firstRow">
      <w:rPr>
        <w:b/>
        <w:color w:val="404040"/>
      </w:rPr>
      <w:tcPr>
        <w:tcBorders>
          <w:bottom w:val="single" w:color="64CCF4" w:themeColor="accent4"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5"/>
    <w:basedOn w:val="765"/>
    <w:uiPriority w:val="99"/>
    <w:qFormat/>
    <w:tblPr>
      <w:tbl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insideH w:val="single" w:color="E49DDC" w:themeColor="accent5" w:themeTint="67" w:sz="4" w:space="0"/>
        <w:insideV w:val="single" w:color="E49DDC" w:themeColor="accent5" w:themeTint="67" w:sz="4" w:space="0"/>
      </w:tblBorders>
    </w:tblPr>
    <w:tblStylePr w:type="band1Horz">
      <w:rPr>
        <w:rFonts w:ascii="Arial" w:hAnsi="Arial"/>
        <w:color w:val="404040"/>
        <w:sz w:val="22"/>
      </w:rPr>
      <w:tcPr>
        <w:tc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tcBorders>
      </w:tcPr>
    </w:tblStylePr>
    <w:tblStylePr w:type="firstCol">
      <w:rPr>
        <w:b/>
        <w:color w:val="404040"/>
      </w:rPr>
    </w:tblStylePr>
    <w:tblStylePr w:type="firstRow">
      <w:rPr>
        <w:b/>
        <w:color w:val="404040"/>
      </w:rPr>
      <w:tcPr>
        <w:tcBorders>
          <w:bottom w:val="single" w:color="D971CD" w:themeColor="accent5"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6"/>
    <w:basedOn w:val="765"/>
    <w:uiPriority w:val="99"/>
    <w:qFormat/>
    <w:tblPr>
      <w:tbl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insideH w:val="single" w:color="B2E5A0" w:themeColor="accent6" w:themeTint="67" w:sz="4" w:space="0"/>
        <w:insideV w:val="single" w:color="B2E5A0" w:themeColor="accent6" w:themeTint="67" w:sz="4" w:space="0"/>
      </w:tblBorders>
    </w:tblPr>
    <w:tblStylePr w:type="band1Horz">
      <w:rPr>
        <w:rFonts w:ascii="Arial" w:hAnsi="Arial"/>
        <w:color w:val="404040"/>
        <w:sz w:val="22"/>
      </w:rPr>
      <w:tcPr>
        <w:tc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tcBorders>
      </w:tcPr>
    </w:tblStylePr>
    <w:tblStylePr w:type="firstCol">
      <w:rPr>
        <w:b/>
        <w:color w:val="404040"/>
      </w:rPr>
    </w:tblStylePr>
    <w:tblStylePr w:type="firstRow">
      <w:rPr>
        <w:b/>
        <w:color w:val="404040"/>
      </w:rPr>
      <w:tcPr>
        <w:tcBorders>
          <w:bottom w:val="single" w:color="90D976" w:themeColor="accent6" w:themeTint="95" w:sz="12" w:space="0"/>
        </w:tcBorders>
      </w:tcPr>
    </w:tblStylePr>
    <w:tblStylePr w:type="lastCol">
      <w:rPr>
        <w:b/>
        <w:color w:val="404040"/>
      </w:rPr>
    </w:tblStylePr>
    <w:tblStylePr w:type="lastRow">
      <w:rPr>
        <w:b/>
        <w:color w:val="404040"/>
      </w:rPr>
    </w:tblStylePr>
  </w:style>
  <w:style w:type="table" w:styleId="869" w:customStyle="1">
    <w:name w:val="网格表 21"/>
    <w:basedOn w:val="76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70" w:customStyle="1">
    <w:name w:val="Grid Table 2 - Accent 1"/>
    <w:basedOn w:val="765"/>
    <w:uiPriority w:val="99"/>
    <w:qFormat/>
    <w:tblPr>
      <w:tblBorders>
        <w:bottom w:val="single" w:color="19729B" w:themeColor="accent1" w:themeTint="EA" w:sz="4" w:space="0"/>
        <w:insideH w:val="single" w:color="19729B" w:themeColor="accent1" w:themeTint="EA" w:sz="4" w:space="0"/>
        <w:insideV w:val="single" w:color="19729B" w:themeColor="accent1" w:themeTint="EA" w:sz="4" w:space="0"/>
      </w:tblBorders>
    </w:tblPr>
    <w:tblStylePr w:type="band1Horz">
      <w:rPr>
        <w:rFonts w:ascii="Arial" w:hAnsi="Arial"/>
        <w:color w:val="404040"/>
        <w:sz w:val="22"/>
      </w:rPr>
      <w:tcPr>
        <w:shd w:val="clear" w:color="bfe4f4" w:themeColor="accent1" w:themeTint="34" w:fill="bfe4f4" w:themeFill="accent1" w:themeFillTint="34"/>
      </w:tcPr>
    </w:tblStylePr>
    <w:tblStylePr w:type="band1Vert">
      <w:rPr>
        <w:rFonts w:ascii="Arial" w:hAnsi="Arial"/>
        <w:color w:val="404040"/>
        <w:sz w:val="22"/>
      </w:rPr>
      <w:tcPr>
        <w:shd w:val="clear" w:color="bfe4f4" w:themeColor="accent1" w:themeTint="34" w:fill="bfe4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19729B"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19729B" w:themeColor="accent1" w:themeTint="EA" w:sz="4" w:space="0"/>
          <w:left w:val="none" w:color="000000" w:sz="4" w:space="0"/>
          <w:bottom w:val="none" w:color="000000" w:sz="4" w:space="0"/>
          <w:right w:val="none" w:color="000000" w:sz="4" w:space="0"/>
        </w:tcBorders>
      </w:tcPr>
    </w:tblStylePr>
  </w:style>
  <w:style w:type="table" w:styleId="871" w:customStyle="1">
    <w:name w:val="Grid Table 2 - Accent 2"/>
    <w:basedOn w:val="765"/>
    <w:uiPriority w:val="99"/>
    <w:qFormat/>
    <w:tblPr>
      <w:tblBorders>
        <w:bottom w:val="single" w:color="F2AA85" w:themeColor="accent2" w:themeTint="97" w:sz="4" w:space="0"/>
        <w:insideH w:val="single" w:color="F2AA85" w:themeColor="accent2" w:themeTint="97" w:sz="4" w:space="0"/>
        <w:insideV w:val="single" w:color="F2AA85" w:themeColor="accent2" w:themeTint="97" w:sz="4" w:space="0"/>
      </w:tblBorders>
    </w:tblPr>
    <w:tblStylePr w:type="band1Horz">
      <w:rPr>
        <w:rFonts w:ascii="Arial" w:hAnsi="Arial"/>
        <w:color w:val="404040"/>
        <w:sz w:val="22"/>
      </w:rPr>
      <w:tcPr>
        <w:shd w:val="clear" w:color="fae2d6" w:themeColor="accent2" w:themeTint="32" w:fill="fae2d6" w:themeFill="accent2" w:themeFillTint="32"/>
      </w:tcPr>
    </w:tblStylePr>
    <w:tblStylePr w:type="band1Vert">
      <w:rPr>
        <w:rFonts w:ascii="Arial" w:hAnsi="Arial"/>
        <w:color w:val="404040"/>
        <w:sz w:val="22"/>
      </w:rPr>
      <w:tcPr>
        <w:shd w:val="clear" w:color="fae2d6" w:themeColor="accent2" w:themeTint="32" w:fill="fae2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AA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AA85" w:themeColor="accent2" w:themeTint="97" w:sz="4" w:space="0"/>
          <w:left w:val="none" w:color="000000" w:sz="4" w:space="0"/>
          <w:bottom w:val="none" w:color="000000" w:sz="4" w:space="0"/>
          <w:right w:val="none" w:color="000000" w:sz="4" w:space="0"/>
        </w:tcBorders>
      </w:tcPr>
    </w:tblStylePr>
  </w:style>
  <w:style w:type="table" w:styleId="872" w:customStyle="1">
    <w:name w:val="Grid Table 2 - Accent 3"/>
    <w:basedOn w:val="765"/>
    <w:uiPriority w:val="99"/>
    <w:qFormat/>
    <w:tblPr>
      <w:tblBorders>
        <w:bottom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196C24"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196C24" w:themeColor="accent3" w:themeTint="FE" w:sz="4" w:space="0"/>
          <w:left w:val="none" w:color="000000" w:sz="4" w:space="0"/>
          <w:bottom w:val="none" w:color="000000" w:sz="4" w:space="0"/>
          <w:right w:val="none" w:color="000000" w:sz="4" w:space="0"/>
        </w:tcBorders>
      </w:tcPr>
    </w:tblStylePr>
  </w:style>
  <w:style w:type="table" w:styleId="873" w:customStyle="1">
    <w:name w:val="Grid Table 2 - Accent 4"/>
    <w:basedOn w:val="765"/>
    <w:uiPriority w:val="99"/>
    <w:qFormat/>
    <w:tblPr>
      <w:tblBorders>
        <w:bottom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FCAF3"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FCAF3" w:themeColor="accent4" w:themeTint="9A" w:sz="4" w:space="0"/>
          <w:left w:val="none" w:color="000000" w:sz="4" w:space="0"/>
          <w:bottom w:val="none" w:color="000000" w:sz="4" w:space="0"/>
          <w:right w:val="none" w:color="000000" w:sz="4" w:space="0"/>
        </w:tcBorders>
      </w:tcPr>
    </w:tblStylePr>
  </w:style>
  <w:style w:type="table" w:styleId="874" w:customStyle="1">
    <w:name w:val="Grid Table 2 - Accent 5"/>
    <w:basedOn w:val="765"/>
    <w:uiPriority w:val="99"/>
    <w:qFormat/>
    <w:tblPr>
      <w:tblBorders>
        <w:bottom w:val="single" w:color="A02B93" w:themeColor="accent5" w:sz="4" w:space="0"/>
        <w:insideH w:val="single" w:color="A02B93" w:themeColor="accent5" w:sz="4" w:space="0"/>
        <w:insideV w:val="single" w:color="A02B93" w:themeColor="accent5" w:sz="4" w:space="0"/>
      </w:tblBorders>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02B93"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02B93" w:themeColor="accent5" w:sz="4" w:space="0"/>
          <w:left w:val="none" w:color="000000" w:sz="4" w:space="0"/>
          <w:bottom w:val="none" w:color="000000" w:sz="4" w:space="0"/>
          <w:right w:val="none" w:color="000000" w:sz="4" w:space="0"/>
        </w:tcBorders>
      </w:tcPr>
    </w:tblStylePr>
  </w:style>
  <w:style w:type="table" w:styleId="875" w:customStyle="1">
    <w:name w:val="Grid Table 2 - Accent 6"/>
    <w:basedOn w:val="765"/>
    <w:uiPriority w:val="99"/>
    <w:qFormat/>
    <w:tblPr>
      <w:tblBorders>
        <w:bottom w:val="single" w:color="4EA72E" w:themeColor="accent6" w:sz="4" w:space="0"/>
        <w:insideH w:val="single" w:color="4EA72E" w:themeColor="accent6" w:sz="4" w:space="0"/>
        <w:insideV w:val="single" w:color="4EA72E" w:themeColor="accent6" w:sz="4" w:space="0"/>
      </w:tblBorders>
    </w:tblPr>
    <w:tblStylePr w:type="band1Horz">
      <w:rPr>
        <w:rFonts w:ascii="Arial" w:hAnsi="Arial"/>
        <w:color w:val="404040"/>
        <w:sz w:val="22"/>
      </w:rPr>
      <w:tcPr>
        <w:shd w:val="clear" w:color="d8f2cf" w:themeColor="accent6" w:themeTint="34" w:fill="d8f2cf" w:themeFill="accent6" w:themeFillTint="34"/>
      </w:tcPr>
    </w:tblStylePr>
    <w:tblStylePr w:type="band1Vert">
      <w:rPr>
        <w:rFonts w:ascii="Arial" w:hAnsi="Arial"/>
        <w:color w:val="404040"/>
        <w:sz w:val="22"/>
      </w:rPr>
      <w:tcPr>
        <w:shd w:val="clear" w:color="d8f2cf" w:themeColor="accent6" w:themeTint="34" w:fill="d8f2cf"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EA72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EA72E" w:themeColor="accent6" w:sz="4" w:space="0"/>
          <w:left w:val="none" w:color="000000" w:sz="4" w:space="0"/>
          <w:bottom w:val="none" w:color="000000" w:sz="4" w:space="0"/>
          <w:right w:val="none" w:color="000000" w:sz="4" w:space="0"/>
        </w:tcBorders>
      </w:tcPr>
    </w:tblStylePr>
  </w:style>
  <w:style w:type="table" w:styleId="876" w:customStyle="1">
    <w:name w:val="网格表 31"/>
    <w:basedOn w:val="76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1"/>
    <w:basedOn w:val="765"/>
    <w:uiPriority w:val="99"/>
    <w:qFormat/>
    <w:tblPr>
      <w:tblBorders>
        <w:bottom w:val="single" w:color="19729B" w:themeColor="accent1" w:themeTint="EA" w:sz="4" w:space="0"/>
        <w:insideH w:val="single" w:color="19729B" w:themeColor="accent1" w:themeTint="EA" w:sz="4" w:space="0"/>
        <w:insideV w:val="single" w:color="19729B" w:themeColor="accent1" w:themeTint="EA" w:sz="4" w:space="0"/>
      </w:tblBorders>
    </w:tblPr>
    <w:tblStylePr w:type="band1Horz">
      <w:rPr>
        <w:rFonts w:ascii="Arial" w:hAnsi="Arial"/>
        <w:color w:val="404040"/>
        <w:sz w:val="22"/>
      </w:rPr>
      <w:tcPr>
        <w:shd w:val="clear" w:color="bfe4f4" w:themeColor="accent1" w:themeTint="34" w:fill="bfe4f4" w:themeFill="accent1" w:themeFillTint="34"/>
      </w:tcPr>
    </w:tblStylePr>
    <w:tblStylePr w:type="band1Vert">
      <w:rPr>
        <w:rFonts w:ascii="Arial" w:hAnsi="Arial"/>
        <w:color w:val="404040"/>
        <w:sz w:val="22"/>
      </w:rPr>
      <w:tcPr>
        <w:shd w:val="clear" w:color="bfe4f4" w:themeColor="accent1" w:themeTint="34" w:fill="bfe4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2"/>
    <w:basedOn w:val="765"/>
    <w:uiPriority w:val="99"/>
    <w:qFormat/>
    <w:tblPr>
      <w:tblBorders>
        <w:bottom w:val="single" w:color="F2AA85" w:themeColor="accent2" w:themeTint="97" w:sz="4" w:space="0"/>
        <w:insideH w:val="single" w:color="F2AA85" w:themeColor="accent2" w:themeTint="97" w:sz="4" w:space="0"/>
        <w:insideV w:val="single" w:color="F2AA85" w:themeColor="accent2" w:themeTint="97" w:sz="4" w:space="0"/>
      </w:tblBorders>
    </w:tblPr>
    <w:tblStylePr w:type="band1Horz">
      <w:rPr>
        <w:rFonts w:ascii="Arial" w:hAnsi="Arial"/>
        <w:color w:val="404040"/>
        <w:sz w:val="22"/>
      </w:rPr>
      <w:tcPr>
        <w:shd w:val="clear" w:color="fae2d6" w:themeColor="accent2" w:themeTint="32" w:fill="fae2d6" w:themeFill="accent2" w:themeFillTint="32"/>
      </w:tcPr>
    </w:tblStylePr>
    <w:tblStylePr w:type="band1Vert">
      <w:rPr>
        <w:rFonts w:ascii="Arial" w:hAnsi="Arial"/>
        <w:color w:val="404040"/>
        <w:sz w:val="22"/>
      </w:rPr>
      <w:tcPr>
        <w:shd w:val="clear" w:color="fae2d6" w:themeColor="accent2" w:themeTint="32" w:fill="fae2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3"/>
    <w:basedOn w:val="765"/>
    <w:uiPriority w:val="99"/>
    <w:qFormat/>
    <w:tblPr>
      <w:tblBorders>
        <w:bottom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4"/>
    <w:basedOn w:val="765"/>
    <w:uiPriority w:val="99"/>
    <w:qFormat/>
    <w:tblPr>
      <w:tblBorders>
        <w:bottom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5"/>
    <w:basedOn w:val="765"/>
    <w:uiPriority w:val="99"/>
    <w:qFormat/>
    <w:tblPr>
      <w:tblBorders>
        <w:bottom w:val="single" w:color="A02B93" w:themeColor="accent5" w:sz="4" w:space="0"/>
        <w:insideH w:val="single" w:color="A02B93" w:themeColor="accent5" w:sz="4" w:space="0"/>
        <w:insideV w:val="single" w:color="A02B93" w:themeColor="accent5" w:sz="4" w:space="0"/>
      </w:tblBorders>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6"/>
    <w:basedOn w:val="765"/>
    <w:uiPriority w:val="99"/>
    <w:qFormat/>
    <w:tblPr>
      <w:tblBorders>
        <w:bottom w:val="single" w:color="4EA72E" w:themeColor="accent6" w:sz="4" w:space="0"/>
        <w:insideH w:val="single" w:color="4EA72E" w:themeColor="accent6" w:sz="4" w:space="0"/>
        <w:insideV w:val="single" w:color="4EA72E" w:themeColor="accent6" w:sz="4" w:space="0"/>
      </w:tblBorders>
    </w:tblPr>
    <w:tblStylePr w:type="band1Horz">
      <w:rPr>
        <w:rFonts w:ascii="Arial" w:hAnsi="Arial"/>
        <w:color w:val="404040"/>
        <w:sz w:val="22"/>
      </w:rPr>
      <w:tcPr>
        <w:shd w:val="clear" w:color="d8f2cf" w:themeColor="accent6" w:themeTint="34" w:fill="d8f2cf" w:themeFill="accent6" w:themeFillTint="34"/>
      </w:tcPr>
    </w:tblStylePr>
    <w:tblStylePr w:type="band1Vert">
      <w:rPr>
        <w:rFonts w:ascii="Arial" w:hAnsi="Arial"/>
        <w:color w:val="404040"/>
        <w:sz w:val="22"/>
      </w:rPr>
      <w:tcPr>
        <w:shd w:val="clear" w:color="d8f2cf" w:themeColor="accent6" w:themeTint="34" w:fill="d8f2cf"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网格表 41"/>
    <w:basedOn w:val="765"/>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4" w:customStyle="1">
    <w:name w:val="Grid Table 4 - Accent 1"/>
    <w:basedOn w:val="765"/>
    <w:uiPriority w:val="59"/>
    <w:qFormat/>
    <w:tblPr>
      <w:tblBorders>
        <w:top w:val="single" w:color="50B4E2" w:themeColor="accent1" w:themeTint="90" w:sz="4" w:space="0"/>
        <w:left w:val="single" w:color="50B4E2" w:themeColor="accent1" w:themeTint="90" w:sz="4" w:space="0"/>
        <w:bottom w:val="single" w:color="50B4E2" w:themeColor="accent1" w:themeTint="90" w:sz="4" w:space="0"/>
        <w:right w:val="single" w:color="50B4E2" w:themeColor="accent1" w:themeTint="90" w:sz="4" w:space="0"/>
        <w:insideH w:val="single" w:color="50B4E2" w:themeColor="accent1" w:themeTint="90" w:sz="4" w:space="0"/>
        <w:insideV w:val="single" w:color="50B4E2" w:themeColor="accent1" w:themeTint="90" w:sz="4" w:space="0"/>
      </w:tblBorders>
    </w:tblPr>
    <w:tblStylePr w:type="band1Horz">
      <w:rPr>
        <w:rFonts w:ascii="Arial" w:hAnsi="Arial"/>
        <w:color w:val="404040"/>
        <w:sz w:val="22"/>
      </w:rPr>
      <w:tcPr>
        <w:shd w:val="clear" w:color="c2e5f5" w:themeColor="accent1" w:themeTint="32" w:fill="c2e5f5" w:themeFill="accent1" w:themeFillTint="32"/>
      </w:tcPr>
    </w:tblStylePr>
    <w:tblStylePr w:type="band1Vert">
      <w:rPr>
        <w:rFonts w:ascii="Arial" w:hAnsi="Arial"/>
        <w:color w:val="404040"/>
        <w:sz w:val="22"/>
      </w:rPr>
      <w:tcPr>
        <w:shd w:val="clear" w:color="c2e5f5" w:themeColor="accent1" w:themeTint="32" w:fill="c2e5f5" w:themeFill="accent1" w:themeFillTint="32"/>
      </w:tcPr>
    </w:tblStylePr>
    <w:tblStylePr w:type="firstCol">
      <w:rPr>
        <w:b/>
        <w:color w:val="404040"/>
      </w:rPr>
    </w:tblStylePr>
    <w:tblStylePr w:type="firstRow">
      <w:rPr>
        <w:rFonts w:ascii="Arial" w:hAnsi="Arial"/>
        <w:b/>
        <w:color w:val="ffffff"/>
        <w:sz w:val="22"/>
      </w:rPr>
      <w:tcPr>
        <w:shd w:val="clear" w:color="19729b" w:themeColor="accent1" w:themeTint="EA" w:fill="19729b" w:themeFill="accent1" w:themeFillTint="EA"/>
        <w:tcBorders>
          <w:top w:val="single" w:color="19729B" w:themeColor="accent1" w:themeTint="EA" w:sz="4" w:space="0"/>
          <w:left w:val="single" w:color="19729B" w:themeColor="accent1" w:themeTint="EA" w:sz="4" w:space="0"/>
          <w:bottom w:val="single" w:color="19729B" w:themeColor="accent1" w:themeTint="EA" w:sz="4" w:space="0"/>
          <w:right w:val="single" w:color="19729B" w:themeColor="accent1" w:themeTint="EA" w:sz="4" w:space="0"/>
        </w:tcBorders>
      </w:tcPr>
    </w:tblStylePr>
    <w:tblStylePr w:type="lastCol">
      <w:rPr>
        <w:b/>
        <w:color w:val="404040"/>
      </w:rPr>
    </w:tblStylePr>
    <w:tblStylePr w:type="lastRow">
      <w:rPr>
        <w:b/>
        <w:color w:val="404040"/>
      </w:rPr>
      <w:tcPr>
        <w:tcBorders>
          <w:top w:val="single" w:color="19729B" w:themeColor="accent1" w:themeTint="EA" w:sz="4" w:space="0"/>
        </w:tcBorders>
      </w:tcPr>
    </w:tblStylePr>
  </w:style>
  <w:style w:type="table" w:styleId="885" w:customStyle="1">
    <w:name w:val="Grid Table 4 - Accent 2"/>
    <w:basedOn w:val="765"/>
    <w:uiPriority w:val="59"/>
    <w:qFormat/>
    <w:tblPr>
      <w:tblBorders>
        <w:top w:val="single" w:color="F2AE8B" w:themeColor="accent2" w:themeTint="90" w:sz="4" w:space="0"/>
        <w:left w:val="single" w:color="F2AE8B" w:themeColor="accent2" w:themeTint="90" w:sz="4" w:space="0"/>
        <w:bottom w:val="single" w:color="F2AE8B" w:themeColor="accent2" w:themeTint="90" w:sz="4" w:space="0"/>
        <w:right w:val="single" w:color="F2AE8B" w:themeColor="accent2" w:themeTint="90" w:sz="4" w:space="0"/>
        <w:insideH w:val="single" w:color="F2AE8B" w:themeColor="accent2" w:themeTint="90" w:sz="4" w:space="0"/>
        <w:insideV w:val="single" w:color="F2AE8B" w:themeColor="accent2" w:themeTint="90" w:sz="4" w:space="0"/>
      </w:tblBorders>
    </w:tblPr>
    <w:tblStylePr w:type="band1Horz">
      <w:rPr>
        <w:rFonts w:ascii="Arial" w:hAnsi="Arial"/>
        <w:color w:val="404040"/>
        <w:sz w:val="22"/>
      </w:rPr>
      <w:tcPr>
        <w:shd w:val="clear" w:color="fae2d6" w:themeColor="accent2" w:themeTint="32" w:fill="fae2d6" w:themeFill="accent2" w:themeFillTint="32"/>
      </w:tcPr>
    </w:tblStylePr>
    <w:tblStylePr w:type="band1Vert">
      <w:rPr>
        <w:rFonts w:ascii="Arial" w:hAnsi="Arial"/>
        <w:color w:val="404040"/>
        <w:sz w:val="22"/>
      </w:rPr>
      <w:tcPr>
        <w:shd w:val="clear" w:color="fae2d6" w:themeColor="accent2" w:themeTint="32" w:fill="fae2d6" w:themeFill="accent2" w:themeFillTint="32"/>
      </w:tcPr>
    </w:tblStylePr>
    <w:tblStylePr w:type="firstCol">
      <w:rPr>
        <w:b/>
        <w:color w:val="404040"/>
      </w:rPr>
    </w:tblStylePr>
    <w:tblStylePr w:type="firstRow">
      <w:rPr>
        <w:rFonts w:ascii="Arial" w:hAnsi="Arial"/>
        <w:b/>
        <w:color w:val="ffffff"/>
        <w:sz w:val="22"/>
      </w:rPr>
      <w:tcPr>
        <w:shd w:val="clear" w:color="f2aa85" w:themeColor="accent2" w:themeTint="97" w:fill="f2aa85" w:themeFill="accent2" w:themeFillTint="97"/>
        <w:tcBorders>
          <w:top w:val="single" w:color="F2AA85" w:themeColor="accent2" w:themeTint="97" w:sz="4" w:space="0"/>
          <w:left w:val="single" w:color="F2AA85" w:themeColor="accent2" w:themeTint="97" w:sz="4" w:space="0"/>
          <w:bottom w:val="single" w:color="F2AA85" w:themeColor="accent2" w:themeTint="97" w:sz="4" w:space="0"/>
          <w:right w:val="single" w:color="F2AA85" w:themeColor="accent2" w:themeTint="97" w:sz="4" w:space="0"/>
        </w:tcBorders>
      </w:tcPr>
    </w:tblStylePr>
    <w:tblStylePr w:type="lastCol">
      <w:rPr>
        <w:b/>
        <w:color w:val="404040"/>
      </w:rPr>
    </w:tblStylePr>
    <w:tblStylePr w:type="lastRow">
      <w:rPr>
        <w:b/>
        <w:color w:val="404040"/>
      </w:rPr>
      <w:tcPr>
        <w:tcBorders>
          <w:top w:val="single" w:color="F2AA85" w:themeColor="accent2" w:themeTint="97" w:sz="4" w:space="0"/>
        </w:tcBorders>
      </w:tcPr>
    </w:tblStylePr>
  </w:style>
  <w:style w:type="table" w:styleId="886" w:customStyle="1">
    <w:name w:val="Grid Table 4 - Accent 3"/>
    <w:basedOn w:val="765"/>
    <w:uiPriority w:val="59"/>
    <w:qFormat/>
    <w:tblPr>
      <w:tblBorders>
        <w:top w:val="single" w:color="51D663" w:themeColor="accent3" w:themeTint="90" w:sz="4" w:space="0"/>
        <w:left w:val="single" w:color="51D663" w:themeColor="accent3" w:themeTint="90" w:sz="4" w:space="0"/>
        <w:bottom w:val="single" w:color="51D663" w:themeColor="accent3" w:themeTint="90" w:sz="4" w:space="0"/>
        <w:right w:val="single" w:color="51D663" w:themeColor="accent3" w:themeTint="90" w:sz="4" w:space="0"/>
        <w:insideH w:val="single" w:color="51D663" w:themeColor="accent3" w:themeTint="90" w:sz="4" w:space="0"/>
        <w:insideV w:val="single" w:color="51D663" w:themeColor="accent3" w:themeTint="90" w:sz="4" w:space="0"/>
      </w:tblBorders>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b/>
        <w:color w:val="404040"/>
      </w:rPr>
    </w:tblStylePr>
    <w:tblStylePr w:type="firstRow">
      <w:rPr>
        <w:rFonts w:ascii="Arial" w:hAnsi="Arial"/>
        <w:b/>
        <w:color w:val="ffffff"/>
        <w:sz w:val="22"/>
      </w:rPr>
      <w:tcPr>
        <w:shd w:val="clear" w:color="196c24" w:themeColor="accent3" w:themeTint="FE" w:fill="196c24" w:themeFill="accent3" w:themeFillTint="FE"/>
        <w:tcBorders>
          <w:top w:val="single" w:color="196C24" w:themeColor="accent3" w:themeTint="FE" w:sz="4" w:space="0"/>
          <w:left w:val="single" w:color="196C24" w:themeColor="accent3" w:themeTint="FE" w:sz="4" w:space="0"/>
          <w:bottom w:val="single" w:color="196C24" w:themeColor="accent3" w:themeTint="FE" w:sz="4" w:space="0"/>
          <w:right w:val="single" w:color="196C24" w:themeColor="accent3" w:themeTint="FE" w:sz="4" w:space="0"/>
        </w:tcBorders>
      </w:tcPr>
    </w:tblStylePr>
    <w:tblStylePr w:type="lastCol">
      <w:rPr>
        <w:b/>
        <w:color w:val="404040"/>
      </w:rPr>
    </w:tblStylePr>
    <w:tblStylePr w:type="lastRow">
      <w:rPr>
        <w:b/>
        <w:color w:val="404040"/>
      </w:rPr>
      <w:tcPr>
        <w:tcBorders>
          <w:top w:val="single" w:color="196C24" w:themeColor="accent3" w:themeTint="FE" w:sz="4" w:space="0"/>
        </w:tcBorders>
      </w:tcPr>
    </w:tblStylePr>
  </w:style>
  <w:style w:type="table" w:styleId="887" w:customStyle="1">
    <w:name w:val="Grid Table 4 - Accent 4"/>
    <w:basedOn w:val="765"/>
    <w:uiPriority w:val="59"/>
    <w:qFormat/>
    <w:tblPr>
      <w:tblBorders>
        <w:top w:val="single" w:color="6ACDF4" w:themeColor="accent4" w:themeTint="90" w:sz="4" w:space="0"/>
        <w:left w:val="single" w:color="6ACDF4" w:themeColor="accent4" w:themeTint="90" w:sz="4" w:space="0"/>
        <w:bottom w:val="single" w:color="6ACDF4" w:themeColor="accent4" w:themeTint="90" w:sz="4" w:space="0"/>
        <w:right w:val="single" w:color="6ACDF4" w:themeColor="accent4" w:themeTint="90" w:sz="4" w:space="0"/>
        <w:insideH w:val="single" w:color="6ACDF4" w:themeColor="accent4" w:themeTint="90" w:sz="4" w:space="0"/>
        <w:insideV w:val="single" w:color="6ACDF4" w:themeColor="accent4" w:themeTint="90" w:sz="4" w:space="0"/>
      </w:tblBorders>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b/>
        <w:color w:val="404040"/>
      </w:rPr>
    </w:tblStylePr>
    <w:tblStylePr w:type="firstRow">
      <w:rPr>
        <w:rFonts w:ascii="Arial" w:hAnsi="Arial"/>
        <w:b/>
        <w:color w:val="ffffff"/>
        <w:sz w:val="22"/>
      </w:rPr>
      <w:tcPr>
        <w:shd w:val="clear" w:color="5fcaf3" w:themeColor="accent4" w:themeTint="9A" w:fill="5fcaf3" w:themeFill="accent4" w:themeFillTint="9A"/>
        <w:tc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tcBorders>
      </w:tcPr>
    </w:tblStylePr>
    <w:tblStylePr w:type="lastCol">
      <w:rPr>
        <w:b/>
        <w:color w:val="404040"/>
      </w:rPr>
    </w:tblStylePr>
    <w:tblStylePr w:type="lastRow">
      <w:rPr>
        <w:b/>
        <w:color w:val="404040"/>
      </w:rPr>
      <w:tcPr>
        <w:tcBorders>
          <w:top w:val="single" w:color="5FCAF3" w:themeColor="accent4" w:themeTint="9A" w:sz="4" w:space="0"/>
        </w:tcBorders>
      </w:tcPr>
    </w:tblStylePr>
  </w:style>
  <w:style w:type="table" w:styleId="888" w:customStyle="1">
    <w:name w:val="Grid Table 4 - Accent 5"/>
    <w:basedOn w:val="765"/>
    <w:uiPriority w:val="59"/>
    <w:qFormat/>
    <w:tblPr>
      <w:tblBorders>
        <w:top w:val="single" w:color="DA76CE" w:themeColor="accent5" w:themeTint="90" w:sz="4" w:space="0"/>
        <w:left w:val="single" w:color="DA76CE" w:themeColor="accent5" w:themeTint="90" w:sz="4" w:space="0"/>
        <w:bottom w:val="single" w:color="DA76CE" w:themeColor="accent5" w:themeTint="90" w:sz="4" w:space="0"/>
        <w:right w:val="single" w:color="DA76CE" w:themeColor="accent5" w:themeTint="90" w:sz="4" w:space="0"/>
        <w:insideH w:val="single" w:color="DA76CE" w:themeColor="accent5" w:themeTint="90" w:sz="4" w:space="0"/>
        <w:insideV w:val="single" w:color="DA76CE" w:themeColor="accent5" w:themeTint="90" w:sz="4" w:space="0"/>
      </w:tblBorders>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b/>
        <w:color w:val="404040"/>
      </w:rPr>
    </w:tblStylePr>
    <w:tblStylePr w:type="firstRow">
      <w:rPr>
        <w:rFonts w:ascii="Arial" w:hAnsi="Arial"/>
        <w:b/>
        <w:color w:val="ffffff"/>
        <w:sz w:val="22"/>
      </w:rPr>
      <w:tcPr>
        <w:shd w:val="clear" w:color="a02b93" w:themeColor="accent5" w:fill="a02b93" w:themeFill="accent5"/>
        <w:tcBorders>
          <w:top w:val="single" w:color="A02B93" w:themeColor="accent5" w:sz="4" w:space="0"/>
          <w:left w:val="single" w:color="A02B93" w:themeColor="accent5" w:sz="4" w:space="0"/>
          <w:bottom w:val="single" w:color="A02B93" w:themeColor="accent5" w:sz="4" w:space="0"/>
          <w:right w:val="single" w:color="A02B93" w:themeColor="accent5" w:sz="4" w:space="0"/>
        </w:tcBorders>
      </w:tcPr>
    </w:tblStylePr>
    <w:tblStylePr w:type="lastCol">
      <w:rPr>
        <w:b/>
        <w:color w:val="404040"/>
      </w:rPr>
    </w:tblStylePr>
    <w:tblStylePr w:type="lastRow">
      <w:rPr>
        <w:b/>
        <w:color w:val="404040"/>
      </w:rPr>
      <w:tcPr>
        <w:tcBorders>
          <w:top w:val="single" w:color="A02B93" w:themeColor="accent5" w:sz="4" w:space="0"/>
        </w:tcBorders>
      </w:tcPr>
    </w:tblStylePr>
  </w:style>
  <w:style w:type="table" w:styleId="889" w:customStyle="1">
    <w:name w:val="Grid Table 4 - Accent 6"/>
    <w:basedOn w:val="765"/>
    <w:uiPriority w:val="59"/>
    <w:qFormat/>
    <w:tblPr>
      <w:tblBorders>
        <w:top w:val="single" w:color="94DA7B" w:themeColor="accent6" w:themeTint="90" w:sz="4" w:space="0"/>
        <w:left w:val="single" w:color="94DA7B" w:themeColor="accent6" w:themeTint="90" w:sz="4" w:space="0"/>
        <w:bottom w:val="single" w:color="94DA7B" w:themeColor="accent6" w:themeTint="90" w:sz="4" w:space="0"/>
        <w:right w:val="single" w:color="94DA7B" w:themeColor="accent6" w:themeTint="90" w:sz="4" w:space="0"/>
        <w:insideH w:val="single" w:color="94DA7B" w:themeColor="accent6" w:themeTint="90" w:sz="4" w:space="0"/>
        <w:insideV w:val="single" w:color="94DA7B" w:themeColor="accent6" w:themeTint="90" w:sz="4" w:space="0"/>
      </w:tblBorders>
    </w:tblPr>
    <w:tblStylePr w:type="band1Horz">
      <w:rPr>
        <w:rFonts w:ascii="Arial" w:hAnsi="Arial"/>
        <w:color w:val="404040"/>
        <w:sz w:val="22"/>
      </w:rPr>
      <w:tcPr>
        <w:shd w:val="clear" w:color="d8f2cf" w:themeColor="accent6" w:themeTint="34" w:fill="d8f2cf" w:themeFill="accent6" w:themeFillTint="34"/>
      </w:tcPr>
    </w:tblStylePr>
    <w:tblStylePr w:type="band1Vert">
      <w:rPr>
        <w:rFonts w:ascii="Arial" w:hAnsi="Arial"/>
        <w:color w:val="404040"/>
        <w:sz w:val="22"/>
      </w:rPr>
      <w:tcPr>
        <w:shd w:val="clear" w:color="d8f2cf" w:themeColor="accent6" w:themeTint="34" w:fill="d8f2cf" w:themeFill="accent6" w:themeFillTint="34"/>
      </w:tcPr>
    </w:tblStylePr>
    <w:tblStylePr w:type="firstCol">
      <w:rPr>
        <w:b/>
        <w:color w:val="404040"/>
      </w:rPr>
    </w:tblStylePr>
    <w:tblStylePr w:type="firstRow">
      <w:rPr>
        <w:rFonts w:ascii="Arial" w:hAnsi="Arial"/>
        <w:b/>
        <w:color w:val="ffffff"/>
        <w:sz w:val="22"/>
      </w:rPr>
      <w:tcPr>
        <w:shd w:val="clear" w:color="4ea72e" w:themeColor="accent6" w:fill="4ea72e" w:themeFill="accent6"/>
        <w:tcBorders>
          <w:top w:val="single" w:color="4EA72E" w:themeColor="accent6" w:sz="4" w:space="0"/>
          <w:left w:val="single" w:color="4EA72E" w:themeColor="accent6" w:sz="4" w:space="0"/>
          <w:bottom w:val="single" w:color="4EA72E" w:themeColor="accent6" w:sz="4" w:space="0"/>
          <w:right w:val="single" w:color="4EA72E" w:themeColor="accent6" w:sz="4" w:space="0"/>
        </w:tcBorders>
      </w:tcPr>
    </w:tblStylePr>
    <w:tblStylePr w:type="lastCol">
      <w:rPr>
        <w:b/>
        <w:color w:val="404040"/>
      </w:rPr>
    </w:tblStylePr>
    <w:tblStylePr w:type="lastRow">
      <w:rPr>
        <w:b/>
        <w:color w:val="404040"/>
      </w:rPr>
      <w:tcPr>
        <w:tcBorders>
          <w:top w:val="single" w:color="4EA72E" w:themeColor="accent6" w:sz="4" w:space="0"/>
        </w:tcBorders>
      </w:tcPr>
    </w:tblStylePr>
  </w:style>
  <w:style w:type="table" w:styleId="890" w:customStyle="1">
    <w:name w:val="网格表 5 深色1"/>
    <w:basedOn w:val="7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1" w:customStyle="1">
    <w:name w:val="Grid Table 5 Dark- Accent 1"/>
    <w:basedOn w:val="7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70c2e8" w:themeColor="accent1" w:themeTint="75" w:fill="70c2e8" w:themeFill="accent1" w:themeFillTint="75"/>
      </w:tcPr>
    </w:tblStylePr>
    <w:tblStylePr w:type="band1Vert">
      <w:tcPr>
        <w:shd w:val="clear" w:color="70c2e8" w:themeColor="accent1" w:themeTint="75" w:fill="70c2e8" w:themeFill="accent1" w:themeFillTint="75"/>
      </w:tcPr>
    </w:tblStylePr>
    <w:tblStylePr w:type="firstCol">
      <w:rPr>
        <w:rFonts w:ascii="Arial" w:hAnsi="Arial"/>
        <w:b/>
        <w:color w:val="ffffff"/>
        <w:sz w:val="22"/>
      </w:rPr>
      <w:tcPr>
        <w:shd w:val="clear" w:color="156082" w:themeColor="accent1" w:fill="156082" w:themeFill="accent1"/>
      </w:tcPr>
    </w:tblStylePr>
    <w:tblStylePr w:type="firstRow">
      <w:rPr>
        <w:rFonts w:ascii="Arial" w:hAnsi="Arial"/>
        <w:b/>
        <w:color w:val="ffffff"/>
        <w:sz w:val="22"/>
      </w:rPr>
      <w:tcPr>
        <w:shd w:val="clear" w:color="156082" w:themeColor="accent1" w:fill="156082" w:themeFill="accent1"/>
      </w:tcPr>
    </w:tblStylePr>
    <w:tblStylePr w:type="lastCol">
      <w:rPr>
        <w:rFonts w:ascii="Arial" w:hAnsi="Arial"/>
        <w:b/>
        <w:color w:val="ffffff"/>
        <w:sz w:val="22"/>
      </w:rPr>
      <w:tcPr>
        <w:shd w:val="clear" w:color="156082" w:themeColor="accent1" w:fill="156082" w:themeFill="accent1"/>
      </w:tcPr>
    </w:tblStylePr>
    <w:tblStylePr w:type="lastRow">
      <w:rPr>
        <w:rFonts w:ascii="Arial" w:hAnsi="Arial"/>
        <w:b/>
        <w:color w:val="ffffff"/>
        <w:sz w:val="22"/>
      </w:rPr>
      <w:tcPr>
        <w:shd w:val="clear" w:color="156082" w:themeColor="accent1" w:fill="156082" w:themeFill="accent1"/>
        <w:tcBorders>
          <w:top w:val="single" w:color="FFFFFF" w:themeColor="light1" w:sz="4" w:space="0"/>
        </w:tcBorders>
      </w:tcPr>
    </w:tblStylePr>
  </w:style>
  <w:style w:type="table" w:styleId="892" w:customStyle="1">
    <w:name w:val="Grid Table 5 Dark - Accent 2"/>
    <w:basedOn w:val="7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5bda0" w:themeColor="accent2" w:themeTint="75" w:fill="f5bda0" w:themeFill="accent2" w:themeFillTint="75"/>
      </w:tcPr>
    </w:tblStylePr>
    <w:tblStylePr w:type="band1Vert">
      <w:tcPr>
        <w:shd w:val="clear" w:color="f5bda0" w:themeColor="accent2" w:themeTint="75" w:fill="f5bda0" w:themeFill="accent2" w:themeFillTint="75"/>
      </w:tcPr>
    </w:tblStylePr>
    <w:tblStylePr w:type="firstCol">
      <w:rPr>
        <w:rFonts w:ascii="Arial" w:hAnsi="Arial"/>
        <w:b/>
        <w:color w:val="ffffff"/>
        <w:sz w:val="22"/>
      </w:rPr>
      <w:tcPr>
        <w:shd w:val="clear" w:color="e97132" w:themeColor="accent2" w:fill="e97132" w:themeFill="accent2"/>
      </w:tcPr>
    </w:tblStylePr>
    <w:tblStylePr w:type="firstRow">
      <w:rPr>
        <w:rFonts w:ascii="Arial" w:hAnsi="Arial"/>
        <w:b/>
        <w:color w:val="ffffff"/>
        <w:sz w:val="22"/>
      </w:rPr>
      <w:tcPr>
        <w:shd w:val="clear" w:color="e97132" w:themeColor="accent2" w:fill="e97132" w:themeFill="accent2"/>
      </w:tcPr>
    </w:tblStylePr>
    <w:tblStylePr w:type="lastCol">
      <w:rPr>
        <w:rFonts w:ascii="Arial" w:hAnsi="Arial"/>
        <w:b/>
        <w:color w:val="ffffff"/>
        <w:sz w:val="22"/>
      </w:rPr>
      <w:tcPr>
        <w:shd w:val="clear" w:color="e97132" w:themeColor="accent2" w:fill="e97132" w:themeFill="accent2"/>
      </w:tcPr>
    </w:tblStylePr>
    <w:tblStylePr w:type="lastRow">
      <w:rPr>
        <w:rFonts w:ascii="Arial" w:hAnsi="Arial"/>
        <w:b/>
        <w:color w:val="ffffff"/>
        <w:sz w:val="22"/>
      </w:rPr>
      <w:tcPr>
        <w:shd w:val="clear" w:color="e97132" w:themeColor="accent2" w:fill="e97132" w:themeFill="accent2"/>
        <w:tcBorders>
          <w:top w:val="single" w:color="FFFFFF" w:themeColor="light1" w:sz="4" w:space="0"/>
        </w:tcBorders>
      </w:tcPr>
    </w:tblStylePr>
  </w:style>
  <w:style w:type="table" w:styleId="893" w:customStyle="1">
    <w:name w:val="Grid Table 5 Dark - Accent 3"/>
    <w:basedOn w:val="7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72de80" w:themeColor="accent3" w:themeTint="75" w:fill="72de80" w:themeFill="accent3" w:themeFillTint="75"/>
      </w:tcPr>
    </w:tblStylePr>
    <w:tblStylePr w:type="band1Vert">
      <w:tcPr>
        <w:shd w:val="clear" w:color="72de80" w:themeColor="accent3" w:themeTint="75" w:fill="72de80" w:themeFill="accent3" w:themeFillTint="75"/>
      </w:tcPr>
    </w:tblStylePr>
    <w:tblStylePr w:type="firstCol">
      <w:rPr>
        <w:rFonts w:ascii="Arial" w:hAnsi="Arial"/>
        <w:b/>
        <w:color w:val="ffffff"/>
        <w:sz w:val="22"/>
      </w:rPr>
      <w:tcPr>
        <w:shd w:val="clear" w:color="196b24" w:themeColor="accent3" w:fill="196b24" w:themeFill="accent3"/>
      </w:tcPr>
    </w:tblStylePr>
    <w:tblStylePr w:type="firstRow">
      <w:rPr>
        <w:rFonts w:ascii="Arial" w:hAnsi="Arial"/>
        <w:b/>
        <w:color w:val="ffffff"/>
        <w:sz w:val="22"/>
      </w:rPr>
      <w:tcPr>
        <w:shd w:val="clear" w:color="196b24" w:themeColor="accent3" w:fill="196b24" w:themeFill="accent3"/>
      </w:tcPr>
    </w:tblStylePr>
    <w:tblStylePr w:type="lastCol">
      <w:rPr>
        <w:rFonts w:ascii="Arial" w:hAnsi="Arial"/>
        <w:b/>
        <w:color w:val="ffffff"/>
        <w:sz w:val="22"/>
      </w:rPr>
      <w:tcPr>
        <w:shd w:val="clear" w:color="196b24" w:themeColor="accent3" w:fill="196b24" w:themeFill="accent3"/>
      </w:tcPr>
    </w:tblStylePr>
    <w:tblStylePr w:type="lastRow">
      <w:rPr>
        <w:rFonts w:ascii="Arial" w:hAnsi="Arial"/>
        <w:b/>
        <w:color w:val="ffffff"/>
        <w:sz w:val="22"/>
      </w:rPr>
      <w:tcPr>
        <w:shd w:val="clear" w:color="196b24" w:themeColor="accent3" w:fill="196b24" w:themeFill="accent3"/>
        <w:tcBorders>
          <w:top w:val="single" w:color="FFFFFF" w:themeColor="light1" w:sz="4" w:space="0"/>
        </w:tcBorders>
      </w:tcPr>
    </w:tblStylePr>
  </w:style>
  <w:style w:type="table" w:styleId="894" w:customStyle="1">
    <w:name w:val="Grid Table 5 Dark- Accent 4"/>
    <w:basedOn w:val="7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5d7f6" w:themeColor="accent4" w:themeTint="75" w:fill="85d7f6" w:themeFill="accent4" w:themeFillTint="75"/>
      </w:tcPr>
    </w:tblStylePr>
    <w:tblStylePr w:type="band1Vert">
      <w:tcPr>
        <w:shd w:val="clear" w:color="85d7f6" w:themeColor="accent4" w:themeTint="75" w:fill="85d7f6" w:themeFill="accent4" w:themeFillTint="75"/>
      </w:tcPr>
    </w:tblStylePr>
    <w:tblStylePr w:type="firstCol">
      <w:rPr>
        <w:rFonts w:ascii="Arial" w:hAnsi="Arial"/>
        <w:b/>
        <w:color w:val="ffffff"/>
        <w:sz w:val="22"/>
      </w:rPr>
      <w:tcPr>
        <w:shd w:val="clear" w:color="0f9ed5" w:themeColor="accent4" w:fill="0f9ed5" w:themeFill="accent4"/>
      </w:tcPr>
    </w:tblStylePr>
    <w:tblStylePr w:type="firstRow">
      <w:rPr>
        <w:rFonts w:ascii="Arial" w:hAnsi="Arial"/>
        <w:b/>
        <w:color w:val="ffffff"/>
        <w:sz w:val="22"/>
      </w:rPr>
      <w:tcPr>
        <w:shd w:val="clear" w:color="0f9ed5" w:themeColor="accent4" w:fill="0f9ed5" w:themeFill="accent4"/>
      </w:tcPr>
    </w:tblStylePr>
    <w:tblStylePr w:type="lastCol">
      <w:rPr>
        <w:rFonts w:ascii="Arial" w:hAnsi="Arial"/>
        <w:b/>
        <w:color w:val="ffffff"/>
        <w:sz w:val="22"/>
      </w:rPr>
      <w:tcPr>
        <w:shd w:val="clear" w:color="0f9ed5" w:themeColor="accent4" w:fill="0f9ed5" w:themeFill="accent4"/>
      </w:tcPr>
    </w:tblStylePr>
    <w:tblStylePr w:type="lastRow">
      <w:rPr>
        <w:rFonts w:ascii="Arial" w:hAnsi="Arial"/>
        <w:b/>
        <w:color w:val="ffffff"/>
        <w:sz w:val="22"/>
      </w:rPr>
      <w:tcPr>
        <w:shd w:val="clear" w:color="0f9ed5" w:themeColor="accent4" w:fill="0f9ed5" w:themeFill="accent4"/>
        <w:tcBorders>
          <w:top w:val="single" w:color="FFFFFF" w:themeColor="light1" w:sz="4" w:space="0"/>
        </w:tcBorders>
      </w:tcPr>
    </w:tblStylePr>
  </w:style>
  <w:style w:type="table" w:styleId="895" w:customStyle="1">
    <w:name w:val="Grid Table 5 Dark - Accent 5"/>
    <w:basedOn w:val="7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18fd7" w:themeColor="accent5" w:themeTint="75" w:fill="e18fd7" w:themeFill="accent5" w:themeFillTint="75"/>
      </w:tcPr>
    </w:tblStylePr>
    <w:tblStylePr w:type="band1Vert">
      <w:tcPr>
        <w:shd w:val="clear" w:color="e18fd7" w:themeColor="accent5" w:themeTint="75" w:fill="e18fd7" w:themeFill="accent5" w:themeFillTint="75"/>
      </w:tcPr>
    </w:tblStylePr>
    <w:tblStylePr w:type="firstCol">
      <w:rPr>
        <w:rFonts w:ascii="Arial" w:hAnsi="Arial"/>
        <w:b/>
        <w:color w:val="ffffff"/>
        <w:sz w:val="22"/>
      </w:rPr>
      <w:tcPr>
        <w:shd w:val="clear" w:color="a02b93" w:themeColor="accent5" w:fill="a02b93" w:themeFill="accent5"/>
      </w:tcPr>
    </w:tblStylePr>
    <w:tblStylePr w:type="firstRow">
      <w:rPr>
        <w:rFonts w:ascii="Arial" w:hAnsi="Arial"/>
        <w:b/>
        <w:color w:val="ffffff"/>
        <w:sz w:val="22"/>
      </w:rPr>
      <w:tcPr>
        <w:shd w:val="clear" w:color="a02b93" w:themeColor="accent5" w:fill="a02b93" w:themeFill="accent5"/>
      </w:tcPr>
    </w:tblStylePr>
    <w:tblStylePr w:type="lastCol">
      <w:rPr>
        <w:rFonts w:ascii="Arial" w:hAnsi="Arial"/>
        <w:b/>
        <w:color w:val="ffffff"/>
        <w:sz w:val="22"/>
      </w:rPr>
      <w:tcPr>
        <w:shd w:val="clear" w:color="a02b93" w:themeColor="accent5" w:fill="a02b93" w:themeFill="accent5"/>
      </w:tcPr>
    </w:tblStylePr>
    <w:tblStylePr w:type="lastRow">
      <w:rPr>
        <w:rFonts w:ascii="Arial" w:hAnsi="Arial"/>
        <w:b/>
        <w:color w:val="ffffff"/>
        <w:sz w:val="22"/>
      </w:rPr>
      <w:tcPr>
        <w:shd w:val="clear" w:color="a02b93" w:themeColor="accent5" w:fill="a02b93" w:themeFill="accent5"/>
        <w:tcBorders>
          <w:top w:val="single" w:color="FFFFFF" w:themeColor="light1" w:sz="4" w:space="0"/>
        </w:tcBorders>
      </w:tcPr>
    </w:tblStylePr>
  </w:style>
  <w:style w:type="table" w:styleId="896" w:customStyle="1">
    <w:name w:val="Grid Table 5 Dark - Accent 6"/>
    <w:basedOn w:val="7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8e194" w:themeColor="accent6" w:themeTint="75" w:fill="a8e194" w:themeFill="accent6" w:themeFillTint="75"/>
      </w:tcPr>
    </w:tblStylePr>
    <w:tblStylePr w:type="band1Vert">
      <w:tcPr>
        <w:shd w:val="clear" w:color="a8e194" w:themeColor="accent6" w:themeTint="75" w:fill="a8e194" w:themeFill="accent6" w:themeFillTint="75"/>
      </w:tcPr>
    </w:tblStylePr>
    <w:tblStylePr w:type="firstCol">
      <w:rPr>
        <w:rFonts w:ascii="Arial" w:hAnsi="Arial"/>
        <w:b/>
        <w:color w:val="ffffff"/>
        <w:sz w:val="22"/>
      </w:rPr>
      <w:tcPr>
        <w:shd w:val="clear" w:color="4ea72e" w:themeColor="accent6" w:fill="4ea72e" w:themeFill="accent6"/>
      </w:tcPr>
    </w:tblStylePr>
    <w:tblStylePr w:type="firstRow">
      <w:rPr>
        <w:rFonts w:ascii="Arial" w:hAnsi="Arial"/>
        <w:b/>
        <w:color w:val="ffffff"/>
        <w:sz w:val="22"/>
      </w:rPr>
      <w:tcPr>
        <w:shd w:val="clear" w:color="4ea72e" w:themeColor="accent6" w:fill="4ea72e" w:themeFill="accent6"/>
      </w:tcPr>
    </w:tblStylePr>
    <w:tblStylePr w:type="lastCol">
      <w:rPr>
        <w:rFonts w:ascii="Arial" w:hAnsi="Arial"/>
        <w:b/>
        <w:color w:val="ffffff"/>
        <w:sz w:val="22"/>
      </w:rPr>
      <w:tcPr>
        <w:shd w:val="clear" w:color="4ea72e" w:themeColor="accent6" w:fill="4ea72e" w:themeFill="accent6"/>
      </w:tcPr>
    </w:tblStylePr>
    <w:tblStylePr w:type="lastRow">
      <w:rPr>
        <w:rFonts w:ascii="Arial" w:hAnsi="Arial"/>
        <w:b/>
        <w:color w:val="ffffff"/>
        <w:sz w:val="22"/>
      </w:rPr>
      <w:tcPr>
        <w:shd w:val="clear" w:color="4ea72e" w:themeColor="accent6" w:fill="4ea72e" w:themeFill="accent6"/>
        <w:tcBorders>
          <w:top w:val="single" w:color="FFFFFF" w:themeColor="light1" w:sz="4" w:space="0"/>
        </w:tcBorders>
      </w:tcPr>
    </w:tblStylePr>
  </w:style>
  <w:style w:type="table" w:styleId="897" w:customStyle="1">
    <w:name w:val="网格表 6 彩色1"/>
    <w:basedOn w:val="765"/>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98" w:customStyle="1">
    <w:name w:val="Grid Table 6 Colorful - Accent 1"/>
    <w:basedOn w:val="765"/>
    <w:uiPriority w:val="99"/>
    <w:qFormat/>
    <w:tblPr>
      <w:tblBorders>
        <w:top w:val="single" w:color="63BDE6" w:themeColor="accent1" w:themeTint="80" w:sz="4" w:space="0"/>
        <w:left w:val="single" w:color="63BDE6" w:themeColor="accent1" w:themeTint="80" w:sz="4" w:space="0"/>
        <w:bottom w:val="single" w:color="63BDE6" w:themeColor="accent1" w:themeTint="80" w:sz="4" w:space="0"/>
        <w:right w:val="single" w:color="63BDE6" w:themeColor="accent1" w:themeTint="80" w:sz="4" w:space="0"/>
        <w:insideH w:val="single" w:color="63BDE6" w:themeColor="accent1" w:themeTint="80" w:sz="4" w:space="0"/>
        <w:insideV w:val="single" w:color="63BDE6" w:themeColor="accent1" w:themeTint="80" w:sz="4" w:space="0"/>
      </w:tblBorders>
    </w:tblPr>
    <w:tblStylePr w:type="band1Horz">
      <w:rPr>
        <w:rFonts w:ascii="Arial" w:hAnsi="Arial"/>
        <w:color w:val="63bde6" w:themeColor="accent1" w:themeTint="80"/>
        <w:sz w:val="22"/>
      </w:rPr>
      <w:tcPr>
        <w:shd w:val="clear" w:color="bfe4f4" w:themeColor="accent1" w:themeTint="34" w:fill="bfe4f4" w:themeFill="accent1" w:themeFillTint="34"/>
      </w:tcPr>
    </w:tblStylePr>
    <w:tblStylePr w:type="band1Vert">
      <w:tcPr>
        <w:shd w:val="clear" w:color="bfe4f4" w:themeColor="accent1" w:themeTint="34" w:fill="bfe4f4" w:themeFill="accent1" w:themeFillTint="34"/>
      </w:tcPr>
    </w:tblStylePr>
    <w:tblStylePr w:type="band2Horz">
      <w:rPr>
        <w:rFonts w:ascii="Arial" w:hAnsi="Arial"/>
        <w:color w:val="63bde6" w:themeColor="accent1" w:themeTint="80"/>
        <w:sz w:val="22"/>
      </w:rPr>
    </w:tblStylePr>
    <w:tblStylePr w:type="firstCol">
      <w:rPr>
        <w:b/>
        <w:color w:val="63bde6" w:themeColor="accent1" w:themeTint="80"/>
      </w:rPr>
    </w:tblStylePr>
    <w:tblStylePr w:type="firstRow">
      <w:rPr>
        <w:b/>
        <w:color w:val="63bde6" w:themeColor="accent1" w:themeTint="80"/>
      </w:rPr>
      <w:tcPr>
        <w:tcBorders>
          <w:bottom w:val="single" w:color="63BDE6" w:themeColor="accent1" w:themeTint="80" w:sz="12" w:space="0"/>
        </w:tcBorders>
      </w:tcPr>
    </w:tblStylePr>
    <w:tblStylePr w:type="lastCol">
      <w:rPr>
        <w:b/>
        <w:color w:val="63bde6" w:themeColor="accent1" w:themeTint="80"/>
      </w:rPr>
    </w:tblStylePr>
    <w:tblStylePr w:type="lastRow">
      <w:rPr>
        <w:b/>
        <w:color w:val="63bde6" w:themeColor="accent1" w:themeTint="80"/>
      </w:rPr>
    </w:tblStylePr>
  </w:style>
  <w:style w:type="table" w:styleId="899" w:customStyle="1">
    <w:name w:val="Grid Table 6 Colorful - Accent 2"/>
    <w:basedOn w:val="765"/>
    <w:uiPriority w:val="99"/>
    <w:qFormat/>
    <w:tblPr>
      <w:tblBorders>
        <w:top w:val="single" w:color="F2AA85" w:themeColor="accent2" w:themeTint="97" w:sz="4" w:space="0"/>
        <w:left w:val="single" w:color="F2AA85" w:themeColor="accent2" w:themeTint="97" w:sz="4" w:space="0"/>
        <w:bottom w:val="single" w:color="F2AA85" w:themeColor="accent2" w:themeTint="97" w:sz="4" w:space="0"/>
        <w:right w:val="single" w:color="F2AA85" w:themeColor="accent2" w:themeTint="97" w:sz="4" w:space="0"/>
        <w:insideH w:val="single" w:color="F2AA85" w:themeColor="accent2" w:themeTint="97" w:sz="4" w:space="0"/>
        <w:insideV w:val="single" w:color="F2AA85" w:themeColor="accent2" w:themeTint="97" w:sz="4" w:space="0"/>
      </w:tblBorders>
    </w:tblPr>
    <w:tblStylePr w:type="band1Horz">
      <w:rPr>
        <w:rFonts w:ascii="Arial" w:hAnsi="Arial"/>
        <w:color w:val="f2ab86" w:themeColor="accent2" w:themeTint="96"/>
        <w:sz w:val="22"/>
      </w:rPr>
      <w:tcPr>
        <w:shd w:val="clear" w:color="fae2d6" w:themeColor="accent2" w:themeTint="32" w:fill="fae2d6" w:themeFill="accent2" w:themeFillTint="32"/>
      </w:tcPr>
    </w:tblStylePr>
    <w:tblStylePr w:type="band1Vert">
      <w:tcPr>
        <w:shd w:val="clear" w:color="fae2d6" w:themeColor="accent2" w:themeTint="32" w:fill="fae2d6" w:themeFill="accent2" w:themeFillTint="32"/>
      </w:tcPr>
    </w:tblStylePr>
    <w:tblStylePr w:type="band2Horz">
      <w:rPr>
        <w:rFonts w:ascii="Arial" w:hAnsi="Arial"/>
        <w:color w:val="f2ab86" w:themeColor="accent2" w:themeTint="96"/>
        <w:sz w:val="22"/>
      </w:rPr>
    </w:tblStylePr>
    <w:tblStylePr w:type="firstCol">
      <w:rPr>
        <w:b/>
        <w:color w:val="f2ab86" w:themeColor="accent2" w:themeTint="96"/>
      </w:rPr>
    </w:tblStylePr>
    <w:tblStylePr w:type="firstRow">
      <w:rPr>
        <w:b/>
        <w:color w:val="f2ab86" w:themeColor="accent2" w:themeTint="96"/>
      </w:rPr>
      <w:tcPr>
        <w:tcBorders>
          <w:bottom w:val="single" w:color="F2AA85" w:themeColor="accent2" w:themeTint="97" w:sz="12" w:space="0"/>
        </w:tcBorders>
      </w:tcPr>
    </w:tblStylePr>
    <w:tblStylePr w:type="lastCol">
      <w:rPr>
        <w:b/>
        <w:color w:val="f2ab86" w:themeColor="accent2" w:themeTint="96"/>
      </w:rPr>
    </w:tblStylePr>
    <w:tblStylePr w:type="lastRow">
      <w:rPr>
        <w:b/>
        <w:color w:val="f2ab86" w:themeColor="accent2" w:themeTint="96"/>
      </w:rPr>
    </w:tblStylePr>
  </w:style>
  <w:style w:type="table" w:styleId="900" w:customStyle="1">
    <w:name w:val="Grid Table 6 Colorful - Accent 3"/>
    <w:basedOn w:val="765"/>
    <w:uiPriority w:val="99"/>
    <w:qFormat/>
    <w:tblPr>
      <w:tblBorders>
        <w:top w:val="single" w:color="196C24" w:themeColor="accent3" w:themeTint="FE" w:sz="4" w:space="0"/>
        <w:left w:val="single" w:color="196C24" w:themeColor="accent3" w:themeTint="FE" w:sz="4" w:space="0"/>
        <w:bottom w:val="single" w:color="196C24" w:themeColor="accent3" w:themeTint="FE" w:sz="4" w:space="0"/>
        <w:right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196b24" w:themeColor="accent3"/>
        <w:sz w:val="22"/>
      </w:rPr>
      <w:tcPr>
        <w:shd w:val="clear" w:color="c0f0c6" w:themeColor="accent3" w:themeTint="34" w:fill="c0f0c6" w:themeFill="accent3" w:themeFillTint="34"/>
      </w:tcPr>
    </w:tblStylePr>
    <w:tblStylePr w:type="band1Vert">
      <w:tcPr>
        <w:shd w:val="clear" w:color="c0f0c6" w:themeColor="accent3" w:themeTint="34" w:fill="c0f0c6" w:themeFill="accent3" w:themeFillTint="34"/>
      </w:tcPr>
    </w:tblStylePr>
    <w:tblStylePr w:type="band2Horz">
      <w:rPr>
        <w:rFonts w:ascii="Arial" w:hAnsi="Arial"/>
        <w:color w:val="196b24" w:themeColor="accent3"/>
        <w:sz w:val="22"/>
      </w:rPr>
    </w:tblStylePr>
    <w:tblStylePr w:type="firstCol">
      <w:rPr>
        <w:b/>
        <w:color w:val="196b24" w:themeColor="accent3"/>
      </w:rPr>
    </w:tblStylePr>
    <w:tblStylePr w:type="firstRow">
      <w:rPr>
        <w:b/>
        <w:color w:val="196b24" w:themeColor="accent3"/>
      </w:rPr>
      <w:tcPr>
        <w:tcBorders>
          <w:bottom w:val="single" w:color="196C24" w:themeColor="accent3" w:themeTint="FE" w:sz="12" w:space="0"/>
        </w:tcBorders>
      </w:tcPr>
    </w:tblStylePr>
    <w:tblStylePr w:type="lastCol">
      <w:rPr>
        <w:b/>
        <w:color w:val="196b24" w:themeColor="accent3"/>
      </w:rPr>
    </w:tblStylePr>
    <w:tblStylePr w:type="lastRow">
      <w:rPr>
        <w:b/>
        <w:color w:val="196b24" w:themeColor="accent3"/>
      </w:rPr>
    </w:tblStylePr>
  </w:style>
  <w:style w:type="table" w:styleId="901" w:customStyle="1">
    <w:name w:val="Grid Table 6 Colorful - Accent 4"/>
    <w:basedOn w:val="765"/>
    <w:uiPriority w:val="99"/>
    <w:qFormat/>
    <w:tblPr>
      <w:tbl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60caf3" w:themeColor="accent4" w:themeTint="99"/>
        <w:sz w:val="22"/>
      </w:rPr>
      <w:tcPr>
        <w:shd w:val="clear" w:color="c9edfb" w:themeColor="accent4" w:themeTint="34" w:fill="c9edfb" w:themeFill="accent4" w:themeFillTint="34"/>
      </w:tcPr>
    </w:tblStylePr>
    <w:tblStylePr w:type="band1Vert">
      <w:tcPr>
        <w:shd w:val="clear" w:color="c9edfb" w:themeColor="accent4" w:themeTint="34" w:fill="c9edfb" w:themeFill="accent4" w:themeFillTint="34"/>
      </w:tcPr>
    </w:tblStylePr>
    <w:tblStylePr w:type="band2Horz">
      <w:rPr>
        <w:rFonts w:ascii="Arial" w:hAnsi="Arial"/>
        <w:color w:val="60caf3" w:themeColor="accent4" w:themeTint="99"/>
        <w:sz w:val="22"/>
      </w:rPr>
    </w:tblStylePr>
    <w:tblStylePr w:type="firstCol">
      <w:rPr>
        <w:b/>
        <w:color w:val="60caf3" w:themeColor="accent4" w:themeTint="99"/>
      </w:rPr>
    </w:tblStylePr>
    <w:tblStylePr w:type="firstRow">
      <w:rPr>
        <w:b/>
        <w:color w:val="60caf3" w:themeColor="accent4" w:themeTint="99"/>
      </w:rPr>
      <w:tcPr>
        <w:tcBorders>
          <w:bottom w:val="single" w:color="5FCAF3" w:themeColor="accent4" w:themeTint="9A" w:sz="12" w:space="0"/>
        </w:tcBorders>
      </w:tcPr>
    </w:tblStylePr>
    <w:tblStylePr w:type="lastCol">
      <w:rPr>
        <w:b/>
        <w:color w:val="60caf3" w:themeColor="accent4" w:themeTint="99"/>
      </w:rPr>
    </w:tblStylePr>
    <w:tblStylePr w:type="lastRow">
      <w:rPr>
        <w:b/>
        <w:color w:val="60caf3" w:themeColor="accent4" w:themeTint="99"/>
      </w:rPr>
    </w:tblStylePr>
  </w:style>
  <w:style w:type="table" w:styleId="902" w:customStyle="1">
    <w:name w:val="Grid Table 6 Colorful - Accent 5"/>
    <w:basedOn w:val="765"/>
    <w:uiPriority w:val="99"/>
    <w:qFormat/>
    <w:tblPr>
      <w:tblBorders>
        <w:top w:val="single" w:color="A02B93" w:themeColor="accent5" w:sz="4" w:space="0"/>
        <w:left w:val="single" w:color="A02B93" w:themeColor="accent5" w:sz="4" w:space="0"/>
        <w:bottom w:val="single" w:color="A02B93" w:themeColor="accent5" w:sz="4" w:space="0"/>
        <w:right w:val="single" w:color="A02B93" w:themeColor="accent5" w:sz="4" w:space="0"/>
        <w:insideH w:val="single" w:color="A02B93" w:themeColor="accent5" w:sz="4" w:space="0"/>
        <w:insideV w:val="single" w:color="A02B93" w:themeColor="accent5" w:sz="4" w:space="0"/>
      </w:tblBorders>
    </w:tblPr>
    <w:tblStylePr w:type="band1Horz">
      <w:rPr>
        <w:rFonts w:ascii="Arial" w:hAnsi="Arial"/>
        <w:color w:val="5c1954" w:themeColor="accent5" w:themeShade="94"/>
        <w:sz w:val="22"/>
      </w:rPr>
      <w:tcPr>
        <w:shd w:val="clear" w:color="f1cded" w:themeColor="accent5" w:themeTint="34" w:fill="f1cded" w:themeFill="accent5" w:themeFillTint="34"/>
      </w:tcPr>
    </w:tblStylePr>
    <w:tblStylePr w:type="band1Vert">
      <w:tcPr>
        <w:shd w:val="clear" w:color="f1cded" w:themeColor="accent5" w:themeTint="34" w:fill="f1cded" w:themeFill="accent5" w:themeFillTint="34"/>
      </w:tcPr>
    </w:tblStylePr>
    <w:tblStylePr w:type="band2Horz">
      <w:rPr>
        <w:rFonts w:ascii="Arial" w:hAnsi="Arial"/>
        <w:color w:val="5c1954" w:themeColor="accent5" w:themeShade="94"/>
        <w:sz w:val="22"/>
      </w:rPr>
    </w:tblStylePr>
    <w:tblStylePr w:type="firstCol">
      <w:rPr>
        <w:b/>
        <w:color w:val="5c1954" w:themeColor="accent5" w:themeShade="94"/>
      </w:rPr>
    </w:tblStylePr>
    <w:tblStylePr w:type="firstRow">
      <w:rPr>
        <w:b/>
        <w:color w:val="5c1954" w:themeColor="accent5" w:themeShade="94"/>
      </w:rPr>
      <w:tcPr>
        <w:tcBorders>
          <w:bottom w:val="single" w:color="A02B93" w:themeColor="accent5" w:sz="12" w:space="0"/>
        </w:tcBorders>
      </w:tcPr>
    </w:tblStylePr>
    <w:tblStylePr w:type="lastCol">
      <w:rPr>
        <w:b/>
        <w:color w:val="5c1954" w:themeColor="accent5" w:themeShade="94"/>
      </w:rPr>
    </w:tblStylePr>
    <w:tblStylePr w:type="lastRow">
      <w:rPr>
        <w:b/>
        <w:color w:val="5c1954" w:themeColor="accent5" w:themeShade="94"/>
      </w:rPr>
    </w:tblStylePr>
  </w:style>
  <w:style w:type="table" w:styleId="903" w:customStyle="1">
    <w:name w:val="Grid Table 6 Colorful - Accent 6"/>
    <w:basedOn w:val="765"/>
    <w:uiPriority w:val="99"/>
    <w:qFormat/>
    <w:tblPr>
      <w:tblBorders>
        <w:top w:val="single" w:color="4EA72E" w:themeColor="accent6" w:sz="4" w:space="0"/>
        <w:left w:val="single" w:color="4EA72E" w:themeColor="accent6" w:sz="4" w:space="0"/>
        <w:bottom w:val="single" w:color="4EA72E" w:themeColor="accent6" w:sz="4" w:space="0"/>
        <w:right w:val="single" w:color="4EA72E" w:themeColor="accent6" w:sz="4" w:space="0"/>
        <w:insideH w:val="single" w:color="4EA72E" w:themeColor="accent6" w:sz="4" w:space="0"/>
        <w:insideV w:val="single" w:color="4EA72E" w:themeColor="accent6" w:sz="4" w:space="0"/>
      </w:tblBorders>
    </w:tblPr>
    <w:tblStylePr w:type="band1Horz">
      <w:rPr>
        <w:rFonts w:ascii="Arial" w:hAnsi="Arial"/>
        <w:color w:val="5c1954" w:themeColor="accent5" w:themeShade="94"/>
        <w:sz w:val="22"/>
      </w:rPr>
      <w:tcPr>
        <w:shd w:val="clear" w:color="d8f2cf" w:themeColor="accent6" w:themeTint="34" w:fill="d8f2cf" w:themeFill="accent6" w:themeFillTint="34"/>
      </w:tcPr>
    </w:tblStylePr>
    <w:tblStylePr w:type="band1Vert">
      <w:tcPr>
        <w:shd w:val="clear" w:color="d8f2cf" w:themeColor="accent6" w:themeTint="34" w:fill="d8f2cf" w:themeFill="accent6" w:themeFillTint="34"/>
      </w:tcPr>
    </w:tblStylePr>
    <w:tblStylePr w:type="band2Horz">
      <w:rPr>
        <w:rFonts w:ascii="Arial" w:hAnsi="Arial"/>
        <w:color w:val="5c1954" w:themeColor="accent5" w:themeShade="94"/>
        <w:sz w:val="22"/>
      </w:rPr>
    </w:tblStylePr>
    <w:tblStylePr w:type="firstCol">
      <w:rPr>
        <w:b/>
        <w:color w:val="5c1954" w:themeColor="accent5" w:themeShade="94"/>
      </w:rPr>
    </w:tblStylePr>
    <w:tblStylePr w:type="firstRow">
      <w:rPr>
        <w:b/>
        <w:color w:val="5c1954" w:themeColor="accent5" w:themeShade="94"/>
      </w:rPr>
      <w:tcPr>
        <w:tcBorders>
          <w:bottom w:val="single" w:color="4EA72E" w:themeColor="accent6" w:sz="12" w:space="0"/>
        </w:tcBorders>
      </w:tcPr>
    </w:tblStylePr>
    <w:tblStylePr w:type="lastCol">
      <w:rPr>
        <w:b/>
        <w:color w:val="5c1954" w:themeColor="accent5" w:themeShade="94"/>
      </w:rPr>
    </w:tblStylePr>
    <w:tblStylePr w:type="lastRow">
      <w:rPr>
        <w:b/>
        <w:color w:val="5c1954" w:themeColor="accent5" w:themeShade="94"/>
      </w:rPr>
    </w:tblStylePr>
  </w:style>
  <w:style w:type="table" w:styleId="904" w:customStyle="1">
    <w:name w:val="网格表 7 彩色1"/>
    <w:basedOn w:val="765"/>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5" w:customStyle="1">
    <w:name w:val="Grid Table 7 Colorful - Accent 1"/>
    <w:basedOn w:val="765"/>
    <w:uiPriority w:val="99"/>
    <w:qFormat/>
    <w:tblPr>
      <w:tblBorders>
        <w:bottom w:val="single" w:color="63BDE6" w:themeColor="accent1" w:themeTint="80" w:sz="4" w:space="0"/>
        <w:right w:val="single" w:color="63BDE6" w:themeColor="accent1" w:themeTint="80" w:sz="4" w:space="0"/>
        <w:insideH w:val="single" w:color="63BDE6" w:themeColor="accent1" w:themeTint="80" w:sz="4" w:space="0"/>
        <w:insideV w:val="single" w:color="63BDE6" w:themeColor="accent1" w:themeTint="80" w:sz="4" w:space="0"/>
      </w:tblBorders>
    </w:tblPr>
    <w:tblStylePr w:type="band1Horz">
      <w:rPr>
        <w:rFonts w:ascii="Arial" w:hAnsi="Arial"/>
        <w:color w:val="63bde6" w:themeColor="accent1" w:themeTint="80"/>
        <w:sz w:val="22"/>
      </w:rPr>
      <w:tcPr>
        <w:shd w:val="clear" w:color="bfe4f4" w:themeColor="accent1" w:themeTint="34" w:fill="bfe4f4" w:themeFill="accent1" w:themeFillTint="34"/>
      </w:tcPr>
    </w:tblStylePr>
    <w:tblStylePr w:type="band1Vert">
      <w:tcPr>
        <w:shd w:val="clear" w:color="bfe4f4" w:themeColor="accent1" w:themeTint="34" w:fill="bfe4f4" w:themeFill="accent1" w:themeFillTint="34"/>
      </w:tcPr>
    </w:tblStylePr>
    <w:tblStylePr w:type="band2Horz">
      <w:rPr>
        <w:rFonts w:ascii="Arial" w:hAnsi="Arial"/>
        <w:color w:val="63bde6" w:themeColor="accent1" w:themeTint="80"/>
        <w:sz w:val="22"/>
      </w:rPr>
    </w:tblStylePr>
    <w:tblStylePr w:type="firstCol">
      <w:rPr>
        <w:rFonts w:ascii="Arial" w:hAnsi="Arial"/>
        <w:i/>
        <w:color w:val="63bde6" w:themeColor="accent1" w:themeTint="80"/>
        <w:sz w:val="22"/>
      </w:rPr>
      <w:pPr>
        <w:jc w:val="right"/>
      </w:pPr>
      <w:tcPr>
        <w:shd w:val="clear" w:color="ffffff" w:fill="auto"/>
        <w:tcBorders>
          <w:top w:val="none" w:color="000000" w:sz="4" w:space="0"/>
          <w:left w:val="none" w:color="000000" w:sz="4" w:space="0"/>
          <w:bottom w:val="none" w:color="000000" w:sz="4" w:space="0"/>
          <w:right w:val="single" w:color="63BDE6" w:themeColor="accent1" w:themeTint="80" w:sz="4" w:space="0"/>
        </w:tcBorders>
      </w:tcPr>
    </w:tblStylePr>
    <w:tblStylePr w:type="firstRow">
      <w:rPr>
        <w:rFonts w:ascii="Arial" w:hAnsi="Arial"/>
        <w:b/>
        <w:color w:val="63bde6" w:themeColor="accent1" w:themeTint="80"/>
        <w:sz w:val="22"/>
      </w:rPr>
      <w:tcPr>
        <w:shd w:val="clear" w:color="ffffff" w:themeColor="light1" w:fill="ffffff" w:themeFill="light1"/>
        <w:tcBorders>
          <w:top w:val="none" w:color="000000" w:sz="4" w:space="0"/>
          <w:left w:val="none" w:color="000000" w:sz="4" w:space="0"/>
          <w:bottom w:val="single" w:color="63BDE6" w:themeColor="accent1" w:themeTint="80" w:sz="4" w:space="0"/>
          <w:right w:val="none" w:color="000000" w:sz="4" w:space="0"/>
        </w:tcBorders>
      </w:tcPr>
    </w:tblStylePr>
    <w:tblStylePr w:type="lastCol">
      <w:rPr>
        <w:rFonts w:ascii="Arial" w:hAnsi="Arial"/>
        <w:i/>
        <w:color w:val="63bde6" w:themeColor="accent1" w:themeTint="80"/>
        <w:sz w:val="22"/>
      </w:rPr>
      <w:tcPr>
        <w:shd w:val="clear" w:color="ffffff" w:fill="auto"/>
        <w:tcBorders>
          <w:top w:val="none" w:color="000000" w:sz="4" w:space="0"/>
          <w:left w:val="single" w:color="63BDE6" w:themeColor="accent1" w:themeTint="80" w:sz="4" w:space="0"/>
          <w:bottom w:val="none" w:color="000000" w:sz="4" w:space="0"/>
          <w:right w:val="none" w:color="000000" w:sz="4" w:space="0"/>
        </w:tcBorders>
      </w:tcPr>
    </w:tblStylePr>
    <w:tblStylePr w:type="lastRow">
      <w:rPr>
        <w:rFonts w:ascii="Arial" w:hAnsi="Arial"/>
        <w:b/>
        <w:color w:val="63bde6" w:themeColor="accent1" w:themeTint="80"/>
        <w:sz w:val="22"/>
      </w:rPr>
      <w:tcPr>
        <w:shd w:val="clear" w:color="ffffff" w:themeColor="light1" w:fill="ffffff" w:themeFill="light1"/>
        <w:tcBorders>
          <w:top w:val="single" w:color="63BDE6" w:themeColor="accent1" w:themeTint="80" w:sz="4" w:space="0"/>
          <w:left w:val="none" w:color="000000" w:sz="4" w:space="0"/>
          <w:bottom w:val="none" w:color="000000" w:sz="4" w:space="0"/>
          <w:right w:val="none" w:color="000000" w:sz="4" w:space="0"/>
        </w:tcBorders>
      </w:tcPr>
    </w:tblStylePr>
  </w:style>
  <w:style w:type="table" w:styleId="906" w:customStyle="1">
    <w:name w:val="Grid Table 7 Colorful - Accent 2"/>
    <w:basedOn w:val="765"/>
    <w:uiPriority w:val="99"/>
    <w:qFormat/>
    <w:tblPr>
      <w:tblBorders>
        <w:bottom w:val="single" w:color="F2AA85" w:themeColor="accent2" w:themeTint="97" w:sz="4" w:space="0"/>
        <w:right w:val="single" w:color="F2AA85" w:themeColor="accent2" w:themeTint="97" w:sz="4" w:space="0"/>
        <w:insideH w:val="single" w:color="F2AA85" w:themeColor="accent2" w:themeTint="97" w:sz="4" w:space="0"/>
        <w:insideV w:val="single" w:color="F2AA85" w:themeColor="accent2" w:themeTint="97" w:sz="4" w:space="0"/>
      </w:tblBorders>
    </w:tblPr>
    <w:tblStylePr w:type="band1Horz">
      <w:rPr>
        <w:rFonts w:ascii="Arial" w:hAnsi="Arial"/>
        <w:color w:val="f2ab86" w:themeColor="accent2" w:themeTint="96"/>
        <w:sz w:val="22"/>
      </w:rPr>
      <w:tcPr>
        <w:shd w:val="clear" w:color="fae2d6" w:themeColor="accent2" w:themeTint="32" w:fill="fae2d6" w:themeFill="accent2" w:themeFillTint="32"/>
      </w:tcPr>
    </w:tblStylePr>
    <w:tblStylePr w:type="band1Vert">
      <w:tcPr>
        <w:shd w:val="clear" w:color="fae2d6" w:themeColor="accent2" w:themeTint="32" w:fill="fae2d6" w:themeFill="accent2" w:themeFillTint="32"/>
      </w:tcPr>
    </w:tblStylePr>
    <w:tblStylePr w:type="band2Horz">
      <w:rPr>
        <w:rFonts w:ascii="Arial" w:hAnsi="Arial"/>
        <w:color w:val="f2ab86" w:themeColor="accent2" w:themeTint="96"/>
        <w:sz w:val="22"/>
      </w:rPr>
    </w:tblStylePr>
    <w:tblStylePr w:type="firstCol">
      <w:rPr>
        <w:rFonts w:ascii="Arial" w:hAnsi="Arial"/>
        <w:i/>
        <w:color w:val="f2ab86" w:themeColor="accent2" w:themeTint="96"/>
        <w:sz w:val="22"/>
      </w:rPr>
      <w:pPr>
        <w:jc w:val="right"/>
      </w:pPr>
      <w:tcPr>
        <w:shd w:val="clear" w:color="ffffff" w:fill="auto"/>
        <w:tcBorders>
          <w:top w:val="none" w:color="000000" w:sz="4" w:space="0"/>
          <w:left w:val="none" w:color="000000" w:sz="4" w:space="0"/>
          <w:bottom w:val="none" w:color="000000" w:sz="4" w:space="0"/>
          <w:right w:val="single" w:color="F2AA85" w:themeColor="accent2" w:themeTint="97" w:sz="4" w:space="0"/>
        </w:tcBorders>
      </w:tcPr>
    </w:tblStylePr>
    <w:tblStylePr w:type="firstRow">
      <w:rPr>
        <w:rFonts w:ascii="Arial" w:hAnsi="Arial"/>
        <w:b/>
        <w:color w:val="f2ab86" w:themeColor="accent2" w:themeTint="96"/>
        <w:sz w:val="22"/>
      </w:rPr>
      <w:tcPr>
        <w:shd w:val="clear" w:color="ffffff" w:themeColor="light1" w:fill="ffffff" w:themeFill="light1"/>
        <w:tcBorders>
          <w:top w:val="none" w:color="000000" w:sz="4" w:space="0"/>
          <w:left w:val="none" w:color="000000" w:sz="4" w:space="0"/>
          <w:bottom w:val="single" w:color="F2AA85" w:themeColor="accent2" w:themeTint="97" w:sz="4" w:space="0"/>
          <w:right w:val="none" w:color="000000" w:sz="4" w:space="0"/>
        </w:tcBorders>
      </w:tcPr>
    </w:tblStylePr>
    <w:tblStylePr w:type="lastCol">
      <w:rPr>
        <w:rFonts w:ascii="Arial" w:hAnsi="Arial"/>
        <w:i/>
        <w:color w:val="f2ab86" w:themeColor="accent2" w:themeTint="96"/>
        <w:sz w:val="22"/>
      </w:rPr>
      <w:tcPr>
        <w:shd w:val="clear" w:color="ffffff" w:fill="auto"/>
        <w:tcBorders>
          <w:top w:val="none" w:color="000000" w:sz="4" w:space="0"/>
          <w:left w:val="single" w:color="F2AA85" w:themeColor="accent2" w:themeTint="97" w:sz="4" w:space="0"/>
          <w:bottom w:val="none" w:color="000000" w:sz="4" w:space="0"/>
          <w:right w:val="none" w:color="000000" w:sz="4" w:space="0"/>
        </w:tcBorders>
      </w:tcPr>
    </w:tblStylePr>
    <w:tblStylePr w:type="lastRow">
      <w:rPr>
        <w:rFonts w:ascii="Arial" w:hAnsi="Arial"/>
        <w:b/>
        <w:color w:val="f2ab86" w:themeColor="accent2" w:themeTint="96"/>
        <w:sz w:val="22"/>
      </w:rPr>
      <w:tcPr>
        <w:shd w:val="clear" w:color="ffffff" w:themeColor="light1" w:fill="ffffff" w:themeFill="light1"/>
        <w:tcBorders>
          <w:top w:val="single" w:color="F2AA85" w:themeColor="accent2" w:themeTint="97" w:sz="4" w:space="0"/>
          <w:left w:val="none" w:color="000000" w:sz="4" w:space="0"/>
          <w:bottom w:val="none" w:color="000000" w:sz="4" w:space="0"/>
          <w:right w:val="none" w:color="000000" w:sz="4" w:space="0"/>
        </w:tcBorders>
      </w:tcPr>
    </w:tblStylePr>
  </w:style>
  <w:style w:type="table" w:styleId="907" w:customStyle="1">
    <w:name w:val="Grid Table 7 Colorful - Accent 3"/>
    <w:basedOn w:val="765"/>
    <w:uiPriority w:val="99"/>
    <w:qFormat/>
    <w:tblPr>
      <w:tblBorders>
        <w:bottom w:val="single" w:color="196C24" w:themeColor="accent3" w:themeTint="FE" w:sz="4" w:space="0"/>
        <w:right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196b24" w:themeColor="accent3"/>
        <w:sz w:val="22"/>
      </w:rPr>
      <w:tcPr>
        <w:shd w:val="clear" w:color="c0f0c6" w:themeColor="accent3" w:themeTint="34" w:fill="c0f0c6" w:themeFill="accent3" w:themeFillTint="34"/>
      </w:tcPr>
    </w:tblStylePr>
    <w:tblStylePr w:type="band1Vert">
      <w:tcPr>
        <w:shd w:val="clear" w:color="c0f0c6" w:themeColor="accent3" w:themeTint="34" w:fill="c0f0c6" w:themeFill="accent3" w:themeFillTint="34"/>
      </w:tcPr>
    </w:tblStylePr>
    <w:tblStylePr w:type="band2Horz">
      <w:rPr>
        <w:rFonts w:ascii="Arial" w:hAnsi="Arial"/>
        <w:color w:val="196b24" w:themeColor="accent3"/>
        <w:sz w:val="22"/>
      </w:rPr>
    </w:tblStylePr>
    <w:tblStylePr w:type="firstCol">
      <w:rPr>
        <w:rFonts w:ascii="Arial" w:hAnsi="Arial"/>
        <w:i/>
        <w:color w:val="196b24" w:themeColor="accent3"/>
        <w:sz w:val="22"/>
      </w:rPr>
      <w:pPr>
        <w:jc w:val="right"/>
      </w:pPr>
      <w:tcPr>
        <w:shd w:val="clear" w:color="ffffff" w:fill="auto"/>
        <w:tcBorders>
          <w:top w:val="none" w:color="000000" w:sz="4" w:space="0"/>
          <w:left w:val="none" w:color="000000" w:sz="4" w:space="0"/>
          <w:bottom w:val="none" w:color="000000" w:sz="4" w:space="0"/>
          <w:right w:val="single" w:color="196C24" w:themeColor="accent3" w:themeTint="FE" w:sz="4" w:space="0"/>
        </w:tcBorders>
      </w:tcPr>
    </w:tblStylePr>
    <w:tblStylePr w:type="firstRow">
      <w:rPr>
        <w:rFonts w:ascii="Arial" w:hAnsi="Arial"/>
        <w:b/>
        <w:color w:val="196b24" w:themeColor="accent3"/>
        <w:sz w:val="22"/>
      </w:rPr>
      <w:tcPr>
        <w:shd w:val="clear" w:color="ffffff" w:themeColor="light1" w:fill="ffffff" w:themeFill="light1"/>
        <w:tcBorders>
          <w:top w:val="none" w:color="000000" w:sz="4" w:space="0"/>
          <w:left w:val="none" w:color="000000" w:sz="4" w:space="0"/>
          <w:bottom w:val="single" w:color="196C24" w:themeColor="accent3" w:themeTint="FE" w:sz="4" w:space="0"/>
          <w:right w:val="none" w:color="000000" w:sz="4" w:space="0"/>
        </w:tcBorders>
      </w:tcPr>
    </w:tblStylePr>
    <w:tblStylePr w:type="lastCol">
      <w:rPr>
        <w:rFonts w:ascii="Arial" w:hAnsi="Arial"/>
        <w:i/>
        <w:color w:val="196b24" w:themeColor="accent3"/>
        <w:sz w:val="22"/>
      </w:rPr>
      <w:tcPr>
        <w:shd w:val="clear" w:color="ffffff" w:fill="auto"/>
        <w:tcBorders>
          <w:top w:val="none" w:color="000000" w:sz="4" w:space="0"/>
          <w:left w:val="single" w:color="196C24" w:themeColor="accent3" w:themeTint="FE" w:sz="4" w:space="0"/>
          <w:bottom w:val="none" w:color="000000" w:sz="4" w:space="0"/>
          <w:right w:val="none" w:color="000000" w:sz="4" w:space="0"/>
        </w:tcBorders>
      </w:tcPr>
    </w:tblStylePr>
    <w:tblStylePr w:type="lastRow">
      <w:rPr>
        <w:rFonts w:ascii="Arial" w:hAnsi="Arial"/>
        <w:b/>
        <w:color w:val="196b24" w:themeColor="accent3"/>
        <w:sz w:val="22"/>
      </w:rPr>
      <w:tcPr>
        <w:shd w:val="clear" w:color="ffffff" w:themeColor="light1" w:fill="ffffff" w:themeFill="light1"/>
        <w:tcBorders>
          <w:top w:val="single" w:color="196C24" w:themeColor="accent3" w:themeTint="FE" w:sz="4" w:space="0"/>
          <w:left w:val="none" w:color="000000" w:sz="4" w:space="0"/>
          <w:bottom w:val="none" w:color="000000" w:sz="4" w:space="0"/>
          <w:right w:val="none" w:color="000000" w:sz="4" w:space="0"/>
        </w:tcBorders>
      </w:tcPr>
    </w:tblStylePr>
  </w:style>
  <w:style w:type="table" w:styleId="908" w:customStyle="1">
    <w:name w:val="Grid Table 7 Colorful - Accent 4"/>
    <w:basedOn w:val="765"/>
    <w:uiPriority w:val="99"/>
    <w:qFormat/>
    <w:tblPr>
      <w:tblBorders>
        <w:bottom w:val="single" w:color="5FCAF3" w:themeColor="accent4" w:themeTint="9A" w:sz="4" w:space="0"/>
        <w:right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60caf3" w:themeColor="accent4" w:themeTint="99"/>
        <w:sz w:val="22"/>
      </w:rPr>
      <w:tcPr>
        <w:shd w:val="clear" w:color="c9edfb" w:themeColor="accent4" w:themeTint="34" w:fill="c9edfb" w:themeFill="accent4" w:themeFillTint="34"/>
      </w:tcPr>
    </w:tblStylePr>
    <w:tblStylePr w:type="band1Vert">
      <w:tcPr>
        <w:shd w:val="clear" w:color="c9edfb" w:themeColor="accent4" w:themeTint="34" w:fill="c9edfb" w:themeFill="accent4" w:themeFillTint="34"/>
      </w:tcPr>
    </w:tblStylePr>
    <w:tblStylePr w:type="band2Horz">
      <w:rPr>
        <w:rFonts w:ascii="Arial" w:hAnsi="Arial"/>
        <w:color w:val="60caf3" w:themeColor="accent4" w:themeTint="99"/>
        <w:sz w:val="22"/>
      </w:rPr>
    </w:tblStylePr>
    <w:tblStylePr w:type="firstCol">
      <w:rPr>
        <w:rFonts w:ascii="Arial" w:hAnsi="Arial"/>
        <w:i/>
        <w:color w:val="60caf3" w:themeColor="accent4" w:themeTint="99"/>
        <w:sz w:val="22"/>
      </w:rPr>
      <w:pPr>
        <w:jc w:val="right"/>
      </w:pPr>
      <w:tcPr>
        <w:shd w:val="clear" w:color="ffffff" w:fill="auto"/>
        <w:tcBorders>
          <w:top w:val="none" w:color="000000" w:sz="4" w:space="0"/>
          <w:left w:val="none" w:color="000000" w:sz="4" w:space="0"/>
          <w:bottom w:val="none" w:color="000000" w:sz="4" w:space="0"/>
          <w:right w:val="single" w:color="5FCAF3" w:themeColor="accent4" w:themeTint="9A" w:sz="4" w:space="0"/>
        </w:tcBorders>
      </w:tcPr>
    </w:tblStylePr>
    <w:tblStylePr w:type="firstRow">
      <w:rPr>
        <w:rFonts w:ascii="Arial" w:hAnsi="Arial"/>
        <w:b/>
        <w:color w:val="60caf3" w:themeColor="accent4" w:themeTint="99"/>
        <w:sz w:val="22"/>
      </w:rPr>
      <w:tcPr>
        <w:shd w:val="clear" w:color="ffffff" w:themeColor="light1" w:fill="ffffff" w:themeFill="light1"/>
        <w:tcBorders>
          <w:top w:val="none" w:color="000000" w:sz="4" w:space="0"/>
          <w:left w:val="none" w:color="000000" w:sz="4" w:space="0"/>
          <w:bottom w:val="single" w:color="5FCAF3" w:themeColor="accent4" w:themeTint="9A" w:sz="4" w:space="0"/>
          <w:right w:val="none" w:color="000000" w:sz="4" w:space="0"/>
        </w:tcBorders>
      </w:tcPr>
    </w:tblStylePr>
    <w:tblStylePr w:type="lastCol">
      <w:rPr>
        <w:rFonts w:ascii="Arial" w:hAnsi="Arial"/>
        <w:i/>
        <w:color w:val="60caf3" w:themeColor="accent4" w:themeTint="99"/>
        <w:sz w:val="22"/>
      </w:rPr>
      <w:tcPr>
        <w:shd w:val="clear" w:color="ffffff" w:fill="auto"/>
        <w:tcBorders>
          <w:top w:val="none" w:color="000000" w:sz="4" w:space="0"/>
          <w:left w:val="single" w:color="5FCAF3" w:themeColor="accent4" w:themeTint="9A" w:sz="4" w:space="0"/>
          <w:bottom w:val="none" w:color="000000" w:sz="4" w:space="0"/>
          <w:right w:val="none" w:color="000000" w:sz="4" w:space="0"/>
        </w:tcBorders>
      </w:tcPr>
    </w:tblStylePr>
    <w:tblStylePr w:type="lastRow">
      <w:rPr>
        <w:rFonts w:ascii="Arial" w:hAnsi="Arial"/>
        <w:b/>
        <w:color w:val="60caf3" w:themeColor="accent4" w:themeTint="99"/>
        <w:sz w:val="22"/>
      </w:rPr>
      <w:tcPr>
        <w:shd w:val="clear" w:color="ffffff" w:themeColor="light1" w:fill="ffffff" w:themeFill="light1"/>
        <w:tcBorders>
          <w:top w:val="single" w:color="5FCAF3" w:themeColor="accent4" w:themeTint="9A" w:sz="4" w:space="0"/>
          <w:left w:val="none" w:color="000000" w:sz="4" w:space="0"/>
          <w:bottom w:val="none" w:color="000000" w:sz="4" w:space="0"/>
          <w:right w:val="none" w:color="000000" w:sz="4" w:space="0"/>
        </w:tcBorders>
      </w:tcPr>
    </w:tblStylePr>
  </w:style>
  <w:style w:type="table" w:styleId="909" w:customStyle="1">
    <w:name w:val="Grid Table 7 Colorful - Accent 5"/>
    <w:basedOn w:val="765"/>
    <w:uiPriority w:val="99"/>
    <w:qFormat/>
    <w:tblPr>
      <w:tblBorders>
        <w:bottom w:val="single" w:color="DA76CE" w:themeColor="accent5" w:themeTint="90" w:sz="4" w:space="0"/>
        <w:right w:val="single" w:color="DA76CE" w:themeColor="accent5" w:themeTint="90" w:sz="4" w:space="0"/>
        <w:insideH w:val="single" w:color="DA76CE" w:themeColor="accent5" w:themeTint="90" w:sz="4" w:space="0"/>
        <w:insideV w:val="single" w:color="DA76CE" w:themeColor="accent5" w:themeTint="90" w:sz="4" w:space="0"/>
      </w:tblBorders>
    </w:tblPr>
    <w:tblStylePr w:type="band1Horz">
      <w:rPr>
        <w:rFonts w:ascii="Arial" w:hAnsi="Arial"/>
        <w:color w:val="5c1954" w:themeColor="accent5" w:themeShade="94"/>
        <w:sz w:val="22"/>
      </w:rPr>
      <w:tcPr>
        <w:shd w:val="clear" w:color="f1cded" w:themeColor="accent5" w:themeTint="34" w:fill="f1cded" w:themeFill="accent5" w:themeFillTint="34"/>
      </w:tcPr>
    </w:tblStylePr>
    <w:tblStylePr w:type="band1Vert">
      <w:tcPr>
        <w:shd w:val="clear" w:color="f1cded" w:themeColor="accent5" w:themeTint="34" w:fill="f1cded" w:themeFill="accent5" w:themeFillTint="34"/>
      </w:tcPr>
    </w:tblStylePr>
    <w:tblStylePr w:type="band2Horz">
      <w:rPr>
        <w:rFonts w:ascii="Arial" w:hAnsi="Arial"/>
        <w:color w:val="5c1954" w:themeColor="accent5" w:themeShade="94"/>
        <w:sz w:val="22"/>
      </w:rPr>
    </w:tblStylePr>
    <w:tblStylePr w:type="firstCol">
      <w:rPr>
        <w:rFonts w:ascii="Arial" w:hAnsi="Arial"/>
        <w:i/>
        <w:color w:val="5c1954" w:themeColor="accent5" w:themeShade="94"/>
        <w:sz w:val="22"/>
      </w:rPr>
      <w:pPr>
        <w:jc w:val="right"/>
      </w:pPr>
      <w:tcPr>
        <w:shd w:val="clear" w:color="ffffff" w:fill="auto"/>
        <w:tcBorders>
          <w:top w:val="none" w:color="000000" w:sz="4" w:space="0"/>
          <w:left w:val="none" w:color="000000" w:sz="4" w:space="0"/>
          <w:bottom w:val="none" w:color="000000" w:sz="4" w:space="0"/>
          <w:right w:val="single" w:color="DA76CE" w:themeColor="accent5" w:themeTint="90" w:sz="4" w:space="0"/>
        </w:tcBorders>
      </w:tcPr>
    </w:tblStylePr>
    <w:tblStylePr w:type="firstRow">
      <w:rPr>
        <w:rFonts w:ascii="Arial" w:hAnsi="Arial"/>
        <w:b/>
        <w:color w:val="5c1954" w:themeColor="accent5" w:themeShade="94"/>
        <w:sz w:val="22"/>
      </w:rPr>
      <w:tcPr>
        <w:shd w:val="clear" w:color="ffffff" w:themeColor="light1" w:fill="ffffff" w:themeFill="light1"/>
        <w:tcBorders>
          <w:top w:val="none" w:color="000000" w:sz="4" w:space="0"/>
          <w:left w:val="none" w:color="000000" w:sz="4" w:space="0"/>
          <w:bottom w:val="single" w:color="DA76CE" w:themeColor="accent5" w:themeTint="90" w:sz="4" w:space="0"/>
          <w:right w:val="none" w:color="000000" w:sz="4" w:space="0"/>
        </w:tcBorders>
      </w:tcPr>
    </w:tblStylePr>
    <w:tblStylePr w:type="lastCol">
      <w:rPr>
        <w:rFonts w:ascii="Arial" w:hAnsi="Arial"/>
        <w:i/>
        <w:color w:val="5c1954" w:themeColor="accent5" w:themeShade="94"/>
        <w:sz w:val="22"/>
      </w:rPr>
      <w:tcPr>
        <w:shd w:val="clear" w:color="ffffff" w:fill="auto"/>
        <w:tcBorders>
          <w:top w:val="none" w:color="000000" w:sz="4" w:space="0"/>
          <w:left w:val="single" w:color="DA76CE" w:themeColor="accent5" w:themeTint="90" w:sz="4" w:space="0"/>
          <w:bottom w:val="none" w:color="000000" w:sz="4" w:space="0"/>
          <w:right w:val="none" w:color="000000" w:sz="4" w:space="0"/>
        </w:tcBorders>
      </w:tcPr>
    </w:tblStylePr>
    <w:tblStylePr w:type="lastRow">
      <w:rPr>
        <w:rFonts w:ascii="Arial" w:hAnsi="Arial"/>
        <w:b/>
        <w:color w:val="5c1954" w:themeColor="accent5" w:themeShade="94"/>
        <w:sz w:val="22"/>
      </w:rPr>
      <w:tcPr>
        <w:shd w:val="clear" w:color="ffffff" w:themeColor="light1" w:fill="ffffff" w:themeFill="light1"/>
        <w:tcBorders>
          <w:top w:val="single" w:color="DA76CE" w:themeColor="accent5" w:themeTint="90" w:sz="4" w:space="0"/>
          <w:left w:val="none" w:color="000000" w:sz="4" w:space="0"/>
          <w:bottom w:val="none" w:color="000000" w:sz="4" w:space="0"/>
          <w:right w:val="none" w:color="000000" w:sz="4" w:space="0"/>
        </w:tcBorders>
      </w:tcPr>
    </w:tblStylePr>
  </w:style>
  <w:style w:type="table" w:styleId="910" w:customStyle="1">
    <w:name w:val="Grid Table 7 Colorful - Accent 6"/>
    <w:basedOn w:val="765"/>
    <w:uiPriority w:val="99"/>
    <w:qFormat/>
    <w:tblPr>
      <w:tblBorders>
        <w:bottom w:val="single" w:color="94DA7B" w:themeColor="accent6" w:themeTint="90" w:sz="4" w:space="0"/>
        <w:right w:val="single" w:color="94DA7B" w:themeColor="accent6" w:themeTint="90" w:sz="4" w:space="0"/>
        <w:insideH w:val="single" w:color="94DA7B" w:themeColor="accent6" w:themeTint="90" w:sz="4" w:space="0"/>
        <w:insideV w:val="single" w:color="94DA7B" w:themeColor="accent6" w:themeTint="90" w:sz="4" w:space="0"/>
      </w:tblBorders>
    </w:tblPr>
    <w:tblStylePr w:type="band1Horz">
      <w:rPr>
        <w:rFonts w:ascii="Arial" w:hAnsi="Arial"/>
        <w:color w:val="2d601a" w:themeColor="accent6" w:themeShade="94"/>
        <w:sz w:val="22"/>
      </w:rPr>
      <w:tcPr>
        <w:shd w:val="clear" w:color="d8f2cf" w:themeColor="accent6" w:themeTint="34" w:fill="d8f2cf" w:themeFill="accent6" w:themeFillTint="34"/>
      </w:tcPr>
    </w:tblStylePr>
    <w:tblStylePr w:type="band1Vert">
      <w:tcPr>
        <w:shd w:val="clear" w:color="d8f2cf" w:themeColor="accent6" w:themeTint="34" w:fill="d8f2cf" w:themeFill="accent6" w:themeFillTint="34"/>
      </w:tcPr>
    </w:tblStylePr>
    <w:tblStylePr w:type="band2Horz">
      <w:rPr>
        <w:rFonts w:ascii="Arial" w:hAnsi="Arial"/>
        <w:color w:val="2d601a" w:themeColor="accent6" w:themeShade="94"/>
        <w:sz w:val="22"/>
      </w:rPr>
    </w:tblStylePr>
    <w:tblStylePr w:type="firstCol">
      <w:rPr>
        <w:rFonts w:ascii="Arial" w:hAnsi="Arial"/>
        <w:i/>
        <w:color w:val="2d601a" w:themeColor="accent6" w:themeShade="94"/>
        <w:sz w:val="22"/>
      </w:rPr>
      <w:pPr>
        <w:jc w:val="right"/>
      </w:pPr>
      <w:tcPr>
        <w:shd w:val="clear" w:color="ffffff" w:fill="auto"/>
        <w:tcBorders>
          <w:top w:val="none" w:color="000000" w:sz="4" w:space="0"/>
          <w:left w:val="none" w:color="000000" w:sz="4" w:space="0"/>
          <w:bottom w:val="none" w:color="000000" w:sz="4" w:space="0"/>
          <w:right w:val="single" w:color="94DA7B" w:themeColor="accent6" w:themeTint="90" w:sz="4" w:space="0"/>
        </w:tcBorders>
      </w:tcPr>
    </w:tblStylePr>
    <w:tblStylePr w:type="firstRow">
      <w:rPr>
        <w:rFonts w:ascii="Arial" w:hAnsi="Arial"/>
        <w:b/>
        <w:color w:val="2d601a" w:themeColor="accent6" w:themeShade="94"/>
        <w:sz w:val="22"/>
      </w:rPr>
      <w:tcPr>
        <w:shd w:val="clear" w:color="ffffff" w:themeColor="light1" w:fill="ffffff" w:themeFill="light1"/>
        <w:tcBorders>
          <w:top w:val="none" w:color="000000" w:sz="4" w:space="0"/>
          <w:left w:val="none" w:color="000000" w:sz="4" w:space="0"/>
          <w:bottom w:val="single" w:color="94DA7B" w:themeColor="accent6" w:themeTint="90" w:sz="4" w:space="0"/>
          <w:right w:val="none" w:color="000000" w:sz="4" w:space="0"/>
        </w:tcBorders>
      </w:tcPr>
    </w:tblStylePr>
    <w:tblStylePr w:type="lastCol">
      <w:rPr>
        <w:rFonts w:ascii="Arial" w:hAnsi="Arial"/>
        <w:i/>
        <w:color w:val="2d601a" w:themeColor="accent6" w:themeShade="94"/>
        <w:sz w:val="22"/>
      </w:rPr>
      <w:tcPr>
        <w:shd w:val="clear" w:color="ffffff" w:fill="auto"/>
        <w:tcBorders>
          <w:top w:val="none" w:color="000000" w:sz="4" w:space="0"/>
          <w:left w:val="single" w:color="94DA7B" w:themeColor="accent6" w:themeTint="90" w:sz="4" w:space="0"/>
          <w:bottom w:val="none" w:color="000000" w:sz="4" w:space="0"/>
          <w:right w:val="none" w:color="000000" w:sz="4" w:space="0"/>
        </w:tcBorders>
      </w:tcPr>
    </w:tblStylePr>
    <w:tblStylePr w:type="lastRow">
      <w:rPr>
        <w:rFonts w:ascii="Arial" w:hAnsi="Arial"/>
        <w:b/>
        <w:color w:val="2d601a" w:themeColor="accent6" w:themeShade="94"/>
        <w:sz w:val="22"/>
      </w:rPr>
      <w:tcPr>
        <w:shd w:val="clear" w:color="ffffff" w:themeColor="light1" w:fill="ffffff" w:themeFill="light1"/>
        <w:tcBorders>
          <w:top w:val="single" w:color="94DA7B" w:themeColor="accent6" w:themeTint="90" w:sz="4" w:space="0"/>
          <w:left w:val="none" w:color="000000" w:sz="4" w:space="0"/>
          <w:bottom w:val="none" w:color="000000" w:sz="4" w:space="0"/>
          <w:right w:val="none" w:color="000000" w:sz="4" w:space="0"/>
        </w:tcBorders>
      </w:tcPr>
    </w:tblStylePr>
  </w:style>
  <w:style w:type="table" w:styleId="911" w:customStyle="1">
    <w:name w:val="清单表 1 浅色1"/>
    <w:basedOn w:val="765"/>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2" w:customStyle="1">
    <w:name w:val="List Table 1 Light - Accent 1"/>
    <w:basedOn w:val="765"/>
    <w:uiPriority w:val="99"/>
    <w:qFormat/>
    <w:tblPr/>
    <w:tblStylePr w:type="band1Horz">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156082" w:themeColor="accent1" w:sz="4" w:space="0"/>
          <w:right w:val="none" w:color="000000" w:sz="4" w:space="0"/>
        </w:tcBorders>
      </w:tcPr>
    </w:tblStylePr>
    <w:tblStylePr w:type="lastCol">
      <w:rPr>
        <w:b/>
        <w:color w:val="404040"/>
      </w:rPr>
    </w:tblStylePr>
    <w:tblStylePr w:type="lastRow">
      <w:rPr>
        <w:b/>
        <w:color w:val="404040"/>
      </w:rPr>
      <w:tcPr>
        <w:tcBorders>
          <w:top w:val="single" w:color="156082" w:themeColor="accent1" w:sz="4" w:space="0"/>
          <w:left w:val="none" w:color="000000" w:sz="4" w:space="0"/>
          <w:bottom w:val="none" w:color="000000" w:sz="4" w:space="0"/>
          <w:right w:val="none" w:color="000000" w:sz="4" w:space="0"/>
        </w:tcBorders>
      </w:tcPr>
    </w:tblStylePr>
  </w:style>
  <w:style w:type="table" w:styleId="913" w:customStyle="1">
    <w:name w:val="List Table 1 Light - Accent 2"/>
    <w:basedOn w:val="765"/>
    <w:uiPriority w:val="99"/>
    <w:qFormat/>
    <w:tblPr/>
    <w:tblStylePr w:type="band1Horz">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97132" w:themeColor="accent2" w:sz="4" w:space="0"/>
          <w:right w:val="none" w:color="000000" w:sz="4" w:space="0"/>
        </w:tcBorders>
      </w:tcPr>
    </w:tblStylePr>
    <w:tblStylePr w:type="lastCol">
      <w:rPr>
        <w:b/>
        <w:color w:val="404040"/>
      </w:rPr>
    </w:tblStylePr>
    <w:tblStylePr w:type="lastRow">
      <w:rPr>
        <w:b/>
        <w:color w:val="404040"/>
      </w:rPr>
      <w:tcPr>
        <w:tcBorders>
          <w:top w:val="single" w:color="E97132" w:themeColor="accent2" w:sz="4" w:space="0"/>
          <w:left w:val="none" w:color="000000" w:sz="4" w:space="0"/>
          <w:bottom w:val="none" w:color="000000" w:sz="4" w:space="0"/>
          <w:right w:val="none" w:color="000000" w:sz="4" w:space="0"/>
        </w:tcBorders>
      </w:tcPr>
    </w:tblStylePr>
  </w:style>
  <w:style w:type="table" w:styleId="914" w:customStyle="1">
    <w:name w:val="List Table 1 Light - Accent 3"/>
    <w:basedOn w:val="765"/>
    <w:uiPriority w:val="99"/>
    <w:qFormat/>
    <w:tblPr/>
    <w:tblStylePr w:type="band1Horz">
      <w:tcPr>
        <w:shd w:val="clear" w:color="b2edb9" w:themeColor="accent3" w:themeTint="40" w:fill="b2edb9" w:themeFill="accent3" w:themeFillTint="40"/>
      </w:tcPr>
    </w:tblStylePr>
    <w:tblStylePr w:type="band1Vert">
      <w:tcPr>
        <w:shd w:val="clear" w:color="b2edb9" w:themeColor="accent3" w:themeTint="40" w:fill="b2edb9"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196B24" w:themeColor="accent3" w:sz="4" w:space="0"/>
          <w:right w:val="none" w:color="000000" w:sz="4" w:space="0"/>
        </w:tcBorders>
      </w:tcPr>
    </w:tblStylePr>
    <w:tblStylePr w:type="lastCol">
      <w:rPr>
        <w:b/>
        <w:color w:val="404040"/>
      </w:rPr>
    </w:tblStylePr>
    <w:tblStylePr w:type="lastRow">
      <w:rPr>
        <w:b/>
        <w:color w:val="404040"/>
      </w:rPr>
      <w:tcPr>
        <w:tcBorders>
          <w:top w:val="single" w:color="196B24" w:themeColor="accent3" w:sz="4" w:space="0"/>
          <w:left w:val="none" w:color="000000" w:sz="4" w:space="0"/>
          <w:bottom w:val="none" w:color="000000" w:sz="4" w:space="0"/>
          <w:right w:val="none" w:color="000000" w:sz="4" w:space="0"/>
        </w:tcBorders>
      </w:tcPr>
    </w:tblStylePr>
  </w:style>
  <w:style w:type="table" w:styleId="915" w:customStyle="1">
    <w:name w:val="List Table 1 Light - Accent 4"/>
    <w:basedOn w:val="765"/>
    <w:uiPriority w:val="99"/>
    <w:qFormat/>
    <w:tblPr/>
    <w:tblStylePr w:type="band1Horz">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F9ED5" w:themeColor="accent4" w:sz="4" w:space="0"/>
          <w:right w:val="none" w:color="000000" w:sz="4" w:space="0"/>
        </w:tcBorders>
      </w:tcPr>
    </w:tblStylePr>
    <w:tblStylePr w:type="lastCol">
      <w:rPr>
        <w:b/>
        <w:color w:val="404040"/>
      </w:rPr>
    </w:tblStylePr>
    <w:tblStylePr w:type="lastRow">
      <w:rPr>
        <w:b/>
        <w:color w:val="404040"/>
      </w:rPr>
      <w:tcPr>
        <w:tcBorders>
          <w:top w:val="single" w:color="0F9ED5" w:themeColor="accent4" w:sz="4" w:space="0"/>
          <w:left w:val="none" w:color="000000" w:sz="4" w:space="0"/>
          <w:bottom w:val="none" w:color="000000" w:sz="4" w:space="0"/>
          <w:right w:val="none" w:color="000000" w:sz="4" w:space="0"/>
        </w:tcBorders>
      </w:tcPr>
    </w:tblStylePr>
  </w:style>
  <w:style w:type="table" w:styleId="916" w:customStyle="1">
    <w:name w:val="List Table 1 Light - Accent 5"/>
    <w:basedOn w:val="765"/>
    <w:uiPriority w:val="99"/>
    <w:qFormat/>
    <w:tblPr/>
    <w:tblStylePr w:type="band1Horz">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02B93" w:themeColor="accent5" w:sz="4" w:space="0"/>
          <w:right w:val="none" w:color="000000" w:sz="4" w:space="0"/>
        </w:tcBorders>
      </w:tcPr>
    </w:tblStylePr>
    <w:tblStylePr w:type="lastCol">
      <w:rPr>
        <w:b/>
        <w:color w:val="404040"/>
      </w:rPr>
    </w:tblStylePr>
    <w:tblStylePr w:type="lastRow">
      <w:rPr>
        <w:b/>
        <w:color w:val="404040"/>
      </w:rPr>
      <w:tcPr>
        <w:tcBorders>
          <w:top w:val="single" w:color="A02B93" w:themeColor="accent5" w:sz="4" w:space="0"/>
          <w:left w:val="none" w:color="000000" w:sz="4" w:space="0"/>
          <w:bottom w:val="none" w:color="000000" w:sz="4" w:space="0"/>
          <w:right w:val="none" w:color="000000" w:sz="4" w:space="0"/>
        </w:tcBorders>
      </w:tcPr>
    </w:tblStylePr>
  </w:style>
  <w:style w:type="table" w:styleId="917" w:customStyle="1">
    <w:name w:val="List Table 1 Light - Accent 6"/>
    <w:basedOn w:val="765"/>
    <w:uiPriority w:val="99"/>
    <w:qFormat/>
    <w:tblPr/>
    <w:tblStylePr w:type="band1Horz">
      <w:tcPr>
        <w:shd w:val="clear" w:color="cfefc4" w:themeColor="accent6" w:themeTint="40" w:fill="cfefc4" w:themeFill="accent6" w:themeFillTint="40"/>
      </w:tcPr>
    </w:tblStylePr>
    <w:tblStylePr w:type="band1Vert">
      <w:tcPr>
        <w:shd w:val="clear" w:color="cfefc4" w:themeColor="accent6" w:themeTint="40" w:fill="cfefc4"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EA72E" w:themeColor="accent6" w:sz="4" w:space="0"/>
          <w:right w:val="none" w:color="000000" w:sz="4" w:space="0"/>
        </w:tcBorders>
      </w:tcPr>
    </w:tblStylePr>
    <w:tblStylePr w:type="lastCol">
      <w:rPr>
        <w:b/>
        <w:color w:val="404040"/>
      </w:rPr>
    </w:tblStylePr>
    <w:tblStylePr w:type="lastRow">
      <w:rPr>
        <w:b/>
        <w:color w:val="404040"/>
      </w:rPr>
      <w:tcPr>
        <w:tcBorders>
          <w:top w:val="single" w:color="4EA72E" w:themeColor="accent6" w:sz="4" w:space="0"/>
          <w:left w:val="none" w:color="000000" w:sz="4" w:space="0"/>
          <w:bottom w:val="none" w:color="000000" w:sz="4" w:space="0"/>
          <w:right w:val="none" w:color="000000" w:sz="4" w:space="0"/>
        </w:tcBorders>
      </w:tcPr>
    </w:tblStylePr>
  </w:style>
  <w:style w:type="table" w:styleId="918" w:customStyle="1">
    <w:name w:val="清单表 21"/>
    <w:basedOn w:val="765"/>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19" w:customStyle="1">
    <w:name w:val="List Table 2 - Accent 1"/>
    <w:basedOn w:val="765"/>
    <w:uiPriority w:val="99"/>
    <w:qFormat/>
    <w:tblPr>
      <w:tblBorders>
        <w:top w:val="single" w:color="50B4E2" w:themeColor="accent1" w:themeTint="90" w:sz="4" w:space="0"/>
        <w:bottom w:val="single" w:color="50B4E2" w:themeColor="accent1" w:themeTint="90" w:sz="4" w:space="0"/>
        <w:insideH w:val="single" w:color="50B4E2" w:themeColor="accent1" w:themeTint="90" w:sz="4" w:space="0"/>
      </w:tblBorders>
    </w:tblPr>
    <w:tblStylePr w:type="band1Horz">
      <w:rPr>
        <w:rFonts w:ascii="Arial" w:hAnsi="Arial"/>
        <w:color w:val="404040"/>
        <w:sz w:val="22"/>
      </w:rPr>
      <w:tcPr>
        <w:shd w:val="clear" w:color="b1def2" w:themeColor="accent1" w:themeTint="40" w:fill="b1def2" w:themeFill="accent1" w:themeFillTint="40"/>
      </w:tcPr>
    </w:tblStylePr>
    <w:tblStylePr w:type="band1Vert">
      <w:rPr>
        <w:rFonts w:ascii="Arial" w:hAnsi="Arial"/>
        <w:color w:val="404040"/>
        <w:sz w:val="22"/>
      </w:rPr>
      <w:tcPr>
        <w:shd w:val="clear" w:color="b1def2" w:themeColor="accent1" w:themeTint="40" w:fill="b1de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50B4E2" w:themeColor="accent1" w:themeTint="90" w:sz="4" w:space="0"/>
          <w:left w:val="none" w:color="000000" w:sz="4" w:space="0"/>
          <w:bottom w:val="single" w:color="50B4E2"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50B4E2" w:themeColor="accent1" w:themeTint="90" w:sz="4" w:space="0"/>
          <w:left w:val="none" w:color="000000" w:sz="4" w:space="0"/>
          <w:bottom w:val="single" w:color="50B4E2" w:themeColor="accent1" w:themeTint="90" w:sz="4" w:space="0"/>
          <w:right w:val="none" w:color="000000" w:sz="4" w:space="0"/>
        </w:tcBorders>
      </w:tcPr>
    </w:tblStylePr>
  </w:style>
  <w:style w:type="table" w:styleId="920" w:customStyle="1">
    <w:name w:val="List Table 2 - Accent 2"/>
    <w:basedOn w:val="765"/>
    <w:uiPriority w:val="99"/>
    <w:qFormat/>
    <w:tblPr>
      <w:tblBorders>
        <w:top w:val="single" w:color="F2AE8B" w:themeColor="accent2" w:themeTint="90" w:sz="4" w:space="0"/>
        <w:bottom w:val="single" w:color="F2AE8B" w:themeColor="accent2" w:themeTint="90" w:sz="4" w:space="0"/>
        <w:insideH w:val="single" w:color="F2AE8B" w:themeColor="accent2" w:themeTint="90" w:sz="4" w:space="0"/>
      </w:tblBorders>
    </w:tblPr>
    <w:tblStylePr w:type="band1Horz">
      <w:rPr>
        <w:rFonts w:ascii="Arial" w:hAnsi="Arial"/>
        <w:color w:val="404040"/>
        <w:sz w:val="22"/>
      </w:rPr>
      <w:tcPr>
        <w:shd w:val="clear" w:color="f9dbcb" w:themeColor="accent2" w:themeTint="40" w:fill="f9dbcb" w:themeFill="accent2" w:themeFillTint="40"/>
      </w:tcPr>
    </w:tblStylePr>
    <w:tblStylePr w:type="band1Vert">
      <w:rPr>
        <w:rFonts w:ascii="Arial" w:hAnsi="Arial"/>
        <w:color w:val="404040"/>
        <w:sz w:val="22"/>
      </w:rPr>
      <w:tcPr>
        <w:shd w:val="clear" w:color="f9dbcb" w:themeColor="accent2" w:themeTint="40" w:fill="f9db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2AE8B" w:themeColor="accent2" w:themeTint="90" w:sz="4" w:space="0"/>
          <w:left w:val="none" w:color="000000" w:sz="4" w:space="0"/>
          <w:bottom w:val="single" w:color="F2AE8B"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2AE8B" w:themeColor="accent2" w:themeTint="90" w:sz="4" w:space="0"/>
          <w:left w:val="none" w:color="000000" w:sz="4" w:space="0"/>
          <w:bottom w:val="single" w:color="F2AE8B" w:themeColor="accent2" w:themeTint="90" w:sz="4" w:space="0"/>
          <w:right w:val="none" w:color="000000" w:sz="4" w:space="0"/>
        </w:tcBorders>
      </w:tcPr>
    </w:tblStylePr>
  </w:style>
  <w:style w:type="table" w:styleId="921" w:customStyle="1">
    <w:name w:val="List Table 2 - Accent 3"/>
    <w:basedOn w:val="765"/>
    <w:uiPriority w:val="99"/>
    <w:qFormat/>
    <w:tblPr>
      <w:tblBorders>
        <w:top w:val="single" w:color="51D663" w:themeColor="accent3" w:themeTint="90" w:sz="4" w:space="0"/>
        <w:bottom w:val="single" w:color="51D663" w:themeColor="accent3" w:themeTint="90" w:sz="4" w:space="0"/>
        <w:insideH w:val="single" w:color="51D663" w:themeColor="accent3" w:themeTint="90" w:sz="4" w:space="0"/>
      </w:tblBorders>
    </w:tblPr>
    <w:tblStylePr w:type="band1Horz">
      <w:rPr>
        <w:rFonts w:ascii="Arial" w:hAnsi="Arial"/>
        <w:color w:val="404040"/>
        <w:sz w:val="22"/>
      </w:rPr>
      <w:tcPr>
        <w:shd w:val="clear" w:color="b2edb9" w:themeColor="accent3" w:themeTint="40" w:fill="b2edb9" w:themeFill="accent3" w:themeFillTint="40"/>
      </w:tcPr>
    </w:tblStylePr>
    <w:tblStylePr w:type="band1Vert">
      <w:rPr>
        <w:rFonts w:ascii="Arial" w:hAnsi="Arial"/>
        <w:color w:val="404040"/>
        <w:sz w:val="22"/>
      </w:rPr>
      <w:tcPr>
        <w:shd w:val="clear" w:color="b2edb9" w:themeColor="accent3" w:themeTint="40" w:fill="b2edb9"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51D663" w:themeColor="accent3" w:themeTint="90" w:sz="4" w:space="0"/>
          <w:left w:val="none" w:color="000000" w:sz="4" w:space="0"/>
          <w:bottom w:val="single" w:color="51D663"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51D663" w:themeColor="accent3" w:themeTint="90" w:sz="4" w:space="0"/>
          <w:left w:val="none" w:color="000000" w:sz="4" w:space="0"/>
          <w:bottom w:val="single" w:color="51D663" w:themeColor="accent3" w:themeTint="90" w:sz="4" w:space="0"/>
          <w:right w:val="none" w:color="000000" w:sz="4" w:space="0"/>
        </w:tcBorders>
      </w:tcPr>
    </w:tblStylePr>
  </w:style>
  <w:style w:type="table" w:styleId="922" w:customStyle="1">
    <w:name w:val="List Table 2 - Accent 4"/>
    <w:basedOn w:val="765"/>
    <w:uiPriority w:val="99"/>
    <w:qFormat/>
    <w:tblPr>
      <w:tblBorders>
        <w:top w:val="single" w:color="6ACDF4" w:themeColor="accent4" w:themeTint="90" w:sz="4" w:space="0"/>
        <w:bottom w:val="single" w:color="6ACDF4" w:themeColor="accent4" w:themeTint="90" w:sz="4" w:space="0"/>
        <w:insideH w:val="single" w:color="6ACDF4" w:themeColor="accent4" w:themeTint="90" w:sz="4" w:space="0"/>
      </w:tblBorders>
    </w:tblPr>
    <w:tblStylePr w:type="band1Horz">
      <w:rPr>
        <w:rFonts w:ascii="Arial" w:hAnsi="Arial"/>
        <w:color w:val="404040"/>
        <w:sz w:val="22"/>
      </w:rPr>
      <w:tcPr>
        <w:shd w:val="clear" w:color="bce9fa" w:themeColor="accent4" w:themeTint="40" w:fill="bce9fa" w:themeFill="accent4" w:themeFillTint="40"/>
      </w:tcPr>
    </w:tblStylePr>
    <w:tblStylePr w:type="band1Vert">
      <w:rPr>
        <w:rFonts w:ascii="Arial" w:hAnsi="Arial"/>
        <w:color w:val="404040"/>
        <w:sz w:val="22"/>
      </w:rPr>
      <w:tcPr>
        <w:shd w:val="clear" w:color="bce9fa" w:themeColor="accent4" w:themeTint="40" w:fill="bce9fa"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ACDF4" w:themeColor="accent4" w:themeTint="90" w:sz="4" w:space="0"/>
          <w:left w:val="none" w:color="000000" w:sz="4" w:space="0"/>
          <w:bottom w:val="single" w:color="6ACDF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ACDF4" w:themeColor="accent4" w:themeTint="90" w:sz="4" w:space="0"/>
          <w:left w:val="none" w:color="000000" w:sz="4" w:space="0"/>
          <w:bottom w:val="single" w:color="6ACDF4" w:themeColor="accent4" w:themeTint="90" w:sz="4" w:space="0"/>
          <w:right w:val="none" w:color="000000" w:sz="4" w:space="0"/>
        </w:tcBorders>
      </w:tcPr>
    </w:tblStylePr>
  </w:style>
  <w:style w:type="table" w:styleId="923" w:customStyle="1">
    <w:name w:val="List Table 2 - Accent 5"/>
    <w:basedOn w:val="765"/>
    <w:uiPriority w:val="99"/>
    <w:qFormat/>
    <w:tblPr>
      <w:tblBorders>
        <w:top w:val="single" w:color="DA76CE" w:themeColor="accent5" w:themeTint="90" w:sz="4" w:space="0"/>
        <w:bottom w:val="single" w:color="DA76CE" w:themeColor="accent5" w:themeTint="90" w:sz="4" w:space="0"/>
        <w:insideH w:val="single" w:color="DA76CE" w:themeColor="accent5" w:themeTint="90" w:sz="4" w:space="0"/>
      </w:tblBorders>
    </w:tblPr>
    <w:tblStylePr w:type="band1Horz">
      <w:rPr>
        <w:rFonts w:ascii="Arial" w:hAnsi="Arial"/>
        <w:color w:val="404040"/>
        <w:sz w:val="22"/>
      </w:rPr>
      <w:tcPr>
        <w:shd w:val="clear" w:color="eec2e9" w:themeColor="accent5" w:themeTint="40" w:fill="eec2e9" w:themeFill="accent5" w:themeFillTint="40"/>
      </w:tcPr>
    </w:tblStylePr>
    <w:tblStylePr w:type="band1Vert">
      <w:rPr>
        <w:rFonts w:ascii="Arial" w:hAnsi="Arial"/>
        <w:color w:val="404040"/>
        <w:sz w:val="22"/>
      </w:rPr>
      <w:tcPr>
        <w:shd w:val="clear" w:color="eec2e9" w:themeColor="accent5" w:themeTint="40" w:fill="eec2e9"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A76CE" w:themeColor="accent5" w:themeTint="90" w:sz="4" w:space="0"/>
          <w:left w:val="none" w:color="000000" w:sz="4" w:space="0"/>
          <w:bottom w:val="single" w:color="DA76C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A76CE" w:themeColor="accent5" w:themeTint="90" w:sz="4" w:space="0"/>
          <w:left w:val="none" w:color="000000" w:sz="4" w:space="0"/>
          <w:bottom w:val="single" w:color="DA76CE" w:themeColor="accent5" w:themeTint="90" w:sz="4" w:space="0"/>
          <w:right w:val="none" w:color="000000" w:sz="4" w:space="0"/>
        </w:tcBorders>
      </w:tcPr>
    </w:tblStylePr>
  </w:style>
  <w:style w:type="table" w:styleId="924" w:customStyle="1">
    <w:name w:val="List Table 2 - Accent 6"/>
    <w:basedOn w:val="765"/>
    <w:uiPriority w:val="99"/>
    <w:qFormat/>
    <w:tblPr>
      <w:tblBorders>
        <w:top w:val="single" w:color="94DA7B" w:themeColor="accent6" w:themeTint="90" w:sz="4" w:space="0"/>
        <w:bottom w:val="single" w:color="94DA7B" w:themeColor="accent6" w:themeTint="90" w:sz="4" w:space="0"/>
        <w:insideH w:val="single" w:color="94DA7B" w:themeColor="accent6" w:themeTint="90" w:sz="4" w:space="0"/>
      </w:tblBorders>
    </w:tblPr>
    <w:tblStylePr w:type="band1Horz">
      <w:rPr>
        <w:rFonts w:ascii="Arial" w:hAnsi="Arial"/>
        <w:color w:val="404040"/>
        <w:sz w:val="22"/>
      </w:rPr>
      <w:tcPr>
        <w:shd w:val="clear" w:color="cfefc4" w:themeColor="accent6" w:themeTint="40" w:fill="cfefc4" w:themeFill="accent6" w:themeFillTint="40"/>
      </w:tcPr>
    </w:tblStylePr>
    <w:tblStylePr w:type="band1Vert">
      <w:rPr>
        <w:rFonts w:ascii="Arial" w:hAnsi="Arial"/>
        <w:color w:val="404040"/>
        <w:sz w:val="22"/>
      </w:rPr>
      <w:tcPr>
        <w:shd w:val="clear" w:color="cfefc4" w:themeColor="accent6" w:themeTint="40" w:fill="cfefc4"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4DA7B" w:themeColor="accent6" w:themeTint="90" w:sz="4" w:space="0"/>
          <w:left w:val="none" w:color="000000" w:sz="4" w:space="0"/>
          <w:bottom w:val="single" w:color="94DA7B"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4DA7B" w:themeColor="accent6" w:themeTint="90" w:sz="4" w:space="0"/>
          <w:left w:val="none" w:color="000000" w:sz="4" w:space="0"/>
          <w:bottom w:val="single" w:color="94DA7B" w:themeColor="accent6" w:themeTint="90" w:sz="4" w:space="0"/>
          <w:right w:val="none" w:color="000000" w:sz="4" w:space="0"/>
        </w:tcBorders>
      </w:tcPr>
    </w:tblStylePr>
  </w:style>
  <w:style w:type="table" w:styleId="925" w:customStyle="1">
    <w:name w:val="清单表 31"/>
    <w:basedOn w:val="76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6" w:customStyle="1">
    <w:name w:val="List Table 3 - Accent 1"/>
    <w:basedOn w:val="765"/>
    <w:uiPriority w:val="99"/>
    <w:qFormat/>
    <w:tblPr>
      <w:tblBorders>
        <w:top w:val="single" w:color="156082" w:themeColor="accent1" w:sz="4" w:space="0"/>
        <w:left w:val="single" w:color="156082" w:themeColor="accent1" w:sz="4" w:space="0"/>
        <w:bottom w:val="single" w:color="156082" w:themeColor="accent1" w:sz="4" w:space="0"/>
        <w:right w:val="single" w:color="156082" w:themeColor="accent1" w:sz="4" w:space="0"/>
      </w:tblBorders>
    </w:tblPr>
    <w:tblStylePr w:type="band1Horz">
      <w:rPr>
        <w:rFonts w:ascii="Arial" w:hAnsi="Arial"/>
        <w:color w:val="404040"/>
        <w:sz w:val="22"/>
      </w:rPr>
      <w:tcPr>
        <w:tcBorders>
          <w:top w:val="single" w:color="156082" w:themeColor="accent1" w:sz="4" w:space="0"/>
          <w:bottom w:val="single" w:color="156082" w:themeColor="accent1" w:sz="4" w:space="0"/>
        </w:tcBorders>
      </w:tcPr>
    </w:tblStylePr>
    <w:tblStylePr w:type="band1Vert">
      <w:rPr>
        <w:rFonts w:ascii="Arial" w:hAnsi="Arial"/>
        <w:color w:val="404040"/>
        <w:sz w:val="22"/>
      </w:rPr>
      <w:tcPr>
        <w:tcBorders>
          <w:left w:val="single" w:color="156082" w:themeColor="accent1" w:sz="4" w:space="0"/>
          <w:right w:val="single" w:color="156082" w:themeColor="accent1" w:sz="4" w:space="0"/>
        </w:tcBorders>
      </w:tcPr>
    </w:tblStylePr>
    <w:tblStylePr w:type="firstCol">
      <w:rPr>
        <w:b/>
        <w:color w:val="404040"/>
      </w:rPr>
    </w:tblStylePr>
    <w:tblStylePr w:type="firstRow">
      <w:rPr>
        <w:rFonts w:ascii="Arial" w:hAnsi="Arial"/>
        <w:b/>
        <w:color w:val="ffffff"/>
        <w:sz w:val="22"/>
      </w:rPr>
      <w:tcPr>
        <w:shd w:val="clear" w:color="156082" w:themeColor="accent1" w:fill="156082" w:themeFill="accent1"/>
      </w:tcPr>
    </w:tblStylePr>
    <w:tblStylePr w:type="lastCol">
      <w:rPr>
        <w:b/>
        <w:color w:val="404040"/>
      </w:rPr>
    </w:tblStylePr>
    <w:tblStylePr w:type="lastRow">
      <w:rPr>
        <w:b/>
        <w:color w:val="404040"/>
      </w:rPr>
    </w:tblStylePr>
  </w:style>
  <w:style w:type="table" w:styleId="927" w:customStyle="1">
    <w:name w:val="List Table 3 - Accent 2"/>
    <w:basedOn w:val="765"/>
    <w:uiPriority w:val="99"/>
    <w:qFormat/>
    <w:tblPr>
      <w:tblBorders>
        <w:top w:val="single" w:color="F2AA85" w:themeColor="accent2" w:themeTint="97" w:sz="4" w:space="0"/>
        <w:left w:val="single" w:color="F2AA85" w:themeColor="accent2" w:themeTint="97" w:sz="4" w:space="0"/>
        <w:bottom w:val="single" w:color="F2AA85" w:themeColor="accent2" w:themeTint="97" w:sz="4" w:space="0"/>
        <w:right w:val="single" w:color="F2AA85" w:themeColor="accent2" w:themeTint="97" w:sz="4" w:space="0"/>
      </w:tblBorders>
    </w:tblPr>
    <w:tblStylePr w:type="band1Horz">
      <w:rPr>
        <w:rFonts w:ascii="Arial" w:hAnsi="Arial"/>
        <w:color w:val="404040"/>
        <w:sz w:val="22"/>
      </w:rPr>
      <w:tcPr>
        <w:tcBorders>
          <w:top w:val="single" w:color="F2AA85" w:themeColor="accent2" w:themeTint="97" w:sz="4" w:space="0"/>
          <w:bottom w:val="single" w:color="F2AA85" w:themeColor="accent2" w:themeTint="97" w:sz="4" w:space="0"/>
        </w:tcBorders>
      </w:tcPr>
    </w:tblStylePr>
    <w:tblStylePr w:type="band1Vert">
      <w:rPr>
        <w:rFonts w:ascii="Arial" w:hAnsi="Arial"/>
        <w:color w:val="404040"/>
        <w:sz w:val="22"/>
      </w:rPr>
      <w:tcPr>
        <w:tcBorders>
          <w:left w:val="single" w:color="F2AA85" w:themeColor="accent2" w:themeTint="97" w:sz="4" w:space="0"/>
          <w:right w:val="single" w:color="F2AA85" w:themeColor="accent2" w:themeTint="97" w:sz="4" w:space="0"/>
        </w:tcBorders>
      </w:tcPr>
    </w:tblStylePr>
    <w:tblStylePr w:type="firstCol">
      <w:rPr>
        <w:b/>
        <w:color w:val="404040"/>
      </w:rPr>
    </w:tblStylePr>
    <w:tblStylePr w:type="firstRow">
      <w:rPr>
        <w:rFonts w:ascii="Arial" w:hAnsi="Arial"/>
        <w:b/>
        <w:color w:val="ffffff"/>
        <w:sz w:val="22"/>
      </w:rPr>
      <w:tcPr>
        <w:shd w:val="clear" w:color="f2aa85" w:themeColor="accent2" w:themeTint="97" w:fill="f2aa85" w:themeFill="accent2" w:themeFillTint="97"/>
      </w:tcPr>
    </w:tblStylePr>
    <w:tblStylePr w:type="lastCol">
      <w:rPr>
        <w:b/>
        <w:color w:val="404040"/>
      </w:rPr>
    </w:tblStylePr>
    <w:tblStylePr w:type="lastRow">
      <w:rPr>
        <w:b/>
        <w:color w:val="404040"/>
      </w:rPr>
    </w:tblStylePr>
  </w:style>
  <w:style w:type="table" w:styleId="928" w:customStyle="1">
    <w:name w:val="List Table 3 - Accent 3"/>
    <w:basedOn w:val="765"/>
    <w:uiPriority w:val="99"/>
    <w:qFormat/>
    <w:tblPr>
      <w:tblBorders>
        <w:top w:val="single" w:color="48D45B" w:themeColor="accent3" w:themeTint="98" w:sz="4" w:space="0"/>
        <w:left w:val="single" w:color="48D45B" w:themeColor="accent3" w:themeTint="98" w:sz="4" w:space="0"/>
        <w:bottom w:val="single" w:color="48D45B" w:themeColor="accent3" w:themeTint="98" w:sz="4" w:space="0"/>
        <w:right w:val="single" w:color="48D45B" w:themeColor="accent3" w:themeTint="98" w:sz="4" w:space="0"/>
      </w:tblBorders>
    </w:tblPr>
    <w:tblStylePr w:type="band1Horz">
      <w:rPr>
        <w:rFonts w:ascii="Arial" w:hAnsi="Arial"/>
        <w:color w:val="404040"/>
        <w:sz w:val="22"/>
      </w:rPr>
      <w:tcPr>
        <w:tcBorders>
          <w:top w:val="single" w:color="48D45B" w:themeColor="accent3" w:themeTint="98" w:sz="4" w:space="0"/>
          <w:bottom w:val="single" w:color="48D45B" w:themeColor="accent3" w:themeTint="98" w:sz="4" w:space="0"/>
        </w:tcBorders>
      </w:tcPr>
    </w:tblStylePr>
    <w:tblStylePr w:type="band1Vert">
      <w:rPr>
        <w:rFonts w:ascii="Arial" w:hAnsi="Arial"/>
        <w:color w:val="404040"/>
        <w:sz w:val="22"/>
      </w:rPr>
      <w:tcPr>
        <w:tcBorders>
          <w:left w:val="single" w:color="48D45B" w:themeColor="accent3" w:themeTint="98" w:sz="4" w:space="0"/>
          <w:right w:val="single" w:color="48D45B" w:themeColor="accent3" w:themeTint="98" w:sz="4" w:space="0"/>
        </w:tcBorders>
      </w:tcPr>
    </w:tblStylePr>
    <w:tblStylePr w:type="firstCol">
      <w:rPr>
        <w:b/>
        <w:color w:val="404040"/>
      </w:rPr>
    </w:tblStylePr>
    <w:tblStylePr w:type="firstRow">
      <w:rPr>
        <w:rFonts w:ascii="Arial" w:hAnsi="Arial"/>
        <w:b/>
        <w:color w:val="ffffff"/>
        <w:sz w:val="22"/>
      </w:rPr>
      <w:tcPr>
        <w:shd w:val="clear" w:color="48d45b" w:themeColor="accent3" w:themeTint="98" w:fill="48d45b" w:themeFill="accent3" w:themeFillTint="98"/>
      </w:tcPr>
    </w:tblStylePr>
    <w:tblStylePr w:type="lastCol">
      <w:rPr>
        <w:b/>
        <w:color w:val="404040"/>
      </w:rPr>
    </w:tblStylePr>
    <w:tblStylePr w:type="lastRow">
      <w:rPr>
        <w:b/>
        <w:color w:val="404040"/>
      </w:rPr>
    </w:tblStylePr>
  </w:style>
  <w:style w:type="table" w:styleId="929" w:customStyle="1">
    <w:name w:val="List Table 3 - Accent 4"/>
    <w:basedOn w:val="765"/>
    <w:uiPriority w:val="99"/>
    <w:qFormat/>
    <w:tblPr>
      <w:tbl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tblBorders>
    </w:tblPr>
    <w:tblStylePr w:type="band1Horz">
      <w:rPr>
        <w:rFonts w:ascii="Arial" w:hAnsi="Arial"/>
        <w:color w:val="404040"/>
        <w:sz w:val="22"/>
      </w:rPr>
      <w:tcPr>
        <w:tcBorders>
          <w:top w:val="single" w:color="5FCAF3" w:themeColor="accent4" w:themeTint="9A" w:sz="4" w:space="0"/>
          <w:bottom w:val="single" w:color="5FCAF3" w:themeColor="accent4" w:themeTint="9A" w:sz="4" w:space="0"/>
        </w:tcBorders>
      </w:tcPr>
    </w:tblStylePr>
    <w:tblStylePr w:type="band1Vert">
      <w:rPr>
        <w:rFonts w:ascii="Arial" w:hAnsi="Arial"/>
        <w:color w:val="404040"/>
        <w:sz w:val="22"/>
      </w:rPr>
      <w:tcPr>
        <w:tcBorders>
          <w:left w:val="single" w:color="5FCAF3" w:themeColor="accent4" w:themeTint="9A" w:sz="4" w:space="0"/>
          <w:right w:val="single" w:color="5FCAF3" w:themeColor="accent4" w:themeTint="9A" w:sz="4" w:space="0"/>
        </w:tcBorders>
      </w:tcPr>
    </w:tblStylePr>
    <w:tblStylePr w:type="firstCol">
      <w:rPr>
        <w:b/>
        <w:color w:val="404040"/>
      </w:rPr>
    </w:tblStylePr>
    <w:tblStylePr w:type="firstRow">
      <w:rPr>
        <w:rFonts w:ascii="Arial" w:hAnsi="Arial"/>
        <w:b/>
        <w:color w:val="ffffff"/>
        <w:sz w:val="22"/>
      </w:rPr>
      <w:tcPr>
        <w:shd w:val="clear" w:color="5fcaf3" w:themeColor="accent4" w:themeTint="9A" w:fill="5fcaf3" w:themeFill="accent4" w:themeFillTint="9A"/>
      </w:tcPr>
    </w:tblStylePr>
    <w:tblStylePr w:type="lastCol">
      <w:rPr>
        <w:b/>
        <w:color w:val="404040"/>
      </w:rPr>
    </w:tblStylePr>
    <w:tblStylePr w:type="lastRow">
      <w:rPr>
        <w:b/>
        <w:color w:val="404040"/>
      </w:rPr>
    </w:tblStylePr>
  </w:style>
  <w:style w:type="table" w:styleId="930" w:customStyle="1">
    <w:name w:val="List Table 3 - Accent 5"/>
    <w:basedOn w:val="765"/>
    <w:uiPriority w:val="99"/>
    <w:qFormat/>
    <w:tblPr>
      <w:tblBorders>
        <w:top w:val="single" w:color="D76CCB" w:themeColor="accent5" w:themeTint="9A" w:sz="4" w:space="0"/>
        <w:left w:val="single" w:color="D76CCB" w:themeColor="accent5" w:themeTint="9A" w:sz="4" w:space="0"/>
        <w:bottom w:val="single" w:color="D76CCB" w:themeColor="accent5" w:themeTint="9A" w:sz="4" w:space="0"/>
        <w:right w:val="single" w:color="D76CCB" w:themeColor="accent5" w:themeTint="9A" w:sz="4" w:space="0"/>
      </w:tblBorders>
    </w:tblPr>
    <w:tblStylePr w:type="band1Horz">
      <w:rPr>
        <w:rFonts w:ascii="Arial" w:hAnsi="Arial"/>
        <w:color w:val="404040"/>
        <w:sz w:val="22"/>
      </w:rPr>
      <w:tcPr>
        <w:tcBorders>
          <w:top w:val="single" w:color="D76CCB" w:themeColor="accent5" w:themeTint="9A" w:sz="4" w:space="0"/>
          <w:bottom w:val="single" w:color="D76CCB" w:themeColor="accent5" w:themeTint="9A" w:sz="4" w:space="0"/>
        </w:tcBorders>
      </w:tcPr>
    </w:tblStylePr>
    <w:tblStylePr w:type="band1Vert">
      <w:rPr>
        <w:rFonts w:ascii="Arial" w:hAnsi="Arial"/>
        <w:color w:val="404040"/>
        <w:sz w:val="22"/>
      </w:rPr>
      <w:tcPr>
        <w:tcBorders>
          <w:left w:val="single" w:color="D76CCB" w:themeColor="accent5" w:themeTint="9A" w:sz="4" w:space="0"/>
          <w:right w:val="single" w:color="D76CCB" w:themeColor="accent5" w:themeTint="9A" w:sz="4" w:space="0"/>
        </w:tcBorders>
      </w:tcPr>
    </w:tblStylePr>
    <w:tblStylePr w:type="firstCol">
      <w:rPr>
        <w:b/>
        <w:color w:val="404040"/>
      </w:rPr>
    </w:tblStylePr>
    <w:tblStylePr w:type="firstRow">
      <w:rPr>
        <w:rFonts w:ascii="Arial" w:hAnsi="Arial"/>
        <w:b/>
        <w:color w:val="ffffff"/>
        <w:sz w:val="22"/>
      </w:rPr>
      <w:tcPr>
        <w:shd w:val="clear" w:color="d76ccb" w:themeColor="accent5" w:themeTint="9A" w:fill="d76ccb" w:themeFill="accent5" w:themeFillTint="9A"/>
      </w:tcPr>
    </w:tblStylePr>
    <w:tblStylePr w:type="lastCol">
      <w:rPr>
        <w:b/>
        <w:color w:val="404040"/>
      </w:rPr>
    </w:tblStylePr>
    <w:tblStylePr w:type="lastRow">
      <w:rPr>
        <w:b/>
        <w:color w:val="404040"/>
      </w:rPr>
    </w:tblStylePr>
  </w:style>
  <w:style w:type="table" w:styleId="931" w:customStyle="1">
    <w:name w:val="List Table 3 - Accent 6"/>
    <w:basedOn w:val="765"/>
    <w:uiPriority w:val="99"/>
    <w:qFormat/>
    <w:tblPr>
      <w:tblBorders>
        <w:top w:val="single" w:color="8ED873" w:themeColor="accent6" w:themeTint="98" w:sz="4" w:space="0"/>
        <w:left w:val="single" w:color="8ED873" w:themeColor="accent6" w:themeTint="98" w:sz="4" w:space="0"/>
        <w:bottom w:val="single" w:color="8ED873" w:themeColor="accent6" w:themeTint="98" w:sz="4" w:space="0"/>
        <w:right w:val="single" w:color="8ED873" w:themeColor="accent6" w:themeTint="98" w:sz="4" w:space="0"/>
      </w:tblBorders>
    </w:tblPr>
    <w:tblStylePr w:type="band1Horz">
      <w:rPr>
        <w:rFonts w:ascii="Arial" w:hAnsi="Arial"/>
        <w:color w:val="404040"/>
        <w:sz w:val="22"/>
      </w:rPr>
      <w:tcPr>
        <w:tcBorders>
          <w:top w:val="single" w:color="8ED873" w:themeColor="accent6" w:themeTint="98" w:sz="4" w:space="0"/>
          <w:bottom w:val="single" w:color="8ED873" w:themeColor="accent6" w:themeTint="98" w:sz="4" w:space="0"/>
        </w:tcBorders>
      </w:tcPr>
    </w:tblStylePr>
    <w:tblStylePr w:type="band1Vert">
      <w:rPr>
        <w:rFonts w:ascii="Arial" w:hAnsi="Arial"/>
        <w:color w:val="404040"/>
        <w:sz w:val="22"/>
      </w:rPr>
      <w:tcPr>
        <w:tcBorders>
          <w:left w:val="single" w:color="8ED873" w:themeColor="accent6" w:themeTint="98" w:sz="4" w:space="0"/>
          <w:right w:val="single" w:color="8ED873" w:themeColor="accent6" w:themeTint="98" w:sz="4" w:space="0"/>
        </w:tcBorders>
      </w:tcPr>
    </w:tblStylePr>
    <w:tblStylePr w:type="firstCol">
      <w:rPr>
        <w:b/>
        <w:color w:val="404040"/>
      </w:rPr>
    </w:tblStylePr>
    <w:tblStylePr w:type="firstRow">
      <w:rPr>
        <w:rFonts w:ascii="Arial" w:hAnsi="Arial"/>
        <w:b/>
        <w:color w:val="ffffff"/>
        <w:sz w:val="22"/>
      </w:rPr>
      <w:tcPr>
        <w:shd w:val="clear" w:color="8ed873" w:themeColor="accent6" w:themeTint="98" w:fill="8ed873" w:themeFill="accent6" w:themeFillTint="98"/>
      </w:tcPr>
    </w:tblStylePr>
    <w:tblStylePr w:type="lastCol">
      <w:rPr>
        <w:b/>
        <w:color w:val="404040"/>
      </w:rPr>
    </w:tblStylePr>
    <w:tblStylePr w:type="lastRow">
      <w:rPr>
        <w:b/>
        <w:color w:val="404040"/>
      </w:rPr>
    </w:tblStylePr>
  </w:style>
  <w:style w:type="table" w:styleId="932" w:customStyle="1">
    <w:name w:val="清单表 41"/>
    <w:basedOn w:val="76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3" w:customStyle="1">
    <w:name w:val="List Table 4 - Accent 1"/>
    <w:basedOn w:val="765"/>
    <w:uiPriority w:val="99"/>
    <w:qFormat/>
    <w:tblPr>
      <w:tblBorders>
        <w:top w:val="single" w:color="50B4E2" w:themeColor="accent1" w:themeTint="90" w:sz="4" w:space="0"/>
        <w:left w:val="single" w:color="50B4E2" w:themeColor="accent1" w:themeTint="90" w:sz="4" w:space="0"/>
        <w:bottom w:val="single" w:color="50B4E2" w:themeColor="accent1" w:themeTint="90" w:sz="4" w:space="0"/>
        <w:right w:val="single" w:color="50B4E2" w:themeColor="accent1" w:themeTint="90" w:sz="4" w:space="0"/>
        <w:insideH w:val="single" w:color="50B4E2" w:themeColor="accent1" w:themeTint="90" w:sz="4" w:space="0"/>
      </w:tblBorders>
    </w:tblPr>
    <w:tblStylePr w:type="band1Horz">
      <w:rPr>
        <w:rFonts w:ascii="Arial" w:hAnsi="Arial"/>
        <w:color w:val="404040"/>
        <w:sz w:val="22"/>
      </w:rPr>
      <w:tcPr>
        <w:shd w:val="clear" w:color="b1def2" w:themeColor="accent1" w:themeTint="40" w:fill="b1def2" w:themeFill="accent1" w:themeFillTint="40"/>
      </w:tcPr>
    </w:tblStylePr>
    <w:tblStylePr w:type="band1Vert">
      <w:rPr>
        <w:rFonts w:ascii="Arial" w:hAnsi="Arial"/>
        <w:color w:val="404040"/>
        <w:sz w:val="22"/>
      </w:rPr>
      <w:tcPr>
        <w:shd w:val="clear" w:color="b1def2" w:themeColor="accent1" w:themeTint="40" w:fill="b1def2" w:themeFill="accent1" w:themeFillTint="40"/>
      </w:tcPr>
    </w:tblStylePr>
    <w:tblStylePr w:type="firstCol">
      <w:rPr>
        <w:b/>
        <w:color w:val="404040"/>
      </w:rPr>
    </w:tblStylePr>
    <w:tblStylePr w:type="firstRow">
      <w:rPr>
        <w:rFonts w:ascii="Arial" w:hAnsi="Arial"/>
        <w:b/>
        <w:color w:val="ffffff"/>
        <w:sz w:val="22"/>
      </w:rPr>
      <w:tcPr>
        <w:shd w:val="clear" w:color="156082" w:themeColor="accent1" w:fill="156082" w:themeFill="accent1"/>
      </w:tcPr>
    </w:tblStylePr>
    <w:tblStylePr w:type="lastCol">
      <w:rPr>
        <w:b/>
        <w:color w:val="404040"/>
      </w:rPr>
    </w:tblStylePr>
    <w:tblStylePr w:type="lastRow">
      <w:rPr>
        <w:b/>
        <w:color w:val="404040"/>
      </w:rPr>
    </w:tblStylePr>
  </w:style>
  <w:style w:type="table" w:styleId="934" w:customStyle="1">
    <w:name w:val="List Table 4 - Accent 2"/>
    <w:basedOn w:val="765"/>
    <w:uiPriority w:val="99"/>
    <w:qFormat/>
    <w:tblPr>
      <w:tblBorders>
        <w:top w:val="single" w:color="F2AE8B" w:themeColor="accent2" w:themeTint="90" w:sz="4" w:space="0"/>
        <w:left w:val="single" w:color="F2AE8B" w:themeColor="accent2" w:themeTint="90" w:sz="4" w:space="0"/>
        <w:bottom w:val="single" w:color="F2AE8B" w:themeColor="accent2" w:themeTint="90" w:sz="4" w:space="0"/>
        <w:right w:val="single" w:color="F2AE8B" w:themeColor="accent2" w:themeTint="90" w:sz="4" w:space="0"/>
        <w:insideH w:val="single" w:color="F2AE8B" w:themeColor="accent2" w:themeTint="90" w:sz="4" w:space="0"/>
      </w:tblBorders>
    </w:tblPr>
    <w:tblStylePr w:type="band1Horz">
      <w:rPr>
        <w:rFonts w:ascii="Arial" w:hAnsi="Arial"/>
        <w:color w:val="404040"/>
        <w:sz w:val="22"/>
      </w:rPr>
      <w:tcPr>
        <w:shd w:val="clear" w:color="f9dbcb" w:themeColor="accent2" w:themeTint="40" w:fill="f9dbcb" w:themeFill="accent2" w:themeFillTint="40"/>
      </w:tcPr>
    </w:tblStylePr>
    <w:tblStylePr w:type="band1Vert">
      <w:rPr>
        <w:rFonts w:ascii="Arial" w:hAnsi="Arial"/>
        <w:color w:val="404040"/>
        <w:sz w:val="22"/>
      </w:rPr>
      <w:tcPr>
        <w:shd w:val="clear" w:color="f9dbcb" w:themeColor="accent2" w:themeTint="40" w:fill="f9dbcb" w:themeFill="accent2" w:themeFillTint="40"/>
      </w:tcPr>
    </w:tblStylePr>
    <w:tblStylePr w:type="firstCol">
      <w:rPr>
        <w:b/>
        <w:color w:val="404040"/>
      </w:rPr>
    </w:tblStylePr>
    <w:tblStylePr w:type="firstRow">
      <w:rPr>
        <w:rFonts w:ascii="Arial" w:hAnsi="Arial"/>
        <w:b/>
        <w:color w:val="ffffff"/>
        <w:sz w:val="22"/>
      </w:rPr>
      <w:tcPr>
        <w:shd w:val="clear" w:color="e97132" w:themeColor="accent2" w:fill="e97132" w:themeFill="accent2"/>
      </w:tcPr>
    </w:tblStylePr>
    <w:tblStylePr w:type="lastCol">
      <w:rPr>
        <w:b/>
        <w:color w:val="404040"/>
      </w:rPr>
    </w:tblStylePr>
    <w:tblStylePr w:type="lastRow">
      <w:rPr>
        <w:b/>
        <w:color w:val="404040"/>
      </w:rPr>
    </w:tblStylePr>
  </w:style>
  <w:style w:type="table" w:styleId="935" w:customStyle="1">
    <w:name w:val="List Table 4 - Accent 3"/>
    <w:basedOn w:val="765"/>
    <w:uiPriority w:val="99"/>
    <w:qFormat/>
    <w:tblPr>
      <w:tblBorders>
        <w:top w:val="single" w:color="51D663" w:themeColor="accent3" w:themeTint="90" w:sz="4" w:space="0"/>
        <w:left w:val="single" w:color="51D663" w:themeColor="accent3" w:themeTint="90" w:sz="4" w:space="0"/>
        <w:bottom w:val="single" w:color="51D663" w:themeColor="accent3" w:themeTint="90" w:sz="4" w:space="0"/>
        <w:right w:val="single" w:color="51D663" w:themeColor="accent3" w:themeTint="90" w:sz="4" w:space="0"/>
        <w:insideH w:val="single" w:color="51D663" w:themeColor="accent3" w:themeTint="90" w:sz="4" w:space="0"/>
      </w:tblBorders>
    </w:tblPr>
    <w:tblStylePr w:type="band1Horz">
      <w:rPr>
        <w:rFonts w:ascii="Arial" w:hAnsi="Arial"/>
        <w:color w:val="404040"/>
        <w:sz w:val="22"/>
      </w:rPr>
      <w:tcPr>
        <w:shd w:val="clear" w:color="b2edb9" w:themeColor="accent3" w:themeTint="40" w:fill="b2edb9" w:themeFill="accent3" w:themeFillTint="40"/>
      </w:tcPr>
    </w:tblStylePr>
    <w:tblStylePr w:type="band1Vert">
      <w:rPr>
        <w:rFonts w:ascii="Arial" w:hAnsi="Arial"/>
        <w:color w:val="404040"/>
        <w:sz w:val="22"/>
      </w:rPr>
      <w:tcPr>
        <w:shd w:val="clear" w:color="b2edb9" w:themeColor="accent3" w:themeTint="40" w:fill="b2edb9" w:themeFill="accent3" w:themeFillTint="40"/>
      </w:tcPr>
    </w:tblStylePr>
    <w:tblStylePr w:type="firstCol">
      <w:rPr>
        <w:b/>
        <w:color w:val="404040"/>
      </w:rPr>
    </w:tblStylePr>
    <w:tblStylePr w:type="firstRow">
      <w:rPr>
        <w:rFonts w:ascii="Arial" w:hAnsi="Arial"/>
        <w:b/>
        <w:color w:val="ffffff"/>
        <w:sz w:val="22"/>
      </w:rPr>
      <w:tcPr>
        <w:shd w:val="clear" w:color="196b24" w:themeColor="accent3" w:fill="196b24" w:themeFill="accent3"/>
      </w:tcPr>
    </w:tblStylePr>
    <w:tblStylePr w:type="lastCol">
      <w:rPr>
        <w:b/>
        <w:color w:val="404040"/>
      </w:rPr>
    </w:tblStylePr>
    <w:tblStylePr w:type="lastRow">
      <w:rPr>
        <w:b/>
        <w:color w:val="404040"/>
      </w:rPr>
    </w:tblStylePr>
  </w:style>
  <w:style w:type="table" w:styleId="936" w:customStyle="1">
    <w:name w:val="List Table 4 - Accent 4"/>
    <w:basedOn w:val="765"/>
    <w:uiPriority w:val="99"/>
    <w:qFormat/>
    <w:tblPr>
      <w:tblBorders>
        <w:top w:val="single" w:color="6ACDF4" w:themeColor="accent4" w:themeTint="90" w:sz="4" w:space="0"/>
        <w:left w:val="single" w:color="6ACDF4" w:themeColor="accent4" w:themeTint="90" w:sz="4" w:space="0"/>
        <w:bottom w:val="single" w:color="6ACDF4" w:themeColor="accent4" w:themeTint="90" w:sz="4" w:space="0"/>
        <w:right w:val="single" w:color="6ACDF4" w:themeColor="accent4" w:themeTint="90" w:sz="4" w:space="0"/>
        <w:insideH w:val="single" w:color="6ACDF4" w:themeColor="accent4" w:themeTint="90" w:sz="4" w:space="0"/>
      </w:tblBorders>
    </w:tblPr>
    <w:tblStylePr w:type="band1Horz">
      <w:rPr>
        <w:rFonts w:ascii="Arial" w:hAnsi="Arial"/>
        <w:color w:val="404040"/>
        <w:sz w:val="22"/>
      </w:rPr>
      <w:tcPr>
        <w:shd w:val="clear" w:color="bce9fa" w:themeColor="accent4" w:themeTint="40" w:fill="bce9fa" w:themeFill="accent4" w:themeFillTint="40"/>
      </w:tcPr>
    </w:tblStylePr>
    <w:tblStylePr w:type="band1Vert">
      <w:rPr>
        <w:rFonts w:ascii="Arial" w:hAnsi="Arial"/>
        <w:color w:val="404040"/>
        <w:sz w:val="22"/>
      </w:rPr>
      <w:tcPr>
        <w:shd w:val="clear" w:color="bce9fa" w:themeColor="accent4" w:themeTint="40" w:fill="bce9fa" w:themeFill="accent4" w:themeFillTint="40"/>
      </w:tcPr>
    </w:tblStylePr>
    <w:tblStylePr w:type="firstCol">
      <w:rPr>
        <w:b/>
        <w:color w:val="404040"/>
      </w:rPr>
    </w:tblStylePr>
    <w:tblStylePr w:type="firstRow">
      <w:rPr>
        <w:rFonts w:ascii="Arial" w:hAnsi="Arial"/>
        <w:b/>
        <w:color w:val="ffffff"/>
        <w:sz w:val="22"/>
      </w:rPr>
      <w:tcPr>
        <w:shd w:val="clear" w:color="0f9ed5" w:themeColor="accent4" w:fill="0f9ed5" w:themeFill="accent4"/>
      </w:tcPr>
    </w:tblStylePr>
    <w:tblStylePr w:type="lastCol">
      <w:rPr>
        <w:b/>
        <w:color w:val="404040"/>
      </w:rPr>
    </w:tblStylePr>
    <w:tblStylePr w:type="lastRow">
      <w:rPr>
        <w:b/>
        <w:color w:val="404040"/>
      </w:rPr>
    </w:tblStylePr>
  </w:style>
  <w:style w:type="table" w:styleId="937" w:customStyle="1">
    <w:name w:val="List Table 4 - Accent 5"/>
    <w:basedOn w:val="765"/>
    <w:uiPriority w:val="99"/>
    <w:qFormat/>
    <w:tblPr>
      <w:tblBorders>
        <w:top w:val="single" w:color="DA76CE" w:themeColor="accent5" w:themeTint="90" w:sz="4" w:space="0"/>
        <w:left w:val="single" w:color="DA76CE" w:themeColor="accent5" w:themeTint="90" w:sz="4" w:space="0"/>
        <w:bottom w:val="single" w:color="DA76CE" w:themeColor="accent5" w:themeTint="90" w:sz="4" w:space="0"/>
        <w:right w:val="single" w:color="DA76CE" w:themeColor="accent5" w:themeTint="90" w:sz="4" w:space="0"/>
        <w:insideH w:val="single" w:color="DA76CE" w:themeColor="accent5" w:themeTint="90" w:sz="4" w:space="0"/>
      </w:tblBorders>
    </w:tblPr>
    <w:tblStylePr w:type="band1Horz">
      <w:rPr>
        <w:rFonts w:ascii="Arial" w:hAnsi="Arial"/>
        <w:color w:val="404040"/>
        <w:sz w:val="22"/>
      </w:rPr>
      <w:tcPr>
        <w:shd w:val="clear" w:color="eec2e9" w:themeColor="accent5" w:themeTint="40" w:fill="eec2e9" w:themeFill="accent5" w:themeFillTint="40"/>
      </w:tcPr>
    </w:tblStylePr>
    <w:tblStylePr w:type="band1Vert">
      <w:rPr>
        <w:rFonts w:ascii="Arial" w:hAnsi="Arial"/>
        <w:color w:val="404040"/>
        <w:sz w:val="22"/>
      </w:rPr>
      <w:tcPr>
        <w:shd w:val="clear" w:color="eec2e9" w:themeColor="accent5" w:themeTint="40" w:fill="eec2e9" w:themeFill="accent5" w:themeFillTint="40"/>
      </w:tcPr>
    </w:tblStylePr>
    <w:tblStylePr w:type="firstCol">
      <w:rPr>
        <w:b/>
        <w:color w:val="404040"/>
      </w:rPr>
    </w:tblStylePr>
    <w:tblStylePr w:type="firstRow">
      <w:rPr>
        <w:rFonts w:ascii="Arial" w:hAnsi="Arial"/>
        <w:b/>
        <w:color w:val="ffffff"/>
        <w:sz w:val="22"/>
      </w:rPr>
      <w:tcPr>
        <w:shd w:val="clear" w:color="a02b93" w:themeColor="accent5" w:fill="a02b93" w:themeFill="accent5"/>
      </w:tcPr>
    </w:tblStylePr>
    <w:tblStylePr w:type="lastCol">
      <w:rPr>
        <w:b/>
        <w:color w:val="404040"/>
      </w:rPr>
    </w:tblStylePr>
    <w:tblStylePr w:type="lastRow">
      <w:rPr>
        <w:b/>
        <w:color w:val="404040"/>
      </w:rPr>
    </w:tblStylePr>
  </w:style>
  <w:style w:type="table" w:styleId="938" w:customStyle="1">
    <w:name w:val="List Table 4 - Accent 6"/>
    <w:basedOn w:val="765"/>
    <w:uiPriority w:val="99"/>
    <w:qFormat/>
    <w:tblPr>
      <w:tblBorders>
        <w:top w:val="single" w:color="94DA7B" w:themeColor="accent6" w:themeTint="90" w:sz="4" w:space="0"/>
        <w:left w:val="single" w:color="94DA7B" w:themeColor="accent6" w:themeTint="90" w:sz="4" w:space="0"/>
        <w:bottom w:val="single" w:color="94DA7B" w:themeColor="accent6" w:themeTint="90" w:sz="4" w:space="0"/>
        <w:right w:val="single" w:color="94DA7B" w:themeColor="accent6" w:themeTint="90" w:sz="4" w:space="0"/>
        <w:insideH w:val="single" w:color="94DA7B" w:themeColor="accent6" w:themeTint="90" w:sz="4" w:space="0"/>
      </w:tblBorders>
    </w:tblPr>
    <w:tblStylePr w:type="band1Horz">
      <w:rPr>
        <w:rFonts w:ascii="Arial" w:hAnsi="Arial"/>
        <w:color w:val="404040"/>
        <w:sz w:val="22"/>
      </w:rPr>
      <w:tcPr>
        <w:shd w:val="clear" w:color="cfefc4" w:themeColor="accent6" w:themeTint="40" w:fill="cfefc4" w:themeFill="accent6" w:themeFillTint="40"/>
      </w:tcPr>
    </w:tblStylePr>
    <w:tblStylePr w:type="band1Vert">
      <w:rPr>
        <w:rFonts w:ascii="Arial" w:hAnsi="Arial"/>
        <w:color w:val="404040"/>
        <w:sz w:val="22"/>
      </w:rPr>
      <w:tcPr>
        <w:shd w:val="clear" w:color="cfefc4" w:themeColor="accent6" w:themeTint="40" w:fill="cfefc4" w:themeFill="accent6" w:themeFillTint="40"/>
      </w:tcPr>
    </w:tblStylePr>
    <w:tblStylePr w:type="firstCol">
      <w:rPr>
        <w:b/>
        <w:color w:val="404040"/>
      </w:rPr>
    </w:tblStylePr>
    <w:tblStylePr w:type="firstRow">
      <w:rPr>
        <w:rFonts w:ascii="Arial" w:hAnsi="Arial"/>
        <w:b/>
        <w:color w:val="ffffff"/>
        <w:sz w:val="22"/>
      </w:rPr>
      <w:tcPr>
        <w:shd w:val="clear" w:color="4ea72e" w:themeColor="accent6" w:fill="4ea72e" w:themeFill="accent6"/>
      </w:tcPr>
    </w:tblStylePr>
    <w:tblStylePr w:type="lastCol">
      <w:rPr>
        <w:b/>
        <w:color w:val="404040"/>
      </w:rPr>
    </w:tblStylePr>
    <w:tblStylePr w:type="lastRow">
      <w:rPr>
        <w:b/>
        <w:color w:val="404040"/>
      </w:rPr>
    </w:tblStylePr>
  </w:style>
  <w:style w:type="table" w:styleId="939" w:customStyle="1">
    <w:name w:val="清单表 5 深色1"/>
    <w:basedOn w:val="765"/>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40" w:customStyle="1">
    <w:name w:val="List Table 5 Dark - Accent 1"/>
    <w:basedOn w:val="765"/>
    <w:uiPriority w:val="99"/>
    <w:qFormat/>
    <w:tblPr>
      <w:tblBorders>
        <w:top w:val="single" w:color="156082" w:themeColor="accent1" w:sz="32" w:space="0"/>
        <w:left w:val="single" w:color="156082" w:themeColor="accent1" w:sz="32" w:space="0"/>
        <w:bottom w:val="single" w:color="156082" w:themeColor="accent1" w:sz="32" w:space="0"/>
        <w:right w:val="single" w:color="156082" w:themeColor="accent1" w:sz="32" w:space="0"/>
      </w:tblBorders>
    </w:tblPr>
    <w:tblStylePr w:type="band1Horz">
      <w:tcPr>
        <w:shd w:val="clear" w:color="156082" w:themeColor="accent1" w:fill="156082" w:themeFill="accent1"/>
        <w:tcBorders>
          <w:top w:val="single" w:color="FFFFFF" w:themeColor="light1" w:sz="4" w:space="0"/>
          <w:bottom w:val="single" w:color="FFFFFF" w:themeColor="light1" w:sz="4" w:space="0"/>
        </w:tcBorders>
      </w:tcPr>
    </w:tblStylePr>
    <w:tblStylePr w:type="band1Vert">
      <w:tcPr>
        <w:shd w:val="clear" w:color="156082" w:themeColor="accent1" w:fill="156082" w:themeFill="accent1"/>
        <w:tcBorders>
          <w:left w:val="single" w:color="FFFFFF" w:themeColor="light1" w:sz="4" w:space="0"/>
          <w:right w:val="single" w:color="FFFFFF" w:themeColor="light1" w:sz="4" w:space="0"/>
        </w:tcBorders>
      </w:tcPr>
    </w:tblStylePr>
    <w:tblStylePr w:type="band2Horz">
      <w:tcPr>
        <w:shd w:val="clear" w:color="156082" w:themeColor="accent1" w:fill="156082"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156082" w:themeColor="accent1" w:sz="32" w:space="0"/>
          <w:right w:val="single" w:color="FFFFFF" w:themeColor="light1" w:sz="4" w:space="0"/>
        </w:tcBorders>
      </w:tcPr>
    </w:tblStylePr>
    <w:tblStylePr w:type="firstRow">
      <w:rPr>
        <w:rFonts w:ascii="Arial" w:hAnsi="Arial"/>
        <w:b/>
        <w:color w:val="ffffff" w:themeColor="light1"/>
        <w:sz w:val="22"/>
      </w:rPr>
      <w:tcPr>
        <w:shd w:val="clear" w:color="156082" w:themeColor="accent1" w:fill="156082" w:themeFill="accent1"/>
        <w:tcBorders>
          <w:top w:val="single" w:color="156082" w:themeColor="accent1" w:sz="32" w:space="0"/>
          <w:bottom w:val="single" w:color="FFFFFF" w:themeColor="light1" w:sz="12" w:space="0"/>
        </w:tcBorders>
      </w:tcPr>
    </w:tblStylePr>
    <w:tblStylePr w:type="lastCol">
      <w:tcPr>
        <w:tcBorders>
          <w:left w:val="single" w:color="FFFFFF" w:themeColor="light1" w:sz="4" w:space="0"/>
          <w:right w:val="single" w:color="156082" w:themeColor="accent1" w:sz="32" w:space="0"/>
        </w:tcBorders>
      </w:tcPr>
    </w:tblStylePr>
    <w:tblStylePr w:type="lastRow">
      <w:rPr>
        <w:rFonts w:ascii="Arial" w:hAnsi="Arial"/>
        <w:b/>
        <w:color w:val="ffffff" w:themeColor="light1"/>
        <w:sz w:val="22"/>
      </w:rPr>
    </w:tblStylePr>
  </w:style>
  <w:style w:type="table" w:styleId="941" w:customStyle="1">
    <w:name w:val="List Table 5 Dark - Accent 2"/>
    <w:basedOn w:val="765"/>
    <w:uiPriority w:val="99"/>
    <w:qFormat/>
    <w:tblPr>
      <w:tblBorders>
        <w:top w:val="single" w:color="F2AA85" w:themeColor="accent2" w:themeTint="97" w:sz="32" w:space="0"/>
        <w:left w:val="single" w:color="F2AA85" w:themeColor="accent2" w:themeTint="97" w:sz="32" w:space="0"/>
        <w:bottom w:val="single" w:color="F2AA85" w:themeColor="accent2" w:themeTint="97" w:sz="32" w:space="0"/>
        <w:right w:val="single" w:color="F2AA85" w:themeColor="accent2" w:themeTint="97" w:sz="32" w:space="0"/>
      </w:tblBorders>
    </w:tblPr>
    <w:tblStylePr w:type="band1Horz">
      <w:tcPr>
        <w:shd w:val="clear" w:color="f2aa85" w:themeColor="accent2" w:themeTint="97" w:fill="f2aa85" w:themeFill="accent2" w:themeFillTint="97"/>
        <w:tcBorders>
          <w:top w:val="single" w:color="FFFFFF" w:themeColor="light1" w:sz="4" w:space="0"/>
          <w:bottom w:val="single" w:color="FFFFFF" w:themeColor="light1" w:sz="4" w:space="0"/>
        </w:tcBorders>
      </w:tcPr>
    </w:tblStylePr>
    <w:tblStylePr w:type="band1Vert">
      <w:tcPr>
        <w:shd w:val="clear" w:color="f2aa85" w:themeColor="accent2" w:themeTint="97" w:fill="f2aa85" w:themeFill="accent2" w:themeFillTint="97"/>
        <w:tcBorders>
          <w:left w:val="single" w:color="FFFFFF" w:themeColor="light1" w:sz="4" w:space="0"/>
          <w:right w:val="single" w:color="FFFFFF" w:themeColor="light1" w:sz="4" w:space="0"/>
        </w:tcBorders>
      </w:tcPr>
    </w:tblStylePr>
    <w:tblStylePr w:type="band2Horz">
      <w:tcPr>
        <w:shd w:val="clear" w:color="f2aa85" w:themeColor="accent2" w:themeTint="97" w:fill="f2aa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2AA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2aa85" w:themeColor="accent2" w:themeTint="97" w:fill="f2aa85" w:themeFill="accent2" w:themeFillTint="97"/>
        <w:tcBorders>
          <w:top w:val="single" w:color="F2AA85" w:themeColor="accent2" w:themeTint="97" w:sz="32" w:space="0"/>
          <w:bottom w:val="single" w:color="FFFFFF" w:themeColor="light1" w:sz="12" w:space="0"/>
        </w:tcBorders>
      </w:tcPr>
    </w:tblStylePr>
    <w:tblStylePr w:type="lastCol">
      <w:tcPr>
        <w:tcBorders>
          <w:left w:val="single" w:color="FFFFFF" w:themeColor="light1" w:sz="4" w:space="0"/>
          <w:right w:val="single" w:color="F2AA85" w:themeColor="accent2" w:themeTint="97" w:sz="32" w:space="0"/>
        </w:tcBorders>
      </w:tcPr>
    </w:tblStylePr>
    <w:tblStylePr w:type="lastRow">
      <w:rPr>
        <w:rFonts w:ascii="Arial" w:hAnsi="Arial"/>
        <w:b/>
        <w:color w:val="ffffff" w:themeColor="light1"/>
        <w:sz w:val="22"/>
      </w:rPr>
    </w:tblStylePr>
  </w:style>
  <w:style w:type="table" w:styleId="942" w:customStyle="1">
    <w:name w:val="List Table 5 Dark - Accent 3"/>
    <w:basedOn w:val="765"/>
    <w:uiPriority w:val="99"/>
    <w:qFormat/>
    <w:tblPr>
      <w:tblBorders>
        <w:top w:val="single" w:color="48D45B" w:themeColor="accent3" w:themeTint="98" w:sz="32" w:space="0"/>
        <w:left w:val="single" w:color="48D45B" w:themeColor="accent3" w:themeTint="98" w:sz="32" w:space="0"/>
        <w:bottom w:val="single" w:color="48D45B" w:themeColor="accent3" w:themeTint="98" w:sz="32" w:space="0"/>
        <w:right w:val="single" w:color="48D45B" w:themeColor="accent3" w:themeTint="98" w:sz="32" w:space="0"/>
      </w:tblBorders>
    </w:tblPr>
    <w:tblStylePr w:type="band1Horz">
      <w:tcPr>
        <w:shd w:val="clear" w:color="48d45b" w:themeColor="accent3" w:themeTint="98" w:fill="48d45b" w:themeFill="accent3" w:themeFillTint="98"/>
        <w:tcBorders>
          <w:top w:val="single" w:color="FFFFFF" w:themeColor="light1" w:sz="4" w:space="0"/>
          <w:bottom w:val="single" w:color="FFFFFF" w:themeColor="light1" w:sz="4" w:space="0"/>
        </w:tcBorders>
      </w:tcPr>
    </w:tblStylePr>
    <w:tblStylePr w:type="band1Vert">
      <w:tcPr>
        <w:shd w:val="clear" w:color="48d45b" w:themeColor="accent3" w:themeTint="98" w:fill="48d45b" w:themeFill="accent3" w:themeFillTint="98"/>
        <w:tcBorders>
          <w:left w:val="single" w:color="FFFFFF" w:themeColor="light1" w:sz="4" w:space="0"/>
          <w:right w:val="single" w:color="FFFFFF" w:themeColor="light1" w:sz="4" w:space="0"/>
        </w:tcBorders>
      </w:tcPr>
    </w:tblStylePr>
    <w:tblStylePr w:type="band2Horz">
      <w:tcPr>
        <w:shd w:val="clear" w:color="48d45b" w:themeColor="accent3" w:themeTint="98" w:fill="48d45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D45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48d45b" w:themeColor="accent3" w:themeTint="98" w:fill="48d45b" w:themeFill="accent3" w:themeFillTint="98"/>
        <w:tcBorders>
          <w:top w:val="single" w:color="48D45B" w:themeColor="accent3" w:themeTint="98" w:sz="32" w:space="0"/>
          <w:bottom w:val="single" w:color="FFFFFF" w:themeColor="light1" w:sz="12" w:space="0"/>
        </w:tcBorders>
      </w:tcPr>
    </w:tblStylePr>
    <w:tblStylePr w:type="lastCol">
      <w:tcPr>
        <w:tcBorders>
          <w:left w:val="single" w:color="FFFFFF" w:themeColor="light1" w:sz="4" w:space="0"/>
          <w:right w:val="single" w:color="48D45B" w:themeColor="accent3" w:themeTint="98" w:sz="32" w:space="0"/>
        </w:tcBorders>
      </w:tcPr>
    </w:tblStylePr>
    <w:tblStylePr w:type="lastRow">
      <w:rPr>
        <w:rFonts w:ascii="Arial" w:hAnsi="Arial"/>
        <w:b/>
        <w:color w:val="ffffff" w:themeColor="light1"/>
        <w:sz w:val="22"/>
      </w:rPr>
    </w:tblStylePr>
  </w:style>
  <w:style w:type="table" w:styleId="943" w:customStyle="1">
    <w:name w:val="List Table 5 Dark - Accent 4"/>
    <w:basedOn w:val="765"/>
    <w:uiPriority w:val="99"/>
    <w:qFormat/>
    <w:tblPr>
      <w:tblBorders>
        <w:top w:val="single" w:color="5FCAF3" w:themeColor="accent4" w:themeTint="9A" w:sz="32" w:space="0"/>
        <w:left w:val="single" w:color="5FCAF3" w:themeColor="accent4" w:themeTint="9A" w:sz="32" w:space="0"/>
        <w:bottom w:val="single" w:color="5FCAF3" w:themeColor="accent4" w:themeTint="9A" w:sz="32" w:space="0"/>
        <w:right w:val="single" w:color="5FCAF3" w:themeColor="accent4" w:themeTint="9A" w:sz="32" w:space="0"/>
      </w:tblBorders>
    </w:tblPr>
    <w:tblStylePr w:type="band1Horz">
      <w:tcPr>
        <w:shd w:val="clear" w:color="5fcaf3" w:themeColor="accent4" w:themeTint="9A" w:fill="5fcaf3" w:themeFill="accent4" w:themeFillTint="9A"/>
        <w:tcBorders>
          <w:top w:val="single" w:color="FFFFFF" w:themeColor="light1" w:sz="4" w:space="0"/>
          <w:bottom w:val="single" w:color="FFFFFF" w:themeColor="light1" w:sz="4" w:space="0"/>
        </w:tcBorders>
      </w:tcPr>
    </w:tblStylePr>
    <w:tblStylePr w:type="band1Vert">
      <w:tcPr>
        <w:shd w:val="clear" w:color="5fcaf3" w:themeColor="accent4" w:themeTint="9A" w:fill="5fcaf3" w:themeFill="accent4" w:themeFillTint="9A"/>
        <w:tcBorders>
          <w:left w:val="single" w:color="FFFFFF" w:themeColor="light1" w:sz="4" w:space="0"/>
          <w:right w:val="single" w:color="FFFFFF" w:themeColor="light1" w:sz="4" w:space="0"/>
        </w:tcBorders>
      </w:tcPr>
    </w:tblStylePr>
    <w:tblStylePr w:type="band2Horz">
      <w:tcPr>
        <w:shd w:val="clear" w:color="5fcaf3" w:themeColor="accent4" w:themeTint="9A" w:fill="5fcaf3"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FCAF3"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5fcaf3" w:themeColor="accent4" w:themeTint="9A" w:fill="5fcaf3" w:themeFill="accent4" w:themeFillTint="9A"/>
        <w:tcBorders>
          <w:top w:val="single" w:color="5FCAF3" w:themeColor="accent4" w:themeTint="9A" w:sz="32" w:space="0"/>
          <w:bottom w:val="single" w:color="FFFFFF" w:themeColor="light1" w:sz="12" w:space="0"/>
        </w:tcBorders>
      </w:tcPr>
    </w:tblStylePr>
    <w:tblStylePr w:type="lastCol">
      <w:tcPr>
        <w:tcBorders>
          <w:left w:val="single" w:color="FFFFFF" w:themeColor="light1" w:sz="4" w:space="0"/>
          <w:right w:val="single" w:color="5FCAF3" w:themeColor="accent4" w:themeTint="9A" w:sz="32" w:space="0"/>
        </w:tcBorders>
      </w:tcPr>
    </w:tblStylePr>
    <w:tblStylePr w:type="lastRow">
      <w:rPr>
        <w:rFonts w:ascii="Arial" w:hAnsi="Arial"/>
        <w:b/>
        <w:color w:val="ffffff" w:themeColor="light1"/>
        <w:sz w:val="22"/>
      </w:rPr>
    </w:tblStylePr>
  </w:style>
  <w:style w:type="table" w:styleId="944" w:customStyle="1">
    <w:name w:val="List Table 5 Dark - Accent 5"/>
    <w:basedOn w:val="765"/>
    <w:uiPriority w:val="99"/>
    <w:qFormat/>
    <w:tblPr>
      <w:tblBorders>
        <w:top w:val="single" w:color="D76CCB" w:themeColor="accent5" w:themeTint="9A" w:sz="32" w:space="0"/>
        <w:left w:val="single" w:color="D76CCB" w:themeColor="accent5" w:themeTint="9A" w:sz="32" w:space="0"/>
        <w:bottom w:val="single" w:color="D76CCB" w:themeColor="accent5" w:themeTint="9A" w:sz="32" w:space="0"/>
        <w:right w:val="single" w:color="D76CCB" w:themeColor="accent5" w:themeTint="9A" w:sz="32" w:space="0"/>
      </w:tblBorders>
    </w:tblPr>
    <w:tblStylePr w:type="band1Horz">
      <w:tcPr>
        <w:shd w:val="clear" w:color="d76ccb" w:themeColor="accent5" w:themeTint="9A" w:fill="d76ccb" w:themeFill="accent5" w:themeFillTint="9A"/>
        <w:tcBorders>
          <w:top w:val="single" w:color="FFFFFF" w:themeColor="light1" w:sz="4" w:space="0"/>
          <w:bottom w:val="single" w:color="FFFFFF" w:themeColor="light1" w:sz="4" w:space="0"/>
        </w:tcBorders>
      </w:tcPr>
    </w:tblStylePr>
    <w:tblStylePr w:type="band1Vert">
      <w:tcPr>
        <w:shd w:val="clear" w:color="d76ccb" w:themeColor="accent5" w:themeTint="9A" w:fill="d76ccb" w:themeFill="accent5" w:themeFillTint="9A"/>
        <w:tcBorders>
          <w:left w:val="single" w:color="FFFFFF" w:themeColor="light1" w:sz="4" w:space="0"/>
          <w:right w:val="single" w:color="FFFFFF" w:themeColor="light1" w:sz="4" w:space="0"/>
        </w:tcBorders>
      </w:tcPr>
    </w:tblStylePr>
    <w:tblStylePr w:type="band2Horz">
      <w:tcPr>
        <w:shd w:val="clear" w:color="d76ccb" w:themeColor="accent5" w:themeTint="9A" w:fill="d76cc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76CC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d76ccb" w:themeColor="accent5" w:themeTint="9A" w:fill="d76ccb" w:themeFill="accent5" w:themeFillTint="9A"/>
        <w:tcBorders>
          <w:top w:val="single" w:color="D76CCB" w:themeColor="accent5" w:themeTint="9A" w:sz="32" w:space="0"/>
          <w:bottom w:val="single" w:color="FFFFFF" w:themeColor="light1" w:sz="12" w:space="0"/>
        </w:tcBorders>
      </w:tcPr>
    </w:tblStylePr>
    <w:tblStylePr w:type="lastCol">
      <w:tcPr>
        <w:tcBorders>
          <w:left w:val="single" w:color="FFFFFF" w:themeColor="light1" w:sz="4" w:space="0"/>
          <w:right w:val="single" w:color="D76CCB" w:themeColor="accent5" w:themeTint="9A" w:sz="32" w:space="0"/>
        </w:tcBorders>
      </w:tcPr>
    </w:tblStylePr>
    <w:tblStylePr w:type="lastRow">
      <w:rPr>
        <w:rFonts w:ascii="Arial" w:hAnsi="Arial"/>
        <w:b/>
        <w:color w:val="ffffff" w:themeColor="light1"/>
        <w:sz w:val="22"/>
      </w:rPr>
    </w:tblStylePr>
  </w:style>
  <w:style w:type="table" w:styleId="945" w:customStyle="1">
    <w:name w:val="List Table 5 Dark - Accent 6"/>
    <w:basedOn w:val="765"/>
    <w:uiPriority w:val="99"/>
    <w:qFormat/>
    <w:tblPr>
      <w:tblBorders>
        <w:top w:val="single" w:color="8ED873" w:themeColor="accent6" w:themeTint="98" w:sz="32" w:space="0"/>
        <w:left w:val="single" w:color="8ED873" w:themeColor="accent6" w:themeTint="98" w:sz="32" w:space="0"/>
        <w:bottom w:val="single" w:color="8ED873" w:themeColor="accent6" w:themeTint="98" w:sz="32" w:space="0"/>
        <w:right w:val="single" w:color="8ED873" w:themeColor="accent6" w:themeTint="98" w:sz="32" w:space="0"/>
      </w:tblBorders>
    </w:tblPr>
    <w:tblStylePr w:type="band1Horz">
      <w:tcPr>
        <w:shd w:val="clear" w:color="8ed873" w:themeColor="accent6" w:themeTint="98" w:fill="8ed873" w:themeFill="accent6" w:themeFillTint="98"/>
        <w:tcBorders>
          <w:top w:val="single" w:color="FFFFFF" w:themeColor="light1" w:sz="4" w:space="0"/>
          <w:bottom w:val="single" w:color="FFFFFF" w:themeColor="light1" w:sz="4" w:space="0"/>
        </w:tcBorders>
      </w:tcPr>
    </w:tblStylePr>
    <w:tblStylePr w:type="band1Vert">
      <w:tcPr>
        <w:shd w:val="clear" w:color="8ed873" w:themeColor="accent6" w:themeTint="98" w:fill="8ed873" w:themeFill="accent6" w:themeFillTint="98"/>
        <w:tcBorders>
          <w:left w:val="single" w:color="FFFFFF" w:themeColor="light1" w:sz="4" w:space="0"/>
          <w:right w:val="single" w:color="FFFFFF" w:themeColor="light1" w:sz="4" w:space="0"/>
        </w:tcBorders>
      </w:tcPr>
    </w:tblStylePr>
    <w:tblStylePr w:type="band2Horz">
      <w:tcPr>
        <w:shd w:val="clear" w:color="8ed873" w:themeColor="accent6" w:themeTint="98" w:fill="8ed873"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ED873"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8ed873" w:themeColor="accent6" w:themeTint="98" w:fill="8ed873" w:themeFill="accent6" w:themeFillTint="98"/>
        <w:tcBorders>
          <w:top w:val="single" w:color="8ED873" w:themeColor="accent6" w:themeTint="98" w:sz="32" w:space="0"/>
          <w:bottom w:val="single" w:color="FFFFFF" w:themeColor="light1" w:sz="12" w:space="0"/>
        </w:tcBorders>
      </w:tcPr>
    </w:tblStylePr>
    <w:tblStylePr w:type="lastCol">
      <w:tcPr>
        <w:tcBorders>
          <w:left w:val="single" w:color="FFFFFF" w:themeColor="light1" w:sz="4" w:space="0"/>
          <w:right w:val="single" w:color="8ED873" w:themeColor="accent6" w:themeTint="98" w:sz="32" w:space="0"/>
        </w:tcBorders>
      </w:tcPr>
    </w:tblStylePr>
    <w:tblStylePr w:type="lastRow">
      <w:rPr>
        <w:rFonts w:ascii="Arial" w:hAnsi="Arial"/>
        <w:b/>
        <w:color w:val="ffffff" w:themeColor="light1"/>
        <w:sz w:val="22"/>
      </w:rPr>
    </w:tblStylePr>
  </w:style>
  <w:style w:type="table" w:styleId="946" w:customStyle="1">
    <w:name w:val="清单表 6 彩色1"/>
    <w:basedOn w:val="765"/>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47" w:customStyle="1">
    <w:name w:val="List Table 6 Colorful - Accent 1"/>
    <w:basedOn w:val="765"/>
    <w:uiPriority w:val="99"/>
    <w:qFormat/>
    <w:tblPr>
      <w:tblBorders>
        <w:top w:val="single" w:color="156082" w:themeColor="accent1" w:sz="4" w:space="0"/>
        <w:bottom w:val="single" w:color="156082" w:themeColor="accent1" w:sz="4" w:space="0"/>
      </w:tblBorders>
    </w:tblPr>
    <w:tblStylePr w:type="band1Horz">
      <w:rPr>
        <w:rFonts w:ascii="Arial" w:hAnsi="Arial"/>
        <w:color w:val="0c374b" w:themeColor="accent1" w:themeShade="94"/>
        <w:sz w:val="22"/>
      </w:rPr>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band2Horz">
      <w:rPr>
        <w:rFonts w:ascii="Arial" w:hAnsi="Arial"/>
        <w:color w:val="0c374b" w:themeColor="accent1" w:themeShade="94"/>
        <w:sz w:val="22"/>
      </w:rPr>
    </w:tblStylePr>
    <w:tblStylePr w:type="firstCol">
      <w:rPr>
        <w:b/>
        <w:color w:val="0c374b" w:themeColor="accent1" w:themeShade="94"/>
      </w:rPr>
    </w:tblStylePr>
    <w:tblStylePr w:type="firstRow">
      <w:rPr>
        <w:b/>
        <w:color w:val="0c374b" w:themeColor="accent1" w:themeShade="94"/>
      </w:rPr>
      <w:tcPr>
        <w:tcBorders>
          <w:bottom w:val="single" w:color="156082" w:themeColor="accent1" w:sz="4" w:space="0"/>
        </w:tcBorders>
      </w:tcPr>
    </w:tblStylePr>
    <w:tblStylePr w:type="lastCol">
      <w:rPr>
        <w:b/>
        <w:color w:val="0c374b" w:themeColor="accent1" w:themeShade="94"/>
      </w:rPr>
    </w:tblStylePr>
    <w:tblStylePr w:type="lastRow">
      <w:rPr>
        <w:b/>
        <w:color w:val="0c374b" w:themeColor="accent1" w:themeShade="94"/>
      </w:rPr>
      <w:tcPr>
        <w:tcBorders>
          <w:top w:val="single" w:color="156082" w:themeColor="accent1" w:sz="4" w:space="0"/>
        </w:tcBorders>
      </w:tcPr>
    </w:tblStylePr>
  </w:style>
  <w:style w:type="table" w:styleId="948" w:customStyle="1">
    <w:name w:val="List Table 6 Colorful - Accent 2"/>
    <w:basedOn w:val="765"/>
    <w:uiPriority w:val="99"/>
    <w:qFormat/>
    <w:tblPr>
      <w:tblBorders>
        <w:top w:val="single" w:color="F2AA85" w:themeColor="accent2" w:themeTint="97" w:sz="4" w:space="0"/>
        <w:bottom w:val="single" w:color="F2AA85" w:themeColor="accent2" w:themeTint="97" w:sz="4" w:space="0"/>
      </w:tblBorders>
    </w:tblPr>
    <w:tblStylePr w:type="band1Horz">
      <w:rPr>
        <w:rFonts w:ascii="Arial" w:hAnsi="Arial"/>
        <w:color w:val="f2ab86" w:themeColor="accent2" w:themeTint="96"/>
        <w:sz w:val="22"/>
      </w:rPr>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band2Horz">
      <w:rPr>
        <w:rFonts w:ascii="Arial" w:hAnsi="Arial"/>
        <w:color w:val="f2ab86" w:themeColor="accent2" w:themeTint="96"/>
        <w:sz w:val="22"/>
      </w:rPr>
    </w:tblStylePr>
    <w:tblStylePr w:type="firstCol">
      <w:rPr>
        <w:b/>
        <w:color w:val="f2ab86" w:themeColor="accent2" w:themeTint="96"/>
      </w:rPr>
    </w:tblStylePr>
    <w:tblStylePr w:type="firstRow">
      <w:rPr>
        <w:b/>
        <w:color w:val="f2ab86" w:themeColor="accent2" w:themeTint="96"/>
      </w:rPr>
      <w:tcPr>
        <w:tcBorders>
          <w:bottom w:val="single" w:color="F2AA85" w:themeColor="accent2" w:themeTint="97" w:sz="4" w:space="0"/>
        </w:tcBorders>
      </w:tcPr>
    </w:tblStylePr>
    <w:tblStylePr w:type="lastCol">
      <w:rPr>
        <w:b/>
        <w:color w:val="f2ab86" w:themeColor="accent2" w:themeTint="96"/>
      </w:rPr>
    </w:tblStylePr>
    <w:tblStylePr w:type="lastRow">
      <w:rPr>
        <w:b/>
        <w:color w:val="f2ab86" w:themeColor="accent2" w:themeTint="96"/>
      </w:rPr>
      <w:tcPr>
        <w:tcBorders>
          <w:top w:val="single" w:color="F2AA85" w:themeColor="accent2" w:themeTint="97" w:sz="4" w:space="0"/>
        </w:tcBorders>
      </w:tcPr>
    </w:tblStylePr>
  </w:style>
  <w:style w:type="table" w:styleId="949" w:customStyle="1">
    <w:name w:val="List Table 6 Colorful - Accent 3"/>
    <w:basedOn w:val="765"/>
    <w:uiPriority w:val="99"/>
    <w:qFormat/>
    <w:tblPr>
      <w:tblBorders>
        <w:top w:val="single" w:color="48D45B" w:themeColor="accent3" w:themeTint="98" w:sz="4" w:space="0"/>
        <w:bottom w:val="single" w:color="48D45B" w:themeColor="accent3" w:themeTint="98" w:sz="4" w:space="0"/>
      </w:tblBorders>
    </w:tblPr>
    <w:tblStylePr w:type="band1Horz">
      <w:rPr>
        <w:rFonts w:ascii="Arial" w:hAnsi="Arial"/>
        <w:color w:val="47d459" w:themeColor="accent3" w:themeTint="99"/>
        <w:sz w:val="22"/>
      </w:rPr>
      <w:tcPr>
        <w:shd w:val="clear" w:color="b2edb9" w:themeColor="accent3" w:themeTint="40" w:fill="b2edb9" w:themeFill="accent3" w:themeFillTint="40"/>
      </w:tcPr>
    </w:tblStylePr>
    <w:tblStylePr w:type="band1Vert">
      <w:tcPr>
        <w:shd w:val="clear" w:color="b2edb9" w:themeColor="accent3" w:themeTint="40" w:fill="b2edb9" w:themeFill="accent3" w:themeFillTint="40"/>
      </w:tcPr>
    </w:tblStylePr>
    <w:tblStylePr w:type="band2Horz">
      <w:rPr>
        <w:rFonts w:ascii="Arial" w:hAnsi="Arial"/>
        <w:color w:val="47d459" w:themeColor="accent3" w:themeTint="99"/>
        <w:sz w:val="22"/>
      </w:rPr>
    </w:tblStylePr>
    <w:tblStylePr w:type="firstCol">
      <w:rPr>
        <w:b/>
        <w:color w:val="47d459" w:themeColor="accent3" w:themeTint="99"/>
      </w:rPr>
    </w:tblStylePr>
    <w:tblStylePr w:type="firstRow">
      <w:rPr>
        <w:b/>
        <w:color w:val="47d459" w:themeColor="accent3" w:themeTint="99"/>
      </w:rPr>
      <w:tcPr>
        <w:tcBorders>
          <w:bottom w:val="single" w:color="48D45B" w:themeColor="accent3" w:themeTint="98" w:sz="4" w:space="0"/>
        </w:tcBorders>
      </w:tcPr>
    </w:tblStylePr>
    <w:tblStylePr w:type="lastCol">
      <w:rPr>
        <w:b/>
        <w:color w:val="47d459" w:themeColor="accent3" w:themeTint="99"/>
      </w:rPr>
    </w:tblStylePr>
    <w:tblStylePr w:type="lastRow">
      <w:rPr>
        <w:b/>
        <w:color w:val="47d459" w:themeColor="accent3" w:themeTint="99"/>
      </w:rPr>
      <w:tcPr>
        <w:tcBorders>
          <w:top w:val="single" w:color="48D45B" w:themeColor="accent3" w:themeTint="98" w:sz="4" w:space="0"/>
        </w:tcBorders>
      </w:tcPr>
    </w:tblStylePr>
  </w:style>
  <w:style w:type="table" w:styleId="950" w:customStyle="1">
    <w:name w:val="List Table 6 Colorful - Accent 4"/>
    <w:basedOn w:val="765"/>
    <w:uiPriority w:val="99"/>
    <w:qFormat/>
    <w:tblPr>
      <w:tblBorders>
        <w:top w:val="single" w:color="5FCAF3" w:themeColor="accent4" w:themeTint="9A" w:sz="4" w:space="0"/>
        <w:bottom w:val="single" w:color="5FCAF3" w:themeColor="accent4" w:themeTint="9A" w:sz="4" w:space="0"/>
      </w:tblBorders>
    </w:tblPr>
    <w:tblStylePr w:type="band1Horz">
      <w:rPr>
        <w:rFonts w:ascii="Arial" w:hAnsi="Arial"/>
        <w:color w:val="60caf3" w:themeColor="accent4" w:themeTint="99"/>
        <w:sz w:val="22"/>
      </w:rPr>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band2Horz">
      <w:rPr>
        <w:rFonts w:ascii="Arial" w:hAnsi="Arial"/>
        <w:color w:val="60caf3" w:themeColor="accent4" w:themeTint="99"/>
        <w:sz w:val="22"/>
      </w:rPr>
    </w:tblStylePr>
    <w:tblStylePr w:type="firstCol">
      <w:rPr>
        <w:b/>
        <w:color w:val="60caf3" w:themeColor="accent4" w:themeTint="99"/>
      </w:rPr>
    </w:tblStylePr>
    <w:tblStylePr w:type="firstRow">
      <w:rPr>
        <w:b/>
        <w:color w:val="60caf3" w:themeColor="accent4" w:themeTint="99"/>
      </w:rPr>
      <w:tcPr>
        <w:tcBorders>
          <w:bottom w:val="single" w:color="5FCAF3" w:themeColor="accent4" w:themeTint="9A" w:sz="4" w:space="0"/>
        </w:tcBorders>
      </w:tcPr>
    </w:tblStylePr>
    <w:tblStylePr w:type="lastCol">
      <w:rPr>
        <w:b/>
        <w:color w:val="60caf3" w:themeColor="accent4" w:themeTint="99"/>
      </w:rPr>
    </w:tblStylePr>
    <w:tblStylePr w:type="lastRow">
      <w:rPr>
        <w:b/>
        <w:color w:val="60caf3" w:themeColor="accent4" w:themeTint="99"/>
      </w:rPr>
      <w:tcPr>
        <w:tcBorders>
          <w:top w:val="single" w:color="5FCAF3" w:themeColor="accent4" w:themeTint="9A" w:sz="4" w:space="0"/>
        </w:tcBorders>
      </w:tcPr>
    </w:tblStylePr>
  </w:style>
  <w:style w:type="table" w:styleId="951" w:customStyle="1">
    <w:name w:val="List Table 6 Colorful - Accent 5"/>
    <w:basedOn w:val="765"/>
    <w:uiPriority w:val="99"/>
    <w:qFormat/>
    <w:tblPr>
      <w:tblBorders>
        <w:top w:val="single" w:color="D76CCB" w:themeColor="accent5" w:themeTint="9A" w:sz="4" w:space="0"/>
        <w:bottom w:val="single" w:color="D76CCB" w:themeColor="accent5" w:themeTint="9A" w:sz="4" w:space="0"/>
      </w:tblBorders>
    </w:tblPr>
    <w:tblStylePr w:type="band1Horz">
      <w:rPr>
        <w:rFonts w:ascii="Arial" w:hAnsi="Arial"/>
        <w:color w:val="d86dcb" w:themeColor="accent5" w:themeTint="99"/>
        <w:sz w:val="22"/>
      </w:rPr>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band2Horz">
      <w:rPr>
        <w:rFonts w:ascii="Arial" w:hAnsi="Arial"/>
        <w:color w:val="d86dcb" w:themeColor="accent5" w:themeTint="99"/>
        <w:sz w:val="22"/>
      </w:rPr>
    </w:tblStylePr>
    <w:tblStylePr w:type="firstCol">
      <w:rPr>
        <w:b/>
        <w:color w:val="d86dcb" w:themeColor="accent5" w:themeTint="99"/>
      </w:rPr>
    </w:tblStylePr>
    <w:tblStylePr w:type="firstRow">
      <w:rPr>
        <w:b/>
        <w:color w:val="d86dcb" w:themeColor="accent5" w:themeTint="99"/>
      </w:rPr>
      <w:tcPr>
        <w:tcBorders>
          <w:bottom w:val="single" w:color="D76CCB" w:themeColor="accent5" w:themeTint="9A" w:sz="4" w:space="0"/>
        </w:tcBorders>
      </w:tcPr>
    </w:tblStylePr>
    <w:tblStylePr w:type="lastCol">
      <w:rPr>
        <w:b/>
        <w:color w:val="d86dcb" w:themeColor="accent5" w:themeTint="99"/>
      </w:rPr>
    </w:tblStylePr>
    <w:tblStylePr w:type="lastRow">
      <w:rPr>
        <w:b/>
        <w:color w:val="d86dcb" w:themeColor="accent5" w:themeTint="99"/>
      </w:rPr>
      <w:tcPr>
        <w:tcBorders>
          <w:top w:val="single" w:color="D76CCB" w:themeColor="accent5" w:themeTint="9A" w:sz="4" w:space="0"/>
        </w:tcBorders>
      </w:tcPr>
    </w:tblStylePr>
  </w:style>
  <w:style w:type="table" w:styleId="952" w:customStyle="1">
    <w:name w:val="List Table 6 Colorful - Accent 6"/>
    <w:basedOn w:val="765"/>
    <w:uiPriority w:val="99"/>
    <w:qFormat/>
    <w:tblPr>
      <w:tblBorders>
        <w:top w:val="single" w:color="8ED873" w:themeColor="accent6" w:themeTint="98" w:sz="4" w:space="0"/>
        <w:bottom w:val="single" w:color="8ED873" w:themeColor="accent6" w:themeTint="98" w:sz="4" w:space="0"/>
      </w:tblBorders>
    </w:tblPr>
    <w:tblStylePr w:type="band1Horz">
      <w:rPr>
        <w:rFonts w:ascii="Arial" w:hAnsi="Arial"/>
        <w:color w:val="8dd873" w:themeColor="accent6" w:themeTint="99"/>
        <w:sz w:val="22"/>
      </w:rPr>
      <w:tcPr>
        <w:shd w:val="clear" w:color="cfefc4" w:themeColor="accent6" w:themeTint="40" w:fill="cfefc4" w:themeFill="accent6" w:themeFillTint="40"/>
      </w:tcPr>
    </w:tblStylePr>
    <w:tblStylePr w:type="band1Vert">
      <w:tcPr>
        <w:shd w:val="clear" w:color="cfefc4" w:themeColor="accent6" w:themeTint="40" w:fill="cfefc4" w:themeFill="accent6" w:themeFillTint="40"/>
      </w:tcPr>
    </w:tblStylePr>
    <w:tblStylePr w:type="band2Horz">
      <w:rPr>
        <w:rFonts w:ascii="Arial" w:hAnsi="Arial"/>
        <w:color w:val="8dd873" w:themeColor="accent6" w:themeTint="99"/>
        <w:sz w:val="22"/>
      </w:rPr>
    </w:tblStylePr>
    <w:tblStylePr w:type="firstCol">
      <w:rPr>
        <w:b/>
        <w:color w:val="8dd873" w:themeColor="accent6" w:themeTint="99"/>
      </w:rPr>
    </w:tblStylePr>
    <w:tblStylePr w:type="firstRow">
      <w:rPr>
        <w:b/>
        <w:color w:val="8dd873" w:themeColor="accent6" w:themeTint="99"/>
      </w:rPr>
      <w:tcPr>
        <w:tcBorders>
          <w:bottom w:val="single" w:color="8ED873" w:themeColor="accent6" w:themeTint="98" w:sz="4" w:space="0"/>
        </w:tcBorders>
      </w:tcPr>
    </w:tblStylePr>
    <w:tblStylePr w:type="lastCol">
      <w:rPr>
        <w:b/>
        <w:color w:val="8dd873" w:themeColor="accent6" w:themeTint="99"/>
      </w:rPr>
    </w:tblStylePr>
    <w:tblStylePr w:type="lastRow">
      <w:rPr>
        <w:b/>
        <w:color w:val="8dd873" w:themeColor="accent6" w:themeTint="99"/>
      </w:rPr>
      <w:tcPr>
        <w:tcBorders>
          <w:top w:val="single" w:color="8ED873" w:themeColor="accent6" w:themeTint="98" w:sz="4" w:space="0"/>
        </w:tcBorders>
      </w:tcPr>
    </w:tblStylePr>
  </w:style>
  <w:style w:type="table" w:styleId="953" w:customStyle="1">
    <w:name w:val="清单表 7 彩色1"/>
    <w:basedOn w:val="765"/>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4" w:customStyle="1">
    <w:name w:val="List Table 7 Colorful - Accent 1"/>
    <w:basedOn w:val="765"/>
    <w:uiPriority w:val="99"/>
    <w:qFormat/>
    <w:tblPr>
      <w:tblBorders>
        <w:right w:val="single" w:color="156082" w:themeColor="accent1" w:sz="4" w:space="0"/>
      </w:tblBorders>
    </w:tblPr>
    <w:tblStylePr w:type="band1Horz">
      <w:rPr>
        <w:rFonts w:ascii="Arial" w:hAnsi="Arial"/>
        <w:color w:val="0c374b" w:themeColor="accent1" w:themeShade="94"/>
        <w:sz w:val="22"/>
      </w:rPr>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band2Horz">
      <w:rPr>
        <w:rFonts w:ascii="Arial" w:hAnsi="Arial"/>
        <w:color w:val="0c374b" w:themeColor="accent1" w:themeShade="94"/>
        <w:sz w:val="22"/>
      </w:rPr>
    </w:tblStylePr>
    <w:tblStylePr w:type="firstCol">
      <w:rPr>
        <w:rFonts w:ascii="Arial" w:hAnsi="Arial"/>
        <w:i/>
        <w:color w:val="0c374b" w:themeColor="accent1" w:themeShade="94"/>
        <w:sz w:val="22"/>
      </w:rPr>
      <w:pPr>
        <w:jc w:val="right"/>
      </w:pPr>
      <w:tcPr>
        <w:shd w:val="clear" w:color="ffffff" w:fill="auto"/>
        <w:tcBorders>
          <w:top w:val="none" w:color="000000" w:sz="4" w:space="0"/>
          <w:left w:val="none" w:color="000000" w:sz="4" w:space="0"/>
          <w:bottom w:val="none" w:color="000000" w:sz="4" w:space="0"/>
          <w:right w:val="single" w:color="156082" w:themeColor="accent1" w:sz="4" w:space="0"/>
        </w:tcBorders>
      </w:tcPr>
    </w:tblStylePr>
    <w:tblStylePr w:type="firstRow">
      <w:rPr>
        <w:rFonts w:ascii="Arial" w:hAnsi="Arial"/>
        <w:i/>
        <w:color w:val="0c374b" w:themeColor="accent1" w:themeShade="94"/>
        <w:sz w:val="22"/>
      </w:rPr>
      <w:tcPr>
        <w:shd w:val="clear" w:color="ffffff" w:themeColor="light1" w:fill="ffffff" w:themeFill="light1"/>
        <w:tcBorders>
          <w:top w:val="none" w:color="000000" w:sz="4" w:space="0"/>
          <w:left w:val="none" w:color="000000" w:sz="4" w:space="0"/>
          <w:bottom w:val="single" w:color="156082" w:themeColor="accent1" w:sz="4" w:space="0"/>
          <w:right w:val="none" w:color="000000" w:sz="4" w:space="0"/>
        </w:tcBorders>
      </w:tcPr>
    </w:tblStylePr>
    <w:tblStylePr w:type="lastCol">
      <w:rPr>
        <w:rFonts w:ascii="Arial" w:hAnsi="Arial"/>
        <w:i/>
        <w:color w:val="0c374b" w:themeColor="accent1" w:themeShade="94"/>
        <w:sz w:val="22"/>
      </w:rPr>
      <w:tcPr>
        <w:shd w:val="clear" w:color="ffffff" w:fill="auto"/>
        <w:tcBorders>
          <w:top w:val="none" w:color="000000" w:sz="4" w:space="0"/>
          <w:left w:val="single" w:color="156082" w:themeColor="accent1" w:sz="4" w:space="0"/>
          <w:bottom w:val="none" w:color="000000" w:sz="4" w:space="0"/>
          <w:right w:val="none" w:color="000000" w:sz="4" w:space="0"/>
        </w:tcBorders>
      </w:tcPr>
    </w:tblStylePr>
    <w:tblStylePr w:type="lastRow">
      <w:rPr>
        <w:rFonts w:ascii="Arial" w:hAnsi="Arial"/>
        <w:i/>
        <w:color w:val="0c374b" w:themeColor="accent1" w:themeShade="94"/>
        <w:sz w:val="22"/>
      </w:rPr>
      <w:tcPr>
        <w:shd w:val="clear" w:color="ffffff" w:themeColor="light1" w:fill="ffffff" w:themeFill="light1"/>
        <w:tcBorders>
          <w:top w:val="single" w:color="156082" w:themeColor="accent1" w:sz="4" w:space="0"/>
          <w:left w:val="none" w:color="000000" w:sz="4" w:space="0"/>
          <w:bottom w:val="none" w:color="000000" w:sz="4" w:space="0"/>
          <w:right w:val="none" w:color="000000" w:sz="4" w:space="0"/>
        </w:tcBorders>
      </w:tcPr>
    </w:tblStylePr>
  </w:style>
  <w:style w:type="table" w:styleId="955" w:customStyle="1">
    <w:name w:val="List Table 7 Colorful - Accent 2"/>
    <w:basedOn w:val="765"/>
    <w:uiPriority w:val="99"/>
    <w:qFormat/>
    <w:tblPr>
      <w:tblBorders>
        <w:right w:val="single" w:color="F2AA85" w:themeColor="accent2" w:themeTint="97" w:sz="4" w:space="0"/>
      </w:tblBorders>
    </w:tblPr>
    <w:tblStylePr w:type="band1Horz">
      <w:rPr>
        <w:rFonts w:ascii="Arial" w:hAnsi="Arial"/>
        <w:color w:val="f2ab86" w:themeColor="accent2" w:themeTint="96"/>
        <w:sz w:val="22"/>
      </w:rPr>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band2Horz">
      <w:rPr>
        <w:rFonts w:ascii="Arial" w:hAnsi="Arial"/>
        <w:color w:val="f2ab86" w:themeColor="accent2" w:themeTint="96"/>
        <w:sz w:val="22"/>
      </w:rPr>
    </w:tblStylePr>
    <w:tblStylePr w:type="firstCol">
      <w:rPr>
        <w:rFonts w:ascii="Arial" w:hAnsi="Arial"/>
        <w:i/>
        <w:color w:val="f2ab86" w:themeColor="accent2" w:themeTint="96"/>
        <w:sz w:val="22"/>
      </w:rPr>
      <w:pPr>
        <w:jc w:val="right"/>
      </w:pPr>
      <w:tcPr>
        <w:shd w:val="clear" w:color="ffffff" w:fill="auto"/>
        <w:tcBorders>
          <w:top w:val="none" w:color="000000" w:sz="4" w:space="0"/>
          <w:left w:val="none" w:color="000000" w:sz="4" w:space="0"/>
          <w:bottom w:val="none" w:color="000000" w:sz="4" w:space="0"/>
          <w:right w:val="single" w:color="F2AA85" w:themeColor="accent2" w:themeTint="97" w:sz="4" w:space="0"/>
        </w:tcBorders>
      </w:tcPr>
    </w:tblStylePr>
    <w:tblStylePr w:type="firstRow">
      <w:rPr>
        <w:rFonts w:ascii="Arial" w:hAnsi="Arial"/>
        <w:i/>
        <w:color w:val="f2ab86" w:themeColor="accent2" w:themeTint="96"/>
        <w:sz w:val="22"/>
      </w:rPr>
      <w:tcPr>
        <w:shd w:val="clear" w:color="ffffff" w:themeColor="light1" w:fill="ffffff" w:themeFill="light1"/>
        <w:tcBorders>
          <w:top w:val="none" w:color="000000" w:sz="4" w:space="0"/>
          <w:left w:val="none" w:color="000000" w:sz="4" w:space="0"/>
          <w:bottom w:val="single" w:color="F2AA85" w:themeColor="accent2" w:themeTint="97" w:sz="4" w:space="0"/>
          <w:right w:val="none" w:color="000000" w:sz="4" w:space="0"/>
        </w:tcBorders>
      </w:tcPr>
    </w:tblStylePr>
    <w:tblStylePr w:type="lastCol">
      <w:rPr>
        <w:rFonts w:ascii="Arial" w:hAnsi="Arial"/>
        <w:i/>
        <w:color w:val="f2ab86" w:themeColor="accent2" w:themeTint="96"/>
        <w:sz w:val="22"/>
      </w:rPr>
      <w:tcPr>
        <w:shd w:val="clear" w:color="ffffff" w:fill="auto"/>
        <w:tcBorders>
          <w:top w:val="none" w:color="000000" w:sz="4" w:space="0"/>
          <w:left w:val="single" w:color="F2AA85" w:themeColor="accent2" w:themeTint="97" w:sz="4" w:space="0"/>
          <w:bottom w:val="none" w:color="000000" w:sz="4" w:space="0"/>
          <w:right w:val="none" w:color="000000" w:sz="4" w:space="0"/>
        </w:tcBorders>
      </w:tcPr>
    </w:tblStylePr>
    <w:tblStylePr w:type="lastRow">
      <w:rPr>
        <w:rFonts w:ascii="Arial" w:hAnsi="Arial"/>
        <w:i/>
        <w:color w:val="f2ab86" w:themeColor="accent2" w:themeTint="96"/>
        <w:sz w:val="22"/>
      </w:rPr>
      <w:tcPr>
        <w:shd w:val="clear" w:color="ffffff" w:themeColor="light1" w:fill="ffffff" w:themeFill="light1"/>
        <w:tcBorders>
          <w:top w:val="single" w:color="F2AA85" w:themeColor="accent2" w:themeTint="97" w:sz="4" w:space="0"/>
          <w:left w:val="none" w:color="000000" w:sz="4" w:space="0"/>
          <w:bottom w:val="none" w:color="000000" w:sz="4" w:space="0"/>
          <w:right w:val="none" w:color="000000" w:sz="4" w:space="0"/>
        </w:tcBorders>
      </w:tcPr>
    </w:tblStylePr>
  </w:style>
  <w:style w:type="table" w:styleId="956" w:customStyle="1">
    <w:name w:val="List Table 7 Colorful - Accent 3"/>
    <w:basedOn w:val="765"/>
    <w:uiPriority w:val="99"/>
    <w:qFormat/>
    <w:tblPr>
      <w:tblBorders>
        <w:right w:val="single" w:color="48D45B" w:themeColor="accent3" w:themeTint="98" w:sz="4" w:space="0"/>
      </w:tblBorders>
    </w:tblPr>
    <w:tblStylePr w:type="band1Horz">
      <w:rPr>
        <w:rFonts w:ascii="Arial" w:hAnsi="Arial"/>
        <w:color w:val="47d459" w:themeColor="accent3" w:themeTint="99"/>
        <w:sz w:val="22"/>
      </w:rPr>
      <w:tcPr>
        <w:shd w:val="clear" w:color="b2edb9" w:themeColor="accent3" w:themeTint="40" w:fill="b2edb9" w:themeFill="accent3" w:themeFillTint="40"/>
      </w:tcPr>
    </w:tblStylePr>
    <w:tblStylePr w:type="band1Vert">
      <w:tcPr>
        <w:shd w:val="clear" w:color="b2edb9" w:themeColor="accent3" w:themeTint="40" w:fill="b2edb9" w:themeFill="accent3" w:themeFillTint="40"/>
      </w:tcPr>
    </w:tblStylePr>
    <w:tblStylePr w:type="band2Horz">
      <w:rPr>
        <w:rFonts w:ascii="Arial" w:hAnsi="Arial"/>
        <w:color w:val="47d459" w:themeColor="accent3" w:themeTint="99"/>
        <w:sz w:val="22"/>
      </w:rPr>
    </w:tblStylePr>
    <w:tblStylePr w:type="firstCol">
      <w:rPr>
        <w:rFonts w:ascii="Arial" w:hAnsi="Arial"/>
        <w:i/>
        <w:color w:val="47d459" w:themeColor="accent3" w:themeTint="99"/>
        <w:sz w:val="22"/>
      </w:rPr>
      <w:pPr>
        <w:jc w:val="right"/>
      </w:pPr>
      <w:tcPr>
        <w:shd w:val="clear" w:color="ffffff" w:fill="auto"/>
        <w:tcBorders>
          <w:top w:val="none" w:color="000000" w:sz="4" w:space="0"/>
          <w:left w:val="none" w:color="000000" w:sz="4" w:space="0"/>
          <w:bottom w:val="none" w:color="000000" w:sz="4" w:space="0"/>
          <w:right w:val="single" w:color="48D45B" w:themeColor="accent3" w:themeTint="98" w:sz="4" w:space="0"/>
        </w:tcBorders>
      </w:tcPr>
    </w:tblStylePr>
    <w:tblStylePr w:type="firstRow">
      <w:rPr>
        <w:rFonts w:ascii="Arial" w:hAnsi="Arial"/>
        <w:i/>
        <w:color w:val="47d459" w:themeColor="accent3" w:themeTint="99"/>
        <w:sz w:val="22"/>
      </w:rPr>
      <w:tcPr>
        <w:shd w:val="clear" w:color="ffffff" w:themeColor="light1" w:fill="ffffff" w:themeFill="light1"/>
        <w:tcBorders>
          <w:top w:val="none" w:color="000000" w:sz="4" w:space="0"/>
          <w:left w:val="none" w:color="000000" w:sz="4" w:space="0"/>
          <w:bottom w:val="single" w:color="48D45B" w:themeColor="accent3" w:themeTint="98" w:sz="4" w:space="0"/>
          <w:right w:val="none" w:color="000000" w:sz="4" w:space="0"/>
        </w:tcBorders>
      </w:tcPr>
    </w:tblStylePr>
    <w:tblStylePr w:type="lastCol">
      <w:rPr>
        <w:rFonts w:ascii="Arial" w:hAnsi="Arial"/>
        <w:i/>
        <w:color w:val="47d459" w:themeColor="accent3" w:themeTint="99"/>
        <w:sz w:val="22"/>
      </w:rPr>
      <w:tcPr>
        <w:shd w:val="clear" w:color="ffffff" w:fill="auto"/>
        <w:tcBorders>
          <w:top w:val="none" w:color="000000" w:sz="4" w:space="0"/>
          <w:left w:val="single" w:color="48D45B" w:themeColor="accent3" w:themeTint="98" w:sz="4" w:space="0"/>
          <w:bottom w:val="none" w:color="000000" w:sz="4" w:space="0"/>
          <w:right w:val="none" w:color="000000" w:sz="4" w:space="0"/>
        </w:tcBorders>
      </w:tcPr>
    </w:tblStylePr>
    <w:tblStylePr w:type="lastRow">
      <w:rPr>
        <w:rFonts w:ascii="Arial" w:hAnsi="Arial"/>
        <w:i/>
        <w:color w:val="47d459" w:themeColor="accent3" w:themeTint="99"/>
        <w:sz w:val="22"/>
      </w:rPr>
      <w:tcPr>
        <w:shd w:val="clear" w:color="ffffff" w:themeColor="light1" w:fill="ffffff" w:themeFill="light1"/>
        <w:tcBorders>
          <w:top w:val="single" w:color="48D45B" w:themeColor="accent3" w:themeTint="98" w:sz="4" w:space="0"/>
          <w:left w:val="none" w:color="000000" w:sz="4" w:space="0"/>
          <w:bottom w:val="none" w:color="000000" w:sz="4" w:space="0"/>
          <w:right w:val="none" w:color="000000" w:sz="4" w:space="0"/>
        </w:tcBorders>
      </w:tcPr>
    </w:tblStylePr>
  </w:style>
  <w:style w:type="table" w:styleId="957" w:customStyle="1">
    <w:name w:val="List Table 7 Colorful - Accent 4"/>
    <w:basedOn w:val="765"/>
    <w:uiPriority w:val="99"/>
    <w:qFormat/>
    <w:tblPr>
      <w:tblBorders>
        <w:right w:val="single" w:color="5FCAF3" w:themeColor="accent4" w:themeTint="9A" w:sz="4" w:space="0"/>
      </w:tblBorders>
    </w:tblPr>
    <w:tblStylePr w:type="band1Horz">
      <w:rPr>
        <w:rFonts w:ascii="Arial" w:hAnsi="Arial"/>
        <w:color w:val="60caf3" w:themeColor="accent4" w:themeTint="99"/>
        <w:sz w:val="22"/>
      </w:rPr>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band2Horz">
      <w:rPr>
        <w:rFonts w:ascii="Arial" w:hAnsi="Arial"/>
        <w:color w:val="60caf3" w:themeColor="accent4" w:themeTint="99"/>
        <w:sz w:val="22"/>
      </w:rPr>
    </w:tblStylePr>
    <w:tblStylePr w:type="firstCol">
      <w:rPr>
        <w:rFonts w:ascii="Arial" w:hAnsi="Arial"/>
        <w:i/>
        <w:color w:val="60caf3" w:themeColor="accent4" w:themeTint="99"/>
        <w:sz w:val="22"/>
      </w:rPr>
      <w:pPr>
        <w:jc w:val="right"/>
      </w:pPr>
      <w:tcPr>
        <w:shd w:val="clear" w:color="ffffff" w:fill="auto"/>
        <w:tcBorders>
          <w:top w:val="none" w:color="000000" w:sz="4" w:space="0"/>
          <w:left w:val="none" w:color="000000" w:sz="4" w:space="0"/>
          <w:bottom w:val="none" w:color="000000" w:sz="4" w:space="0"/>
          <w:right w:val="single" w:color="5FCAF3" w:themeColor="accent4" w:themeTint="9A" w:sz="4" w:space="0"/>
        </w:tcBorders>
      </w:tcPr>
    </w:tblStylePr>
    <w:tblStylePr w:type="firstRow">
      <w:rPr>
        <w:rFonts w:ascii="Arial" w:hAnsi="Arial"/>
        <w:i/>
        <w:color w:val="60caf3" w:themeColor="accent4" w:themeTint="99"/>
        <w:sz w:val="22"/>
      </w:rPr>
      <w:tcPr>
        <w:shd w:val="clear" w:color="ffffff" w:themeColor="light1" w:fill="ffffff" w:themeFill="light1"/>
        <w:tcBorders>
          <w:top w:val="none" w:color="000000" w:sz="4" w:space="0"/>
          <w:left w:val="none" w:color="000000" w:sz="4" w:space="0"/>
          <w:bottom w:val="single" w:color="5FCAF3" w:themeColor="accent4" w:themeTint="9A" w:sz="4" w:space="0"/>
          <w:right w:val="none" w:color="000000" w:sz="4" w:space="0"/>
        </w:tcBorders>
      </w:tcPr>
    </w:tblStylePr>
    <w:tblStylePr w:type="lastCol">
      <w:rPr>
        <w:rFonts w:ascii="Arial" w:hAnsi="Arial"/>
        <w:i/>
        <w:color w:val="60caf3" w:themeColor="accent4" w:themeTint="99"/>
        <w:sz w:val="22"/>
      </w:rPr>
      <w:tcPr>
        <w:shd w:val="clear" w:color="ffffff" w:fill="auto"/>
        <w:tcBorders>
          <w:top w:val="none" w:color="000000" w:sz="4" w:space="0"/>
          <w:left w:val="single" w:color="5FCAF3" w:themeColor="accent4" w:themeTint="9A" w:sz="4" w:space="0"/>
          <w:bottom w:val="none" w:color="000000" w:sz="4" w:space="0"/>
          <w:right w:val="none" w:color="000000" w:sz="4" w:space="0"/>
        </w:tcBorders>
      </w:tcPr>
    </w:tblStylePr>
    <w:tblStylePr w:type="lastRow">
      <w:rPr>
        <w:rFonts w:ascii="Arial" w:hAnsi="Arial"/>
        <w:i/>
        <w:color w:val="60caf3" w:themeColor="accent4" w:themeTint="99"/>
        <w:sz w:val="22"/>
      </w:rPr>
      <w:tcPr>
        <w:shd w:val="clear" w:color="ffffff" w:themeColor="light1" w:fill="ffffff" w:themeFill="light1"/>
        <w:tcBorders>
          <w:top w:val="single" w:color="5FCAF3" w:themeColor="accent4" w:themeTint="9A" w:sz="4" w:space="0"/>
          <w:left w:val="none" w:color="000000" w:sz="4" w:space="0"/>
          <w:bottom w:val="none" w:color="000000" w:sz="4" w:space="0"/>
          <w:right w:val="none" w:color="000000" w:sz="4" w:space="0"/>
        </w:tcBorders>
      </w:tcPr>
    </w:tblStylePr>
  </w:style>
  <w:style w:type="table" w:styleId="958" w:customStyle="1">
    <w:name w:val="List Table 7 Colorful - Accent 5"/>
    <w:basedOn w:val="765"/>
    <w:uiPriority w:val="99"/>
    <w:qFormat/>
    <w:tblPr>
      <w:tblBorders>
        <w:right w:val="single" w:color="D76CCB" w:themeColor="accent5" w:themeTint="9A" w:sz="4" w:space="0"/>
      </w:tblBorders>
    </w:tblPr>
    <w:tblStylePr w:type="band1Horz">
      <w:rPr>
        <w:rFonts w:ascii="Arial" w:hAnsi="Arial"/>
        <w:color w:val="d86dcb" w:themeColor="accent5" w:themeTint="99"/>
        <w:sz w:val="22"/>
      </w:rPr>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band2Horz">
      <w:rPr>
        <w:rFonts w:ascii="Arial" w:hAnsi="Arial"/>
        <w:color w:val="d86dcb" w:themeColor="accent5" w:themeTint="99"/>
        <w:sz w:val="22"/>
      </w:rPr>
    </w:tblStylePr>
    <w:tblStylePr w:type="firstCol">
      <w:rPr>
        <w:rFonts w:ascii="Arial" w:hAnsi="Arial"/>
        <w:i/>
        <w:color w:val="d86dcb" w:themeColor="accent5" w:themeTint="99"/>
        <w:sz w:val="22"/>
      </w:rPr>
      <w:pPr>
        <w:jc w:val="right"/>
      </w:pPr>
      <w:tcPr>
        <w:shd w:val="clear" w:color="ffffff" w:fill="auto"/>
        <w:tcBorders>
          <w:top w:val="none" w:color="000000" w:sz="4" w:space="0"/>
          <w:left w:val="none" w:color="000000" w:sz="4" w:space="0"/>
          <w:bottom w:val="none" w:color="000000" w:sz="4" w:space="0"/>
          <w:right w:val="single" w:color="D76CCB" w:themeColor="accent5" w:themeTint="9A" w:sz="4" w:space="0"/>
        </w:tcBorders>
      </w:tcPr>
    </w:tblStylePr>
    <w:tblStylePr w:type="firstRow">
      <w:rPr>
        <w:rFonts w:ascii="Arial" w:hAnsi="Arial"/>
        <w:i/>
        <w:color w:val="d86dcb" w:themeColor="accent5" w:themeTint="99"/>
        <w:sz w:val="22"/>
      </w:rPr>
      <w:tcPr>
        <w:shd w:val="clear" w:color="ffffff" w:themeColor="light1" w:fill="ffffff" w:themeFill="light1"/>
        <w:tcBorders>
          <w:top w:val="none" w:color="000000" w:sz="4" w:space="0"/>
          <w:left w:val="none" w:color="000000" w:sz="4" w:space="0"/>
          <w:bottom w:val="single" w:color="D76CCB" w:themeColor="accent5" w:themeTint="9A" w:sz="4" w:space="0"/>
          <w:right w:val="none" w:color="000000" w:sz="4" w:space="0"/>
        </w:tcBorders>
      </w:tcPr>
    </w:tblStylePr>
    <w:tblStylePr w:type="lastCol">
      <w:rPr>
        <w:rFonts w:ascii="Arial" w:hAnsi="Arial"/>
        <w:i/>
        <w:color w:val="d86dcb" w:themeColor="accent5" w:themeTint="99"/>
        <w:sz w:val="22"/>
      </w:rPr>
      <w:tcPr>
        <w:shd w:val="clear" w:color="ffffff" w:fill="auto"/>
        <w:tcBorders>
          <w:top w:val="none" w:color="000000" w:sz="4" w:space="0"/>
          <w:left w:val="single" w:color="D76CCB" w:themeColor="accent5" w:themeTint="9A" w:sz="4" w:space="0"/>
          <w:bottom w:val="none" w:color="000000" w:sz="4" w:space="0"/>
          <w:right w:val="none" w:color="000000" w:sz="4" w:space="0"/>
        </w:tcBorders>
      </w:tcPr>
    </w:tblStylePr>
    <w:tblStylePr w:type="lastRow">
      <w:rPr>
        <w:rFonts w:ascii="Arial" w:hAnsi="Arial"/>
        <w:i/>
        <w:color w:val="d86dcb" w:themeColor="accent5" w:themeTint="99"/>
        <w:sz w:val="22"/>
      </w:rPr>
      <w:tcPr>
        <w:shd w:val="clear" w:color="ffffff" w:themeColor="light1" w:fill="ffffff" w:themeFill="light1"/>
        <w:tcBorders>
          <w:top w:val="single" w:color="D76CCB" w:themeColor="accent5" w:themeTint="9A" w:sz="4" w:space="0"/>
          <w:left w:val="none" w:color="000000" w:sz="4" w:space="0"/>
          <w:bottom w:val="none" w:color="000000" w:sz="4" w:space="0"/>
          <w:right w:val="none" w:color="000000" w:sz="4" w:space="0"/>
        </w:tcBorders>
      </w:tcPr>
    </w:tblStylePr>
  </w:style>
  <w:style w:type="table" w:styleId="959" w:customStyle="1">
    <w:name w:val="List Table 7 Colorful - Accent 6"/>
    <w:basedOn w:val="765"/>
    <w:uiPriority w:val="99"/>
    <w:qFormat/>
    <w:tblPr>
      <w:tblBorders>
        <w:right w:val="single" w:color="8ED873" w:themeColor="accent6" w:themeTint="98" w:sz="4" w:space="0"/>
      </w:tblBorders>
    </w:tblPr>
    <w:tblStylePr w:type="band1Horz">
      <w:rPr>
        <w:rFonts w:ascii="Arial" w:hAnsi="Arial"/>
        <w:color w:val="8dd873" w:themeColor="accent6" w:themeTint="99"/>
        <w:sz w:val="22"/>
      </w:rPr>
      <w:tcPr>
        <w:shd w:val="clear" w:color="cfefc4" w:themeColor="accent6" w:themeTint="40" w:fill="cfefc4" w:themeFill="accent6" w:themeFillTint="40"/>
      </w:tcPr>
    </w:tblStylePr>
    <w:tblStylePr w:type="band1Vert">
      <w:tcPr>
        <w:shd w:val="clear" w:color="cfefc4" w:themeColor="accent6" w:themeTint="40" w:fill="cfefc4" w:themeFill="accent6" w:themeFillTint="40"/>
      </w:tcPr>
    </w:tblStylePr>
    <w:tblStylePr w:type="band2Horz">
      <w:rPr>
        <w:rFonts w:ascii="Arial" w:hAnsi="Arial"/>
        <w:color w:val="8dd873" w:themeColor="accent6" w:themeTint="99"/>
        <w:sz w:val="22"/>
      </w:rPr>
    </w:tblStylePr>
    <w:tblStylePr w:type="firstCol">
      <w:rPr>
        <w:rFonts w:ascii="Arial" w:hAnsi="Arial"/>
        <w:i/>
        <w:color w:val="8dd873" w:themeColor="accent6" w:themeTint="99"/>
        <w:sz w:val="22"/>
      </w:rPr>
      <w:pPr>
        <w:jc w:val="right"/>
      </w:pPr>
      <w:tcPr>
        <w:shd w:val="clear" w:color="ffffff" w:fill="auto"/>
        <w:tcBorders>
          <w:top w:val="none" w:color="000000" w:sz="4" w:space="0"/>
          <w:left w:val="none" w:color="000000" w:sz="4" w:space="0"/>
          <w:bottom w:val="none" w:color="000000" w:sz="4" w:space="0"/>
          <w:right w:val="single" w:color="8ED873" w:themeColor="accent6" w:themeTint="98" w:sz="4" w:space="0"/>
        </w:tcBorders>
      </w:tcPr>
    </w:tblStylePr>
    <w:tblStylePr w:type="firstRow">
      <w:rPr>
        <w:rFonts w:ascii="Arial" w:hAnsi="Arial"/>
        <w:i/>
        <w:color w:val="8dd873" w:themeColor="accent6" w:themeTint="99"/>
        <w:sz w:val="22"/>
      </w:rPr>
      <w:tcPr>
        <w:shd w:val="clear" w:color="ffffff" w:themeColor="light1" w:fill="ffffff" w:themeFill="light1"/>
        <w:tcBorders>
          <w:top w:val="none" w:color="000000" w:sz="4" w:space="0"/>
          <w:left w:val="none" w:color="000000" w:sz="4" w:space="0"/>
          <w:bottom w:val="single" w:color="8ED873" w:themeColor="accent6" w:themeTint="98" w:sz="4" w:space="0"/>
          <w:right w:val="none" w:color="000000" w:sz="4" w:space="0"/>
        </w:tcBorders>
      </w:tcPr>
    </w:tblStylePr>
    <w:tblStylePr w:type="lastCol">
      <w:rPr>
        <w:rFonts w:ascii="Arial" w:hAnsi="Arial"/>
        <w:i/>
        <w:color w:val="8dd873" w:themeColor="accent6" w:themeTint="99"/>
        <w:sz w:val="22"/>
      </w:rPr>
      <w:tcPr>
        <w:shd w:val="clear" w:color="ffffff" w:fill="auto"/>
        <w:tcBorders>
          <w:top w:val="none" w:color="000000" w:sz="4" w:space="0"/>
          <w:left w:val="single" w:color="8ED873" w:themeColor="accent6" w:themeTint="98" w:sz="4" w:space="0"/>
          <w:bottom w:val="none" w:color="000000" w:sz="4" w:space="0"/>
          <w:right w:val="none" w:color="000000" w:sz="4" w:space="0"/>
        </w:tcBorders>
      </w:tcPr>
    </w:tblStylePr>
    <w:tblStylePr w:type="lastRow">
      <w:rPr>
        <w:rFonts w:ascii="Arial" w:hAnsi="Arial"/>
        <w:i/>
        <w:color w:val="8dd873" w:themeColor="accent6" w:themeTint="99"/>
        <w:sz w:val="22"/>
      </w:rPr>
      <w:tcPr>
        <w:shd w:val="clear" w:color="ffffff" w:themeColor="light1" w:fill="ffffff" w:themeFill="light1"/>
        <w:tcBorders>
          <w:top w:val="single" w:color="8ED873" w:themeColor="accent6" w:themeTint="98" w:sz="4" w:space="0"/>
          <w:left w:val="none" w:color="000000" w:sz="4" w:space="0"/>
          <w:bottom w:val="none" w:color="000000" w:sz="4" w:space="0"/>
          <w:right w:val="none" w:color="000000" w:sz="4" w:space="0"/>
        </w:tcBorders>
      </w:tcPr>
    </w:tblStylePr>
  </w:style>
  <w:style w:type="table" w:styleId="960" w:customStyle="1">
    <w:name w:val="Lined - Accent"/>
    <w:basedOn w:val="7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1" w:customStyle="1">
    <w:name w:val="Lined - Accent 1"/>
    <w:basedOn w:val="7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9ed5ef" w:themeColor="accent1" w:themeTint="50" w:fill="9ed5ef" w:themeFill="accent1" w:themeFillTint="50"/>
      </w:tcPr>
    </w:tblStylePr>
    <w:tblStylePr w:type="band2Vert">
      <w:rPr>
        <w:rFonts w:ascii="Arial" w:hAnsi="Arial"/>
        <w:color w:val="404040"/>
        <w:sz w:val="22"/>
      </w:rPr>
      <w:tcPr>
        <w:shd w:val="clear" w:color="9ed5ef" w:themeColor="accent1" w:themeTint="50" w:fill="9ed5ef" w:themeFill="accent1" w:themeFillTint="50"/>
      </w:tcPr>
    </w:tblStylePr>
    <w:tblStylePr w:type="firstCol">
      <w:rPr>
        <w:rFonts w:ascii="Arial" w:hAnsi="Arial"/>
        <w:color w:val="f2f2f2"/>
        <w:sz w:val="22"/>
      </w:rPr>
      <w:tcPr>
        <w:shd w:val="clear" w:color="19729b" w:themeColor="accent1" w:themeTint="EA" w:fill="19729b" w:themeFill="accent1" w:themeFillTint="EA"/>
      </w:tcPr>
    </w:tblStylePr>
    <w:tblStylePr w:type="firstRow">
      <w:rPr>
        <w:rFonts w:ascii="Arial" w:hAnsi="Arial"/>
        <w:color w:val="f2f2f2"/>
        <w:sz w:val="22"/>
      </w:rPr>
      <w:tcPr>
        <w:shd w:val="clear" w:color="19729b" w:themeColor="accent1" w:themeTint="EA" w:fill="19729b" w:themeFill="accent1" w:themeFillTint="EA"/>
      </w:tcPr>
    </w:tblStylePr>
    <w:tblStylePr w:type="lastCol">
      <w:rPr>
        <w:rFonts w:ascii="Arial" w:hAnsi="Arial"/>
        <w:color w:val="f2f2f2"/>
        <w:sz w:val="22"/>
      </w:rPr>
      <w:tcPr>
        <w:shd w:val="clear" w:color="19729b" w:themeColor="accent1" w:themeTint="EA" w:fill="19729b" w:themeFill="accent1" w:themeFillTint="EA"/>
      </w:tcPr>
    </w:tblStylePr>
    <w:tblStylePr w:type="lastRow">
      <w:rPr>
        <w:rFonts w:ascii="Arial" w:hAnsi="Arial"/>
        <w:color w:val="f2f2f2"/>
        <w:sz w:val="22"/>
      </w:rPr>
      <w:tcPr>
        <w:shd w:val="clear" w:color="19729b" w:themeColor="accent1" w:themeTint="EA" w:fill="19729b" w:themeFill="accent1" w:themeFillTint="EA"/>
      </w:tcPr>
    </w:tblStylePr>
  </w:style>
  <w:style w:type="table" w:styleId="962" w:customStyle="1">
    <w:name w:val="Lined - Accent 2"/>
    <w:basedOn w:val="7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ae2d6" w:themeColor="accent2" w:themeTint="32" w:fill="fae2d6" w:themeFill="accent2" w:themeFillTint="32"/>
      </w:tcPr>
    </w:tblStylePr>
    <w:tblStylePr w:type="band2Vert">
      <w:rPr>
        <w:rFonts w:ascii="Arial" w:hAnsi="Arial"/>
        <w:color w:val="404040"/>
        <w:sz w:val="22"/>
      </w:rPr>
      <w:tcPr>
        <w:shd w:val="clear" w:color="fae2d6" w:themeColor="accent2" w:themeTint="32" w:fill="fae2d6" w:themeFill="accent2" w:themeFillTint="32"/>
      </w:tcPr>
    </w:tblStylePr>
    <w:tblStylePr w:type="firstCol">
      <w:rPr>
        <w:rFonts w:ascii="Arial" w:hAnsi="Arial"/>
        <w:color w:val="f2f2f2"/>
        <w:sz w:val="22"/>
      </w:rPr>
      <w:tcPr>
        <w:shd w:val="clear" w:color="f2aa85" w:themeColor="accent2" w:themeTint="97" w:fill="f2aa85" w:themeFill="accent2" w:themeFillTint="97"/>
      </w:tcPr>
    </w:tblStylePr>
    <w:tblStylePr w:type="firstRow">
      <w:rPr>
        <w:rFonts w:ascii="Arial" w:hAnsi="Arial"/>
        <w:color w:val="f2f2f2"/>
        <w:sz w:val="22"/>
      </w:rPr>
      <w:tcPr>
        <w:shd w:val="clear" w:color="f2aa85" w:themeColor="accent2" w:themeTint="97" w:fill="f2aa85" w:themeFill="accent2" w:themeFillTint="97"/>
      </w:tcPr>
    </w:tblStylePr>
    <w:tblStylePr w:type="lastCol">
      <w:rPr>
        <w:rFonts w:ascii="Arial" w:hAnsi="Arial"/>
        <w:color w:val="f2f2f2"/>
        <w:sz w:val="22"/>
      </w:rPr>
      <w:tcPr>
        <w:shd w:val="clear" w:color="f2aa85" w:themeColor="accent2" w:themeTint="97" w:fill="f2aa85" w:themeFill="accent2" w:themeFillTint="97"/>
      </w:tcPr>
    </w:tblStylePr>
    <w:tblStylePr w:type="lastRow">
      <w:rPr>
        <w:rFonts w:ascii="Arial" w:hAnsi="Arial"/>
        <w:color w:val="f2f2f2"/>
        <w:sz w:val="22"/>
      </w:rPr>
      <w:tcPr>
        <w:shd w:val="clear" w:color="f2aa85" w:themeColor="accent2" w:themeTint="97" w:fill="f2aa85" w:themeFill="accent2" w:themeFillTint="97"/>
      </w:tcPr>
    </w:tblStylePr>
  </w:style>
  <w:style w:type="table" w:styleId="963" w:customStyle="1">
    <w:name w:val="Lined - Accent 3"/>
    <w:basedOn w:val="7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0f0c6" w:themeColor="accent3" w:themeTint="34" w:fill="c0f0c6" w:themeFill="accent3" w:themeFillTint="34"/>
      </w:tcPr>
    </w:tblStylePr>
    <w:tblStylePr w:type="band2Vert">
      <w:rPr>
        <w:rFonts w:ascii="Arial" w:hAnsi="Arial"/>
        <w:color w:val="404040"/>
        <w:sz w:val="22"/>
      </w:rPr>
      <w:tcPr>
        <w:shd w:val="clear" w:color="c0f0c6" w:themeColor="accent3" w:themeTint="34" w:fill="c0f0c6" w:themeFill="accent3" w:themeFillTint="34"/>
      </w:tcPr>
    </w:tblStylePr>
    <w:tblStylePr w:type="firstCol">
      <w:rPr>
        <w:rFonts w:ascii="Arial" w:hAnsi="Arial"/>
        <w:color w:val="f2f2f2"/>
        <w:sz w:val="22"/>
      </w:rPr>
      <w:tcPr>
        <w:shd w:val="clear" w:color="196c24" w:themeColor="accent3" w:themeTint="FE" w:fill="196c24" w:themeFill="accent3" w:themeFillTint="FE"/>
      </w:tcPr>
    </w:tblStylePr>
    <w:tblStylePr w:type="firstRow">
      <w:rPr>
        <w:rFonts w:ascii="Arial" w:hAnsi="Arial"/>
        <w:color w:val="f2f2f2"/>
        <w:sz w:val="22"/>
      </w:rPr>
      <w:tcPr>
        <w:shd w:val="clear" w:color="196c24" w:themeColor="accent3" w:themeTint="FE" w:fill="196c24" w:themeFill="accent3" w:themeFillTint="FE"/>
      </w:tcPr>
    </w:tblStylePr>
    <w:tblStylePr w:type="lastCol">
      <w:rPr>
        <w:rFonts w:ascii="Arial" w:hAnsi="Arial"/>
        <w:color w:val="f2f2f2"/>
        <w:sz w:val="22"/>
      </w:rPr>
      <w:tcPr>
        <w:shd w:val="clear" w:color="196c24" w:themeColor="accent3" w:themeTint="FE" w:fill="196c24" w:themeFill="accent3" w:themeFillTint="FE"/>
      </w:tcPr>
    </w:tblStylePr>
    <w:tblStylePr w:type="lastRow">
      <w:rPr>
        <w:rFonts w:ascii="Arial" w:hAnsi="Arial"/>
        <w:color w:val="f2f2f2"/>
        <w:sz w:val="22"/>
      </w:rPr>
      <w:tcPr>
        <w:shd w:val="clear" w:color="196c24" w:themeColor="accent3" w:themeTint="FE" w:fill="196c24" w:themeFill="accent3" w:themeFillTint="FE"/>
      </w:tcPr>
    </w:tblStylePr>
  </w:style>
  <w:style w:type="table" w:styleId="964" w:customStyle="1">
    <w:name w:val="Lined - Accent 4"/>
    <w:basedOn w:val="7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9edfb" w:themeColor="accent4" w:themeTint="34" w:fill="c9edfb" w:themeFill="accent4" w:themeFillTint="34"/>
      </w:tcPr>
    </w:tblStylePr>
    <w:tblStylePr w:type="band2Vert">
      <w:rPr>
        <w:rFonts w:ascii="Arial" w:hAnsi="Arial"/>
        <w:color w:val="404040"/>
        <w:sz w:val="22"/>
      </w:rPr>
      <w:tcPr>
        <w:shd w:val="clear" w:color="c9edfb" w:themeColor="accent4" w:themeTint="34" w:fill="c9edfb" w:themeFill="accent4" w:themeFillTint="34"/>
      </w:tcPr>
    </w:tblStylePr>
    <w:tblStylePr w:type="firstCol">
      <w:rPr>
        <w:rFonts w:ascii="Arial" w:hAnsi="Arial"/>
        <w:color w:val="f2f2f2"/>
        <w:sz w:val="22"/>
      </w:rPr>
      <w:tcPr>
        <w:shd w:val="clear" w:color="5fcaf3" w:themeColor="accent4" w:themeTint="9A" w:fill="5fcaf3" w:themeFill="accent4" w:themeFillTint="9A"/>
      </w:tcPr>
    </w:tblStylePr>
    <w:tblStylePr w:type="firstRow">
      <w:rPr>
        <w:rFonts w:ascii="Arial" w:hAnsi="Arial"/>
        <w:color w:val="f2f2f2"/>
        <w:sz w:val="22"/>
      </w:rPr>
      <w:tcPr>
        <w:shd w:val="clear" w:color="5fcaf3" w:themeColor="accent4" w:themeTint="9A" w:fill="5fcaf3" w:themeFill="accent4" w:themeFillTint="9A"/>
      </w:tcPr>
    </w:tblStylePr>
    <w:tblStylePr w:type="lastCol">
      <w:rPr>
        <w:rFonts w:ascii="Arial" w:hAnsi="Arial"/>
        <w:color w:val="f2f2f2"/>
        <w:sz w:val="22"/>
      </w:rPr>
      <w:tcPr>
        <w:shd w:val="clear" w:color="5fcaf3" w:themeColor="accent4" w:themeTint="9A" w:fill="5fcaf3" w:themeFill="accent4" w:themeFillTint="9A"/>
      </w:tcPr>
    </w:tblStylePr>
    <w:tblStylePr w:type="lastRow">
      <w:rPr>
        <w:rFonts w:ascii="Arial" w:hAnsi="Arial"/>
        <w:color w:val="f2f2f2"/>
        <w:sz w:val="22"/>
      </w:rPr>
      <w:tcPr>
        <w:shd w:val="clear" w:color="5fcaf3" w:themeColor="accent4" w:themeTint="9A" w:fill="5fcaf3" w:themeFill="accent4" w:themeFillTint="9A"/>
      </w:tcPr>
    </w:tblStylePr>
  </w:style>
  <w:style w:type="table" w:styleId="965" w:customStyle="1">
    <w:name w:val="Lined - Accent 5"/>
    <w:basedOn w:val="7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cded" w:themeColor="accent5" w:themeTint="34" w:fill="f1cded" w:themeFill="accent5" w:themeFillTint="34"/>
      </w:tcPr>
    </w:tblStylePr>
    <w:tblStylePr w:type="band2Vert">
      <w:rPr>
        <w:rFonts w:ascii="Arial" w:hAnsi="Arial"/>
        <w:color w:val="404040"/>
        <w:sz w:val="22"/>
      </w:rPr>
      <w:tcPr>
        <w:shd w:val="clear" w:color="f1cded" w:themeColor="accent5" w:themeTint="34" w:fill="f1cded" w:themeFill="accent5" w:themeFillTint="34"/>
      </w:tcPr>
    </w:tblStylePr>
    <w:tblStylePr w:type="firstCol">
      <w:rPr>
        <w:rFonts w:ascii="Arial" w:hAnsi="Arial"/>
        <w:color w:val="f2f2f2"/>
        <w:sz w:val="22"/>
      </w:rPr>
      <w:tcPr>
        <w:shd w:val="clear" w:color="a02b93" w:themeColor="accent5" w:fill="a02b93" w:themeFill="accent5"/>
      </w:tcPr>
    </w:tblStylePr>
    <w:tblStylePr w:type="firstRow">
      <w:rPr>
        <w:rFonts w:ascii="Arial" w:hAnsi="Arial"/>
        <w:color w:val="f2f2f2"/>
        <w:sz w:val="22"/>
      </w:rPr>
      <w:tcPr>
        <w:shd w:val="clear" w:color="a02b93" w:themeColor="accent5" w:fill="a02b93" w:themeFill="accent5"/>
      </w:tcPr>
    </w:tblStylePr>
    <w:tblStylePr w:type="lastCol">
      <w:rPr>
        <w:rFonts w:ascii="Arial" w:hAnsi="Arial"/>
        <w:color w:val="f2f2f2"/>
        <w:sz w:val="22"/>
      </w:rPr>
      <w:tcPr>
        <w:shd w:val="clear" w:color="a02b93" w:themeColor="accent5" w:fill="a02b93" w:themeFill="accent5"/>
      </w:tcPr>
    </w:tblStylePr>
    <w:tblStylePr w:type="lastRow">
      <w:rPr>
        <w:rFonts w:ascii="Arial" w:hAnsi="Arial"/>
        <w:color w:val="f2f2f2"/>
        <w:sz w:val="22"/>
      </w:rPr>
      <w:tcPr>
        <w:shd w:val="clear" w:color="a02b93" w:themeColor="accent5" w:fill="a02b93" w:themeFill="accent5"/>
      </w:tcPr>
    </w:tblStylePr>
  </w:style>
  <w:style w:type="table" w:styleId="966" w:customStyle="1">
    <w:name w:val="Lined - Accent 6"/>
    <w:basedOn w:val="7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f2cf" w:themeColor="accent6" w:themeTint="34" w:fill="d8f2cf" w:themeFill="accent6" w:themeFillTint="34"/>
      </w:tcPr>
    </w:tblStylePr>
    <w:tblStylePr w:type="band2Vert">
      <w:rPr>
        <w:rFonts w:ascii="Arial" w:hAnsi="Arial"/>
        <w:color w:val="404040"/>
        <w:sz w:val="22"/>
      </w:rPr>
      <w:tcPr>
        <w:shd w:val="clear" w:color="d8f2cf" w:themeColor="accent6" w:themeTint="34" w:fill="d8f2cf" w:themeFill="accent6" w:themeFillTint="34"/>
      </w:tcPr>
    </w:tblStylePr>
    <w:tblStylePr w:type="firstCol">
      <w:rPr>
        <w:rFonts w:ascii="Arial" w:hAnsi="Arial"/>
        <w:color w:val="f2f2f2"/>
        <w:sz w:val="22"/>
      </w:rPr>
      <w:tcPr>
        <w:shd w:val="clear" w:color="4ea72e" w:themeColor="accent6" w:fill="4ea72e" w:themeFill="accent6"/>
      </w:tcPr>
    </w:tblStylePr>
    <w:tblStylePr w:type="firstRow">
      <w:rPr>
        <w:rFonts w:ascii="Arial" w:hAnsi="Arial"/>
        <w:color w:val="f2f2f2"/>
        <w:sz w:val="22"/>
      </w:rPr>
      <w:tcPr>
        <w:shd w:val="clear" w:color="4ea72e" w:themeColor="accent6" w:fill="4ea72e" w:themeFill="accent6"/>
      </w:tcPr>
    </w:tblStylePr>
    <w:tblStylePr w:type="lastCol">
      <w:rPr>
        <w:rFonts w:ascii="Arial" w:hAnsi="Arial"/>
        <w:color w:val="f2f2f2"/>
        <w:sz w:val="22"/>
      </w:rPr>
      <w:tcPr>
        <w:shd w:val="clear" w:color="4ea72e" w:themeColor="accent6" w:fill="4ea72e" w:themeFill="accent6"/>
      </w:tcPr>
    </w:tblStylePr>
    <w:tblStylePr w:type="lastRow">
      <w:rPr>
        <w:rFonts w:ascii="Arial" w:hAnsi="Arial"/>
        <w:color w:val="f2f2f2"/>
        <w:sz w:val="22"/>
      </w:rPr>
      <w:tcPr>
        <w:shd w:val="clear" w:color="4ea72e" w:themeColor="accent6" w:fill="4ea72e" w:themeFill="accent6"/>
      </w:tcPr>
    </w:tblStylePr>
  </w:style>
  <w:style w:type="table" w:styleId="967" w:customStyle="1">
    <w:name w:val="Bordered &amp; Lined - Accent"/>
    <w:basedOn w:val="765"/>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8" w:customStyle="1">
    <w:name w:val="Bordered &amp; Lined - Accent 1"/>
    <w:basedOn w:val="765"/>
    <w:uiPriority w:val="99"/>
    <w:qFormat/>
    <w:rPr>
      <w:color w:val="404040"/>
    </w:rPr>
    <w:tblPr>
      <w:tblBorders>
        <w:top w:val="single" w:color="0C374B" w:themeColor="accent1" w:themeShade="95" w:sz="4" w:space="0"/>
        <w:left w:val="single" w:color="0C374B" w:themeColor="accent1" w:themeShade="95" w:sz="4" w:space="0"/>
        <w:bottom w:val="single" w:color="0C374B" w:themeColor="accent1" w:themeShade="95" w:sz="4" w:space="0"/>
        <w:right w:val="single" w:color="0C374B" w:themeColor="accent1" w:themeShade="95" w:sz="4" w:space="0"/>
        <w:insideH w:val="single" w:color="0C374B" w:themeColor="accent1" w:themeShade="95" w:sz="4" w:space="0"/>
        <w:insideV w:val="single" w:color="0C374B"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9ed5ef" w:themeColor="accent1" w:themeTint="50" w:fill="9ed5ef" w:themeFill="accent1" w:themeFillTint="50"/>
      </w:tcPr>
    </w:tblStylePr>
    <w:tblStylePr w:type="band2Vert">
      <w:rPr>
        <w:rFonts w:ascii="Arial" w:hAnsi="Arial"/>
        <w:color w:val="404040"/>
        <w:sz w:val="22"/>
      </w:rPr>
      <w:tcPr>
        <w:shd w:val="clear" w:color="9ed5ef" w:themeColor="accent1" w:themeTint="50" w:fill="9ed5ef" w:themeFill="accent1" w:themeFillTint="50"/>
      </w:tcPr>
    </w:tblStylePr>
    <w:tblStylePr w:type="firstCol">
      <w:rPr>
        <w:rFonts w:ascii="Arial" w:hAnsi="Arial"/>
        <w:color w:val="f2f2f2"/>
        <w:sz w:val="22"/>
      </w:rPr>
      <w:tcPr>
        <w:shd w:val="clear" w:color="19729b" w:themeColor="accent1" w:themeTint="EA" w:fill="19729b" w:themeFill="accent1" w:themeFillTint="EA"/>
      </w:tcPr>
    </w:tblStylePr>
    <w:tblStylePr w:type="firstRow">
      <w:rPr>
        <w:rFonts w:ascii="Arial" w:hAnsi="Arial"/>
        <w:color w:val="f2f2f2"/>
        <w:sz w:val="22"/>
      </w:rPr>
      <w:tcPr>
        <w:shd w:val="clear" w:color="19729b" w:themeColor="accent1" w:themeTint="EA" w:fill="19729b" w:themeFill="accent1" w:themeFillTint="EA"/>
      </w:tcPr>
    </w:tblStylePr>
    <w:tblStylePr w:type="lastCol">
      <w:rPr>
        <w:rFonts w:ascii="Arial" w:hAnsi="Arial"/>
        <w:color w:val="f2f2f2"/>
        <w:sz w:val="22"/>
      </w:rPr>
      <w:tcPr>
        <w:shd w:val="clear" w:color="19729b" w:themeColor="accent1" w:themeTint="EA" w:fill="19729b" w:themeFill="accent1" w:themeFillTint="EA"/>
      </w:tcPr>
    </w:tblStylePr>
    <w:tblStylePr w:type="lastRow">
      <w:rPr>
        <w:rFonts w:ascii="Arial" w:hAnsi="Arial"/>
        <w:color w:val="f2f2f2"/>
        <w:sz w:val="22"/>
      </w:rPr>
      <w:tcPr>
        <w:shd w:val="clear" w:color="19729b" w:themeColor="accent1" w:themeTint="EA" w:fill="19729b" w:themeFill="accent1" w:themeFillTint="EA"/>
      </w:tcPr>
    </w:tblStylePr>
  </w:style>
  <w:style w:type="table" w:styleId="969" w:customStyle="1">
    <w:name w:val="Bordered &amp; Lined - Accent 2"/>
    <w:basedOn w:val="765"/>
    <w:uiPriority w:val="99"/>
    <w:qFormat/>
    <w:rPr>
      <w:color w:val="404040"/>
    </w:rPr>
    <w:tblPr>
      <w:tblBorders>
        <w:top w:val="single" w:color="953D10" w:themeColor="accent2" w:themeShade="95" w:sz="4" w:space="0"/>
        <w:left w:val="single" w:color="953D10" w:themeColor="accent2" w:themeShade="95" w:sz="4" w:space="0"/>
        <w:bottom w:val="single" w:color="953D10" w:themeColor="accent2" w:themeShade="95" w:sz="4" w:space="0"/>
        <w:right w:val="single" w:color="953D10" w:themeColor="accent2" w:themeShade="95" w:sz="4" w:space="0"/>
        <w:insideH w:val="single" w:color="953D10" w:themeColor="accent2" w:themeShade="95" w:sz="4" w:space="0"/>
        <w:insideV w:val="single" w:color="953D1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ae2d6" w:themeColor="accent2" w:themeTint="32" w:fill="fae2d6" w:themeFill="accent2" w:themeFillTint="32"/>
      </w:tcPr>
    </w:tblStylePr>
    <w:tblStylePr w:type="band2Vert">
      <w:rPr>
        <w:rFonts w:ascii="Arial" w:hAnsi="Arial"/>
        <w:color w:val="404040"/>
        <w:sz w:val="22"/>
      </w:rPr>
      <w:tcPr>
        <w:shd w:val="clear" w:color="fae2d6" w:themeColor="accent2" w:themeTint="32" w:fill="fae2d6" w:themeFill="accent2" w:themeFillTint="32"/>
      </w:tcPr>
    </w:tblStylePr>
    <w:tblStylePr w:type="firstCol">
      <w:rPr>
        <w:rFonts w:ascii="Arial" w:hAnsi="Arial"/>
        <w:color w:val="f2f2f2"/>
        <w:sz w:val="22"/>
      </w:rPr>
      <w:tcPr>
        <w:shd w:val="clear" w:color="f2aa85" w:themeColor="accent2" w:themeTint="97" w:fill="f2aa85" w:themeFill="accent2" w:themeFillTint="97"/>
      </w:tcPr>
    </w:tblStylePr>
    <w:tblStylePr w:type="firstRow">
      <w:rPr>
        <w:rFonts w:ascii="Arial" w:hAnsi="Arial"/>
        <w:color w:val="f2f2f2"/>
        <w:sz w:val="22"/>
      </w:rPr>
      <w:tcPr>
        <w:shd w:val="clear" w:color="f2aa85" w:themeColor="accent2" w:themeTint="97" w:fill="f2aa85" w:themeFill="accent2" w:themeFillTint="97"/>
      </w:tcPr>
    </w:tblStylePr>
    <w:tblStylePr w:type="lastCol">
      <w:rPr>
        <w:rFonts w:ascii="Arial" w:hAnsi="Arial"/>
        <w:color w:val="f2f2f2"/>
        <w:sz w:val="22"/>
      </w:rPr>
      <w:tcPr>
        <w:shd w:val="clear" w:color="f2aa85" w:themeColor="accent2" w:themeTint="97" w:fill="f2aa85" w:themeFill="accent2" w:themeFillTint="97"/>
      </w:tcPr>
    </w:tblStylePr>
    <w:tblStylePr w:type="lastRow">
      <w:rPr>
        <w:rFonts w:ascii="Arial" w:hAnsi="Arial"/>
        <w:color w:val="f2f2f2"/>
        <w:sz w:val="22"/>
      </w:rPr>
      <w:tcPr>
        <w:shd w:val="clear" w:color="f2aa85" w:themeColor="accent2" w:themeTint="97" w:fill="f2aa85" w:themeFill="accent2" w:themeFillTint="97"/>
      </w:tcPr>
    </w:tblStylePr>
  </w:style>
  <w:style w:type="table" w:styleId="970" w:customStyle="1">
    <w:name w:val="Bordered &amp; Lined - Accent 3"/>
    <w:basedOn w:val="765"/>
    <w:uiPriority w:val="99"/>
    <w:qFormat/>
    <w:rPr>
      <w:color w:val="404040"/>
    </w:rPr>
    <w:tblPr>
      <w:tblBorders>
        <w:top w:val="single" w:color="0E3E15" w:themeColor="accent3" w:themeShade="95" w:sz="4" w:space="0"/>
        <w:left w:val="single" w:color="0E3E15" w:themeColor="accent3" w:themeShade="95" w:sz="4" w:space="0"/>
        <w:bottom w:val="single" w:color="0E3E15" w:themeColor="accent3" w:themeShade="95" w:sz="4" w:space="0"/>
        <w:right w:val="single" w:color="0E3E15" w:themeColor="accent3" w:themeShade="95" w:sz="4" w:space="0"/>
        <w:insideH w:val="single" w:color="0E3E15" w:themeColor="accent3" w:themeShade="95" w:sz="4" w:space="0"/>
        <w:insideV w:val="single" w:color="0E3E15"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0f0c6" w:themeColor="accent3" w:themeTint="34" w:fill="c0f0c6" w:themeFill="accent3" w:themeFillTint="34"/>
      </w:tcPr>
    </w:tblStylePr>
    <w:tblStylePr w:type="band2Vert">
      <w:rPr>
        <w:rFonts w:ascii="Arial" w:hAnsi="Arial"/>
        <w:color w:val="404040"/>
        <w:sz w:val="22"/>
      </w:rPr>
      <w:tcPr>
        <w:shd w:val="clear" w:color="c0f0c6" w:themeColor="accent3" w:themeTint="34" w:fill="c0f0c6" w:themeFill="accent3" w:themeFillTint="34"/>
      </w:tcPr>
    </w:tblStylePr>
    <w:tblStylePr w:type="firstCol">
      <w:rPr>
        <w:rFonts w:ascii="Arial" w:hAnsi="Arial"/>
        <w:color w:val="f2f2f2"/>
        <w:sz w:val="22"/>
      </w:rPr>
      <w:tcPr>
        <w:shd w:val="clear" w:color="196c24" w:themeColor="accent3" w:themeTint="FE" w:fill="196c24" w:themeFill="accent3" w:themeFillTint="FE"/>
      </w:tcPr>
    </w:tblStylePr>
    <w:tblStylePr w:type="firstRow">
      <w:rPr>
        <w:rFonts w:ascii="Arial" w:hAnsi="Arial"/>
        <w:color w:val="f2f2f2"/>
        <w:sz w:val="22"/>
      </w:rPr>
      <w:tcPr>
        <w:shd w:val="clear" w:color="196c24" w:themeColor="accent3" w:themeTint="FE" w:fill="196c24" w:themeFill="accent3" w:themeFillTint="FE"/>
      </w:tcPr>
    </w:tblStylePr>
    <w:tblStylePr w:type="lastCol">
      <w:rPr>
        <w:rFonts w:ascii="Arial" w:hAnsi="Arial"/>
        <w:color w:val="f2f2f2"/>
        <w:sz w:val="22"/>
      </w:rPr>
      <w:tcPr>
        <w:shd w:val="clear" w:color="196c24" w:themeColor="accent3" w:themeTint="FE" w:fill="196c24" w:themeFill="accent3" w:themeFillTint="FE"/>
      </w:tcPr>
    </w:tblStylePr>
    <w:tblStylePr w:type="lastRow">
      <w:rPr>
        <w:rFonts w:ascii="Arial" w:hAnsi="Arial"/>
        <w:color w:val="f2f2f2"/>
        <w:sz w:val="22"/>
      </w:rPr>
      <w:tcPr>
        <w:shd w:val="clear" w:color="196c24" w:themeColor="accent3" w:themeTint="FE" w:fill="196c24" w:themeFill="accent3" w:themeFillTint="FE"/>
      </w:tcPr>
    </w:tblStylePr>
  </w:style>
  <w:style w:type="table" w:styleId="971" w:customStyle="1">
    <w:name w:val="Bordered &amp; Lined - Accent 4"/>
    <w:basedOn w:val="765"/>
    <w:uiPriority w:val="99"/>
    <w:qFormat/>
    <w:rPr>
      <w:color w:val="404040"/>
    </w:rPr>
    <w:tblPr>
      <w:tblBorders>
        <w:top w:val="single" w:color="085C7C" w:themeColor="accent4" w:themeShade="95" w:sz="4" w:space="0"/>
        <w:left w:val="single" w:color="085C7C" w:themeColor="accent4" w:themeShade="95" w:sz="4" w:space="0"/>
        <w:bottom w:val="single" w:color="085C7C" w:themeColor="accent4" w:themeShade="95" w:sz="4" w:space="0"/>
        <w:right w:val="single" w:color="085C7C" w:themeColor="accent4" w:themeShade="95" w:sz="4" w:space="0"/>
        <w:insideH w:val="single" w:color="085C7C" w:themeColor="accent4" w:themeShade="95" w:sz="4" w:space="0"/>
        <w:insideV w:val="single" w:color="085C7C"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9edfb" w:themeColor="accent4" w:themeTint="34" w:fill="c9edfb" w:themeFill="accent4" w:themeFillTint="34"/>
      </w:tcPr>
    </w:tblStylePr>
    <w:tblStylePr w:type="band2Vert">
      <w:rPr>
        <w:rFonts w:ascii="Arial" w:hAnsi="Arial"/>
        <w:color w:val="404040"/>
        <w:sz w:val="22"/>
      </w:rPr>
      <w:tcPr>
        <w:shd w:val="clear" w:color="c9edfb" w:themeColor="accent4" w:themeTint="34" w:fill="c9edfb" w:themeFill="accent4" w:themeFillTint="34"/>
      </w:tcPr>
    </w:tblStylePr>
    <w:tblStylePr w:type="firstCol">
      <w:rPr>
        <w:rFonts w:ascii="Arial" w:hAnsi="Arial"/>
        <w:color w:val="f2f2f2"/>
        <w:sz w:val="22"/>
      </w:rPr>
      <w:tcPr>
        <w:shd w:val="clear" w:color="5fcaf3" w:themeColor="accent4" w:themeTint="9A" w:fill="5fcaf3" w:themeFill="accent4" w:themeFillTint="9A"/>
      </w:tcPr>
    </w:tblStylePr>
    <w:tblStylePr w:type="firstRow">
      <w:rPr>
        <w:rFonts w:ascii="Arial" w:hAnsi="Arial"/>
        <w:color w:val="f2f2f2"/>
        <w:sz w:val="22"/>
      </w:rPr>
      <w:tcPr>
        <w:shd w:val="clear" w:color="5fcaf3" w:themeColor="accent4" w:themeTint="9A" w:fill="5fcaf3" w:themeFill="accent4" w:themeFillTint="9A"/>
      </w:tcPr>
    </w:tblStylePr>
    <w:tblStylePr w:type="lastCol">
      <w:rPr>
        <w:rFonts w:ascii="Arial" w:hAnsi="Arial"/>
        <w:color w:val="f2f2f2"/>
        <w:sz w:val="22"/>
      </w:rPr>
      <w:tcPr>
        <w:shd w:val="clear" w:color="5fcaf3" w:themeColor="accent4" w:themeTint="9A" w:fill="5fcaf3" w:themeFill="accent4" w:themeFillTint="9A"/>
      </w:tcPr>
    </w:tblStylePr>
    <w:tblStylePr w:type="lastRow">
      <w:rPr>
        <w:rFonts w:ascii="Arial" w:hAnsi="Arial"/>
        <w:color w:val="f2f2f2"/>
        <w:sz w:val="22"/>
      </w:rPr>
      <w:tcPr>
        <w:shd w:val="clear" w:color="5fcaf3" w:themeColor="accent4" w:themeTint="9A" w:fill="5fcaf3" w:themeFill="accent4" w:themeFillTint="9A"/>
      </w:tcPr>
    </w:tblStylePr>
  </w:style>
  <w:style w:type="table" w:styleId="972" w:customStyle="1">
    <w:name w:val="Bordered &amp; Lined - Accent 5"/>
    <w:basedOn w:val="765"/>
    <w:uiPriority w:val="99"/>
    <w:qFormat/>
    <w:rPr>
      <w:color w:val="404040"/>
    </w:rPr>
    <w:tblPr>
      <w:tblBorders>
        <w:top w:val="single" w:color="5D1955" w:themeColor="accent5" w:themeShade="95" w:sz="4" w:space="0"/>
        <w:left w:val="single" w:color="5D1955" w:themeColor="accent5" w:themeShade="95" w:sz="4" w:space="0"/>
        <w:bottom w:val="single" w:color="5D1955" w:themeColor="accent5" w:themeShade="95" w:sz="4" w:space="0"/>
        <w:right w:val="single" w:color="5D1955" w:themeColor="accent5" w:themeShade="95" w:sz="4" w:space="0"/>
        <w:insideH w:val="single" w:color="5D1955" w:themeColor="accent5" w:themeShade="95" w:sz="4" w:space="0"/>
        <w:insideV w:val="single" w:color="5D195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cded" w:themeColor="accent5" w:themeTint="34" w:fill="f1cded" w:themeFill="accent5" w:themeFillTint="34"/>
      </w:tcPr>
    </w:tblStylePr>
    <w:tblStylePr w:type="band2Vert">
      <w:rPr>
        <w:rFonts w:ascii="Arial" w:hAnsi="Arial"/>
        <w:color w:val="404040"/>
        <w:sz w:val="22"/>
      </w:rPr>
      <w:tcPr>
        <w:shd w:val="clear" w:color="f1cded" w:themeColor="accent5" w:themeTint="34" w:fill="f1cded" w:themeFill="accent5" w:themeFillTint="34"/>
      </w:tcPr>
    </w:tblStylePr>
    <w:tblStylePr w:type="firstCol">
      <w:rPr>
        <w:rFonts w:ascii="Arial" w:hAnsi="Arial"/>
        <w:color w:val="f2f2f2"/>
        <w:sz w:val="22"/>
      </w:rPr>
      <w:tcPr>
        <w:shd w:val="clear" w:color="a02b93" w:themeColor="accent5" w:fill="a02b93" w:themeFill="accent5"/>
      </w:tcPr>
    </w:tblStylePr>
    <w:tblStylePr w:type="firstRow">
      <w:rPr>
        <w:rFonts w:ascii="Arial" w:hAnsi="Arial"/>
        <w:color w:val="f2f2f2"/>
        <w:sz w:val="22"/>
      </w:rPr>
      <w:tcPr>
        <w:shd w:val="clear" w:color="a02b93" w:themeColor="accent5" w:fill="a02b93" w:themeFill="accent5"/>
      </w:tcPr>
    </w:tblStylePr>
    <w:tblStylePr w:type="lastCol">
      <w:rPr>
        <w:rFonts w:ascii="Arial" w:hAnsi="Arial"/>
        <w:color w:val="f2f2f2"/>
        <w:sz w:val="22"/>
      </w:rPr>
      <w:tcPr>
        <w:shd w:val="clear" w:color="a02b93" w:themeColor="accent5" w:fill="a02b93" w:themeFill="accent5"/>
      </w:tcPr>
    </w:tblStylePr>
    <w:tblStylePr w:type="lastRow">
      <w:rPr>
        <w:rFonts w:ascii="Arial" w:hAnsi="Arial"/>
        <w:color w:val="f2f2f2"/>
        <w:sz w:val="22"/>
      </w:rPr>
      <w:tcPr>
        <w:shd w:val="clear" w:color="a02b93" w:themeColor="accent5" w:fill="a02b93" w:themeFill="accent5"/>
      </w:tcPr>
    </w:tblStylePr>
  </w:style>
  <w:style w:type="table" w:styleId="973" w:customStyle="1">
    <w:name w:val="Bordered &amp; Lined - Accent 6"/>
    <w:basedOn w:val="765"/>
    <w:uiPriority w:val="99"/>
    <w:qFormat/>
    <w:rPr>
      <w:color w:val="404040"/>
    </w:rPr>
    <w:tblPr>
      <w:tblBorders>
        <w:top w:val="single" w:color="2D611B" w:themeColor="accent6" w:themeShade="95" w:sz="4" w:space="0"/>
        <w:left w:val="single" w:color="2D611B" w:themeColor="accent6" w:themeShade="95" w:sz="4" w:space="0"/>
        <w:bottom w:val="single" w:color="2D611B" w:themeColor="accent6" w:themeShade="95" w:sz="4" w:space="0"/>
        <w:right w:val="single" w:color="2D611B" w:themeColor="accent6" w:themeShade="95" w:sz="4" w:space="0"/>
        <w:insideH w:val="single" w:color="2D611B" w:themeColor="accent6" w:themeShade="95" w:sz="4" w:space="0"/>
        <w:insideV w:val="single" w:color="2D611B"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f2cf" w:themeColor="accent6" w:themeTint="34" w:fill="d8f2cf" w:themeFill="accent6" w:themeFillTint="34"/>
      </w:tcPr>
    </w:tblStylePr>
    <w:tblStylePr w:type="band2Vert">
      <w:rPr>
        <w:rFonts w:ascii="Arial" w:hAnsi="Arial"/>
        <w:color w:val="404040"/>
        <w:sz w:val="22"/>
      </w:rPr>
      <w:tcPr>
        <w:shd w:val="clear" w:color="d8f2cf" w:themeColor="accent6" w:themeTint="34" w:fill="d8f2cf" w:themeFill="accent6" w:themeFillTint="34"/>
      </w:tcPr>
    </w:tblStylePr>
    <w:tblStylePr w:type="firstCol">
      <w:rPr>
        <w:rFonts w:ascii="Arial" w:hAnsi="Arial"/>
        <w:color w:val="f2f2f2"/>
        <w:sz w:val="22"/>
      </w:rPr>
      <w:tcPr>
        <w:shd w:val="clear" w:color="4ea72e" w:themeColor="accent6" w:fill="4ea72e" w:themeFill="accent6"/>
      </w:tcPr>
    </w:tblStylePr>
    <w:tblStylePr w:type="firstRow">
      <w:rPr>
        <w:rFonts w:ascii="Arial" w:hAnsi="Arial"/>
        <w:color w:val="f2f2f2"/>
        <w:sz w:val="22"/>
      </w:rPr>
      <w:tcPr>
        <w:shd w:val="clear" w:color="4ea72e" w:themeColor="accent6" w:fill="4ea72e" w:themeFill="accent6"/>
      </w:tcPr>
    </w:tblStylePr>
    <w:tblStylePr w:type="lastCol">
      <w:rPr>
        <w:rFonts w:ascii="Arial" w:hAnsi="Arial"/>
        <w:color w:val="f2f2f2"/>
        <w:sz w:val="22"/>
      </w:rPr>
      <w:tcPr>
        <w:shd w:val="clear" w:color="4ea72e" w:themeColor="accent6" w:fill="4ea72e" w:themeFill="accent6"/>
      </w:tcPr>
    </w:tblStylePr>
    <w:tblStylePr w:type="lastRow">
      <w:rPr>
        <w:rFonts w:ascii="Arial" w:hAnsi="Arial"/>
        <w:color w:val="f2f2f2"/>
        <w:sz w:val="22"/>
      </w:rPr>
      <w:tcPr>
        <w:shd w:val="clear" w:color="4ea72e" w:themeColor="accent6" w:fill="4ea72e" w:themeFill="accent6"/>
      </w:tcPr>
    </w:tblStylePr>
  </w:style>
  <w:style w:type="table" w:styleId="974" w:customStyle="1">
    <w:name w:val="Bordered"/>
    <w:basedOn w:val="765"/>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75" w:customStyle="1">
    <w:name w:val="Bordered - Accent 1"/>
    <w:basedOn w:val="765"/>
    <w:uiPriority w:val="99"/>
    <w:qFormat/>
    <w:tblPr>
      <w:tbl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insideH w:val="single" w:color="81C9EA" w:themeColor="accent1" w:themeTint="67" w:sz="4" w:space="0"/>
        <w:insideV w:val="single" w:color="81C9EA" w:themeColor="accent1" w:themeTint="67" w:sz="4" w:space="0"/>
      </w:tblBorders>
    </w:tblPr>
    <w:tblStylePr w:type="band1Horz">
      <w:rPr>
        <w:rFonts w:ascii="Arial" w:hAnsi="Arial"/>
        <w:color w:val="404040"/>
        <w:sz w:val="22"/>
      </w:rPr>
      <w:tcPr>
        <w:tc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156082" w:themeColor="accent1" w:sz="12" w:space="0"/>
        </w:tcBorders>
      </w:tcPr>
    </w:tblStylePr>
    <w:tblStylePr w:type="lastCol">
      <w:rPr>
        <w:rFonts w:ascii="Arial" w:hAnsi="Arial"/>
        <w:color w:val="404040"/>
        <w:sz w:val="22"/>
      </w:rPr>
      <w:tcPr>
        <w:tcBorders>
          <w:left w:val="single" w:color="156082" w:themeColor="accent1" w:sz="12" w:space="0"/>
        </w:tcBorders>
      </w:tcPr>
    </w:tblStylePr>
    <w:tblStylePr w:type="lastRow">
      <w:rPr>
        <w:rFonts w:ascii="Arial" w:hAnsi="Arial"/>
        <w:color w:val="404040"/>
        <w:sz w:val="22"/>
      </w:rPr>
      <w:tcPr>
        <w:tcBorders>
          <w:top w:val="single" w:color="156082" w:themeColor="accent1" w:sz="12" w:space="0"/>
        </w:tcBorders>
      </w:tcPr>
    </w:tblStylePr>
  </w:style>
  <w:style w:type="table" w:styleId="976" w:customStyle="1">
    <w:name w:val="Bordered - Accent 2"/>
    <w:basedOn w:val="765"/>
    <w:uiPriority w:val="99"/>
    <w:qFormat/>
    <w:tblPr>
      <w:tbl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insideH w:val="single" w:color="F6C5AB" w:themeColor="accent2" w:themeTint="67" w:sz="4" w:space="0"/>
        <w:insideV w:val="single" w:color="F6C5AB" w:themeColor="accent2" w:themeTint="67" w:sz="4" w:space="0"/>
      </w:tblBorders>
    </w:tblPr>
    <w:tblStylePr w:type="band1Horz">
      <w:rPr>
        <w:rFonts w:ascii="Arial" w:hAnsi="Arial"/>
        <w:color w:val="404040"/>
        <w:sz w:val="22"/>
      </w:rPr>
      <w:tcPr>
        <w:tc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2AA85" w:themeColor="accent2" w:themeTint="97" w:sz="12" w:space="0"/>
        </w:tcBorders>
      </w:tcPr>
    </w:tblStylePr>
    <w:tblStylePr w:type="lastCol">
      <w:rPr>
        <w:rFonts w:ascii="Arial" w:hAnsi="Arial"/>
        <w:color w:val="404040"/>
        <w:sz w:val="22"/>
      </w:rPr>
      <w:tcPr>
        <w:tcBorders>
          <w:left w:val="single" w:color="F2AA85" w:themeColor="accent2" w:themeTint="97" w:sz="12" w:space="0"/>
        </w:tcBorders>
      </w:tcPr>
    </w:tblStylePr>
    <w:tblStylePr w:type="lastRow">
      <w:rPr>
        <w:rFonts w:ascii="Arial" w:hAnsi="Arial"/>
        <w:color w:val="404040"/>
        <w:sz w:val="22"/>
      </w:rPr>
      <w:tcPr>
        <w:tcBorders>
          <w:top w:val="single" w:color="F2AA85" w:themeColor="accent2" w:themeTint="97" w:sz="12" w:space="0"/>
        </w:tcBorders>
      </w:tcPr>
    </w:tblStylePr>
  </w:style>
  <w:style w:type="table" w:styleId="977" w:customStyle="1">
    <w:name w:val="Bordered - Accent 3"/>
    <w:basedOn w:val="765"/>
    <w:uiPriority w:val="99"/>
    <w:qFormat/>
    <w:tblPr>
      <w:tbl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insideH w:val="single" w:color="83E28F" w:themeColor="accent3" w:themeTint="67" w:sz="4" w:space="0"/>
        <w:insideV w:val="single" w:color="83E28F" w:themeColor="accent3" w:themeTint="67" w:sz="4" w:space="0"/>
      </w:tblBorders>
    </w:tblPr>
    <w:tblStylePr w:type="band1Horz">
      <w:rPr>
        <w:rFonts w:ascii="Arial" w:hAnsi="Arial"/>
        <w:color w:val="404040"/>
        <w:sz w:val="22"/>
      </w:rPr>
      <w:tcPr>
        <w:tc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D45B" w:themeColor="accent3" w:themeTint="98" w:sz="12" w:space="0"/>
        </w:tcBorders>
      </w:tcPr>
    </w:tblStylePr>
    <w:tblStylePr w:type="lastCol">
      <w:rPr>
        <w:rFonts w:ascii="Arial" w:hAnsi="Arial"/>
        <w:color w:val="404040"/>
        <w:sz w:val="22"/>
      </w:rPr>
      <w:tcPr>
        <w:tcBorders>
          <w:left w:val="single" w:color="48D45B" w:themeColor="accent3" w:themeTint="98" w:sz="12" w:space="0"/>
        </w:tcBorders>
      </w:tcPr>
    </w:tblStylePr>
    <w:tblStylePr w:type="lastRow">
      <w:rPr>
        <w:rFonts w:ascii="Arial" w:hAnsi="Arial"/>
        <w:color w:val="404040"/>
        <w:sz w:val="22"/>
      </w:rPr>
      <w:tcPr>
        <w:tcBorders>
          <w:top w:val="single" w:color="48D45B" w:themeColor="accent3" w:themeTint="98" w:sz="12" w:space="0"/>
        </w:tcBorders>
      </w:tcPr>
    </w:tblStylePr>
  </w:style>
  <w:style w:type="table" w:styleId="978" w:customStyle="1">
    <w:name w:val="Bordered - Accent 4"/>
    <w:basedOn w:val="765"/>
    <w:uiPriority w:val="99"/>
    <w:qFormat/>
    <w:tblPr>
      <w:tbl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insideH w:val="single" w:color="94DBF7" w:themeColor="accent4" w:themeTint="67" w:sz="4" w:space="0"/>
        <w:insideV w:val="single" w:color="94DBF7" w:themeColor="accent4" w:themeTint="67" w:sz="4" w:space="0"/>
      </w:tblBorders>
    </w:tblPr>
    <w:tblStylePr w:type="band1Horz">
      <w:rPr>
        <w:rFonts w:ascii="Arial" w:hAnsi="Arial"/>
        <w:color w:val="404040"/>
        <w:sz w:val="22"/>
      </w:rPr>
      <w:tcPr>
        <w:tc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FCAF3" w:themeColor="accent4" w:themeTint="9A" w:sz="12" w:space="0"/>
        </w:tcBorders>
      </w:tcPr>
    </w:tblStylePr>
    <w:tblStylePr w:type="lastCol">
      <w:rPr>
        <w:rFonts w:ascii="Arial" w:hAnsi="Arial"/>
        <w:color w:val="404040"/>
        <w:sz w:val="22"/>
      </w:rPr>
      <w:tcPr>
        <w:tcBorders>
          <w:left w:val="single" w:color="5FCAF3" w:themeColor="accent4" w:themeTint="9A" w:sz="12" w:space="0"/>
        </w:tcBorders>
      </w:tcPr>
    </w:tblStylePr>
    <w:tblStylePr w:type="lastRow">
      <w:rPr>
        <w:rFonts w:ascii="Arial" w:hAnsi="Arial"/>
        <w:color w:val="404040"/>
        <w:sz w:val="22"/>
      </w:rPr>
      <w:tcPr>
        <w:tcBorders>
          <w:top w:val="single" w:color="5FCAF3" w:themeColor="accent4" w:themeTint="9A" w:sz="12" w:space="0"/>
        </w:tcBorders>
      </w:tcPr>
    </w:tblStylePr>
  </w:style>
  <w:style w:type="table" w:styleId="979" w:customStyle="1">
    <w:name w:val="Bordered - Accent 5"/>
    <w:basedOn w:val="765"/>
    <w:uiPriority w:val="99"/>
    <w:qFormat/>
    <w:tblPr>
      <w:tbl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insideH w:val="single" w:color="E49DDC" w:themeColor="accent5" w:themeTint="67" w:sz="4" w:space="0"/>
        <w:insideV w:val="single" w:color="E49DDC" w:themeColor="accent5" w:themeTint="67" w:sz="4" w:space="0"/>
      </w:tblBorders>
    </w:tblPr>
    <w:tblStylePr w:type="band1Horz">
      <w:rPr>
        <w:rFonts w:ascii="Arial" w:hAnsi="Arial"/>
        <w:color w:val="404040"/>
        <w:sz w:val="22"/>
      </w:rPr>
      <w:tcPr>
        <w:tc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76CCB" w:themeColor="accent5" w:themeTint="9A" w:sz="12" w:space="0"/>
        </w:tcBorders>
      </w:tcPr>
    </w:tblStylePr>
    <w:tblStylePr w:type="lastCol">
      <w:rPr>
        <w:rFonts w:ascii="Arial" w:hAnsi="Arial"/>
        <w:color w:val="404040"/>
        <w:sz w:val="22"/>
      </w:rPr>
      <w:tcPr>
        <w:tcBorders>
          <w:left w:val="single" w:color="D76CCB" w:themeColor="accent5" w:themeTint="9A" w:sz="12" w:space="0"/>
        </w:tcBorders>
      </w:tcPr>
    </w:tblStylePr>
    <w:tblStylePr w:type="lastRow">
      <w:rPr>
        <w:rFonts w:ascii="Arial" w:hAnsi="Arial"/>
        <w:color w:val="404040"/>
        <w:sz w:val="22"/>
      </w:rPr>
      <w:tcPr>
        <w:tcBorders>
          <w:top w:val="single" w:color="D76CCB" w:themeColor="accent5" w:themeTint="9A" w:sz="12" w:space="0"/>
        </w:tcBorders>
      </w:tcPr>
    </w:tblStylePr>
  </w:style>
  <w:style w:type="table" w:styleId="980" w:customStyle="1">
    <w:name w:val="Bordered - Accent 6"/>
    <w:basedOn w:val="765"/>
    <w:uiPriority w:val="99"/>
    <w:qFormat/>
    <w:tblPr>
      <w:tbl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insideH w:val="single" w:color="B2E5A0" w:themeColor="accent6" w:themeTint="67" w:sz="4" w:space="0"/>
        <w:insideV w:val="single" w:color="B2E5A0" w:themeColor="accent6" w:themeTint="67" w:sz="4" w:space="0"/>
      </w:tblBorders>
    </w:tblPr>
    <w:tblStylePr w:type="band1Horz">
      <w:rPr>
        <w:rFonts w:ascii="Arial" w:hAnsi="Arial"/>
        <w:color w:val="404040"/>
        <w:sz w:val="22"/>
      </w:rPr>
      <w:tcPr>
        <w:tc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D873" w:themeColor="accent6" w:themeTint="98" w:sz="12" w:space="0"/>
        </w:tcBorders>
      </w:tcPr>
    </w:tblStylePr>
    <w:tblStylePr w:type="lastCol">
      <w:rPr>
        <w:rFonts w:ascii="Arial" w:hAnsi="Arial"/>
        <w:color w:val="404040"/>
        <w:sz w:val="22"/>
      </w:rPr>
      <w:tcPr>
        <w:tcBorders>
          <w:left w:val="single" w:color="8ED873" w:themeColor="accent6" w:themeTint="98" w:sz="12" w:space="0"/>
        </w:tcBorders>
      </w:tcPr>
    </w:tblStylePr>
    <w:tblStylePr w:type="lastRow">
      <w:rPr>
        <w:rFonts w:ascii="Arial" w:hAnsi="Arial"/>
        <w:color w:val="404040"/>
        <w:sz w:val="22"/>
      </w:rPr>
      <w:tcPr>
        <w:tcBorders>
          <w:top w:val="single" w:color="8ED873" w:themeColor="accent6" w:themeTint="98" w:sz="12" w:space="0"/>
        </w:tcBorders>
      </w:tcPr>
    </w:tblStylePr>
  </w:style>
  <w:style w:type="character" w:styleId="981" w:customStyle="1">
    <w:name w:val="脚注文本 字符"/>
    <w:link w:val="791"/>
    <w:uiPriority w:val="99"/>
    <w:qFormat/>
    <w:rPr>
      <w:sz w:val="18"/>
    </w:rPr>
  </w:style>
  <w:style w:type="character" w:styleId="982" w:customStyle="1">
    <w:name w:val="尾注文本 字符"/>
    <w:link w:val="783"/>
    <w:uiPriority w:val="99"/>
    <w:qFormat/>
    <w:rPr>
      <w:sz w:val="20"/>
    </w:rPr>
  </w:style>
  <w:style w:type="paragraph" w:styleId="983" w:customStyle="1">
    <w:name w:val="TOC 标题1"/>
    <w:uiPriority w:val="39"/>
    <w:unhideWhenUsed/>
    <w:qFormat/>
  </w:style>
  <w:style w:type="character" w:styleId="984" w:customStyle="1">
    <w:name w:val="标题 1 字符"/>
    <w:link w:val="755"/>
    <w:qFormat/>
    <w:rPr>
      <w:rFonts w:ascii="楷体_GB2312" w:hAnsi="Times New Roman" w:eastAsia="楷体_GB2312" w:cs="Times New Roman"/>
      <w:sz w:val="28"/>
      <w:szCs w:val="28"/>
    </w:rPr>
  </w:style>
  <w:style w:type="character" w:styleId="985" w:customStyle="1">
    <w:name w:val="标题 2 字符"/>
    <w:link w:val="756"/>
    <w:qFormat/>
    <w:rPr>
      <w:rFonts w:ascii="Arial" w:hAnsi="Arial" w:eastAsia="幼圆" w:cs="Arial"/>
      <w:b/>
      <w:bCs/>
      <w:sz w:val="44"/>
      <w:szCs w:val="44"/>
    </w:rPr>
  </w:style>
  <w:style w:type="character" w:styleId="986" w:customStyle="1">
    <w:name w:val="标题 3 字符"/>
    <w:link w:val="757"/>
    <w:qFormat/>
    <w:rPr>
      <w:rFonts w:ascii="Times New Roman" w:hAnsi="Times New Roman" w:eastAsia="宋体" w:cs="Times New Roman"/>
      <w:b/>
      <w:bCs/>
      <w:sz w:val="32"/>
      <w:szCs w:val="32"/>
    </w:rPr>
  </w:style>
  <w:style w:type="character" w:styleId="987" w:customStyle="1">
    <w:name w:val="正文缩进 字符"/>
    <w:link w:val="768"/>
    <w:qFormat/>
    <w:rPr>
      <w:szCs w:val="21"/>
    </w:rPr>
  </w:style>
  <w:style w:type="character" w:styleId="988" w:customStyle="1">
    <w:name w:val="标题 4 字符"/>
    <w:link w:val="758"/>
    <w:qFormat/>
    <w:rPr>
      <w:rFonts w:ascii="Arial" w:hAnsi="Arial" w:eastAsia="黑体" w:cs="Arial"/>
      <w:b/>
      <w:bCs/>
      <w:sz w:val="28"/>
      <w:szCs w:val="28"/>
    </w:rPr>
  </w:style>
  <w:style w:type="character" w:styleId="989" w:customStyle="1">
    <w:name w:val="标题 5 字符"/>
    <w:link w:val="759"/>
    <w:qFormat/>
    <w:rPr>
      <w:rFonts w:ascii="宋体" w:hAnsi="Times New Roman" w:eastAsia="宋体" w:cs="Times New Roman"/>
      <w:color w:val="000000"/>
      <w:sz w:val="28"/>
      <w:szCs w:val="28"/>
    </w:rPr>
  </w:style>
  <w:style w:type="character" w:styleId="990" w:customStyle="1">
    <w:name w:val="标题 6 字符"/>
    <w:link w:val="760"/>
    <w:qFormat/>
    <w:rPr>
      <w:rFonts w:ascii="Arial" w:hAnsi="Arial" w:eastAsia="黑体" w:cs="Times New Roman"/>
      <w:b/>
      <w:bCs/>
      <w:sz w:val="24"/>
      <w:szCs w:val="24"/>
    </w:rPr>
  </w:style>
  <w:style w:type="character" w:styleId="991" w:customStyle="1">
    <w:name w:val="标题 7 字符"/>
    <w:link w:val="761"/>
    <w:qFormat/>
    <w:rPr>
      <w:rFonts w:ascii="Times New Roman" w:hAnsi="Times New Roman" w:eastAsia="宋体" w:cs="Times New Roman"/>
      <w:b/>
      <w:bCs/>
      <w:sz w:val="24"/>
      <w:szCs w:val="24"/>
    </w:rPr>
  </w:style>
  <w:style w:type="character" w:styleId="992" w:customStyle="1">
    <w:name w:val="标题 8 字符"/>
    <w:link w:val="762"/>
    <w:qFormat/>
    <w:rPr>
      <w:rFonts w:ascii="Arial" w:hAnsi="Arial" w:eastAsia="黑体" w:cs="Times New Roman"/>
      <w:sz w:val="24"/>
      <w:szCs w:val="24"/>
    </w:rPr>
  </w:style>
  <w:style w:type="character" w:styleId="993" w:customStyle="1">
    <w:name w:val="标题 9 字符"/>
    <w:link w:val="763"/>
    <w:qFormat/>
    <w:rPr>
      <w:rFonts w:ascii="Arial" w:hAnsi="Arial" w:eastAsia="黑体" w:cs="Times New Roman"/>
      <w:szCs w:val="21"/>
    </w:rPr>
  </w:style>
  <w:style w:type="character" w:styleId="994" w:customStyle="1">
    <w:name w:val="文档结构图 字符"/>
    <w:link w:val="772"/>
    <w:semiHidden/>
    <w:qFormat/>
    <w:rPr>
      <w:rFonts w:ascii="Times New Roman" w:hAnsi="Times New Roman" w:eastAsia="宋体" w:cs="Times New Roman"/>
      <w:szCs w:val="21"/>
      <w:shd w:val="clear" w:color="auto" w:fill="000080"/>
    </w:rPr>
  </w:style>
  <w:style w:type="character" w:styleId="995" w:customStyle="1">
    <w:name w:val="批注文字 字符"/>
    <w:link w:val="773"/>
    <w:uiPriority w:val="99"/>
    <w:semiHidden/>
    <w:qFormat/>
  </w:style>
  <w:style w:type="character" w:styleId="996" w:customStyle="1">
    <w:name w:val="正文文本 3 字符"/>
    <w:link w:val="774"/>
    <w:qFormat/>
    <w:rPr>
      <w:rFonts w:ascii="仿宋_GB2312" w:hAnsi="Arial" w:eastAsia="仿宋_GB2312" w:cs="Times New Roman"/>
      <w:sz w:val="32"/>
      <w:szCs w:val="32"/>
    </w:rPr>
  </w:style>
  <w:style w:type="character" w:styleId="997" w:customStyle="1">
    <w:name w:val="正文文本 字符"/>
    <w:link w:val="767"/>
    <w:qFormat/>
    <w:rPr>
      <w:rFonts w:ascii="楷体_GB2312" w:hAnsi="Arial" w:eastAsia="楷体_GB2312" w:cs="Times New Roman"/>
      <w:sz w:val="28"/>
      <w:szCs w:val="28"/>
    </w:rPr>
  </w:style>
  <w:style w:type="character" w:styleId="998" w:customStyle="1">
    <w:name w:val="正文文本缩进 字符"/>
    <w:link w:val="775"/>
    <w:uiPriority w:val="99"/>
    <w:semiHidden/>
    <w:qFormat/>
  </w:style>
  <w:style w:type="character" w:styleId="999" w:customStyle="1">
    <w:name w:val="纯文本 字符"/>
    <w:link w:val="779"/>
    <w:qFormat/>
    <w:rPr>
      <w:rFonts w:ascii="宋体" w:hAnsi="Courier New" w:eastAsia="宋体" w:cs="Courier New"/>
      <w:szCs w:val="21"/>
    </w:rPr>
  </w:style>
  <w:style w:type="character" w:styleId="1000" w:customStyle="1">
    <w:name w:val="日期 字符"/>
    <w:link w:val="781"/>
    <w:qFormat/>
    <w:rPr>
      <w:rFonts w:ascii="Times New Roman" w:hAnsi="Times New Roman" w:eastAsia="宋体" w:cs="Times New Roman"/>
      <w:sz w:val="24"/>
      <w:szCs w:val="24"/>
    </w:rPr>
  </w:style>
  <w:style w:type="character" w:styleId="1001" w:customStyle="1">
    <w:name w:val="正文文本缩进 2 字符"/>
    <w:link w:val="782"/>
    <w:qFormat/>
    <w:rPr>
      <w:rFonts w:ascii="Arial" w:hAnsi="Arial" w:eastAsia="仿宋_GB2312" w:cs="Arial"/>
      <w:sz w:val="32"/>
      <w:szCs w:val="32"/>
    </w:rPr>
  </w:style>
  <w:style w:type="character" w:styleId="1002" w:customStyle="1">
    <w:name w:val="批注框文本 字符"/>
    <w:link w:val="784"/>
    <w:semiHidden/>
    <w:qFormat/>
    <w:rPr>
      <w:rFonts w:ascii="Times New Roman" w:hAnsi="Times New Roman" w:eastAsia="宋体" w:cs="Times New Roman"/>
      <w:sz w:val="18"/>
      <w:szCs w:val="18"/>
    </w:rPr>
  </w:style>
  <w:style w:type="character" w:styleId="1003" w:customStyle="1">
    <w:name w:val="页脚 字符"/>
    <w:link w:val="785"/>
    <w:qFormat/>
    <w:rPr>
      <w:rFonts w:ascii="Times New Roman" w:hAnsi="Times New Roman" w:eastAsia="宋体" w:cs="Times New Roman"/>
      <w:sz w:val="18"/>
      <w:szCs w:val="18"/>
    </w:rPr>
  </w:style>
  <w:style w:type="character" w:styleId="1004" w:customStyle="1">
    <w:name w:val="页眉 字符"/>
    <w:link w:val="786"/>
    <w:qFormat/>
    <w:rPr>
      <w:rFonts w:ascii="Times New Roman" w:hAnsi="Times New Roman" w:eastAsia="宋体" w:cs="Times New Roman"/>
      <w:sz w:val="18"/>
      <w:szCs w:val="18"/>
    </w:rPr>
  </w:style>
  <w:style w:type="character" w:styleId="1005" w:customStyle="1">
    <w:name w:val="正文文本缩进 3 字符"/>
    <w:link w:val="793"/>
    <w:qFormat/>
    <w:rPr>
      <w:rFonts w:ascii="Arial" w:hAnsi="Arial" w:eastAsia="仿宋_GB2312" w:cs="Arial"/>
      <w:color w:val="ffff00"/>
      <w:sz w:val="32"/>
      <w:szCs w:val="32"/>
    </w:rPr>
  </w:style>
  <w:style w:type="character" w:styleId="1006" w:customStyle="1">
    <w:name w:val="正文文本 2 字符"/>
    <w:link w:val="797"/>
    <w:qFormat/>
    <w:rPr>
      <w:rFonts w:ascii="楷体_GB2312" w:hAnsi="Times New Roman" w:eastAsia="楷体_GB2312" w:cs="Times New Roman"/>
      <w:sz w:val="28"/>
      <w:szCs w:val="28"/>
    </w:rPr>
  </w:style>
  <w:style w:type="character" w:styleId="1007" w:customStyle="1">
    <w:name w:val="批注主题 字符"/>
    <w:link w:val="801"/>
    <w:semiHidden/>
    <w:qFormat/>
    <w:rPr>
      <w:rFonts w:ascii="Times New Roman" w:hAnsi="Times New Roman" w:eastAsia="宋体" w:cs="Times New Roman"/>
      <w:b/>
      <w:bCs/>
      <w:szCs w:val="21"/>
    </w:rPr>
  </w:style>
  <w:style w:type="character" w:styleId="1008" w:customStyle="1">
    <w:name w:val="正文文本首行缩进 字符"/>
    <w:link w:val="802"/>
    <w:qFormat/>
    <w:rPr>
      <w:rFonts w:ascii="仿宋_GB2312" w:hAnsi="Times New Roman" w:eastAsia="仿宋_GB2312" w:cs="Times New Roman"/>
      <w:sz w:val="30"/>
      <w:szCs w:val="30"/>
    </w:rPr>
  </w:style>
  <w:style w:type="character" w:styleId="1009" w:customStyle="1">
    <w:name w:val="正文文本首行缩进 2 字符"/>
    <w:link w:val="803"/>
    <w:qFormat/>
    <w:rPr>
      <w:rFonts w:ascii="宋体" w:hAnsi="宋体" w:eastAsia="宋体" w:cs="Times New Roman"/>
      <w:szCs w:val="20"/>
    </w:rPr>
  </w:style>
  <w:style w:type="paragraph" w:styleId="1010" w:customStyle="1">
    <w:name w:val="页脚1"/>
    <w:basedOn w:val="754"/>
    <w:qFormat/>
    <w:pPr>
      <w:jc w:val="left"/>
      <w:tabs>
        <w:tab w:val="center" w:pos="4153" w:leader="none"/>
        <w:tab w:val="right" w:pos="8306" w:leader="none"/>
      </w:tabs>
    </w:pPr>
    <w:rPr>
      <w:sz w:val="18"/>
      <w:szCs w:val="18"/>
    </w:rPr>
  </w:style>
  <w:style w:type="character" w:styleId="1011" w:customStyle="1">
    <w:name w:val="font5 Char"/>
    <w:qFormat/>
    <w:rPr>
      <w:rFonts w:ascii="宋体" w:hAnsi="宋体" w:eastAsia="宋体"/>
      <w:sz w:val="28"/>
      <w:szCs w:val="28"/>
      <w:lang w:val="en-US" w:eastAsia="zh-CN" w:bidi="ar-SA"/>
    </w:rPr>
  </w:style>
  <w:style w:type="character" w:styleId="1012" w:customStyle="1">
    <w:name w:val="二级目录 Char"/>
    <w:link w:val="1013"/>
    <w:qFormat/>
    <w:rPr>
      <w:b/>
      <w:sz w:val="30"/>
      <w:szCs w:val="28"/>
    </w:rPr>
  </w:style>
  <w:style w:type="paragraph" w:styleId="1013" w:customStyle="1">
    <w:name w:val="二级目录"/>
    <w:next w:val="754"/>
    <w:link w:val="1012"/>
    <w:qFormat/>
    <w:pPr>
      <w:numPr>
        <w:numId w:val="2"/>
      </w:numPr>
      <w:tabs>
        <w:tab w:val="left" w:pos="1145" w:leader="none"/>
      </w:tabs>
      <w:outlineLvl w:val="1"/>
    </w:pPr>
    <w:rPr>
      <w:b/>
      <w:sz w:val="30"/>
      <w:szCs w:val="28"/>
    </w:rPr>
  </w:style>
  <w:style w:type="character" w:styleId="1014" w:customStyle="1">
    <w:name w:val="列出段落 Char"/>
    <w:link w:val="1015"/>
    <w:qFormat/>
    <w:rPr>
      <w:rFonts w:ascii="Calibri" w:hAnsi="Calibri"/>
      <w:sz w:val="24"/>
      <w:szCs w:val="24"/>
      <w:lang w:eastAsia="en-US" w:bidi="en-US"/>
    </w:rPr>
  </w:style>
  <w:style w:type="paragraph" w:styleId="1015" w:customStyle="1">
    <w:name w:val="列出段落1"/>
    <w:basedOn w:val="754"/>
    <w:link w:val="1014"/>
    <w:qFormat/>
    <w:pPr>
      <w:contextualSpacing/>
      <w:ind w:left="720"/>
      <w:jc w:val="left"/>
      <w:widowControl/>
    </w:pPr>
    <w:rPr>
      <w:rFonts w:ascii="Calibri" w:hAnsi="Calibri"/>
      <w:sz w:val="24"/>
      <w:szCs w:val="24"/>
      <w:lang w:eastAsia="en-US" w:bidi="en-US"/>
    </w:rPr>
  </w:style>
  <w:style w:type="paragraph" w:styleId="1016" w:customStyle="1">
    <w:name w:val="Body Text(ch)"/>
    <w:basedOn w:val="754"/>
    <w:next w:val="767"/>
    <w:qFormat/>
    <w:pPr>
      <w:spacing w:after="120"/>
    </w:pPr>
    <w:rPr>
      <w:rFonts w:ascii="宋体" w:hAnsi="Arial"/>
      <w:bCs/>
      <w:iCs/>
      <w:szCs w:val="24"/>
    </w:rPr>
  </w:style>
  <w:style w:type="paragraph" w:styleId="1017" w:customStyle="1">
    <w:name w:val="xl27"/>
    <w:basedOn w:val="75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18" w:customStyle="1">
    <w:name w:val="xl26"/>
    <w:basedOn w:val="75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19" w:customStyle="1">
    <w:name w:val="Char"/>
    <w:basedOn w:val="754"/>
    <w:qFormat/>
    <w:pPr>
      <w:ind w:firstLine="200"/>
      <w:tabs>
        <w:tab w:val="left" w:pos="360" w:leader="none"/>
      </w:tabs>
    </w:pPr>
    <w:rPr>
      <w:sz w:val="28"/>
      <w:szCs w:val="30"/>
    </w:rPr>
  </w:style>
  <w:style w:type="paragraph" w:styleId="1020" w:customStyle="1">
    <w:name w:val="Char1"/>
    <w:basedOn w:val="772"/>
    <w:qFormat/>
    <w:rPr>
      <w:rFonts w:ascii="Tahoma" w:hAnsi="Tahoma"/>
      <w:sz w:val="24"/>
      <w:szCs w:val="24"/>
    </w:rPr>
  </w:style>
  <w:style w:type="paragraph" w:styleId="1021" w:customStyle="1">
    <w:name w:val="普通正文"/>
    <w:basedOn w:val="754"/>
    <w:qFormat/>
    <w:pPr>
      <w:ind w:firstLine="480"/>
      <w:jc w:val="left"/>
      <w:spacing w:before="120" w:after="120" w:line="360" w:lineRule="auto"/>
    </w:pPr>
    <w:rPr>
      <w:rFonts w:ascii="Arial" w:hAnsi="Arial"/>
      <w:sz w:val="24"/>
      <w:szCs w:val="24"/>
    </w:rPr>
  </w:style>
  <w:style w:type="paragraph" w:styleId="1022" w:customStyle="1">
    <w:name w:val="table_lines"/>
    <w:basedOn w:val="754"/>
    <w:qFormat/>
    <w:pPr>
      <w:jc w:val="left"/>
      <w:widowControl/>
    </w:pPr>
    <w:rPr>
      <w:sz w:val="20"/>
      <w:szCs w:val="20"/>
      <w:lang w:val="de-DE" w:eastAsia="de-DE"/>
    </w:rPr>
  </w:style>
  <w:style w:type="paragraph" w:styleId="1023" w:customStyle="1">
    <w:name w:val="附录1"/>
    <w:qFormat/>
    <w:pPr>
      <w:ind w:left="907" w:hanging="907"/>
      <w:spacing w:before="240" w:line="600" w:lineRule="atLeast"/>
      <w:tabs>
        <w:tab w:val="left" w:pos="907" w:leader="none"/>
      </w:tabs>
    </w:pPr>
    <w:rPr>
      <w:b/>
      <w:i/>
      <w:sz w:val="28"/>
    </w:rPr>
  </w:style>
  <w:style w:type="paragraph" w:styleId="1024" w:customStyle="1">
    <w:name w:val="font7"/>
    <w:basedOn w:val="754"/>
    <w:qFormat/>
    <w:pPr>
      <w:jc w:val="left"/>
      <w:spacing w:before="100" w:beforeAutospacing="1" w:after="100" w:afterAutospacing="1"/>
      <w:widowControl/>
    </w:pPr>
    <w:rPr>
      <w:rFonts w:hint="eastAsia" w:ascii="宋体" w:hAnsi="宋体"/>
      <w:sz w:val="18"/>
      <w:szCs w:val="18"/>
    </w:rPr>
  </w:style>
  <w:style w:type="paragraph" w:styleId="1025" w:customStyle="1">
    <w:name w:val="Char Char Char Char"/>
    <w:basedOn w:val="772"/>
    <w:qFormat/>
    <w:pPr>
      <w:spacing w:line="360" w:lineRule="auto"/>
    </w:pPr>
    <w:rPr>
      <w:rFonts w:ascii="Tahoma" w:hAnsi="Tahoma"/>
      <w:sz w:val="24"/>
      <w:szCs w:val="24"/>
    </w:rPr>
  </w:style>
  <w:style w:type="paragraph" w:styleId="1026">
    <w:name w:val="List Paragraph"/>
    <w:basedOn w:val="754"/>
    <w:qFormat/>
    <w:pPr>
      <w:contextualSpacing/>
      <w:ind w:left="720"/>
      <w:jc w:val="left"/>
      <w:widowControl/>
    </w:pPr>
    <w:rPr>
      <w:rFonts w:ascii="Calibri" w:hAnsi="Calibri"/>
      <w:sz w:val="24"/>
      <w:szCs w:val="24"/>
      <w:lang w:eastAsia="en-US" w:bidi="en-US"/>
    </w:rPr>
  </w:style>
  <w:style w:type="paragraph" w:styleId="1027" w:customStyle="1">
    <w:name w:val="4"/>
    <w:basedOn w:val="754"/>
    <w:next w:val="793"/>
    <w:qFormat/>
    <w:pPr>
      <w:ind w:firstLine="420"/>
      <w:spacing w:line="360" w:lineRule="auto"/>
    </w:pPr>
    <w:rPr>
      <w:color w:val="ff0000"/>
      <w:sz w:val="24"/>
      <w:szCs w:val="24"/>
    </w:rPr>
  </w:style>
  <w:style w:type="paragraph" w:styleId="1028" w:customStyle="1">
    <w:name w:val="普通 (Web)"/>
    <w:basedOn w:val="754"/>
    <w:qFormat/>
    <w:pPr>
      <w:jc w:val="left"/>
      <w:spacing w:before="100" w:beforeAutospacing="1" w:after="100" w:afterAutospacing="1"/>
      <w:widowControl/>
    </w:pPr>
    <w:rPr>
      <w:rFonts w:ascii="宋体" w:hAnsi="宋体"/>
      <w:sz w:val="24"/>
      <w:szCs w:val="24"/>
    </w:rPr>
  </w:style>
  <w:style w:type="paragraph" w:styleId="1029" w:customStyle="1">
    <w:name w:val="Char Char Char Char Char Char Char Char Char Char"/>
    <w:basedOn w:val="754"/>
    <w:qFormat/>
    <w:pPr>
      <w:spacing w:line="360" w:lineRule="auto"/>
    </w:pPr>
    <w:rPr>
      <w:sz w:val="24"/>
      <w:szCs w:val="20"/>
    </w:rPr>
  </w:style>
  <w:style w:type="paragraph" w:styleId="1030" w:customStyle="1">
    <w:name w:val="样式1"/>
    <w:basedOn w:val="754"/>
    <w:qFormat/>
    <w:pPr>
      <w:numPr>
        <w:numId w:val="3"/>
      </w:numPr>
    </w:pPr>
    <w:rPr>
      <w:rFonts w:ascii="宋体" w:hAnsi="宋体"/>
      <w:szCs w:val="21"/>
    </w:rPr>
  </w:style>
  <w:style w:type="paragraph" w:styleId="1031" w:customStyle="1">
    <w:name w:val="font6"/>
    <w:basedOn w:val="754"/>
    <w:qFormat/>
    <w:pPr>
      <w:jc w:val="left"/>
      <w:spacing w:before="100" w:beforeAutospacing="1" w:after="100" w:afterAutospacing="1"/>
      <w:widowControl/>
    </w:pPr>
    <w:rPr>
      <w:rFonts w:hint="eastAsia" w:ascii="宋体" w:hAnsi="宋体"/>
      <w:sz w:val="28"/>
      <w:szCs w:val="28"/>
      <w:u w:val="single"/>
    </w:rPr>
  </w:style>
  <w:style w:type="paragraph" w:styleId="1032" w:customStyle="1">
    <w:name w:val="xl25"/>
    <w:basedOn w:val="75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3" w:customStyle="1">
    <w:name w:val="图标"/>
    <w:basedOn w:val="754"/>
    <w:next w:val="754"/>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4" w:customStyle="1">
    <w:name w:val="标题3"/>
    <w:basedOn w:val="754"/>
    <w:next w:val="754"/>
    <w:qFormat/>
    <w:pPr>
      <w:ind w:firstLine="624"/>
      <w:spacing w:line="590" w:lineRule="atLeast"/>
    </w:pPr>
    <w:rPr>
      <w:rFonts w:ascii="方正黑体_GBK" w:eastAsia="方正黑体_GBK"/>
      <w:sz w:val="32"/>
      <w:szCs w:val="32"/>
    </w:rPr>
  </w:style>
  <w:style w:type="paragraph" w:styleId="1035" w:customStyle="1">
    <w:name w:val="xl24"/>
    <w:basedOn w:val="75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36" w:customStyle="1">
    <w:name w:val="xl29"/>
    <w:basedOn w:val="754"/>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37" w:customStyle="1">
    <w:name w:val="Char Char Char Char Char Char Char Char"/>
    <w:basedOn w:val="754"/>
    <w:qFormat/>
    <w:pPr>
      <w:jc w:val="left"/>
      <w:spacing w:after="160" w:line="240" w:lineRule="exact"/>
      <w:widowControl/>
    </w:pPr>
    <w:rPr>
      <w:rFonts w:ascii="Verdana" w:hAnsi="Verdana"/>
      <w:sz w:val="20"/>
      <w:szCs w:val="20"/>
      <w:lang w:eastAsia="en-US"/>
    </w:rPr>
  </w:style>
  <w:style w:type="paragraph" w:styleId="1038" w:customStyle="1">
    <w:name w:val="xl28"/>
    <w:basedOn w:val="754"/>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39" w:customStyle="1">
    <w:name w:val="Char Char Char Char Char Char Char Char1"/>
    <w:basedOn w:val="754"/>
    <w:qFormat/>
    <w:pPr>
      <w:jc w:val="left"/>
      <w:spacing w:after="160" w:line="240" w:lineRule="exact"/>
      <w:widowControl/>
    </w:pPr>
    <w:rPr>
      <w:rFonts w:ascii="Verdana" w:hAnsi="Verdana"/>
      <w:sz w:val="20"/>
      <w:szCs w:val="20"/>
      <w:lang w:eastAsia="en-US"/>
    </w:rPr>
  </w:style>
  <w:style w:type="paragraph" w:styleId="1040" w:customStyle="1">
    <w:name w:val="xl30"/>
    <w:basedOn w:val="754"/>
    <w:qFormat/>
    <w:pPr>
      <w:jc w:val="center"/>
      <w:spacing w:before="100" w:beforeAutospacing="1" w:after="100" w:afterAutospacing="1"/>
      <w:widowControl/>
    </w:pPr>
    <w:rPr>
      <w:rFonts w:ascii="宋体" w:hAnsi="宋体"/>
      <w:b/>
      <w:bCs/>
      <w:sz w:val="36"/>
      <w:szCs w:val="36"/>
    </w:rPr>
  </w:style>
  <w:style w:type="paragraph" w:styleId="1041" w:customStyle="1">
    <w:name w:val="Char Char Char Char1"/>
    <w:basedOn w:val="772"/>
    <w:qFormat/>
    <w:pPr>
      <w:spacing w:line="360" w:lineRule="auto"/>
    </w:pPr>
    <w:rPr>
      <w:rFonts w:ascii="Tahoma" w:hAnsi="Tahoma"/>
      <w:sz w:val="24"/>
      <w:szCs w:val="24"/>
    </w:rPr>
  </w:style>
  <w:style w:type="paragraph" w:styleId="1042" w:customStyle="1">
    <w:name w:val="table_1stline"/>
    <w:basedOn w:val="754"/>
    <w:qFormat/>
    <w:pPr>
      <w:jc w:val="left"/>
      <w:spacing w:before="120"/>
      <w:widowControl/>
    </w:pPr>
    <w:rPr>
      <w:bCs/>
      <w:sz w:val="20"/>
      <w:szCs w:val="20"/>
      <w:lang w:val="de-DE" w:eastAsia="de-DE"/>
    </w:rPr>
  </w:style>
  <w:style w:type="paragraph" w:styleId="1043" w:customStyle="1">
    <w:name w:val="font5"/>
    <w:basedOn w:val="754"/>
    <w:qFormat/>
    <w:pPr>
      <w:jc w:val="left"/>
      <w:spacing w:before="100" w:beforeAutospacing="1" w:after="100" w:afterAutospacing="1"/>
      <w:widowControl/>
    </w:pPr>
    <w:rPr>
      <w:rFonts w:hint="eastAsia" w:ascii="宋体" w:hAnsi="宋体"/>
      <w:sz w:val="28"/>
      <w:szCs w:val="28"/>
    </w:rPr>
  </w:style>
  <w:style w:type="paragraph" w:styleId="1044" w:customStyle="1">
    <w:name w:val="标题1"/>
    <w:basedOn w:val="754"/>
    <w:next w:val="75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5" w:customStyle="1">
    <w:name w:val="修订1"/>
    <w:uiPriority w:val="99"/>
    <w:semiHidden/>
    <w:qFormat/>
    <w:rPr>
      <w:sz w:val="21"/>
      <w:szCs w:val="21"/>
    </w:rPr>
  </w:style>
  <w:style w:type="paragraph" w:styleId="1046">
    <w:name w:val="No Spacing"/>
    <w:uiPriority w:val="99"/>
    <w:qFormat/>
    <w:pPr>
      <w:jc w:val="both"/>
      <w:widowControl w:val="off"/>
    </w:pPr>
    <w:rPr>
      <w:sz w:val="21"/>
      <w:szCs w:val="21"/>
    </w:rPr>
  </w:style>
  <w:style w:type="paragraph" w:styleId="1047" w:customStyle="1">
    <w:name w:val="图例"/>
    <w:basedOn w:val="754"/>
    <w:qFormat/>
    <w:pPr>
      <w:jc w:val="center"/>
      <w:spacing w:before="120" w:after="120" w:line="360" w:lineRule="auto"/>
    </w:pPr>
    <w:rPr>
      <w:rFonts w:eastAsia="仿宋_GB2312"/>
      <w:b/>
      <w:sz w:val="24"/>
      <w:szCs w:val="20"/>
    </w:rPr>
  </w:style>
  <w:style w:type="character" w:styleId="1048" w:customStyle="1">
    <w:name w:val="标题 2 Char"/>
    <w:qFormat/>
    <w:rPr>
      <w:rFonts w:ascii="Arial" w:hAnsi="Arial" w:eastAsia="幼圆" w:cs="Arial"/>
      <w:b/>
      <w:bCs/>
      <w:sz w:val="44"/>
      <w:szCs w:val="44"/>
    </w:rPr>
  </w:style>
  <w:style w:type="character" w:styleId="1049" w:customStyle="1">
    <w:name w:val="正文缩进 Char"/>
    <w:qFormat/>
    <w:rPr>
      <w:szCs w:val="21"/>
    </w:rPr>
  </w:style>
  <w:style w:type="paragraph" w:styleId="1050" w:customStyle="1">
    <w:name w:val="标题 41"/>
    <w:basedOn w:val="754"/>
    <w:next w:val="1051"/>
    <w:qFormat/>
    <w:pPr>
      <w:keepLines/>
      <w:keepNext/>
      <w:spacing w:before="280" w:after="290" w:line="376" w:lineRule="auto"/>
      <w:outlineLvl w:val="3"/>
    </w:pPr>
    <w:rPr>
      <w:rFonts w:ascii="Arial" w:hAnsi="Arial" w:eastAsia="黑体"/>
      <w:b/>
      <w:bCs/>
      <w:sz w:val="28"/>
      <w:szCs w:val="28"/>
      <w:lang w:eastAsia="en-US"/>
    </w:rPr>
  </w:style>
  <w:style w:type="paragraph" w:styleId="1051" w:customStyle="1">
    <w:name w:val="正文缩进1"/>
    <w:basedOn w:val="754"/>
    <w:qFormat/>
    <w:pPr>
      <w:ind w:firstLine="420"/>
    </w:pPr>
    <w:rPr>
      <w:sz w:val="20"/>
      <w:lang w:eastAsia="en-US"/>
    </w:rPr>
  </w:style>
  <w:style w:type="character" w:styleId="1052" w:customStyle="1">
    <w:name w:val="font11"/>
    <w:qFormat/>
    <w:rPr>
      <w:rFonts w:hint="eastAsia" w:ascii="宋体" w:hAnsi="宋体" w:eastAsia="宋体" w:cs="宋体"/>
      <w:b/>
      <w:bCs/>
      <w:color w:val="000000"/>
      <w:sz w:val="24"/>
      <w:szCs w:val="24"/>
      <w:u w:val="none"/>
    </w:rPr>
  </w:style>
  <w:style w:type="character" w:styleId="1053" w:customStyle="1">
    <w:name w:val="font21"/>
    <w:qFormat/>
    <w:rPr>
      <w:rFonts w:hint="default" w:ascii="Times New Roman" w:hAnsi="Times New Roman" w:cs="Times New Roman"/>
      <w:b/>
      <w:bCs/>
      <w:color w:val="000000"/>
      <w:sz w:val="24"/>
      <w:szCs w:val="24"/>
      <w:u w:val="none"/>
    </w:rPr>
  </w:style>
  <w:style w:type="character" w:styleId="1054" w:customStyle="1">
    <w:name w:val="font31"/>
    <w:qFormat/>
    <w:rPr>
      <w:rFonts w:hint="eastAsia" w:ascii="宋体" w:hAnsi="宋体" w:eastAsia="宋体" w:cs="宋体"/>
      <w:color w:val="000000"/>
      <w:sz w:val="24"/>
      <w:szCs w:val="24"/>
      <w:u w:val="none"/>
    </w:rPr>
  </w:style>
  <w:style w:type="character" w:styleId="1055" w:customStyle="1">
    <w:name w:val="font41"/>
    <w:qFormat/>
    <w:rPr>
      <w:rFonts w:hint="default" w:ascii="Times New Roman" w:hAnsi="Times New Roman" w:cs="Times New Roman"/>
      <w:color w:val="000000"/>
      <w:sz w:val="24"/>
      <w:szCs w:val="24"/>
      <w:u w:val="none"/>
    </w:rPr>
  </w:style>
  <w:style w:type="character" w:styleId="1056" w:customStyle="1">
    <w:name w:val="font61"/>
    <w:qFormat/>
    <w:rPr>
      <w:rFonts w:hint="eastAsia" w:ascii="宋体" w:hAnsi="宋体" w:eastAsia="宋体" w:cs="宋体"/>
      <w:color w:val="000000"/>
      <w:sz w:val="24"/>
      <w:szCs w:val="24"/>
      <w:u w:val="none"/>
    </w:rPr>
  </w:style>
  <w:style w:type="character" w:styleId="1057" w:customStyle="1">
    <w:name w:val="15"/>
    <w:basedOn w:val="764"/>
    <w:qFormat/>
    <w:rPr>
      <w:rFonts w:hint="default" w:ascii="Times New Roman" w:hAnsi="Times New Roman" w:cs="Times New Roman"/>
    </w:rPr>
  </w:style>
  <w:style w:type="character" w:styleId="1058" w:customStyle="1">
    <w:name w:val="font01"/>
    <w:basedOn w:val="764"/>
    <w:qFormat/>
    <w:rPr>
      <w:rFonts w:hint="eastAsia" w:ascii="宋体" w:hAnsi="宋体" w:eastAsia="宋体" w:cs="宋体"/>
      <w:color w:val="000000"/>
      <w:sz w:val="22"/>
      <w:szCs w:val="22"/>
      <w:u w:val="none"/>
    </w:rPr>
  </w:style>
  <w:style w:type="character" w:styleId="1059" w:customStyle="1">
    <w:name w:val="font51"/>
    <w:basedOn w:val="764"/>
    <w:qFormat/>
    <w:rPr>
      <w:rFonts w:hint="eastAsia" w:ascii="宋体" w:hAnsi="宋体" w:eastAsia="宋体" w:cs="宋体"/>
      <w:color w:val="ff0000"/>
      <w:sz w:val="22"/>
      <w:szCs w:val="22"/>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黑体"/>
        <a:cs typeface="Arial"/>
      </a:majorFont>
      <a:minorFont>
        <a:latin typeface="Aptos"/>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吕先生</cp:lastModifiedBy>
  <cp:revision>9</cp:revision>
  <dcterms:created xsi:type="dcterms:W3CDTF">2025-07-04T09:03:00Z</dcterms:created>
  <dcterms:modified xsi:type="dcterms:W3CDTF">2026-07-23T06:47:54Z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D153612BBFFA4EB19555B77A41006FB4_13</vt:lpwstr>
  </property>
  <property fmtid="{D5CDD505-2E9C-101B-9397-08002B2CF9AE}" pid="4" name="KSOTemplateDocerSaveRecord">
    <vt:lpwstr>eyJoZGlkIjoiNDAwYWE4YTY4NDNlOWM3Mzg3YWFhNWM4ZWU0N2UwZmUiLCJ1c2VySWQiOiI4NjExMzEwMDcifQ==</vt:lpwstr>
  </property>
</Properties>
</file>