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left="3517" w:hanging="1600"/>
        <w:spacing w:line="360" w:lineRule="auto"/>
        <w:rPr>
          <w:rFonts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rPr>
        <w:t xml:space="preserve">无锡市政务云骨干节点宜兴存量部分运维项目</w:t>
      </w:r>
      <w:r/>
    </w:p>
    <w:p>
      <w:pPr>
        <w:ind w:firstLine="1920"/>
        <w:jc w:val="left"/>
        <w:spacing w:line="360" w:lineRule="auto"/>
        <w:rPr>
          <w:rFonts w:ascii="宋体" w:hAnsi="宋体" w:cs="宋体"/>
          <w:sz w:val="32"/>
          <w:szCs w:val="32"/>
        </w:rPr>
      </w:pPr>
      <w:r/>
      <w:bookmarkStart w:id="0" w:name="_Hlk161057808"/>
      <w:r>
        <w:rPr>
          <w:rFonts w:hint="eastAsia" w:ascii="宋体" w:hAnsi="宋体" w:cs="宋体"/>
          <w:sz w:val="32"/>
          <w:szCs w:val="32"/>
        </w:rPr>
        <w:t xml:space="preserve">项目编号：</w:t>
      </w:r>
      <w:r>
        <w:rPr>
          <w:rFonts w:hint="eastAsia" w:ascii="宋体" w:hAnsi="宋体" w:cs="宋体"/>
          <w:sz w:val="32"/>
          <w:szCs w:val="32"/>
        </w:rPr>
        <w:t xml:space="preserve">JSZC-320282-JZCG-G2026-0020</w:t>
      </w:r>
      <w:bookmarkEnd w:id="0"/>
      <w:r/>
    </w:p>
    <w:p>
      <w:pPr>
        <w:ind w:firstLine="1920"/>
        <w:spacing w:line="360" w:lineRule="auto"/>
        <w:rPr>
          <w:rFonts w:ascii="宋体" w:hAnsi="宋体" w:cs="宋体"/>
          <w:sz w:val="32"/>
          <w:szCs w:val="32"/>
        </w:rPr>
      </w:pPr>
      <w:r>
        <w:rPr>
          <w:rFonts w:hint="eastAsia" w:ascii="宋体" w:hAnsi="宋体" w:cs="宋体"/>
          <w:sz w:val="32"/>
          <w:szCs w:val="32"/>
        </w:rPr>
        <w:t xml:space="preserve">采 购 人：</w:t>
      </w:r>
      <w:r>
        <w:rPr>
          <w:rFonts w:hint="eastAsia" w:ascii="宋体" w:hAnsi="宋体" w:cs="宋体"/>
          <w:sz w:val="32"/>
          <w:szCs w:val="32"/>
        </w:rPr>
        <w:t xml:space="preserve">宜兴市市域社会治理现代化指挥中心</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w:t>
      </w:r>
      <w:r>
        <w:rPr>
          <w:rFonts w:hint="eastAsia" w:ascii="宋体" w:hAnsi="宋体" w:cs="宋体"/>
          <w:sz w:val="32"/>
          <w:szCs w:val="32"/>
        </w:rPr>
        <w:t xml:space="preserve">年</w:t>
      </w:r>
      <w:r>
        <w:rPr>
          <w:rFonts w:hint="eastAsia" w:ascii="宋体" w:hAnsi="宋体" w:cs="宋体"/>
          <w:sz w:val="32"/>
          <w:szCs w:val="32"/>
        </w:rPr>
        <w:t xml:space="preserve">7</w:t>
      </w:r>
      <w:r>
        <w:rPr>
          <w:rFonts w:hint="eastAsia" w:ascii="宋体" w:hAnsi="宋体" w:cs="宋体"/>
          <w:sz w:val="32"/>
          <w:szCs w:val="32"/>
        </w:rPr>
        <w:t xml:space="preserve">月</w:t>
      </w:r>
      <w:r/>
    </w:p>
    <w:p>
      <w:pPr>
        <w:rPr>
          <w:rStyle w:val="846"/>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sz w:val="48"/>
        </w:rPr>
      </w:r>
      <w:r/>
    </w:p>
    <w:p>
      <w:pPr>
        <w:jc w:val="center"/>
        <w:rPr>
          <w:rStyle w:val="846"/>
          <w:rFonts w:eastAsia="黑体"/>
          <w:bCs/>
          <w:sz w:val="48"/>
        </w:rPr>
      </w:pPr>
      <w:r>
        <w:rPr>
          <w:rFonts w:eastAsia="黑体"/>
          <w:bCs/>
          <w:sz w:val="48"/>
        </w:rPr>
      </w:r>
      <w:r/>
    </w:p>
    <w:p>
      <w:pPr>
        <w:jc w:val="center"/>
        <w:rPr>
          <w:rStyle w:val="846"/>
          <w:rFonts w:eastAsia="黑体"/>
          <w:bCs/>
          <w:sz w:val="48"/>
        </w:rPr>
      </w:pPr>
      <w:r>
        <w:rPr>
          <w:rFonts w:eastAsia="黑体"/>
          <w:bCs/>
          <w:sz w:val="48"/>
        </w:rPr>
      </w:r>
      <w:r/>
    </w:p>
    <w:p>
      <w:pPr>
        <w:jc w:val="center"/>
        <w:rPr>
          <w:rStyle w:val="846"/>
          <w:rFonts w:eastAsia="黑体"/>
          <w:bCs/>
          <w:sz w:val="48"/>
        </w:rPr>
      </w:pPr>
      <w:r>
        <w:rPr>
          <w:rStyle w:val="846"/>
          <w:rFonts w:hint="eastAsia" w:eastAsia="黑体"/>
          <w:bCs/>
          <w:sz w:val="48"/>
        </w:rPr>
        <w:t xml:space="preserve">目</w:t>
      </w:r>
      <w:r>
        <w:rPr>
          <w:rStyle w:val="846"/>
          <w:rFonts w:hint="eastAsia" w:eastAsia="黑体"/>
          <w:bCs/>
          <w:sz w:val="48"/>
        </w:rPr>
        <w:t xml:space="preserve">     </w:t>
      </w:r>
      <w:r>
        <w:rPr>
          <w:rStyle w:val="846"/>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840"/>
        <w:spacing w:line="360" w:lineRule="auto"/>
        <w:tabs>
          <w:tab w:val="right" w:pos="9629" w:leader="dot"/>
        </w:tabs>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57174688" w:anchor="_Toc157174688" w:history="1">
        <w:r>
          <w:rPr>
            <w:rStyle w:val="847"/>
            <w:rFonts w:ascii="黑体" w:hAnsi="黑体" w:eastAsia="黑体"/>
            <w:sz w:val="32"/>
            <w:szCs w:val="32"/>
          </w:rPr>
          <w:t xml:space="preserve">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r>
        <w:r>
          <w:rPr>
            <w:sz w:val="32"/>
            <w:szCs w:val="32"/>
          </w:rPr>
          <w:fldChar w:fldCharType="separate"/>
        </w:r>
        <w:r>
          <w:rPr>
            <w:sz w:val="32"/>
            <w:szCs w:val="32"/>
          </w:rPr>
          <w:t xml:space="preserve">- 1 -</w:t>
        </w:r>
        <w:r>
          <w:rPr>
            <w:sz w:val="32"/>
            <w:szCs w:val="32"/>
          </w:rPr>
          <w:fldChar w:fldCharType="end"/>
        </w:r>
      </w:hyperlink>
      <w:r/>
      <w:r/>
    </w:p>
    <w:p>
      <w:pPr>
        <w:pStyle w:val="840"/>
        <w:spacing w:line="360" w:lineRule="auto"/>
        <w:tabs>
          <w:tab w:val="right" w:pos="9629" w:leader="dot"/>
        </w:tabs>
        <w:rPr>
          <w:rFonts w:ascii="等线" w:hAnsi="等线" w:eastAsia="等线"/>
          <w:sz w:val="32"/>
          <w:szCs w:val="32"/>
        </w:rPr>
      </w:pPr>
      <w:r/>
      <w:hyperlink w:tooltip="#_Toc157174689" w:anchor="_Toc157174689" w:history="1">
        <w:r>
          <w:rPr>
            <w:rStyle w:val="847"/>
            <w:rFonts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r>
        <w:r>
          <w:rPr>
            <w:sz w:val="32"/>
            <w:szCs w:val="32"/>
          </w:rPr>
          <w:fldChar w:fldCharType="separate"/>
        </w:r>
        <w:r>
          <w:rPr>
            <w:sz w:val="32"/>
            <w:szCs w:val="32"/>
          </w:rPr>
          <w:t xml:space="preserve">- 3 -</w:t>
        </w:r>
        <w:r>
          <w:rPr>
            <w:sz w:val="32"/>
            <w:szCs w:val="32"/>
          </w:rPr>
          <w:fldChar w:fldCharType="end"/>
        </w:r>
      </w:hyperlink>
      <w:r/>
      <w:r/>
    </w:p>
    <w:p>
      <w:pPr>
        <w:pStyle w:val="840"/>
        <w:spacing w:line="360" w:lineRule="auto"/>
        <w:tabs>
          <w:tab w:val="right" w:pos="9629" w:leader="dot"/>
        </w:tabs>
        <w:rPr>
          <w:rFonts w:ascii="等线" w:hAnsi="等线" w:eastAsia="等线"/>
          <w:sz w:val="32"/>
          <w:szCs w:val="32"/>
        </w:rPr>
      </w:pPr>
      <w:r/>
      <w:hyperlink w:tooltip="#_Toc157174690" w:anchor="_Toc157174690" w:history="1">
        <w:r>
          <w:rPr>
            <w:rStyle w:val="847"/>
            <w:rFonts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r>
        <w:r>
          <w:rPr>
            <w:sz w:val="32"/>
            <w:szCs w:val="32"/>
          </w:rPr>
          <w:fldChar w:fldCharType="separate"/>
        </w:r>
        <w:r>
          <w:rPr>
            <w:sz w:val="32"/>
            <w:szCs w:val="32"/>
          </w:rPr>
          <w:t xml:space="preserve">- 16 -</w:t>
        </w:r>
        <w:r>
          <w:rPr>
            <w:sz w:val="32"/>
            <w:szCs w:val="32"/>
          </w:rPr>
          <w:fldChar w:fldCharType="end"/>
        </w:r>
      </w:hyperlink>
      <w:r/>
      <w:r/>
    </w:p>
    <w:p>
      <w:pPr>
        <w:pStyle w:val="840"/>
        <w:spacing w:line="360" w:lineRule="auto"/>
        <w:tabs>
          <w:tab w:val="right" w:pos="9629" w:leader="dot"/>
        </w:tabs>
        <w:rPr>
          <w:rFonts w:ascii="等线" w:hAnsi="等线" w:eastAsia="等线"/>
          <w:sz w:val="32"/>
          <w:szCs w:val="32"/>
        </w:rPr>
      </w:pPr>
      <w:r/>
      <w:hyperlink w:tooltip="#_Toc157174691" w:anchor="_Toc157174691" w:history="1">
        <w:r>
          <w:rPr>
            <w:rStyle w:val="847"/>
            <w:rFonts w:ascii="黑体" w:hAnsi="黑体" w:eastAsia="黑体"/>
            <w:sz w:val="32"/>
            <w:szCs w:val="32"/>
          </w:rPr>
          <w:t xml:space="preserve">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r>
        <w:r>
          <w:rPr>
            <w:sz w:val="32"/>
            <w:szCs w:val="32"/>
          </w:rPr>
          <w:fldChar w:fldCharType="separate"/>
        </w:r>
        <w:r>
          <w:rPr>
            <w:sz w:val="32"/>
            <w:szCs w:val="32"/>
          </w:rPr>
          <w:t xml:space="preserve">- 48 -</w:t>
        </w:r>
        <w:r>
          <w:rPr>
            <w:sz w:val="32"/>
            <w:szCs w:val="32"/>
          </w:rPr>
          <w:fldChar w:fldCharType="end"/>
        </w:r>
      </w:hyperlink>
      <w:r/>
      <w:r/>
    </w:p>
    <w:p>
      <w:pPr>
        <w:pStyle w:val="840"/>
        <w:spacing w:line="360" w:lineRule="auto"/>
        <w:tabs>
          <w:tab w:val="right" w:pos="9629" w:leader="dot"/>
        </w:tabs>
        <w:rPr>
          <w:rFonts w:ascii="等线" w:hAnsi="等线" w:eastAsia="等线"/>
          <w:sz w:val="32"/>
          <w:szCs w:val="32"/>
        </w:rPr>
      </w:pPr>
      <w:r/>
      <w:hyperlink w:tooltip="#_Toc157174692" w:anchor="_Toc157174692" w:history="1">
        <w:r>
          <w:rPr>
            <w:rStyle w:val="847"/>
            <w:rFonts w:ascii="黑体" w:hAnsi="黑体" w:eastAsia="黑体"/>
            <w:sz w:val="32"/>
            <w:szCs w:val="32"/>
          </w:rPr>
          <w:t xml:space="preserve">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r>
        <w:r>
          <w:rPr>
            <w:sz w:val="32"/>
            <w:szCs w:val="32"/>
          </w:rPr>
          <w:fldChar w:fldCharType="separate"/>
        </w:r>
        <w:r>
          <w:rPr>
            <w:sz w:val="32"/>
            <w:szCs w:val="32"/>
          </w:rPr>
          <w:t xml:space="preserve">- 56 -</w:t>
        </w:r>
        <w:r>
          <w:rPr>
            <w:sz w:val="32"/>
            <w:szCs w:val="32"/>
          </w:rPr>
          <w:fldChar w:fldCharType="end"/>
        </w:r>
      </w:hyperlink>
      <w:r/>
      <w:r/>
    </w:p>
    <w:p>
      <w:pPr>
        <w:pStyle w:val="840"/>
        <w:spacing w:line="360" w:lineRule="auto"/>
        <w:tabs>
          <w:tab w:val="right" w:pos="9629" w:leader="dot"/>
        </w:tabs>
        <w:rPr>
          <w:rFonts w:ascii="等线" w:hAnsi="等线" w:eastAsia="等线"/>
          <w:sz w:val="32"/>
          <w:szCs w:val="32"/>
        </w:rPr>
      </w:pPr>
      <w:r/>
      <w:hyperlink w:tooltip="#_Toc157174693" w:anchor="_Toc157174693" w:history="1">
        <w:r>
          <w:rPr>
            <w:rStyle w:val="847"/>
            <w:rFonts w:ascii="黑体" w:hAnsi="黑体" w:eastAsia="黑体"/>
            <w:sz w:val="32"/>
            <w:szCs w:val="32"/>
          </w:rPr>
          <w:t xml:space="preserve">第六章 投标文件</w:t>
        </w:r>
        <w:r>
          <w:rPr>
            <w:rStyle w:val="847"/>
            <w:rFonts w:hint="eastAsia" w:ascii="黑体" w:hAnsi="黑体" w:eastAsia="黑体"/>
            <w:sz w:val="32"/>
            <w:szCs w:val="32"/>
          </w:rPr>
          <w:t xml:space="preserve">内容与格式</w:t>
        </w:r>
        <w:r>
          <w:rPr>
            <w:sz w:val="32"/>
            <w:szCs w:val="32"/>
          </w:rPr>
          <w:tab/>
        </w:r>
        <w:r>
          <w:rPr>
            <w:sz w:val="32"/>
            <w:szCs w:val="32"/>
          </w:rPr>
          <w:fldChar w:fldCharType="begin"/>
        </w:r>
        <w:r>
          <w:rPr>
            <w:sz w:val="32"/>
            <w:szCs w:val="32"/>
          </w:rPr>
          <w:instrText xml:space="preserve"> PAGEREF _Toc157174693 \h </w:instrText>
        </w:r>
        <w:r>
          <w:rPr>
            <w:sz w:val="32"/>
            <w:szCs w:val="32"/>
          </w:rPr>
        </w:r>
        <w:r>
          <w:rPr>
            <w:sz w:val="32"/>
            <w:szCs w:val="32"/>
          </w:rPr>
          <w:fldChar w:fldCharType="separate"/>
        </w:r>
        <w:r>
          <w:rPr>
            <w:sz w:val="32"/>
            <w:szCs w:val="32"/>
          </w:rPr>
          <w:t xml:space="preserve">- 66 -</w:t>
        </w:r>
        <w:r>
          <w:rPr>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Pr>
          <w:rFonts w:hint="eastAsia" w:ascii="黑体" w:hAnsi="黑体" w:eastAsia="黑体"/>
          <w:sz w:val="36"/>
          <w:szCs w:val="36"/>
        </w:rPr>
        <w:tab/>
      </w:r>
      <w:r/>
    </w:p>
    <w:p>
      <w:pPr>
        <w:ind w:firstLine="480"/>
        <w:spacing w:line="500" w:lineRule="exact"/>
        <w:rPr>
          <w:rFonts w:ascii="宋体" w:hAnsi="宋体"/>
          <w:bCs/>
          <w:sz w:val="24"/>
          <w:szCs w:val="24"/>
        </w:rPr>
      </w:pPr>
      <w:r>
        <w:rPr>
          <w:rFonts w:hint="eastAsia" w:ascii="宋体" w:hAnsi="宋体"/>
          <w:sz w:val="24"/>
          <w:szCs w:val="28"/>
        </w:rPr>
        <w:t xml:space="preserve">受</w:t>
      </w:r>
      <w:r>
        <w:rPr>
          <w:rFonts w:hint="eastAsia" w:ascii="宋体" w:hAnsi="宋体"/>
          <w:sz w:val="24"/>
          <w:szCs w:val="28"/>
        </w:rPr>
        <w:t xml:space="preserve">宜兴市市域社会治理现代化指挥中心</w:t>
      </w:r>
      <w:r>
        <w:rPr>
          <w:rFonts w:hint="eastAsia" w:ascii="宋体" w:hAnsi="宋体"/>
          <w:sz w:val="24"/>
          <w:szCs w:val="28"/>
        </w:rPr>
        <w:t xml:space="preserve">委托，宜兴市公共资源交易中心就</w:t>
      </w:r>
      <w:r>
        <w:rPr>
          <w:rFonts w:hint="eastAsia" w:ascii="宋体" w:hAnsi="宋体"/>
          <w:sz w:val="24"/>
          <w:szCs w:val="28"/>
        </w:rPr>
        <w:t xml:space="preserve">无锡市政务云骨干节点宜兴存量部分运维项目</w:t>
      </w:r>
      <w:r>
        <w:rPr>
          <w:rFonts w:hint="eastAsia" w:ascii="宋体" w:hAnsi="宋体"/>
          <w:sz w:val="24"/>
          <w:szCs w:val="28"/>
        </w:rPr>
        <w:t xml:space="preserve">（</w:t>
      </w:r>
      <w:r>
        <w:rPr>
          <w:rFonts w:hint="eastAsia" w:ascii="宋体" w:hAnsi="宋体"/>
          <w:bCs/>
          <w:sz w:val="24"/>
          <w:szCs w:val="24"/>
        </w:rPr>
        <w:t xml:space="preserve">JSZC-320282-JZCG-G2026-0020</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w:t>
            </w:r>
            <w:r>
              <w:rPr>
                <w:rFonts w:hint="eastAsia" w:ascii="宋体" w:hAnsi="宋体"/>
                <w:bCs/>
                <w:sz w:val="24"/>
                <w:szCs w:val="24"/>
              </w:rPr>
              <w:t xml:space="preserve">无锡市政务云骨干节点宜兴存量部分运维项目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JSZC-320282-JZCG-G2026-0020</w:t>
            </w:r>
            <w:r>
              <w:rPr>
                <w:rFonts w:hint="eastAsia" w:ascii="宋体" w:hAnsi="宋体"/>
                <w:bCs/>
                <w:sz w:val="24"/>
                <w:szCs w:val="24"/>
              </w:rPr>
              <w:t xml:space="preserve">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hint="eastAsia" w:ascii="宋体" w:hAnsi="宋体"/>
                <w:bCs/>
                <w:sz w:val="24"/>
                <w:szCs w:val="24"/>
              </w:rPr>
              <w:t xml:space="preserve">：</w:t>
            </w:r>
            <w:r>
              <w:rPr>
                <w:rFonts w:ascii="宋体" w:hAnsi="宋体"/>
                <w:bCs/>
                <w:sz w:val="24"/>
                <w:szCs w:val="24"/>
              </w:rPr>
              <w:t xml:space="preserve">6300</w:t>
            </w:r>
            <w:r>
              <w:rPr>
                <w:rFonts w:hint="eastAsia" w:ascii="宋体" w:hAnsi="宋体"/>
                <w:bCs/>
                <w:sz w:val="24"/>
                <w:szCs w:val="24"/>
              </w:rPr>
              <w:t xml:space="preserve">万元</w:t>
            </w:r>
            <w:r>
              <w:rPr>
                <w:rFonts w:hint="eastAsia" w:ascii="宋体" w:cs="宋体"/>
                <w:bCs/>
                <w:sz w:val="24"/>
                <w:szCs w:val="24"/>
              </w:rPr>
              <w:t xml:space="preserve">(采购包1：5100</w:t>
            </w:r>
            <w:r>
              <w:rPr>
                <w:rFonts w:hint="eastAsia" w:ascii="宋体" w:cs="宋体"/>
                <w:bCs/>
                <w:sz w:val="24"/>
                <w:szCs w:val="24"/>
              </w:rPr>
              <w:t xml:space="preserve">万；</w:t>
            </w:r>
            <w:r>
              <w:rPr>
                <w:rFonts w:hint="eastAsia" w:ascii="宋体" w:cs="宋体"/>
                <w:bCs/>
                <w:sz w:val="24"/>
                <w:szCs w:val="24"/>
              </w:rPr>
              <w:t xml:space="preserve">采购包2：1200万)</w:t>
            </w:r>
            <w:r/>
          </w:p>
          <w:p>
            <w:pPr>
              <w:jc w:val="left"/>
              <w:rPr>
                <w:rFonts w:ascii="宋体" w:hAnsi="宋体"/>
                <w:bCs/>
                <w:sz w:val="24"/>
                <w:szCs w:val="24"/>
              </w:rPr>
            </w:pPr>
            <w:r>
              <w:rPr>
                <w:rFonts w:hint="eastAsia" w:ascii="宋体" w:hAnsi="宋体"/>
                <w:bCs/>
                <w:sz w:val="24"/>
                <w:szCs w:val="24"/>
              </w:rPr>
              <w:t xml:space="preserve">6.最高限价：同预算金额 </w:t>
            </w:r>
            <w:r/>
          </w:p>
          <w:p>
            <w:pPr>
              <w:jc w:val="left"/>
              <w:rPr>
                <w:rFonts w:ascii="宋体" w:hAnsi="宋体"/>
                <w:bCs/>
                <w:sz w:val="24"/>
                <w:szCs w:val="24"/>
              </w:rPr>
            </w:pPr>
            <w:r>
              <w:rPr>
                <w:rFonts w:hint="eastAsia" w:ascii="宋体" w:hAnsi="宋体"/>
                <w:bCs/>
                <w:sz w:val="24"/>
                <w:szCs w:val="24"/>
              </w:rPr>
              <w:t xml:space="preserve">7.项目类型：服务类</w:t>
            </w:r>
            <w:r/>
          </w:p>
          <w:p>
            <w:pPr>
              <w:jc w:val="left"/>
              <w:rPr>
                <w:rFonts w:ascii="宋体" w:hAnsi="宋体"/>
                <w:bCs/>
                <w:sz w:val="24"/>
                <w:szCs w:val="24"/>
              </w:rPr>
            </w:pPr>
            <w:r>
              <w:rPr>
                <w:rFonts w:hint="eastAsia" w:ascii="宋体" w:hAnsi="宋体"/>
                <w:bCs/>
                <w:sz w:val="24"/>
                <w:szCs w:val="24"/>
              </w:rPr>
              <w:t xml:space="preserve">8.本项目</w:t>
            </w:r>
            <w:r>
              <w:rPr>
                <w:rFonts w:hint="eastAsia" w:ascii="宋体" w:hAnsi="宋体"/>
                <w:bCs/>
                <w:sz w:val="24"/>
                <w:szCs w:val="24"/>
              </w:rPr>
              <w:t xml:space="preserve">不接受联合体，不接受分包。</w:t>
            </w:r>
            <w:bookmarkEnd w:id="6"/>
            <w:r/>
          </w:p>
          <w:p>
            <w:pPr>
              <w:jc w:val="left"/>
              <w:rPr>
                <w:rFonts w:ascii="宋体" w:hAnsi="宋体"/>
                <w:bCs/>
                <w:sz w:val="24"/>
                <w:szCs w:val="24"/>
              </w:rPr>
            </w:pPr>
            <w:r>
              <w:rPr>
                <w:rFonts w:hint="eastAsia" w:ascii="宋体" w:hAnsi="宋体"/>
                <w:bCs/>
                <w:sz w:val="24"/>
                <w:szCs w:val="24"/>
              </w:rPr>
              <w:t xml:space="preserve">9.集中考察或答疑：无</w:t>
            </w:r>
            <w:r/>
          </w:p>
        </w:tc>
      </w:tr>
      <w:tr>
        <w:trPr>
          <w:jc w:val="center"/>
          <w:trHeight w:val="162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848"/>
              <w:jc w:val="center"/>
              <w:spacing w:line="276" w:lineRule="auto"/>
              <w:rPr>
                <w:b/>
                <w:bCs/>
                <w:lang w:val="zh-CN"/>
              </w:rPr>
            </w:pPr>
            <w:r/>
            <w:bookmarkStart w:id="9" w:name="OLE_LINK208"/>
            <w:r>
              <w:rPr>
                <w:rFonts w:hint="eastAsia"/>
                <w:b/>
                <w:bCs/>
                <w:lang w:val="zh-CN"/>
              </w:rPr>
              <w:t xml:space="preserve">资格</w:t>
            </w:r>
            <w:bookmarkEnd w:id="9"/>
            <w:r/>
          </w:p>
          <w:p>
            <w:pPr>
              <w:pStyle w:val="848"/>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Cs/>
                <w:sz w:val="24"/>
                <w:szCs w:val="24"/>
              </w:rPr>
              <w:t xml:space="preserve">本项目非专门面向中小企业采购；</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sz w:val="24"/>
                <w:szCs w:val="24"/>
              </w:rPr>
            </w:pPr>
            <w:r>
              <w:rPr>
                <w:rFonts w:hint="eastAsia" w:ascii="宋体" w:hAnsi="宋体" w:cs="宋体"/>
                <w:bCs/>
                <w:sz w:val="24"/>
                <w:szCs w:val="24"/>
              </w:rPr>
              <w:t xml:space="preserve">3.售价：本项目招标文件免费。</w:t>
            </w:r>
            <w:bookmarkEnd w:id="8"/>
            <w:r/>
          </w:p>
        </w:tc>
      </w:tr>
      <w:tr>
        <w:trPr>
          <w:jc w:val="center"/>
          <w:trHeight w:val="415"/>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rPr>
                <w:rFonts w:ascii="宋体" w:hAnsi="宋体" w:cs="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848"/>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848"/>
              <w:jc w:val="center"/>
              <w:rPr>
                <w:b/>
                <w:bCs/>
                <w:szCs w:val="22"/>
              </w:rPr>
            </w:pPr>
            <w:r>
              <w:rPr>
                <w:rFonts w:hint="eastAsia"/>
                <w:b/>
                <w:bCs/>
                <w:szCs w:val="22"/>
              </w:rPr>
              <w:t xml:space="preserve">限制</w:t>
            </w:r>
            <w:r/>
          </w:p>
          <w:p>
            <w:pPr>
              <w:pStyle w:val="848"/>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949"/>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w:t>
            </w:r>
            <w:r>
              <w:rPr>
                <w:rFonts w:hint="eastAsia" w:ascii="宋体" w:hAnsi="宋体"/>
                <w:bCs/>
                <w:sz w:val="24"/>
                <w:szCs w:val="24"/>
              </w:rPr>
              <w:t xml:space="preserve">宜兴市市域社会治理现代化指挥中心</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宜兴经开区百合大道清华科技园A4号宜兴市城市运行管理中心</w:t>
            </w:r>
            <w:r/>
          </w:p>
          <w:p>
            <w:pPr>
              <w:jc w:val="left"/>
              <w:rPr>
                <w:rFonts w:ascii="宋体" w:hAnsi="宋体"/>
                <w:bCs/>
                <w:sz w:val="24"/>
                <w:szCs w:val="24"/>
              </w:rPr>
            </w:pPr>
            <w:r>
              <w:rPr>
                <w:rFonts w:hint="eastAsia" w:ascii="宋体" w:hAnsi="宋体"/>
                <w:bCs/>
                <w:sz w:val="24"/>
                <w:szCs w:val="24"/>
              </w:rPr>
              <w:t xml:space="preserve">联系人：</w:t>
            </w:r>
            <w:r>
              <w:rPr>
                <w:rFonts w:hint="eastAsia" w:ascii="宋体" w:hAnsi="宋体"/>
                <w:bCs/>
                <w:sz w:val="24"/>
                <w:szCs w:val="24"/>
              </w:rPr>
              <w:t xml:space="preserve">徐先生</w:t>
            </w:r>
            <w:r/>
          </w:p>
          <w:p>
            <w:pPr>
              <w:jc w:val="left"/>
              <w:rPr>
                <w:rFonts w:ascii="宋体" w:hAnsi="宋体"/>
                <w:bCs/>
                <w:sz w:val="24"/>
                <w:szCs w:val="24"/>
              </w:rPr>
            </w:pPr>
            <w:r>
              <w:rPr>
                <w:rFonts w:hint="eastAsia" w:ascii="宋体" w:hAnsi="宋体"/>
                <w:bCs/>
                <w:sz w:val="24"/>
                <w:szCs w:val="24"/>
              </w:rPr>
              <w:t xml:space="preserve">联系电话：</w:t>
            </w:r>
            <w:r>
              <w:rPr>
                <w:rFonts w:hint="eastAsia" w:ascii="宋体" w:hAnsi="宋体" w:cs="宋体"/>
                <w:sz w:val="24"/>
                <w:szCs w:val="24"/>
              </w:rPr>
              <w:t xml:space="preserve">13771363868</w:t>
            </w:r>
            <w:r/>
          </w:p>
        </w:tc>
      </w:tr>
      <w:tr>
        <w:trPr>
          <w:jc w:val="center"/>
          <w:trHeight w:val="54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w:t>
            </w:r>
            <w:r/>
          </w:p>
          <w:p>
            <w:pPr>
              <w:jc w:val="center"/>
              <w:rPr>
                <w:rFonts w:ascii="宋体" w:hAnsi="宋体"/>
                <w:bCs/>
                <w:sz w:val="24"/>
                <w:szCs w:val="24"/>
              </w:rPr>
            </w:pPr>
            <w:r>
              <w:rPr>
                <w:rFonts w:hint="eastAsia" w:ascii="宋体" w:hAnsi="宋体"/>
                <w:bCs/>
                <w:sz w:val="24"/>
                <w:szCs w:val="24"/>
              </w:rPr>
              <w:t xml:space="preserve">机构</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w:t>
            </w:r>
            <w:r/>
          </w:p>
          <w:p>
            <w:pPr>
              <w:jc w:val="center"/>
              <w:rPr>
                <w:rFonts w:ascii="宋体" w:hAnsi="宋体"/>
                <w:bCs/>
                <w:sz w:val="24"/>
                <w:szCs w:val="24"/>
              </w:rPr>
            </w:pPr>
            <w:r>
              <w:rPr>
                <w:rFonts w:hint="eastAsia" w:ascii="宋体" w:hAnsi="宋体"/>
                <w:bCs/>
                <w:sz w:val="24"/>
                <w:szCs w:val="24"/>
              </w:rPr>
              <w:t xml:space="preserve">部门</w:t>
            </w:r>
            <w:r/>
          </w:p>
        </w:tc>
        <w:tc>
          <w:tcPr>
            <w:tcW w:w="6451"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bookmarkEnd w:id="13"/>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57174689"/>
      <w:r/>
      <w:bookmarkStart w:id="15" w:name="OLE_LINK38"/>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6" w:name="_Hlk164149389"/>
      <w:r>
        <w:rPr>
          <w:rFonts w:hint="eastAsia" w:ascii="宋体" w:hAnsi="宋体"/>
          <w:bCs/>
          <w:sz w:val="24"/>
          <w:szCs w:val="24"/>
          <w:lang w:val="zh-CN"/>
        </w:rPr>
        <w:t xml:space="preserve">法定代表人”是指投标人的营业执照或相关部门的有效登记证明文件中的“法定代表人”、“执行事务合伙人”、“经营者”、“负责人”，若为自然人的指自然人本人。</w:t>
      </w:r>
      <w:bookmarkStart w:id="17" w:name="_Hlk160441159"/>
      <w:r/>
      <w:bookmarkEnd w:id="16"/>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r/>
    </w:p>
    <w:p>
      <w:pPr>
        <w:jc w:val="left"/>
        <w:spacing w:line="360" w:lineRule="auto"/>
        <w:rPr>
          <w:rFonts w:ascii="宋体" w:hAnsi="宋体"/>
          <w:b/>
          <w:sz w:val="28"/>
          <w:szCs w:val="28"/>
          <w:lang w:val="zh-CN"/>
        </w:rPr>
      </w:pPr>
      <w:r/>
      <w:bookmarkStart w:id="18" w:name="OLE_LINK217"/>
      <w:r/>
      <w:bookmarkStart w:id="19" w:name="OLE_LINK269"/>
      <w:r/>
      <w:bookmarkEnd w:id="17"/>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w:t>
      </w:r>
      <w:r>
        <w:rPr>
          <w:rFonts w:hint="eastAsia" w:ascii="宋体" w:hAnsi="宋体"/>
          <w:b/>
          <w:sz w:val="24"/>
          <w:szCs w:val="24"/>
          <w:u w:val="single"/>
          <w:lang w:val="zh-CN"/>
        </w:rPr>
        <w:t xml:space="preserve">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 xml:space="preserve">不再对其中涉及的货物的制造商作出要求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 xml:space="preserve">联合协议或者分包意向协议约定小微企业的合同份额占到合同总金额30%及以上的</w:t>
      </w:r>
      <w:bookmarkEnd w:id="20"/>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2" w:name="_Hlk160697267"/>
      <w:r>
        <w:rPr>
          <w:rFonts w:hint="eastAsia" w:ascii="宋体" w:hAnsi="宋体"/>
          <w:bCs/>
          <w:sz w:val="24"/>
          <w:szCs w:val="24"/>
        </w:rPr>
        <w:t xml:space="preserve">并明确企业类型（中型、小型或微型），否则中小企业声明函无效。</w:t>
      </w:r>
      <w:bookmarkEnd w:id="21"/>
      <w:r/>
      <w:bookmarkEnd w:id="22"/>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3" w:name="_Hlk159418699"/>
      <w:r>
        <w:rPr>
          <w:rFonts w:hint="eastAsia" w:ascii="宋体" w:hAnsi="宋体"/>
          <w:b/>
          <w:sz w:val="24"/>
          <w:szCs w:val="24"/>
        </w:rPr>
        <w:t xml:space="preserve">只享受一次针对小微企业的价格优惠。</w:t>
      </w:r>
      <w:bookmarkEnd w:id="23"/>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8"/>
      <w:bookmarkEnd w:id="19"/>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4" w:name="OLE_LINK107"/>
      <w:r/>
      <w:bookmarkStart w:id="25" w:name="OLE_LINK88"/>
      <w:r>
        <w:rPr>
          <w:rFonts w:hint="eastAsia" w:ascii="宋体" w:hAnsi="宋体"/>
          <w:bCs/>
          <w:sz w:val="24"/>
          <w:szCs w:val="24"/>
        </w:rPr>
        <w:t xml:space="preserve">4.2 </w:t>
      </w:r>
      <w:bookmarkEnd w:id="24"/>
      <w:r>
        <w:rPr>
          <w:rFonts w:hint="eastAsia" w:ascii="宋体" w:hAnsi="宋体"/>
          <w:bCs/>
          <w:sz w:val="24"/>
          <w:szCs w:val="24"/>
        </w:rPr>
        <w:t xml:space="preserve">本次招标，宜兴市公共资源交易中心对所有投标人不收取服务费用。</w:t>
      </w:r>
      <w:bookmarkEnd w:id="25"/>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6" w:name="OLE_LINK253"/>
      <w:r>
        <w:rPr>
          <w:rFonts w:hint="eastAsia" w:ascii="宋体" w:hAnsi="宋体"/>
          <w:bCs/>
          <w:sz w:val="24"/>
          <w:szCs w:val="24"/>
        </w:rPr>
        <w:t xml:space="preserve">采购人或者</w:t>
      </w:r>
      <w:bookmarkEnd w:id="26"/>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27" w:name="OLE_LINK16"/>
      <w:r/>
      <w:bookmarkStart w:id="28" w:name="_Hlk151557699"/>
      <w:r/>
      <w:bookmarkStart w:id="29" w:name="OLE_LINK219"/>
      <w:r>
        <w:rPr>
          <w:rFonts w:hint="eastAsia" w:ascii="宋体" w:hAnsi="宋体"/>
          <w:b/>
          <w:sz w:val="28"/>
          <w:szCs w:val="28"/>
        </w:rPr>
        <w:t xml:space="preserve">8</w:t>
      </w:r>
      <w:r>
        <w:rPr>
          <w:rFonts w:hint="eastAsia" w:ascii="宋体" w:hAnsi="宋体"/>
          <w:b/>
          <w:sz w:val="28"/>
          <w:szCs w:val="28"/>
          <w:lang w:val="zh-CN"/>
        </w:rPr>
        <w:t xml:space="preserve">、</w:t>
      </w:r>
      <w:bookmarkStart w:id="30" w:name="OLE_LINK62"/>
      <w:r>
        <w:rPr>
          <w:rFonts w:hint="eastAsia" w:ascii="宋体" w:hAnsi="宋体"/>
          <w:b/>
          <w:sz w:val="28"/>
          <w:szCs w:val="28"/>
          <w:lang w:val="zh-CN"/>
        </w:rPr>
        <w:t xml:space="preserve">投标文件的组成</w:t>
      </w:r>
      <w:bookmarkEnd w:id="27"/>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bookmarkEnd w:id="28"/>
      <w:bookmarkEnd w:id="30"/>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1" w:name="_Toc2248"/>
      <w:r/>
      <w:bookmarkStart w:id="32" w:name="_Toc23231"/>
      <w:r/>
      <w:bookmarkStart w:id="33" w:name="_Toc19624"/>
      <w:r/>
      <w:bookmarkStart w:id="34" w:name="_Toc520356155"/>
      <w:r/>
      <w:bookmarkStart w:id="35" w:name="_Toc515647770"/>
      <w:r>
        <w:rPr>
          <w:rFonts w:hint="eastAsia" w:ascii="宋体" w:hAnsi="宋体"/>
          <w:b/>
          <w:sz w:val="28"/>
          <w:szCs w:val="28"/>
          <w:lang w:val="zh-CN"/>
        </w:rPr>
        <w:t xml:space="preserve">投标报价</w:t>
      </w:r>
      <w:bookmarkEnd w:id="31"/>
      <w:r/>
      <w:bookmarkEnd w:id="32"/>
      <w:r/>
      <w:bookmarkEnd w:id="33"/>
      <w:r/>
      <w:bookmarkEnd w:id="34"/>
      <w:r/>
      <w:bookmarkEnd w:id="35"/>
      <w:r/>
      <w:bookmarkEnd w:id="29"/>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6" w:name="OLE_LINK204"/>
      <w:r>
        <w:rPr>
          <w:rFonts w:hint="eastAsia" w:ascii="宋体" w:hAnsi="宋体"/>
          <w:bCs/>
          <w:sz w:val="24"/>
          <w:szCs w:val="24"/>
          <w:lang w:val="zh-CN"/>
        </w:rPr>
        <w:t xml:space="preserve">。</w:t>
      </w:r>
      <w:bookmarkEnd w:id="36"/>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r>
        <w:rPr>
          <w:rFonts w:hint="eastAsia" w:ascii="宋体" w:hAnsi="宋体"/>
          <w:bCs/>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每种服务只能有一个投标报价。采购人不接受具有附加条件的报价。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37" w:name="_Hlk131926068"/>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38"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38"/>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39" w:name="_Hlk131926146"/>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0"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bookmarkStart w:id="41" w:name="_Hlk151449127"/>
      <w:r/>
      <w:bookmarkStart w:id="42" w:name="OLE_LINK94"/>
      <w:r/>
      <w:bookmarkEnd w:id="37"/>
      <w:r/>
      <w:bookmarkEnd w:id="39"/>
      <w:r/>
      <w:bookmarkEnd w:id="40"/>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41"/>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3" w:name="OLE_LINK227"/>
      <w:r>
        <w:rPr>
          <w:rFonts w:hint="eastAsia" w:ascii="宋体" w:hAnsi="宋体"/>
          <w:bCs/>
          <w:sz w:val="24"/>
          <w:szCs w:val="28"/>
        </w:rPr>
        <w:t xml:space="preserve">如</w:t>
      </w:r>
      <w:bookmarkStart w:id="44" w:name="OLE_LINK45"/>
      <w:r>
        <w:rPr>
          <w:rFonts w:hint="eastAsia" w:ascii="宋体" w:hAnsi="宋体"/>
          <w:bCs/>
          <w:sz w:val="24"/>
          <w:szCs w:val="28"/>
        </w:rPr>
        <w:t xml:space="preserve">采购人、</w:t>
      </w:r>
      <w:bookmarkStart w:id="45" w:name="OLE_LINK226"/>
      <w:r/>
      <w:bookmarkEnd w:id="44"/>
      <w:r>
        <w:rPr>
          <w:rFonts w:hint="eastAsia" w:ascii="宋体" w:hAnsi="宋体"/>
          <w:bCs/>
          <w:sz w:val="24"/>
          <w:szCs w:val="28"/>
        </w:rPr>
        <w:t xml:space="preserve">集中采购机构</w:t>
      </w:r>
      <w:bookmarkEnd w:id="45"/>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2"/>
      <w:r/>
      <w:bookmarkEnd w:id="43"/>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46" w:name="OLE_LINK260"/>
      <w:r>
        <w:rPr>
          <w:rFonts w:hint="eastAsia" w:ascii="宋体" w:hAnsi="宋体"/>
          <w:b/>
          <w:sz w:val="28"/>
          <w:szCs w:val="28"/>
          <w:lang w:val="zh-CN"/>
        </w:rPr>
        <w:t xml:space="preserve">撤回</w:t>
      </w:r>
      <w:bookmarkEnd w:id="46"/>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47"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48" w:name="_Hlk128404679"/>
      <w:r>
        <w:rPr>
          <w:rFonts w:hint="eastAsia" w:ascii="宋体" w:hAnsi="宋体"/>
          <w:bCs/>
          <w:sz w:val="24"/>
          <w:szCs w:val="24"/>
        </w:rPr>
        <w:t xml:space="preserve">采购人、</w:t>
      </w:r>
      <w:bookmarkStart w:id="49" w:name="OLE_LINK74"/>
      <w:r>
        <w:rPr>
          <w:rFonts w:hint="eastAsia" w:ascii="宋体" w:hAnsi="宋体"/>
          <w:bCs/>
          <w:sz w:val="24"/>
          <w:szCs w:val="24"/>
        </w:rPr>
        <w:t xml:space="preserve">集中采购机构</w:t>
      </w:r>
      <w:bookmarkEnd w:id="49"/>
      <w:r>
        <w:rPr>
          <w:rFonts w:hint="eastAsia" w:ascii="宋体" w:hAnsi="宋体"/>
          <w:bCs/>
          <w:sz w:val="24"/>
          <w:szCs w:val="24"/>
        </w:rPr>
        <w:t xml:space="preserve">、评标委员会不接受</w:t>
      </w:r>
      <w:bookmarkEnd w:id="48"/>
      <w:r>
        <w:rPr>
          <w:rFonts w:hint="eastAsia" w:ascii="宋体" w:hAnsi="宋体"/>
          <w:bCs/>
          <w:sz w:val="24"/>
          <w:szCs w:val="24"/>
        </w:rPr>
        <w:t xml:space="preserve">投标人主动对其投标文件做任何</w:t>
      </w:r>
      <w:bookmarkStart w:id="50" w:name="OLE_LINK54"/>
      <w:r>
        <w:rPr>
          <w:rFonts w:hint="eastAsia" w:ascii="宋体" w:hAnsi="宋体"/>
          <w:bCs/>
          <w:sz w:val="24"/>
          <w:szCs w:val="24"/>
        </w:rPr>
        <w:t xml:space="preserve">补充、</w:t>
      </w:r>
      <w:bookmarkEnd w:id="50"/>
      <w:r>
        <w:rPr>
          <w:rFonts w:hint="eastAsia" w:ascii="宋体" w:hAnsi="宋体"/>
          <w:bCs/>
          <w:sz w:val="24"/>
          <w:szCs w:val="24"/>
        </w:rPr>
        <w:t xml:space="preserve">修改</w:t>
      </w:r>
      <w:bookmarkEnd w:id="47"/>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1" w:name="_Hlk160719794"/>
      <w:r>
        <w:rPr>
          <w:rFonts w:hint="eastAsia" w:ascii="宋体" w:hAnsi="宋体" w:cs="宋体"/>
          <w:bCs/>
          <w:sz w:val="24"/>
          <w:szCs w:val="24"/>
        </w:rPr>
        <w:t xml:space="preserve">投标文件未按招标文件</w:t>
      </w:r>
      <w:bookmarkStart w:id="52" w:name="_Hlk160720909"/>
      <w:r>
        <w:rPr>
          <w:rFonts w:hint="eastAsia" w:ascii="宋体" w:hAnsi="宋体" w:cs="宋体"/>
          <w:bCs/>
          <w:sz w:val="24"/>
          <w:szCs w:val="24"/>
        </w:rPr>
        <w:t xml:space="preserve">规定签署或盖章的；</w:t>
      </w:r>
      <w:bookmarkEnd w:id="51"/>
      <w:bookmarkEnd w:id="52"/>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3"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3"/>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54" w:name="OLE_LINK137"/>
      <w:r>
        <w:rPr>
          <w:rFonts w:hint="eastAsia" w:ascii="宋体" w:hAnsi="宋体" w:cs="宋体"/>
          <w:bCs/>
          <w:sz w:val="24"/>
          <w:szCs w:val="24"/>
          <w:lang w:val="zh-CN"/>
        </w:rPr>
        <w:t xml:space="preserve">（含虚假承诺）</w:t>
      </w:r>
      <w:bookmarkEnd w:id="54"/>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55" w:name="_Hlk162444294"/>
      <w:r>
        <w:rPr>
          <w:rFonts w:hint="eastAsia" w:ascii="宋体" w:hAnsi="宋体" w:cs="宋体"/>
          <w:bCs/>
          <w:sz w:val="24"/>
          <w:szCs w:val="24"/>
          <w:lang w:val="zh-CN"/>
        </w:rPr>
        <w:t xml:space="preserve">投标文件内容不全</w:t>
      </w:r>
      <w:bookmarkStart w:id="56"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55"/>
      <w:r/>
      <w:bookmarkEnd w:id="56"/>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57"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57"/>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58"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59" w:name="OLE_LINK199"/>
      <w:r>
        <w:rPr>
          <w:rFonts w:hint="eastAsia" w:ascii="宋体" w:hAnsi="宋体"/>
          <w:bCs/>
          <w:sz w:val="24"/>
          <w:szCs w:val="24"/>
          <w:lang w:val="zh-CN"/>
        </w:rPr>
        <w:t xml:space="preserve">订联合体协议书</w:t>
      </w:r>
      <w:bookmarkEnd w:id="59"/>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0" w:name="OLE_LINK127"/>
      <w:r/>
      <w:bookmarkStart w:id="61" w:name="OLE_LINK63"/>
      <w:r/>
      <w:bookmarkStart w:id="62" w:name="OLE_LINK166"/>
      <w:r/>
      <w:bookmarkEnd w:id="58"/>
      <w:r>
        <w:rPr>
          <w:rFonts w:hint="eastAsia" w:ascii="宋体" w:hAnsi="宋体"/>
          <w:bCs/>
          <w:sz w:val="24"/>
          <w:szCs w:val="24"/>
          <w:lang w:val="zh-CN"/>
        </w:rPr>
        <w:t xml:space="preserve">除联合体协议书外，投标文件其他地方需要投标人签名或盖章的，只需主体单位进行签名或盖章。</w:t>
      </w:r>
      <w:bookmarkEnd w:id="60"/>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1"/>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3" w:name="OLE_LINK128"/>
      <w:r>
        <w:rPr>
          <w:rFonts w:hint="eastAsia" w:ascii="宋体" w:hAnsi="宋体"/>
          <w:bCs/>
          <w:sz w:val="24"/>
          <w:szCs w:val="24"/>
          <w:lang w:val="zh-CN"/>
        </w:rPr>
        <w:t xml:space="preserve">联合体成员存在不良信用记录的，视同联合体存在不良信用记录。</w:t>
      </w:r>
      <w:bookmarkEnd w:id="62"/>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64"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65"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66"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66"/>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4"/>
      <w:bookmarkEnd w:id="65"/>
      <w:r/>
    </w:p>
    <w:p>
      <w:pPr>
        <w:jc w:val="left"/>
        <w:spacing w:line="360" w:lineRule="auto"/>
        <w:rPr>
          <w:rFonts w:ascii="宋体" w:hAnsi="宋体"/>
          <w:b/>
          <w:sz w:val="28"/>
          <w:szCs w:val="28"/>
          <w:lang w:val="zh-CN"/>
        </w:rPr>
      </w:pPr>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8"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bookmarkStart w:id="67" w:name="OLE_LINK18"/>
      <w:r>
        <w:rPr>
          <w:rFonts w:hint="eastAsia" w:ascii="宋体" w:hAnsi="宋体"/>
          <w:b/>
          <w:sz w:val="28"/>
          <w:szCs w:val="28"/>
          <w:lang w:val="zh-CN"/>
        </w:rPr>
        <w:t xml:space="preserve">22、评标</w:t>
      </w:r>
      <w:bookmarkEnd w:id="67"/>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68"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68"/>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bookmarkStart w:id="69"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69"/>
      <w:r>
        <w:rPr>
          <w:rFonts w:hint="eastAsia" w:ascii="宋体" w:hAnsi="宋体"/>
          <w:bCs/>
          <w:sz w:val="24"/>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22.3 澄清有关问题。</w:t>
      </w:r>
      <w:bookmarkStart w:id="70" w:name="OLE_LINK129"/>
      <w:r/>
      <w:bookmarkStart w:id="71" w:name="_Hlk131934774"/>
      <w:r/>
      <w:r/>
    </w:p>
    <w:p>
      <w:pPr>
        <w:ind w:firstLine="480"/>
        <w:jc w:val="left"/>
        <w:spacing w:line="360" w:lineRule="auto"/>
        <w:rPr>
          <w:rFonts w:ascii="宋体" w:hAnsi="宋体"/>
          <w:bCs/>
          <w:sz w:val="24"/>
        </w:rPr>
      </w:pPr>
      <w:r>
        <w:rPr>
          <w:rFonts w:hint="eastAsia" w:ascii="宋体" w:hAnsi="宋体"/>
          <w:bCs/>
          <w:sz w:val="24"/>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0"/>
      <w:r/>
    </w:p>
    <w:p>
      <w:pPr>
        <w:ind w:firstLine="480"/>
        <w:jc w:val="left"/>
        <w:spacing w:line="360" w:lineRule="auto"/>
        <w:rPr>
          <w:rFonts w:ascii="宋体" w:hAnsi="宋体"/>
          <w:bCs/>
          <w:sz w:val="24"/>
        </w:rPr>
      </w:pPr>
      <w:r>
        <w:rPr>
          <w:rFonts w:hint="eastAsia" w:ascii="宋体" w:hAnsi="宋体"/>
          <w:bCs/>
          <w:sz w:val="24"/>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22.3.3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color w:val="000000"/>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1"/>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2"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w:t>
      </w:r>
      <w:r>
        <w:rPr>
          <w:rFonts w:hint="eastAsia" w:ascii="宋体" w:hAnsi="宋体"/>
          <w:bCs/>
          <w:sz w:val="24"/>
          <w:szCs w:val="24"/>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3"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4" w:name="OLE_LINK2"/>
      <w:r>
        <w:rPr>
          <w:rFonts w:hint="eastAsia" w:ascii="宋体" w:hAnsi="宋体"/>
          <w:bCs/>
          <w:sz w:val="24"/>
          <w:szCs w:val="24"/>
          <w:lang w:val="zh-CN"/>
        </w:rPr>
        <w:t xml:space="preserve">。</w:t>
      </w:r>
      <w:bookmarkEnd w:id="73"/>
      <w:r/>
      <w:bookmarkEnd w:id="74"/>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Cs/>
          <w:sz w:val="24"/>
          <w:szCs w:val="24"/>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5" w:name="OLE_LINK100"/>
      <w:r/>
      <w:bookmarkStart w:id="76" w:name="_Toc23122"/>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77" w:name="OLE_LINK139"/>
      <w:r>
        <w:rPr>
          <w:rFonts w:ascii="宋体" w:hAnsi="宋体"/>
          <w:bCs/>
          <w:sz w:val="24"/>
          <w:szCs w:val="24"/>
        </w:rPr>
        <w:t xml:space="preserve"> </w:t>
      </w:r>
      <w:bookmarkStart w:id="78" w:name="_Hlk131935115"/>
      <w:r/>
      <w:bookmarkStart w:id="79"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78"/>
      <w:r>
        <w:rPr>
          <w:rFonts w:hint="eastAsia" w:ascii="宋体" w:hAnsi="宋体"/>
          <w:bCs/>
          <w:sz w:val="24"/>
          <w:szCs w:val="24"/>
          <w:lang w:val="zh-CN"/>
        </w:rPr>
        <w:t xml:space="preserve">。</w:t>
      </w:r>
      <w:bookmarkEnd w:id="77"/>
      <w:r>
        <w:rPr>
          <w:rFonts w:hint="eastAsia" w:ascii="宋体" w:hAnsi="宋体"/>
          <w:bCs/>
          <w:sz w:val="24"/>
          <w:szCs w:val="24"/>
          <w:lang w:val="zh-CN"/>
        </w:rPr>
        <w:t xml:space="preserve">同一项目下的不同采购包，投标人只能对其参与的采购包提出质疑。</w:t>
      </w:r>
      <w:bookmarkEnd w:id="79"/>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0"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0"/>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1" w:name="OLE_LINK141"/>
      <w:r>
        <w:rPr>
          <w:rFonts w:hint="eastAsia" w:ascii="宋体" w:hAnsi="宋体"/>
          <w:bCs/>
          <w:sz w:val="24"/>
          <w:szCs w:val="24"/>
          <w:lang w:val="zh-CN"/>
        </w:rPr>
        <w:t xml:space="preserve">质疑时效期间的起算：对招标文件提出质疑的，应自招标文件公告期限届满之日起计算，</w:t>
      </w:r>
      <w:bookmarkStart w:id="82"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2"/>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1"/>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3"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3"/>
      <w:r>
        <w:rPr>
          <w:rFonts w:hint="eastAsia" w:ascii="宋体" w:hAnsi="宋体"/>
          <w:bCs/>
          <w:sz w:val="24"/>
          <w:szCs w:val="24"/>
          <w:lang w:val="zh-CN"/>
        </w:rPr>
        <w:t xml:space="preserve">。</w:t>
      </w:r>
      <w:bookmarkStart w:id="84"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5"/>
      <w:r/>
      <w:bookmarkEnd w:id="84"/>
      <w:r>
        <w:rPr>
          <w:rFonts w:ascii="宋体" w:hAnsi="宋体"/>
          <w:bCs/>
          <w:sz w:val="24"/>
          <w:szCs w:val="24"/>
          <w:lang w:val="zh-CN"/>
        </w:rPr>
        <w:t xml:space="preserve">可</w:t>
      </w:r>
      <w:bookmarkStart w:id="85" w:name="_GoBack"/>
      <w:r/>
      <w:bookmarkEnd w:id="85"/>
      <w:r>
        <w:rPr>
          <w:rFonts w:ascii="宋体" w:hAnsi="宋体"/>
          <w:bCs/>
          <w:sz w:val="24"/>
          <w:szCs w:val="24"/>
          <w:lang w:val="zh-CN"/>
        </w:rPr>
        <w:t xml:space="preserve">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828"/>
        <w:jc w:val="center"/>
        <w:spacing w:before="0" w:after="0" w:line="579" w:lineRule="auto"/>
        <w:rPr>
          <w:rFonts w:ascii="黑体" w:hAnsi="黑体" w:eastAsia="黑体"/>
          <w:sz w:val="28"/>
        </w:rPr>
      </w:pPr>
      <w:r>
        <w:rPr>
          <w:rFonts w:ascii="黑体" w:hAnsi="黑体" w:eastAsia="黑体"/>
          <w:sz w:val="28"/>
        </w:rPr>
        <w:br w:type="page" w:clear="all"/>
      </w:r>
      <w:bookmarkStart w:id="86" w:name="_Toc157174690"/>
      <w:r>
        <w:rPr>
          <w:rFonts w:hint="eastAsia" w:ascii="黑体" w:hAnsi="黑体" w:eastAsia="黑体"/>
          <w:b w:val="0"/>
          <w:bCs w:val="0"/>
          <w:sz w:val="36"/>
          <w:szCs w:val="36"/>
        </w:rPr>
        <w:t xml:space="preserve">第三章 </w:t>
      </w:r>
      <w:bookmarkStart w:id="87" w:name="_Hlk160614525"/>
      <w:r>
        <w:rPr>
          <w:rFonts w:hint="eastAsia" w:ascii="黑体" w:hAnsi="黑体" w:eastAsia="黑体"/>
          <w:b w:val="0"/>
          <w:bCs w:val="0"/>
          <w:sz w:val="36"/>
          <w:szCs w:val="36"/>
        </w:rPr>
        <w:t xml:space="preserve">项目技术要求和有关说明</w:t>
      </w:r>
      <w:bookmarkEnd w:id="76"/>
      <w:r/>
      <w:bookmarkEnd w:id="86"/>
      <w:r/>
      <w:bookmarkEnd w:id="87"/>
      <w:r/>
      <w:r/>
    </w:p>
    <w:p>
      <w:pPr>
        <w:ind w:firstLine="482"/>
        <w:jc w:val="left"/>
        <w:spacing w:line="360" w:lineRule="auto"/>
        <w:rPr>
          <w:rFonts w:ascii="宋体" w:hAnsi="宋体"/>
          <w:b/>
          <w:bCs/>
          <w:sz w:val="24"/>
          <w:szCs w:val="24"/>
        </w:rPr>
      </w:pPr>
      <w:r/>
      <w:bookmarkStart w:id="88" w:name="OLE_LINK104"/>
      <w:r>
        <w:rPr>
          <w:rFonts w:hint="eastAsia" w:ascii="宋体" w:hAnsi="宋体"/>
          <w:b/>
          <w:bCs/>
          <w:sz w:val="24"/>
          <w:szCs w:val="24"/>
        </w:rPr>
        <w:t xml:space="preserve">一、服务要求</w:t>
      </w:r>
      <w:r/>
    </w:p>
    <w:p>
      <w:pPr>
        <w:ind w:firstLine="480"/>
        <w:spacing w:line="360" w:lineRule="auto"/>
        <w:rPr>
          <w:sz w:val="24"/>
        </w:rPr>
      </w:pPr>
      <w:r>
        <w:rPr>
          <w:color w:val="000000"/>
          <w:sz w:val="24"/>
        </w:rPr>
        <w:t xml:space="preserve">本项目系</w:t>
      </w:r>
      <w:r>
        <w:rPr>
          <w:sz w:val="24"/>
        </w:rPr>
        <w:t xml:space="preserve">无锡市政务云骨干节点宜兴存量部分运维项目</w:t>
      </w:r>
      <w:r>
        <w:rPr>
          <w:color w:val="000000"/>
          <w:sz w:val="24"/>
        </w:rPr>
        <w:t xml:space="preserve">，</w:t>
      </w:r>
      <w:r>
        <w:rPr>
          <w:rFonts w:hint="eastAsia"/>
          <w:sz w:val="24"/>
        </w:rPr>
        <w:t xml:space="preserve">按照江苏省政务“一朵云”建设方案的总体要求，通过购买服务的方式继续运维无锡骨干节点宜兴存量资源。本次采购的云服务包含信创和非信创两部分，非信创云服务目录价格用于存量资源费用结算，信创云服务目录价格用于信创资源结算。</w:t>
      </w:r>
      <w:r>
        <w:rPr>
          <w:sz w:val="24"/>
        </w:rPr>
        <w:t xml:space="preserve">本项目分为两个采购包，分别报价、分标成交。</w:t>
      </w:r>
      <w:r/>
    </w:p>
    <w:p>
      <w:pPr>
        <w:spacing w:line="360" w:lineRule="auto"/>
        <w:rPr>
          <w:b/>
          <w:sz w:val="24"/>
        </w:rPr>
      </w:pPr>
      <w:r>
        <w:rPr>
          <w:rFonts w:hint="eastAsia"/>
          <w:b/>
          <w:sz w:val="24"/>
        </w:rPr>
        <w:t xml:space="preserve">分包情况</w:t>
      </w:r>
      <w:r/>
    </w:p>
    <w:p>
      <w:pPr>
        <w:spacing w:line="360" w:lineRule="auto"/>
        <w:rPr>
          <w:b/>
          <w:sz w:val="24"/>
        </w:rPr>
      </w:pPr>
      <w:r>
        <w:rPr>
          <w:rFonts w:hint="eastAsia"/>
          <w:b/>
          <w:sz w:val="24"/>
        </w:rPr>
        <w:t xml:space="preserve">采购包</w:t>
      </w:r>
      <w:r>
        <w:rPr>
          <w:rFonts w:hint="eastAsia"/>
          <w:b/>
          <w:sz w:val="24"/>
        </w:rPr>
        <w:t xml:space="preserve">1</w:t>
      </w:r>
      <w:r>
        <w:rPr>
          <w:rFonts w:hint="eastAsia"/>
          <w:b/>
          <w:sz w:val="24"/>
        </w:rPr>
        <w:t xml:space="preserve">：无锡市政务云骨干节点宜兴存量部分运维项目技术要求和有关说明</w:t>
      </w:r>
      <w:r/>
    </w:p>
    <w:p>
      <w:pPr>
        <w:pStyle w:val="836"/>
        <w:ind w:firstLine="480"/>
        <w:spacing w:line="360" w:lineRule="auto"/>
        <w:widowControl/>
        <w:rPr>
          <w:sz w:val="24"/>
        </w:rPr>
      </w:pPr>
      <w:r>
        <w:rPr>
          <w:color w:val="000000"/>
          <w:sz w:val="24"/>
        </w:rPr>
        <w:t xml:space="preserve">供应商需针对宜兴市市域社会治理现代化指挥中心所涉及的无锡市政务云骨干节点宜兴存量资源，提供专业、规范且全面的运维服务。服务标准与技术要求须严格遵循本文件规定，不得出现负偏离情况。</w:t>
      </w:r>
      <w:r/>
    </w:p>
    <w:p>
      <w:pPr>
        <w:ind w:firstLine="241"/>
        <w:spacing w:line="360" w:lineRule="auto"/>
        <w:rPr>
          <w:b/>
          <w:sz w:val="24"/>
        </w:rPr>
      </w:pPr>
      <w:r>
        <w:rPr>
          <w:rFonts w:hint="eastAsia"/>
          <w:b/>
          <w:sz w:val="24"/>
        </w:rPr>
        <w:t xml:space="preserve">（一）</w:t>
      </w:r>
      <w:r>
        <w:rPr>
          <w:b/>
          <w:sz w:val="24"/>
        </w:rPr>
        <w:t xml:space="preserve">项目概述</w:t>
      </w:r>
      <w:r/>
    </w:p>
    <w:p>
      <w:pPr>
        <w:pStyle w:val="836"/>
        <w:ind w:firstLine="480"/>
        <w:spacing w:line="360" w:lineRule="auto"/>
        <w:widowControl/>
        <w:rPr>
          <w:color w:val="000000"/>
          <w:sz w:val="24"/>
        </w:rPr>
      </w:pPr>
      <w:r>
        <w:rPr>
          <w:color w:val="000000"/>
          <w:sz w:val="24"/>
        </w:rPr>
        <w:t xml:space="preserve">自</w:t>
      </w:r>
      <w:r>
        <w:rPr>
          <w:color w:val="000000"/>
          <w:sz w:val="24"/>
        </w:rPr>
        <w:t xml:space="preserve">2015</w:t>
      </w:r>
      <w:r>
        <w:rPr>
          <w:color w:val="000000"/>
          <w:sz w:val="24"/>
        </w:rPr>
        <w:t xml:space="preserve">年本市落实国务院《关于促进云计算创新发展培育信息产业新业态的意见》要求，并签订政务云服务采购协议以来，政务云已成为本市各部门信息化建设的重要支撑。本次项目聚焦于无锡市政务云骨干节点宜兴存量部分的运维工作，依据《江苏省政务</w:t>
      </w:r>
      <w:r>
        <w:rPr>
          <w:color w:val="000000"/>
          <w:sz w:val="24"/>
        </w:rPr>
        <w:t xml:space="preserve">“</w:t>
      </w:r>
      <w:r>
        <w:rPr>
          <w:color w:val="000000"/>
          <w:sz w:val="24"/>
        </w:rPr>
        <w:t xml:space="preserve">一朵云</w:t>
      </w:r>
      <w:r>
        <w:rPr>
          <w:color w:val="000000"/>
          <w:sz w:val="24"/>
        </w:rPr>
        <w:t xml:space="preserve">”</w:t>
      </w:r>
      <w:r>
        <w:rPr>
          <w:color w:val="000000"/>
          <w:sz w:val="24"/>
        </w:rPr>
        <w:t xml:space="preserve">无锡骨干节点建设方案》的总体要求，针对存量资源的日常运行、维护保障、故障处置等核心工作提供专业化服务。通过标准化的存量运维管理，保障宜兴市电子政务相关系统依托存量云资源稳定、安全、高效地运行，持续发挥政务云存量资源在电子政务建设中的支撑作用，进一步优化政务信息化服务效能，降低运维成本，提升资源利用效率。</w:t>
      </w:r>
      <w:r/>
    </w:p>
    <w:p>
      <w:pPr>
        <w:pStyle w:val="836"/>
        <w:ind w:firstLine="480"/>
        <w:spacing w:line="360" w:lineRule="auto"/>
        <w:widowControl/>
        <w:tabs>
          <w:tab w:val="left" w:pos="840" w:leader="none"/>
        </w:tabs>
        <w:rPr>
          <w:sz w:val="24"/>
        </w:rPr>
      </w:pPr>
      <w:r>
        <w:rPr>
          <w:sz w:val="24"/>
        </w:rPr>
        <w:t xml:space="preserve">按照江苏省政务</w:t>
      </w:r>
      <w:r>
        <w:rPr>
          <w:sz w:val="24"/>
        </w:rPr>
        <w:t xml:space="preserve">“</w:t>
      </w:r>
      <w:r>
        <w:rPr>
          <w:sz w:val="24"/>
        </w:rPr>
        <w:t xml:space="preserve">一朵云</w:t>
      </w:r>
      <w:r>
        <w:rPr>
          <w:sz w:val="24"/>
        </w:rPr>
        <w:t xml:space="preserve">”</w:t>
      </w:r>
      <w:r>
        <w:rPr>
          <w:sz w:val="24"/>
        </w:rPr>
        <w:t xml:space="preserve">及无锡市政务云骨干节点建设要求，本项目旨在做好未来三年无锡市政务云骨干节点宜兴存量部分的运维工作。中标人须提供专业、安全、高效的云计算服务运维保障，做好省</w:t>
      </w:r>
      <w:r>
        <w:rPr>
          <w:sz w:val="24"/>
        </w:rPr>
        <w:t xml:space="preserve">“</w:t>
      </w:r>
      <w:r>
        <w:rPr>
          <w:sz w:val="24"/>
        </w:rPr>
        <w:t xml:space="preserve">一朵云</w:t>
      </w:r>
      <w:r>
        <w:rPr>
          <w:sz w:val="24"/>
        </w:rPr>
        <w:t xml:space="preserve">”</w:t>
      </w:r>
      <w:r>
        <w:rPr>
          <w:sz w:val="24"/>
        </w:rPr>
        <w:t xml:space="preserve">统一纳管工作的技术支撑，确保运维期间各</w:t>
      </w:r>
      <w:r>
        <w:rPr>
          <w:rFonts w:hint="eastAsia"/>
          <w:sz w:val="24"/>
        </w:rPr>
        <w:t xml:space="preserve">存量</w:t>
      </w:r>
      <w:r>
        <w:rPr>
          <w:sz w:val="24"/>
        </w:rPr>
        <w:t xml:space="preserve">政务应用系统稳定运行</w:t>
      </w:r>
      <w:r>
        <w:rPr>
          <w:rFonts w:hint="eastAsia"/>
          <w:sz w:val="24"/>
        </w:rPr>
        <w:t xml:space="preserve">，逐步向无锡市政务云骨干节点</w:t>
      </w:r>
      <w:r>
        <w:rPr>
          <w:sz w:val="24"/>
        </w:rPr>
        <w:t xml:space="preserve">平稳迁移</w:t>
      </w:r>
      <w:r>
        <w:rPr>
          <w:rFonts w:hint="eastAsia"/>
          <w:sz w:val="24"/>
        </w:rPr>
        <w:t xml:space="preserve">。</w:t>
      </w:r>
      <w:r>
        <w:rPr>
          <w:rFonts w:hint="eastAsia"/>
          <w:sz w:val="24"/>
        </w:rPr>
        <w:t xml:space="preserve">本项目投标人一旦中标，须自合同生效之日起</w:t>
      </w:r>
      <w:r>
        <w:rPr>
          <w:rFonts w:hint="eastAsia"/>
          <w:sz w:val="24"/>
        </w:rPr>
        <w:t xml:space="preserve">30</w:t>
      </w:r>
      <w:r>
        <w:rPr>
          <w:rFonts w:hint="eastAsia"/>
          <w:sz w:val="24"/>
        </w:rPr>
        <w:t xml:space="preserve">日内提供符合国家信息安全等级保护三级认证要求的实体数据中心，含双回路供电、双</w:t>
      </w:r>
      <w:r>
        <w:rPr>
          <w:rFonts w:hint="eastAsia"/>
          <w:sz w:val="24"/>
        </w:rPr>
        <w:t xml:space="preserve">UPS</w:t>
      </w:r>
      <w:r>
        <w:rPr>
          <w:rFonts w:hint="eastAsia"/>
          <w:sz w:val="24"/>
        </w:rPr>
        <w:t xml:space="preserve">系统、精密空调系统等。须配置独立的政务网区域、</w:t>
      </w:r>
      <w:r>
        <w:rPr>
          <w:rFonts w:hint="eastAsia"/>
          <w:sz w:val="24"/>
        </w:rPr>
        <w:t xml:space="preserve">DMZ</w:t>
      </w:r>
      <w:r>
        <w:rPr>
          <w:rFonts w:hint="eastAsia"/>
          <w:sz w:val="24"/>
        </w:rPr>
        <w:t xml:space="preserve">区域、私有云区域和测试区域，建设规模不低于</w:t>
      </w:r>
      <w:r>
        <w:rPr>
          <w:rFonts w:hint="eastAsia"/>
          <w:sz w:val="24"/>
        </w:rPr>
        <w:t xml:space="preserve">1000</w:t>
      </w:r>
      <w:r>
        <w:rPr>
          <w:rFonts w:hint="eastAsia"/>
          <w:sz w:val="24"/>
        </w:rPr>
        <w:t xml:space="preserve">核物理</w:t>
      </w:r>
      <w:r>
        <w:rPr>
          <w:rFonts w:hint="eastAsia"/>
          <w:sz w:val="24"/>
        </w:rPr>
        <w:t xml:space="preserve">CPU</w:t>
      </w:r>
      <w:r>
        <w:rPr>
          <w:rFonts w:hint="eastAsia"/>
          <w:sz w:val="24"/>
        </w:rPr>
        <w:t xml:space="preserve">、</w:t>
      </w:r>
      <w:r>
        <w:rPr>
          <w:rFonts w:hint="eastAsia"/>
          <w:sz w:val="24"/>
        </w:rPr>
        <w:t xml:space="preserve">8TB</w:t>
      </w:r>
      <w:r>
        <w:rPr>
          <w:rFonts w:hint="eastAsia"/>
          <w:sz w:val="24"/>
        </w:rPr>
        <w:t xml:space="preserve">内存、</w:t>
      </w:r>
      <w:r>
        <w:rPr>
          <w:rFonts w:hint="eastAsia"/>
          <w:sz w:val="24"/>
        </w:rPr>
        <w:t xml:space="preserve">500TB</w:t>
      </w:r>
      <w:r>
        <w:rPr>
          <w:rFonts w:hint="eastAsia"/>
          <w:sz w:val="24"/>
        </w:rPr>
        <w:t xml:space="preserve">存储容量。如确需迁移，建设规模须满足存量系统的资源使用要求，须自合同生效之日起</w:t>
      </w:r>
      <w:r>
        <w:rPr>
          <w:rFonts w:hint="eastAsia"/>
          <w:sz w:val="24"/>
        </w:rPr>
        <w:t xml:space="preserve">30</w:t>
      </w:r>
      <w:r>
        <w:rPr>
          <w:rFonts w:hint="eastAsia"/>
          <w:sz w:val="24"/>
        </w:rPr>
        <w:t xml:space="preserve">日内完成所有迁移工作，并确保现有系统不间断运行，确保现有数据安全，系统迁移费用由中标供应商承担。以上建设所需的一切费用</w:t>
      </w:r>
      <w:r>
        <w:rPr>
          <w:rFonts w:hint="eastAsia"/>
          <w:sz w:val="24"/>
        </w:rPr>
        <w:t xml:space="preserve">由中标供应商自行承担</w:t>
      </w:r>
      <w:r>
        <w:rPr>
          <w:rFonts w:hint="eastAsia"/>
          <w:sz w:val="24"/>
        </w:rPr>
        <w:t xml:space="preserve">。中标方未按约定时限及标准完成系统迁移工作的，甲方有权单方解除本协议。</w:t>
      </w:r>
      <w:r/>
    </w:p>
    <w:p>
      <w:pPr>
        <w:pStyle w:val="836"/>
        <w:ind w:firstLine="480"/>
        <w:spacing w:line="360" w:lineRule="auto"/>
        <w:widowControl/>
        <w:rPr>
          <w:color w:val="000000"/>
          <w:sz w:val="24"/>
        </w:rPr>
      </w:pPr>
      <w:r>
        <w:rPr>
          <w:color w:val="000000"/>
          <w:sz w:val="24"/>
        </w:rPr>
        <w:t xml:space="preserve">开展本存量运维项目，可依托专业的运维服务实现三大核心价值：其一，保障存量资源持续稳定运行，组建专业的运维团队，应对存量资源运行中的各类突发问题；其二，提升存量资源利用效率，通过常态化的监控与优化，避免资源闲置或低效运行，以适配政务信息化业务的动态需求；其三，强化存量资源安全防护，通过标准化的安全运维流程，防范各类网络安全、数据安全风险，保障政务数据和业务系统的安全。</w:t>
      </w:r>
      <w:r/>
    </w:p>
    <w:p>
      <w:pPr>
        <w:spacing w:line="360" w:lineRule="auto"/>
        <w:rPr>
          <w:b/>
          <w:sz w:val="24"/>
        </w:rPr>
      </w:pPr>
      <w:r>
        <w:rPr>
          <w:rFonts w:hint="eastAsia"/>
          <w:b/>
          <w:sz w:val="24"/>
        </w:rPr>
        <w:t xml:space="preserve">1</w:t>
      </w:r>
      <w:r>
        <w:rPr>
          <w:rFonts w:hint="eastAsia"/>
          <w:b/>
          <w:sz w:val="24"/>
        </w:rPr>
        <w:t xml:space="preserve">、</w:t>
      </w:r>
      <w:r>
        <w:rPr>
          <w:b/>
          <w:sz w:val="24"/>
        </w:rPr>
        <w:t xml:space="preserve">项目技术要求</w:t>
      </w:r>
      <w:r/>
    </w:p>
    <w:p>
      <w:pPr>
        <w:spacing w:line="360" w:lineRule="auto"/>
        <w:rPr>
          <w:b/>
          <w:sz w:val="24"/>
        </w:rPr>
      </w:pPr>
      <w:r>
        <w:rPr>
          <w:rFonts w:hint="eastAsia"/>
          <w:b/>
          <w:sz w:val="24"/>
        </w:rPr>
        <w:t xml:space="preserve">（</w:t>
      </w:r>
      <w:r>
        <w:rPr>
          <w:rFonts w:hint="eastAsia"/>
          <w:b/>
          <w:sz w:val="24"/>
        </w:rPr>
        <w:t xml:space="preserve">1</w:t>
      </w:r>
      <w:r>
        <w:rPr>
          <w:rFonts w:hint="eastAsia"/>
          <w:b/>
          <w:sz w:val="24"/>
        </w:rPr>
        <w:t xml:space="preserve">）</w:t>
      </w:r>
      <w:r>
        <w:rPr>
          <w:b/>
          <w:sz w:val="24"/>
        </w:rPr>
        <w:t xml:space="preserve">运维服务整体标准</w:t>
      </w:r>
      <w:r/>
    </w:p>
    <w:p>
      <w:pPr>
        <w:pStyle w:val="836"/>
        <w:numPr>
          <w:ilvl w:val="0"/>
          <w:numId w:val="14"/>
        </w:numPr>
        <w:spacing w:line="360" w:lineRule="auto"/>
        <w:widowControl/>
        <w:tabs>
          <w:tab w:val="left" w:pos="840" w:leader="none"/>
        </w:tabs>
        <w:rPr>
          <w:color w:val="000000"/>
          <w:sz w:val="24"/>
        </w:rPr>
      </w:pPr>
      <w:r>
        <w:rPr>
          <w:color w:val="000000"/>
          <w:sz w:val="24"/>
        </w:rPr>
        <w:t xml:space="preserve">针对无锡市政务云骨干节点宜兴存量云资源开展全流程运维服务，涵盖存量软硬件设施的日常巡检、故障处理、系统优化、数据保障等工作，持续优化存量云资源的运行状态，保障存量资源稳定运行。</w:t>
      </w:r>
      <w:r/>
    </w:p>
    <w:p>
      <w:pPr>
        <w:pStyle w:val="836"/>
        <w:numPr>
          <w:ilvl w:val="0"/>
          <w:numId w:val="14"/>
        </w:numPr>
        <w:spacing w:line="360" w:lineRule="auto"/>
        <w:widowControl/>
        <w:tabs>
          <w:tab w:val="left" w:pos="840" w:leader="none"/>
        </w:tabs>
        <w:rPr>
          <w:color w:val="000000"/>
          <w:sz w:val="24"/>
        </w:rPr>
      </w:pPr>
      <w:r>
        <w:rPr>
          <w:color w:val="000000"/>
          <w:sz w:val="24"/>
        </w:rPr>
        <w:t xml:space="preserve">运维服务能力须具备弹性适配性，能够契合未来三年宜兴市电子政务和智慧城市建设对</w:t>
      </w:r>
      <w:r>
        <w:rPr>
          <w:color w:val="000000"/>
          <w:sz w:val="24"/>
        </w:rPr>
        <w:t xml:space="preserve">存量云资源的运行需求，确保存量资源在该周期内始终符合业务系统的运行标准。</w:t>
      </w:r>
      <w:r/>
    </w:p>
    <w:p>
      <w:pPr>
        <w:pStyle w:val="836"/>
        <w:numPr>
          <w:ilvl w:val="0"/>
          <w:numId w:val="14"/>
        </w:numPr>
        <w:spacing w:line="360" w:lineRule="auto"/>
        <w:widowControl/>
        <w:tabs>
          <w:tab w:val="left" w:pos="840" w:leader="none"/>
        </w:tabs>
        <w:rPr>
          <w:sz w:val="24"/>
        </w:rPr>
      </w:pPr>
      <w:r>
        <w:rPr>
          <w:rStyle w:val="879"/>
          <w:b w:val="0"/>
          <w:color w:val="000000"/>
          <w:sz w:val="24"/>
        </w:rPr>
        <w:t xml:space="preserve">每月服务可用性</w:t>
      </w:r>
      <w:r>
        <w:rPr>
          <w:color w:val="000000"/>
          <w:sz w:val="24"/>
        </w:rPr>
        <w:t xml:space="preserve">：</w:t>
      </w:r>
      <w:r>
        <w:rPr>
          <w:color w:val="000000"/>
          <w:sz w:val="24"/>
        </w:rPr>
        <w:t xml:space="preserve">≥99.9%</w:t>
      </w:r>
      <w:r>
        <w:rPr>
          <w:color w:val="000000"/>
          <w:sz w:val="24"/>
        </w:rPr>
        <w:t xml:space="preserve">，不可抗力因素以及存量资源必要的平台升级、割接等计划性操作所引发的服务中断除外。</w:t>
      </w:r>
      <w:r/>
    </w:p>
    <w:p>
      <w:pPr>
        <w:pStyle w:val="836"/>
        <w:numPr>
          <w:ilvl w:val="0"/>
          <w:numId w:val="14"/>
        </w:numPr>
        <w:spacing w:line="360" w:lineRule="auto"/>
        <w:widowControl/>
        <w:tabs>
          <w:tab w:val="left" w:pos="840" w:leader="none"/>
        </w:tabs>
        <w:rPr>
          <w:color w:val="000000"/>
          <w:sz w:val="24"/>
        </w:rPr>
      </w:pPr>
      <w:r>
        <w:rPr>
          <w:rStyle w:val="879"/>
          <w:b w:val="0"/>
          <w:color w:val="000000"/>
          <w:sz w:val="24"/>
        </w:rPr>
        <w:t xml:space="preserve">服务及时性</w:t>
      </w:r>
      <w:r>
        <w:rPr>
          <w:color w:val="000000"/>
          <w:sz w:val="24"/>
        </w:rPr>
        <w:t xml:space="preserve">：构建完善的存量运维售后服务保障体系，开通专属服务热线受理故障申告，</w:t>
      </w:r>
      <w:r>
        <w:rPr>
          <w:color w:val="000000"/>
          <w:sz w:val="24"/>
        </w:rPr>
        <w:t xml:space="preserve">15</w:t>
      </w:r>
      <w:r>
        <w:rPr>
          <w:color w:val="000000"/>
          <w:sz w:val="24"/>
        </w:rPr>
        <w:t xml:space="preserve">分钟内完成响应，针对平台侧故障通过远程或现场方式迅速处置；若故障由用户方原因导致，需全程配合完成故障处理。</w:t>
      </w:r>
      <w:r/>
    </w:p>
    <w:p>
      <w:pPr>
        <w:pStyle w:val="836"/>
        <w:numPr>
          <w:ilvl w:val="0"/>
          <w:numId w:val="14"/>
        </w:numPr>
        <w:spacing w:line="360" w:lineRule="auto"/>
        <w:widowControl/>
        <w:tabs>
          <w:tab w:val="left" w:pos="840" w:leader="none"/>
        </w:tabs>
        <w:rPr>
          <w:color w:val="000000"/>
          <w:sz w:val="24"/>
        </w:rPr>
      </w:pPr>
      <w:r>
        <w:rPr>
          <w:rStyle w:val="879"/>
          <w:b w:val="0"/>
          <w:color w:val="000000"/>
          <w:sz w:val="24"/>
        </w:rPr>
        <w:t xml:space="preserve">每月数据持久性</w:t>
      </w:r>
      <w:r>
        <w:rPr>
          <w:color w:val="000000"/>
          <w:sz w:val="24"/>
        </w:rPr>
        <w:t xml:space="preserve">：</w:t>
      </w:r>
      <w:r>
        <w:rPr>
          <w:color w:val="000000"/>
          <w:sz w:val="24"/>
        </w:rPr>
        <w:t xml:space="preserve">99.9%</w:t>
      </w:r>
      <w:r>
        <w:rPr>
          <w:color w:val="000000"/>
          <w:sz w:val="24"/>
        </w:rPr>
        <w:t xml:space="preserve">。针对存量云资源的存储系统，做好日常冗余检查与维护，确保存量数据的可用性达到</w:t>
      </w:r>
      <w:r>
        <w:rPr>
          <w:color w:val="000000"/>
          <w:sz w:val="24"/>
        </w:rPr>
        <w:t xml:space="preserve">99.9%</w:t>
      </w:r>
      <w:r>
        <w:rPr>
          <w:color w:val="000000"/>
          <w:sz w:val="24"/>
        </w:rPr>
        <w:t xml:space="preserve">。</w:t>
      </w:r>
      <w:r/>
    </w:p>
    <w:p>
      <w:pPr>
        <w:pStyle w:val="836"/>
        <w:numPr>
          <w:ilvl w:val="0"/>
          <w:numId w:val="14"/>
        </w:numPr>
        <w:spacing w:line="360" w:lineRule="auto"/>
        <w:widowControl/>
        <w:tabs>
          <w:tab w:val="left" w:pos="840" w:leader="none"/>
        </w:tabs>
        <w:rPr>
          <w:color w:val="000000"/>
          <w:sz w:val="24"/>
        </w:rPr>
      </w:pPr>
      <w:r>
        <w:rPr>
          <w:rStyle w:val="879"/>
          <w:b w:val="0"/>
          <w:color w:val="000000"/>
          <w:sz w:val="24"/>
        </w:rPr>
        <w:t xml:space="preserve">通知服务</w:t>
      </w:r>
      <w:r>
        <w:rPr>
          <w:color w:val="000000"/>
          <w:sz w:val="24"/>
        </w:rPr>
        <w:t xml:space="preserve">：针对存量资源开展可能影响政务云业务运行的运维操作时，需按照相关协议，通过书面、微信、电子邮件或电话方式提前</w:t>
      </w:r>
      <w:r>
        <w:rPr>
          <w:color w:val="000000"/>
          <w:sz w:val="24"/>
        </w:rPr>
        <w:t xml:space="preserve">3</w:t>
      </w:r>
      <w:r>
        <w:rPr>
          <w:color w:val="000000"/>
          <w:sz w:val="24"/>
        </w:rPr>
        <w:t xml:space="preserve">天告知用户方。</w:t>
      </w:r>
      <w:r/>
    </w:p>
    <w:p>
      <w:pPr>
        <w:pStyle w:val="836"/>
        <w:numPr>
          <w:ilvl w:val="0"/>
          <w:numId w:val="14"/>
        </w:numPr>
        <w:spacing w:line="360" w:lineRule="auto"/>
        <w:widowControl/>
        <w:tabs>
          <w:tab w:val="left" w:pos="840" w:leader="none"/>
        </w:tabs>
        <w:rPr>
          <w:color w:val="000000"/>
          <w:sz w:val="24"/>
        </w:rPr>
      </w:pPr>
      <w:r>
        <w:rPr>
          <w:rStyle w:val="879"/>
          <w:b w:val="0"/>
          <w:color w:val="000000"/>
          <w:sz w:val="24"/>
        </w:rPr>
        <w:t xml:space="preserve">业务受理</w:t>
      </w:r>
      <w:r>
        <w:rPr>
          <w:color w:val="000000"/>
          <w:sz w:val="24"/>
        </w:rPr>
        <w:t xml:space="preserve">：针</w:t>
      </w:r>
      <w:r>
        <w:rPr>
          <w:color w:val="000000"/>
          <w:sz w:val="24"/>
        </w:rPr>
        <w:t xml:space="preserve">对存量资源的申请、变更需求，在市主管部门发布</w:t>
      </w:r>
      <w:r>
        <w:rPr>
          <w:color w:val="000000"/>
          <w:sz w:val="24"/>
        </w:rPr>
        <w:t xml:space="preserve">“</w:t>
      </w:r>
      <w:r>
        <w:rPr>
          <w:color w:val="000000"/>
          <w:sz w:val="24"/>
        </w:rPr>
        <w:t xml:space="preserve">政务云申请</w:t>
      </w:r>
      <w:r>
        <w:rPr>
          <w:color w:val="000000"/>
          <w:sz w:val="24"/>
        </w:rPr>
        <w:t xml:space="preserve">/</w:t>
      </w:r>
      <w:r>
        <w:rPr>
          <w:color w:val="000000"/>
          <w:sz w:val="24"/>
        </w:rPr>
        <w:t xml:space="preserve">变更表</w:t>
      </w:r>
      <w:r>
        <w:rPr>
          <w:color w:val="000000"/>
          <w:sz w:val="24"/>
        </w:rPr>
        <w:t xml:space="preserve">”</w:t>
      </w:r>
      <w:r>
        <w:rPr>
          <w:color w:val="000000"/>
          <w:sz w:val="24"/>
        </w:rPr>
        <w:t xml:space="preserve">后，供应商需在</w:t>
      </w:r>
      <w:r>
        <w:rPr>
          <w:color w:val="000000"/>
          <w:sz w:val="24"/>
        </w:rPr>
        <w:t xml:space="preserve">2</w:t>
      </w:r>
      <w:r>
        <w:rPr>
          <w:color w:val="000000"/>
          <w:sz w:val="24"/>
        </w:rPr>
        <w:t xml:space="preserve">个工作日内根据要求完成存量云资源的开通、变更等配套运维操作。</w:t>
      </w:r>
      <w:r/>
    </w:p>
    <w:p>
      <w:pPr>
        <w:spacing w:line="360" w:lineRule="auto"/>
        <w:rPr>
          <w:b/>
          <w:sz w:val="24"/>
        </w:rPr>
      </w:pPr>
      <w:r>
        <w:rPr>
          <w:rFonts w:hint="eastAsia"/>
          <w:b/>
          <w:sz w:val="24"/>
        </w:rPr>
        <w:t xml:space="preserve">（</w:t>
      </w:r>
      <w:r>
        <w:rPr>
          <w:rFonts w:hint="eastAsia"/>
          <w:b/>
          <w:sz w:val="24"/>
        </w:rPr>
        <w:t xml:space="preserve">2</w:t>
      </w:r>
      <w:r>
        <w:rPr>
          <w:rFonts w:hint="eastAsia"/>
          <w:b/>
          <w:sz w:val="24"/>
        </w:rPr>
        <w:t xml:space="preserve">）</w:t>
      </w:r>
      <w:r>
        <w:rPr>
          <w:b/>
          <w:sz w:val="24"/>
        </w:rPr>
        <w:t xml:space="preserve">保密运维要求</w:t>
      </w:r>
      <w:r/>
    </w:p>
    <w:p>
      <w:pPr>
        <w:pStyle w:val="836"/>
        <w:ind w:firstLine="480"/>
        <w:spacing w:line="360" w:lineRule="auto"/>
        <w:widowControl/>
        <w:rPr>
          <w:color w:val="000000"/>
          <w:sz w:val="24"/>
        </w:rPr>
      </w:pPr>
      <w:r>
        <w:rPr>
          <w:color w:val="000000"/>
          <w:sz w:val="24"/>
        </w:rPr>
        <w:t xml:space="preserve">供应商在开展存量资源运维服务过程中，对于所涉及的所有客户资料，包括存量硬件配置、应用系统信息、</w:t>
      </w:r>
      <w:r>
        <w:rPr>
          <w:rFonts w:hint="eastAsia"/>
          <w:color w:val="000000"/>
          <w:sz w:val="24"/>
        </w:rPr>
        <w:t xml:space="preserve">业务</w:t>
      </w:r>
      <w:r>
        <w:rPr>
          <w:color w:val="000000"/>
          <w:sz w:val="24"/>
        </w:rPr>
        <w:t xml:space="preserve">数据、客户信息和设备运行信息等，均负有保密义务，具体要求如下：</w:t>
      </w:r>
      <w:r/>
    </w:p>
    <w:p>
      <w:pPr>
        <w:pStyle w:val="836"/>
        <w:numPr>
          <w:ilvl w:val="0"/>
          <w:numId w:val="15"/>
        </w:numPr>
        <w:spacing w:line="360" w:lineRule="auto"/>
        <w:widowControl/>
        <w:tabs>
          <w:tab w:val="left" w:pos="840" w:leader="none"/>
        </w:tabs>
        <w:rPr>
          <w:color w:val="000000"/>
          <w:sz w:val="24"/>
        </w:rPr>
      </w:pPr>
      <w:r>
        <w:rPr>
          <w:color w:val="000000"/>
          <w:sz w:val="24"/>
        </w:rPr>
        <w:t xml:space="preserve">严格遵守国家相关法律法规，执行《中华人民共和国计算机信息网络安全保密规定》，将保密要求融入存量运维全流程。</w:t>
      </w:r>
      <w:r/>
    </w:p>
    <w:p>
      <w:pPr>
        <w:pStyle w:val="836"/>
        <w:numPr>
          <w:ilvl w:val="0"/>
          <w:numId w:val="15"/>
        </w:numPr>
        <w:spacing w:line="360" w:lineRule="auto"/>
        <w:widowControl/>
        <w:tabs>
          <w:tab w:val="left" w:pos="840" w:leader="none"/>
        </w:tabs>
        <w:rPr>
          <w:color w:val="000000"/>
          <w:sz w:val="24"/>
        </w:rPr>
      </w:pPr>
      <w:r>
        <w:rPr>
          <w:color w:val="000000"/>
          <w:sz w:val="24"/>
        </w:rPr>
        <w:t xml:space="preserve">针对存量资源中的机密数据，做好加密存储的日常维护，保障数据在存量云服务环境中保存的保密性。</w:t>
      </w:r>
      <w:r/>
    </w:p>
    <w:p>
      <w:pPr>
        <w:pStyle w:val="836"/>
        <w:numPr>
          <w:ilvl w:val="0"/>
          <w:numId w:val="15"/>
        </w:numPr>
        <w:spacing w:line="360" w:lineRule="auto"/>
        <w:widowControl/>
        <w:tabs>
          <w:tab w:val="left" w:pos="840" w:leader="none"/>
        </w:tabs>
        <w:rPr>
          <w:color w:val="000000"/>
          <w:sz w:val="24"/>
        </w:rPr>
      </w:pPr>
      <w:r>
        <w:rPr>
          <w:color w:val="000000"/>
          <w:sz w:val="24"/>
        </w:rPr>
        <w:t xml:space="preserve">严禁泄露、外借和转移存量资源中的专业数据信息，杜绝任何形式的信息外泄行为。</w:t>
      </w:r>
      <w:r/>
    </w:p>
    <w:p>
      <w:pPr>
        <w:pStyle w:val="836"/>
        <w:numPr>
          <w:ilvl w:val="0"/>
          <w:numId w:val="15"/>
        </w:numPr>
        <w:spacing w:line="360" w:lineRule="auto"/>
        <w:widowControl/>
        <w:tabs>
          <w:tab w:val="left" w:pos="840" w:leader="none"/>
        </w:tabs>
        <w:rPr>
          <w:color w:val="000000"/>
          <w:sz w:val="24"/>
        </w:rPr>
      </w:pPr>
      <w:r>
        <w:rPr>
          <w:color w:val="000000"/>
          <w:sz w:val="24"/>
        </w:rPr>
        <w:t xml:space="preserve">根据数据保密规定和业务用途，做好存量资源访问权限的日常管理，明确使用人员的存取权限、存取方式和审批手续，定期开展权限核查与优化。</w:t>
      </w:r>
      <w:r/>
    </w:p>
    <w:p>
      <w:pPr>
        <w:pStyle w:val="836"/>
        <w:numPr>
          <w:ilvl w:val="0"/>
          <w:numId w:val="15"/>
        </w:numPr>
        <w:spacing w:line="360" w:lineRule="auto"/>
        <w:widowControl/>
        <w:tabs>
          <w:tab w:val="left" w:pos="840" w:leader="none"/>
        </w:tabs>
        <w:rPr>
          <w:color w:val="000000"/>
          <w:sz w:val="24"/>
        </w:rPr>
      </w:pPr>
      <w:r>
        <w:rPr>
          <w:color w:val="000000"/>
          <w:sz w:val="24"/>
        </w:rPr>
        <w:t xml:space="preserve">制定存量云业务数据更改审批制度，未经客户方同意不得随意更改存量资源中的业务数据。</w:t>
      </w:r>
      <w:r/>
    </w:p>
    <w:p>
      <w:pPr>
        <w:pStyle w:val="836"/>
        <w:numPr>
          <w:ilvl w:val="0"/>
          <w:numId w:val="15"/>
        </w:numPr>
        <w:spacing w:line="360" w:lineRule="auto"/>
        <w:widowControl/>
        <w:tabs>
          <w:tab w:val="left" w:pos="840" w:leader="none"/>
        </w:tabs>
        <w:rPr>
          <w:color w:val="000000"/>
          <w:sz w:val="24"/>
        </w:rPr>
      </w:pPr>
      <w:r>
        <w:rPr>
          <w:color w:val="000000"/>
          <w:sz w:val="24"/>
        </w:rPr>
        <w:t xml:space="preserve">如需对存量资源中的政务云客户云主机进行运维操作，必须事先获得客户方正式授权，授权方式包含书面正式通知、邮件通知</w:t>
      </w:r>
      <w:r>
        <w:rPr>
          <w:rFonts w:hint="eastAsia"/>
          <w:color w:val="000000"/>
          <w:sz w:val="24"/>
        </w:rPr>
        <w:t xml:space="preserve">、微信通知</w:t>
      </w:r>
      <w:r>
        <w:rPr>
          <w:color w:val="000000"/>
          <w:sz w:val="24"/>
        </w:rPr>
        <w:t xml:space="preserve">等，操作过程需留存完整记录。</w:t>
      </w:r>
      <w:r/>
    </w:p>
    <w:p>
      <w:pPr>
        <w:spacing w:line="360" w:lineRule="auto"/>
        <w:rPr>
          <w:b/>
          <w:sz w:val="24"/>
        </w:rPr>
      </w:pPr>
      <w:r>
        <w:rPr>
          <w:rFonts w:hint="eastAsia"/>
          <w:b/>
          <w:sz w:val="24"/>
        </w:rPr>
        <w:t xml:space="preserve">（</w:t>
      </w:r>
      <w:r>
        <w:rPr>
          <w:rFonts w:hint="eastAsia"/>
          <w:b/>
          <w:sz w:val="24"/>
        </w:rPr>
        <w:t xml:space="preserve">3</w:t>
      </w:r>
      <w:r>
        <w:rPr>
          <w:rFonts w:hint="eastAsia"/>
          <w:b/>
          <w:sz w:val="24"/>
        </w:rPr>
        <w:t xml:space="preserve">）</w:t>
      </w:r>
      <w:r>
        <w:rPr>
          <w:b/>
          <w:sz w:val="24"/>
        </w:rPr>
        <w:t xml:space="preserve">存量机房运维要求</w:t>
      </w:r>
      <w:r/>
    </w:p>
    <w:p>
      <w:pPr>
        <w:pStyle w:val="836"/>
        <w:ind w:firstLine="480"/>
        <w:spacing w:line="360" w:lineRule="auto"/>
        <w:widowControl/>
        <w:rPr>
          <w:color w:val="000000"/>
          <w:sz w:val="24"/>
        </w:rPr>
      </w:pPr>
      <w:r>
        <w:rPr>
          <w:color w:val="000000"/>
          <w:sz w:val="24"/>
        </w:rPr>
        <w:t xml:space="preserve">针对无锡市政务云骨干节点宜兴存量资源所在机房，需按照以下标准开展常态化运维，以保障机房环境、设施符合存量资源运行要求，具体运维标准如下：</w:t>
      </w:r>
      <w:r/>
    </w:p>
    <w:tbl>
      <w:tblPr>
        <w:tblW w:w="4999" w:type="pct"/>
        <w:tblCellSpacing w:w="15" w:type="dxa"/>
        <w:tblCellMar>
          <w:left w:w="0" w:type="dxa"/>
          <w:right w:w="0" w:type="dxa"/>
        </w:tblCellMar>
        <w:tblLook w:val="04A0" w:firstRow="1" w:lastRow="0" w:firstColumn="1" w:lastColumn="0" w:noHBand="0" w:noVBand="1"/>
      </w:tblPr>
      <w:tblGrid>
        <w:gridCol w:w="2019"/>
        <w:gridCol w:w="7971"/>
      </w:tblGrid>
      <w:tr>
        <w:trPr>
          <w:tblCellSpacing w:w="15" w:type="dxa"/>
          <w:tblHeader/>
        </w:trPr>
        <w:tc>
          <w:tcPr>
            <w:tcBorders>
              <w:top w:val="single" w:color="auto" w:sz="4" w:space="0"/>
              <w:left w:val="single" w:color="auto" w:sz="0"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项目</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运维标准</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周围环境</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定期巡检，确保机房远离腐蚀性气体、粉尘、强振动源和强噪声源，远离强电磁辐射源</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抗震</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保障机房抗震等级维持7度标准，定期检查机房结构抗震性能</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结构安全等级</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确保机房结构安全等级不低于二级，做好结构安全日常巡检</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层高</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维持机房层高≥2.6m，保障机房空间满足存量设备运行需求</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货梯</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设在三楼以上的机房，确保货梯正常运行，定期维保</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紧急通道</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保障安全撤离通道畅通，符合国家消防安全规定，定期检查疏散通道、安全出口的疏散灯光指示牌，确保正常使用</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市电接入</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保障双路供电系统稳定运行，做好供电线路、设备的日常巡检和故障处置</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UPS</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定期对UPS设备进行检测、维保和充放电测试</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电池后备时间</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确保电池后备时间≥0.5H，定期检测电池性能，及时更换老化电池</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机房温度</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将机房温度稳定控制在18</w:t>
            </w:r>
            <w:r>
              <w:rPr>
                <w:rFonts w:hint="eastAsia" w:ascii="宋体" w:hAnsi="宋体" w:cs="宋体"/>
                <w:color w:val="000000"/>
                <w:sz w:val="24"/>
                <w:szCs w:val="24"/>
              </w:rPr>
              <w:t xml:space="preserve">～</w:t>
            </w:r>
            <w:r>
              <w:rPr>
                <w:rFonts w:hint="eastAsia" w:ascii="宋体" w:hAnsi="宋体" w:cs="宋体"/>
                <w:color w:val="000000"/>
                <w:sz w:val="24"/>
                <w:szCs w:val="24"/>
              </w:rPr>
              <w:t xml:space="preserve">25℃，实时监控温度变化，及时处置空调故障</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机房湿度</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将机房湿度稳定控制在40%～70%，实时监控湿度变化，做好除湿、增湿等设备运维</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备用空调</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维持N+1配置标准，定期对空调设备进行巡检、维保，确保备用空调随时可用</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气体消防</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保障气体消防系统正常运行，定期检查消防设备状态、气瓶压力，做好年检</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门禁</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保障门禁系统正常运行，定期巡检设备，及时处置故障</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门禁记录</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按要求留存门禁记录不少于6个月，做好记录的存储和备份</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重要区域7*24小时视频监控</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确保监控系统全天候正常运行，实时监控重要区域状态</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监控记录保存</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保障监控记录保存≥2月，做好存储设备的日常维护</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安保服务</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监督7*24小时安保巡逻工作，确保巡逻频次、范围符合要求，留存巡逻记录</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动环监控</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确保动环监控系统正常运行，实时采集、反馈机房环境和设备运行数据，及时通过短信预警异常</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技术支持人员</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保障机房配备专职技术支持人员，专人负责存量设备技术运维</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机房值守人员</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维持7*24小时机房值守制度，确保值守人员在岗履职</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故障次数</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保障机房存量设备近3年（未满3年则自运行以来）无全部服务器阻断30分钟以上故障；50％以上服务器阻断30分钟以上故障不超过1次，若出现故障按要求整改并备案</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故障恢复时间</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机房设备出现故障后，处置回复时间≤30分钟，及时排查并解决问题</w:t>
            </w:r>
            <w:r/>
          </w:p>
        </w:tc>
      </w:tr>
      <w:tr>
        <w:trPr>
          <w:tblCellSpacing w:w="15" w:type="dxa"/>
        </w:trPr>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客户进出机房管理</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严格执行机房进出管理制度，对客户参观、施工进出进行分类管理，施工时安排随工人员，留存完整的历史记录，做好记录的归档管理</w:t>
            </w:r>
            <w:r/>
          </w:p>
        </w:tc>
      </w:tr>
    </w:tbl>
    <w:p>
      <w:pPr>
        <w:spacing w:line="360" w:lineRule="auto"/>
        <w:rPr>
          <w:b/>
          <w:sz w:val="24"/>
        </w:rPr>
      </w:pPr>
      <w:r>
        <w:rPr>
          <w:rFonts w:hint="eastAsia"/>
          <w:b/>
          <w:sz w:val="24"/>
        </w:rPr>
        <w:t xml:space="preserve">（</w:t>
      </w:r>
      <w:r>
        <w:rPr>
          <w:rFonts w:hint="eastAsia"/>
          <w:b/>
          <w:sz w:val="24"/>
        </w:rPr>
        <w:t xml:space="preserve">4</w:t>
      </w:r>
      <w:r>
        <w:rPr>
          <w:rFonts w:hint="eastAsia"/>
          <w:b/>
          <w:sz w:val="24"/>
        </w:rPr>
        <w:t xml:space="preserve">）</w:t>
      </w:r>
      <w:r>
        <w:rPr>
          <w:b/>
          <w:sz w:val="24"/>
        </w:rPr>
        <w:t xml:space="preserve">存量计算资源池运维要求</w:t>
      </w:r>
      <w:r/>
    </w:p>
    <w:p>
      <w:pPr>
        <w:pStyle w:val="836"/>
        <w:ind w:firstLine="480"/>
        <w:spacing w:line="360" w:lineRule="auto"/>
        <w:widowControl/>
        <w:rPr>
          <w:color w:val="000000"/>
          <w:sz w:val="24"/>
        </w:rPr>
      </w:pPr>
      <w:r>
        <w:rPr>
          <w:color w:val="000000"/>
          <w:sz w:val="24"/>
        </w:rPr>
        <w:t xml:space="preserve">针对存量计算资源池的硬件设备及运行状态进行专业化运维，以保障计算资源稳定支撑业务运行，具体要求如下：</w:t>
      </w:r>
      <w:r/>
    </w:p>
    <w:p>
      <w:pPr>
        <w:pStyle w:val="836"/>
        <w:numPr>
          <w:ilvl w:val="0"/>
          <w:numId w:val="16"/>
        </w:numPr>
        <w:spacing w:line="360" w:lineRule="auto"/>
        <w:widowControl/>
        <w:tabs>
          <w:tab w:val="left" w:pos="840" w:leader="none"/>
        </w:tabs>
        <w:rPr>
          <w:color w:val="000000"/>
          <w:sz w:val="24"/>
        </w:rPr>
      </w:pPr>
      <w:r>
        <w:rPr>
          <w:sz w:val="24"/>
        </w:rPr>
        <w:t xml:space="preserve">存量计算资源包括信创和非信创两部分，须保障所有物理服务器、虚拟机的稳定运行，总体计算规模不低于</w:t>
      </w:r>
      <w:r>
        <w:rPr>
          <w:sz w:val="24"/>
        </w:rPr>
        <w:t xml:space="preserve">1000</w:t>
      </w:r>
      <w:r>
        <w:rPr>
          <w:sz w:val="24"/>
        </w:rPr>
        <w:t xml:space="preserve">核物理</w:t>
      </w:r>
      <w:r>
        <w:rPr>
          <w:sz w:val="24"/>
        </w:rPr>
        <w:t xml:space="preserve">CPU</w:t>
      </w:r>
      <w:r>
        <w:rPr>
          <w:sz w:val="24"/>
        </w:rPr>
        <w:t xml:space="preserve">、</w:t>
      </w:r>
      <w:r>
        <w:rPr>
          <w:sz w:val="24"/>
        </w:rPr>
        <w:t xml:space="preserve">8TB</w:t>
      </w:r>
      <w:r>
        <w:rPr>
          <w:sz w:val="24"/>
        </w:rPr>
        <w:t xml:space="preserve">内存。</w:t>
      </w:r>
      <w:r/>
    </w:p>
    <w:p>
      <w:pPr>
        <w:pStyle w:val="836"/>
        <w:numPr>
          <w:ilvl w:val="0"/>
          <w:numId w:val="16"/>
        </w:numPr>
        <w:spacing w:line="360" w:lineRule="auto"/>
        <w:widowControl/>
        <w:tabs>
          <w:tab w:val="left" w:pos="840" w:leader="none"/>
        </w:tabs>
        <w:rPr>
          <w:sz w:val="24"/>
        </w:rPr>
      </w:pPr>
      <w:r>
        <w:rPr>
          <w:color w:val="000000"/>
          <w:sz w:val="24"/>
        </w:rPr>
        <w:t xml:space="preserve">保障存量计算资源池专享独立的存量计算服务器实现物理独立，做好服务器硬件的日常巡检工作，确保物理使用的隔离性。</w:t>
      </w:r>
      <w:r/>
    </w:p>
    <w:p>
      <w:pPr>
        <w:pStyle w:val="836"/>
        <w:numPr>
          <w:ilvl w:val="0"/>
          <w:numId w:val="16"/>
        </w:numPr>
        <w:spacing w:line="360" w:lineRule="auto"/>
        <w:widowControl/>
        <w:tabs>
          <w:tab w:val="left" w:pos="840" w:leader="none"/>
        </w:tabs>
        <w:rPr>
          <w:sz w:val="24"/>
        </w:rPr>
      </w:pPr>
      <w:r>
        <w:rPr>
          <w:color w:val="000000"/>
          <w:sz w:val="24"/>
        </w:rPr>
        <w:t xml:space="preserve">常态化监测单台物理服务器的</w:t>
      </w:r>
      <w:r>
        <w:rPr>
          <w:color w:val="000000"/>
          <w:sz w:val="24"/>
        </w:rPr>
        <w:t xml:space="preserve">CPU</w:t>
      </w:r>
      <w:r>
        <w:rPr>
          <w:color w:val="000000"/>
          <w:sz w:val="24"/>
        </w:rPr>
        <w:t xml:space="preserve">状态，确保物理</w:t>
      </w:r>
      <w:r>
        <w:rPr>
          <w:color w:val="000000"/>
          <w:sz w:val="24"/>
        </w:rPr>
        <w:t xml:space="preserve">CPU</w:t>
      </w:r>
      <w:r>
        <w:rPr>
          <w:color w:val="000000"/>
          <w:sz w:val="24"/>
        </w:rPr>
        <w:t xml:space="preserve">数量不少于</w:t>
      </w:r>
      <w:r>
        <w:rPr>
          <w:color w:val="000000"/>
          <w:sz w:val="24"/>
        </w:rPr>
        <w:t xml:space="preserve">2</w:t>
      </w:r>
      <w:r>
        <w:rPr>
          <w:color w:val="000000"/>
          <w:sz w:val="24"/>
        </w:rPr>
        <w:t xml:space="preserve">，性能满足业务运行需求。</w:t>
      </w:r>
      <w:r/>
    </w:p>
    <w:p>
      <w:pPr>
        <w:pStyle w:val="836"/>
        <w:numPr>
          <w:ilvl w:val="0"/>
          <w:numId w:val="16"/>
        </w:numPr>
        <w:spacing w:line="360" w:lineRule="auto"/>
        <w:widowControl/>
        <w:tabs>
          <w:tab w:val="left" w:pos="840" w:leader="none"/>
        </w:tabs>
        <w:rPr>
          <w:sz w:val="24"/>
        </w:rPr>
      </w:pPr>
      <w:r>
        <w:rPr>
          <w:color w:val="000000"/>
          <w:sz w:val="24"/>
        </w:rPr>
        <w:t xml:space="preserve">做好</w:t>
      </w:r>
      <w:r>
        <w:rPr>
          <w:color w:val="000000"/>
          <w:sz w:val="24"/>
        </w:rPr>
        <w:t xml:space="preserve">CPU</w:t>
      </w:r>
      <w:r>
        <w:rPr>
          <w:color w:val="000000"/>
          <w:sz w:val="24"/>
        </w:rPr>
        <w:t xml:space="preserve">性能的监控与优化工作，确保</w:t>
      </w:r>
      <w:r>
        <w:rPr>
          <w:color w:val="000000"/>
          <w:sz w:val="24"/>
        </w:rPr>
        <w:t xml:space="preserve">CPU</w:t>
      </w:r>
      <w:r>
        <w:rPr>
          <w:color w:val="000000"/>
          <w:sz w:val="24"/>
        </w:rPr>
        <w:t xml:space="preserve">主频不低于</w:t>
      </w:r>
      <w:r>
        <w:rPr>
          <w:color w:val="000000"/>
          <w:sz w:val="24"/>
        </w:rPr>
        <w:t xml:space="preserve">2.6GHz</w:t>
      </w:r>
      <w:r>
        <w:rPr>
          <w:color w:val="000000"/>
          <w:sz w:val="24"/>
        </w:rPr>
        <w:t xml:space="preserve">，及时处理</w:t>
      </w:r>
      <w:r>
        <w:rPr>
          <w:color w:val="000000"/>
          <w:sz w:val="24"/>
        </w:rPr>
        <w:t xml:space="preserve">CPU</w:t>
      </w:r>
      <w:r>
        <w:rPr>
          <w:color w:val="000000"/>
          <w:sz w:val="24"/>
        </w:rPr>
        <w:t xml:space="preserve">性能异常问题。</w:t>
      </w:r>
      <w:r/>
    </w:p>
    <w:p>
      <w:pPr>
        <w:pStyle w:val="836"/>
        <w:numPr>
          <w:ilvl w:val="0"/>
          <w:numId w:val="16"/>
        </w:numPr>
        <w:spacing w:line="360" w:lineRule="auto"/>
        <w:widowControl/>
        <w:tabs>
          <w:tab w:val="left" w:pos="840" w:leader="none"/>
        </w:tabs>
        <w:rPr>
          <w:color w:val="000000"/>
          <w:sz w:val="24"/>
        </w:rPr>
      </w:pPr>
      <w:r>
        <w:rPr>
          <w:color w:val="000000"/>
          <w:sz w:val="24"/>
        </w:rPr>
        <w:t xml:space="preserve">监控物理服务器内存的运行状态，确保存量单台服务器内存不少于</w:t>
      </w:r>
      <w:r>
        <w:rPr>
          <w:color w:val="000000"/>
          <w:sz w:val="24"/>
        </w:rPr>
        <w:t xml:space="preserve">256G</w:t>
      </w:r>
      <w:r>
        <w:rPr>
          <w:color w:val="000000"/>
          <w:sz w:val="24"/>
        </w:rPr>
        <w:t xml:space="preserve">（目前最高规格虚拟机内存），保障内存资源充足。</w:t>
      </w:r>
      <w:r/>
    </w:p>
    <w:p>
      <w:pPr>
        <w:pStyle w:val="836"/>
        <w:numPr>
          <w:ilvl w:val="0"/>
          <w:numId w:val="16"/>
        </w:numPr>
        <w:spacing w:line="360" w:lineRule="auto"/>
        <w:widowControl/>
        <w:tabs>
          <w:tab w:val="left" w:pos="840" w:leader="none"/>
        </w:tabs>
        <w:rPr>
          <w:color w:val="000000"/>
          <w:sz w:val="24"/>
        </w:rPr>
      </w:pPr>
      <w:r>
        <w:rPr>
          <w:color w:val="000000"/>
          <w:sz w:val="24"/>
        </w:rPr>
        <w:t xml:space="preserve">检查服务器系统硬盘状态，确保硬盘数量不少于</w:t>
      </w:r>
      <w:r>
        <w:rPr>
          <w:color w:val="000000"/>
          <w:sz w:val="24"/>
        </w:rPr>
        <w:t xml:space="preserve">2</w:t>
      </w:r>
      <w:r>
        <w:rPr>
          <w:color w:val="000000"/>
          <w:sz w:val="24"/>
        </w:rPr>
        <w:t xml:space="preserve">，</w:t>
      </w:r>
      <w:r>
        <w:rPr>
          <w:color w:val="000000"/>
          <w:sz w:val="24"/>
        </w:rPr>
        <w:t xml:space="preserve">RAID1/5</w:t>
      </w:r>
      <w:r>
        <w:rPr>
          <w:color w:val="000000"/>
          <w:sz w:val="24"/>
        </w:rPr>
        <w:t xml:space="preserve">等阵列技术正常运行，及时更换故障硬盘。</w:t>
      </w:r>
      <w:r/>
    </w:p>
    <w:p>
      <w:pPr>
        <w:pStyle w:val="836"/>
        <w:numPr>
          <w:ilvl w:val="0"/>
          <w:numId w:val="16"/>
        </w:numPr>
        <w:spacing w:line="360" w:lineRule="auto"/>
        <w:widowControl/>
        <w:tabs>
          <w:tab w:val="left" w:pos="840" w:leader="none"/>
        </w:tabs>
        <w:rPr>
          <w:color w:val="000000"/>
          <w:sz w:val="24"/>
        </w:rPr>
      </w:pPr>
      <w:r>
        <w:rPr>
          <w:color w:val="000000"/>
          <w:sz w:val="24"/>
        </w:rPr>
        <w:t xml:space="preserve">做好服务器电源模块、网络模块等关键部件的日常巡检工作，确保热备冗余配置正常，备用部件随时可投入使用。</w:t>
      </w:r>
      <w:r/>
    </w:p>
    <w:p>
      <w:pPr>
        <w:pStyle w:val="836"/>
        <w:numPr>
          <w:ilvl w:val="0"/>
          <w:numId w:val="16"/>
        </w:numPr>
        <w:spacing w:line="360" w:lineRule="auto"/>
        <w:widowControl/>
        <w:tabs>
          <w:tab w:val="left" w:pos="840" w:leader="none"/>
        </w:tabs>
        <w:rPr>
          <w:color w:val="000000"/>
          <w:sz w:val="24"/>
        </w:rPr>
      </w:pPr>
      <w:r>
        <w:rPr>
          <w:sz w:val="24"/>
        </w:rPr>
        <w:t xml:space="preserve">常态化监控存量物理服务器和存量云主机的资源使用率，及时预警并处理异常，确保资源合理分配。</w:t>
      </w:r>
      <w:r/>
    </w:p>
    <w:p>
      <w:pPr>
        <w:spacing w:line="360" w:lineRule="auto"/>
        <w:rPr>
          <w:b/>
          <w:sz w:val="24"/>
        </w:rPr>
      </w:pPr>
      <w:r>
        <w:rPr>
          <w:rFonts w:hint="eastAsia"/>
          <w:b/>
          <w:sz w:val="24"/>
        </w:rPr>
        <w:t xml:space="preserve">（</w:t>
      </w:r>
      <w:r>
        <w:rPr>
          <w:rFonts w:hint="eastAsia"/>
          <w:b/>
          <w:sz w:val="24"/>
        </w:rPr>
        <w:t xml:space="preserve">5</w:t>
      </w:r>
      <w:r>
        <w:rPr>
          <w:rFonts w:hint="eastAsia"/>
          <w:b/>
          <w:sz w:val="24"/>
        </w:rPr>
        <w:t xml:space="preserve">）</w:t>
      </w:r>
      <w:r>
        <w:rPr>
          <w:b/>
          <w:sz w:val="24"/>
        </w:rPr>
        <w:t xml:space="preserve">存量存储资源池运维要求</w:t>
      </w:r>
      <w:r/>
    </w:p>
    <w:p>
      <w:pPr>
        <w:pStyle w:val="836"/>
        <w:ind w:firstLine="480"/>
        <w:spacing w:line="360" w:lineRule="auto"/>
        <w:widowControl/>
        <w:rPr>
          <w:color w:val="000000"/>
          <w:sz w:val="24"/>
        </w:rPr>
      </w:pPr>
      <w:r>
        <w:rPr>
          <w:color w:val="000000"/>
          <w:sz w:val="24"/>
        </w:rPr>
        <w:t xml:space="preserve">针对存量存储资源池开展全维度运维，以保障存储资源稳定、安全，满足数据存储和业务访问需求，具体要求如下：</w:t>
      </w:r>
      <w:r/>
    </w:p>
    <w:p>
      <w:pPr>
        <w:pStyle w:val="836"/>
        <w:numPr>
          <w:ilvl w:val="0"/>
          <w:numId w:val="17"/>
        </w:numPr>
        <w:spacing w:line="360" w:lineRule="auto"/>
        <w:tabs>
          <w:tab w:val="left" w:pos="840" w:leader="none"/>
        </w:tabs>
        <w:rPr>
          <w:color w:val="000000"/>
          <w:sz w:val="24"/>
        </w:rPr>
      </w:pPr>
      <w:r>
        <w:rPr>
          <w:sz w:val="24"/>
        </w:rPr>
        <w:t xml:space="preserve">存量存储资源总容量不低于</w:t>
      </w:r>
      <w:r>
        <w:rPr>
          <w:sz w:val="24"/>
        </w:rPr>
        <w:t xml:space="preserve">500TB</w:t>
      </w:r>
      <w:r>
        <w:rPr>
          <w:sz w:val="24"/>
        </w:rPr>
        <w:t xml:space="preserve">，须采用</w:t>
      </w:r>
      <w:r>
        <w:rPr>
          <w:sz w:val="24"/>
        </w:rPr>
        <w:t xml:space="preserve">FCSAN</w:t>
      </w:r>
      <w:r>
        <w:rPr>
          <w:sz w:val="24"/>
        </w:rPr>
        <w:t xml:space="preserve">或分布式高性能块存储，支持</w:t>
      </w:r>
      <w:r>
        <w:rPr>
          <w:sz w:val="24"/>
        </w:rPr>
        <w:t xml:space="preserve">SATA</w:t>
      </w:r>
      <w:r>
        <w:rPr>
          <w:sz w:val="24"/>
        </w:rPr>
        <w:t xml:space="preserve">、</w:t>
      </w:r>
      <w:r>
        <w:rPr>
          <w:sz w:val="24"/>
        </w:rPr>
        <w:t xml:space="preserve">SAS</w:t>
      </w:r>
      <w:r>
        <w:rPr>
          <w:sz w:val="24"/>
        </w:rPr>
        <w:t xml:space="preserve">、</w:t>
      </w:r>
      <w:r>
        <w:rPr>
          <w:sz w:val="24"/>
        </w:rPr>
        <w:t xml:space="preserve">SSD</w:t>
      </w:r>
      <w:r>
        <w:rPr>
          <w:sz w:val="24"/>
        </w:rPr>
        <w:t xml:space="preserve">分类存储。</w:t>
      </w:r>
      <w:r/>
    </w:p>
    <w:p>
      <w:pPr>
        <w:pStyle w:val="836"/>
        <w:numPr>
          <w:ilvl w:val="0"/>
          <w:numId w:val="17"/>
        </w:numPr>
        <w:spacing w:line="360" w:lineRule="auto"/>
        <w:widowControl/>
        <w:tabs>
          <w:tab w:val="left" w:pos="840" w:leader="none"/>
        </w:tabs>
        <w:rPr>
          <w:color w:val="000000"/>
          <w:sz w:val="24"/>
        </w:rPr>
      </w:pPr>
      <w:r>
        <w:rPr>
          <w:color w:val="000000"/>
          <w:sz w:val="24"/>
        </w:rPr>
        <w:t xml:space="preserve">保障存量</w:t>
      </w:r>
      <w:r>
        <w:rPr>
          <w:color w:val="000000"/>
          <w:sz w:val="24"/>
        </w:rPr>
        <w:t xml:space="preserve">FCSAN</w:t>
      </w:r>
      <w:r>
        <w:rPr>
          <w:color w:val="000000"/>
          <w:sz w:val="24"/>
        </w:rPr>
        <w:t xml:space="preserve">或分布式高性能块存储资源池正常运行，定期检测存储设备性能，及时优化存储架构。</w:t>
      </w:r>
      <w:r/>
    </w:p>
    <w:p>
      <w:pPr>
        <w:pStyle w:val="836"/>
        <w:numPr>
          <w:ilvl w:val="0"/>
          <w:numId w:val="17"/>
        </w:numPr>
        <w:spacing w:line="360" w:lineRule="auto"/>
        <w:widowControl/>
        <w:tabs>
          <w:tab w:val="left" w:pos="840" w:leader="none"/>
        </w:tabs>
        <w:rPr>
          <w:color w:val="000000"/>
          <w:sz w:val="24"/>
        </w:rPr>
      </w:pPr>
      <w:r>
        <w:rPr>
          <w:sz w:val="24"/>
        </w:rPr>
        <w:t xml:space="preserve">存量存储系统关键部件（电源、控制器等）冗余热备，保证高可用性。</w:t>
      </w:r>
      <w:r/>
    </w:p>
    <w:p>
      <w:pPr>
        <w:pStyle w:val="836"/>
        <w:numPr>
          <w:ilvl w:val="0"/>
          <w:numId w:val="17"/>
        </w:numPr>
        <w:spacing w:line="360" w:lineRule="auto"/>
        <w:widowControl/>
        <w:tabs>
          <w:tab w:val="left" w:pos="840" w:leader="none"/>
        </w:tabs>
        <w:rPr>
          <w:color w:val="000000"/>
          <w:sz w:val="24"/>
        </w:rPr>
      </w:pPr>
      <w:r>
        <w:rPr>
          <w:color w:val="000000"/>
          <w:sz w:val="24"/>
        </w:rPr>
        <w:t xml:space="preserve">维护平台级备份能力，确保在存量运维期间能够正常提供操作系统、数据库（</w:t>
      </w:r>
      <w:r>
        <w:rPr>
          <w:color w:val="000000"/>
          <w:sz w:val="24"/>
        </w:rPr>
        <w:t xml:space="preserve">SQLServer</w:t>
      </w:r>
      <w:r>
        <w:rPr>
          <w:color w:val="000000"/>
          <w:sz w:val="24"/>
        </w:rPr>
        <w:t xml:space="preserve">、</w:t>
      </w:r>
      <w:r>
        <w:rPr>
          <w:color w:val="000000"/>
          <w:sz w:val="24"/>
        </w:rPr>
        <w:t xml:space="preserve">Oracle</w:t>
      </w:r>
      <w:r>
        <w:rPr>
          <w:color w:val="000000"/>
          <w:sz w:val="24"/>
        </w:rPr>
        <w:t xml:space="preserve">）、文件系统等备份服务，虚拟机快照、克隆等功能可正常使用。</w:t>
      </w:r>
      <w:r/>
    </w:p>
    <w:p>
      <w:pPr>
        <w:pStyle w:val="836"/>
        <w:numPr>
          <w:ilvl w:val="0"/>
          <w:numId w:val="17"/>
        </w:numPr>
        <w:spacing w:line="360" w:lineRule="auto"/>
        <w:widowControl/>
        <w:tabs>
          <w:tab w:val="left" w:pos="840" w:leader="none"/>
        </w:tabs>
        <w:rPr>
          <w:color w:val="000000"/>
          <w:sz w:val="24"/>
        </w:rPr>
      </w:pPr>
      <w:r>
        <w:rPr>
          <w:color w:val="000000"/>
          <w:sz w:val="24"/>
        </w:rPr>
        <w:t xml:space="preserve">保障用户存量存储资源池独立运行，做好与其他云平台用户存储资源的强逻辑隔离维护工作，定期核查隔离效果，确保数据存储安全。</w:t>
      </w:r>
      <w:r/>
    </w:p>
    <w:p>
      <w:pPr>
        <w:pStyle w:val="836"/>
        <w:numPr>
          <w:ilvl w:val="0"/>
          <w:numId w:val="17"/>
        </w:numPr>
        <w:spacing w:line="360" w:lineRule="auto"/>
        <w:widowControl/>
        <w:tabs>
          <w:tab w:val="left" w:pos="840" w:leader="none"/>
        </w:tabs>
        <w:rPr>
          <w:color w:val="000000"/>
          <w:sz w:val="24"/>
        </w:rPr>
      </w:pPr>
      <w:r>
        <w:rPr>
          <w:color w:val="000000"/>
          <w:sz w:val="24"/>
        </w:rPr>
        <w:t xml:space="preserve">做好存储系统电源模块、控制器等关键部件的巡检和维保工作，确保热备冗余配置正常，及时处理部件故障。</w:t>
      </w:r>
      <w:r/>
    </w:p>
    <w:p>
      <w:pPr>
        <w:pStyle w:val="836"/>
        <w:numPr>
          <w:ilvl w:val="0"/>
          <w:numId w:val="17"/>
        </w:numPr>
        <w:spacing w:line="360" w:lineRule="auto"/>
        <w:widowControl/>
        <w:tabs>
          <w:tab w:val="left" w:pos="840" w:leader="none"/>
        </w:tabs>
        <w:rPr>
          <w:color w:val="000000"/>
          <w:sz w:val="24"/>
        </w:rPr>
      </w:pPr>
      <w:r>
        <w:rPr>
          <w:color w:val="000000"/>
          <w:sz w:val="24"/>
        </w:rPr>
        <w:t xml:space="preserve">维持基于</w:t>
      </w:r>
      <w:r>
        <w:rPr>
          <w:color w:val="000000"/>
          <w:sz w:val="24"/>
        </w:rPr>
        <w:t xml:space="preserve">SATA</w:t>
      </w:r>
      <w:r>
        <w:rPr>
          <w:color w:val="000000"/>
          <w:sz w:val="24"/>
        </w:rPr>
        <w:t xml:space="preserve">、</w:t>
      </w:r>
      <w:r>
        <w:rPr>
          <w:color w:val="000000"/>
          <w:sz w:val="24"/>
        </w:rPr>
        <w:t xml:space="preserve">SAS</w:t>
      </w:r>
      <w:r>
        <w:rPr>
          <w:color w:val="000000"/>
          <w:sz w:val="24"/>
        </w:rPr>
        <w:t xml:space="preserve">、</w:t>
      </w:r>
      <w:r>
        <w:rPr>
          <w:color w:val="000000"/>
          <w:sz w:val="24"/>
        </w:rPr>
        <w:t xml:space="preserve">SSD</w:t>
      </w:r>
      <w:r>
        <w:rPr>
          <w:color w:val="000000"/>
          <w:sz w:val="24"/>
        </w:rPr>
        <w:t xml:space="preserve">的分类存量存储资源池正常运行，根据业务需求做好存储资源的动态调配和优化。</w:t>
      </w:r>
      <w:r/>
    </w:p>
    <w:p>
      <w:pPr>
        <w:spacing w:line="360" w:lineRule="auto"/>
        <w:rPr>
          <w:b/>
          <w:sz w:val="24"/>
        </w:rPr>
      </w:pPr>
      <w:r>
        <w:rPr>
          <w:rFonts w:hint="eastAsia"/>
          <w:b/>
          <w:sz w:val="24"/>
        </w:rPr>
        <w:t xml:space="preserve">（</w:t>
      </w:r>
      <w:r>
        <w:rPr>
          <w:rFonts w:hint="eastAsia"/>
          <w:b/>
          <w:sz w:val="24"/>
        </w:rPr>
        <w:t xml:space="preserve">6</w:t>
      </w:r>
      <w:r>
        <w:rPr>
          <w:rFonts w:hint="eastAsia"/>
          <w:b/>
          <w:sz w:val="24"/>
        </w:rPr>
        <w:t xml:space="preserve">）</w:t>
      </w:r>
      <w:r>
        <w:rPr>
          <w:b/>
          <w:sz w:val="24"/>
        </w:rPr>
        <w:t xml:space="preserve">存量网络资源池运维要求</w:t>
      </w:r>
      <w:r/>
    </w:p>
    <w:p>
      <w:pPr>
        <w:pStyle w:val="836"/>
        <w:ind w:firstLine="480"/>
        <w:spacing w:line="360" w:lineRule="auto"/>
        <w:widowControl/>
        <w:rPr>
          <w:color w:val="000000"/>
          <w:sz w:val="24"/>
        </w:rPr>
      </w:pPr>
      <w:r>
        <w:rPr>
          <w:color w:val="000000"/>
          <w:sz w:val="24"/>
        </w:rPr>
        <w:t xml:space="preserve">针对存量网络资源池的设备、链路、配置开展常态化运维，以保障网络通畅、稳定，适配电子政务业务需求，具体要求如下：</w:t>
      </w:r>
      <w:r/>
    </w:p>
    <w:p>
      <w:pPr>
        <w:pStyle w:val="836"/>
        <w:numPr>
          <w:ilvl w:val="0"/>
          <w:numId w:val="18"/>
        </w:numPr>
        <w:spacing w:line="360" w:lineRule="auto"/>
        <w:widowControl/>
        <w:tabs>
          <w:tab w:val="left" w:pos="840" w:leader="none"/>
        </w:tabs>
        <w:rPr>
          <w:color w:val="000000"/>
          <w:sz w:val="24"/>
        </w:rPr>
      </w:pPr>
      <w:r>
        <w:rPr>
          <w:color w:val="000000"/>
          <w:sz w:val="24"/>
        </w:rPr>
        <w:t xml:space="preserve">保障存量政务云平台与电子政务外网的专线接入正常，维持与其他网络的逻辑隔离状态，按照电子政务外网统一规划，做好网络配置的日常核查和维护。</w:t>
      </w:r>
      <w:r/>
    </w:p>
    <w:p>
      <w:pPr>
        <w:pStyle w:val="836"/>
        <w:numPr>
          <w:ilvl w:val="0"/>
          <w:numId w:val="18"/>
        </w:numPr>
        <w:spacing w:line="360" w:lineRule="auto"/>
        <w:widowControl/>
        <w:tabs>
          <w:tab w:val="left" w:pos="840" w:leader="none"/>
        </w:tabs>
        <w:rPr>
          <w:sz w:val="24"/>
        </w:rPr>
      </w:pPr>
      <w:r>
        <w:rPr>
          <w:color w:val="000000"/>
          <w:sz w:val="24"/>
        </w:rPr>
        <w:t xml:space="preserve">确保</w:t>
      </w:r>
      <w:r>
        <w:rPr>
          <w:rFonts w:hint="eastAsia"/>
          <w:color w:val="000000"/>
          <w:sz w:val="24"/>
        </w:rPr>
        <w:t xml:space="preserve">存量</w:t>
      </w:r>
      <w:r>
        <w:rPr>
          <w:color w:val="000000"/>
          <w:sz w:val="24"/>
        </w:rPr>
        <w:t xml:space="preserve">政务云平台与电子政务外网对接带宽不少于</w:t>
      </w:r>
      <w:r>
        <w:rPr>
          <w:color w:val="000000"/>
          <w:sz w:val="24"/>
        </w:rPr>
        <w:t xml:space="preserve">2G</w:t>
      </w:r>
      <w:r>
        <w:rPr>
          <w:color w:val="000000"/>
          <w:sz w:val="24"/>
        </w:rPr>
        <w:t xml:space="preserve">，物理链路不少于</w:t>
      </w:r>
      <w:r>
        <w:rPr>
          <w:color w:val="000000"/>
          <w:sz w:val="24"/>
        </w:rPr>
        <w:t xml:space="preserve">2</w:t>
      </w:r>
      <w:r>
        <w:rPr>
          <w:color w:val="000000"/>
          <w:sz w:val="24"/>
        </w:rPr>
        <w:t xml:space="preserve">条，常态化检测链路状态和带宽使用情况，及时处理链路故障。</w:t>
      </w:r>
      <w:r/>
    </w:p>
    <w:p>
      <w:pPr>
        <w:pStyle w:val="836"/>
        <w:numPr>
          <w:ilvl w:val="0"/>
          <w:numId w:val="18"/>
        </w:numPr>
        <w:spacing w:line="360" w:lineRule="auto"/>
        <w:widowControl/>
        <w:tabs>
          <w:tab w:val="left" w:pos="840" w:leader="none"/>
        </w:tabs>
        <w:rPr>
          <w:sz w:val="24"/>
        </w:rPr>
      </w:pPr>
      <w:r>
        <w:rPr>
          <w:sz w:val="24"/>
        </w:rPr>
        <w:t xml:space="preserve">维护网络交换机、路由器等设备的稳定运行，关键模块（电源、引擎等）冗余配置，备品备件充足。</w:t>
      </w:r>
      <w:r/>
    </w:p>
    <w:p>
      <w:pPr>
        <w:pStyle w:val="836"/>
        <w:numPr>
          <w:ilvl w:val="0"/>
          <w:numId w:val="18"/>
        </w:numPr>
        <w:spacing w:line="360" w:lineRule="auto"/>
        <w:widowControl/>
        <w:tabs>
          <w:tab w:val="left" w:pos="840" w:leader="none"/>
        </w:tabs>
        <w:rPr>
          <w:color w:val="000000"/>
          <w:sz w:val="24"/>
        </w:rPr>
      </w:pPr>
      <w:r>
        <w:rPr>
          <w:color w:val="000000"/>
          <w:sz w:val="24"/>
        </w:rPr>
        <w:t xml:space="preserve">保障硬件级四层、七层负载均衡服务正常运行，确保负载均衡能力不少于</w:t>
      </w:r>
      <w:r>
        <w:rPr>
          <w:color w:val="000000"/>
          <w:sz w:val="24"/>
        </w:rPr>
        <w:t xml:space="preserve">2G</w:t>
      </w:r>
      <w:r>
        <w:rPr>
          <w:color w:val="000000"/>
          <w:sz w:val="24"/>
        </w:rPr>
        <w:t xml:space="preserve">，做好负载均衡设备的巡检和性能优化。</w:t>
      </w:r>
      <w:r/>
    </w:p>
    <w:p>
      <w:pPr>
        <w:pStyle w:val="836"/>
        <w:numPr>
          <w:ilvl w:val="0"/>
          <w:numId w:val="18"/>
        </w:numPr>
        <w:spacing w:line="360" w:lineRule="auto"/>
        <w:widowControl/>
        <w:tabs>
          <w:tab w:val="left" w:pos="840" w:leader="none"/>
        </w:tabs>
        <w:rPr>
          <w:color w:val="000000"/>
          <w:sz w:val="24"/>
        </w:rPr>
      </w:pPr>
      <w:r>
        <w:rPr>
          <w:color w:val="000000"/>
          <w:sz w:val="24"/>
        </w:rPr>
        <w:t xml:space="preserve">做好网络交换机电源模块、引擎模块等关键部件的巡检工作，确保冗余配置正常，配备充足的备品备件，及时更换故障部件。</w:t>
      </w:r>
      <w:r/>
    </w:p>
    <w:p>
      <w:pPr>
        <w:spacing w:line="360" w:lineRule="auto"/>
        <w:rPr>
          <w:b/>
          <w:sz w:val="24"/>
        </w:rPr>
      </w:pPr>
      <w:r>
        <w:rPr>
          <w:rFonts w:hint="eastAsia"/>
          <w:b/>
          <w:sz w:val="24"/>
        </w:rPr>
        <w:t xml:space="preserve">（</w:t>
      </w:r>
      <w:r>
        <w:rPr>
          <w:rFonts w:hint="eastAsia"/>
          <w:b/>
          <w:sz w:val="24"/>
        </w:rPr>
        <w:t xml:space="preserve">7</w:t>
      </w:r>
      <w:r>
        <w:rPr>
          <w:rFonts w:hint="eastAsia"/>
          <w:b/>
          <w:sz w:val="24"/>
        </w:rPr>
        <w:t xml:space="preserve">）</w:t>
      </w:r>
      <w:r>
        <w:rPr>
          <w:b/>
          <w:sz w:val="24"/>
        </w:rPr>
        <w:t xml:space="preserve">存量安全设备运维要求</w:t>
      </w:r>
      <w:r/>
    </w:p>
    <w:p>
      <w:pPr>
        <w:pStyle w:val="836"/>
        <w:ind w:firstLine="480"/>
        <w:spacing w:line="360" w:lineRule="auto"/>
        <w:widowControl/>
        <w:rPr>
          <w:color w:val="000000"/>
          <w:sz w:val="24"/>
        </w:rPr>
      </w:pPr>
      <w:r>
        <w:rPr>
          <w:color w:val="000000"/>
          <w:sz w:val="24"/>
        </w:rPr>
        <w:t xml:space="preserve">针对存量业务的各类安全设备、防护系统开展专业化运维，筑牢存量云资源安全防线，具体要求如下：</w:t>
      </w:r>
      <w:r/>
    </w:p>
    <w:p>
      <w:pPr>
        <w:pStyle w:val="836"/>
        <w:numPr>
          <w:ilvl w:val="0"/>
          <w:numId w:val="19"/>
        </w:numPr>
        <w:spacing w:line="360" w:lineRule="auto"/>
        <w:widowControl/>
        <w:tabs>
          <w:tab w:val="left" w:pos="840" w:leader="none"/>
        </w:tabs>
        <w:rPr>
          <w:color w:val="000000"/>
          <w:sz w:val="24"/>
        </w:rPr>
      </w:pPr>
      <w:r>
        <w:rPr>
          <w:color w:val="000000"/>
          <w:sz w:val="24"/>
        </w:rPr>
        <w:t xml:space="preserve">维护底层虚拟化安全体系，确保虚拟化防病毒、虚拟化防火墙正常运行，及时更新病毒库和防护规则。</w:t>
      </w:r>
      <w:r/>
    </w:p>
    <w:p>
      <w:pPr>
        <w:pStyle w:val="836"/>
        <w:numPr>
          <w:ilvl w:val="0"/>
          <w:numId w:val="19"/>
        </w:numPr>
        <w:spacing w:line="360" w:lineRule="auto"/>
        <w:widowControl/>
        <w:tabs>
          <w:tab w:val="left" w:pos="840" w:leader="none"/>
        </w:tabs>
        <w:rPr>
          <w:sz w:val="24"/>
        </w:rPr>
      </w:pPr>
      <w:r>
        <w:rPr>
          <w:color w:val="000000"/>
          <w:sz w:val="24"/>
        </w:rPr>
        <w:t xml:space="preserve">保障</w:t>
      </w:r>
      <w:r>
        <w:rPr>
          <w:color w:val="000000"/>
          <w:sz w:val="24"/>
        </w:rPr>
        <w:t xml:space="preserve">Web</w:t>
      </w:r>
      <w:r>
        <w:rPr>
          <w:color w:val="000000"/>
          <w:sz w:val="24"/>
        </w:rPr>
        <w:t xml:space="preserve">防火墙（</w:t>
      </w:r>
      <w:r>
        <w:rPr>
          <w:color w:val="000000"/>
          <w:sz w:val="24"/>
        </w:rPr>
        <w:t xml:space="preserve">WAF</w:t>
      </w:r>
      <w:r>
        <w:rPr>
          <w:color w:val="000000"/>
          <w:sz w:val="24"/>
        </w:rPr>
        <w:t xml:space="preserve">）服务、入侵防御系统（</w:t>
      </w:r>
      <w:r>
        <w:rPr>
          <w:color w:val="000000"/>
          <w:sz w:val="24"/>
        </w:rPr>
        <w:t xml:space="preserve">IPS</w:t>
      </w:r>
      <w:r>
        <w:rPr>
          <w:color w:val="000000"/>
          <w:sz w:val="24"/>
        </w:rPr>
        <w:t xml:space="preserve">）、动态应用防护系统、互联网云防御服务正常运行，定期检测防护效果，及时调整防护策略。</w:t>
      </w:r>
      <w:r/>
    </w:p>
    <w:p>
      <w:pPr>
        <w:pStyle w:val="836"/>
        <w:numPr>
          <w:ilvl w:val="0"/>
          <w:numId w:val="19"/>
        </w:numPr>
        <w:spacing w:line="360" w:lineRule="auto"/>
        <w:widowControl/>
        <w:tabs>
          <w:tab w:val="left" w:pos="840" w:leader="none"/>
        </w:tabs>
        <w:rPr>
          <w:color w:val="000000"/>
          <w:sz w:val="24"/>
        </w:rPr>
      </w:pPr>
      <w:r>
        <w:rPr>
          <w:color w:val="000000"/>
          <w:sz w:val="24"/>
        </w:rPr>
        <w:t xml:space="preserve">确保平台独立硬件防火墙正常运行，做好防火墙配置、规则的日常核查和优化，满足</w:t>
      </w:r>
      <w:r>
        <w:rPr>
          <w:rFonts w:hint="eastAsia"/>
          <w:color w:val="000000"/>
          <w:sz w:val="24"/>
        </w:rPr>
        <w:t xml:space="preserve">存量</w:t>
      </w:r>
      <w:r>
        <w:rPr>
          <w:color w:val="000000"/>
          <w:sz w:val="24"/>
        </w:rPr>
        <w:t xml:space="preserve">政务云平台基本安全防护需求。</w:t>
      </w:r>
      <w:r/>
    </w:p>
    <w:p>
      <w:pPr>
        <w:pStyle w:val="836"/>
        <w:numPr>
          <w:ilvl w:val="0"/>
          <w:numId w:val="19"/>
        </w:numPr>
        <w:spacing w:line="360" w:lineRule="auto"/>
        <w:widowControl/>
        <w:tabs>
          <w:tab w:val="left" w:pos="840" w:leader="none"/>
        </w:tabs>
        <w:rPr>
          <w:color w:val="000000"/>
          <w:sz w:val="24"/>
        </w:rPr>
      </w:pPr>
      <w:r>
        <w:rPr>
          <w:color w:val="000000"/>
          <w:sz w:val="24"/>
        </w:rPr>
        <w:t xml:space="preserve">针对涉及个人信息或敏感信息的存量业务系统，保障数据防泄密、防爬取、防工具扫描系统正常运行，定期开展安全检测，及时封堵安全漏洞。</w:t>
      </w:r>
      <w:r/>
    </w:p>
    <w:p>
      <w:pPr>
        <w:spacing w:line="360" w:lineRule="auto"/>
        <w:rPr>
          <w:b/>
          <w:sz w:val="24"/>
        </w:rPr>
      </w:pPr>
      <w:r>
        <w:rPr>
          <w:rFonts w:hint="eastAsia"/>
          <w:b/>
          <w:sz w:val="24"/>
        </w:rPr>
        <w:t xml:space="preserve">（</w:t>
      </w:r>
      <w:r>
        <w:rPr>
          <w:rFonts w:hint="eastAsia"/>
          <w:b/>
          <w:sz w:val="24"/>
        </w:rPr>
        <w:t xml:space="preserve">8</w:t>
      </w:r>
      <w:r>
        <w:rPr>
          <w:rFonts w:hint="eastAsia"/>
          <w:b/>
          <w:sz w:val="24"/>
        </w:rPr>
        <w:t xml:space="preserve">）</w:t>
      </w:r>
      <w:r>
        <w:rPr>
          <w:b/>
          <w:sz w:val="24"/>
        </w:rPr>
        <w:t xml:space="preserve">存量</w:t>
      </w:r>
      <w:r>
        <w:rPr>
          <w:b/>
          <w:sz w:val="24"/>
        </w:rPr>
        <w:t xml:space="preserve">DMZ</w:t>
      </w:r>
      <w:r>
        <w:rPr>
          <w:b/>
          <w:sz w:val="24"/>
        </w:rPr>
        <w:t xml:space="preserve">缓冲区运维要求</w:t>
      </w:r>
      <w:r/>
    </w:p>
    <w:p>
      <w:pPr>
        <w:pStyle w:val="836"/>
        <w:ind w:firstLine="480"/>
        <w:spacing w:line="360" w:lineRule="auto"/>
        <w:widowControl/>
        <w:rPr>
          <w:sz w:val="24"/>
        </w:rPr>
      </w:pPr>
      <w:r>
        <w:rPr>
          <w:color w:val="000000"/>
          <w:sz w:val="24"/>
        </w:rPr>
        <w:t xml:space="preserve">针对存量</w:t>
      </w:r>
      <w:r>
        <w:rPr>
          <w:color w:val="000000"/>
          <w:sz w:val="24"/>
        </w:rPr>
        <w:t xml:space="preserve">DMZ</w:t>
      </w:r>
      <w:r>
        <w:rPr>
          <w:color w:val="000000"/>
          <w:sz w:val="24"/>
        </w:rPr>
        <w:t xml:space="preserve">缓冲区的网络划分、物理隔离、数据摆渡等环节开展运维，保障不同区域业务统的运行安全，具体要求如下：</w:t>
      </w:r>
      <w:r/>
    </w:p>
    <w:p>
      <w:pPr>
        <w:pStyle w:val="836"/>
        <w:numPr>
          <w:ilvl w:val="0"/>
          <w:numId w:val="20"/>
        </w:numPr>
        <w:spacing w:line="360" w:lineRule="auto"/>
        <w:widowControl/>
        <w:tabs>
          <w:tab w:val="left" w:pos="840" w:leader="none"/>
        </w:tabs>
        <w:rPr>
          <w:color w:val="000000"/>
          <w:sz w:val="24"/>
        </w:rPr>
      </w:pPr>
      <w:r>
        <w:rPr>
          <w:color w:val="000000"/>
          <w:sz w:val="24"/>
        </w:rPr>
        <w:t xml:space="preserve">维持存量云中心业务系统的内网、</w:t>
      </w:r>
      <w:r>
        <w:rPr>
          <w:color w:val="000000"/>
          <w:sz w:val="24"/>
        </w:rPr>
        <w:t xml:space="preserve">DMZ</w:t>
      </w:r>
      <w:r>
        <w:rPr>
          <w:color w:val="000000"/>
          <w:sz w:val="24"/>
        </w:rPr>
        <w:t xml:space="preserve">区域划分标准，确保仅接受政府单位访问的系统部署在</w:t>
      </w:r>
      <w:r>
        <w:rPr>
          <w:rFonts w:hint="eastAsia"/>
          <w:color w:val="000000"/>
          <w:sz w:val="24"/>
        </w:rPr>
        <w:t xml:space="preserve">政务外网</w:t>
      </w:r>
      <w:r>
        <w:rPr>
          <w:color w:val="000000"/>
          <w:sz w:val="24"/>
        </w:rPr>
        <w:t xml:space="preserve">，接受全社会访问的业务系统部署在</w:t>
      </w:r>
      <w:r>
        <w:rPr>
          <w:color w:val="000000"/>
          <w:sz w:val="24"/>
        </w:rPr>
        <w:t xml:space="preserve">DMZ</w:t>
      </w:r>
      <w:r>
        <w:rPr>
          <w:color w:val="000000"/>
          <w:sz w:val="24"/>
        </w:rPr>
        <w:t xml:space="preserve">区域，并做好区域物理隔离的日常核查工作。</w:t>
      </w:r>
      <w:r/>
    </w:p>
    <w:p>
      <w:pPr>
        <w:pStyle w:val="836"/>
        <w:numPr>
          <w:ilvl w:val="0"/>
          <w:numId w:val="20"/>
        </w:numPr>
        <w:spacing w:line="360" w:lineRule="auto"/>
        <w:widowControl/>
        <w:tabs>
          <w:tab w:val="left" w:pos="840" w:leader="none"/>
        </w:tabs>
        <w:rPr>
          <w:color w:val="000000"/>
          <w:sz w:val="24"/>
        </w:rPr>
      </w:pPr>
      <w:r>
        <w:rPr>
          <w:color w:val="000000"/>
          <w:sz w:val="24"/>
        </w:rPr>
        <w:t xml:space="preserve">保障物理隔离网闸正常运行，做好网闸的日常巡检与维保，确保区域间需要互通的系统数据能够安全、稳定地进行摆渡，及时处置网闸运行故障。</w:t>
      </w:r>
      <w:r/>
    </w:p>
    <w:p>
      <w:pPr>
        <w:spacing w:line="360" w:lineRule="auto"/>
        <w:rPr>
          <w:b/>
          <w:sz w:val="24"/>
        </w:rPr>
      </w:pPr>
      <w:r>
        <w:rPr>
          <w:rFonts w:hint="eastAsia"/>
          <w:b/>
          <w:sz w:val="24"/>
        </w:rPr>
        <w:t xml:space="preserve">（</w:t>
      </w:r>
      <w:r>
        <w:rPr>
          <w:rFonts w:hint="eastAsia"/>
          <w:b/>
          <w:sz w:val="24"/>
        </w:rPr>
        <w:t xml:space="preserve">9</w:t>
      </w:r>
      <w:r>
        <w:rPr>
          <w:rFonts w:hint="eastAsia"/>
          <w:b/>
          <w:sz w:val="24"/>
        </w:rPr>
        <w:t xml:space="preserve">）</w:t>
      </w:r>
      <w:r>
        <w:rPr>
          <w:b/>
          <w:sz w:val="24"/>
        </w:rPr>
        <w:t xml:space="preserve">存量云平台软件运维要求</w:t>
      </w:r>
      <w:r/>
    </w:p>
    <w:p>
      <w:pPr>
        <w:pStyle w:val="836"/>
        <w:ind w:firstLine="480"/>
        <w:spacing w:line="360" w:lineRule="auto"/>
        <w:widowControl/>
        <w:rPr>
          <w:sz w:val="24"/>
        </w:rPr>
      </w:pPr>
      <w:r>
        <w:rPr>
          <w:color w:val="000000"/>
          <w:sz w:val="24"/>
        </w:rPr>
        <w:t xml:space="preserve">针对存量云平台软件开展功能维护与性能优化，确保软件系统正常运行，以适配存量资源的管理和使用需求，具体要求如下：</w:t>
      </w:r>
      <w:r/>
    </w:p>
    <w:p>
      <w:pPr>
        <w:pStyle w:val="836"/>
        <w:numPr>
          <w:ilvl w:val="0"/>
          <w:numId w:val="21"/>
        </w:numPr>
        <w:spacing w:line="360" w:lineRule="auto"/>
        <w:widowControl/>
        <w:tabs>
          <w:tab w:val="left" w:pos="840" w:leader="none"/>
        </w:tabs>
        <w:rPr>
          <w:color w:val="000000"/>
          <w:sz w:val="24"/>
        </w:rPr>
      </w:pPr>
      <w:r>
        <w:rPr>
          <w:color w:val="000000"/>
          <w:sz w:val="24"/>
        </w:rPr>
        <w:t xml:space="preserve">保障存量政务云平台</w:t>
      </w:r>
      <w:r>
        <w:rPr>
          <w:color w:val="000000"/>
          <w:sz w:val="24"/>
        </w:rPr>
        <w:t xml:space="preserve">IaaS</w:t>
      </w:r>
      <w:r>
        <w:rPr>
          <w:color w:val="000000"/>
          <w:sz w:val="24"/>
        </w:rPr>
        <w:t xml:space="preserve">层服务正常运行，做好基础设施资源（计算、存储、网络带宽等）虚拟化和池化管理的日常维护，确保资源动态分配、再分配和回收功能可用。</w:t>
      </w:r>
      <w:r/>
    </w:p>
    <w:p>
      <w:pPr>
        <w:pStyle w:val="836"/>
        <w:numPr>
          <w:ilvl w:val="0"/>
          <w:numId w:val="21"/>
        </w:numPr>
        <w:spacing w:line="360" w:lineRule="auto"/>
        <w:widowControl/>
        <w:tabs>
          <w:tab w:val="left" w:pos="840" w:leader="none"/>
        </w:tabs>
        <w:rPr>
          <w:color w:val="000000"/>
          <w:sz w:val="24"/>
        </w:rPr>
      </w:pPr>
      <w:r>
        <w:rPr>
          <w:color w:val="000000"/>
          <w:sz w:val="24"/>
        </w:rPr>
        <w:t xml:space="preserve">维护云计算平台资源分配功能，确保能够根据服务需求正常分配计算、存储和网络等资源，虚拟机自动迁移和手动迁移功能正常可用。</w:t>
      </w:r>
      <w:r/>
    </w:p>
    <w:p>
      <w:pPr>
        <w:pStyle w:val="836"/>
        <w:numPr>
          <w:ilvl w:val="0"/>
          <w:numId w:val="21"/>
        </w:numPr>
        <w:spacing w:line="360" w:lineRule="auto"/>
        <w:widowControl/>
        <w:tabs>
          <w:tab w:val="left" w:pos="840" w:leader="none"/>
        </w:tabs>
        <w:rPr>
          <w:color w:val="000000"/>
          <w:sz w:val="24"/>
        </w:rPr>
      </w:pPr>
      <w:r>
        <w:rPr>
          <w:color w:val="000000"/>
          <w:sz w:val="24"/>
        </w:rPr>
        <w:t xml:space="preserve">保障虚拟机批量部署功能正常，能够根据用户要求执行虚拟机启动、停止、重新启动、状态查询、创建模板、基于模板创建虚拟机等操作，及时处置功能异常。</w:t>
      </w:r>
      <w:r/>
    </w:p>
    <w:p>
      <w:pPr>
        <w:pStyle w:val="836"/>
        <w:numPr>
          <w:ilvl w:val="0"/>
          <w:numId w:val="21"/>
        </w:numPr>
        <w:spacing w:line="360" w:lineRule="auto"/>
        <w:widowControl/>
        <w:tabs>
          <w:tab w:val="left" w:pos="840" w:leader="none"/>
        </w:tabs>
        <w:rPr>
          <w:color w:val="000000"/>
          <w:sz w:val="24"/>
        </w:rPr>
      </w:pPr>
      <w:r>
        <w:rPr>
          <w:color w:val="000000"/>
          <w:sz w:val="24"/>
        </w:rPr>
        <w:t xml:space="preserve">维护平台对物理设备的监控功能，确保系统运行资源使用率、系统可用性等监控数据实时、准确，及时预警设备运行异常。</w:t>
      </w:r>
      <w:r/>
    </w:p>
    <w:p>
      <w:pPr>
        <w:pStyle w:val="836"/>
        <w:numPr>
          <w:ilvl w:val="0"/>
          <w:numId w:val="21"/>
        </w:numPr>
        <w:spacing w:line="360" w:lineRule="auto"/>
        <w:widowControl/>
        <w:tabs>
          <w:tab w:val="left" w:pos="840" w:leader="none"/>
        </w:tabs>
        <w:rPr>
          <w:color w:val="000000"/>
          <w:sz w:val="24"/>
        </w:rPr>
      </w:pPr>
      <w:r>
        <w:rPr>
          <w:color w:val="000000"/>
          <w:sz w:val="24"/>
        </w:rPr>
        <w:t xml:space="preserve">做好各租户云服务产品配置模板的维护，确保模板信息准确，能够满足租户对存量云服务产品的选择需求。</w:t>
      </w:r>
      <w:r/>
    </w:p>
    <w:p>
      <w:pPr>
        <w:pStyle w:val="836"/>
        <w:numPr>
          <w:ilvl w:val="0"/>
          <w:numId w:val="21"/>
        </w:numPr>
        <w:spacing w:line="360" w:lineRule="auto"/>
        <w:widowControl/>
        <w:tabs>
          <w:tab w:val="left" w:pos="840" w:leader="none"/>
        </w:tabs>
        <w:rPr>
          <w:color w:val="000000"/>
          <w:sz w:val="24"/>
        </w:rPr>
      </w:pPr>
      <w:r>
        <w:rPr>
          <w:color w:val="000000"/>
          <w:sz w:val="24"/>
        </w:rPr>
        <w:t xml:space="preserve">保障存量云业务审批流程顺畅，确保用户申请－主管单位审批－平台开通资源－通知反馈的全流程正常运行。</w:t>
      </w:r>
      <w:r/>
    </w:p>
    <w:p>
      <w:pPr>
        <w:pStyle w:val="836"/>
        <w:numPr>
          <w:ilvl w:val="0"/>
          <w:numId w:val="21"/>
        </w:numPr>
        <w:spacing w:line="360" w:lineRule="auto"/>
        <w:widowControl/>
        <w:tabs>
          <w:tab w:val="left" w:pos="840" w:leader="none"/>
        </w:tabs>
        <w:rPr>
          <w:color w:val="000000"/>
          <w:sz w:val="24"/>
        </w:rPr>
      </w:pPr>
      <w:r>
        <w:rPr>
          <w:color w:val="000000"/>
          <w:sz w:val="24"/>
        </w:rPr>
        <w:t xml:space="preserve">确保能够按照现有规则以月、年为周期对存量资源进行计费统计，计费数据准确无误。</w:t>
      </w:r>
      <w:r/>
    </w:p>
    <w:p>
      <w:pPr>
        <w:spacing w:line="360" w:lineRule="auto"/>
        <w:rPr>
          <w:b/>
          <w:sz w:val="24"/>
        </w:rPr>
      </w:pPr>
      <w:r>
        <w:rPr>
          <w:rFonts w:hint="eastAsia"/>
          <w:b/>
          <w:sz w:val="24"/>
        </w:rPr>
        <w:t xml:space="preserve">（</w:t>
      </w:r>
      <w:r>
        <w:rPr>
          <w:rFonts w:hint="eastAsia"/>
          <w:b/>
          <w:sz w:val="24"/>
        </w:rPr>
        <w:t xml:space="preserve">10</w:t>
      </w:r>
      <w:r>
        <w:rPr>
          <w:rFonts w:hint="eastAsia"/>
          <w:b/>
          <w:sz w:val="24"/>
        </w:rPr>
        <w:t xml:space="preserve">）</w:t>
      </w:r>
      <w:r>
        <w:rPr>
          <w:b/>
          <w:sz w:val="24"/>
        </w:rPr>
        <w:t xml:space="preserve">存量数据备份运维要求</w:t>
      </w:r>
      <w:r/>
    </w:p>
    <w:p>
      <w:pPr>
        <w:pStyle w:val="836"/>
        <w:ind w:firstLine="480"/>
        <w:spacing w:line="360" w:lineRule="auto"/>
        <w:widowControl/>
        <w:rPr>
          <w:color w:val="000000"/>
          <w:sz w:val="24"/>
        </w:rPr>
      </w:pPr>
      <w:r>
        <w:rPr>
          <w:color w:val="000000"/>
          <w:sz w:val="24"/>
        </w:rPr>
        <w:t xml:space="preserve">针对存量数据备份设施、系统开展专业化运维，保障</w:t>
      </w:r>
      <w:r>
        <w:rPr>
          <w:rFonts w:hint="eastAsia"/>
          <w:color w:val="000000"/>
          <w:sz w:val="24"/>
        </w:rPr>
        <w:t xml:space="preserve">存量</w:t>
      </w:r>
      <w:r>
        <w:rPr>
          <w:color w:val="000000"/>
          <w:sz w:val="24"/>
        </w:rPr>
        <w:t xml:space="preserve">数据备份、恢复功能正常，提升存量数据的可靠性和安全性，具体要求如下：</w:t>
      </w:r>
      <w:r/>
    </w:p>
    <w:p>
      <w:pPr>
        <w:pStyle w:val="836"/>
        <w:numPr>
          <w:ilvl w:val="0"/>
          <w:numId w:val="22"/>
        </w:numPr>
        <w:spacing w:line="360" w:lineRule="auto"/>
        <w:widowControl/>
        <w:tabs>
          <w:tab w:val="left" w:pos="840" w:leader="none"/>
        </w:tabs>
        <w:rPr>
          <w:color w:val="000000"/>
          <w:sz w:val="24"/>
        </w:rPr>
      </w:pPr>
      <w:r>
        <w:rPr>
          <w:color w:val="000000"/>
          <w:sz w:val="24"/>
        </w:rPr>
        <w:t xml:space="preserve">保障存量备份一体机正常运行，做好设备的日常巡检、维保和性能优化，确保</w:t>
      </w:r>
      <w:r>
        <w:rPr>
          <w:rFonts w:hint="eastAsia"/>
          <w:color w:val="000000"/>
          <w:sz w:val="24"/>
        </w:rPr>
        <w:t xml:space="preserve">存量部分</w:t>
      </w:r>
      <w:r>
        <w:rPr>
          <w:color w:val="000000"/>
          <w:sz w:val="24"/>
        </w:rPr>
        <w:t xml:space="preserve">政务系统云备份平台稳定运行。</w:t>
      </w:r>
      <w:r/>
    </w:p>
    <w:p>
      <w:pPr>
        <w:pStyle w:val="836"/>
        <w:numPr>
          <w:ilvl w:val="0"/>
          <w:numId w:val="22"/>
        </w:numPr>
        <w:spacing w:line="360" w:lineRule="auto"/>
        <w:widowControl/>
        <w:tabs>
          <w:tab w:val="left" w:pos="840" w:leader="none"/>
        </w:tabs>
        <w:rPr>
          <w:color w:val="000000"/>
          <w:sz w:val="24"/>
        </w:rPr>
      </w:pPr>
      <w:r>
        <w:rPr>
          <w:sz w:val="24"/>
        </w:rPr>
        <w:t xml:space="preserve">定期验证存量系统备份数据的可恢复性，开展恢复演练，确保数据在灾难情况下可及时恢复。</w:t>
      </w:r>
      <w:r/>
    </w:p>
    <w:p>
      <w:pPr>
        <w:pStyle w:val="836"/>
        <w:numPr>
          <w:ilvl w:val="0"/>
          <w:numId w:val="22"/>
        </w:numPr>
        <w:spacing w:line="360" w:lineRule="auto"/>
        <w:widowControl/>
        <w:tabs>
          <w:tab w:val="left" w:pos="840" w:leader="none"/>
        </w:tabs>
        <w:rPr>
          <w:color w:val="000000"/>
          <w:sz w:val="24"/>
        </w:rPr>
      </w:pPr>
      <w:r>
        <w:rPr>
          <w:color w:val="000000"/>
          <w:sz w:val="24"/>
        </w:rPr>
        <w:t xml:space="preserve">做好存量云备份平台的数据隐私保护，定期核查数据备份流程，避免因运维操作导致数据泄露。</w:t>
      </w:r>
      <w:r/>
    </w:p>
    <w:p>
      <w:pPr>
        <w:pStyle w:val="836"/>
        <w:numPr>
          <w:ilvl w:val="0"/>
          <w:numId w:val="22"/>
        </w:numPr>
        <w:spacing w:line="360" w:lineRule="auto"/>
        <w:widowControl/>
        <w:tabs>
          <w:tab w:val="left" w:pos="840" w:leader="none"/>
        </w:tabs>
        <w:rPr>
          <w:color w:val="000000"/>
          <w:sz w:val="24"/>
        </w:rPr>
      </w:pPr>
      <w:r>
        <w:rPr>
          <w:color w:val="000000"/>
          <w:sz w:val="24"/>
        </w:rPr>
        <w:t xml:space="preserve">若有外部数据中心资源，做好存量备份设备的运行状态监控，确保备份设备迁移后能够正常发挥数据容灾备份中心的作用。</w:t>
      </w:r>
      <w:r/>
    </w:p>
    <w:p>
      <w:pPr>
        <w:spacing w:line="360" w:lineRule="auto"/>
        <w:rPr>
          <w:b/>
          <w:sz w:val="24"/>
        </w:rPr>
      </w:pPr>
      <w:r>
        <w:rPr>
          <w:rFonts w:hint="eastAsia"/>
          <w:b/>
          <w:sz w:val="24"/>
        </w:rPr>
        <w:t xml:space="preserve">（</w:t>
      </w:r>
      <w:r>
        <w:rPr>
          <w:rFonts w:hint="eastAsia"/>
          <w:b/>
          <w:sz w:val="24"/>
        </w:rPr>
        <w:t xml:space="preserve">11</w:t>
      </w:r>
      <w:r>
        <w:rPr>
          <w:rFonts w:hint="eastAsia"/>
          <w:b/>
          <w:sz w:val="24"/>
        </w:rPr>
        <w:t xml:space="preserve">）</w:t>
      </w:r>
      <w:r>
        <w:rPr>
          <w:b/>
          <w:sz w:val="24"/>
        </w:rPr>
        <w:t xml:space="preserve">存量运维服务人员与能力要求</w:t>
      </w:r>
      <w:r/>
    </w:p>
    <w:p>
      <w:pPr>
        <w:pStyle w:val="836"/>
        <w:numPr>
          <w:ilvl w:val="0"/>
          <w:numId w:val="23"/>
        </w:numPr>
        <w:spacing w:line="360" w:lineRule="auto"/>
        <w:widowControl/>
        <w:tabs>
          <w:tab w:val="left" w:pos="840" w:leader="none"/>
        </w:tabs>
        <w:rPr>
          <w:color w:val="000000"/>
          <w:sz w:val="24"/>
        </w:rPr>
      </w:pPr>
      <w:r>
        <w:rPr>
          <w:color w:val="000000"/>
          <w:sz w:val="24"/>
        </w:rPr>
        <w:t xml:space="preserve">组建固定的</w:t>
      </w:r>
      <w:r>
        <w:rPr>
          <w:rFonts w:hint="eastAsia"/>
          <w:color w:val="000000"/>
          <w:sz w:val="24"/>
        </w:rPr>
        <w:t xml:space="preserve">存量</w:t>
      </w:r>
      <w:r>
        <w:rPr>
          <w:color w:val="000000"/>
          <w:sz w:val="24"/>
        </w:rPr>
        <w:t xml:space="preserve">云计算平台运维团队，团队成员不少于</w:t>
      </w:r>
      <w:r>
        <w:rPr>
          <w:rFonts w:hint="eastAsia"/>
          <w:color w:val="000000"/>
          <w:sz w:val="24"/>
        </w:rPr>
        <w:t xml:space="preserve">5</w:t>
      </w:r>
      <w:r>
        <w:rPr>
          <w:color w:val="000000"/>
          <w:sz w:val="24"/>
        </w:rPr>
        <w:t xml:space="preserve">人，专人专职负责宜兴存量资源的全流程运维工作。</w:t>
      </w:r>
      <w:r/>
    </w:p>
    <w:p>
      <w:pPr>
        <w:pStyle w:val="836"/>
        <w:numPr>
          <w:ilvl w:val="0"/>
          <w:numId w:val="23"/>
        </w:numPr>
        <w:spacing w:line="360" w:lineRule="auto"/>
        <w:widowControl/>
        <w:tabs>
          <w:tab w:val="left" w:pos="840" w:leader="none"/>
        </w:tabs>
        <w:rPr>
          <w:color w:val="000000"/>
          <w:sz w:val="24"/>
        </w:rPr>
      </w:pPr>
      <w:r>
        <w:rPr>
          <w:color w:val="000000"/>
          <w:sz w:val="24"/>
        </w:rPr>
        <w:t xml:space="preserve">运维团队成员须具备网络、服务器、存储、虚拟化等软硬件领域专业知识，并全部具备</w:t>
      </w:r>
      <w:r>
        <w:rPr>
          <w:color w:val="000000"/>
          <w:sz w:val="24"/>
        </w:rPr>
        <w:t xml:space="preserve">3</w:t>
      </w:r>
      <w:r>
        <w:rPr>
          <w:color w:val="000000"/>
          <w:sz w:val="24"/>
        </w:rPr>
        <w:t xml:space="preserve">年以上运维经验，能够独立处置存量资源运行中的各类技术问题。</w:t>
      </w:r>
      <w:r/>
    </w:p>
    <w:p>
      <w:pPr>
        <w:pStyle w:val="836"/>
        <w:numPr>
          <w:ilvl w:val="0"/>
          <w:numId w:val="23"/>
        </w:numPr>
        <w:spacing w:line="360" w:lineRule="auto"/>
        <w:widowControl/>
        <w:tabs>
          <w:tab w:val="left" w:pos="840" w:leader="none"/>
        </w:tabs>
        <w:rPr>
          <w:color w:val="000000"/>
          <w:sz w:val="24"/>
        </w:rPr>
      </w:pPr>
      <w:r>
        <w:rPr>
          <w:color w:val="000000"/>
          <w:sz w:val="24"/>
        </w:rPr>
        <w:t xml:space="preserve">保障云计算数据中心环境及安防设施实时监控系统正常运行，严格执行</w:t>
      </w:r>
      <w:r>
        <w:rPr>
          <w:color w:val="000000"/>
          <w:sz w:val="24"/>
        </w:rPr>
        <w:t xml:space="preserve">24</w:t>
      </w:r>
      <w:r>
        <w:rPr>
          <w:color w:val="000000"/>
          <w:sz w:val="24"/>
        </w:rPr>
        <w:t xml:space="preserve">小时值守制度，确保值守人员及时发现并处置存量资源运行异常。</w:t>
      </w:r>
      <w:r/>
    </w:p>
    <w:p>
      <w:pPr>
        <w:pStyle w:val="836"/>
        <w:numPr>
          <w:ilvl w:val="0"/>
          <w:numId w:val="23"/>
        </w:numPr>
        <w:spacing w:line="360" w:lineRule="auto"/>
        <w:widowControl/>
        <w:tabs>
          <w:tab w:val="left" w:pos="840" w:leader="none"/>
        </w:tabs>
        <w:rPr>
          <w:color w:val="000000"/>
          <w:sz w:val="24"/>
        </w:rPr>
      </w:pPr>
      <w:r>
        <w:rPr>
          <w:color w:val="000000"/>
          <w:sz w:val="24"/>
        </w:rPr>
        <w:t xml:space="preserve">提供</w:t>
      </w:r>
      <w:r>
        <w:rPr>
          <w:color w:val="000000"/>
          <w:sz w:val="24"/>
        </w:rPr>
        <w:t xml:space="preserve">7×24</w:t>
      </w:r>
      <w:r>
        <w:rPr>
          <w:color w:val="000000"/>
          <w:sz w:val="24"/>
        </w:rPr>
        <w:t xml:space="preserve">小时全方位运维支持，通过电话、</w:t>
      </w:r>
      <w:r>
        <w:rPr>
          <w:rFonts w:hint="eastAsia"/>
          <w:color w:val="000000"/>
          <w:sz w:val="24"/>
        </w:rPr>
        <w:t xml:space="preserve">远程</w:t>
      </w:r>
      <w:r>
        <w:rPr>
          <w:color w:val="000000"/>
          <w:sz w:val="24"/>
        </w:rPr>
        <w:t xml:space="preserve">、现场等多种方式，为客户解决存量资源支撑的系统运行中的软硬件问题。</w:t>
      </w:r>
      <w:r/>
    </w:p>
    <w:p>
      <w:pPr>
        <w:pStyle w:val="836"/>
        <w:numPr>
          <w:ilvl w:val="0"/>
          <w:numId w:val="23"/>
        </w:numPr>
        <w:spacing w:line="360" w:lineRule="auto"/>
        <w:widowControl/>
        <w:tabs>
          <w:tab w:val="left" w:pos="840" w:leader="none"/>
        </w:tabs>
        <w:rPr>
          <w:color w:val="000000"/>
          <w:sz w:val="24"/>
        </w:rPr>
      </w:pPr>
      <w:r>
        <w:rPr>
          <w:color w:val="000000"/>
          <w:sz w:val="24"/>
        </w:rPr>
        <w:t xml:space="preserve">配置完善的云服务运维管理工具，做好工具的日常维护和功能优化，实现对存量云计算数据中心机房环境、服务器、虚拟机、存储、网络、安全等设备资源使用情况与运行状态进行实时监控管理。</w:t>
      </w:r>
      <w:r/>
    </w:p>
    <w:p>
      <w:pPr>
        <w:pStyle w:val="836"/>
        <w:numPr>
          <w:ilvl w:val="0"/>
          <w:numId w:val="23"/>
        </w:numPr>
        <w:spacing w:line="360" w:lineRule="auto"/>
        <w:widowControl/>
        <w:tabs>
          <w:tab w:val="left" w:pos="840" w:leader="none"/>
        </w:tabs>
        <w:rPr>
          <w:color w:val="000000"/>
          <w:sz w:val="24"/>
        </w:rPr>
      </w:pPr>
      <w:r>
        <w:rPr>
          <w:color w:val="000000"/>
          <w:sz w:val="24"/>
        </w:rPr>
        <w:t xml:space="preserve">系统可用性专项要求：</w:t>
      </w:r>
      <w:r/>
    </w:p>
    <w:p>
      <w:pPr>
        <w:pStyle w:val="836"/>
        <w:numPr>
          <w:ilvl w:val="0"/>
          <w:numId w:val="24"/>
        </w:numPr>
        <w:spacing w:line="360" w:lineRule="auto"/>
        <w:widowControl/>
        <w:tabs>
          <w:tab w:val="clear" w:pos="210" w:leader="none"/>
          <w:tab w:val="left" w:pos="879" w:leader="none"/>
        </w:tabs>
        <w:rPr>
          <w:color w:val="000000"/>
          <w:sz w:val="24"/>
        </w:rPr>
      </w:pPr>
      <w:r>
        <w:rPr>
          <w:color w:val="000000"/>
          <w:sz w:val="24"/>
        </w:rPr>
        <w:t xml:space="preserve">确保存量资源所支撑的各个应用系统可用性不低于</w:t>
      </w:r>
      <w:r>
        <w:rPr>
          <w:color w:val="000000"/>
          <w:sz w:val="24"/>
        </w:rPr>
        <w:t xml:space="preserve">99.9%</w:t>
      </w:r>
      <w:r>
        <w:rPr>
          <w:color w:val="000000"/>
          <w:sz w:val="24"/>
        </w:rPr>
        <w:t xml:space="preserve">。</w:t>
      </w:r>
      <w:r/>
    </w:p>
    <w:p>
      <w:pPr>
        <w:pStyle w:val="836"/>
        <w:numPr>
          <w:ilvl w:val="0"/>
          <w:numId w:val="24"/>
        </w:numPr>
        <w:spacing w:line="360" w:lineRule="auto"/>
        <w:widowControl/>
        <w:tabs>
          <w:tab w:val="clear" w:pos="210" w:leader="none"/>
          <w:tab w:val="left" w:pos="879" w:leader="none"/>
        </w:tabs>
        <w:rPr>
          <w:color w:val="000000"/>
          <w:sz w:val="24"/>
        </w:rPr>
      </w:pPr>
      <w:r>
        <w:rPr>
          <w:color w:val="000000"/>
          <w:sz w:val="24"/>
        </w:rPr>
        <w:t xml:space="preserve">系统可用性计算公式为：系统可用性</w:t>
      </w:r>
      <w:r>
        <w:rPr>
          <w:color w:val="000000"/>
          <w:sz w:val="24"/>
        </w:rPr>
        <w:t xml:space="preserve">=</w:t>
      </w:r>
      <w:r>
        <w:rPr>
          <w:color w:val="000000"/>
          <w:sz w:val="24"/>
        </w:rPr>
        <w:t xml:space="preserve">（</w:t>
      </w:r>
      <w:r>
        <w:rPr>
          <w:color w:val="000000"/>
          <w:sz w:val="24"/>
        </w:rPr>
        <w:t xml:space="preserve">365×24×60×60</w:t>
      </w:r>
      <w:r>
        <w:rPr>
          <w:color w:val="000000"/>
          <w:sz w:val="24"/>
        </w:rPr>
        <w:t xml:space="preserve">秒－单个应用失效时间之和（秒））</w:t>
      </w:r>
      <w:r>
        <w:rPr>
          <w:color w:val="000000"/>
          <w:sz w:val="24"/>
        </w:rPr>
        <w:t xml:space="preserve">/</w:t>
      </w:r>
      <w:r>
        <w:rPr>
          <w:color w:val="000000"/>
          <w:sz w:val="24"/>
        </w:rPr>
        <w:t xml:space="preserve">（</w:t>
      </w:r>
      <w:r>
        <w:rPr>
          <w:color w:val="000000"/>
          <w:sz w:val="24"/>
        </w:rPr>
        <w:t xml:space="preserve">365×24×60×60</w:t>
      </w:r>
      <w:r>
        <w:rPr>
          <w:color w:val="000000"/>
          <w:sz w:val="24"/>
        </w:rPr>
        <w:t xml:space="preserve">秒）。全年单个政务应用因存量资源运维问题导致的失效时间之和不得超过</w:t>
      </w:r>
      <w:r>
        <w:rPr>
          <w:color w:val="000000"/>
          <w:sz w:val="24"/>
        </w:rPr>
        <w:t xml:space="preserve">262.8</w:t>
      </w:r>
      <w:r>
        <w:rPr>
          <w:color w:val="000000"/>
          <w:sz w:val="24"/>
        </w:rPr>
        <w:t xml:space="preserve">分钟。</w:t>
      </w:r>
      <w:r/>
    </w:p>
    <w:p>
      <w:pPr>
        <w:pStyle w:val="836"/>
        <w:numPr>
          <w:ilvl w:val="0"/>
          <w:numId w:val="24"/>
        </w:numPr>
        <w:spacing w:line="360" w:lineRule="auto"/>
        <w:widowControl/>
        <w:tabs>
          <w:tab w:val="clear" w:pos="210" w:leader="none"/>
          <w:tab w:val="left" w:pos="879" w:leader="none"/>
        </w:tabs>
        <w:rPr>
          <w:color w:val="000000"/>
          <w:sz w:val="24"/>
        </w:rPr>
      </w:pPr>
      <w:r>
        <w:rPr>
          <w:color w:val="000000"/>
          <w:sz w:val="24"/>
        </w:rPr>
        <w:t xml:space="preserve">应用失效时间的界定：因供应商所提供的机房、网络、安全、虚拟机、物理机、存储、运维等服务出现问题，致使存量资源支撑的应用系统失效的时间。</w:t>
      </w:r>
      <w:r/>
    </w:p>
    <w:p>
      <w:pPr>
        <w:pStyle w:val="836"/>
        <w:numPr>
          <w:ilvl w:val="0"/>
          <w:numId w:val="24"/>
        </w:numPr>
        <w:spacing w:line="360" w:lineRule="auto"/>
        <w:widowControl/>
        <w:tabs>
          <w:tab w:val="clear" w:pos="210" w:leader="none"/>
          <w:tab w:val="left" w:pos="879" w:leader="none"/>
        </w:tabs>
        <w:rPr>
          <w:sz w:val="24"/>
        </w:rPr>
      </w:pPr>
      <w:r>
        <w:rPr>
          <w:color w:val="000000"/>
          <w:sz w:val="24"/>
        </w:rPr>
        <w:t xml:space="preserve">经用户方认定，由非供应商原因引发的系统失效时间，不计入上述统计范围。</w:t>
      </w:r>
      <w:r/>
    </w:p>
    <w:p>
      <w:pPr>
        <w:spacing w:line="360" w:lineRule="auto"/>
        <w:rPr>
          <w:b/>
          <w:sz w:val="24"/>
        </w:rPr>
      </w:pPr>
      <w:r>
        <w:rPr>
          <w:rFonts w:hint="eastAsia"/>
          <w:b/>
          <w:sz w:val="24"/>
        </w:rPr>
        <w:t xml:space="preserve">（</w:t>
      </w:r>
      <w:r>
        <w:rPr>
          <w:rFonts w:hint="eastAsia"/>
          <w:b/>
          <w:sz w:val="24"/>
        </w:rPr>
        <w:t xml:space="preserve">12</w:t>
      </w:r>
      <w:r>
        <w:rPr>
          <w:rFonts w:hint="eastAsia"/>
          <w:b/>
          <w:sz w:val="24"/>
        </w:rPr>
        <w:t xml:space="preserve">）</w:t>
      </w:r>
      <w:r>
        <w:rPr>
          <w:b/>
          <w:sz w:val="24"/>
        </w:rPr>
        <w:t xml:space="preserve">运维服务</w:t>
      </w:r>
      <w:r>
        <w:rPr>
          <w:rFonts w:hint="eastAsia"/>
          <w:b/>
          <w:sz w:val="24"/>
        </w:rPr>
        <w:t xml:space="preserve">处罚</w:t>
      </w:r>
      <w:r>
        <w:rPr>
          <w:b/>
          <w:sz w:val="24"/>
        </w:rPr>
        <w:t xml:space="preserve">事项</w:t>
      </w:r>
      <w:r/>
    </w:p>
    <w:p>
      <w:pPr>
        <w:pStyle w:val="836"/>
        <w:ind w:firstLine="480"/>
        <w:spacing w:line="360" w:lineRule="auto"/>
        <w:widowControl/>
        <w:rPr>
          <w:sz w:val="24"/>
        </w:rPr>
      </w:pPr>
      <w:r>
        <w:rPr>
          <w:color w:val="000000"/>
          <w:sz w:val="24"/>
        </w:rPr>
        <w:t xml:space="preserve">针对存量运维服务过程中未达成上述要求的情况，按以下标准执行</w:t>
      </w:r>
      <w:r>
        <w:rPr>
          <w:rFonts w:hint="eastAsia"/>
          <w:color w:val="000000"/>
          <w:sz w:val="24"/>
        </w:rPr>
        <w:t xml:space="preserve">处罚，相应</w:t>
      </w:r>
      <w:r>
        <w:rPr>
          <w:color w:val="000000"/>
          <w:sz w:val="24"/>
        </w:rPr>
        <w:t xml:space="preserve">金额从运维服务费用中扣除：</w:t>
      </w:r>
      <w:r/>
    </w:p>
    <w:p>
      <w:pPr>
        <w:pStyle w:val="836"/>
        <w:numPr>
          <w:ilvl w:val="0"/>
          <w:numId w:val="25"/>
        </w:numPr>
        <w:spacing w:line="360" w:lineRule="auto"/>
        <w:widowControl/>
        <w:tabs>
          <w:tab w:val="left" w:pos="840" w:leader="none"/>
        </w:tabs>
        <w:rPr>
          <w:sz w:val="24"/>
        </w:rPr>
      </w:pPr>
      <w:r>
        <w:rPr>
          <w:color w:val="000000"/>
          <w:sz w:val="24"/>
        </w:rPr>
        <w:t xml:space="preserve">收到市主管部门发布的</w:t>
      </w:r>
      <w:r>
        <w:rPr>
          <w:color w:val="000000"/>
          <w:sz w:val="24"/>
        </w:rPr>
        <w:t xml:space="preserve">“</w:t>
      </w:r>
      <w:r>
        <w:rPr>
          <w:rFonts w:hint="eastAsia"/>
          <w:color w:val="000000"/>
          <w:sz w:val="24"/>
        </w:rPr>
        <w:t xml:space="preserve">存量</w:t>
      </w:r>
      <w:r>
        <w:rPr>
          <w:color w:val="000000"/>
          <w:sz w:val="24"/>
        </w:rPr>
        <w:t xml:space="preserve">政务云资源申请</w:t>
      </w:r>
      <w:r>
        <w:rPr>
          <w:color w:val="000000"/>
          <w:sz w:val="24"/>
        </w:rPr>
        <w:t xml:space="preserve">/</w:t>
      </w:r>
      <w:r>
        <w:rPr>
          <w:color w:val="000000"/>
          <w:sz w:val="24"/>
        </w:rPr>
        <w:t xml:space="preserve">变更表</w:t>
      </w:r>
      <w:r>
        <w:rPr>
          <w:color w:val="000000"/>
          <w:sz w:val="24"/>
        </w:rPr>
        <w:t xml:space="preserve">”</w:t>
      </w:r>
      <w:r>
        <w:rPr>
          <w:color w:val="000000"/>
          <w:sz w:val="24"/>
        </w:rPr>
        <w:t xml:space="preserve">后，若未在</w:t>
      </w:r>
      <w:r>
        <w:rPr>
          <w:color w:val="000000"/>
          <w:sz w:val="24"/>
        </w:rPr>
        <w:t xml:space="preserve">2</w:t>
      </w:r>
      <w:r>
        <w:rPr>
          <w:color w:val="000000"/>
          <w:sz w:val="24"/>
        </w:rPr>
        <w:t xml:space="preserve">个工作日内完成存量云资源开通</w:t>
      </w:r>
      <w:r>
        <w:rPr>
          <w:color w:val="000000"/>
          <w:sz w:val="24"/>
        </w:rPr>
        <w:t xml:space="preserve">/</w:t>
      </w:r>
      <w:r>
        <w:rPr>
          <w:color w:val="000000"/>
          <w:sz w:val="24"/>
        </w:rPr>
        <w:t xml:space="preserve">变更配套运维操作，每延迟一周，按该申请单确定的云服务总价的</w:t>
      </w:r>
      <w:r>
        <w:rPr>
          <w:color w:val="000000"/>
          <w:sz w:val="24"/>
        </w:rPr>
        <w:t xml:space="preserve">1%</w:t>
      </w:r>
      <w:r>
        <w:rPr>
          <w:color w:val="000000"/>
          <w:sz w:val="24"/>
        </w:rPr>
        <w:t xml:space="preserve">进行扣款。</w:t>
      </w:r>
      <w:r/>
    </w:p>
    <w:p>
      <w:pPr>
        <w:pStyle w:val="836"/>
        <w:numPr>
          <w:ilvl w:val="0"/>
          <w:numId w:val="25"/>
        </w:numPr>
        <w:spacing w:line="360" w:lineRule="auto"/>
        <w:widowControl/>
        <w:tabs>
          <w:tab w:val="left" w:pos="840" w:leader="none"/>
        </w:tabs>
        <w:rPr>
          <w:sz w:val="24"/>
        </w:rPr>
      </w:pPr>
      <w:r>
        <w:rPr>
          <w:color w:val="000000"/>
          <w:sz w:val="24"/>
        </w:rPr>
        <w:t xml:space="preserve">全年单个政务应用因运维问题导致的失效时间之和超过</w:t>
      </w:r>
      <w:r>
        <w:rPr>
          <w:color w:val="000000"/>
          <w:sz w:val="24"/>
        </w:rPr>
        <w:t xml:space="preserve">262.8</w:t>
      </w:r>
      <w:r>
        <w:rPr>
          <w:color w:val="000000"/>
          <w:sz w:val="24"/>
        </w:rPr>
        <w:t xml:space="preserve">分钟的，超出部分按每分钟</w:t>
      </w:r>
      <w:r>
        <w:rPr>
          <w:color w:val="000000"/>
          <w:sz w:val="24"/>
        </w:rPr>
        <w:t xml:space="preserve">50</w:t>
      </w:r>
      <w:r>
        <w:rPr>
          <w:color w:val="000000"/>
          <w:sz w:val="24"/>
        </w:rPr>
        <w:t xml:space="preserve">元人民币的标准扣款。</w:t>
      </w:r>
      <w:r/>
    </w:p>
    <w:p>
      <w:pPr>
        <w:pStyle w:val="836"/>
        <w:numPr>
          <w:ilvl w:val="0"/>
          <w:numId w:val="25"/>
        </w:numPr>
        <w:spacing w:line="360" w:lineRule="auto"/>
        <w:widowControl/>
        <w:tabs>
          <w:tab w:val="left" w:pos="840" w:leader="none"/>
        </w:tabs>
        <w:rPr>
          <w:sz w:val="24"/>
        </w:rPr>
      </w:pPr>
      <w:r>
        <w:rPr>
          <w:color w:val="000000"/>
          <w:sz w:val="24"/>
        </w:rPr>
        <w:t xml:space="preserve">因供应商运维不当导致发生安全责任事故的，根据安全事故的类型和影响程度，扣除</w:t>
      </w:r>
      <w:r>
        <w:rPr>
          <w:color w:val="000000"/>
          <w:sz w:val="24"/>
        </w:rPr>
        <w:t xml:space="preserve">0.1</w:t>
      </w:r>
      <w:r>
        <w:rPr>
          <w:color w:val="000000"/>
          <w:sz w:val="24"/>
        </w:rPr>
        <w:t xml:space="preserve">万元</w:t>
      </w:r>
      <w:r>
        <w:rPr>
          <w:color w:val="000000"/>
          <w:sz w:val="24"/>
        </w:rPr>
        <w:t xml:space="preserve">-3</w:t>
      </w:r>
      <w:r>
        <w:rPr>
          <w:color w:val="000000"/>
          <w:sz w:val="24"/>
        </w:rPr>
        <w:t xml:space="preserve">万元运维服务款。</w:t>
      </w:r>
      <w:r/>
    </w:p>
    <w:p>
      <w:pPr>
        <w:pStyle w:val="836"/>
        <w:numPr>
          <w:ilvl w:val="0"/>
          <w:numId w:val="25"/>
        </w:numPr>
        <w:spacing w:line="360" w:lineRule="auto"/>
        <w:widowControl/>
        <w:tabs>
          <w:tab w:val="left" w:pos="840" w:leader="none"/>
        </w:tabs>
      </w:pPr>
      <w:r>
        <w:rPr>
          <w:color w:val="000000"/>
          <w:sz w:val="24"/>
        </w:rPr>
        <w:t xml:space="preserve">因供应商运维疏漏导致发生数据外泄等系统保密事件的，每发生一次扣减运维服务费</w:t>
      </w:r>
      <w:r>
        <w:rPr>
          <w:color w:val="000000"/>
          <w:sz w:val="24"/>
        </w:rPr>
        <w:t xml:space="preserve">3</w:t>
      </w:r>
      <w:r>
        <w:rPr>
          <w:color w:val="000000"/>
          <w:sz w:val="24"/>
        </w:rPr>
        <w:t xml:space="preserve">万元，并按国家相关规定追究其他相应责任。</w:t>
      </w:r>
      <w:r/>
    </w:p>
    <w:p>
      <w:pPr>
        <w:pStyle w:val="836"/>
        <w:numPr>
          <w:ilvl w:val="0"/>
          <w:numId w:val="25"/>
        </w:numPr>
        <w:spacing w:line="360" w:lineRule="auto"/>
        <w:widowControl/>
        <w:tabs>
          <w:tab w:val="left" w:pos="840" w:leader="none"/>
        </w:tabs>
      </w:pPr>
      <w:r>
        <w:rPr>
          <w:sz w:val="24"/>
        </w:rPr>
        <w:t xml:space="preserve">若</w:t>
      </w:r>
      <w:r>
        <w:rPr>
          <w:rFonts w:hint="eastAsia"/>
          <w:sz w:val="24"/>
        </w:rPr>
        <w:t xml:space="preserve">非不可抗力原因，造成所有服务同时中断</w:t>
      </w:r>
      <w:r>
        <w:rPr>
          <w:rFonts w:hint="eastAsia"/>
          <w:sz w:val="24"/>
        </w:rPr>
        <w:t xml:space="preserve">15</w:t>
      </w:r>
      <w:r>
        <w:rPr>
          <w:rFonts w:hint="eastAsia"/>
          <w:sz w:val="24"/>
        </w:rPr>
        <w:t xml:space="preserve">天以上的，甲方有权单方面解除协议。</w:t>
      </w:r>
      <w:r/>
    </w:p>
    <w:p>
      <w:pPr>
        <w:spacing w:line="360" w:lineRule="auto"/>
        <w:rPr>
          <w:b/>
          <w:sz w:val="24"/>
        </w:rPr>
      </w:pPr>
      <w:r>
        <w:rPr>
          <w:rFonts w:hint="eastAsia"/>
          <w:b/>
          <w:sz w:val="24"/>
        </w:rPr>
        <w:t xml:space="preserve">（二）</w:t>
      </w:r>
      <w:r>
        <w:rPr>
          <w:b/>
          <w:sz w:val="24"/>
        </w:rPr>
        <w:t xml:space="preserve">存量运维服务流程</w:t>
      </w:r>
      <w:r/>
    </w:p>
    <w:p>
      <w:pPr>
        <w:pStyle w:val="836"/>
        <w:ind w:firstLine="480"/>
        <w:spacing w:line="360" w:lineRule="auto"/>
        <w:widowControl/>
        <w:rPr>
          <w:color w:val="000000"/>
          <w:sz w:val="24"/>
        </w:rPr>
      </w:pPr>
      <w:r>
        <w:rPr>
          <w:color w:val="000000"/>
          <w:sz w:val="24"/>
        </w:rPr>
        <w:t xml:space="preserve">供应商针对无锡市政务云骨干节点宜兴存量资源，为云用户提供标准化、全流程的运维服务。服务流程分为服务申请配套运维、系统上线配套运维、日常服务运维、服务终止配套运维四个阶段，各阶段运维要求如下：</w:t>
      </w:r>
      <w:r/>
    </w:p>
    <w:p>
      <w:pPr>
        <w:pStyle w:val="836"/>
        <w:numPr>
          <w:ilvl w:val="0"/>
          <w:numId w:val="26"/>
        </w:numPr>
        <w:ind w:firstLine="482"/>
        <w:spacing w:line="360" w:lineRule="auto"/>
        <w:widowControl/>
        <w:tabs>
          <w:tab w:val="left" w:pos="840" w:leader="none"/>
        </w:tabs>
        <w:rPr>
          <w:color w:val="000000"/>
          <w:sz w:val="24"/>
        </w:rPr>
      </w:pPr>
      <w:r>
        <w:rPr>
          <w:rStyle w:val="879"/>
          <w:color w:val="000000"/>
          <w:sz w:val="24"/>
        </w:rPr>
        <w:t xml:space="preserve">服务申请配套运维：</w:t>
      </w:r>
      <w:r>
        <w:rPr>
          <w:color w:val="000000"/>
          <w:sz w:val="24"/>
        </w:rPr>
        <w:t xml:space="preserve">云用户开展存量资源需求调研时，供应商需予以配合协助；调研完成后，云用户填写申请报告并报主管部门审批，审批通过后，供应商应及时完成存量云资源的配置、调试等运维操作，并将配置结果反馈至主管部门及最终用户。</w:t>
      </w:r>
      <w:r/>
    </w:p>
    <w:p>
      <w:pPr>
        <w:pStyle w:val="836"/>
        <w:numPr>
          <w:ilvl w:val="0"/>
          <w:numId w:val="26"/>
        </w:numPr>
        <w:ind w:firstLine="482"/>
        <w:spacing w:line="360" w:lineRule="auto"/>
        <w:widowControl/>
        <w:tabs>
          <w:tab w:val="left" w:pos="840" w:leader="none"/>
        </w:tabs>
        <w:rPr>
          <w:color w:val="000000"/>
          <w:sz w:val="24"/>
        </w:rPr>
      </w:pPr>
      <w:r>
        <w:rPr>
          <w:rStyle w:val="879"/>
          <w:color w:val="000000"/>
          <w:sz w:val="24"/>
        </w:rPr>
        <w:t xml:space="preserve">系统上线配套运维：</w:t>
      </w:r>
      <w:r>
        <w:rPr>
          <w:color w:val="000000"/>
          <w:sz w:val="24"/>
        </w:rPr>
        <w:t xml:space="preserve">针对需依托存量资源新建或迁移的应用系统，供应商协同相关方协助云用户制定新建或迁移方案；应用系统测试通过后，供应商做好存量云资源的开通、调试、优化等运维工作，以保障系统顺利上线运行。</w:t>
      </w:r>
      <w:r/>
    </w:p>
    <w:p>
      <w:pPr>
        <w:pStyle w:val="836"/>
        <w:numPr>
          <w:ilvl w:val="0"/>
          <w:numId w:val="26"/>
        </w:numPr>
        <w:ind w:firstLine="482"/>
        <w:spacing w:line="360" w:lineRule="auto"/>
        <w:widowControl/>
        <w:tabs>
          <w:tab w:val="left" w:pos="840" w:leader="none"/>
        </w:tabs>
        <w:rPr>
          <w:color w:val="000000"/>
          <w:sz w:val="24"/>
        </w:rPr>
      </w:pPr>
      <w:r>
        <w:rPr>
          <w:rStyle w:val="879"/>
          <w:color w:val="000000"/>
          <w:sz w:val="24"/>
        </w:rPr>
        <w:t xml:space="preserve">日常服务运维：</w:t>
      </w:r>
      <w:r>
        <w:rPr>
          <w:color w:val="000000"/>
          <w:sz w:val="24"/>
        </w:rPr>
        <w:t xml:space="preserve">供应商需制定针对性的政务云存量资源运维方案，提交至主管部门审核认可，并按要求提供政务云审计数据接口；按照审核通过的运维方案，开展存量资源的日常运行维护、系统实时监控和故障快速处置等工作；定期向用户方提交存量资源运行报告，主动征询用户意见，根据反馈持续优化运维服务质量。</w:t>
      </w:r>
      <w:r/>
    </w:p>
    <w:p>
      <w:pPr>
        <w:pStyle w:val="836"/>
        <w:numPr>
          <w:ilvl w:val="0"/>
          <w:numId w:val="26"/>
        </w:numPr>
        <w:ind w:firstLine="482"/>
        <w:spacing w:line="360" w:lineRule="auto"/>
        <w:widowControl/>
        <w:tabs>
          <w:tab w:val="left" w:pos="840" w:leader="none"/>
        </w:tabs>
        <w:rPr>
          <w:sz w:val="24"/>
        </w:rPr>
      </w:pPr>
      <w:r>
        <w:rPr>
          <w:rStyle w:val="879"/>
          <w:color w:val="000000"/>
          <w:sz w:val="24"/>
        </w:rPr>
        <w:t xml:space="preserve">服务终止配套运维：</w:t>
      </w:r>
      <w:r>
        <w:rPr>
          <w:color w:val="000000"/>
          <w:sz w:val="24"/>
        </w:rPr>
        <w:t xml:space="preserve">云用户提交存量资源系统终止使用申请并报主管部门审批通过后，供应商按要求完成存量云资源的回收、清理、备案等配套运维操作，正式停止相关运维服务，做好资源终止后的资料归档工作。</w:t>
      </w:r>
      <w:r/>
    </w:p>
    <w:p>
      <w:pPr>
        <w:spacing w:line="360" w:lineRule="auto"/>
        <w:rPr>
          <w:b/>
          <w:sz w:val="24"/>
        </w:rPr>
      </w:pPr>
      <w:r>
        <w:rPr>
          <w:rFonts w:hint="eastAsia"/>
          <w:b/>
          <w:sz w:val="24"/>
        </w:rPr>
        <w:t xml:space="preserve">（三）</w:t>
      </w:r>
      <w:r>
        <w:rPr>
          <w:b/>
          <w:sz w:val="24"/>
        </w:rPr>
        <w:t xml:space="preserve">云服务类型要求</w:t>
      </w:r>
      <w:r/>
    </w:p>
    <w:p>
      <w:pPr>
        <w:pStyle w:val="836"/>
        <w:ind w:firstLine="480"/>
        <w:spacing w:line="360" w:lineRule="auto"/>
        <w:rPr>
          <w:color w:val="000000"/>
          <w:sz w:val="24"/>
        </w:rPr>
      </w:pPr>
      <w:r>
        <w:rPr>
          <w:color w:val="000000"/>
          <w:sz w:val="24"/>
        </w:rPr>
        <w:t xml:space="preserve">投标人提供的</w:t>
      </w:r>
      <w:r>
        <w:rPr>
          <w:color w:val="000000"/>
          <w:sz w:val="24"/>
        </w:rPr>
        <w:t xml:space="preserve">X86</w:t>
      </w:r>
      <w:r>
        <w:rPr>
          <w:color w:val="000000"/>
          <w:sz w:val="24"/>
        </w:rPr>
        <w:t xml:space="preserve">云计算服务需符合的类型和配置要求如下：</w:t>
      </w:r>
      <w:r/>
    </w:p>
    <w:tbl>
      <w:tblPr>
        <w:tblW w:w="9715" w:type="dxa"/>
        <w:tblLayout w:type="fixed"/>
        <w:tblCellMar>
          <w:left w:w="0" w:type="dxa"/>
          <w:right w:w="0" w:type="dxa"/>
        </w:tblCellMar>
        <w:tblLook w:val="04A0" w:firstRow="1" w:lastRow="0" w:firstColumn="1" w:lastColumn="0" w:noHBand="0" w:noVBand="1"/>
      </w:tblPr>
      <w:tblGrid>
        <w:gridCol w:w="558"/>
        <w:gridCol w:w="1132"/>
        <w:gridCol w:w="1549"/>
        <w:gridCol w:w="4420"/>
        <w:gridCol w:w="1028"/>
        <w:gridCol w:w="1028"/>
      </w:tblGrid>
      <w:tr>
        <w:trPr>
          <w:trHeight w:val="54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bookmarkStart w:id="89" w:name="OLE_LINK35"/>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资源类型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计费方式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最高限价（元）</w:t>
            </w:r>
            <w:r/>
          </w:p>
        </w:tc>
      </w:tr>
      <w:tr>
        <w:trPr>
          <w:trHeight w:val="540"/>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弹性云主机服务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虚拟主机A0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2核（≥2.6GHz），4GB内存，160GB硬盘（最大IOPS5000）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5400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4核（≥2.6GHz），8GB内存，160GB硬盘（最大IOPS5000）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7452</w:t>
            </w:r>
            <w:r/>
          </w:p>
        </w:tc>
      </w:tr>
      <w:tr>
        <w:trPr>
          <w:trHeight w:val="986"/>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4核（≥2.6GHz），16GB内存，160GB硬盘（最大IOPS5000）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11960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8核（≥2.6GHz），16GB内存，160GB硬盘（最大IOPS5000）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13800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8核（≥2.6GHz），24GB内存，160GB硬盘（最大IOPS5000）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21620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4核（≥2.6GHz），32GB内存，160GB硬盘（最大IOPS5000）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17232</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8核（≥2.6GHz），32GB内存，160GB硬盘（最大IOPS5000）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22474</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8核（≥2.6GHz），64GB内存，160GB硬盘（最大IOPS5000）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33762</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16核（≥2.6GHz），32GB内存，160GB硬盘（最大IOPS5000）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25632</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虚拟主机I</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16核（≥2.6GHz），64GB内存，160GB硬盘（最大IOPS5000）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43894</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虚拟主机J</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16核（≥2.6GHz），128GB内存，160GB硬盘（最大IOPS5000）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66822</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32核（≥2.6GHz），64GB内存，160GB硬盘（最大IOPS5000）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49566</w:t>
            </w:r>
            <w:r/>
          </w:p>
        </w:tc>
      </w:tr>
      <w:tr>
        <w:trPr>
          <w:trHeight w:val="9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32核（≥2.6GHz），128GB内存，160GB硬盘（最大IOPS5000）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69813</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32核（≥2.6GHz），256GB内存，160GB硬盘（最大IOPS5000）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119853</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64核（≥2.6GHz），128GB内存，160GB硬盘（最大IOPS5000）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115209</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虚拟主机O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64核（≥2.6GHz），</w:t>
            </w:r>
            <w:r>
              <w:rPr>
                <w:rFonts w:ascii="仿宋" w:hAnsi="仿宋" w:eastAsia="仿宋" w:cs="仿宋"/>
                <w:color w:val="000000"/>
                <w:sz w:val="24"/>
                <w:szCs w:val="24"/>
              </w:rPr>
              <w:t xml:space="preserve">256</w:t>
            </w:r>
            <w:r>
              <w:rPr>
                <w:rFonts w:hint="eastAsia" w:ascii="仿宋" w:hAnsi="仿宋" w:eastAsia="仿宋" w:cs="仿宋"/>
                <w:color w:val="000000"/>
                <w:sz w:val="24"/>
                <w:szCs w:val="24"/>
              </w:rPr>
              <w:t xml:space="preserve">GB内存，160GB硬盘（最大IOPS5000）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144888</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物理服务器A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CPU≥32、内存≥64G，硬盘容量≥300GB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18032</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物理服务器B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CPU≥48、内存≥128G，硬盘容量≥300GB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40480</w:t>
            </w:r>
            <w:r/>
          </w:p>
        </w:tc>
      </w:tr>
      <w:tr>
        <w:trPr>
          <w:trHeight w:val="540"/>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物理服务器C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CPU≥64、内存≥256G，硬盘容量≥3000GB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180000</w:t>
            </w:r>
            <w:r/>
          </w:p>
        </w:tc>
      </w:tr>
      <w:tr>
        <w:trPr>
          <w:trHeight w:val="270"/>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存储资源服务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磁盘阵列存储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磁盘阵列存储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6000</w:t>
            </w:r>
            <w:r/>
          </w:p>
        </w:tc>
      </w:tr>
      <w:tr>
        <w:trPr>
          <w:trHeight w:val="27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对象存储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对象存储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1553</w:t>
            </w:r>
            <w:r/>
          </w:p>
        </w:tc>
      </w:tr>
      <w:tr>
        <w:trPr>
          <w:trHeight w:val="27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监控存储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监控存储（配企业级硬盘）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1200</w:t>
            </w:r>
            <w:r/>
          </w:p>
        </w:tc>
      </w:tr>
      <w:tr>
        <w:trPr>
          <w:trHeight w:val="27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云硬盘A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分布式存储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3040</w:t>
            </w:r>
            <w:r/>
          </w:p>
        </w:tc>
      </w:tr>
      <w:tr>
        <w:trPr>
          <w:trHeight w:val="27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云硬盘B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高IO云硬盘（单盘最大IOPS：4000）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5990</w:t>
            </w:r>
            <w:r/>
          </w:p>
        </w:tc>
      </w:tr>
      <w:tr>
        <w:trPr>
          <w:trHeight w:val="27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云硬盘C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超高IO云硬盘（单盘最大IOPS：5000）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16120</w:t>
            </w:r>
            <w:r/>
          </w:p>
        </w:tc>
      </w:tr>
      <w:tr>
        <w:trPr>
          <w:trHeight w:val="270"/>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弹性文件存储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同时支持NFS和CIFS协议（单盘最大IOPS：5000）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6000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机房资源服务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42U标准机柜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42U标准机柜（800*1000），双PDU供电，3.5Kva供电，可以达到7Kva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47500</w:t>
            </w:r>
            <w:r/>
          </w:p>
        </w:tc>
      </w:tr>
      <w:tr>
        <w:trPr>
          <w:trHeight w:val="27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2U机柜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2U机柜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5520</w:t>
            </w:r>
            <w:r/>
          </w:p>
        </w:tc>
      </w:tr>
      <w:tr>
        <w:trP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auto"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基础网络和安全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光纤链路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13条裸光纤以及2条vpn专线，互联网总带宽达到不低于3.5G；政务网带宽不低于4G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月</w:t>
            </w:r>
            <w:r/>
          </w:p>
        </w:tc>
        <w:tc>
          <w:tcPr>
            <w:tcBorders>
              <w:top w:val="single" w:color="000000" w:sz="4" w:space="0"/>
              <w:left w:val="single" w:color="000000" w:sz="4" w:space="0"/>
              <w:right w:val="single" w:color="000000" w:sz="4" w:space="0"/>
            </w:tcBorders>
            <w:tcMar>
              <w:left w:w="15" w:type="dxa"/>
              <w:top w:w="15" w:type="dxa"/>
              <w:right w:w="15" w:type="dxa"/>
            </w:tcMar>
            <w:tcW w:w="102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79</w:t>
            </w:r>
            <w:r>
              <w:rPr>
                <w:rFonts w:ascii="仿宋" w:hAnsi="仿宋" w:eastAsia="仿宋" w:cs="仿宋"/>
                <w:color w:val="000000"/>
                <w:sz w:val="24"/>
                <w:szCs w:val="24"/>
              </w:rPr>
              <w:t xml:space="preserve">500</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防火墙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电信级防火墙设备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IPS入侵检测系统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业界综合防护技术最领先的入侵防御/检测系统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5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数据脱敏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单次不超过1TB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系统所需要的交换机设备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02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27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auto"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云平台安全增值服务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网页防篡改服务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网页防篡改服务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5700</w:t>
            </w:r>
            <w:r/>
          </w:p>
        </w:tc>
      </w:tr>
      <w:tr>
        <w:trPr>
          <w:trHeight w:val="46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auto"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常规安全漏洞扫描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常规安全漏洞扫描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300</w:t>
            </w:r>
            <w:r/>
          </w:p>
        </w:tc>
      </w:tr>
      <w:tr>
        <w:trPr>
          <w:trHeight w:val="540"/>
        </w:trPr>
        <w:tc>
          <w:tcPr>
            <w:tcBorders>
              <w:top w:val="single" w:color="auto"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云数据库审计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云安全管理平台组件：提供虚拟化数据库审计能力，包含vmware和kvm虚拟化环境等主流虚拟化架构平台的审计，支持：</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-审计引擎及管理后台软件、策略管理、告警管理、权限管理、系统日志、系统配置。</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-支持主流数据库类型：Oracle、SQL-Server、DB2、Informix、Sybase、MySQL、PostgreSQL</w:t>
            </w:r>
            <w:r/>
          </w:p>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23000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日志安全审计服务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云安全管理平台组件：按租户隔离的云数据库审计平台，提供日志管理平台，对操作系统、中间件、数据库、网络设备、安全设备等资产的日志收集、关联分析、日志存储和综合展示，200GB日志存储空间。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18400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云web应用防火墙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提供10个子域名1年云防护服务（不足10按10个计算），包含以下内容：</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1.Web攻击防护服务：含跨站攻击、伪造请求攻击、SQL注入、上传漏洞攻击、后门植入等Web漏洞攻击防护；</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2.DDoS攻击防护服务（DDoS带宽为8G）；</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3.CC攻击防护服务（CC攻击频率为10000Q/S）；</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4.防护套餐全年包含免费6TB业务流量；网站缓存、数据分析和报表等功能；</w:t>
            </w:r>
            <w:r/>
          </w:p>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5.一年售后服务：包括7x24小时电话支持服务、产品咨询以及问题远程支持。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20000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云堡垒机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虚拟化运维安全管理与审计系统（堡垒机）安全能力，支持SSH、RDP、VNC、Telnet、FTP等协议，支持访问控制策略按部门分权，不同部门的配置管理员只能针对自己部门及自己直属子部门设备进行访问权限设置，最多可管理5个节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1800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零信任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对业务提供安全访问和防护，集业务的集中身份鉴别，业务系统防入侵，业务访问安全加固，业务访问权限控制，业务访问行为审计，业务系统数据防泄露等功能，符合密评相关要求。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220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主机安全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提供主机防病毒、虚拟IPS、防暴力破解等功能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2100</w:t>
            </w:r>
            <w:r/>
          </w:p>
        </w:tc>
      </w:tr>
      <w:tr>
        <w:trPr>
          <w:trHeight w:val="540"/>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安全中心（高级版）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在标准版基础上额外提供态势大屏、大数据AI威胁检测、Web漏洞扫描。一套安全</w:t>
            </w:r>
            <w:r>
              <w:rPr>
                <w:rFonts w:hint="eastAsia" w:ascii="仿宋" w:hAnsi="仿宋" w:eastAsia="仿宋" w:cs="仿宋"/>
                <w:color w:val="000000"/>
                <w:sz w:val="24"/>
                <w:szCs w:val="24"/>
              </w:rPr>
              <w:t xml:space="preserve">中心默认部署一个堡垒机实例。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5250</w:t>
            </w:r>
            <w:r/>
          </w:p>
        </w:tc>
      </w:tr>
      <w:tr>
        <w:trPr>
          <w:trHeight w:val="270"/>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云备份服务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云备份服务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本地备份（云备份一体机）/客户端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4890</w:t>
            </w:r>
            <w:r/>
          </w:p>
        </w:tc>
      </w:tr>
      <w:tr>
        <w:trPr>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网络服务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服务器负载均衡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每实例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950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9</w:t>
            </w:r>
            <w:r/>
          </w:p>
        </w:tc>
        <w:tc>
          <w:tcPr>
            <w:tcBorders>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维护服务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Windows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服务部署，病毒查杀，补丁更新，日志分析，定期巡检，运行建议，环境备份，故障处理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2850</w:t>
            </w:r>
            <w:r/>
          </w:p>
        </w:tc>
      </w:tr>
      <w:tr>
        <w:trPr>
          <w:trHeight w:val="54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Linux</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服务部署，病毒查杀，补丁更新，日志分析，定期巡检，运行建议，环境备份，故障处理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4750</w:t>
            </w:r>
            <w:r/>
          </w:p>
        </w:tc>
      </w:tr>
      <w:tr>
        <w:trPr>
          <w:trHeight w:val="81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mysql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安装部署，容灾/备份/恢复服务，漏洞检查，补丁更新，性能优化，日志分析，故障处理，定期巡检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12350</w:t>
            </w:r>
            <w:r/>
          </w:p>
        </w:tc>
      </w:tr>
      <w:tr>
        <w:trPr>
          <w:trHeight w:val="810"/>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SQLserver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安装部署，容灾/备份/恢复服务，漏洞检查，补丁更新，性能优化，日志分析，故障处理，定期巡检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12350</w:t>
            </w:r>
            <w:r/>
          </w:p>
        </w:tc>
      </w:tr>
      <w:tr>
        <w:trPr>
          <w:trHeight w:val="435"/>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oracle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安装部署，容灾/备份/恢复服务，漏洞检查，补丁更新，性能优化，日志分析，故障处理，定期巡检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17100</w:t>
            </w:r>
            <w:r/>
          </w:p>
        </w:tc>
      </w:tr>
      <w:tr>
        <w:trPr>
          <w:trHeight w:val="435"/>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10</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运维应用支撑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基础版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对业务系统的业务可用性监测，提供监测、预警、响应、处置一体化服务，业务系统数量不超过10个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租户·年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80000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标准版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对业务系统的业务可用性监测，提供监测、预警、响应、处置一体化服务，业务系统数量不超过11—20个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租户·年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100000</w:t>
            </w:r>
            <w:r/>
          </w:p>
        </w:tc>
      </w:tr>
      <w:tr>
        <w:trPr>
          <w:trHeight w:val="435"/>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增值版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对业务系统的业务可用性监测，提供监测、预警、响应、处置一体化服务，业务系统数量不超过21—50个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租户·年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120000</w:t>
            </w:r>
            <w:r/>
          </w:p>
        </w:tc>
      </w:tr>
      <w:tr>
        <w:trPr>
          <w:trHeight w:val="4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企业级云盘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政企云盘产品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100GB·年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950</w:t>
            </w:r>
            <w:r/>
          </w:p>
        </w:tc>
      </w:tr>
      <w:tr>
        <w:trPr>
          <w:trHeight w:val="435"/>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CentOS替代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中标麒麟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麒麟国产化操作系统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6000</w:t>
            </w:r>
            <w:r/>
          </w:p>
        </w:tc>
      </w:tr>
      <w:tr>
        <w:trPr>
          <w:trHeight w:val="435"/>
        </w:trPr>
        <w:tc>
          <w:tcPr>
            <w:tcBorders>
              <w:left w:val="single" w:color="000000" w:sz="4" w:space="0"/>
              <w:bottom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统信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统信U</w:t>
            </w:r>
            <w:r>
              <w:rPr>
                <w:rFonts w:hint="eastAsia" w:ascii="仿宋" w:hAnsi="仿宋" w:eastAsia="仿宋" w:cs="仿宋"/>
                <w:color w:val="000000"/>
                <w:sz w:val="24"/>
                <w:szCs w:val="24"/>
              </w:rPr>
              <w:t xml:space="preserve">OS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6000</w:t>
            </w:r>
            <w:r/>
          </w:p>
        </w:tc>
      </w:tr>
      <w:tr>
        <w:trPr>
          <w:trHeight w:val="548"/>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云容器服务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云容器引擎CCE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云原生基础设施容器引擎--100vCPU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345000</w:t>
            </w:r>
            <w:r/>
          </w:p>
        </w:tc>
      </w:tr>
      <w:tr>
        <w:trPr>
          <w:trHeight w:val="435"/>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云数据库服务</w:t>
            </w:r>
            <w:r/>
          </w:p>
        </w:tc>
        <w:tc>
          <w:tcPr>
            <w:tcBorders>
              <w:top w:val="single" w:color="000000" w:sz="4" w:space="0"/>
              <w:left w:val="single" w:color="000000" w:sz="4" w:space="0"/>
              <w:right w:val="single" w:color="000000" w:sz="4" w:space="0"/>
            </w:tcBorders>
            <w:tcMar>
              <w:left w:w="15" w:type="dxa"/>
              <w:top w:w="15" w:type="dxa"/>
              <w:right w:w="15" w:type="dxa"/>
            </w:tcMar>
            <w:tcW w:w="1549"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文档数据库服务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非关系型文档数据库服务DDS副本集4C16G，三节点部署，兼容MongoDB社区版：3.4/4.0，支持主备切换，规格变更和扩容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112</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非关系型文档数据库服务DDS副本集8C32G，三节点部署，兼容MongoDB社区</w:t>
            </w:r>
            <w:r>
              <w:rPr>
                <w:rFonts w:hint="eastAsia" w:ascii="仿宋" w:hAnsi="仿宋" w:eastAsia="仿宋" w:cs="仿宋"/>
                <w:color w:val="000000"/>
                <w:sz w:val="24"/>
                <w:szCs w:val="24"/>
              </w:rPr>
              <w:t xml:space="preserve">版：3.4/4.0，支持主备切换，规格变更和扩容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223</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Postgre数据库服务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PostgreSQL关系型数据库服务4C8GB主备实例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41</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PostgreSQL关系型数据库服务4C8GB主实例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PostgreSQL关系型数据库服务2C4GB主实例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PostgreSQL关系型数据库服务2C4GB主备实例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PostgreSQL关系型数据库服务8C32GB主备实例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141</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Postgre关系型数据库服务16C64G主备双实例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280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549"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MySQL数据库服务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MySQL关系型数据库服务4C8G主备双实例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41</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MySQL关系型数据库服务4C8G主实例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MySQL关系型数据库服务2C4G主实例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MySQL关系型数据库服务2C4G主备实例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MySQL关系型数据库服务8C32G主备双实例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141</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MySQL关系型数据库服务16C64G主备双实例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280</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549"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Redis数据库服务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Redis|主备版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549"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Redis|集群版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r>
      <w:tr>
        <w:trPr>
          <w:trHeight w:val="435"/>
        </w:trPr>
        <w:tc>
          <w:tcPr>
            <w:tcBorders>
              <w:top w:val="single" w:color="000000" w:sz="4" w:space="0"/>
              <w:left w:val="single" w:color="000000" w:sz="4" w:space="0"/>
              <w:right w:val="single" w:color="000000"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sz="4" w:space="0"/>
              <w:left w:val="single" w:color="000000" w:sz="4" w:space="0"/>
              <w:right w:val="single" w:color="000000"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视频接入服务（100~500路）－每路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1.4</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视频接入服务（501~1000路）－每路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0.9</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视频接入服务（1001~2000路）－每路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0.6</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视频接入服务（2001~5000路）－每路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0.4</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视频接入服务（5001~10000路）－每路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0.3</w:t>
            </w:r>
            <w:r/>
          </w:p>
        </w:tc>
      </w:tr>
      <w:tr>
        <w:trPr>
          <w:trHeight w:val="435"/>
        </w:trPr>
        <w:tc>
          <w:tcPr>
            <w:tcBorders>
              <w:left w:val="single" w:color="000000"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视频接入服务（10001~20000路）－每路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0.2</w:t>
            </w:r>
            <w:r/>
          </w:p>
        </w:tc>
      </w:tr>
      <w:tr>
        <w:trPr>
          <w:trHeight w:val="435"/>
        </w:trPr>
        <w:tc>
          <w:tcPr>
            <w:tcBorders>
              <w:left w:val="single" w:color="000000" w:sz="4" w:space="0"/>
              <w:bottom w:val="single" w:color="auto" w:sz="4" w:space="0"/>
              <w:right w:val="single" w:color="000000"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bottom w:val="single" w:color="auto" w:sz="4" w:space="0"/>
              <w:right w:val="single" w:color="000000"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视频接入服务（20001路以上）－每路</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含视频管理：支持实时视频、摄像接入、云台控制、录像回放、支持视频联网；报警管理；电子地图；数据安全；大屏展示；EI及运维服务。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路·天</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0.1</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数据存储分析平台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大数据分析服务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大数据基础分析平台－计算节点（16U128G,2*1.6TB数据盘）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321</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数据仓库服务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数据仓库服务－计算密集型（16C128G1.49T有效容量）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423</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MapReduce服务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MRS管控节点（32U256G,4*1.6TB数据盘）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904</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MapReduce服务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MRS计算节点（32U256G,4*1.6TB数据盘）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904</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数据仓库服务DWS</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DWS计算密集型（32C256G2.98T有效容量）(SSD)</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t xml:space="preserve">885</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服务器地图数字服务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厘米级高精定位与空间计算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构建数字孪生底座，支持实景AR指挥、人员车辆精准追踪、三维态势可视化，实现快速布控、轨迹研判与应急调度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660</w:t>
            </w:r>
            <w:r/>
          </w:p>
        </w:tc>
      </w:tr>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32"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公安网专项保障服务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49"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高可靠的系统安全运行保障服务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420"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高性能系统平台，原生适配五网隔离架构，支撑公安多域安全运行；高等级自建机房环境，满足公安数据本地化合规要求；7×24小时驻场运维体系，适配公安全天候实战化保障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28" w:type="dxa"/>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850</w:t>
            </w:r>
            <w:bookmarkEnd w:id="89"/>
            <w:r/>
          </w:p>
        </w:tc>
      </w:tr>
    </w:tbl>
    <w:p>
      <w:pPr>
        <w:pStyle w:val="836"/>
        <w:ind w:firstLine="480"/>
        <w:spacing w:line="360" w:lineRule="auto"/>
        <w:rPr>
          <w:color w:val="000000"/>
          <w:sz w:val="24"/>
        </w:rPr>
      </w:pPr>
      <w:r>
        <w:rPr>
          <w:color w:val="000000"/>
          <w:sz w:val="24"/>
        </w:rPr>
        <w:t xml:space="preserve">投标人提供的信创云计算服务需符合的类型和配置要求如下：</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826"/>
        <w:gridCol w:w="1982"/>
        <w:gridCol w:w="4428"/>
        <w:gridCol w:w="1176"/>
        <w:gridCol w:w="1265"/>
      </w:tblGrid>
      <w:tr>
        <w:trPr>
          <w:trHeight w:val="400"/>
        </w:trPr>
        <w:tc>
          <w:tcPr>
            <w:tcW w:w="2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408"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服务类别</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服务项</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详细需求</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报价（元）</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计算资源服务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云主机CPU核</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为虚拟主机增配CPU，单个CPU核，主频不小于2.0GHz，每次最小增加单位为2核，最高上限为64核，需与云主机内存，存储资源服务搭配使用</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2个·月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129.6</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云主机内存</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为虚拟主机增配内存，2GB内存，规格不低于DDR42133MHz，每次最小增加单位为2GB，最高上限为128GB，需与云主机CPU核，存储资源服务搭配使用</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2GB·月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43.2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裸金属服务器A</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CPU：ARM2*32核(CPU主频不小于2.0GHz)，内存：128GB，硬盘：</w:t>
            </w:r>
            <w:r>
              <w:rPr>
                <w:rFonts w:hint="eastAsia" w:ascii="仿宋" w:hAnsi="仿宋" w:eastAsia="仿宋" w:cs="仿宋"/>
                <w:color w:val="000000"/>
                <w:sz w:val="24"/>
                <w:szCs w:val="24"/>
              </w:rPr>
              <w:t xml:space="preserve">2*480GBSSD，网卡：2*1GE+6*10GE（含光模块），电源：1+1冗余双电源</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台·月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3009</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裸金属服务器B</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CPU：C862*32核(CPU主频不小于2.0GHz)，内存：128GB，硬盘：2*480GBSSD，网卡：2*1GE+6*10GE（含光模块），电源：1+1冗余双电源</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台·月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3572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物理服务器内存</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为物理服务器增配内存，规格不低于DDR42133MHz，以GB为单位进行计费，每次最小增加单位为16GB</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GB·月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物理硬盘A</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SATAHDD硬盘，转数≥7200</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物理硬盘B</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SASHDD硬盘，转数≥10000</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67</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物理硬盘C</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NVMESSD硬盘，读写速度≥1600MB/s</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167</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存储资源服务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块存储服务（HDD）</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为云服务器提供块级别存储空间，一块云硬盘只能挂载到单台云服务器上，物理存储设备为HDD机械硬盘，适用于一般I/O负载的业务场景，额外提供30%快照存储容量空间。</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138</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块存储服务（SSD）</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为云服务器提供块级别存储空间，一块云硬盘只能挂载到单台云服务器上，物理存储设备为SSD固态硬盘，适用于高I/O负载的业务场景，额外提供30%快照存储容量空间。</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445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文件存储服务（HDD）</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提供标准型的文件存储服务，物理存储设备为HDD机械硬盘，适用于一般I/O负载的业务场景。</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192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文件存储服务（SSD）</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提供高速型的文件存储服务，物理存储设备为SSD机械硬盘，适用于高I/O负载的业务场景。</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465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对象存储服务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提供标准型对象存储服务，具备海量、安全、高可靠、低成本的数据存储能力。</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173</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冷存储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基于分布式技术实现蓝光归档存储，使用RESTfulAPI可以在任意位置存储和访问。为租户提供低成本、高可靠、长周期、大容量的冷数据存储服务，适用于海量、访问低频次的非结构化数据的长期存储和管理。对于写入蓝光存储的在线数据如需取回，支持在60分钟内的首字节读取取回响应时间。若光盘已离线归档，则支持在48小时内将数据解冻后读取并批量取回。</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72</w:t>
            </w:r>
            <w:r/>
          </w:p>
        </w:tc>
      </w:tr>
      <w:tr>
        <w:trPr>
          <w:trHeight w:val="350"/>
        </w:trPr>
        <w:tc>
          <w:tcPr>
            <w:tcW w:w="2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408"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网络服务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应用负载均衡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提供应用负载均衡服务，每200Mbps增加一套</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612</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云平台安</w:t>
            </w:r>
            <w:r>
              <w:rPr>
                <w:rFonts w:hint="eastAsia" w:ascii="仿宋" w:hAnsi="仿宋" w:eastAsia="仿宋" w:cs="仿宋"/>
                <w:color w:val="000000"/>
                <w:sz w:val="24"/>
                <w:szCs w:val="24"/>
              </w:rPr>
              <w:t xml:space="preserve">全服务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漏洞扫描</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针对传统的操作系统、网络设备、防火墙、远程服务等系统层漏洞进行扫描发</w:t>
            </w:r>
            <w:r>
              <w:rPr>
                <w:rFonts w:hint="eastAsia" w:ascii="仿宋" w:hAnsi="仿宋" w:eastAsia="仿宋" w:cs="仿宋"/>
                <w:color w:val="000000"/>
                <w:sz w:val="24"/>
                <w:szCs w:val="24"/>
              </w:rPr>
              <w:t xml:space="preserve">现。同时对测试系统补丁更新情况，网络设备漏洞情况，远程服务端口开放等情况进行综合评估，在黑客发现系统漏洞前提供给客户安全隐患评估报告，提前预防黑客攻击事件的发生。</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次</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安全问题应急响应</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针对业务系统出现的安全问题提供应急处理服务，对发现的安全问题进行定位，对造成问题的漏洞给出解决建议，配合研发团队完成漏洞修复并进行验证，2小时以内响应，出具安全应急响应报告</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次</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1800</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租户安全服务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态势感知</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收集云内数据，实时监控资源的安全态势，识别潜在的风险，清晰、直观地获取应用安全威胁、感知风险、控制影响，为应用安全保驾护航，出现异常告警时，向租户提供相关告警信息及报告。按照租户需要监控主机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云防火墙</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可有效满足虚拟化云环境在云边界的安全域隔离、访问控制、威胁防护、失陷检测、IPS功能和安全管理等需求，同时通过可视化风险报表和自助化安全运维服务，帮助用户有效缓解安全风险，网络吞吐：1000Mbps，最大并发连接数：500000，最大新建连接数：15000</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674</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主机安全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提供虚拟化主机安全；轻代理主机防病毒、主机防火墙、主机入侵防御、虚拟化加固、webshell检测、防暴力破解、安全基线、网卡流量统计8个功能；包含系统升级、病毒库升级、规则库升级。包含5个主机授权。</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278</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云数据库审计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虚拟化数据库审计能力，对来自应用系统客户端和DBA对数据库的访问行为进行全面审计，审计系统能详细记录查询、删除、增加、修改等行为及操作结果，对危险操作实时预警、及时阻止，达到保护数据库的效果。支持Oracle、SQLServer等常见数据库，支持多种审计策略，最多支持5个数据库实例</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555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云web应用防火墙</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提供网站安全防护能力，支持基于源IP的负载均衡、支持对DoS攻击的攻击防护、支持对SQL注入的攻击防护、支持对信息泄露的攻击防护、支持对安全绕过的攻击防护等，网络吞吐：400Mbps，最多支持5个域名</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1060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云堡垒机</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提供虚拟化运维安全管理与审计系统</w:t>
            </w:r>
            <w:r>
              <w:rPr>
                <w:rFonts w:hint="eastAsia" w:ascii="仿宋" w:hAnsi="仿宋" w:eastAsia="仿宋" w:cs="仿宋"/>
                <w:color w:val="000000"/>
                <w:sz w:val="24"/>
                <w:szCs w:val="24"/>
              </w:rPr>
              <w:t xml:space="preserve">（堡垒机）安全能力，支持SSH、RDP、VNC、Telnet、FTP等协议，支持访问控制策略按部门分权，不同部门的配置管理员只能针对自己部门及自己直属子部门设备进行访问权限设置，最多可管理5个节点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273</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日志审计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提供对操作系统、中间件、数据库、网络设备、安全设备等资产的日志收集、关联分析、日志存储和综合展示，最大支持5个节点、100GB日志存储空间。</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164</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网页防篡改</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采用系统底层文件过滤驱动技术，拦截与分析文件增、删、改操作，实现对网页文件的完整性检查和保护；支持国产操作系统</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579</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容器安全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针对服务目录的容器服务提供扫描镜像中的漏洞与配置信息，同时提供容器进程白名单、文件只读保护和容器逃逸检测功能，有效防止容器运行时安全风险事件的发生。按照容器宿主机个数收费。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主机数·月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222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安全运维服务（云防火墙）</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在用户授权下协助用户完成云防火墙策略配置，备份，问题排查，按月输出运维报告。</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安全运维服务（云数据库审计）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在用户授权下协助用户完成云数据库审计配置，备份，定期对云数据库审计数据进行分析，按月输出运维报告。</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167</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安全运维服务（云web防火墙）</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在用户授权下协助用户完成云web防火墙策略配置，备份，问题排查，按月输出运维报告</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319</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密码服务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密钥管理服务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密钥管理系统服务为云上应用提供集中的密钥全生命周期管理服务，支持对称密钥管理、非对称密钥管理、证书管理等功能</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1693</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云密码机服务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服务器密码机服务为应用系统提供国密加解密、国密杂凑算法等密码支持。云上应用系统通过调用虚拟服务器密码机提供的接口，对数据进行加解密、杂凑，确保应用数据的机密性、完整性。单个虚拟服务器密码机的计算能力如下：</w:t>
            </w:r>
            <w:r>
              <w:rPr>
                <w:rFonts w:hint="eastAsia" w:ascii="仿宋" w:hAnsi="仿宋" w:eastAsia="仿宋" w:cs="仿宋"/>
                <w:color w:val="000000"/>
                <w:sz w:val="24"/>
                <w:szCs w:val="24"/>
              </w:rPr>
              <w:br/>
              <w:t xml:space="preserve">SM1加解密运算性能：≥100Mbps</w:t>
            </w:r>
            <w:r>
              <w:rPr>
                <w:rFonts w:hint="eastAsia" w:ascii="仿宋" w:hAnsi="仿宋" w:eastAsia="仿宋" w:cs="仿宋"/>
                <w:color w:val="000000"/>
                <w:sz w:val="24"/>
                <w:szCs w:val="24"/>
              </w:rPr>
              <w:br/>
              <w:t xml:space="preserve">SM3杂凑算法运算性能：≥100Mbps</w:t>
            </w:r>
            <w:r>
              <w:rPr>
                <w:rFonts w:hint="eastAsia" w:ascii="仿宋" w:hAnsi="仿宋" w:eastAsia="仿宋" w:cs="仿宋"/>
                <w:color w:val="000000"/>
                <w:sz w:val="24"/>
                <w:szCs w:val="24"/>
              </w:rPr>
              <w:br/>
              <w:t xml:space="preserve">SM4加解密运算性能：≥200Mbps</w:t>
            </w:r>
            <w:r>
              <w:rPr>
                <w:rFonts w:hint="eastAsia" w:ascii="仿宋" w:hAnsi="仿宋" w:eastAsia="仿宋" w:cs="仿宋"/>
                <w:color w:val="000000"/>
                <w:sz w:val="24"/>
                <w:szCs w:val="24"/>
              </w:rPr>
              <w:br/>
              <w:t xml:space="preserve">按虚拟机服务器密码机实例数量计费。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2259</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签名验签服务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虚拟签名验签服务为应用系统提供国密签名、验签支持，用于保障应用系统接</w:t>
            </w:r>
            <w:r>
              <w:rPr>
                <w:rFonts w:hint="eastAsia" w:ascii="仿宋" w:hAnsi="仿宋" w:eastAsia="仿宋" w:cs="仿宋"/>
                <w:color w:val="000000"/>
                <w:sz w:val="24"/>
                <w:szCs w:val="24"/>
              </w:rPr>
              <w:t xml:space="preserve">收、发送数据的不可否认性。应用系统将身份认证信息与需要签名/验签服务的数据原文发送到签名验签服务器，签名验签服务器完成签名/验签运算后将结果返回给业务服务器。单个虚拟签名验签服务的计算能力如下：</w:t>
            </w:r>
            <w:r>
              <w:rPr>
                <w:rFonts w:hint="eastAsia" w:ascii="仿宋" w:hAnsi="仿宋" w:eastAsia="仿宋" w:cs="仿宋"/>
                <w:color w:val="000000"/>
                <w:sz w:val="24"/>
                <w:szCs w:val="24"/>
              </w:rPr>
              <w:br/>
              <w:t xml:space="preserve">SM2签名性能：≥2000次/秒</w:t>
            </w:r>
            <w:r>
              <w:rPr>
                <w:rFonts w:hint="eastAsia" w:ascii="仿宋" w:hAnsi="仿宋" w:eastAsia="仿宋" w:cs="仿宋"/>
                <w:color w:val="000000"/>
                <w:sz w:val="24"/>
                <w:szCs w:val="24"/>
              </w:rPr>
              <w:br/>
              <w:t xml:space="preserve">SM2验签性能：≥1000次/秒</w:t>
            </w:r>
            <w:r>
              <w:rPr>
                <w:rFonts w:hint="eastAsia" w:ascii="仿宋" w:hAnsi="仿宋" w:eastAsia="仿宋" w:cs="仿宋"/>
                <w:color w:val="000000"/>
                <w:sz w:val="24"/>
                <w:szCs w:val="24"/>
              </w:rPr>
              <w:br/>
              <w:t xml:space="preserve">按虚拟签名验签服务器实例数量计费。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2441</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协同签名服务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协同签名系统提供移动办公安全解决方案，通过密钥分割技术，使用软件代替传统USB-Key等安全设备，实现协同签名与数据加解密能力，保障移动端密钥安全。应用程序集成协同签名系统的SDK，实现SM2算法协同签名服务，保证互联网端密钥安全。实现移动端的双向身份鉴别与加密传输。单实例提供不低于100个客户端授权。按实例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2790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数据库透明加密服务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为应用提供数据库透明加密服务，适用于各类无密码应用改造条件或改造难度较大的业务，支持达梦、人大金仓等数据库，透明加密后数据库性能损耗≤20%。按实例计费，每个实例支持1个数据库实例。</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1771</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时间戳服务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虚拟时间戳服务为应用系统提供国密时间戳支持，用于保障应用系统生成数据时间不可抵赖。虚拟时间戳服务授时精度≤10μs（基于GPS/北斗授时）。应用系统将时间戳签发请求原文发送到时间戳服务器，时间戳服务器完成运算后将时间戳返回给应用系统。单个虚拟时间戳服务器的计算能力如下：</w:t>
            </w:r>
            <w:r>
              <w:rPr>
                <w:rFonts w:hint="eastAsia" w:ascii="仿宋" w:hAnsi="仿宋" w:eastAsia="仿宋" w:cs="仿宋"/>
                <w:color w:val="000000"/>
                <w:sz w:val="24"/>
                <w:szCs w:val="24"/>
              </w:rPr>
              <w:br/>
              <w:t xml:space="preserve">时间戳SM2签发速度：≥600次/秒</w:t>
            </w:r>
            <w:r>
              <w:rPr>
                <w:rFonts w:hint="eastAsia" w:ascii="仿宋" w:hAnsi="仿宋" w:eastAsia="仿宋" w:cs="仿宋"/>
                <w:color w:val="000000"/>
                <w:sz w:val="24"/>
                <w:szCs w:val="24"/>
              </w:rPr>
              <w:br/>
              <w:t xml:space="preserve">时间戳SM2验证速度：≥600次/秒</w:t>
            </w:r>
            <w:r>
              <w:rPr>
                <w:rFonts w:hint="eastAsia" w:ascii="仿宋" w:hAnsi="仿宋" w:eastAsia="仿宋" w:cs="仿宋"/>
                <w:color w:val="000000"/>
                <w:sz w:val="24"/>
                <w:szCs w:val="24"/>
              </w:rPr>
              <w:br/>
              <w:t xml:space="preserve">按虚拟时间戳服务器实例数量计费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1521</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国密SSLVPN服务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基于SSL的安全通道防护，实现终端用户的远程安全接入，对网络数据的加密和隧道传输对应用进行强有力的安全防护。支持通过管理中心对多台网关进行集中管理和日志集中审计。实现对用户访问应用系统的身份识别，对应用数据的机密性、完整性保护，以及基于角色的访问控制，按照用户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用户·月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135</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文件加密服务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为应用系统提供文件加密服务，适用于各类无密码应用改造条件或改造难度较</w:t>
            </w:r>
            <w:r>
              <w:rPr>
                <w:rFonts w:hint="eastAsia" w:ascii="仿宋" w:hAnsi="仿宋" w:eastAsia="仿宋" w:cs="仿宋"/>
                <w:color w:val="000000"/>
                <w:sz w:val="24"/>
                <w:szCs w:val="24"/>
              </w:rPr>
              <w:t xml:space="preserve">大的业务，支持文件夹透明加密，保证数据机密性与完整性。按实例计费，每个实例支持1台服务器。</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实例·月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1181</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密码应用测评支持服务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配合租户及密码测评机构完成密码应用测评及整改等工作，以GM/T0054-2018标准为测评依据。按人·天计费，根据具体工作量评估人·天数。</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人·天</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767</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智能密码钥匙租赁服务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智能密码钥匙又称USB-Key，用于配发给授权访问用户、运维人员，用于存储个人证书、公私钥，实现登录用户的身份鉴别。按租用数量计费。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机房资源服务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机柜</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42U标准机柜，最大支持5kW功率，满足设备托管需求。</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个·月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3750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机位</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1U标准机柜空间，机柜最大支持5kW功率，满足设备托管需求。</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180</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数据库服务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国产化数据库</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为租户提供符合国家测评中心安全可靠测评结果的数据库软件，包含首次安装及基础售后服务</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2399</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集中式云数据库</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提供集中式云数据库服务，支持复杂查询、事务处理，具高可用性与可扩展性，保障数据一致性</w:t>
            </w:r>
            <w:r>
              <w:rPr>
                <w:rFonts w:hint="eastAsia" w:ascii="仿宋" w:hAnsi="仿宋" w:eastAsia="仿宋" w:cs="仿宋"/>
                <w:color w:val="000000"/>
                <w:sz w:val="24"/>
                <w:szCs w:val="24"/>
              </w:rPr>
              <w:br/>
              <w:t xml:space="preserve">标准实例为8vCPU+32G，1主2备，3套资源提供1套服务，每vCPU按照3vCPU计费。</w:t>
            </w:r>
            <w:r>
              <w:rPr>
                <w:rFonts w:hint="eastAsia" w:ascii="仿宋" w:hAnsi="仿宋" w:eastAsia="仿宋" w:cs="仿宋"/>
                <w:color w:val="000000"/>
                <w:sz w:val="24"/>
                <w:szCs w:val="24"/>
              </w:rPr>
              <w:br/>
              <w:t xml:space="preserve">硬盘需另行选购存储服务</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217</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分布式云数据库</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提供分布式云数据库服务，支持将数据分片存储于多节点，支持事务处理、复杂查询、弹性扩展、高可用及安全保障等功能。</w:t>
            </w:r>
            <w:r>
              <w:rPr>
                <w:rFonts w:hint="eastAsia" w:ascii="仿宋" w:hAnsi="仿宋" w:eastAsia="仿宋" w:cs="仿宋"/>
                <w:color w:val="000000"/>
                <w:sz w:val="24"/>
                <w:szCs w:val="24"/>
              </w:rPr>
              <w:br/>
              <w:t xml:space="preserve">标准实例为8vCPU+32G，支持自定义分片数，每个vCPU按照分片数个vCPU授权</w:t>
            </w:r>
            <w:r>
              <w:rPr>
                <w:rFonts w:hint="eastAsia" w:ascii="仿宋" w:hAnsi="仿宋" w:eastAsia="仿宋" w:cs="仿宋"/>
                <w:color w:val="000000"/>
                <w:sz w:val="24"/>
                <w:szCs w:val="24"/>
              </w:rPr>
              <w:br/>
              <w:t xml:space="preserve">含交付实施、五年维保、技术支持</w:t>
            </w:r>
            <w:r>
              <w:rPr>
                <w:rFonts w:hint="eastAsia" w:ascii="仿宋" w:hAnsi="仿宋" w:eastAsia="仿宋" w:cs="仿宋"/>
                <w:color w:val="000000"/>
                <w:sz w:val="24"/>
                <w:szCs w:val="24"/>
              </w:rPr>
              <w:br/>
              <w:t xml:space="preserve">硬盘需另行选购块存储服务</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217</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数据库支撑服务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提供数据库维护服务，包括补丁升级、数据库备份完整性检查等</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次</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1840</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中间件服务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web应用服务器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为租户提供国产web中间件</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830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消息队列中间件软件</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支持Kafka、RocketMQ协议，使用统一的消息接入机制，为租户提供跨网络访问的安全、标准化消息通道，按照vCPU计费，最小规格实例4vCPU，内存16GB，硬盘需另外选购存储服务</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822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分布式缓存中间件软件</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兼容Redis内存数据库引擎，提供即开即用、安全可靠、弹性扩容、便捷管理的在线分布式缓存能力，满足用户高并发及数据快速访问的业务诉求。提供主</w:t>
            </w:r>
            <w:r>
              <w:rPr>
                <w:rFonts w:hint="eastAsia" w:ascii="仿宋" w:hAnsi="仿宋" w:eastAsia="仿宋" w:cs="仿宋"/>
                <w:color w:val="000000"/>
                <w:sz w:val="24"/>
                <w:szCs w:val="24"/>
              </w:rPr>
              <w:t xml:space="preserve">备双副本，按照实例内存大小计费，最小实例内存为4GB。</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GB·月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55</w:t>
            </w:r>
            <w:r/>
          </w:p>
        </w:tc>
      </w:tr>
      <w:tr>
        <w:trPr>
          <w:trHeight w:val="400"/>
        </w:trPr>
        <w:tc>
          <w:tcPr>
            <w:tcW w:w="2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W w:w="408"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操作系统</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国产操作系统</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操作系统服务器版，提供符合国家测评中心安全可靠测评结果的国产操作系统服务器版的租用、安装、技术支持等服务。</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166</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云原生</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容器引擎集群服务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提供以容器为核心、可扩展的容器管理服务。为容器化的应用系统提供高效部署、资源调度、服务发现以及动态伸缩等完整编排调度及管理功能，按照开通集群的vCPU个数计费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133</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应用管理运维平台</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提供应用发布、监控及运维等一站式解决方案。支持微服务应用、Web应用以及通用应用的托管与治理。根据托管服务器的vCPU数计费。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42</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微服务引擎</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提供注册发现、服务治理、分布式任务管理、api网关、配置管理等组件</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套·月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2063</w:t>
            </w:r>
            <w:r/>
          </w:p>
        </w:tc>
      </w:tr>
      <w:tr>
        <w:trPr>
          <w:trHeight w:val="35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备份容灾服务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本地备份存储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提供本地备份存储空间</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173</w:t>
            </w:r>
            <w:r/>
          </w:p>
        </w:tc>
      </w:tr>
      <w:tr>
        <w:trPr>
          <w:trHeight w:val="35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同城备份存储</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提供同城备份存储空间</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253</w:t>
            </w:r>
            <w:r/>
          </w:p>
        </w:tc>
      </w:tr>
      <w:tr>
        <w:trPr>
          <w:trHeight w:val="35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备份软件</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提供备份软件</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98</w:t>
            </w:r>
            <w:r/>
          </w:p>
        </w:tc>
      </w:tr>
      <w:tr>
        <w:trPr>
          <w:trHeight w:val="37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主机容灾服务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基于主机的连续复制，为用户的业务系统提供实时容灾复制、高可用切换，不包含底层IaaS资源费用，按照主机的台数计费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台·月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1121</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运维保障服务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重点保障－安全值守服务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在日常值守的基础上增加每天10次人工巡检查看网站访问情况、应急处置、安全事件验证、分析、事件报告等内容。24小时系统截图、安全事件分析报告、值班报告等。提供工作日5*8小时服务，如遇特殊日期（周末、法定节假日）按照双倍或三倍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人·天</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920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重点保障－安全专家服务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与安全相关的人工服务，安全隐患分析、安全培训、应急处置服务、木马病毒分析、日志隐患分析等服务。分析报告、人工协助解决隐患、解决方案等；提供工作日5*8小时服务，如遇特殊日期（周末、法定节假日）按照双倍或三倍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人·天</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920</w:t>
            </w:r>
            <w:r/>
          </w:p>
        </w:tc>
      </w:tr>
      <w:tr>
        <w:trPr>
          <w:trHeight w:val="400"/>
        </w:trPr>
        <w:tc>
          <w:tcPr>
            <w:tcW w:w="224"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W w:w="408" w:type="pct"/>
            <w:vAlign w:val="center"/>
            <w:vMerge w:val="restart"/>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大数据服务</w:t>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Hive组件服务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提供Hive组件服务，按照提供组件的vCPU总数计费。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Spark组件服务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提供Spark组件服务，按照提供组件的vCPU总数计费。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Hbase组件服务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提供Hbase组件服务，按照提供组件的vCPU总数计费。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120</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Flink组件服务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提供Flink组件服务，按照提供组件的</w:t>
            </w:r>
            <w:r>
              <w:rPr>
                <w:rFonts w:hint="eastAsia" w:ascii="仿宋" w:hAnsi="仿宋" w:eastAsia="仿宋" w:cs="仿宋"/>
                <w:color w:val="000000"/>
                <w:sz w:val="24"/>
                <w:szCs w:val="24"/>
              </w:rPr>
              <w:t xml:space="preserve">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116</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Redis组件服务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提供Redis组件服务，按照提供组件的vCPU总数计费。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116</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Kafka组件服务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提供kafka组件服务，按照提供组件的vCPU总数计费。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128</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ElasticSearch组件服务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提供ElasticSearch组件服务，按照提供组件的vCPU总数计费。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96</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DWS数仓服务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提供DWS数仓服务，按照提供组件的vCPU总数计费。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vCPU·月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194</w:t>
            </w:r>
            <w:r/>
          </w:p>
        </w:tc>
      </w:tr>
      <w:tr>
        <w:trPr>
          <w:trHeight w:val="400"/>
        </w:trPr>
        <w:tc>
          <w:tcPr>
            <w:tcW w:w="224"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408" w:type="pct"/>
            <w:vAlign w:val="center"/>
            <w:vMerge w:val="continue"/>
            <w:textDirection w:val="lrTb"/>
            <w:noWrap w:val="false"/>
          </w:tcPr>
          <w:p>
            <w:pPr>
              <w:pStyle w:val="852"/>
              <w:ind w:firstLine="0"/>
              <w:jc w:val="center"/>
              <w:rPr>
                <w:rFonts w:ascii="仿宋" w:hAnsi="仿宋" w:eastAsia="仿宋" w:cs="仿宋"/>
                <w:color w:val="000000"/>
                <w:sz w:val="24"/>
                <w:szCs w:val="24"/>
              </w:rPr>
            </w:pPr>
            <w:r>
              <w:rPr>
                <w:rFonts w:ascii="仿宋" w:hAnsi="仿宋" w:eastAsia="仿宋" w:cs="仿宋"/>
                <w:color w:val="000000"/>
                <w:sz w:val="24"/>
                <w:szCs w:val="24"/>
              </w:rPr>
            </w:r>
            <w:r/>
          </w:p>
        </w:tc>
        <w:tc>
          <w:tcPr>
            <w:tcW w:w="977"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大数据存储服务</w:t>
            </w:r>
            <w:r/>
          </w:p>
        </w:tc>
        <w:tc>
          <w:tcPr>
            <w:tcW w:w="2183"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提供大数据存储服务，供大数据组件使用，按照使用存储空间计费。</w:t>
            </w:r>
            <w:r/>
          </w:p>
        </w:tc>
        <w:tc>
          <w:tcPr>
            <w:tcW w:w="580"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TB·月</w:t>
            </w:r>
            <w:r/>
          </w:p>
        </w:tc>
        <w:tc>
          <w:tcPr>
            <w:tcW w:w="624" w:type="pct"/>
            <w:vAlign w:val="center"/>
            <w:textDirection w:val="lrTb"/>
            <w:noWrap w:val="false"/>
          </w:tcPr>
          <w:p>
            <w:pPr>
              <w:pStyle w:val="852"/>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325</w:t>
            </w:r>
            <w:r/>
          </w:p>
        </w:tc>
      </w:tr>
    </w:tbl>
    <w:p>
      <w:pPr>
        <w:spacing w:line="360" w:lineRule="auto"/>
        <w:rPr>
          <w:b/>
          <w:sz w:val="24"/>
        </w:rPr>
      </w:pPr>
      <w:r>
        <w:rPr>
          <w:rFonts w:hint="eastAsia"/>
          <w:b/>
          <w:sz w:val="24"/>
        </w:rPr>
        <w:t xml:space="preserve">（四）报价要求及收费标准</w:t>
      </w:r>
      <w:r/>
    </w:p>
    <w:p>
      <w:pPr>
        <w:ind w:firstLine="480"/>
        <w:spacing w:line="360" w:lineRule="auto"/>
        <w:rPr>
          <w:rFonts w:ascii="宋体" w:hAnsi="宋体" w:cs="宋体"/>
          <w:sz w:val="24"/>
          <w:szCs w:val="24"/>
        </w:rPr>
      </w:pPr>
      <w:r>
        <w:rPr>
          <w:rFonts w:hint="eastAsia" w:ascii="宋体" w:hAnsi="宋体" w:cs="宋体"/>
          <w:sz w:val="24"/>
          <w:szCs w:val="24"/>
        </w:rPr>
        <w:t xml:space="preserve">本次投标报价须为折扣报价，投标人针对本项目云服务目录及限价报出整体折扣率b%（投标人须依据企业自身能力申报服务费折扣率b%，b值应为固定整数，取值范围为0&lt;b≤100。</w:t>
      </w:r>
      <w:r/>
    </w:p>
    <w:p>
      <w:pPr>
        <w:ind w:firstLine="480"/>
        <w:spacing w:line="360" w:lineRule="auto"/>
        <w:rPr>
          <w:rFonts w:ascii="宋体" w:hAnsi="宋体" w:cs="宋体"/>
          <w:sz w:val="24"/>
          <w:szCs w:val="24"/>
        </w:rPr>
      </w:pPr>
      <w:r>
        <w:rPr>
          <w:rFonts w:hint="eastAsia" w:ascii="宋体" w:hAnsi="宋体" w:cs="宋体"/>
          <w:sz w:val="24"/>
          <w:szCs w:val="24"/>
        </w:rPr>
        <w:t xml:space="preserve">如投标人报价为b折，即在《开标一览表》中填列b%，则投标人各单项报价=目录单项限价×b%），不得针对单项服务报价。根据折扣报价计算的云计算服务价格包含服务费、税费等其他所有费用。</w:t>
      </w:r>
      <w:r/>
    </w:p>
    <w:p>
      <w:pPr>
        <w:ind w:firstLine="480"/>
        <w:spacing w:line="360" w:lineRule="auto"/>
        <w:rPr>
          <w:rFonts w:ascii="宋体" w:hAnsi="宋体" w:cs="宋体"/>
          <w:sz w:val="24"/>
          <w:szCs w:val="24"/>
        </w:rPr>
      </w:pPr>
      <w:r>
        <w:rPr>
          <w:rFonts w:hint="eastAsia" w:ascii="宋体" w:hAnsi="宋体" w:cs="宋体"/>
          <w:sz w:val="24"/>
          <w:szCs w:val="24"/>
        </w:rPr>
        <w:t xml:space="preserve">中标人的投标报价为本项目合同执行期间提供云服务的最高限价。</w:t>
      </w:r>
      <w:r/>
    </w:p>
    <w:p>
      <w:pPr>
        <w:ind w:firstLine="480"/>
        <w:spacing w:line="360" w:lineRule="auto"/>
        <w:rPr>
          <w:rFonts w:ascii="宋体" w:hAnsi="宋体" w:cs="宋体"/>
          <w:sz w:val="24"/>
          <w:szCs w:val="24"/>
        </w:rPr>
      </w:pPr>
      <w:r>
        <w:rPr>
          <w:rFonts w:hint="eastAsia" w:ascii="宋体" w:hAnsi="宋体" w:cs="宋体"/>
          <w:sz w:val="24"/>
          <w:szCs w:val="24"/>
        </w:rPr>
        <w:t xml:space="preserve">项目服务费依据该项目实际发生的分项服务内容所对应的服务费累计计算。各分项服务费的计算方式为：分项服务最高价格上限乘以b%，按价格表中年、月、天计费方式算出每日服务费用，最后乘以实际服务使用天数。所有费用均为含税金额。</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1.分项服务最高价格上限参照服务目录所列对应服务类别的年度最高限价，以365天为全年基准计费天数，按实际服务使用天数折算单日费用后计算分项服务费。</w:t>
      </w:r>
      <w:r/>
    </w:p>
    <w:p>
      <w:pPr>
        <w:ind w:firstLine="480"/>
        <w:spacing w:line="360" w:lineRule="auto"/>
        <w:rPr>
          <w:rFonts w:ascii="宋体" w:hAnsi="宋体" w:cs="宋体"/>
          <w:sz w:val="24"/>
          <w:szCs w:val="24"/>
        </w:rPr>
      </w:pPr>
      <w:r>
        <w:rPr>
          <w:rFonts w:hint="eastAsia" w:ascii="宋体" w:hAnsi="宋体" w:cs="宋体"/>
          <w:sz w:val="24"/>
          <w:szCs w:val="24"/>
        </w:rPr>
        <w:t xml:space="preserve">2.本项目服务费按单日折算计费方式核算，具体流程为：以对应服务类别的最高价格上限乘以投标固定折扣率，折算为年度含税总价；将该总价平摊至每日单价；再乘以实际服务使用天数，得出单项服务费。各分项服务费累加之和，即为该项目总服务费。</w:t>
      </w:r>
      <w:r/>
    </w:p>
    <w:p>
      <w:pPr>
        <w:ind w:firstLine="480"/>
        <w:spacing w:line="360" w:lineRule="auto"/>
        <w:rPr>
          <w:rFonts w:ascii="宋体" w:hAnsi="宋体" w:cs="宋体"/>
          <w:sz w:val="24"/>
          <w:szCs w:val="24"/>
        </w:rPr>
      </w:pPr>
      <w:r>
        <w:rPr>
          <w:rFonts w:hint="eastAsia" w:ascii="宋体" w:hAnsi="宋体" w:cs="宋体"/>
          <w:sz w:val="24"/>
          <w:szCs w:val="24"/>
        </w:rPr>
        <w:t xml:space="preserve">3.示例1：若1台虚拟主机A的年度最高限价为7452元，实际使用天数为100天，则该台虚</w:t>
      </w:r>
      <w:r>
        <w:rPr>
          <w:rFonts w:hint="eastAsia" w:ascii="宋体" w:hAnsi="宋体" w:cs="宋体"/>
          <w:sz w:val="24"/>
          <w:szCs w:val="24"/>
        </w:rPr>
        <w:t xml:space="preserve">拟主机A当年服务费计算公式为：7452 × b% ÷ 365 × 100。</w:t>
      </w:r>
      <w:r/>
    </w:p>
    <w:p>
      <w:pPr>
        <w:ind w:firstLine="720"/>
        <w:spacing w:line="360" w:lineRule="auto"/>
      </w:pPr>
      <w:r>
        <w:rPr>
          <w:rFonts w:hint="eastAsia" w:ascii="宋体" w:hAnsi="宋体" w:cs="宋体"/>
          <w:sz w:val="24"/>
          <w:szCs w:val="24"/>
        </w:rPr>
        <w:t xml:space="preserve">示例2：若基础网络和安全的月度最高限价为79500元，实际使用天数为100天，则该项服务当年服务费计算公式为：79500 × b% × 12 ÷ 365 × 100。</w:t>
      </w:r>
      <w:r/>
    </w:p>
    <w:p>
      <w:pPr>
        <w:ind w:firstLine="720"/>
        <w:spacing w:line="360" w:lineRule="auto"/>
      </w:pPr>
      <w:r>
        <w:rPr>
          <w:rFonts w:hint="eastAsia" w:ascii="宋体" w:hAnsi="宋体" w:cs="宋体"/>
          <w:sz w:val="24"/>
          <w:szCs w:val="24"/>
        </w:rPr>
        <w:t xml:space="preserve">示例3：若漏洞扫描年度最高限价300元/次，则根据次数n计算该项服务费：300 × b% × 次数n。</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b/>
          <w:sz w:val="24"/>
        </w:rPr>
      </w:pPr>
      <w:r>
        <w:rPr>
          <w:rFonts w:hint="eastAsia"/>
          <w:b/>
          <w:sz w:val="24"/>
        </w:rPr>
        <w:t xml:space="preserve">（五）项目组人员要求</w:t>
      </w:r>
      <w:r/>
    </w:p>
    <w:p>
      <w:pPr>
        <w:pStyle w:val="836"/>
        <w:ind w:firstLine="480"/>
        <w:spacing w:line="360" w:lineRule="auto"/>
        <w:widowControl/>
      </w:pPr>
      <w:r>
        <w:rPr>
          <w:rStyle w:val="887"/>
          <w:rFonts w:hint="eastAsia"/>
        </w:rPr>
        <w:t xml:space="preserve">依据本项目建设需求，投标人应提交项目建设运维人员配置清单，具体要求如下：（</w:t>
      </w:r>
      <w:r>
        <w:rPr>
          <w:rStyle w:val="887"/>
          <w:rFonts w:hint="eastAsia"/>
        </w:rPr>
        <w:t xml:space="preserve">1</w:t>
      </w:r>
      <w:r>
        <w:rPr>
          <w:rStyle w:val="887"/>
          <w:rFonts w:hint="eastAsia"/>
        </w:rPr>
        <w:t xml:space="preserve">）项目组负责人</w:t>
      </w:r>
      <w:r>
        <w:rPr>
          <w:rStyle w:val="887"/>
          <w:rFonts w:hint="eastAsia"/>
        </w:rPr>
        <w:t xml:space="preserve">1</w:t>
      </w:r>
      <w:r>
        <w:rPr>
          <w:rStyle w:val="887"/>
          <w:rFonts w:hint="eastAsia"/>
        </w:rPr>
        <w:t xml:space="preserve">名；（</w:t>
      </w:r>
      <w:r>
        <w:rPr>
          <w:rStyle w:val="887"/>
          <w:rFonts w:hint="eastAsia"/>
        </w:rPr>
        <w:t xml:space="preserve">2</w:t>
      </w:r>
      <w:r>
        <w:rPr>
          <w:rStyle w:val="887"/>
          <w:rFonts w:hint="eastAsia"/>
        </w:rPr>
        <w:t xml:space="preserve">）技术负责人</w:t>
      </w:r>
      <w:r>
        <w:rPr>
          <w:rStyle w:val="887"/>
          <w:rFonts w:hint="eastAsia"/>
        </w:rPr>
        <w:t xml:space="preserve">1</w:t>
      </w:r>
      <w:r>
        <w:rPr>
          <w:rStyle w:val="887"/>
          <w:rFonts w:hint="eastAsia"/>
        </w:rPr>
        <w:t xml:space="preserve">名；（</w:t>
      </w:r>
      <w:r>
        <w:rPr>
          <w:rStyle w:val="887"/>
          <w:rFonts w:hint="eastAsia"/>
        </w:rPr>
        <w:t xml:space="preserve">3</w:t>
      </w:r>
      <w:r>
        <w:rPr>
          <w:rStyle w:val="887"/>
          <w:rFonts w:hint="eastAsia"/>
        </w:rPr>
        <w:t xml:space="preserve">）实施负责人</w:t>
      </w:r>
      <w:r>
        <w:rPr>
          <w:rStyle w:val="887"/>
          <w:rFonts w:hint="eastAsia"/>
        </w:rPr>
        <w:t xml:space="preserve">1</w:t>
      </w:r>
      <w:r>
        <w:rPr>
          <w:rStyle w:val="887"/>
          <w:rFonts w:hint="eastAsia"/>
        </w:rPr>
        <w:t xml:space="preserve">名；（</w:t>
      </w:r>
      <w:r>
        <w:rPr>
          <w:rStyle w:val="887"/>
          <w:rFonts w:hint="eastAsia"/>
        </w:rPr>
        <w:t xml:space="preserve">4</w:t>
      </w:r>
      <w:r>
        <w:rPr>
          <w:rStyle w:val="887"/>
          <w:rFonts w:hint="eastAsia"/>
        </w:rPr>
        <w:t xml:space="preserve">）</w:t>
      </w:r>
      <w:r>
        <w:rPr>
          <w:rFonts w:hint="eastAsia"/>
          <w:sz w:val="24"/>
        </w:rPr>
        <w:t xml:space="preserve">管理及</w:t>
      </w:r>
      <w:r>
        <w:rPr>
          <w:rStyle w:val="887"/>
          <w:rFonts w:hint="eastAsia"/>
        </w:rPr>
        <w:t xml:space="preserve">运维人员不少于</w:t>
      </w:r>
      <w:r>
        <w:rPr>
          <w:rStyle w:val="887"/>
          <w:rFonts w:hint="eastAsia"/>
        </w:rPr>
        <w:t xml:space="preserve">2</w:t>
      </w:r>
      <w:r>
        <w:rPr>
          <w:rStyle w:val="887"/>
          <w:rFonts w:hint="eastAsia"/>
        </w:rPr>
        <w:t xml:space="preserve">名。投标文件中须提供由投标人（或其下属分支机构）为项目组人员缴纳的、投标截止时间前六个月内任意一个月的社保证明，并加盖投标人公章。</w:t>
      </w:r>
      <w:r/>
    </w:p>
    <w:p>
      <w:pPr>
        <w:pStyle w:val="836"/>
        <w:ind w:firstLine="480"/>
        <w:spacing w:line="360" w:lineRule="auto"/>
        <w:widowControl/>
      </w:pPr>
      <w:r>
        <w:rPr>
          <w:rStyle w:val="887"/>
          <w:rFonts w:hint="eastAsia"/>
        </w:rPr>
        <w:t xml:space="preserve">本项目配置核心专职人员</w:t>
      </w:r>
      <w:r>
        <w:rPr>
          <w:rStyle w:val="887"/>
          <w:rFonts w:hint="eastAsia"/>
        </w:rPr>
        <w:t xml:space="preserve">3</w:t>
      </w:r>
      <w:r>
        <w:rPr>
          <w:rStyle w:val="887"/>
          <w:rFonts w:hint="eastAsia"/>
        </w:rPr>
        <w:t xml:space="preserve">名，分别为项目负责人、技术负责人及实施负责人，三人通过分工协作完成全流程运维保障工作，各岗位职责说明如下：</w:t>
      </w:r>
      <w:r/>
    </w:p>
    <w:p>
      <w:pPr>
        <w:pStyle w:val="836"/>
        <w:ind w:firstLine="480"/>
        <w:spacing w:line="360" w:lineRule="auto"/>
        <w:widowControl/>
      </w:pPr>
      <w:r>
        <w:rPr>
          <w:rStyle w:val="887"/>
          <w:rFonts w:hint="eastAsia"/>
        </w:rPr>
        <w:t xml:space="preserve">项目负责人：全面统筹运维保障项目管理工作，负责与甲方单位的沟通对接，协调运维需求、管控项目进度、处理问题、推动运维方案落地、调度人员、编制台账及运维报告，保障整体服务质量，并负责重大运维事件的沟通协调。</w:t>
      </w:r>
      <w:r/>
    </w:p>
    <w:p>
      <w:pPr>
        <w:pStyle w:val="836"/>
        <w:ind w:firstLine="480"/>
        <w:spacing w:line="360" w:lineRule="auto"/>
        <w:widowControl/>
        <w:rPr>
          <w:rStyle w:val="887"/>
        </w:rPr>
      </w:pPr>
      <w:r>
        <w:rPr>
          <w:rStyle w:val="887"/>
          <w:rFonts w:hint="eastAsia"/>
        </w:rPr>
        <w:t xml:space="preserve">技术负责人：承担存量运维底层平台的技术支撑工作，统筹云资源、服务器、存储、网络、安全设备等技术运维事务，负责排查处置云平台疑难故障、制定运维技术规范、优化云资源架构、组织技术巡检与应急技术处置，把控运维技术风险。</w:t>
      </w:r>
      <w:r/>
    </w:p>
    <w:p>
      <w:pPr>
        <w:pStyle w:val="836"/>
        <w:ind w:firstLine="480"/>
        <w:spacing w:line="360" w:lineRule="auto"/>
        <w:widowControl/>
      </w:pPr>
      <w:r>
        <w:rPr>
          <w:rStyle w:val="887"/>
          <w:rFonts w:hint="eastAsia"/>
        </w:rPr>
        <w:t xml:space="preserve">实施负责人：负责日常运维实操工作的具体执行，包括云资源开通、配置调整、日常巡检、系统备份、故障现场处置、业务系统保障、运维工单执行、日志记录及设备日常维护等一线实施操作，确保各项运维任务落实到位。</w:t>
      </w:r>
      <w:r/>
    </w:p>
    <w:p>
      <w:r/>
      <w:r/>
    </w:p>
    <w:p>
      <w:pPr>
        <w:spacing w:line="360" w:lineRule="auto"/>
        <w:rPr>
          <w:b/>
          <w:sz w:val="24"/>
        </w:rPr>
      </w:pPr>
      <w:r>
        <w:rPr>
          <w:b/>
          <w:sz w:val="24"/>
        </w:rPr>
        <w:t xml:space="preserve">采购包</w:t>
      </w:r>
      <w:r>
        <w:rPr>
          <w:b/>
          <w:sz w:val="24"/>
        </w:rPr>
        <w:t xml:space="preserve">2</w:t>
      </w:r>
      <w:r>
        <w:rPr>
          <w:b/>
          <w:sz w:val="24"/>
        </w:rPr>
        <w:t xml:space="preserve">：无锡市政务云骨干节点宜兴存量部分运维项目（同城异地备份服务）项目技术要求和有关说明</w:t>
      </w:r>
      <w:r/>
    </w:p>
    <w:p>
      <w:pPr>
        <w:spacing w:line="360" w:lineRule="auto"/>
        <w:rPr>
          <w:b/>
          <w:sz w:val="24"/>
        </w:rPr>
      </w:pPr>
      <w:r>
        <w:rPr>
          <w:rFonts w:hint="eastAsia"/>
          <w:b/>
          <w:sz w:val="24"/>
        </w:rPr>
        <w:t xml:space="preserve">（一）</w:t>
      </w:r>
      <w:r>
        <w:rPr>
          <w:b/>
          <w:sz w:val="24"/>
        </w:rPr>
        <w:t xml:space="preserve">服务要求</w:t>
      </w:r>
      <w:r/>
    </w:p>
    <w:p>
      <w:pPr>
        <w:spacing w:line="360" w:lineRule="auto"/>
        <w:rPr>
          <w:b/>
          <w:sz w:val="24"/>
        </w:rPr>
      </w:pPr>
      <w:r>
        <w:rPr>
          <w:rFonts w:hint="eastAsia"/>
          <w:b/>
          <w:sz w:val="24"/>
        </w:rPr>
        <w:t xml:space="preserve">1</w:t>
      </w:r>
      <w:r>
        <w:rPr>
          <w:rFonts w:hint="eastAsia"/>
          <w:b/>
          <w:sz w:val="24"/>
        </w:rPr>
        <w:t xml:space="preserve">、</w:t>
      </w:r>
      <w:r>
        <w:rPr>
          <w:b/>
          <w:sz w:val="24"/>
        </w:rPr>
        <w:t xml:space="preserve">项目</w:t>
      </w:r>
      <w:r>
        <w:rPr>
          <w:rFonts w:hint="eastAsia"/>
          <w:b/>
          <w:sz w:val="24"/>
        </w:rPr>
        <w:t xml:space="preserve">要求</w:t>
      </w:r>
      <w:r/>
    </w:p>
    <w:p>
      <w:pPr>
        <w:pStyle w:val="836"/>
        <w:ind w:firstLine="480"/>
        <w:spacing w:line="360" w:lineRule="auto"/>
        <w:rPr>
          <w:sz w:val="24"/>
        </w:rPr>
      </w:pPr>
      <w:r>
        <w:rPr>
          <w:sz w:val="24"/>
        </w:rPr>
        <w:t xml:space="preserve">本次项目采购包</w:t>
      </w:r>
      <w:r>
        <w:rPr>
          <w:sz w:val="24"/>
        </w:rPr>
        <w:t xml:space="preserve">2</w:t>
      </w:r>
      <w:r>
        <w:rPr>
          <w:sz w:val="24"/>
        </w:rPr>
        <w:t xml:space="preserve">为：无锡市政务云骨干节点宜兴存量部分（同城异地备份服务），是为了深入贯彻落实《中华人民共和国网络安全法》和国家网络等级保护制度，</w:t>
      </w:r>
      <w:r>
        <w:rPr>
          <w:rFonts w:hint="eastAsia"/>
          <w:sz w:val="24"/>
        </w:rPr>
        <w:t xml:space="preserve">为持续健全全市政务信息化系统的容灾备份体系，保障政务数据安全，为持续保障市公安大数据备份节点平稳运行，</w:t>
      </w:r>
      <w:r>
        <w:rPr>
          <w:sz w:val="24"/>
        </w:rPr>
        <w:t xml:space="preserve">切实强化宜兴市存量部分运维的网络安全工作，保障云上</w:t>
      </w:r>
      <w:r>
        <w:rPr>
          <w:rFonts w:hint="eastAsia"/>
          <w:sz w:val="24"/>
        </w:rPr>
        <w:t xml:space="preserve">存量</w:t>
      </w:r>
      <w:r>
        <w:rPr>
          <w:sz w:val="24"/>
        </w:rPr>
        <w:t xml:space="preserve">政务应用、公共数据的安全管理。</w:t>
      </w:r>
      <w:r>
        <w:rPr>
          <w:rFonts w:hint="eastAsia"/>
          <w:sz w:val="24"/>
        </w:rPr>
        <w:t xml:space="preserve">需能提供专业、安全、高效的备份服务。</w:t>
      </w:r>
      <w:r>
        <w:rPr>
          <w:sz w:val="24"/>
        </w:rPr>
        <w:t xml:space="preserve">当意外或故障发生时，同城异地备份可以保障核心系统和数据资源能通过备份系统迅速恢复对外应用服务，实现业务连续性，确保数据资源完好无损，保证平台健壮、可靠地运行。</w:t>
      </w:r>
      <w:r/>
    </w:p>
    <w:p>
      <w:pPr>
        <w:pStyle w:val="836"/>
        <w:ind w:firstLine="480"/>
        <w:spacing w:line="360" w:lineRule="auto"/>
        <w:rPr>
          <w:sz w:val="24"/>
        </w:rPr>
      </w:pPr>
      <w:r>
        <w:rPr>
          <w:rFonts w:hint="eastAsia"/>
          <w:sz w:val="24"/>
        </w:rPr>
        <w:t xml:space="preserve">本项目投标人一旦中标，须自合同生效之日起</w:t>
      </w:r>
      <w:r>
        <w:rPr>
          <w:rFonts w:hint="eastAsia"/>
          <w:sz w:val="24"/>
        </w:rPr>
        <w:t xml:space="preserve">30</w:t>
      </w:r>
      <w:r>
        <w:rPr>
          <w:rFonts w:hint="eastAsia"/>
          <w:sz w:val="24"/>
        </w:rPr>
        <w:t xml:space="preserve">日内提供符合国家信息安全等级保护三级认证要求和实体数据中心，含双回路供电、双</w:t>
      </w:r>
      <w:r>
        <w:rPr>
          <w:rFonts w:hint="eastAsia"/>
          <w:sz w:val="24"/>
        </w:rPr>
        <w:t xml:space="preserve">UPS</w:t>
      </w:r>
      <w:r>
        <w:rPr>
          <w:rFonts w:hint="eastAsia"/>
          <w:sz w:val="24"/>
        </w:rPr>
        <w:t xml:space="preserve">系统、精密空调系统等。须配置独立的政务网区域、</w:t>
      </w:r>
      <w:r>
        <w:rPr>
          <w:rFonts w:hint="eastAsia"/>
          <w:sz w:val="24"/>
        </w:rPr>
        <w:t xml:space="preserve">DMZ</w:t>
      </w:r>
      <w:r>
        <w:rPr>
          <w:rFonts w:hint="eastAsia"/>
          <w:sz w:val="24"/>
        </w:rPr>
        <w:t xml:space="preserve">区域、私有云区域和测试区域，建设规模不低于</w:t>
      </w:r>
      <w:r>
        <w:rPr>
          <w:rFonts w:hint="eastAsia"/>
          <w:sz w:val="24"/>
        </w:rPr>
        <w:t xml:space="preserve">400</w:t>
      </w:r>
      <w:r>
        <w:rPr>
          <w:rFonts w:hint="eastAsia"/>
          <w:sz w:val="24"/>
        </w:rPr>
        <w:t xml:space="preserve">核物理</w:t>
      </w:r>
      <w:r>
        <w:rPr>
          <w:rFonts w:hint="eastAsia"/>
          <w:sz w:val="24"/>
        </w:rPr>
        <w:t xml:space="preserve">CPU</w:t>
      </w:r>
      <w:r>
        <w:rPr>
          <w:rFonts w:hint="eastAsia"/>
          <w:sz w:val="24"/>
        </w:rPr>
        <w:t xml:space="preserve">、</w:t>
      </w:r>
      <w:r>
        <w:rPr>
          <w:rFonts w:hint="eastAsia"/>
          <w:sz w:val="24"/>
        </w:rPr>
        <w:t xml:space="preserve">2TB</w:t>
      </w:r>
      <w:r>
        <w:rPr>
          <w:rFonts w:hint="eastAsia"/>
          <w:sz w:val="24"/>
        </w:rPr>
        <w:t xml:space="preserve">内存、</w:t>
      </w:r>
      <w:r>
        <w:rPr>
          <w:rFonts w:hint="eastAsia"/>
          <w:sz w:val="24"/>
        </w:rPr>
        <w:t xml:space="preserve">150TB</w:t>
      </w:r>
      <w:r>
        <w:rPr>
          <w:rFonts w:hint="eastAsia"/>
          <w:sz w:val="24"/>
        </w:rPr>
        <w:t xml:space="preserve">存储容量。如确需迁移，建设规模须满足存量系统的资源使用要求，须自合同生效之日起</w:t>
      </w:r>
      <w:r>
        <w:rPr>
          <w:rFonts w:hint="eastAsia"/>
          <w:sz w:val="24"/>
        </w:rPr>
        <w:t xml:space="preserve">30</w:t>
      </w:r>
      <w:r>
        <w:rPr>
          <w:rFonts w:hint="eastAsia"/>
          <w:sz w:val="24"/>
        </w:rPr>
        <w:t xml:space="preserve">日内完成所有迁移工作，并确保现有系统不间断运行，确保现有数据安全，系统迁移费用由中标供应商承担。以上建设所需的一切费用由中标供应商自行承担。</w:t>
      </w:r>
      <w:r/>
    </w:p>
    <w:p>
      <w:pPr>
        <w:pStyle w:val="836"/>
        <w:spacing w:line="360" w:lineRule="auto"/>
        <w:rPr>
          <w:sz w:val="24"/>
        </w:rPr>
      </w:pPr>
      <w:r>
        <w:rPr>
          <w:rFonts w:hint="eastAsia"/>
          <w:b/>
          <w:sz w:val="24"/>
        </w:rPr>
        <w:t xml:space="preserve">2</w:t>
      </w:r>
      <w:r>
        <w:rPr>
          <w:rFonts w:hint="eastAsia"/>
          <w:b/>
          <w:sz w:val="24"/>
        </w:rPr>
        <w:t xml:space="preserve">、</w:t>
      </w:r>
      <w:r>
        <w:rPr>
          <w:b/>
          <w:sz w:val="24"/>
        </w:rPr>
        <w:t xml:space="preserve">项目内容</w:t>
      </w:r>
      <w:r/>
    </w:p>
    <w:p>
      <w:pPr>
        <w:pStyle w:val="836"/>
        <w:ind w:firstLine="480"/>
        <w:spacing w:line="360" w:lineRule="auto"/>
        <w:rPr>
          <w:strike/>
          <w:color w:val="e54c5e"/>
          <w:sz w:val="24"/>
        </w:rPr>
      </w:pPr>
      <w:r>
        <w:rPr>
          <w:sz w:val="24"/>
        </w:rPr>
        <w:t xml:space="preserve">宜兴市同城异地备份服务平台采用政府按需采购服务，企业投资、建设、运营云计算中心模式，利用虚拟化、分布式等云计算技术，为政府各部门提供数据、系统等业务的备份容灾服务。</w:t>
      </w:r>
      <w:r/>
    </w:p>
    <w:p>
      <w:pPr>
        <w:pStyle w:val="836"/>
        <w:spacing w:line="360" w:lineRule="auto"/>
        <w:rPr>
          <w:b/>
          <w:sz w:val="24"/>
        </w:rPr>
      </w:pPr>
      <w:r>
        <w:rPr>
          <w:rFonts w:hint="eastAsia"/>
          <w:b/>
          <w:sz w:val="24"/>
        </w:rPr>
        <w:t xml:space="preserve">3</w:t>
      </w:r>
      <w:r>
        <w:rPr>
          <w:rFonts w:hint="eastAsia"/>
          <w:b/>
          <w:sz w:val="24"/>
        </w:rPr>
        <w:t xml:space="preserve">、</w:t>
      </w:r>
      <w:r>
        <w:rPr>
          <w:b/>
          <w:sz w:val="24"/>
        </w:rPr>
        <w:t xml:space="preserve">总体要求</w:t>
      </w:r>
      <w:r/>
    </w:p>
    <w:p>
      <w:pPr>
        <w:pStyle w:val="836"/>
        <w:ind w:firstLine="480"/>
        <w:spacing w:line="360" w:lineRule="auto"/>
        <w:rPr>
          <w:sz w:val="24"/>
        </w:rPr>
      </w:pPr>
      <w:r>
        <w:rPr>
          <w:sz w:val="24"/>
        </w:rPr>
        <w:t xml:space="preserve">完成宜兴市同城异地备份服务平台的系统设计、软硬件集成、系统实施以及运行维护等工作，为宜兴存量部分运维项目提供专业、安全、高效的同城异地备份服务。</w:t>
      </w:r>
      <w:r/>
    </w:p>
    <w:p>
      <w:pPr>
        <w:pStyle w:val="836"/>
        <w:ind w:firstLine="480"/>
        <w:spacing w:line="360" w:lineRule="auto"/>
        <w:rPr>
          <w:sz w:val="24"/>
        </w:rPr>
      </w:pPr>
      <w:r>
        <w:rPr>
          <w:sz w:val="24"/>
        </w:rPr>
        <w:t xml:space="preserve">要求云计算服务能力可弹性扩展，可满足未来三年宜兴市存量部分运维的需要。确保在此期间，宜兴市存量部分运维项目能够按照要求稳定运行。</w:t>
      </w:r>
      <w:r/>
    </w:p>
    <w:p>
      <w:pPr>
        <w:pStyle w:val="836"/>
        <w:ind w:firstLine="480"/>
        <w:spacing w:line="360" w:lineRule="auto"/>
        <w:rPr>
          <w:sz w:val="24"/>
        </w:rPr>
      </w:pPr>
      <w:r>
        <w:rPr>
          <w:sz w:val="24"/>
        </w:rPr>
        <w:t xml:space="preserve">宜兴市同城异地备份服务平台须具备对现有存量部分运维的各类业务系统和数据进行备份的能力。</w:t>
      </w:r>
      <w:r/>
    </w:p>
    <w:p>
      <w:pPr>
        <w:pStyle w:val="836"/>
        <w:ind w:firstLine="480"/>
        <w:spacing w:line="360" w:lineRule="auto"/>
        <w:rPr>
          <w:sz w:val="24"/>
        </w:rPr>
      </w:pPr>
      <w:r>
        <w:rPr>
          <w:sz w:val="24"/>
        </w:rPr>
        <w:t xml:space="preserve">中标单位须免费为云服务使用单位提供系统迁移及配置备份服务。</w:t>
      </w:r>
      <w:r/>
    </w:p>
    <w:p>
      <w:pPr>
        <w:pStyle w:val="836"/>
        <w:ind w:firstLine="480"/>
        <w:spacing w:line="360" w:lineRule="auto"/>
        <w:rPr>
          <w:sz w:val="24"/>
        </w:rPr>
      </w:pPr>
      <w:r>
        <w:rPr>
          <w:sz w:val="24"/>
        </w:rPr>
        <w:t xml:space="preserve">整体项目建设原则如下：</w:t>
      </w:r>
      <w:bookmarkStart w:id="90" w:name="_Toc171845530"/>
      <w:r/>
      <w:r/>
    </w:p>
    <w:p>
      <w:pPr>
        <w:pStyle w:val="831"/>
        <w:numPr>
          <w:ilvl w:val="0"/>
          <w:numId w:val="27"/>
        </w:numPr>
        <w:ind w:firstLine="480"/>
        <w:tabs>
          <w:tab w:val="left" w:pos="1080" w:leader="none"/>
        </w:tabs>
      </w:pPr>
      <w:r>
        <w:t xml:space="preserve">可恢复性</w:t>
      </w:r>
      <w:bookmarkEnd w:id="90"/>
      <w:r/>
      <w:r/>
    </w:p>
    <w:p>
      <w:pPr>
        <w:pStyle w:val="836"/>
        <w:ind w:firstLine="480"/>
        <w:spacing w:line="360" w:lineRule="auto"/>
        <w:rPr>
          <w:sz w:val="24"/>
        </w:rPr>
      </w:pPr>
      <w:r>
        <w:rPr>
          <w:sz w:val="24"/>
        </w:rPr>
        <w:t xml:space="preserve">备份的目的就是为了恢复，如果备份成功率不可预知或不能保证在合理的时间范围内恢复系统数据，备份系统就没有价值。如果备份系统发生硬件或软件故障，有流程但没有经过演练甚至没有相应的故障恢复流程，系统很可能得不到迅速</w:t>
      </w:r>
      <w:r>
        <w:rPr>
          <w:rFonts w:hint="eastAsia"/>
          <w:sz w:val="24"/>
        </w:rPr>
        <w:t xml:space="preserve">的</w:t>
      </w:r>
      <w:r>
        <w:rPr>
          <w:sz w:val="24"/>
        </w:rPr>
        <w:t xml:space="preserve">恢复，降低应用系统的可用性。</w:t>
      </w:r>
      <w:bookmarkStart w:id="91" w:name="_Toc171845531"/>
      <w:r/>
      <w:r/>
    </w:p>
    <w:p>
      <w:pPr>
        <w:pStyle w:val="831"/>
        <w:numPr>
          <w:ilvl w:val="0"/>
          <w:numId w:val="27"/>
        </w:numPr>
        <w:ind w:firstLine="480"/>
        <w:tabs>
          <w:tab w:val="left" w:pos="1080" w:leader="none"/>
        </w:tabs>
      </w:pPr>
      <w:r>
        <w:t xml:space="preserve">系统整体的均衡</w:t>
      </w:r>
      <w:bookmarkEnd w:id="91"/>
      <w:r/>
      <w:r/>
    </w:p>
    <w:p>
      <w:pPr>
        <w:pStyle w:val="836"/>
        <w:ind w:firstLine="480"/>
        <w:spacing w:line="360" w:lineRule="auto"/>
        <w:rPr>
          <w:sz w:val="24"/>
        </w:rPr>
      </w:pPr>
      <w:r>
        <w:rPr>
          <w:sz w:val="24"/>
        </w:rPr>
        <w:t xml:space="preserve">应该对备份系统各部分都进行性能估算，使备份系统不产生明显的瓶颈。所有备份恢复负载应均衡到不同的网卡、交换机、磁带驱动器等。追求局部性能而忽视整体的均衡实际上达不到高性能。</w:t>
      </w:r>
      <w:bookmarkStart w:id="92" w:name="_Toc171845532"/>
      <w:r/>
      <w:r/>
    </w:p>
    <w:p>
      <w:pPr>
        <w:pStyle w:val="831"/>
        <w:numPr>
          <w:ilvl w:val="0"/>
          <w:numId w:val="27"/>
        </w:numPr>
        <w:ind w:firstLine="480"/>
        <w:tabs>
          <w:tab w:val="left" w:pos="1080" w:leader="none"/>
        </w:tabs>
      </w:pPr>
      <w:r>
        <w:t xml:space="preserve">安全性</w:t>
      </w:r>
      <w:bookmarkEnd w:id="92"/>
      <w:r/>
      <w:r/>
    </w:p>
    <w:p>
      <w:pPr>
        <w:pStyle w:val="836"/>
        <w:ind w:firstLine="480"/>
        <w:spacing w:line="360" w:lineRule="auto"/>
        <w:rPr>
          <w:sz w:val="24"/>
        </w:rPr>
      </w:pPr>
      <w:r>
        <w:rPr>
          <w:sz w:val="24"/>
        </w:rPr>
        <w:t xml:space="preserve">对于备份网络的组网设计，安全性是非常重要的，如防止发生网络风暴、黑客入侵和病毒入侵等，在设计备份网络的时候要充分考虑到各种安全隐患，通过实施网络隔离、分层防护等手段，保证业务系统的网络安全。</w:t>
      </w:r>
      <w:bookmarkStart w:id="93" w:name="_Toc171845533"/>
      <w:r/>
      <w:r/>
    </w:p>
    <w:p>
      <w:pPr>
        <w:pStyle w:val="831"/>
        <w:numPr>
          <w:ilvl w:val="0"/>
          <w:numId w:val="27"/>
        </w:numPr>
        <w:ind w:firstLine="480"/>
        <w:tabs>
          <w:tab w:val="left" w:pos="1080" w:leader="none"/>
        </w:tabs>
      </w:pPr>
      <w:r>
        <w:t xml:space="preserve">易管理性</w:t>
      </w:r>
      <w:bookmarkEnd w:id="93"/>
      <w:r/>
      <w:r/>
    </w:p>
    <w:p>
      <w:pPr>
        <w:pStyle w:val="836"/>
        <w:ind w:firstLine="480"/>
        <w:spacing w:line="360" w:lineRule="auto"/>
        <w:rPr>
          <w:sz w:val="24"/>
        </w:rPr>
      </w:pPr>
      <w:r>
        <w:rPr>
          <w:sz w:val="24"/>
        </w:rPr>
        <w:t xml:space="preserve">备份系统是</w:t>
      </w:r>
      <w:r>
        <w:rPr>
          <w:sz w:val="24"/>
        </w:rPr>
        <w:t xml:space="preserve">IT</w:t>
      </w:r>
      <w:r>
        <w:rPr>
          <w:sz w:val="24"/>
        </w:rPr>
        <w:t xml:space="preserve">系统中极为重要的一部分，应尽量采取集中统一的管理方式，实现性能监</w:t>
      </w:r>
      <w:r>
        <w:rPr>
          <w:sz w:val="24"/>
        </w:rPr>
        <w:t xml:space="preserve">控、配置动态变更等功能。</w:t>
      </w:r>
      <w:bookmarkStart w:id="94" w:name="_Toc171845534"/>
      <w:r/>
      <w:r/>
    </w:p>
    <w:p>
      <w:pPr>
        <w:pStyle w:val="831"/>
        <w:numPr>
          <w:ilvl w:val="0"/>
          <w:numId w:val="27"/>
        </w:numPr>
        <w:ind w:firstLine="480"/>
        <w:tabs>
          <w:tab w:val="left" w:pos="1080" w:leader="none"/>
        </w:tabs>
      </w:pPr>
      <w:r>
        <w:t xml:space="preserve">可扩展性，动态扩展能力</w:t>
      </w:r>
      <w:bookmarkEnd w:id="94"/>
      <w:r/>
      <w:r/>
    </w:p>
    <w:p>
      <w:pPr>
        <w:pStyle w:val="836"/>
        <w:ind w:firstLine="480"/>
        <w:spacing w:line="360" w:lineRule="auto"/>
        <w:rPr>
          <w:sz w:val="24"/>
        </w:rPr>
      </w:pPr>
      <w:r/>
      <w:bookmarkStart w:id="95" w:name="_Toc498764711"/>
      <w:r>
        <w:rPr>
          <w:sz w:val="24"/>
        </w:rPr>
        <w:t xml:space="preserve">备份系统可以方便地扩充、升级，可以满足现在乃至未来较长一段时间内的增长需求，保护用户现有的投资，结构上能方便地过渡到</w:t>
      </w:r>
      <w:r>
        <w:rPr>
          <w:sz w:val="24"/>
        </w:rPr>
        <w:t xml:space="preserve">LAN-Free/ServerFree</w:t>
      </w:r>
      <w:r>
        <w:rPr>
          <w:sz w:val="24"/>
        </w:rPr>
        <w:t xml:space="preserve">的备份方案。</w:t>
      </w:r>
      <w:r/>
    </w:p>
    <w:p>
      <w:pPr>
        <w:pStyle w:val="836"/>
        <w:spacing w:line="360" w:lineRule="auto"/>
        <w:rPr>
          <w:b/>
          <w:sz w:val="24"/>
        </w:rPr>
      </w:pPr>
      <w:r>
        <w:rPr>
          <w:rFonts w:hint="eastAsia"/>
          <w:b/>
          <w:sz w:val="24"/>
        </w:rPr>
        <w:t xml:space="preserve">4</w:t>
      </w:r>
      <w:r>
        <w:rPr>
          <w:rFonts w:hint="eastAsia"/>
          <w:b/>
          <w:sz w:val="24"/>
        </w:rPr>
        <w:t xml:space="preserve">、</w:t>
      </w:r>
      <w:r>
        <w:rPr>
          <w:b/>
          <w:sz w:val="24"/>
        </w:rPr>
        <w:t xml:space="preserve">初始规模及运维要求</w:t>
      </w:r>
      <w:r/>
    </w:p>
    <w:p>
      <w:pPr>
        <w:pStyle w:val="836"/>
        <w:ind w:firstLine="480"/>
        <w:spacing w:line="360" w:lineRule="auto"/>
        <w:rPr>
          <w:sz w:val="24"/>
        </w:rPr>
      </w:pPr>
      <w:r>
        <w:rPr>
          <w:sz w:val="24"/>
        </w:rPr>
        <w:t xml:space="preserve">本项目中标人在合同签订生效后三个月内，为本项目建设或租用的同城异地备份服务平台资源池的规模须不低于：</w:t>
      </w:r>
      <w:r>
        <w:rPr>
          <w:sz w:val="24"/>
        </w:rPr>
        <w:t xml:space="preserve">400</w:t>
      </w:r>
      <w:r>
        <w:rPr>
          <w:sz w:val="24"/>
        </w:rPr>
        <w:t xml:space="preserve">核物理</w:t>
      </w:r>
      <w:r>
        <w:rPr>
          <w:sz w:val="24"/>
        </w:rPr>
        <w:t xml:space="preserve">CPU</w:t>
      </w:r>
      <w:r>
        <w:rPr>
          <w:sz w:val="24"/>
        </w:rPr>
        <w:t xml:space="preserve">、</w:t>
      </w:r>
      <w:r>
        <w:rPr>
          <w:sz w:val="24"/>
        </w:rPr>
        <w:t xml:space="preserve">2TB</w:t>
      </w:r>
      <w:r>
        <w:rPr>
          <w:sz w:val="24"/>
        </w:rPr>
        <w:t xml:space="preserve">内存、</w:t>
      </w:r>
      <w:r>
        <w:rPr>
          <w:sz w:val="24"/>
        </w:rPr>
        <w:t xml:space="preserve">150T</w:t>
      </w:r>
      <w:r>
        <w:rPr>
          <w:sz w:val="24"/>
        </w:rPr>
        <w:t xml:space="preserve">存储容量。单颗</w:t>
      </w:r>
      <w:r>
        <w:rPr>
          <w:sz w:val="24"/>
        </w:rPr>
        <w:t xml:space="preserve">CPU</w:t>
      </w:r>
      <w:r>
        <w:rPr>
          <w:sz w:val="24"/>
        </w:rPr>
        <w:t xml:space="preserve">主频不低于</w:t>
      </w:r>
      <w:r>
        <w:rPr>
          <w:sz w:val="24"/>
        </w:rPr>
        <w:t xml:space="preserve">2.</w:t>
      </w:r>
      <w:r>
        <w:rPr>
          <w:rFonts w:hint="eastAsia"/>
          <w:sz w:val="24"/>
        </w:rPr>
        <w:t xml:space="preserve">6</w:t>
      </w:r>
      <w:r>
        <w:rPr>
          <w:sz w:val="24"/>
        </w:rPr>
        <w:t xml:space="preserve">GHz</w:t>
      </w:r>
      <w:r>
        <w:rPr>
          <w:sz w:val="24"/>
        </w:rPr>
        <w:t xml:space="preserve">，支持内存热备与镜像功能。网卡配置不低于</w:t>
      </w:r>
      <w:r>
        <w:rPr>
          <w:sz w:val="24"/>
        </w:rPr>
        <w:t xml:space="preserve">4</w:t>
      </w:r>
      <w:r>
        <w:rPr>
          <w:sz w:val="24"/>
        </w:rPr>
        <w:t xml:space="preserve">个千兆电口加</w:t>
      </w:r>
      <w:r>
        <w:rPr>
          <w:sz w:val="24"/>
        </w:rPr>
        <w:t xml:space="preserve">2</w:t>
      </w:r>
      <w:r>
        <w:rPr>
          <w:sz w:val="24"/>
        </w:rPr>
        <w:t xml:space="preserve">个万兆光口，支持</w:t>
      </w:r>
      <w:r>
        <w:rPr>
          <w:sz w:val="24"/>
        </w:rPr>
        <w:t xml:space="preserve">RDMA</w:t>
      </w:r>
      <w:r>
        <w:rPr>
          <w:sz w:val="24"/>
        </w:rPr>
        <w:t xml:space="preserve">、链路聚合及虚拟化卸载。服务器配备双冗余</w:t>
      </w:r>
      <w:r>
        <w:rPr>
          <w:sz w:val="24"/>
        </w:rPr>
        <w:t xml:space="preserve">1500W</w:t>
      </w:r>
      <w:r>
        <w:rPr>
          <w:sz w:val="24"/>
        </w:rPr>
        <w:t xml:space="preserve">热插拔电源，支持</w:t>
      </w:r>
      <w:r>
        <w:rPr>
          <w:sz w:val="24"/>
        </w:rPr>
        <w:t xml:space="preserve">1+1</w:t>
      </w:r>
      <w:r>
        <w:rPr>
          <w:sz w:val="24"/>
        </w:rPr>
        <w:t xml:space="preserve">冗余。</w:t>
      </w:r>
      <w:r/>
    </w:p>
    <w:p>
      <w:pPr>
        <w:pStyle w:val="836"/>
        <w:ind w:firstLine="480"/>
        <w:spacing w:line="360" w:lineRule="auto"/>
        <w:rPr>
          <w:sz w:val="24"/>
        </w:rPr>
      </w:pPr>
      <w:r>
        <w:rPr>
          <w:sz w:val="24"/>
        </w:rPr>
        <w:t xml:space="preserve">备份存储规模</w:t>
      </w:r>
      <w:r>
        <w:rPr>
          <w:sz w:val="24"/>
        </w:rPr>
        <w:t xml:space="preserve">150T</w:t>
      </w:r>
      <w:r>
        <w:rPr>
          <w:sz w:val="24"/>
        </w:rPr>
        <w:t xml:space="preserve">，采用分布式融合存储架构。通过三副本或</w:t>
      </w:r>
      <w:r>
        <w:rPr>
          <w:sz w:val="24"/>
        </w:rPr>
        <w:t xml:space="preserve">EC</w:t>
      </w:r>
      <w:r>
        <w:rPr>
          <w:sz w:val="24"/>
        </w:rPr>
        <w:t xml:space="preserve">纠删码冗余保障数据可靠性</w:t>
      </w:r>
      <w:r>
        <w:rPr>
          <w:sz w:val="24"/>
        </w:rPr>
        <w:t xml:space="preserve">99.9%</w:t>
      </w:r>
      <w:r>
        <w:rPr>
          <w:sz w:val="24"/>
        </w:rPr>
        <w:t xml:space="preserve">。存储采用</w:t>
      </w:r>
      <w:r>
        <w:rPr>
          <w:sz w:val="24"/>
        </w:rPr>
        <w:t xml:space="preserve">SSD</w:t>
      </w:r>
      <w:r>
        <w:rPr>
          <w:sz w:val="24"/>
        </w:rPr>
        <w:t xml:space="preserve">性能层</w:t>
      </w:r>
      <w:r>
        <w:rPr>
          <w:sz w:val="24"/>
        </w:rPr>
        <w:t xml:space="preserve">+SAS</w:t>
      </w:r>
      <w:r>
        <w:rPr>
          <w:sz w:val="24"/>
        </w:rPr>
        <w:t xml:space="preserve">容量层架构，支持重删压缩、数据加密、自动分层、策略备份与快速恢复，全量备份窗口</w:t>
      </w:r>
      <w:r>
        <w:rPr>
          <w:sz w:val="24"/>
        </w:rPr>
        <w:t xml:space="preserve">≤4</w:t>
      </w:r>
      <w:r>
        <w:rPr>
          <w:sz w:val="24"/>
        </w:rPr>
        <w:t xml:space="preserve">小时，数据恢复</w:t>
      </w:r>
      <w:r>
        <w:rPr>
          <w:sz w:val="24"/>
        </w:rPr>
        <w:t xml:space="preserve">RTO≤2</w:t>
      </w:r>
      <w:r>
        <w:rPr>
          <w:sz w:val="24"/>
        </w:rPr>
        <w:t xml:space="preserve">小时、</w:t>
      </w:r>
      <w:r>
        <w:rPr>
          <w:sz w:val="24"/>
        </w:rPr>
        <w:t xml:space="preserve">RPO≤15</w:t>
      </w:r>
      <w:r>
        <w:rPr>
          <w:sz w:val="24"/>
        </w:rPr>
        <w:t xml:space="preserve">分钟。</w:t>
      </w:r>
      <w:r/>
    </w:p>
    <w:p>
      <w:pPr>
        <w:pStyle w:val="836"/>
        <w:ind w:firstLine="480"/>
        <w:spacing w:line="360" w:lineRule="auto"/>
        <w:rPr>
          <w:sz w:val="24"/>
        </w:rPr>
      </w:pPr>
      <w:r>
        <w:rPr>
          <w:sz w:val="24"/>
        </w:rPr>
        <w:t xml:space="preserve">备份网络采用万兆骨干、千兆接入架构，划分虚拟化、大数据集群、管理、业务等专属子网，通过</w:t>
      </w:r>
      <w:r>
        <w:rPr>
          <w:sz w:val="24"/>
        </w:rPr>
        <w:t xml:space="preserve">VXLAN</w:t>
      </w:r>
      <w:r>
        <w:rPr>
          <w:sz w:val="24"/>
        </w:rPr>
        <w:t xml:space="preserve">实现大二层互通与无中断迁移，形成同城双活、异地多活的高可靠备份体系。</w:t>
      </w:r>
      <w:r/>
    </w:p>
    <w:p>
      <w:pPr>
        <w:pStyle w:val="836"/>
        <w:ind w:firstLine="480"/>
        <w:spacing w:line="360" w:lineRule="auto"/>
        <w:rPr>
          <w:sz w:val="24"/>
        </w:rPr>
      </w:pPr>
      <w:r>
        <w:rPr>
          <w:sz w:val="24"/>
        </w:rPr>
        <w:t xml:space="preserve">同城异地备份中心</w:t>
      </w:r>
      <w:r>
        <w:rPr>
          <w:rFonts w:hint="eastAsia"/>
          <w:sz w:val="24"/>
        </w:rPr>
        <w:t xml:space="preserve">应</w:t>
      </w:r>
      <w:r>
        <w:rPr>
          <w:sz w:val="24"/>
        </w:rPr>
        <w:t xml:space="preserve">保障备份文件验证功能、可开启一个虚拟化验证主机，保障备份数据去重与合并功能、提供</w:t>
      </w:r>
      <w:r>
        <w:rPr>
          <w:sz w:val="24"/>
        </w:rPr>
        <w:t xml:space="preserve">WindowsSever</w:t>
      </w:r>
      <w:r>
        <w:rPr>
          <w:sz w:val="24"/>
        </w:rPr>
        <w:t xml:space="preserve">、</w:t>
      </w:r>
      <w:r>
        <w:rPr>
          <w:sz w:val="24"/>
        </w:rPr>
        <w:t xml:space="preserve">windows</w:t>
      </w:r>
      <w:r>
        <w:rPr>
          <w:sz w:val="24"/>
        </w:rPr>
        <w:t xml:space="preserve">和</w:t>
      </w:r>
      <w:r>
        <w:rPr>
          <w:sz w:val="24"/>
        </w:rPr>
        <w:t xml:space="preserve">linux</w:t>
      </w:r>
      <w:r>
        <w:rPr>
          <w:sz w:val="24"/>
        </w:rPr>
        <w:t xml:space="preserve">备份代理程序，保障无系统</w:t>
      </w:r>
      <w:r>
        <w:rPr>
          <w:sz w:val="24"/>
        </w:rPr>
        <w:t xml:space="preserve">X86/</w:t>
      </w:r>
      <w:r>
        <w:rPr>
          <w:sz w:val="24"/>
        </w:rPr>
        <w:t xml:space="preserve">虚拟机</w:t>
      </w:r>
      <w:r>
        <w:rPr>
          <w:sz w:val="24"/>
        </w:rPr>
        <w:t xml:space="preserve">/</w:t>
      </w:r>
      <w:r>
        <w:rPr>
          <w:sz w:val="24"/>
        </w:rPr>
        <w:t xml:space="preserve">云主机裸机、</w:t>
      </w:r>
      <w:r>
        <w:rPr>
          <w:sz w:val="24"/>
        </w:rPr>
        <w:t xml:space="preserve">WindowsSever</w:t>
      </w:r>
      <w:r>
        <w:rPr>
          <w:sz w:val="24"/>
        </w:rPr>
        <w:t xml:space="preserve">、</w:t>
      </w:r>
      <w:r>
        <w:rPr>
          <w:sz w:val="24"/>
        </w:rPr>
        <w:t xml:space="preserve">linux</w:t>
      </w:r>
      <w:r>
        <w:rPr>
          <w:sz w:val="24"/>
        </w:rPr>
        <w:t xml:space="preserve">、</w:t>
      </w:r>
      <w:r>
        <w:rPr>
          <w:sz w:val="24"/>
        </w:rPr>
        <w:t xml:space="preserve">windows</w:t>
      </w:r>
      <w:r>
        <w:rPr>
          <w:sz w:val="24"/>
        </w:rPr>
        <w:t xml:space="preserve">还原代理、可实现单</w:t>
      </w:r>
      <w:r>
        <w:rPr>
          <w:sz w:val="24"/>
        </w:rPr>
        <w:t xml:space="preserve">/</w:t>
      </w:r>
      <w:r>
        <w:rPr>
          <w:sz w:val="24"/>
        </w:rPr>
        <w:t xml:space="preserve">批量文件恢复和下载、保障异构主机间的全量和快速灾难恢复功能，备份数据可挂载恢复到云主机。</w:t>
      </w:r>
      <w:bookmarkEnd w:id="95"/>
      <w:r/>
    </w:p>
    <w:p>
      <w:pPr>
        <w:pStyle w:val="836"/>
        <w:spacing w:line="360" w:lineRule="auto"/>
        <w:rPr>
          <w:b/>
          <w:sz w:val="24"/>
        </w:rPr>
      </w:pPr>
      <w:r>
        <w:rPr>
          <w:rFonts w:hint="eastAsia"/>
          <w:b/>
          <w:sz w:val="24"/>
        </w:rPr>
        <w:t xml:space="preserve">5</w:t>
      </w:r>
      <w:r>
        <w:rPr>
          <w:rFonts w:hint="eastAsia"/>
          <w:b/>
          <w:sz w:val="24"/>
        </w:rPr>
        <w:t xml:space="preserve">、</w:t>
      </w:r>
      <w:r>
        <w:rPr>
          <w:b/>
          <w:sz w:val="24"/>
        </w:rPr>
        <w:t xml:space="preserve">技术要求</w:t>
      </w:r>
      <w:r/>
    </w:p>
    <w:p>
      <w:pPr>
        <w:pStyle w:val="836"/>
        <w:ind w:firstLine="480"/>
        <w:spacing w:line="360" w:lineRule="auto"/>
        <w:rPr>
          <w:sz w:val="24"/>
        </w:rPr>
      </w:pPr>
      <w:r>
        <w:rPr>
          <w:sz w:val="24"/>
        </w:rPr>
        <w:t xml:space="preserve">宜兴市同城异地备份服务项目内容包括但不限于以下服务内容：</w:t>
      </w:r>
      <w:r/>
    </w:p>
    <w:p>
      <w:pPr>
        <w:pStyle w:val="831"/>
        <w:ind w:left="420"/>
        <w:tabs>
          <w:tab w:val="left" w:pos="1200" w:leader="none"/>
        </w:tabs>
      </w:pPr>
      <w:r>
        <w:rPr>
          <w:rFonts w:hint="eastAsia"/>
        </w:rPr>
        <w:t xml:space="preserve">5.1</w:t>
      </w:r>
      <w:r>
        <w:t xml:space="preserve">云备份容灾服务</w:t>
      </w:r>
      <w:r/>
    </w:p>
    <w:p>
      <w:pPr>
        <w:pStyle w:val="836"/>
        <w:ind w:left="482" w:firstLine="480"/>
        <w:spacing w:line="360" w:lineRule="auto"/>
        <w:rPr>
          <w:sz w:val="24"/>
        </w:rPr>
      </w:pPr>
      <w:r>
        <w:rPr>
          <w:sz w:val="24"/>
        </w:rPr>
        <w:t xml:space="preserve">提供</w:t>
      </w:r>
      <w:r>
        <w:rPr>
          <w:sz w:val="24"/>
        </w:rPr>
        <w:t xml:space="preserve">X86/</w:t>
      </w:r>
      <w:r>
        <w:rPr>
          <w:sz w:val="24"/>
        </w:rPr>
        <w:t xml:space="preserve">虚拟机整机、业务系统、数据备份服务（文件、数据库、操作系统），需支持</w:t>
      </w:r>
      <w:r>
        <w:rPr>
          <w:sz w:val="24"/>
        </w:rPr>
        <w:t xml:space="preserve">Oracle</w:t>
      </w:r>
      <w:r>
        <w:rPr>
          <w:sz w:val="24"/>
        </w:rPr>
        <w:t xml:space="preserve">、</w:t>
      </w:r>
      <w:r>
        <w:rPr>
          <w:sz w:val="24"/>
        </w:rPr>
        <w:t xml:space="preserve">SQLServer</w:t>
      </w:r>
      <w:r>
        <w:rPr>
          <w:sz w:val="24"/>
        </w:rPr>
        <w:t xml:space="preserve">等常用数据库系统、支持</w:t>
      </w:r>
      <w:r>
        <w:rPr>
          <w:sz w:val="24"/>
        </w:rPr>
        <w:t xml:space="preserve">windows2016</w:t>
      </w:r>
      <w:r>
        <w:rPr>
          <w:sz w:val="24"/>
        </w:rPr>
        <w:t xml:space="preserve">、</w:t>
      </w:r>
      <w:r>
        <w:rPr>
          <w:sz w:val="24"/>
        </w:rPr>
        <w:t xml:space="preserve">centos7</w:t>
      </w:r>
      <w:r>
        <w:rPr>
          <w:sz w:val="24"/>
        </w:rPr>
        <w:t xml:space="preserve">及国产操作系统等主流操作系统。</w:t>
      </w:r>
      <w:r/>
    </w:p>
    <w:p>
      <w:pPr>
        <w:pStyle w:val="836"/>
        <w:ind w:left="482" w:firstLine="480"/>
        <w:spacing w:line="360" w:lineRule="auto"/>
        <w:rPr>
          <w:sz w:val="24"/>
        </w:rPr>
      </w:pPr>
      <w:r>
        <w:rPr>
          <w:sz w:val="24"/>
        </w:rPr>
        <w:t xml:space="preserve">提供备份文件验证功能、可开启一个虚拟化验证主机，提供备份数据去重与合并功能、提供</w:t>
      </w:r>
      <w:r>
        <w:rPr>
          <w:sz w:val="24"/>
        </w:rPr>
        <w:t xml:space="preserve">WindowsSever</w:t>
      </w:r>
      <w:r>
        <w:rPr>
          <w:sz w:val="24"/>
        </w:rPr>
        <w:t xml:space="preserve">、</w:t>
      </w:r>
      <w:r>
        <w:rPr>
          <w:sz w:val="24"/>
        </w:rPr>
        <w:t xml:space="preserve">windows</w:t>
      </w:r>
      <w:r>
        <w:rPr>
          <w:sz w:val="24"/>
        </w:rPr>
        <w:t xml:space="preserve">和</w:t>
      </w:r>
      <w:r>
        <w:rPr>
          <w:sz w:val="24"/>
        </w:rPr>
        <w:t xml:space="preserve">linux</w:t>
      </w:r>
      <w:r>
        <w:rPr>
          <w:sz w:val="24"/>
        </w:rPr>
        <w:t xml:space="preserve">备份代理程序，提供无系统</w:t>
      </w:r>
      <w:r>
        <w:rPr>
          <w:sz w:val="24"/>
        </w:rPr>
        <w:t xml:space="preserve">X86/</w:t>
      </w:r>
      <w:r>
        <w:rPr>
          <w:sz w:val="24"/>
        </w:rPr>
        <w:t xml:space="preserve">虚拟机</w:t>
      </w:r>
      <w:r>
        <w:rPr>
          <w:sz w:val="24"/>
        </w:rPr>
        <w:t xml:space="preserve">/</w:t>
      </w:r>
      <w:r>
        <w:rPr>
          <w:sz w:val="24"/>
        </w:rPr>
        <w:t xml:space="preserve">云主机裸机、</w:t>
      </w:r>
      <w:r>
        <w:rPr>
          <w:sz w:val="24"/>
        </w:rPr>
        <w:t xml:space="preserve">WindowsSever</w:t>
      </w:r>
      <w:r>
        <w:rPr>
          <w:sz w:val="24"/>
        </w:rPr>
        <w:t xml:space="preserve">、</w:t>
      </w:r>
      <w:r>
        <w:rPr>
          <w:sz w:val="24"/>
        </w:rPr>
        <w:t xml:space="preserve">linux</w:t>
      </w:r>
      <w:r>
        <w:rPr>
          <w:sz w:val="24"/>
        </w:rPr>
        <w:t xml:space="preserve">、</w:t>
      </w:r>
      <w:r>
        <w:rPr>
          <w:sz w:val="24"/>
        </w:rPr>
        <w:t xml:space="preserve">windows</w:t>
      </w:r>
      <w:r>
        <w:rPr>
          <w:sz w:val="24"/>
        </w:rPr>
        <w:t xml:space="preserve">还原代理、可实现单</w:t>
      </w:r>
      <w:r>
        <w:rPr>
          <w:sz w:val="24"/>
        </w:rPr>
        <w:t xml:space="preserve">/</w:t>
      </w:r>
      <w:r>
        <w:rPr>
          <w:sz w:val="24"/>
        </w:rPr>
        <w:t xml:space="preserve">批量文件恢复和下载、提供异构主机间的全量和快速灾难恢复功能，备份数据可挂载恢复到云主机。</w:t>
      </w:r>
      <w:r/>
    </w:p>
    <w:p>
      <w:pPr>
        <w:pStyle w:val="831"/>
        <w:ind w:left="420"/>
        <w:tabs>
          <w:tab w:val="left" w:pos="1200" w:leader="none"/>
        </w:tabs>
      </w:pPr>
      <w:r>
        <w:rPr>
          <w:rFonts w:hint="eastAsia"/>
        </w:rPr>
        <w:t xml:space="preserve">5.2</w:t>
      </w:r>
      <w:r>
        <w:t xml:space="preserve">服务器地图数字服务</w:t>
      </w:r>
      <w:r/>
    </w:p>
    <w:p>
      <w:pPr>
        <w:pStyle w:val="836"/>
        <w:ind w:left="482" w:firstLine="480"/>
        <w:spacing w:line="360" w:lineRule="auto"/>
        <w:rPr>
          <w:sz w:val="24"/>
        </w:rPr>
      </w:pPr>
      <w:r>
        <w:rPr>
          <w:rFonts w:hint="eastAsia"/>
          <w:sz w:val="24"/>
        </w:rPr>
        <w:t xml:space="preserve">为公安提供公安信息化核心业务网业务保障服务及核心数据组件服务。</w:t>
      </w:r>
      <w:r>
        <w:rPr>
          <w:sz w:val="24"/>
        </w:rPr>
        <w:t xml:space="preserve">构建公安时空</w:t>
      </w:r>
      <w:r>
        <w:rPr>
          <w:sz w:val="24"/>
        </w:rPr>
        <w:t xml:space="preserve">信息云底座，提供高精度电子地图、二维</w:t>
      </w:r>
      <w:r>
        <w:rPr>
          <w:sz w:val="24"/>
        </w:rPr>
        <w:t xml:space="preserve">/</w:t>
      </w:r>
      <w:r>
        <w:rPr>
          <w:sz w:val="24"/>
        </w:rPr>
        <w:t xml:space="preserve">三维数据、路径规划、轨迹碰撞等</w:t>
      </w:r>
      <w:r>
        <w:rPr>
          <w:sz w:val="24"/>
        </w:rPr>
        <w:t xml:space="preserve">“</w:t>
      </w:r>
      <w:r>
        <w:rPr>
          <w:sz w:val="24"/>
        </w:rPr>
        <w:t xml:space="preserve">时空技战法</w:t>
      </w:r>
      <w:r>
        <w:rPr>
          <w:sz w:val="24"/>
        </w:rPr>
        <w:t xml:space="preserve">”</w:t>
      </w:r>
      <w:r>
        <w:rPr>
          <w:sz w:val="24"/>
        </w:rPr>
        <w:t xml:space="preserve">服务，支撑全警实战。统一服务接口实现多网部署，覆盖指挥大屏、移动警务等多终端，为应急处突、重大安保、网格化管理提供精准的空间决策支持。</w:t>
      </w:r>
      <w:r/>
    </w:p>
    <w:p>
      <w:pPr>
        <w:pStyle w:val="831"/>
        <w:ind w:left="480"/>
        <w:tabs>
          <w:tab w:val="left" w:pos="1200" w:leader="none"/>
        </w:tabs>
      </w:pPr>
      <w:r>
        <w:rPr>
          <w:rFonts w:hint="eastAsia"/>
        </w:rPr>
        <w:t xml:space="preserve">5.3</w:t>
      </w:r>
      <w:r>
        <w:t xml:space="preserve">公安网专项保障服务</w:t>
      </w:r>
      <w:r/>
    </w:p>
    <w:p>
      <w:pPr>
        <w:pStyle w:val="836"/>
        <w:ind w:left="482" w:firstLine="480"/>
        <w:spacing w:line="360" w:lineRule="auto"/>
        <w:rPr>
          <w:sz w:val="24"/>
        </w:rPr>
      </w:pPr>
      <w:r>
        <w:rPr>
          <w:sz w:val="24"/>
        </w:rPr>
        <w:t xml:space="preserve">服务商自带备件、工具及技术资源，在公安网运维中提供终端准入、漏洞主动发现、综合安全审计等深度防护。依托</w:t>
      </w:r>
      <w:r>
        <w:rPr>
          <w:sz w:val="24"/>
        </w:rPr>
        <w:t xml:space="preserve">CMDB</w:t>
      </w:r>
      <w:r>
        <w:rPr>
          <w:sz w:val="24"/>
        </w:rPr>
        <w:t xml:space="preserve">资产库与分级应急机制，实现安全事件快速闭环；同时常驻备件库，关键备件</w:t>
      </w:r>
      <w:r>
        <w:rPr>
          <w:sz w:val="24"/>
        </w:rPr>
        <w:t xml:space="preserve">4</w:t>
      </w:r>
      <w:r>
        <w:rPr>
          <w:sz w:val="24"/>
        </w:rPr>
        <w:t xml:space="preserve">小时送达，紧急情况下启动厂商应急通道，确保公安信息网</w:t>
      </w:r>
      <w:r>
        <w:rPr>
          <w:sz w:val="24"/>
        </w:rPr>
        <w:t xml:space="preserve">7×24</w:t>
      </w:r>
      <w:r>
        <w:rPr>
          <w:sz w:val="24"/>
        </w:rPr>
        <w:t xml:space="preserve">小时安全稳定运行。</w:t>
      </w:r>
      <w:r/>
    </w:p>
    <w:p>
      <w:pPr>
        <w:pStyle w:val="836"/>
        <w:numPr>
          <w:ilvl w:val="0"/>
          <w:numId w:val="29"/>
        </w:numPr>
        <w:spacing w:line="360" w:lineRule="auto"/>
        <w:tabs>
          <w:tab w:val="left" w:pos="1080" w:leader="none"/>
        </w:tabs>
        <w:rPr>
          <w:sz w:val="24"/>
        </w:rPr>
      </w:pPr>
      <w:r>
        <w:rPr>
          <w:sz w:val="24"/>
        </w:rPr>
        <w:t xml:space="preserve">运维服务</w:t>
      </w:r>
      <w:r/>
    </w:p>
    <w:p>
      <w:pPr>
        <w:pStyle w:val="836"/>
        <w:ind w:firstLine="480"/>
        <w:spacing w:line="360" w:lineRule="auto"/>
        <w:rPr>
          <w:sz w:val="24"/>
        </w:rPr>
      </w:pPr>
      <w:r>
        <w:rPr>
          <w:sz w:val="24"/>
        </w:rPr>
        <w:t xml:space="preserve">包括运维标准规范、运维管理系统、运维技术团队、运维保障、资源变更、业务系统测试支持、定时巡检、应急管理、现场值守等服务。</w:t>
      </w:r>
      <w:r/>
    </w:p>
    <w:p>
      <w:pPr>
        <w:pStyle w:val="836"/>
        <w:numPr>
          <w:ilvl w:val="0"/>
          <w:numId w:val="29"/>
        </w:numPr>
        <w:spacing w:line="360" w:lineRule="auto"/>
        <w:tabs>
          <w:tab w:val="left" w:pos="1080" w:leader="none"/>
        </w:tabs>
        <w:rPr>
          <w:sz w:val="24"/>
        </w:rPr>
      </w:pPr>
      <w:r>
        <w:rPr>
          <w:sz w:val="24"/>
        </w:rPr>
        <w:t xml:space="preserve">机房资源服务</w:t>
      </w:r>
      <w:r/>
    </w:p>
    <w:p>
      <w:pPr>
        <w:pStyle w:val="836"/>
        <w:ind w:firstLine="480"/>
        <w:spacing w:line="360" w:lineRule="auto"/>
        <w:rPr>
          <w:sz w:val="24"/>
        </w:rPr>
      </w:pPr>
      <w:r>
        <w:rPr>
          <w:sz w:val="24"/>
        </w:rPr>
        <w:t xml:space="preserve">投标人或其总公司必须拥有自建或者租赁机房（需提供相应证明材料并加盖公章）。机房处于宜兴市行政区域范围内，且已具备双线路不同管网和路由的政务外网接入能力。机房基础环境符合国家机房相关标准，提供完备的空调、供配电、防雷接地、消防等基础环境设施服务，提供</w:t>
      </w:r>
      <w:r>
        <w:rPr>
          <w:sz w:val="24"/>
        </w:rPr>
        <w:t xml:space="preserve">42U</w:t>
      </w:r>
      <w:r>
        <w:rPr>
          <w:sz w:val="24"/>
        </w:rPr>
        <w:t xml:space="preserve">标准机柜，满足设备托管要求。机房至少要接入双路市电，机柜配置双</w:t>
      </w:r>
      <w:r>
        <w:rPr>
          <w:sz w:val="24"/>
        </w:rPr>
        <w:t xml:space="preserve">PDU</w:t>
      </w:r>
      <w:r>
        <w:rPr>
          <w:sz w:val="24"/>
        </w:rPr>
        <w:t xml:space="preserve">并分别接入一路市电，机房配备</w:t>
      </w:r>
      <w:r>
        <w:rPr>
          <w:sz w:val="24"/>
        </w:rPr>
        <w:t xml:space="preserve">UPS</w:t>
      </w:r>
      <w:r>
        <w:rPr>
          <w:sz w:val="24"/>
        </w:rPr>
        <w:t xml:space="preserve">等应急设施。</w:t>
      </w:r>
      <w:r/>
    </w:p>
    <w:p>
      <w:pPr>
        <w:pStyle w:val="843"/>
        <w:jc w:val="both"/>
        <w:spacing w:line="360" w:lineRule="auto"/>
        <w:sectPr>
          <w:footerReference w:type="default" r:id="rId16"/>
          <w:footnotePr/>
          <w:endnotePr/>
          <w:type w:val="nextPage"/>
          <w:pgSz w:w="11906" w:h="16838" w:orient="portrait"/>
          <w:pgMar w:top="567" w:right="851" w:bottom="567" w:left="1134" w:header="851" w:footer="992" w:gutter="0"/>
          <w:pgNumType w:start="1"/>
          <w:cols w:num="1" w:sep="0" w:space="720" w:equalWidth="1"/>
          <w:docGrid w:linePitch="360"/>
          <w:titlePg/>
        </w:sectPr>
      </w:pPr>
      <w:r/>
      <w:r/>
    </w:p>
    <w:p>
      <w:pPr>
        <w:pStyle w:val="836"/>
        <w:spacing w:line="360" w:lineRule="auto"/>
        <w:rPr>
          <w:b/>
          <w:sz w:val="24"/>
        </w:rPr>
      </w:pPr>
      <w:r>
        <w:rPr>
          <w:rFonts w:hint="eastAsia"/>
          <w:b/>
          <w:sz w:val="24"/>
        </w:rPr>
        <w:t xml:space="preserve">6</w:t>
      </w:r>
      <w:r>
        <w:rPr>
          <w:rFonts w:hint="eastAsia"/>
          <w:b/>
          <w:sz w:val="24"/>
        </w:rPr>
        <w:t xml:space="preserve">、</w:t>
      </w:r>
      <w:r>
        <w:rPr>
          <w:b/>
          <w:sz w:val="24"/>
        </w:rPr>
        <w:t xml:space="preserve">总体架构要求</w:t>
      </w:r>
      <w:r/>
    </w:p>
    <w:p>
      <w:pPr>
        <w:pStyle w:val="836"/>
        <w:ind w:firstLine="480"/>
        <w:spacing w:line="360" w:lineRule="auto"/>
        <w:rPr>
          <w:sz w:val="24"/>
        </w:rPr>
      </w:pPr>
      <w:r/>
      <w:bookmarkStart w:id="96" w:name="_Hlk72962747"/>
      <w:r>
        <w:rPr>
          <w:sz w:val="24"/>
        </w:rPr>
        <w:t xml:space="preserve">同城异地备份服务平台需要基于业内领先的多云架构，具备相应的云管能力，通过云管系统实现对本云计算资源的统一管理，同时具备可无缝接入统一纳管平台的能力。</w:t>
      </w:r>
      <w:bookmarkEnd w:id="96"/>
      <w:r/>
    </w:p>
    <w:p>
      <w:pPr>
        <w:pStyle w:val="836"/>
        <w:ind w:firstLine="480"/>
        <w:spacing w:line="360" w:lineRule="auto"/>
        <w:rPr>
          <w:sz w:val="24"/>
        </w:rPr>
      </w:pPr>
      <w:r>
        <w:rPr>
          <w:sz w:val="24"/>
        </w:rPr>
        <w:t xml:space="preserve">备份云平台需通过至少两条冗余的裸光纤接入无锡市政务云骨干节点宜兴存量部分运维项目服务平台，云计算服务需包含云主机备份服务，备份策略至少应满足每天一次增量备份，备份还原点不少于</w:t>
      </w:r>
      <w:r>
        <w:rPr>
          <w:sz w:val="24"/>
        </w:rPr>
        <w:t xml:space="preserve">15</w:t>
      </w:r>
      <w:r>
        <w:rPr>
          <w:sz w:val="24"/>
        </w:rPr>
        <w:t xml:space="preserve">个。</w:t>
      </w:r>
      <w:r/>
    </w:p>
    <w:p>
      <w:pPr>
        <w:pStyle w:val="836"/>
        <w:ind w:firstLine="480"/>
        <w:spacing w:line="360" w:lineRule="auto"/>
        <w:rPr>
          <w:sz w:val="24"/>
        </w:rPr>
      </w:pPr>
      <w:r>
        <w:rPr>
          <w:sz w:val="24"/>
        </w:rPr>
        <w:t xml:space="preserve">同城异地备份服务平台需在云平台网络边界部署</w:t>
      </w:r>
      <w:r>
        <w:rPr>
          <w:sz w:val="24"/>
        </w:rPr>
        <w:t xml:space="preserve">IPS</w:t>
      </w:r>
      <w:r>
        <w:rPr>
          <w:sz w:val="24"/>
        </w:rPr>
        <w:t xml:space="preserve">、</w:t>
      </w:r>
      <w:r>
        <w:rPr>
          <w:sz w:val="24"/>
        </w:rPr>
        <w:t xml:space="preserve">WAF</w:t>
      </w:r>
      <w:r>
        <w:rPr>
          <w:sz w:val="24"/>
        </w:rPr>
        <w:t xml:space="preserve">、防火墙等安全设备提供边界防护，云平台须满足信息系统安全等级保护</w:t>
      </w:r>
      <w:r>
        <w:rPr>
          <w:sz w:val="24"/>
        </w:rPr>
        <w:t xml:space="preserve">2.0</w:t>
      </w:r>
      <w:r>
        <w:rPr>
          <w:sz w:val="24"/>
        </w:rPr>
        <w:t xml:space="preserve">标准三级的要求。</w:t>
      </w:r>
      <w:r/>
    </w:p>
    <w:p>
      <w:pPr>
        <w:pStyle w:val="836"/>
        <w:ind w:firstLine="480"/>
        <w:spacing w:line="360" w:lineRule="auto"/>
        <w:rPr>
          <w:sz w:val="24"/>
        </w:rPr>
      </w:pPr>
      <w:r>
        <w:rPr>
          <w:sz w:val="24"/>
        </w:rPr>
        <w:t xml:space="preserve">同城异地备份服务平台需要分为安全出口区、核心交换区、计算资源区、存储区、运维管理区。</w:t>
      </w:r>
      <w:r/>
    </w:p>
    <w:p>
      <w:pPr>
        <w:pStyle w:val="836"/>
        <w:ind w:firstLine="480"/>
        <w:spacing w:line="360" w:lineRule="auto"/>
        <w:rPr>
          <w:sz w:val="24"/>
        </w:rPr>
      </w:pPr>
      <w:r>
        <w:rPr>
          <w:sz w:val="24"/>
        </w:rPr>
        <w:t xml:space="preserve">安全出口区需求：分别需要提供互联网、电子政务外网出口南北向流量安全管控，根据不同网络出口的要求设置不同的安全设备与安全策略，提高业务网络的安全性以及业务连续性。</w:t>
      </w:r>
      <w:r/>
    </w:p>
    <w:p>
      <w:pPr>
        <w:pStyle w:val="836"/>
        <w:ind w:firstLine="480"/>
        <w:spacing w:line="360" w:lineRule="auto"/>
        <w:rPr>
          <w:sz w:val="24"/>
        </w:rPr>
      </w:pPr>
      <w:r>
        <w:rPr>
          <w:sz w:val="24"/>
        </w:rPr>
        <w:t xml:space="preserve">核心交换区需求：核心交换区需要负责汇聚整个数据中心高性能数据转发。核心交换区是一个高速的二层交换骨干。设计时通过设备冗余、路由冗余、链路冗余等技术，充分保障网络系统稳定性。</w:t>
      </w:r>
      <w:r/>
    </w:p>
    <w:p>
      <w:pPr>
        <w:pStyle w:val="836"/>
        <w:ind w:firstLine="480"/>
        <w:spacing w:line="360" w:lineRule="auto"/>
        <w:rPr>
          <w:sz w:val="24"/>
        </w:rPr>
      </w:pPr>
      <w:r>
        <w:rPr>
          <w:sz w:val="24"/>
        </w:rPr>
        <w:t xml:space="preserve">核心交换机：配置两台核心交换机做虚拟化，提供高可靠的数据转发服务，并旁挂负载均衡，完成整个数据中心流量的链路负载。</w:t>
      </w:r>
      <w:r/>
    </w:p>
    <w:p>
      <w:pPr>
        <w:pStyle w:val="836"/>
        <w:ind w:firstLine="480"/>
        <w:spacing w:line="360" w:lineRule="auto"/>
        <w:rPr>
          <w:sz w:val="24"/>
        </w:rPr>
      </w:pPr>
      <w:r>
        <w:rPr>
          <w:sz w:val="24"/>
        </w:rPr>
        <w:t xml:space="preserve">运维管理区需求：运维管理区需要提供整个云政务的管理运维、保障服务，设置</w:t>
      </w:r>
      <w:r>
        <w:rPr>
          <w:sz w:val="24"/>
        </w:rPr>
        <w:t xml:space="preserve">SDN</w:t>
      </w:r>
      <w:r>
        <w:rPr>
          <w:sz w:val="24"/>
        </w:rPr>
        <w:t xml:space="preserve">控制器、云计算管理平台、综合运维平台、虚拟化管理平台、日志审计、堡垒机、漏洞扫描。</w:t>
      </w:r>
      <w:r/>
    </w:p>
    <w:p>
      <w:pPr>
        <w:pStyle w:val="836"/>
        <w:ind w:firstLine="480"/>
        <w:spacing w:line="360" w:lineRule="auto"/>
        <w:rPr>
          <w:sz w:val="24"/>
        </w:rPr>
      </w:pPr>
      <w:r/>
      <w:bookmarkStart w:id="97" w:name="_Hlk73566737"/>
      <w:r>
        <w:rPr>
          <w:sz w:val="24"/>
        </w:rPr>
        <w:t xml:space="preserve">宜兴市同城异地备份服务平台网络须通过冗余裸光纤接入宜兴市电子政务外网网络核心及宜兴存量部分资源池，经由宜兴市电子政务外网实现与各委办局、互联网、各专网连通，为宜兴市各委办局提供云备份服务。宜兴市同城异地备份中心内部网络须满足电子政务发展需要，所有网络设备均需实现冗余配置，并配备相应的电信级安全设备，保障数据中心的安全。</w:t>
      </w:r>
      <w:bookmarkEnd w:id="97"/>
      <w:r/>
    </w:p>
    <w:p>
      <w:pPr>
        <w:pStyle w:val="836"/>
        <w:spacing w:line="360" w:lineRule="auto"/>
        <w:rPr>
          <w:b/>
          <w:sz w:val="24"/>
        </w:rPr>
      </w:pPr>
      <w:r>
        <w:rPr>
          <w:rFonts w:hint="eastAsia"/>
          <w:b/>
          <w:sz w:val="24"/>
        </w:rPr>
        <w:t xml:space="preserve">7</w:t>
      </w:r>
      <w:r>
        <w:rPr>
          <w:rFonts w:hint="eastAsia"/>
          <w:b/>
          <w:sz w:val="24"/>
        </w:rPr>
        <w:t xml:space="preserve">、</w:t>
      </w:r>
      <w:r>
        <w:rPr>
          <w:b/>
          <w:sz w:val="24"/>
        </w:rPr>
        <w:t xml:space="preserve">基础设施服务（同城异地备份）要求</w:t>
      </w:r>
      <w:r/>
    </w:p>
    <w:p>
      <w:pPr>
        <w:pStyle w:val="836"/>
        <w:ind w:left="480"/>
        <w:spacing w:line="360" w:lineRule="auto"/>
        <w:tabs>
          <w:tab w:val="left" w:pos="1140" w:leader="none"/>
        </w:tabs>
        <w:rPr>
          <w:b/>
          <w:sz w:val="24"/>
        </w:rPr>
      </w:pPr>
      <w:r>
        <w:rPr>
          <w:rFonts w:hint="eastAsia"/>
          <w:b/>
          <w:sz w:val="24"/>
        </w:rPr>
        <w:t xml:space="preserve">7.1</w:t>
      </w:r>
      <w:r>
        <w:rPr>
          <w:b/>
          <w:sz w:val="24"/>
        </w:rPr>
        <w:t xml:space="preserve">云备份容灾服务要求</w:t>
      </w:r>
      <w:r/>
    </w:p>
    <w:p>
      <w:pPr>
        <w:pStyle w:val="836"/>
        <w:ind w:firstLine="480"/>
        <w:spacing w:line="360" w:lineRule="auto"/>
        <w:rPr>
          <w:sz w:val="24"/>
        </w:rPr>
      </w:pPr>
      <w:r>
        <w:rPr>
          <w:sz w:val="24"/>
        </w:rPr>
        <w:t xml:space="preserve">宜兴市同城异地备份服务平台需为宜兴市存量部分运维项目提供云备份容灾服务，提供的云备份容灾服务主要包括：基础备份服务和业务数据备份服务。各业务部门的重要数据需各业务部门自行备份。宜兴市同城异地备份服务平台提供的备份服务需满足的要求如下：</w:t>
      </w:r>
      <w:r/>
    </w:p>
    <w:p>
      <w:pPr>
        <w:pStyle w:val="836"/>
        <w:numPr>
          <w:ilvl w:val="0"/>
          <w:numId w:val="30"/>
        </w:numPr>
        <w:spacing w:line="360" w:lineRule="auto"/>
        <w:tabs>
          <w:tab w:val="clear" w:pos="210" w:leader="none"/>
          <w:tab w:val="left" w:pos="999" w:leader="none"/>
        </w:tabs>
        <w:rPr>
          <w:sz w:val="24"/>
        </w:rPr>
      </w:pPr>
      <w:r>
        <w:rPr>
          <w:sz w:val="24"/>
        </w:rPr>
        <w:t xml:space="preserve">业务数据备份服务要求</w:t>
      </w:r>
      <w:r/>
    </w:p>
    <w:p>
      <w:pPr>
        <w:pStyle w:val="836"/>
        <w:numPr>
          <w:ilvl w:val="0"/>
          <w:numId w:val="31"/>
        </w:numPr>
        <w:spacing w:line="360" w:lineRule="auto"/>
        <w:tabs>
          <w:tab w:val="left" w:pos="1080" w:leader="none"/>
        </w:tabs>
        <w:rPr>
          <w:sz w:val="24"/>
        </w:rPr>
      </w:pPr>
      <w:r>
        <w:rPr>
          <w:sz w:val="24"/>
        </w:rPr>
        <w:t xml:space="preserve">提供业务数据备份服务：为防止数据库误操作、关键文件误删除等操作导致业务系统崩溃，需提供业务数据备份服务；</w:t>
      </w:r>
      <w:r/>
    </w:p>
    <w:p>
      <w:pPr>
        <w:pStyle w:val="836"/>
        <w:numPr>
          <w:ilvl w:val="0"/>
          <w:numId w:val="31"/>
        </w:numPr>
        <w:spacing w:line="360" w:lineRule="auto"/>
        <w:tabs>
          <w:tab w:val="left" w:pos="1080" w:leader="none"/>
        </w:tabs>
        <w:rPr>
          <w:sz w:val="24"/>
        </w:rPr>
      </w:pPr>
      <w:r>
        <w:rPr>
          <w:sz w:val="24"/>
        </w:rPr>
        <w:t xml:space="preserve">支持虚拟机备份服务：对虚拟机的镜像进行备份，支持用户自定义备份频率及数量，恢复时间视虚拟机镜像的大小而定；</w:t>
      </w:r>
      <w:r/>
    </w:p>
    <w:p>
      <w:pPr>
        <w:pStyle w:val="836"/>
        <w:numPr>
          <w:ilvl w:val="0"/>
          <w:numId w:val="31"/>
        </w:numPr>
        <w:spacing w:line="360" w:lineRule="auto"/>
        <w:tabs>
          <w:tab w:val="left" w:pos="1080" w:leader="none"/>
        </w:tabs>
        <w:rPr>
          <w:sz w:val="24"/>
        </w:rPr>
      </w:pPr>
      <w:r>
        <w:rPr>
          <w:sz w:val="24"/>
        </w:rPr>
        <w:t xml:space="preserve">支持操作系统备份：对服务器的操作系统进行完整备份，支持用户自定义备份频率及副本数量，恢复时间视操作系统的大小而定；</w:t>
      </w:r>
      <w:r/>
    </w:p>
    <w:p>
      <w:pPr>
        <w:pStyle w:val="836"/>
        <w:numPr>
          <w:ilvl w:val="0"/>
          <w:numId w:val="31"/>
        </w:numPr>
        <w:spacing w:line="360" w:lineRule="auto"/>
        <w:tabs>
          <w:tab w:val="left" w:pos="1080" w:leader="none"/>
        </w:tabs>
        <w:rPr>
          <w:sz w:val="24"/>
        </w:rPr>
      </w:pPr>
      <w:r>
        <w:rPr>
          <w:sz w:val="24"/>
        </w:rPr>
        <w:t xml:space="preserve">支持文件备份：对常见文件系统中的某个文件进行备份，支持用户自定义备份频率及副本数量，恢复时间视文件的大小而定；</w:t>
      </w:r>
      <w:r/>
    </w:p>
    <w:p>
      <w:pPr>
        <w:pStyle w:val="836"/>
        <w:numPr>
          <w:ilvl w:val="0"/>
          <w:numId w:val="31"/>
        </w:numPr>
        <w:spacing w:line="360" w:lineRule="auto"/>
        <w:tabs>
          <w:tab w:val="left" w:pos="1080" w:leader="none"/>
        </w:tabs>
        <w:rPr>
          <w:sz w:val="24"/>
        </w:rPr>
      </w:pPr>
      <w:r>
        <w:rPr>
          <w:sz w:val="24"/>
        </w:rPr>
        <w:t xml:space="preserve">支持</w:t>
      </w:r>
      <w:r>
        <w:rPr>
          <w:sz w:val="24"/>
        </w:rPr>
        <w:t xml:space="preserve">Oracle</w:t>
      </w:r>
      <w:r>
        <w:rPr>
          <w:sz w:val="24"/>
        </w:rPr>
        <w:t xml:space="preserve">、</w:t>
      </w:r>
      <w:r>
        <w:rPr>
          <w:sz w:val="24"/>
        </w:rPr>
        <w:t xml:space="preserve">SQLServer</w:t>
      </w:r>
      <w:r>
        <w:rPr>
          <w:sz w:val="24"/>
        </w:rPr>
        <w:t xml:space="preserve">、</w:t>
      </w:r>
      <w:r>
        <w:rPr>
          <w:sz w:val="24"/>
        </w:rPr>
        <w:t xml:space="preserve">MySQL</w:t>
      </w:r>
      <w:r>
        <w:rPr>
          <w:sz w:val="24"/>
        </w:rPr>
        <w:t xml:space="preserve">等常见数据库备份，支持用户自定义备份频率及副本数。</w:t>
      </w:r>
      <w:r/>
    </w:p>
    <w:p>
      <w:pPr>
        <w:pStyle w:val="836"/>
        <w:numPr>
          <w:ilvl w:val="0"/>
          <w:numId w:val="30"/>
        </w:numPr>
        <w:spacing w:line="360" w:lineRule="auto"/>
        <w:tabs>
          <w:tab w:val="clear" w:pos="210" w:leader="none"/>
          <w:tab w:val="left" w:pos="999" w:leader="none"/>
        </w:tabs>
        <w:rPr>
          <w:sz w:val="24"/>
        </w:rPr>
      </w:pPr>
      <w:r>
        <w:rPr>
          <w:sz w:val="24"/>
        </w:rPr>
        <w:t xml:space="preserve">业务系统灾备服务要求</w:t>
      </w:r>
      <w:r/>
    </w:p>
    <w:p>
      <w:pPr>
        <w:pStyle w:val="836"/>
        <w:numPr>
          <w:ilvl w:val="0"/>
          <w:numId w:val="32"/>
        </w:numPr>
        <w:spacing w:line="360" w:lineRule="auto"/>
        <w:tabs>
          <w:tab w:val="left" w:pos="1080" w:leader="none"/>
        </w:tabs>
        <w:rPr>
          <w:sz w:val="24"/>
        </w:rPr>
      </w:pPr>
      <w:r>
        <w:rPr>
          <w:sz w:val="24"/>
        </w:rPr>
        <w:t xml:space="preserve">整机全场景灾备保护：</w:t>
      </w:r>
      <w:r/>
    </w:p>
    <w:p>
      <w:pPr>
        <w:pStyle w:val="836"/>
        <w:ind w:firstLine="480"/>
        <w:spacing w:line="360" w:lineRule="auto"/>
        <w:rPr>
          <w:sz w:val="24"/>
        </w:rPr>
      </w:pPr>
      <w:r>
        <w:rPr>
          <w:sz w:val="24"/>
        </w:rPr>
        <w:t xml:space="preserve">具备对业务系统进行整机全场景的保护的能力。保护内容为整个生产环境，包括</w:t>
      </w:r>
      <w:r>
        <w:rPr>
          <w:sz w:val="24"/>
        </w:rPr>
        <w:t xml:space="preserve">OS</w:t>
      </w:r>
      <w:r>
        <w:rPr>
          <w:sz w:val="24"/>
        </w:rPr>
        <w:t xml:space="preserve">、应用系统、配置文件、中间件等所有数据，保证数据一致性和完整性。</w:t>
      </w:r>
      <w:r/>
    </w:p>
    <w:p>
      <w:pPr>
        <w:pStyle w:val="836"/>
        <w:numPr>
          <w:ilvl w:val="0"/>
          <w:numId w:val="32"/>
        </w:numPr>
        <w:spacing w:line="360" w:lineRule="auto"/>
        <w:tabs>
          <w:tab w:val="left" w:pos="1080" w:leader="none"/>
        </w:tabs>
        <w:rPr>
          <w:sz w:val="24"/>
        </w:rPr>
      </w:pPr>
      <w:r>
        <w:rPr>
          <w:sz w:val="24"/>
        </w:rPr>
        <w:t xml:space="preserve">分钟级快速重建，保障业务连续性：</w:t>
      </w:r>
      <w:r/>
    </w:p>
    <w:p>
      <w:pPr>
        <w:pStyle w:val="836"/>
        <w:ind w:firstLine="480"/>
        <w:spacing w:line="360" w:lineRule="auto"/>
        <w:rPr>
          <w:sz w:val="24"/>
        </w:rPr>
      </w:pPr>
      <w:r>
        <w:rPr>
          <w:sz w:val="24"/>
        </w:rPr>
        <w:t xml:space="preserve">业务系统突发任何软件故障、硬件故障、逻辑错误、病毒攻击等导致业务系统中断，可以再做</w:t>
      </w:r>
      <w:r>
        <w:rPr>
          <w:sz w:val="24"/>
        </w:rPr>
        <w:t xml:space="preserve">15</w:t>
      </w:r>
      <w:r>
        <w:rPr>
          <w:sz w:val="24"/>
        </w:rPr>
        <w:t xml:space="preserve">分钟的快速重建，保障业务的连续性；</w:t>
      </w:r>
      <w:r/>
    </w:p>
    <w:p>
      <w:pPr>
        <w:pStyle w:val="836"/>
        <w:ind w:firstLine="480"/>
        <w:spacing w:line="360" w:lineRule="auto"/>
        <w:rPr>
          <w:sz w:val="24"/>
        </w:rPr>
      </w:pPr>
      <w:r>
        <w:rPr>
          <w:sz w:val="24"/>
        </w:rPr>
        <w:t xml:space="preserve">在进行业务系统重建时，无需人工重建操作系统、业务软件、数据库，建立数据库连接关系等复杂耗时的操作，通过简单的几个步骤完成业务系统的快速恢复，有效应对业务系统突发故障时的业务中断问题。</w:t>
      </w:r>
      <w:r/>
    </w:p>
    <w:p>
      <w:pPr>
        <w:pStyle w:val="836"/>
        <w:numPr>
          <w:ilvl w:val="0"/>
          <w:numId w:val="32"/>
        </w:numPr>
        <w:spacing w:line="360" w:lineRule="auto"/>
        <w:tabs>
          <w:tab w:val="left" w:pos="1080" w:leader="none"/>
        </w:tabs>
        <w:rPr>
          <w:sz w:val="24"/>
        </w:rPr>
      </w:pPr>
      <w:r>
        <w:rPr>
          <w:sz w:val="24"/>
        </w:rPr>
        <w:t xml:space="preserve">微秒级</w:t>
      </w:r>
      <w:r>
        <w:rPr>
          <w:sz w:val="24"/>
        </w:rPr>
        <w:t xml:space="preserve">CDP</w:t>
      </w:r>
      <w:r>
        <w:rPr>
          <w:sz w:val="24"/>
        </w:rPr>
        <w:t xml:space="preserve">持续数据保护，保障数据完整性：</w:t>
      </w:r>
      <w:r/>
    </w:p>
    <w:p>
      <w:pPr>
        <w:pStyle w:val="836"/>
        <w:ind w:firstLine="480"/>
        <w:spacing w:line="360" w:lineRule="auto"/>
        <w:rPr>
          <w:sz w:val="24"/>
        </w:rPr>
      </w:pPr>
      <w:r>
        <w:rPr>
          <w:sz w:val="24"/>
        </w:rPr>
        <w:t xml:space="preserve">对业务系统增量数据做持续的</w:t>
      </w:r>
      <w:r>
        <w:rPr>
          <w:sz w:val="24"/>
        </w:rPr>
        <w:t xml:space="preserve">CDP</w:t>
      </w:r>
      <w:r>
        <w:rPr>
          <w:sz w:val="24"/>
        </w:rPr>
        <w:t xml:space="preserve">数据保护，可保证任意时间点的数据不会丢，保证了数据的完整性。</w:t>
      </w:r>
      <w:r/>
    </w:p>
    <w:p>
      <w:pPr>
        <w:pStyle w:val="836"/>
        <w:numPr>
          <w:ilvl w:val="0"/>
          <w:numId w:val="32"/>
        </w:numPr>
        <w:spacing w:line="360" w:lineRule="auto"/>
        <w:tabs>
          <w:tab w:val="left" w:pos="1080" w:leader="none"/>
        </w:tabs>
        <w:rPr>
          <w:sz w:val="24"/>
        </w:rPr>
      </w:pPr>
      <w:r>
        <w:rPr>
          <w:sz w:val="24"/>
        </w:rPr>
        <w:t xml:space="preserve">异构环境兼容性保护和跨平台重建恢复：</w:t>
      </w:r>
      <w:r/>
    </w:p>
    <w:p>
      <w:pPr>
        <w:pStyle w:val="836"/>
        <w:ind w:firstLine="480"/>
        <w:spacing w:line="360" w:lineRule="auto"/>
        <w:rPr>
          <w:sz w:val="24"/>
        </w:rPr>
      </w:pPr>
      <w:r>
        <w:rPr>
          <w:sz w:val="24"/>
        </w:rPr>
        <w:t xml:space="preserve">实现任意品牌技术的虚拟化平台和物理主机平台上的业务系统的数据保护；</w:t>
      </w:r>
      <w:r/>
    </w:p>
    <w:p>
      <w:pPr>
        <w:pStyle w:val="836"/>
        <w:ind w:firstLine="480"/>
        <w:spacing w:line="360" w:lineRule="auto"/>
        <w:rPr>
          <w:sz w:val="24"/>
        </w:rPr>
      </w:pPr>
      <w:r>
        <w:rPr>
          <w:sz w:val="24"/>
        </w:rPr>
        <w:t xml:space="preserve">实现在任意品牌技术的虚拟化平台和物理主机异构平台之间的快速重建和迁移。打通虚拟化环境与物理主机平台间的业务屏蔽性。</w:t>
      </w:r>
      <w:r/>
    </w:p>
    <w:p>
      <w:pPr>
        <w:pStyle w:val="836"/>
        <w:numPr>
          <w:ilvl w:val="0"/>
          <w:numId w:val="32"/>
        </w:numPr>
        <w:spacing w:line="360" w:lineRule="auto"/>
        <w:tabs>
          <w:tab w:val="left" w:pos="1080" w:leader="none"/>
        </w:tabs>
        <w:rPr>
          <w:sz w:val="24"/>
        </w:rPr>
      </w:pPr>
      <w:r>
        <w:rPr>
          <w:sz w:val="24"/>
        </w:rPr>
        <w:t xml:space="preserve">分钟级灾难演练：</w:t>
      </w:r>
      <w:r/>
    </w:p>
    <w:p>
      <w:pPr>
        <w:pStyle w:val="836"/>
        <w:ind w:firstLine="480"/>
        <w:spacing w:line="360" w:lineRule="auto"/>
        <w:rPr>
          <w:sz w:val="24"/>
        </w:rPr>
      </w:pPr>
      <w:r>
        <w:rPr>
          <w:sz w:val="24"/>
        </w:rPr>
        <w:t xml:space="preserve">分钟级别的将重要的业务系统</w:t>
      </w:r>
      <w:r>
        <w:rPr>
          <w:rFonts w:hint="eastAsia"/>
          <w:sz w:val="24"/>
        </w:rPr>
        <w:t xml:space="preserve">快速重建到虚拟化平台或者是物理主机上，进行灾难演练，无需进行</w:t>
      </w:r>
      <w:r>
        <w:rPr>
          <w:sz w:val="24"/>
        </w:rPr>
        <w:t xml:space="preserve">调整拓扑，设计演练方案、演练模拟等耗时耗力等复杂过程。快速、方便地检验系统的可靠性，满足等保</w:t>
      </w:r>
      <w:r>
        <w:rPr>
          <w:sz w:val="24"/>
        </w:rPr>
        <w:t xml:space="preserve">2.0</w:t>
      </w:r>
      <w:r>
        <w:rPr>
          <w:sz w:val="24"/>
        </w:rPr>
        <w:t xml:space="preserve">的新要求。</w:t>
      </w:r>
      <w:r/>
    </w:p>
    <w:p>
      <w:pPr>
        <w:pStyle w:val="836"/>
        <w:numPr>
          <w:ilvl w:val="0"/>
          <w:numId w:val="32"/>
        </w:numPr>
        <w:spacing w:line="360" w:lineRule="auto"/>
        <w:tabs>
          <w:tab w:val="left" w:pos="1080" w:leader="none"/>
        </w:tabs>
        <w:rPr>
          <w:sz w:val="24"/>
        </w:rPr>
      </w:pPr>
      <w:r>
        <w:rPr>
          <w:sz w:val="24"/>
        </w:rPr>
        <w:t xml:space="preserve">任意时间点文件验证：</w:t>
      </w:r>
      <w:r/>
    </w:p>
    <w:p>
      <w:pPr>
        <w:pStyle w:val="836"/>
        <w:ind w:firstLine="480"/>
        <w:spacing w:line="360" w:lineRule="auto"/>
        <w:rPr>
          <w:sz w:val="24"/>
        </w:rPr>
      </w:pPr>
      <w:r>
        <w:rPr>
          <w:sz w:val="24"/>
        </w:rPr>
        <w:t xml:space="preserve">可对保护的业务系统数据实现任意时间点的验证，直接找到任意时间点的数据，直观看到保护的数据状态，可以查找到不同时间点不同状态的数据，并可以将数据拷贝出来直接使用。对</w:t>
      </w:r>
      <w:r>
        <w:rPr>
          <w:rFonts w:hint="eastAsia"/>
          <w:sz w:val="24"/>
        </w:rPr>
        <w:t xml:space="preserve">于</w:t>
      </w:r>
      <w:r>
        <w:rPr>
          <w:sz w:val="24"/>
        </w:rPr>
        <w:t xml:space="preserve">文件出现的误删、误改、误操作等一系列逻辑错误都可以及时有效地应对。</w:t>
      </w:r>
      <w:r/>
    </w:p>
    <w:p>
      <w:pPr>
        <w:pStyle w:val="836"/>
        <w:numPr>
          <w:ilvl w:val="0"/>
          <w:numId w:val="32"/>
        </w:numPr>
        <w:spacing w:line="360" w:lineRule="auto"/>
        <w:tabs>
          <w:tab w:val="left" w:pos="1080" w:leader="none"/>
        </w:tabs>
        <w:rPr>
          <w:sz w:val="24"/>
        </w:rPr>
      </w:pPr>
      <w:r>
        <w:rPr>
          <w:sz w:val="24"/>
        </w:rPr>
        <w:t xml:space="preserve">任意时间点系统验证：</w:t>
      </w:r>
      <w:r/>
    </w:p>
    <w:p>
      <w:pPr>
        <w:pStyle w:val="836"/>
        <w:ind w:firstLine="480"/>
        <w:spacing w:line="360" w:lineRule="auto"/>
        <w:rPr>
          <w:sz w:val="24"/>
        </w:rPr>
      </w:pPr>
      <w:r>
        <w:rPr>
          <w:sz w:val="24"/>
        </w:rPr>
        <w:t xml:space="preserve">可对保护的业务系统通过自启动虚拟化平台的方式进行系统验证，管理员可像真实生产环境一样登录查看数据和各应用</w:t>
      </w:r>
      <w:r>
        <w:rPr>
          <w:rFonts w:hint="eastAsia"/>
          <w:sz w:val="24"/>
        </w:rPr>
        <w:t xml:space="preserve">的</w:t>
      </w:r>
      <w:r>
        <w:rPr>
          <w:sz w:val="24"/>
        </w:rPr>
        <w:t xml:space="preserve">可用性，确保系统的可靠性。</w:t>
      </w:r>
      <w:r/>
    </w:p>
    <w:p>
      <w:pPr>
        <w:pStyle w:val="836"/>
        <w:ind w:firstLine="482"/>
        <w:spacing w:line="360" w:lineRule="auto"/>
        <w:tabs>
          <w:tab w:val="left" w:pos="1140" w:leader="none"/>
        </w:tabs>
        <w:rPr>
          <w:b/>
          <w:sz w:val="24"/>
        </w:rPr>
      </w:pPr>
      <w:r>
        <w:rPr>
          <w:rFonts w:hint="eastAsia"/>
          <w:b/>
          <w:sz w:val="24"/>
        </w:rPr>
        <w:t xml:space="preserve">7.2</w:t>
      </w:r>
      <w:r>
        <w:rPr>
          <w:b/>
          <w:sz w:val="24"/>
        </w:rPr>
        <w:t xml:space="preserve">安全服务要求</w:t>
      </w:r>
      <w:r/>
    </w:p>
    <w:p>
      <w:pPr>
        <w:pStyle w:val="836"/>
        <w:ind w:firstLine="480"/>
        <w:spacing w:line="360" w:lineRule="auto"/>
        <w:rPr>
          <w:sz w:val="24"/>
        </w:rPr>
      </w:pPr>
      <w:r>
        <w:rPr>
          <w:sz w:val="24"/>
        </w:rPr>
        <w:t xml:space="preserve">宜兴市同城异地备份中心必须纳入宜兴市市域社会治理现代化指挥中心统一云管理，并为宜兴市存量运维项目提供安全服务。宜兴市同城异地备份服务平台须在云平台网络边界部署</w:t>
      </w:r>
      <w:r>
        <w:rPr>
          <w:sz w:val="24"/>
        </w:rPr>
        <w:t xml:space="preserve">IPS</w:t>
      </w:r>
      <w:r>
        <w:rPr>
          <w:sz w:val="24"/>
        </w:rPr>
        <w:t xml:space="preserve">、</w:t>
      </w:r>
      <w:r>
        <w:rPr>
          <w:sz w:val="24"/>
        </w:rPr>
        <w:t xml:space="preserve">WAF</w:t>
      </w:r>
      <w:r>
        <w:rPr>
          <w:sz w:val="24"/>
        </w:rPr>
        <w:t xml:space="preserve">、防火墙等安全设备提供边界防护。宜兴市同城异地备份服务平台提供的安全服务只是安全防护手段，系统安全责任不因使用云服务而转移，仍由云服务使用单位负责。</w:t>
      </w:r>
      <w:r/>
    </w:p>
    <w:p>
      <w:pPr>
        <w:pStyle w:val="836"/>
        <w:ind w:firstLine="480"/>
        <w:spacing w:line="360" w:lineRule="auto"/>
        <w:rPr>
          <w:sz w:val="24"/>
        </w:rPr>
      </w:pPr>
      <w:r>
        <w:rPr>
          <w:sz w:val="24"/>
        </w:rPr>
        <w:t xml:space="preserve">根据</w:t>
      </w:r>
      <w:r>
        <w:rPr>
          <w:sz w:val="24"/>
        </w:rPr>
        <w:t xml:space="preserve">2019</w:t>
      </w:r>
      <w:r>
        <w:rPr>
          <w:sz w:val="24"/>
        </w:rPr>
        <w:t xml:space="preserve">年</w:t>
      </w:r>
      <w:r>
        <w:rPr>
          <w:sz w:val="24"/>
        </w:rPr>
        <w:t xml:space="preserve">7</w:t>
      </w:r>
      <w:r>
        <w:rPr>
          <w:sz w:val="24"/>
        </w:rPr>
        <w:t xml:space="preserve">月国家互联网信息办公室、国家发展和改革委员会、工业和信息化部、财政部颁布的《云计算服务安全评估办法》，为进一步提升党政机关使用云计算服务的安全可控水平，投标人为本项目提供的云计算服务须接受网信办条线部门管理，并通过中央网信办党政部门云计算服务网络安全管理审查（安全能力级别：增强，机房位置在江苏无锡）。</w:t>
      </w:r>
      <w:r/>
    </w:p>
    <w:p>
      <w:pPr>
        <w:pStyle w:val="836"/>
        <w:ind w:firstLine="480"/>
        <w:spacing w:line="360" w:lineRule="auto"/>
        <w:rPr>
          <w:sz w:val="24"/>
        </w:rPr>
      </w:pPr>
      <w:r>
        <w:rPr>
          <w:sz w:val="24"/>
        </w:rPr>
        <w:t xml:space="preserve">中标供应商在为宜兴市政府单位提供各类云服务之前，宜兴市同城异地备份中心须通过</w:t>
      </w:r>
      <w:r>
        <w:rPr>
          <w:rFonts w:hint="eastAsia"/>
          <w:sz w:val="24"/>
        </w:rPr>
        <w:t xml:space="preserve">国家信息安全等级保护三级认证</w:t>
      </w:r>
      <w:r>
        <w:rPr>
          <w:sz w:val="24"/>
        </w:rPr>
        <w:t xml:space="preserve">测评并取得测评报告。</w:t>
      </w:r>
      <w:r/>
    </w:p>
    <w:p>
      <w:pPr>
        <w:pStyle w:val="836"/>
        <w:ind w:left="567"/>
        <w:spacing w:line="360" w:lineRule="auto"/>
        <w:tabs>
          <w:tab w:val="left" w:pos="1140" w:leader="none"/>
        </w:tabs>
        <w:rPr>
          <w:b/>
          <w:sz w:val="24"/>
        </w:rPr>
      </w:pPr>
      <w:r>
        <w:rPr>
          <w:rFonts w:hint="eastAsia"/>
          <w:b/>
          <w:sz w:val="24"/>
        </w:rPr>
        <w:t xml:space="preserve">7.3</w:t>
      </w:r>
      <w:r>
        <w:rPr>
          <w:b/>
          <w:sz w:val="24"/>
        </w:rPr>
        <w:t xml:space="preserve">运维服务要求</w:t>
      </w:r>
      <w:r/>
    </w:p>
    <w:p>
      <w:pPr>
        <w:pStyle w:val="836"/>
        <w:ind w:firstLine="480"/>
        <w:spacing w:line="360" w:lineRule="auto"/>
        <w:rPr>
          <w:sz w:val="24"/>
        </w:rPr>
      </w:pPr>
      <w:r>
        <w:rPr>
          <w:sz w:val="24"/>
        </w:rPr>
        <w:t xml:space="preserve">宜兴市同城异地备份服务平台需提供完善的技术服务及运维保障服务，包括标准规范、运维管理、运维技术团队、运维保障、资源变更、业务系统测试、定时巡检、应急管理、值守服务等服务。运维服务要求如下：</w:t>
      </w:r>
      <w:r/>
    </w:p>
    <w:p>
      <w:pPr>
        <w:pStyle w:val="836"/>
        <w:numPr>
          <w:ilvl w:val="0"/>
          <w:numId w:val="33"/>
        </w:numPr>
        <w:spacing w:line="360" w:lineRule="auto"/>
        <w:tabs>
          <w:tab w:val="clear" w:pos="210" w:leader="none"/>
          <w:tab w:val="left" w:pos="999" w:leader="none"/>
        </w:tabs>
        <w:rPr>
          <w:sz w:val="24"/>
        </w:rPr>
      </w:pPr>
      <w:r>
        <w:rPr>
          <w:sz w:val="24"/>
        </w:rPr>
        <w:t xml:space="preserve">标准规范</w:t>
      </w:r>
      <w:r/>
    </w:p>
    <w:p>
      <w:pPr>
        <w:pStyle w:val="836"/>
        <w:ind w:firstLine="480"/>
        <w:spacing w:line="360" w:lineRule="auto"/>
        <w:rPr>
          <w:sz w:val="24"/>
        </w:rPr>
      </w:pPr>
      <w:r>
        <w:rPr>
          <w:sz w:val="24"/>
        </w:rPr>
        <w:t xml:space="preserve">针对备份服务平台的维护管理、运维操作、应急管理以及云服务的申请、交付、保障、监督等流程制定相关规范和标准，并根据实际运行需求进行持续更新和优化。</w:t>
      </w:r>
      <w:r/>
    </w:p>
    <w:p>
      <w:pPr>
        <w:pStyle w:val="836"/>
        <w:numPr>
          <w:ilvl w:val="0"/>
          <w:numId w:val="33"/>
        </w:numPr>
        <w:spacing w:line="360" w:lineRule="auto"/>
        <w:tabs>
          <w:tab w:val="clear" w:pos="210" w:leader="none"/>
          <w:tab w:val="left" w:pos="999" w:leader="none"/>
        </w:tabs>
        <w:rPr>
          <w:sz w:val="24"/>
        </w:rPr>
      </w:pPr>
      <w:r>
        <w:rPr>
          <w:sz w:val="24"/>
        </w:rPr>
        <w:t xml:space="preserve">运维管理</w:t>
      </w:r>
      <w:r/>
    </w:p>
    <w:p>
      <w:pPr>
        <w:pStyle w:val="836"/>
        <w:ind w:firstLine="480"/>
        <w:spacing w:line="360" w:lineRule="auto"/>
        <w:rPr>
          <w:sz w:val="24"/>
        </w:rPr>
      </w:pPr>
      <w:r>
        <w:rPr>
          <w:sz w:val="24"/>
        </w:rPr>
        <w:t xml:space="preserve">供应商根据备份服务的特点，建立完备运维管理体系，标准规范的运维管理制度，明确项目组织管理措施和手段。具备对日常运维管理事务的支撑，包括事件管理、问题管理、变更管理、资产管理等服务管理机制，并根据管理需求的变化进行必要的更新，确保项目实施和运维服务的有效性和服务团队的稳定性。</w:t>
      </w:r>
      <w:r/>
    </w:p>
    <w:p>
      <w:pPr>
        <w:pStyle w:val="836"/>
        <w:numPr>
          <w:ilvl w:val="0"/>
          <w:numId w:val="33"/>
        </w:numPr>
        <w:spacing w:line="360" w:lineRule="auto"/>
        <w:tabs>
          <w:tab w:val="clear" w:pos="210" w:leader="none"/>
          <w:tab w:val="left" w:pos="999" w:leader="none"/>
        </w:tabs>
        <w:rPr>
          <w:sz w:val="24"/>
        </w:rPr>
      </w:pPr>
      <w:r>
        <w:rPr>
          <w:sz w:val="24"/>
        </w:rPr>
        <w:t xml:space="preserve">运维技术团队</w:t>
      </w:r>
      <w:r/>
    </w:p>
    <w:p>
      <w:pPr>
        <w:pStyle w:val="836"/>
        <w:ind w:firstLine="480"/>
        <w:spacing w:line="360" w:lineRule="auto"/>
        <w:rPr>
          <w:sz w:val="24"/>
        </w:rPr>
      </w:pPr>
      <w:r>
        <w:rPr>
          <w:sz w:val="24"/>
        </w:rPr>
        <w:t xml:space="preserve">供应商应提供不少于</w:t>
      </w:r>
      <w:r>
        <w:rPr>
          <w:rFonts w:hint="eastAsia"/>
          <w:sz w:val="24"/>
        </w:rPr>
        <w:t xml:space="preserve">5</w:t>
      </w:r>
      <w:r>
        <w:rPr>
          <w:sz w:val="24"/>
        </w:rPr>
        <w:t xml:space="preserve">人的专业的运行维护和技术支持本地团队，配置云计算、网络、存储、安全、备份等方面的专业运维工程师和架构设计师，对人员的录用、离岗、考核、培训进行统一管理，对各专业岗位进行定员定岗，具备高效维护和持续优化的技术能力。</w:t>
      </w:r>
      <w:r/>
    </w:p>
    <w:p>
      <w:pPr>
        <w:pStyle w:val="836"/>
        <w:numPr>
          <w:ilvl w:val="0"/>
          <w:numId w:val="33"/>
        </w:numPr>
        <w:spacing w:line="360" w:lineRule="auto"/>
        <w:tabs>
          <w:tab w:val="clear" w:pos="210" w:leader="none"/>
          <w:tab w:val="left" w:pos="999" w:leader="none"/>
        </w:tabs>
        <w:rPr>
          <w:sz w:val="24"/>
        </w:rPr>
      </w:pPr>
      <w:r>
        <w:rPr>
          <w:sz w:val="24"/>
        </w:rPr>
        <w:t xml:space="preserve">运维保障</w:t>
      </w:r>
      <w:r/>
    </w:p>
    <w:p>
      <w:pPr>
        <w:pStyle w:val="836"/>
        <w:ind w:firstLine="480"/>
        <w:spacing w:line="360" w:lineRule="auto"/>
        <w:rPr>
          <w:sz w:val="24"/>
        </w:rPr>
      </w:pPr>
      <w:r>
        <w:rPr>
          <w:sz w:val="24"/>
        </w:rPr>
        <w:t xml:space="preserve">针对机房基础设施、基础</w:t>
      </w:r>
      <w:r>
        <w:rPr>
          <w:sz w:val="24"/>
        </w:rPr>
        <w:t xml:space="preserve">IT</w:t>
      </w:r>
      <w:r>
        <w:rPr>
          <w:sz w:val="24"/>
        </w:rPr>
        <w:t xml:space="preserve">设备、运维支撑平台等进行日常维护、故障处理以及性能优化，协助用户处理业务系统运行过程中遇到的各种故障与问题。</w:t>
      </w:r>
      <w:r/>
    </w:p>
    <w:p>
      <w:pPr>
        <w:pStyle w:val="836"/>
        <w:numPr>
          <w:ilvl w:val="0"/>
          <w:numId w:val="33"/>
        </w:numPr>
        <w:spacing w:line="360" w:lineRule="auto"/>
        <w:tabs>
          <w:tab w:val="clear" w:pos="210" w:leader="none"/>
          <w:tab w:val="left" w:pos="999" w:leader="none"/>
        </w:tabs>
        <w:rPr>
          <w:sz w:val="24"/>
        </w:rPr>
      </w:pPr>
      <w:r>
        <w:rPr>
          <w:sz w:val="24"/>
        </w:rPr>
        <w:t xml:space="preserve">资源变更</w:t>
      </w:r>
      <w:r/>
    </w:p>
    <w:p>
      <w:pPr>
        <w:pStyle w:val="836"/>
        <w:ind w:firstLine="480"/>
        <w:spacing w:line="360" w:lineRule="auto"/>
        <w:rPr>
          <w:sz w:val="24"/>
        </w:rPr>
      </w:pPr>
      <w:r>
        <w:rPr>
          <w:sz w:val="24"/>
        </w:rPr>
        <w:t xml:space="preserve">根据用户需求对</w:t>
      </w:r>
      <w:r>
        <w:rPr>
          <w:sz w:val="24"/>
        </w:rPr>
        <w:t xml:space="preserve">CPU</w:t>
      </w:r>
      <w:r>
        <w:rPr>
          <w:sz w:val="24"/>
        </w:rPr>
        <w:t xml:space="preserve">核数、内存空间、硬盘等计算资源进行变更。</w:t>
      </w:r>
      <w:r/>
    </w:p>
    <w:p>
      <w:pPr>
        <w:pStyle w:val="836"/>
        <w:numPr>
          <w:ilvl w:val="0"/>
          <w:numId w:val="33"/>
        </w:numPr>
        <w:spacing w:line="360" w:lineRule="auto"/>
        <w:tabs>
          <w:tab w:val="clear" w:pos="210" w:leader="none"/>
          <w:tab w:val="left" w:pos="999" w:leader="none"/>
        </w:tabs>
        <w:rPr>
          <w:sz w:val="24"/>
        </w:rPr>
      </w:pPr>
      <w:r>
        <w:rPr>
          <w:sz w:val="24"/>
        </w:rPr>
        <w:t xml:space="preserve">业务系统测试</w:t>
      </w:r>
      <w:r/>
    </w:p>
    <w:p>
      <w:pPr>
        <w:pStyle w:val="836"/>
        <w:ind w:firstLine="480"/>
        <w:spacing w:line="360" w:lineRule="auto"/>
        <w:rPr>
          <w:sz w:val="24"/>
        </w:rPr>
      </w:pPr>
      <w:r>
        <w:rPr>
          <w:sz w:val="24"/>
        </w:rPr>
        <w:t xml:space="preserve">支持用户进行业务系统的功能及性能测试，根据用户需求部署相应的测试环境。</w:t>
      </w:r>
      <w:r/>
    </w:p>
    <w:p>
      <w:pPr>
        <w:pStyle w:val="836"/>
        <w:numPr>
          <w:ilvl w:val="0"/>
          <w:numId w:val="33"/>
        </w:numPr>
        <w:spacing w:line="360" w:lineRule="auto"/>
        <w:tabs>
          <w:tab w:val="clear" w:pos="210" w:leader="none"/>
          <w:tab w:val="left" w:pos="999" w:leader="none"/>
        </w:tabs>
        <w:rPr>
          <w:sz w:val="24"/>
        </w:rPr>
      </w:pPr>
      <w:r>
        <w:rPr>
          <w:sz w:val="24"/>
        </w:rPr>
        <w:t xml:space="preserve">定时巡检</w:t>
      </w:r>
      <w:r/>
    </w:p>
    <w:p>
      <w:pPr>
        <w:pStyle w:val="836"/>
        <w:ind w:firstLine="480"/>
        <w:spacing w:line="360" w:lineRule="auto"/>
        <w:rPr>
          <w:sz w:val="24"/>
        </w:rPr>
      </w:pPr>
      <w:r>
        <w:rPr>
          <w:sz w:val="24"/>
        </w:rPr>
        <w:t xml:space="preserve">供应商应制定规范的服务巡检制度，定期对机房基础设施、基础</w:t>
      </w:r>
      <w:r>
        <w:rPr>
          <w:sz w:val="24"/>
        </w:rPr>
        <w:t xml:space="preserve">IT</w:t>
      </w:r>
      <w:r>
        <w:rPr>
          <w:sz w:val="24"/>
        </w:rPr>
        <w:t xml:space="preserve">设备、运维支撑平台、关键业务系统进行定时巡检，及时发现系统故障及安全隐患。</w:t>
      </w:r>
      <w:r/>
    </w:p>
    <w:p>
      <w:pPr>
        <w:pStyle w:val="836"/>
        <w:numPr>
          <w:ilvl w:val="0"/>
          <w:numId w:val="33"/>
        </w:numPr>
        <w:spacing w:line="360" w:lineRule="auto"/>
        <w:tabs>
          <w:tab w:val="clear" w:pos="210" w:leader="none"/>
          <w:tab w:val="left" w:pos="999" w:leader="none"/>
        </w:tabs>
        <w:rPr>
          <w:sz w:val="24"/>
        </w:rPr>
      </w:pPr>
      <w:r>
        <w:rPr>
          <w:sz w:val="24"/>
        </w:rPr>
        <w:t xml:space="preserve">应急管理</w:t>
      </w:r>
      <w:r/>
    </w:p>
    <w:p>
      <w:pPr>
        <w:pStyle w:val="836"/>
        <w:ind w:firstLine="480"/>
        <w:spacing w:line="360" w:lineRule="auto"/>
        <w:rPr>
          <w:sz w:val="24"/>
        </w:rPr>
      </w:pPr>
      <w:r>
        <w:rPr>
          <w:sz w:val="24"/>
        </w:rPr>
        <w:t xml:space="preserve">制定完善的应急管理制度以及针对各种突发情况的应急预案。</w:t>
      </w:r>
      <w:r/>
    </w:p>
    <w:p>
      <w:pPr>
        <w:pStyle w:val="836"/>
        <w:numPr>
          <w:ilvl w:val="0"/>
          <w:numId w:val="33"/>
        </w:numPr>
        <w:spacing w:line="360" w:lineRule="auto"/>
        <w:tabs>
          <w:tab w:val="clear" w:pos="210" w:leader="none"/>
          <w:tab w:val="left" w:pos="999" w:leader="none"/>
        </w:tabs>
        <w:rPr>
          <w:sz w:val="24"/>
        </w:rPr>
      </w:pPr>
      <w:r>
        <w:rPr>
          <w:sz w:val="24"/>
        </w:rPr>
        <w:t xml:space="preserve">值守服务</w:t>
      </w:r>
      <w:r/>
    </w:p>
    <w:p>
      <w:pPr>
        <w:pStyle w:val="836"/>
        <w:ind w:firstLine="480"/>
        <w:spacing w:line="360" w:lineRule="auto"/>
        <w:rPr>
          <w:sz w:val="24"/>
        </w:rPr>
      </w:pPr>
      <w:r>
        <w:rPr>
          <w:sz w:val="24"/>
        </w:rPr>
        <w:t xml:space="preserve">提供</w:t>
      </w:r>
      <w:r>
        <w:rPr>
          <w:sz w:val="24"/>
        </w:rPr>
        <w:t xml:space="preserve">7×24</w:t>
      </w:r>
      <w:r>
        <w:rPr>
          <w:sz w:val="24"/>
        </w:rPr>
        <w:t xml:space="preserve">小时现场值守服务，及时发现并解决故障或隐患，保证同城异地备份服务平台的故障及紧急情况能快速发现和解决，随时接收并响应用户的报障及服务要求。</w:t>
      </w:r>
      <w:r/>
    </w:p>
    <w:p>
      <w:pPr>
        <w:pStyle w:val="836"/>
        <w:ind w:left="567"/>
        <w:spacing w:line="360" w:lineRule="auto"/>
        <w:tabs>
          <w:tab w:val="left" w:pos="1140" w:leader="none"/>
        </w:tabs>
        <w:rPr>
          <w:b/>
          <w:sz w:val="24"/>
        </w:rPr>
      </w:pPr>
      <w:r>
        <w:rPr>
          <w:rFonts w:hint="eastAsia"/>
          <w:b/>
          <w:sz w:val="24"/>
        </w:rPr>
        <w:t xml:space="preserve">7.4</w:t>
      </w:r>
      <w:r>
        <w:rPr>
          <w:b/>
          <w:sz w:val="24"/>
        </w:rPr>
        <w:t xml:space="preserve">机房资源服务要求</w:t>
      </w:r>
      <w:r/>
    </w:p>
    <w:p>
      <w:pPr>
        <w:pStyle w:val="836"/>
        <w:ind w:firstLine="480"/>
        <w:spacing w:line="360" w:lineRule="auto"/>
        <w:rPr>
          <w:sz w:val="24"/>
        </w:rPr>
      </w:pPr>
      <w:r>
        <w:rPr>
          <w:sz w:val="24"/>
        </w:rPr>
        <w:t xml:space="preserve">宜兴市同城异地备份中心机房位于宜兴市行政区域范围内，为保障已上云备份的各类应用系统有一个相对稳定、连续的运行环境，避免由于云计算基础环境的改变，从而导致应用中断、服务停止的风险，机房由投标人（或其总公司）自建或者租赁，已具备政务外网接入条件。</w:t>
      </w:r>
      <w:r/>
    </w:p>
    <w:p>
      <w:pPr>
        <w:pStyle w:val="836"/>
        <w:ind w:firstLine="480"/>
        <w:spacing w:line="360" w:lineRule="auto"/>
        <w:rPr>
          <w:sz w:val="24"/>
        </w:rPr>
      </w:pPr>
      <w:r>
        <w:rPr>
          <w:sz w:val="24"/>
        </w:rPr>
        <w:t xml:space="preserve">机房基础环境要求符合国家标准</w:t>
      </w:r>
      <w:r>
        <w:rPr>
          <w:sz w:val="24"/>
        </w:rPr>
        <w:t xml:space="preserve">GB50174-2008</w:t>
      </w:r>
      <w:r>
        <w:rPr>
          <w:sz w:val="24"/>
        </w:rPr>
        <w:t xml:space="preserve">《电子信息系统机房设计规范》规定。</w:t>
      </w:r>
      <w:r/>
    </w:p>
    <w:p>
      <w:pPr>
        <w:pStyle w:val="836"/>
        <w:numPr>
          <w:ilvl w:val="0"/>
          <w:numId w:val="34"/>
        </w:numPr>
        <w:spacing w:line="360" w:lineRule="auto"/>
        <w:tabs>
          <w:tab w:val="clear" w:pos="210" w:leader="none"/>
          <w:tab w:val="left" w:pos="999" w:leader="none"/>
        </w:tabs>
        <w:rPr>
          <w:sz w:val="24"/>
        </w:rPr>
      </w:pPr>
      <w:r>
        <w:rPr>
          <w:sz w:val="24"/>
        </w:rPr>
        <w:t xml:space="preserve">基本要求</w:t>
      </w:r>
      <w:r/>
    </w:p>
    <w:p>
      <w:pPr>
        <w:pStyle w:val="836"/>
        <w:numPr>
          <w:ilvl w:val="0"/>
          <w:numId w:val="35"/>
        </w:numPr>
        <w:spacing w:line="360" w:lineRule="auto"/>
        <w:tabs>
          <w:tab w:val="left" w:pos="1080" w:leader="none"/>
        </w:tabs>
        <w:rPr>
          <w:sz w:val="24"/>
        </w:rPr>
      </w:pPr>
      <w:r>
        <w:rPr>
          <w:sz w:val="24"/>
        </w:rPr>
        <w:t xml:space="preserve">机房面积不小于</w:t>
      </w:r>
      <w:r>
        <w:rPr>
          <w:sz w:val="24"/>
        </w:rPr>
        <w:t xml:space="preserve">400</w:t>
      </w:r>
      <w:r>
        <w:rPr>
          <w:sz w:val="24"/>
        </w:rPr>
        <w:t xml:space="preserve">平方米（不包含办公用房）；</w:t>
      </w:r>
      <w:r/>
    </w:p>
    <w:p>
      <w:pPr>
        <w:pStyle w:val="836"/>
        <w:numPr>
          <w:ilvl w:val="0"/>
          <w:numId w:val="35"/>
        </w:numPr>
        <w:spacing w:line="360" w:lineRule="auto"/>
        <w:tabs>
          <w:tab w:val="left" w:pos="1080" w:leader="none"/>
        </w:tabs>
        <w:rPr>
          <w:sz w:val="24"/>
        </w:rPr>
      </w:pPr>
      <w:r>
        <w:rPr>
          <w:sz w:val="24"/>
        </w:rPr>
        <w:t xml:space="preserve">操作监控区应与其他区之间隔音，操作监控区安装适合人体的普通空调，其他区有机房专用恒温、恒湿空调负责调节，机房信号电缆和电源电缆分层布放，布局美观；</w:t>
      </w:r>
      <w:r/>
    </w:p>
    <w:p>
      <w:pPr>
        <w:pStyle w:val="836"/>
        <w:numPr>
          <w:ilvl w:val="0"/>
          <w:numId w:val="35"/>
        </w:numPr>
        <w:spacing w:line="360" w:lineRule="auto"/>
        <w:tabs>
          <w:tab w:val="left" w:pos="1080" w:leader="none"/>
        </w:tabs>
        <w:rPr>
          <w:sz w:val="24"/>
        </w:rPr>
      </w:pPr>
      <w:r>
        <w:rPr>
          <w:sz w:val="24"/>
        </w:rPr>
        <w:t xml:space="preserve">操作监控区安装网管监控设备、开发用机或其他业务操作用机，在操作监控区使用切换器的集中控制功能对工作站和服务器等进行集中管理；</w:t>
      </w:r>
      <w:r/>
    </w:p>
    <w:p>
      <w:pPr>
        <w:pStyle w:val="836"/>
        <w:numPr>
          <w:ilvl w:val="0"/>
          <w:numId w:val="35"/>
        </w:numPr>
        <w:spacing w:line="360" w:lineRule="auto"/>
        <w:tabs>
          <w:tab w:val="left" w:pos="1080" w:leader="none"/>
        </w:tabs>
        <w:rPr>
          <w:sz w:val="24"/>
        </w:rPr>
      </w:pPr>
      <w:r>
        <w:rPr>
          <w:sz w:val="24"/>
        </w:rPr>
        <w:t xml:space="preserve">机房云资源服务准备时间不大于</w:t>
      </w:r>
      <w:r>
        <w:rPr>
          <w:sz w:val="24"/>
        </w:rPr>
        <w:t xml:space="preserve">5</w:t>
      </w:r>
      <w:r>
        <w:rPr>
          <w:sz w:val="24"/>
        </w:rPr>
        <w:t xml:space="preserve">个工作日。</w:t>
      </w:r>
      <w:r/>
    </w:p>
    <w:p>
      <w:pPr>
        <w:pStyle w:val="836"/>
        <w:numPr>
          <w:ilvl w:val="0"/>
          <w:numId w:val="34"/>
        </w:numPr>
        <w:spacing w:line="360" w:lineRule="auto"/>
        <w:tabs>
          <w:tab w:val="clear" w:pos="210" w:leader="none"/>
          <w:tab w:val="left" w:pos="999" w:leader="none"/>
        </w:tabs>
        <w:rPr>
          <w:sz w:val="24"/>
        </w:rPr>
      </w:pPr>
      <w:r>
        <w:rPr>
          <w:sz w:val="24"/>
        </w:rPr>
        <w:t xml:space="preserve">机柜</w:t>
      </w:r>
      <w:r/>
    </w:p>
    <w:p>
      <w:pPr>
        <w:pStyle w:val="836"/>
        <w:ind w:firstLine="480"/>
        <w:spacing w:line="360" w:lineRule="auto"/>
        <w:rPr>
          <w:sz w:val="24"/>
        </w:rPr>
      </w:pPr>
      <w:r>
        <w:rPr>
          <w:sz w:val="24"/>
        </w:rPr>
        <w:t xml:space="preserve">机房具备不低于</w:t>
      </w:r>
      <w:r>
        <w:rPr>
          <w:sz w:val="24"/>
        </w:rPr>
        <w:t xml:space="preserve">100</w:t>
      </w:r>
      <w:r>
        <w:rPr>
          <w:sz w:val="24"/>
        </w:rPr>
        <w:t xml:space="preserve">个</w:t>
      </w:r>
      <w:r>
        <w:rPr>
          <w:sz w:val="24"/>
        </w:rPr>
        <w:t xml:space="preserve">42U</w:t>
      </w:r>
      <w:r>
        <w:rPr>
          <w:sz w:val="24"/>
        </w:rPr>
        <w:t xml:space="preserve">、</w:t>
      </w:r>
      <w:r>
        <w:rPr>
          <w:sz w:val="24"/>
        </w:rPr>
        <w:t xml:space="preserve">4kW</w:t>
      </w:r>
      <w:r>
        <w:rPr>
          <w:sz w:val="24"/>
        </w:rPr>
        <w:t xml:space="preserve">的标准机柜，具备按需扩展能力。</w:t>
      </w:r>
      <w:r/>
    </w:p>
    <w:p>
      <w:pPr>
        <w:pStyle w:val="836"/>
        <w:numPr>
          <w:ilvl w:val="0"/>
          <w:numId w:val="34"/>
        </w:numPr>
        <w:spacing w:line="360" w:lineRule="auto"/>
        <w:tabs>
          <w:tab w:val="clear" w:pos="210" w:leader="none"/>
          <w:tab w:val="left" w:pos="999" w:leader="none"/>
        </w:tabs>
        <w:rPr>
          <w:sz w:val="24"/>
        </w:rPr>
      </w:pPr>
      <w:r>
        <w:rPr>
          <w:sz w:val="24"/>
        </w:rPr>
        <w:t xml:space="preserve">机房装修</w:t>
      </w:r>
      <w:r/>
    </w:p>
    <w:p>
      <w:pPr>
        <w:pStyle w:val="836"/>
        <w:numPr>
          <w:ilvl w:val="0"/>
          <w:numId w:val="36"/>
        </w:numPr>
        <w:spacing w:line="360" w:lineRule="auto"/>
        <w:tabs>
          <w:tab w:val="left" w:pos="1080" w:leader="none"/>
        </w:tabs>
        <w:rPr>
          <w:sz w:val="24"/>
        </w:rPr>
      </w:pPr>
      <w:r>
        <w:rPr>
          <w:sz w:val="24"/>
        </w:rPr>
        <w:t xml:space="preserve">机房室内顶棚上安装的灯具、风口、火灾探测器应满足国家相关标准要求；</w:t>
      </w:r>
      <w:r/>
    </w:p>
    <w:p>
      <w:pPr>
        <w:pStyle w:val="836"/>
        <w:numPr>
          <w:ilvl w:val="0"/>
          <w:numId w:val="36"/>
        </w:numPr>
        <w:spacing w:line="360" w:lineRule="auto"/>
        <w:tabs>
          <w:tab w:val="left" w:pos="1080" w:leader="none"/>
        </w:tabs>
        <w:rPr>
          <w:sz w:val="24"/>
        </w:rPr>
      </w:pPr>
      <w:r>
        <w:rPr>
          <w:sz w:val="24"/>
        </w:rPr>
        <w:t xml:space="preserve">机房围护结构和材料应满足保温、隔热、防火等要求，墙面应洁白干净。地面和四壁装饰，采用水泥砂浆抹灰。地面材料应平整、耐磨。</w:t>
      </w:r>
      <w:r/>
    </w:p>
    <w:p>
      <w:pPr>
        <w:pStyle w:val="836"/>
        <w:numPr>
          <w:ilvl w:val="0"/>
          <w:numId w:val="34"/>
        </w:numPr>
        <w:spacing w:line="360" w:lineRule="auto"/>
        <w:tabs>
          <w:tab w:val="clear" w:pos="210" w:leader="none"/>
          <w:tab w:val="left" w:pos="999" w:leader="none"/>
        </w:tabs>
        <w:rPr>
          <w:sz w:val="24"/>
        </w:rPr>
      </w:pPr>
      <w:r>
        <w:rPr>
          <w:sz w:val="24"/>
        </w:rPr>
        <w:t xml:space="preserve">机房供配电</w:t>
      </w:r>
      <w:r/>
    </w:p>
    <w:p>
      <w:pPr>
        <w:pStyle w:val="836"/>
        <w:numPr>
          <w:ilvl w:val="0"/>
          <w:numId w:val="37"/>
        </w:numPr>
        <w:spacing w:line="360" w:lineRule="auto"/>
        <w:tabs>
          <w:tab w:val="left" w:pos="1080" w:leader="none"/>
        </w:tabs>
        <w:rPr>
          <w:sz w:val="24"/>
        </w:rPr>
      </w:pPr>
      <w:r>
        <w:rPr>
          <w:sz w:val="24"/>
        </w:rPr>
        <w:t xml:space="preserve">机房所用的交流电源由机房大楼配电房独立回路进行供电，避免受大楼大功率用电设备的影响，保证机房用电设备的稳定运行；</w:t>
      </w:r>
      <w:r/>
    </w:p>
    <w:p>
      <w:pPr>
        <w:pStyle w:val="836"/>
        <w:numPr>
          <w:ilvl w:val="0"/>
          <w:numId w:val="37"/>
        </w:numPr>
        <w:spacing w:line="360" w:lineRule="auto"/>
        <w:tabs>
          <w:tab w:val="left" w:pos="1080" w:leader="none"/>
        </w:tabs>
        <w:rPr>
          <w:sz w:val="24"/>
        </w:rPr>
      </w:pPr>
      <w:r>
        <w:rPr>
          <w:sz w:val="24"/>
        </w:rPr>
        <w:t xml:space="preserve">机房需单独设置市电配电箱、</w:t>
      </w:r>
      <w:r>
        <w:rPr>
          <w:sz w:val="24"/>
        </w:rPr>
        <w:t xml:space="preserve">UPS/DPS</w:t>
      </w:r>
      <w:r>
        <w:rPr>
          <w:sz w:val="24"/>
        </w:rPr>
        <w:t xml:space="preserve">输出配电柜，动力（空调、风机、照明等）用电需与设备用电分开；</w:t>
      </w:r>
      <w:r/>
    </w:p>
    <w:p>
      <w:pPr>
        <w:pStyle w:val="836"/>
        <w:numPr>
          <w:ilvl w:val="0"/>
          <w:numId w:val="37"/>
        </w:numPr>
        <w:spacing w:line="360" w:lineRule="auto"/>
        <w:tabs>
          <w:tab w:val="left" w:pos="1080" w:leader="none"/>
        </w:tabs>
        <w:rPr>
          <w:sz w:val="24"/>
        </w:rPr>
      </w:pPr>
      <w:r>
        <w:rPr>
          <w:sz w:val="24"/>
        </w:rPr>
        <w:t xml:space="preserve">机房提供正常照明和应急照明；</w:t>
      </w:r>
      <w:r/>
    </w:p>
    <w:p>
      <w:pPr>
        <w:pStyle w:val="836"/>
        <w:numPr>
          <w:ilvl w:val="0"/>
          <w:numId w:val="37"/>
        </w:numPr>
        <w:spacing w:line="360" w:lineRule="auto"/>
        <w:tabs>
          <w:tab w:val="left" w:pos="1080" w:leader="none"/>
        </w:tabs>
        <w:rPr>
          <w:sz w:val="24"/>
        </w:rPr>
      </w:pPr>
      <w:r>
        <w:rPr>
          <w:sz w:val="24"/>
        </w:rPr>
        <w:t xml:space="preserve">提供市电保障，每路容量不小于</w:t>
      </w:r>
      <w:r>
        <w:rPr>
          <w:sz w:val="24"/>
        </w:rPr>
        <w:t xml:space="preserve">600KVA</w:t>
      </w:r>
      <w:r>
        <w:rPr>
          <w:sz w:val="24"/>
        </w:rPr>
        <w:t xml:space="preserve">，配电系统稳定可靠；</w:t>
      </w:r>
      <w:r/>
    </w:p>
    <w:p>
      <w:pPr>
        <w:pStyle w:val="836"/>
        <w:numPr>
          <w:ilvl w:val="0"/>
          <w:numId w:val="34"/>
        </w:numPr>
        <w:spacing w:line="360" w:lineRule="auto"/>
        <w:tabs>
          <w:tab w:val="clear" w:pos="210" w:leader="none"/>
          <w:tab w:val="left" w:pos="999" w:leader="none"/>
        </w:tabs>
        <w:rPr>
          <w:sz w:val="24"/>
        </w:rPr>
      </w:pPr>
      <w:r>
        <w:rPr>
          <w:sz w:val="24"/>
        </w:rPr>
        <w:t xml:space="preserve">备用电源系统</w:t>
      </w:r>
      <w:r/>
    </w:p>
    <w:p>
      <w:pPr>
        <w:pStyle w:val="886"/>
        <w:ind w:left="10" w:firstLine="538"/>
      </w:pPr>
      <w:r>
        <w:rPr>
          <w:rFonts w:hint="eastAsia"/>
        </w:rPr>
        <w:tab/>
        <w:t xml:space="preserve">提供冗余电源，备用电源支撑不低于0.5小时；</w:t>
      </w:r>
      <w:r/>
    </w:p>
    <w:p>
      <w:pPr>
        <w:pStyle w:val="836"/>
        <w:numPr>
          <w:ilvl w:val="0"/>
          <w:numId w:val="34"/>
        </w:numPr>
        <w:spacing w:line="360" w:lineRule="auto"/>
        <w:tabs>
          <w:tab w:val="clear" w:pos="210" w:leader="none"/>
          <w:tab w:val="left" w:pos="999" w:leader="none"/>
        </w:tabs>
        <w:rPr>
          <w:sz w:val="24"/>
        </w:rPr>
      </w:pPr>
      <w:r>
        <w:rPr>
          <w:sz w:val="24"/>
        </w:rPr>
        <w:t xml:space="preserve">机房空调</w:t>
      </w:r>
      <w:r/>
    </w:p>
    <w:p>
      <w:pPr>
        <w:pStyle w:val="836"/>
        <w:numPr>
          <w:ilvl w:val="0"/>
          <w:numId w:val="38"/>
        </w:numPr>
        <w:spacing w:line="360" w:lineRule="auto"/>
        <w:tabs>
          <w:tab w:val="left" w:pos="1080" w:leader="none"/>
        </w:tabs>
        <w:rPr>
          <w:sz w:val="24"/>
        </w:rPr>
      </w:pPr>
      <w:r>
        <w:rPr>
          <w:sz w:val="24"/>
        </w:rPr>
        <w:t xml:space="preserve">机房温湿度满足国家机房标准；</w:t>
      </w:r>
      <w:r/>
    </w:p>
    <w:p>
      <w:pPr>
        <w:pStyle w:val="836"/>
        <w:numPr>
          <w:ilvl w:val="0"/>
          <w:numId w:val="38"/>
        </w:numPr>
        <w:spacing w:line="360" w:lineRule="auto"/>
        <w:tabs>
          <w:tab w:val="left" w:pos="1080" w:leader="none"/>
        </w:tabs>
        <w:rPr>
          <w:sz w:val="24"/>
        </w:rPr>
      </w:pPr>
      <w:r>
        <w:rPr>
          <w:sz w:val="24"/>
        </w:rPr>
        <w:t xml:space="preserve">机房内设置漏水告警装置；</w:t>
      </w:r>
      <w:r/>
    </w:p>
    <w:p>
      <w:pPr>
        <w:pStyle w:val="836"/>
        <w:numPr>
          <w:ilvl w:val="0"/>
          <w:numId w:val="38"/>
        </w:numPr>
        <w:spacing w:line="360" w:lineRule="auto"/>
        <w:tabs>
          <w:tab w:val="left" w:pos="1080" w:leader="none"/>
        </w:tabs>
        <w:rPr>
          <w:sz w:val="24"/>
        </w:rPr>
      </w:pPr>
      <w:r>
        <w:rPr>
          <w:sz w:val="24"/>
        </w:rPr>
        <w:t xml:space="preserve">使用机房恒温、恒湿专用精密空调，配备</w:t>
      </w:r>
      <w:r>
        <w:rPr>
          <w:sz w:val="24"/>
        </w:rPr>
        <w:t xml:space="preserve">N+1</w:t>
      </w:r>
      <w:r>
        <w:rPr>
          <w:sz w:val="24"/>
        </w:rPr>
        <w:t xml:space="preserve">冗余，保证机房恒温、恒湿，无局部过热。</w:t>
      </w:r>
      <w:r/>
    </w:p>
    <w:p>
      <w:pPr>
        <w:pStyle w:val="836"/>
        <w:numPr>
          <w:ilvl w:val="0"/>
          <w:numId w:val="34"/>
        </w:numPr>
        <w:spacing w:line="360" w:lineRule="auto"/>
        <w:tabs>
          <w:tab w:val="clear" w:pos="210" w:leader="none"/>
          <w:tab w:val="left" w:pos="999" w:leader="none"/>
        </w:tabs>
        <w:rPr>
          <w:sz w:val="24"/>
        </w:rPr>
      </w:pPr>
      <w:r>
        <w:rPr>
          <w:sz w:val="24"/>
        </w:rPr>
        <w:t xml:space="preserve">机房消防</w:t>
      </w:r>
      <w:r/>
    </w:p>
    <w:p>
      <w:pPr>
        <w:pStyle w:val="836"/>
        <w:numPr>
          <w:ilvl w:val="0"/>
          <w:numId w:val="39"/>
        </w:numPr>
        <w:spacing w:line="360" w:lineRule="auto"/>
        <w:tabs>
          <w:tab w:val="left" w:pos="1080" w:leader="none"/>
        </w:tabs>
        <w:rPr>
          <w:sz w:val="24"/>
        </w:rPr>
      </w:pPr>
      <w:r>
        <w:rPr>
          <w:sz w:val="24"/>
        </w:rPr>
        <w:t xml:space="preserve">机房应符合现行有关国家消防标准的规定；</w:t>
      </w:r>
      <w:r/>
    </w:p>
    <w:p>
      <w:pPr>
        <w:pStyle w:val="836"/>
        <w:numPr>
          <w:ilvl w:val="0"/>
          <w:numId w:val="39"/>
        </w:numPr>
        <w:spacing w:line="360" w:lineRule="auto"/>
        <w:tabs>
          <w:tab w:val="left" w:pos="1080" w:leader="none"/>
        </w:tabs>
        <w:rPr>
          <w:sz w:val="24"/>
        </w:rPr>
      </w:pPr>
      <w:r>
        <w:rPr>
          <w:sz w:val="24"/>
        </w:rPr>
        <w:t xml:space="preserve">机房需设置专业气体自动灭火系统，并应按现行有关规范的要求执行；</w:t>
      </w:r>
      <w:r/>
    </w:p>
    <w:p>
      <w:pPr>
        <w:pStyle w:val="836"/>
        <w:numPr>
          <w:ilvl w:val="0"/>
          <w:numId w:val="39"/>
        </w:numPr>
        <w:spacing w:line="360" w:lineRule="auto"/>
        <w:tabs>
          <w:tab w:val="left" w:pos="1080" w:leader="none"/>
        </w:tabs>
        <w:rPr>
          <w:sz w:val="24"/>
        </w:rPr>
      </w:pPr>
      <w:r>
        <w:rPr>
          <w:sz w:val="24"/>
        </w:rPr>
        <w:t xml:space="preserve">消防器材放置位置醒目；</w:t>
      </w:r>
      <w:r/>
    </w:p>
    <w:p>
      <w:pPr>
        <w:pStyle w:val="836"/>
        <w:numPr>
          <w:ilvl w:val="0"/>
          <w:numId w:val="39"/>
        </w:numPr>
        <w:spacing w:line="360" w:lineRule="auto"/>
        <w:tabs>
          <w:tab w:val="left" w:pos="1080" w:leader="none"/>
        </w:tabs>
        <w:rPr>
          <w:sz w:val="24"/>
        </w:rPr>
      </w:pPr>
      <w:r>
        <w:rPr>
          <w:sz w:val="24"/>
        </w:rPr>
        <w:t xml:space="preserve">机房应设火灾自动报警系统，并应符合现行国家标准的规定；</w:t>
      </w:r>
      <w:r/>
    </w:p>
    <w:p>
      <w:pPr>
        <w:pStyle w:val="836"/>
        <w:numPr>
          <w:ilvl w:val="0"/>
          <w:numId w:val="39"/>
        </w:numPr>
        <w:spacing w:line="360" w:lineRule="auto"/>
        <w:tabs>
          <w:tab w:val="left" w:pos="1080" w:leader="none"/>
        </w:tabs>
        <w:rPr>
          <w:sz w:val="24"/>
        </w:rPr>
      </w:pPr>
      <w:r>
        <w:rPr>
          <w:sz w:val="24"/>
        </w:rPr>
        <w:t xml:space="preserve">报警系统和自动灭火系统应与空调、通风系统联动；</w:t>
      </w:r>
      <w:r/>
    </w:p>
    <w:p>
      <w:pPr>
        <w:pStyle w:val="836"/>
        <w:numPr>
          <w:ilvl w:val="0"/>
          <w:numId w:val="39"/>
        </w:numPr>
        <w:spacing w:line="360" w:lineRule="auto"/>
        <w:tabs>
          <w:tab w:val="left" w:pos="1080" w:leader="none"/>
        </w:tabs>
        <w:rPr>
          <w:sz w:val="24"/>
        </w:rPr>
      </w:pPr>
      <w:r>
        <w:rPr>
          <w:sz w:val="24"/>
        </w:rPr>
        <w:t xml:space="preserve">机房内空调设备应受机房内电源切断开关的控制，机房内的电源切断开关应靠近工作人员的操作位置或主要出入口；</w:t>
      </w:r>
      <w:r/>
    </w:p>
    <w:p>
      <w:pPr>
        <w:pStyle w:val="836"/>
        <w:numPr>
          <w:ilvl w:val="0"/>
          <w:numId w:val="39"/>
        </w:numPr>
        <w:spacing w:line="360" w:lineRule="auto"/>
        <w:tabs>
          <w:tab w:val="left" w:pos="1080" w:leader="none"/>
        </w:tabs>
        <w:rPr>
          <w:sz w:val="24"/>
        </w:rPr>
      </w:pPr>
      <w:r>
        <w:rPr>
          <w:sz w:val="24"/>
        </w:rPr>
        <w:t xml:space="preserve">消防系统符合国家现行标准并通过国家消防管理部门验收。</w:t>
      </w:r>
      <w:r/>
    </w:p>
    <w:p>
      <w:pPr>
        <w:pStyle w:val="836"/>
        <w:numPr>
          <w:ilvl w:val="0"/>
          <w:numId w:val="34"/>
        </w:numPr>
        <w:spacing w:line="360" w:lineRule="auto"/>
        <w:tabs>
          <w:tab w:val="clear" w:pos="210" w:leader="none"/>
          <w:tab w:val="left" w:pos="999" w:leader="none"/>
        </w:tabs>
        <w:rPr>
          <w:sz w:val="24"/>
        </w:rPr>
      </w:pPr>
      <w:r>
        <w:rPr>
          <w:sz w:val="24"/>
        </w:rPr>
        <w:t xml:space="preserve">机房防雷接地</w:t>
      </w:r>
      <w:r/>
    </w:p>
    <w:p>
      <w:pPr>
        <w:pStyle w:val="836"/>
        <w:numPr>
          <w:ilvl w:val="0"/>
          <w:numId w:val="40"/>
        </w:numPr>
        <w:spacing w:line="360" w:lineRule="auto"/>
        <w:tabs>
          <w:tab w:val="left" w:pos="1080" w:leader="none"/>
        </w:tabs>
        <w:rPr>
          <w:sz w:val="24"/>
        </w:rPr>
      </w:pPr>
      <w:r>
        <w:rPr>
          <w:sz w:val="24"/>
        </w:rPr>
        <w:t xml:space="preserve">防雷设施满足国家相关规范要求，总配电柜、</w:t>
      </w:r>
      <w:r>
        <w:rPr>
          <w:sz w:val="24"/>
        </w:rPr>
        <w:t xml:space="preserve">UPS/DPS</w:t>
      </w:r>
      <w:r>
        <w:rPr>
          <w:sz w:val="24"/>
        </w:rPr>
        <w:t xml:space="preserve">配电柜、重要设备输入回</w:t>
      </w:r>
      <w:r>
        <w:rPr>
          <w:sz w:val="24"/>
        </w:rPr>
        <w:t xml:space="preserve">路前端安装电源避雷器；</w:t>
      </w:r>
      <w:r/>
    </w:p>
    <w:p>
      <w:pPr>
        <w:pStyle w:val="836"/>
        <w:numPr>
          <w:ilvl w:val="0"/>
          <w:numId w:val="40"/>
        </w:numPr>
        <w:spacing w:line="360" w:lineRule="auto"/>
        <w:tabs>
          <w:tab w:val="left" w:pos="1080" w:leader="none"/>
        </w:tabs>
        <w:rPr>
          <w:sz w:val="24"/>
        </w:rPr>
      </w:pPr>
      <w:r>
        <w:rPr>
          <w:sz w:val="24"/>
        </w:rPr>
        <w:t xml:space="preserve">数据信号传输设备采用信号避雷器；</w:t>
      </w:r>
      <w:r/>
    </w:p>
    <w:p>
      <w:pPr>
        <w:pStyle w:val="836"/>
        <w:numPr>
          <w:ilvl w:val="0"/>
          <w:numId w:val="40"/>
        </w:numPr>
        <w:spacing w:line="360" w:lineRule="auto"/>
        <w:tabs>
          <w:tab w:val="left" w:pos="1080" w:leader="none"/>
        </w:tabs>
        <w:rPr>
          <w:sz w:val="24"/>
        </w:rPr>
      </w:pPr>
      <w:r>
        <w:rPr>
          <w:sz w:val="24"/>
        </w:rPr>
        <w:t xml:space="preserve">整个机房内作地线排网，设备就近接入；机房内金属墙板、金属顶板、地板支架、金属线槽以及各种电子设备的金属外壳、机架等均需实现接地，保证机房内电力设备、</w:t>
      </w:r>
      <w:r>
        <w:rPr>
          <w:sz w:val="24"/>
        </w:rPr>
        <w:t xml:space="preserve">IT</w:t>
      </w:r>
      <w:r>
        <w:rPr>
          <w:sz w:val="24"/>
        </w:rPr>
        <w:t xml:space="preserve">设备等免受静电或雷击破坏。</w:t>
      </w:r>
      <w:r/>
    </w:p>
    <w:p>
      <w:pPr>
        <w:pStyle w:val="836"/>
        <w:numPr>
          <w:ilvl w:val="0"/>
          <w:numId w:val="34"/>
        </w:numPr>
        <w:spacing w:line="360" w:lineRule="auto"/>
        <w:tabs>
          <w:tab w:val="clear" w:pos="210" w:leader="none"/>
          <w:tab w:val="left" w:pos="999" w:leader="none"/>
        </w:tabs>
        <w:rPr>
          <w:sz w:val="24"/>
        </w:rPr>
      </w:pPr>
      <w:r>
        <w:rPr>
          <w:sz w:val="24"/>
        </w:rPr>
        <w:t xml:space="preserve">防静电</w:t>
      </w:r>
      <w:r/>
    </w:p>
    <w:p>
      <w:pPr>
        <w:pStyle w:val="836"/>
        <w:numPr>
          <w:ilvl w:val="0"/>
          <w:numId w:val="41"/>
        </w:numPr>
        <w:spacing w:line="360" w:lineRule="auto"/>
        <w:tabs>
          <w:tab w:val="left" w:pos="1080" w:leader="none"/>
        </w:tabs>
        <w:rPr>
          <w:sz w:val="24"/>
        </w:rPr>
      </w:pPr>
      <w:r>
        <w:rPr>
          <w:sz w:val="24"/>
        </w:rPr>
        <w:t xml:space="preserve">机房采用防静电设施，采用活动地板的，活动地板应由阻燃性材料制成，并能够抗静电；</w:t>
      </w:r>
      <w:r/>
    </w:p>
    <w:p>
      <w:pPr>
        <w:pStyle w:val="836"/>
        <w:numPr>
          <w:ilvl w:val="0"/>
          <w:numId w:val="41"/>
        </w:numPr>
        <w:spacing w:line="360" w:lineRule="auto"/>
        <w:tabs>
          <w:tab w:val="left" w:pos="1080" w:leader="none"/>
        </w:tabs>
        <w:rPr>
          <w:sz w:val="24"/>
        </w:rPr>
      </w:pPr>
      <w:r>
        <w:rPr>
          <w:sz w:val="24"/>
        </w:rPr>
        <w:t xml:space="preserve">采用保护接地的措施防止静电的发生。</w:t>
      </w:r>
      <w:r/>
    </w:p>
    <w:p>
      <w:pPr>
        <w:pStyle w:val="836"/>
        <w:numPr>
          <w:ilvl w:val="0"/>
          <w:numId w:val="34"/>
        </w:numPr>
        <w:spacing w:line="360" w:lineRule="auto"/>
        <w:tabs>
          <w:tab w:val="clear" w:pos="210" w:leader="none"/>
          <w:tab w:val="left" w:pos="999" w:leader="none"/>
        </w:tabs>
        <w:rPr>
          <w:sz w:val="24"/>
        </w:rPr>
      </w:pPr>
      <w:r>
        <w:rPr>
          <w:sz w:val="24"/>
        </w:rPr>
        <w:t xml:space="preserve">安全</w:t>
      </w:r>
      <w:r/>
    </w:p>
    <w:p>
      <w:pPr>
        <w:pStyle w:val="836"/>
        <w:numPr>
          <w:ilvl w:val="0"/>
          <w:numId w:val="42"/>
        </w:numPr>
        <w:spacing w:line="360" w:lineRule="auto"/>
        <w:tabs>
          <w:tab w:val="left" w:pos="1080" w:leader="none"/>
        </w:tabs>
        <w:rPr>
          <w:sz w:val="24"/>
        </w:rPr>
      </w:pPr>
      <w:r>
        <w:rPr>
          <w:sz w:val="24"/>
        </w:rPr>
        <w:t xml:space="preserve">需设置门禁系统等安全措施，防止任何无关人员进入；</w:t>
      </w:r>
      <w:r/>
    </w:p>
    <w:p>
      <w:pPr>
        <w:pStyle w:val="836"/>
        <w:numPr>
          <w:ilvl w:val="0"/>
          <w:numId w:val="42"/>
        </w:numPr>
        <w:spacing w:line="360" w:lineRule="auto"/>
        <w:tabs>
          <w:tab w:val="left" w:pos="1080" w:leader="none"/>
        </w:tabs>
        <w:rPr>
          <w:sz w:val="24"/>
        </w:rPr>
      </w:pPr>
      <w:r>
        <w:rPr>
          <w:sz w:val="24"/>
        </w:rPr>
        <w:t xml:space="preserve">需有防鼠、防虫措施。所有机房进出口桥架、管道出口都要采取密封措施；</w:t>
      </w:r>
      <w:r/>
    </w:p>
    <w:p>
      <w:pPr>
        <w:pStyle w:val="836"/>
        <w:numPr>
          <w:ilvl w:val="0"/>
          <w:numId w:val="34"/>
        </w:numPr>
        <w:spacing w:line="360" w:lineRule="auto"/>
        <w:tabs>
          <w:tab w:val="clear" w:pos="210" w:leader="none"/>
          <w:tab w:val="left" w:pos="999" w:leader="none"/>
        </w:tabs>
        <w:rPr>
          <w:sz w:val="24"/>
        </w:rPr>
      </w:pPr>
      <w:r>
        <w:rPr>
          <w:sz w:val="24"/>
        </w:rPr>
        <w:t xml:space="preserve">数据链路</w:t>
      </w:r>
      <w:r/>
    </w:p>
    <w:p>
      <w:pPr>
        <w:pStyle w:val="836"/>
        <w:ind w:firstLine="480"/>
        <w:spacing w:line="360" w:lineRule="auto"/>
        <w:rPr>
          <w:sz w:val="24"/>
        </w:rPr>
      </w:pPr>
      <w:r>
        <w:rPr>
          <w:sz w:val="24"/>
        </w:rPr>
        <w:t xml:space="preserve">宜兴市同城异地备份中心需铺设两根裸光纤分别连接至市政务外网机房与存量信息系统存放机房相连接。</w:t>
      </w:r>
      <w:r/>
    </w:p>
    <w:p>
      <w:pPr>
        <w:pStyle w:val="836"/>
        <w:spacing w:line="360" w:lineRule="auto"/>
        <w:rPr>
          <w:b/>
          <w:sz w:val="24"/>
        </w:rPr>
      </w:pPr>
      <w:r>
        <w:rPr>
          <w:rFonts w:hint="eastAsia"/>
          <w:b/>
          <w:sz w:val="24"/>
        </w:rPr>
        <w:t xml:space="preserve">（二）报价要求及收费标准</w:t>
      </w:r>
      <w:r/>
    </w:p>
    <w:p>
      <w:pPr>
        <w:ind w:firstLine="480"/>
        <w:spacing w:line="360" w:lineRule="auto"/>
        <w:rPr>
          <w:rFonts w:ascii="宋体" w:hAnsi="宋体" w:cs="宋体"/>
          <w:sz w:val="24"/>
          <w:szCs w:val="24"/>
        </w:rPr>
      </w:pPr>
      <w:r>
        <w:rPr>
          <w:rFonts w:hint="eastAsia" w:ascii="宋体" w:hAnsi="宋体" w:cs="宋体"/>
          <w:sz w:val="24"/>
          <w:szCs w:val="24"/>
        </w:rPr>
        <w:t xml:space="preserve">本次投标报价须为折扣报价，投标人针对本项目云服务目录及限价报出整体折扣率b%（投标人须依据企业自身能力申报服务费折扣率b%，b值应为固定整数，取值范围为0&lt;b≤100。</w:t>
      </w:r>
      <w:r/>
    </w:p>
    <w:p>
      <w:pPr>
        <w:ind w:firstLine="480"/>
        <w:spacing w:line="360" w:lineRule="auto"/>
        <w:rPr>
          <w:rFonts w:ascii="宋体" w:hAnsi="宋体" w:cs="宋体"/>
          <w:sz w:val="24"/>
          <w:szCs w:val="24"/>
        </w:rPr>
      </w:pPr>
      <w:r>
        <w:rPr>
          <w:rFonts w:hint="eastAsia" w:ascii="宋体" w:hAnsi="宋体" w:cs="宋体"/>
          <w:sz w:val="24"/>
          <w:szCs w:val="24"/>
        </w:rPr>
        <w:t xml:space="preserve">如投标人报价为b折，即在《开标一览表》中填列b%，则投标人各单项报价=目录单项限价×b%），不得针对单项服务报价。根据折扣报价计算的云计算服务价格包含服务费、税费等其他所有费用。</w:t>
      </w:r>
      <w:r/>
    </w:p>
    <w:p>
      <w:pPr>
        <w:ind w:firstLine="480"/>
        <w:spacing w:line="360" w:lineRule="auto"/>
        <w:rPr>
          <w:rFonts w:ascii="宋体" w:hAnsi="宋体" w:cs="宋体"/>
          <w:sz w:val="24"/>
          <w:szCs w:val="24"/>
        </w:rPr>
      </w:pPr>
      <w:r>
        <w:rPr>
          <w:rFonts w:hint="eastAsia" w:ascii="宋体" w:hAnsi="宋体" w:cs="宋体"/>
          <w:sz w:val="24"/>
          <w:szCs w:val="24"/>
        </w:rPr>
        <w:t xml:space="preserve">中标人的投标报价为本项目合同执行期间提供云服务的最高限价。</w:t>
      </w:r>
      <w:r/>
    </w:p>
    <w:p>
      <w:pPr>
        <w:ind w:firstLine="480"/>
        <w:spacing w:line="360" w:lineRule="auto"/>
        <w:rPr>
          <w:rFonts w:ascii="宋体" w:hAnsi="宋体" w:cs="宋体"/>
          <w:sz w:val="24"/>
          <w:szCs w:val="24"/>
        </w:rPr>
      </w:pPr>
      <w:r>
        <w:rPr>
          <w:rFonts w:hint="eastAsia" w:ascii="宋体" w:hAnsi="宋体" w:cs="宋体"/>
          <w:sz w:val="24"/>
          <w:szCs w:val="24"/>
        </w:rPr>
        <w:t xml:space="preserve">项目服务费依据该项目实际发生的分项服务内容所对应的服务费累计计算。各分项服务费的计算方式为：分项服务最高价格上限乘以b%，按价格表中年、月、天计费方式算出每日服务费用，最后乘以实际服务使用天数。所有费用均为含税金额。</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1.分项服务最高价格上限参照服务目录所列对应服务类别的年度最高限价，以365天为全年基准计费天数，按实际服务使用天数折算单日费用后计算分项服务费。</w:t>
      </w:r>
      <w:r/>
    </w:p>
    <w:p>
      <w:pPr>
        <w:ind w:firstLine="480"/>
        <w:spacing w:line="360" w:lineRule="auto"/>
        <w:rPr>
          <w:rFonts w:ascii="宋体" w:hAnsi="宋体" w:cs="宋体"/>
          <w:sz w:val="24"/>
          <w:szCs w:val="24"/>
        </w:rPr>
      </w:pPr>
      <w:r>
        <w:rPr>
          <w:rFonts w:hint="eastAsia" w:ascii="宋体" w:hAnsi="宋体" w:cs="宋体"/>
          <w:sz w:val="24"/>
          <w:szCs w:val="24"/>
        </w:rPr>
        <w:t xml:space="preserve">2.本项目服务费按单日折算计费方式核算，具体流程为：以对应服务类别的最高价格上限乘以投标固定折扣率，折算为年度含税总价；将该总价平摊至每日单价；再乘以实际服务</w:t>
      </w:r>
      <w:r>
        <w:rPr>
          <w:rFonts w:hint="eastAsia" w:ascii="宋体" w:hAnsi="宋体" w:cs="宋体"/>
          <w:sz w:val="24"/>
          <w:szCs w:val="24"/>
        </w:rPr>
        <w:t xml:space="preserve">使用天数，得出单项服务费。各分项服务费累加之和，即为该项目总服务费。</w:t>
      </w:r>
      <w:r/>
    </w:p>
    <w:p>
      <w:pPr>
        <w:ind w:firstLine="480"/>
        <w:spacing w:line="360" w:lineRule="auto"/>
        <w:rPr>
          <w:rFonts w:ascii="宋体" w:hAnsi="宋体" w:cs="宋体"/>
          <w:sz w:val="24"/>
          <w:szCs w:val="24"/>
        </w:rPr>
      </w:pPr>
      <w:r>
        <w:rPr>
          <w:rFonts w:hint="eastAsia" w:ascii="宋体" w:hAnsi="宋体" w:cs="宋体"/>
          <w:sz w:val="24"/>
          <w:szCs w:val="24"/>
        </w:rPr>
        <w:t xml:space="preserve">3.示例1：若1台虚拟主机A的年度最高限价为7452元，实际使用天数为100天，则该台虚拟主机A当年服务费计算公式为：7452 × b% ÷ 365 × 100。</w:t>
      </w:r>
      <w:r/>
    </w:p>
    <w:p>
      <w:pPr>
        <w:ind w:firstLine="720"/>
        <w:spacing w:line="360" w:lineRule="auto"/>
        <w:rPr>
          <w:rFonts w:ascii="宋体" w:hAnsi="宋体" w:cs="宋体"/>
          <w:sz w:val="24"/>
          <w:szCs w:val="24"/>
        </w:rPr>
      </w:pPr>
      <w:r>
        <w:rPr>
          <w:rFonts w:hint="eastAsia" w:ascii="宋体" w:hAnsi="宋体" w:cs="宋体"/>
          <w:sz w:val="24"/>
          <w:szCs w:val="24"/>
        </w:rPr>
        <w:t xml:space="preserve">示例2：若基础网络和安全的月度最高限价为79500元，实际使用天数为100天，则该项服务当年服务费计算公式为：79500 × b% × 12 ÷ 365 × 100。</w:t>
      </w:r>
      <w:r/>
    </w:p>
    <w:p>
      <w:pPr>
        <w:ind w:firstLine="480"/>
        <w:spacing w:line="360" w:lineRule="auto"/>
        <w:rPr>
          <w:rFonts w:ascii="宋体" w:hAnsi="宋体" w:cs="宋体"/>
          <w:sz w:val="24"/>
          <w:szCs w:val="24"/>
        </w:rPr>
      </w:pPr>
      <w:r>
        <w:rPr>
          <w:rFonts w:hint="eastAsia" w:ascii="宋体" w:hAnsi="宋体" w:cs="宋体"/>
          <w:sz w:val="24"/>
          <w:szCs w:val="24"/>
        </w:rPr>
        <w:t xml:space="preserve">示例3：若漏洞扫描年度最高限价300元/次，则根据次数n计算该项服务费：300 × b% × 次数n。</w:t>
      </w:r>
      <w:r/>
    </w:p>
    <w:p>
      <w:pPr>
        <w:spacing w:line="360" w:lineRule="auto"/>
      </w:pPr>
      <w:r/>
      <w:r/>
    </w:p>
    <w:p>
      <w:pPr>
        <w:pStyle w:val="836"/>
        <w:spacing w:line="360" w:lineRule="auto"/>
        <w:rPr>
          <w:b/>
          <w:sz w:val="24"/>
        </w:rPr>
      </w:pPr>
      <w:r>
        <w:rPr>
          <w:rFonts w:hint="eastAsia"/>
          <w:b/>
          <w:sz w:val="24"/>
        </w:rPr>
        <w:t xml:space="preserve">（三）</w:t>
      </w:r>
      <w:r>
        <w:rPr>
          <w:b/>
          <w:sz w:val="24"/>
        </w:rPr>
        <w:t xml:space="preserve">云服务目录</w:t>
      </w:r>
      <w:r/>
    </w:p>
    <w:p>
      <w:pPr>
        <w:pStyle w:val="836"/>
        <w:ind w:firstLine="480"/>
        <w:spacing w:line="360" w:lineRule="auto"/>
        <w:rPr>
          <w:sz w:val="24"/>
        </w:rPr>
      </w:pPr>
      <w:r>
        <w:rPr>
          <w:sz w:val="24"/>
        </w:rPr>
        <w:t xml:space="preserve">依据无锡市政务云骨干节点宜兴存量部分运维的实际需求，宜兴市同城异地备份服务的服务目录及投标限价，</w:t>
      </w:r>
      <w:r>
        <w:rPr>
          <w:rFonts w:hint="eastAsia"/>
          <w:sz w:val="24"/>
        </w:rPr>
        <w:t xml:space="preserve">参照</w:t>
      </w:r>
      <w:r>
        <w:rPr>
          <w:sz w:val="24"/>
        </w:rPr>
        <w:t xml:space="preserve">采购包</w:t>
      </w:r>
      <w:r>
        <w:rPr>
          <w:sz w:val="24"/>
        </w:rPr>
        <w:t xml:space="preserve">1</w:t>
      </w:r>
      <w:r>
        <w:rPr>
          <w:sz w:val="24"/>
        </w:rPr>
        <w:t xml:space="preserve">内的服务目录。</w:t>
      </w:r>
      <w:r/>
    </w:p>
    <w:p>
      <w:pPr>
        <w:pStyle w:val="836"/>
        <w:ind w:firstLine="480"/>
        <w:spacing w:line="360" w:lineRule="auto"/>
        <w:rPr>
          <w:sz w:val="24"/>
        </w:rPr>
      </w:pPr>
      <w:r>
        <w:rPr>
          <w:sz w:val="24"/>
        </w:rPr>
      </w:r>
      <w:r/>
    </w:p>
    <w:p>
      <w:pPr>
        <w:pStyle w:val="836"/>
        <w:spacing w:line="360" w:lineRule="auto"/>
        <w:rPr>
          <w:b/>
          <w:sz w:val="24"/>
        </w:rPr>
      </w:pPr>
      <w:r>
        <w:rPr>
          <w:rFonts w:hint="eastAsia"/>
          <w:b/>
          <w:sz w:val="24"/>
        </w:rPr>
        <w:t xml:space="preserve">（四）项目组人员要求</w:t>
      </w:r>
      <w:r/>
    </w:p>
    <w:p>
      <w:pPr>
        <w:pStyle w:val="836"/>
        <w:ind w:firstLine="480"/>
        <w:spacing w:line="360" w:lineRule="auto"/>
        <w:widowControl/>
      </w:pPr>
      <w:r>
        <w:rPr>
          <w:rStyle w:val="887"/>
          <w:rFonts w:hint="eastAsia"/>
        </w:rPr>
        <w:t xml:space="preserve">依据本项目建设需求，投标人应提交项目建设运维人员配置清单，具体要求如下：（</w:t>
      </w:r>
      <w:r>
        <w:rPr>
          <w:rStyle w:val="887"/>
          <w:rFonts w:hint="eastAsia"/>
        </w:rPr>
        <w:t xml:space="preserve">1</w:t>
      </w:r>
      <w:r>
        <w:rPr>
          <w:rStyle w:val="887"/>
          <w:rFonts w:hint="eastAsia"/>
        </w:rPr>
        <w:t xml:space="preserve">）项目组负责人</w:t>
      </w:r>
      <w:r>
        <w:rPr>
          <w:rStyle w:val="887"/>
          <w:rFonts w:hint="eastAsia"/>
        </w:rPr>
        <w:t xml:space="preserve">1</w:t>
      </w:r>
      <w:r>
        <w:rPr>
          <w:rStyle w:val="887"/>
          <w:rFonts w:hint="eastAsia"/>
        </w:rPr>
        <w:t xml:space="preserve">名；（</w:t>
      </w:r>
      <w:r>
        <w:rPr>
          <w:rStyle w:val="887"/>
          <w:rFonts w:hint="eastAsia"/>
        </w:rPr>
        <w:t xml:space="preserve">2</w:t>
      </w:r>
      <w:r>
        <w:rPr>
          <w:rStyle w:val="887"/>
          <w:rFonts w:hint="eastAsia"/>
        </w:rPr>
        <w:t xml:space="preserve">）技术负责人</w:t>
      </w:r>
      <w:r>
        <w:rPr>
          <w:rStyle w:val="887"/>
          <w:rFonts w:hint="eastAsia"/>
        </w:rPr>
        <w:t xml:space="preserve">1</w:t>
      </w:r>
      <w:r>
        <w:rPr>
          <w:rStyle w:val="887"/>
          <w:rFonts w:hint="eastAsia"/>
        </w:rPr>
        <w:t xml:space="preserve">名；（</w:t>
      </w:r>
      <w:r>
        <w:rPr>
          <w:rStyle w:val="887"/>
          <w:rFonts w:hint="eastAsia"/>
        </w:rPr>
        <w:t xml:space="preserve">3</w:t>
      </w:r>
      <w:r>
        <w:rPr>
          <w:rStyle w:val="887"/>
          <w:rFonts w:hint="eastAsia"/>
        </w:rPr>
        <w:t xml:space="preserve">）实施负责人</w:t>
      </w:r>
      <w:r>
        <w:rPr>
          <w:rStyle w:val="887"/>
          <w:rFonts w:hint="eastAsia"/>
        </w:rPr>
        <w:t xml:space="preserve">1</w:t>
      </w:r>
      <w:r>
        <w:rPr>
          <w:rStyle w:val="887"/>
          <w:rFonts w:hint="eastAsia"/>
        </w:rPr>
        <w:t xml:space="preserve">名；（</w:t>
      </w:r>
      <w:r>
        <w:rPr>
          <w:rStyle w:val="887"/>
          <w:rFonts w:hint="eastAsia"/>
        </w:rPr>
        <w:t xml:space="preserve">4</w:t>
      </w:r>
      <w:r>
        <w:rPr>
          <w:rStyle w:val="887"/>
          <w:rFonts w:hint="eastAsia"/>
        </w:rPr>
        <w:t xml:space="preserve">）</w:t>
      </w:r>
      <w:r>
        <w:rPr>
          <w:rFonts w:hint="eastAsia"/>
          <w:sz w:val="24"/>
        </w:rPr>
        <w:t xml:space="preserve">管理及</w:t>
      </w:r>
      <w:r>
        <w:rPr>
          <w:rStyle w:val="887"/>
          <w:rFonts w:hint="eastAsia"/>
        </w:rPr>
        <w:t xml:space="preserve">运维人员不少于</w:t>
      </w:r>
      <w:r>
        <w:rPr>
          <w:rStyle w:val="887"/>
          <w:rFonts w:hint="eastAsia"/>
        </w:rPr>
        <w:t xml:space="preserve">2</w:t>
      </w:r>
      <w:r>
        <w:rPr>
          <w:rStyle w:val="887"/>
          <w:rFonts w:hint="eastAsia"/>
        </w:rPr>
        <w:t xml:space="preserve">名。投标文件中须提供由投标人（或其下属分支机构）为项目组人员缴纳的、投标截止时间前六个月内任意一个月的社保证明，并加盖投标人公章。</w:t>
      </w:r>
      <w:r/>
    </w:p>
    <w:p>
      <w:pPr>
        <w:pStyle w:val="836"/>
        <w:ind w:firstLine="480"/>
        <w:spacing w:line="360" w:lineRule="auto"/>
        <w:widowControl/>
      </w:pPr>
      <w:r>
        <w:rPr>
          <w:rStyle w:val="887"/>
          <w:rFonts w:hint="eastAsia"/>
        </w:rPr>
        <w:t xml:space="preserve">本项目配置核心专职人员</w:t>
      </w:r>
      <w:r>
        <w:rPr>
          <w:rStyle w:val="887"/>
          <w:rFonts w:hint="eastAsia"/>
        </w:rPr>
        <w:t xml:space="preserve">3</w:t>
      </w:r>
      <w:r>
        <w:rPr>
          <w:rStyle w:val="887"/>
          <w:rFonts w:hint="eastAsia"/>
        </w:rPr>
        <w:t xml:space="preserve">名，分别为项目负责人、技术负责人及实施负责人，三人通过分工协作完成全流程运维保障工作，各岗位职责说明如下：</w:t>
      </w:r>
      <w:r/>
    </w:p>
    <w:p>
      <w:pPr>
        <w:pStyle w:val="881"/>
        <w:ind w:firstLine="480"/>
        <w:spacing w:line="360" w:lineRule="auto"/>
        <w:rPr>
          <w:rStyle w:val="887"/>
          <w:rFonts w:ascii="Times New Roman" w:hAnsi="Times New Roman"/>
        </w:rPr>
      </w:pPr>
      <w:r>
        <w:rPr>
          <w:rStyle w:val="887"/>
          <w:rFonts w:hint="eastAsia" w:ascii="Times New Roman" w:hAnsi="Times New Roman"/>
        </w:rPr>
        <w:t xml:space="preserve">项目负责人负责运维保障项目的整体管理工作，包括对接甲方单位，统筹运维需求对接、进度管控、问题协调、运维方案实施、人员调度、台账及运维报告编制，把控整体服务质量，处理重大运维事件的沟通对接事宜。</w:t>
      </w:r>
      <w:r/>
    </w:p>
    <w:p>
      <w:pPr>
        <w:pStyle w:val="881"/>
        <w:ind w:firstLine="480"/>
        <w:spacing w:line="360" w:lineRule="auto"/>
        <w:rPr>
          <w:rStyle w:val="887"/>
          <w:rFonts w:ascii="Times New Roman" w:hAnsi="Times New Roman"/>
        </w:rPr>
      </w:pPr>
      <w:r>
        <w:rPr>
          <w:rStyle w:val="887"/>
          <w:rFonts w:hint="eastAsia" w:ascii="Times New Roman" w:hAnsi="Times New Roman"/>
        </w:rPr>
        <w:t xml:space="preserve">技术负责人负责存量运维（同城异地备份）底层平台的技术支撑工作，统筹云资源、服务器、存储、网络、安全设备等技术运维事务，排查处置云平台疑难故障，制定运维技术规范，优化云资源架构，组织技术巡检与应急技术处置，把控运维技术风险。</w:t>
      </w:r>
      <w:r/>
    </w:p>
    <w:p>
      <w:pPr>
        <w:pStyle w:val="881"/>
        <w:ind w:firstLine="480"/>
        <w:spacing w:line="360" w:lineRule="auto"/>
      </w:pPr>
      <w:r>
        <w:rPr>
          <w:rStyle w:val="887"/>
          <w:rFonts w:hint="eastAsia" w:ascii="Times New Roman" w:hAnsi="Times New Roman"/>
        </w:rPr>
        <w:t xml:space="preserve">实施负责人负责落实日常运维实操工作，具体开展备份开通、配置调整、日常巡检、系统备份、故障现场处置、业务系统保障、运维工单执行、日志记录、设备日常维护等一线实施操作，确保各项运维任务落地执行。</w:t>
      </w:r>
      <w:r/>
    </w:p>
    <w:p>
      <w:pPr>
        <w:jc w:val="left"/>
        <w:spacing w:line="360" w:lineRule="auto"/>
        <w:rPr>
          <w:rFonts w:ascii="宋体" w:hAnsi="宋体"/>
          <w:sz w:val="24"/>
          <w:szCs w:val="24"/>
          <w:highlight w:val="yellow"/>
        </w:rPr>
      </w:pPr>
      <w:r>
        <w:rPr>
          <w:rFonts w:ascii="宋体" w:hAnsi="宋体"/>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二、商务要求</w:t>
      </w:r>
      <w:r/>
    </w:p>
    <w:p>
      <w:pPr>
        <w:ind w:firstLine="482"/>
        <w:jc w:val="left"/>
        <w:spacing w:line="360" w:lineRule="auto"/>
        <w:rPr>
          <w:rFonts w:ascii="宋体" w:hAnsi="宋体"/>
          <w:b/>
          <w:bCs/>
          <w:sz w:val="24"/>
          <w:szCs w:val="24"/>
        </w:rPr>
      </w:pPr>
      <w:r>
        <w:rPr>
          <w:rFonts w:hint="eastAsia" w:ascii="宋体" w:hAnsi="宋体"/>
          <w:b/>
          <w:bCs/>
          <w:sz w:val="24"/>
          <w:szCs w:val="24"/>
        </w:rPr>
        <w:t xml:space="preserve">1、服务期限：</w:t>
      </w:r>
      <w:r>
        <w:rPr>
          <w:rFonts w:hint="eastAsia" w:ascii="宋体" w:hAnsi="宋体" w:cs="宋体"/>
          <w:sz w:val="24"/>
          <w:szCs w:val="24"/>
        </w:rPr>
        <w:t xml:space="preserve">采购三年运维服务，采一定二，合同一年一签。</w:t>
      </w:r>
      <w:r/>
    </w:p>
    <w:p>
      <w:pPr>
        <w:ind w:firstLine="482"/>
        <w:jc w:val="left"/>
        <w:spacing w:line="360" w:lineRule="auto"/>
        <w:rPr>
          <w:rFonts w:ascii="宋体" w:hAnsi="宋体"/>
          <w:sz w:val="24"/>
        </w:rPr>
      </w:pPr>
      <w:r>
        <w:rPr>
          <w:rFonts w:hint="eastAsia" w:ascii="宋体" w:hAnsi="宋体"/>
          <w:b/>
          <w:bCs/>
          <w:sz w:val="24"/>
          <w:szCs w:val="24"/>
        </w:rPr>
        <w:t xml:space="preserve">2、服务地点：</w:t>
      </w:r>
      <w:r>
        <w:rPr>
          <w:rFonts w:hint="eastAsia" w:ascii="宋体" w:hAnsi="宋体"/>
          <w:bCs/>
          <w:sz w:val="24"/>
        </w:rPr>
        <w:t xml:space="preserve">宜兴市市域社会治理现代化指挥中心</w:t>
      </w:r>
      <w:r>
        <w:rPr>
          <w:rFonts w:hint="eastAsia" w:ascii="宋体" w:hAnsi="宋体"/>
          <w:bCs/>
          <w:sz w:val="24"/>
        </w:rPr>
        <w:t xml:space="preserve">。</w:t>
      </w:r>
      <w:r/>
    </w:p>
    <w:p>
      <w:pPr>
        <w:ind w:firstLine="482"/>
        <w:jc w:val="left"/>
        <w:spacing w:line="360" w:lineRule="auto"/>
        <w:rPr>
          <w:rFonts w:ascii="宋体" w:hAnsi="宋体"/>
          <w:sz w:val="24"/>
        </w:rPr>
      </w:pPr>
      <w:r>
        <w:rPr>
          <w:rFonts w:hint="eastAsia" w:ascii="宋体" w:hAnsi="宋体"/>
          <w:b/>
          <w:bCs/>
          <w:sz w:val="24"/>
          <w:szCs w:val="24"/>
        </w:rPr>
        <w:t xml:space="preserve">3、验收标准：</w:t>
      </w:r>
      <w:r>
        <w:rPr>
          <w:rFonts w:hint="eastAsia" w:ascii="宋体" w:hAnsi="宋体"/>
          <w:sz w:val="24"/>
        </w:rPr>
        <w:t xml:space="preserve">采购人根据国家有关规定、招投标文件以及合同约定的内容于 合同签订后30个工作日内组织验收，具体验收办法详见《江苏省政府采购履约验收管理办法》的通知（</w:t>
      </w:r>
      <w:bookmarkStart w:id="98" w:name="OLE_LINK7"/>
      <w:r/>
      <w:bookmarkStart w:id="99" w:name="OLE_LINK15"/>
      <w:r>
        <w:rPr>
          <w:rFonts w:hint="eastAsia" w:ascii="宋体" w:hAnsi="宋体"/>
          <w:sz w:val="24"/>
        </w:rPr>
        <w:t xml:space="preserve">苏财规〔2024〕7号</w:t>
      </w:r>
      <w:bookmarkEnd w:id="98"/>
      <w:r/>
      <w:bookmarkEnd w:id="99"/>
      <w:r>
        <w:rPr>
          <w:rFonts w:hint="eastAsia" w:ascii="宋体" w:hAnsi="宋体"/>
          <w:sz w:val="24"/>
        </w:rPr>
        <w:t xml:space="preserve">）。供应商需对无锡市政务云骨干节点宜兴存量资源，提供专业、规范且全面的运维服务，同时提供同城异地备份服务，确保数据资源完好无损。</w:t>
      </w:r>
      <w:r/>
    </w:p>
    <w:p>
      <w:pPr>
        <w:ind w:firstLine="482"/>
        <w:jc w:val="left"/>
        <w:spacing w:line="360" w:lineRule="auto"/>
        <w:rPr>
          <w:rFonts w:ascii="宋体" w:hAnsi="宋体"/>
          <w:b/>
          <w:bCs/>
          <w:sz w:val="24"/>
          <w:szCs w:val="24"/>
        </w:rPr>
      </w:pPr>
      <w:r>
        <w:rPr>
          <w:rFonts w:hint="eastAsia" w:ascii="宋体" w:hAnsi="宋体"/>
          <w:b/>
          <w:bCs/>
          <w:sz w:val="24"/>
          <w:szCs w:val="24"/>
        </w:rPr>
        <w:t xml:space="preserve">4、付款步骤：</w:t>
      </w:r>
      <w:r>
        <w:rPr>
          <w:rFonts w:hint="eastAsia" w:ascii="宋体" w:hAnsi="宋体"/>
          <w:sz w:val="24"/>
        </w:rPr>
        <w:t xml:space="preserve">甲方于每年6月和11月核对资源</w:t>
      </w:r>
      <w:r>
        <w:rPr>
          <w:rFonts w:hint="eastAsia" w:ascii="宋体" w:hAnsi="宋体"/>
          <w:sz w:val="24"/>
        </w:rPr>
        <w:t xml:space="preserve">使用情况，根据实际使用的云服务产品类型、数量和使用时间按中标单价结算半年度费用。</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w:t>
      </w:r>
      <w:bookmarkStart w:id="100" w:name="_Hlk160720028"/>
      <w:r>
        <w:rPr>
          <w:rFonts w:hint="eastAsia" w:ascii="宋体" w:hAnsi="宋体"/>
          <w:b/>
          <w:bCs/>
          <w:sz w:val="24"/>
          <w:szCs w:val="24"/>
        </w:rPr>
        <w:t xml:space="preserve">实质性要求</w:t>
      </w:r>
      <w:bookmarkEnd w:id="100"/>
      <w:r/>
      <w:r/>
    </w:p>
    <w:p>
      <w:pPr>
        <w:ind w:firstLine="480"/>
        <w:jc w:val="left"/>
        <w:spacing w:line="360" w:lineRule="auto"/>
        <w:rPr>
          <w:rFonts w:ascii="宋体" w:hAnsi="宋体"/>
          <w:sz w:val="24"/>
        </w:rPr>
      </w:pPr>
      <w:r/>
      <w:bookmarkStart w:id="101" w:name="_Hlk160720671"/>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sz w:val="24"/>
        </w:rPr>
      </w:pPr>
      <w:r>
        <w:rPr>
          <w:rFonts w:ascii="宋体" w:hAnsi="宋体"/>
          <w:sz w:val="24"/>
        </w:rPr>
      </w:r>
      <w:r/>
    </w:p>
    <w:p>
      <w:pPr>
        <w:jc w:val="center"/>
        <w:rPr>
          <w:rFonts w:ascii="黑体" w:hAnsi="黑体" w:eastAsia="黑体"/>
          <w:sz w:val="36"/>
          <w:szCs w:val="36"/>
        </w:rPr>
        <w:outlineLvl w:val="0"/>
      </w:pPr>
      <w:r/>
      <w:bookmarkStart w:id="102" w:name="_Toc23355"/>
      <w:r/>
      <w:bookmarkEnd w:id="88"/>
      <w:r/>
      <w:bookmarkEnd w:id="101"/>
      <w:r>
        <w:rPr>
          <w:rFonts w:hint="eastAsia" w:ascii="黑体" w:hAnsi="黑体" w:eastAsia="黑体"/>
          <w:sz w:val="28"/>
        </w:rPr>
        <w:br w:type="page" w:clear="all"/>
      </w:r>
      <w:bookmarkStart w:id="103" w:name="_Toc157174691"/>
      <w:r/>
      <w:bookmarkStart w:id="104" w:name="_Toc2535"/>
      <w:r/>
      <w:bookmarkStart w:id="105" w:name="_Toc526779129"/>
      <w:r/>
      <w:bookmarkStart w:id="106" w:name="_Toc5576"/>
      <w:r/>
      <w:bookmarkStart w:id="107" w:name="_Toc487900374"/>
      <w:r/>
      <w:bookmarkEnd w:id="102"/>
      <w:r>
        <w:rPr>
          <w:rFonts w:hint="eastAsia" w:ascii="黑体" w:hAnsi="黑体" w:eastAsia="黑体"/>
          <w:sz w:val="36"/>
          <w:szCs w:val="36"/>
        </w:rPr>
        <w:t xml:space="preserve">第四章 评标方法和标准</w:t>
      </w:r>
      <w:bookmarkEnd w:id="103"/>
      <w:r/>
      <w:r/>
    </w:p>
    <w:p>
      <w:pPr>
        <w:ind w:firstLine="482"/>
        <w:spacing w:line="500" w:lineRule="exact"/>
        <w:rPr>
          <w:rFonts w:ascii="宋体" w:hAnsi="宋体"/>
          <w:b/>
          <w:sz w:val="24"/>
          <w:szCs w:val="28"/>
        </w:rPr>
      </w:pPr>
      <w:r/>
      <w:bookmarkStart w:id="108" w:name="_Hlk160542436"/>
      <w:r>
        <w:rPr>
          <w:rFonts w:hint="eastAsia" w:ascii="宋体" w:hAnsi="宋体"/>
          <w:b/>
          <w:sz w:val="24"/>
          <w:szCs w:val="28"/>
        </w:rPr>
        <w:t xml:space="preserve">本采购项目分为2个采购包，评审时按照先“采购包1”后“采购包2”的顺序依次进行。投标人</w:t>
      </w:r>
      <w:r>
        <w:rPr>
          <w:rFonts w:hint="eastAsia" w:ascii="宋体" w:hAnsi="宋体"/>
          <w:b/>
          <w:color w:val="000000"/>
          <w:sz w:val="24"/>
          <w:szCs w:val="24"/>
        </w:rPr>
        <w:t xml:space="preserve">可根据自身情况，</w:t>
      </w:r>
      <w:r>
        <w:rPr>
          <w:rFonts w:hint="eastAsia" w:ascii="宋体" w:hAnsi="宋体"/>
          <w:b/>
          <w:sz w:val="24"/>
          <w:szCs w:val="28"/>
        </w:rPr>
        <w:t xml:space="preserve">选择任意一个或多个采购包进行投标，分别报价，分别中标。</w:t>
      </w:r>
      <w:r/>
    </w:p>
    <w:p>
      <w:pPr>
        <w:pStyle w:val="860"/>
        <w:numPr>
          <w:ilvl w:val="0"/>
          <w:numId w:val="6"/>
        </w:numPr>
        <w:ind w:firstLine="0"/>
        <w:spacing w:line="500" w:lineRule="exact"/>
        <w:rPr>
          <w:rFonts w:cs="Arial"/>
          <w:b/>
          <w:sz w:val="30"/>
          <w:szCs w:val="30"/>
        </w:rPr>
      </w:pPr>
      <w:r>
        <w:rPr>
          <w:rFonts w:hint="eastAsia" w:cs="Arial"/>
          <w:b/>
          <w:sz w:val="30"/>
          <w:szCs w:val="30"/>
        </w:rPr>
        <w:t xml:space="preserve"> </w:t>
      </w:r>
      <w:r>
        <w:rPr>
          <w:rFonts w:hint="eastAsia" w:cs="Arial"/>
          <w:b/>
          <w:sz w:val="30"/>
          <w:szCs w:val="30"/>
        </w:rPr>
        <w:t xml:space="preserve">评标方法</w:t>
      </w:r>
      <w:r/>
    </w:p>
    <w:p>
      <w:pPr>
        <w:pStyle w:val="860"/>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860"/>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860"/>
        <w:spacing w:before="0" w:after="0" w:line="500" w:lineRule="exact"/>
        <w:rPr>
          <w:rFonts w:ascii="宋体" w:hAnsi="宋体"/>
          <w:b/>
        </w:rPr>
      </w:pPr>
      <w:r>
        <w:rPr>
          <w:rFonts w:hint="eastAsia" w:ascii="宋体" w:hAnsi="宋体"/>
          <w:b/>
        </w:rPr>
        <w:t xml:space="preserve">3、落实政府采购政策的价格调整。</w:t>
      </w:r>
      <w:r>
        <w:rPr>
          <w:rFonts w:hint="eastAsia" w:ascii="宋体" w:hAnsi="宋体"/>
          <w:bCs/>
        </w:rPr>
        <w:t xml:space="preserve">详见“第二章 投标人须知”中“3.6 政府采购支持中小企业发展”。</w:t>
      </w:r>
      <w:r/>
    </w:p>
    <w:p>
      <w:pPr>
        <w:ind w:firstLine="480"/>
        <w:jc w:val="left"/>
        <w:spacing w:line="500" w:lineRule="exact"/>
        <w:rPr>
          <w:rFonts w:ascii="宋体" w:hAnsi="宋体"/>
          <w:bCs/>
          <w:sz w:val="24"/>
          <w:szCs w:val="24"/>
        </w:rPr>
      </w:pPr>
      <w:r>
        <w:rPr>
          <w:rFonts w:hint="eastAsia" w:ascii="宋体" w:hAnsi="宋体"/>
          <w:b/>
          <w:bCs/>
          <w:sz w:val="24"/>
          <w:szCs w:val="24"/>
        </w:rPr>
        <w:t xml:space="preserve">3.1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10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jc w:val="cente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860"/>
        <w:numPr>
          <w:ilvl w:val="0"/>
          <w:numId w:val="6"/>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b/>
          <w:sz w:val="30"/>
          <w:szCs w:val="30"/>
        </w:rPr>
      </w:pPr>
      <w:r/>
      <w:bookmarkStart w:id="109" w:name="_Hlk160542197"/>
      <w:r>
        <w:rPr>
          <w:rFonts w:hint="eastAsia" w:ascii="宋体" w:hAnsi="宋体"/>
          <w:b/>
          <w:sz w:val="30"/>
          <w:szCs w:val="30"/>
        </w:rPr>
        <w:t xml:space="preserve">采购包1：</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85分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15分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bookmarkStart w:id="110" w:name="OLE_LINK8"/>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存量运维需求理解与分析</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从投标人对本存量运维项目现状的理解、认识以及总体思路，目标定位和需求的理解和把握；能从业务和技术的角度出发，对本项目的总体难点、要点的分析和把握进行评审。</w:t>
            </w:r>
            <w:r/>
          </w:p>
          <w:p>
            <w:pPr>
              <w:jc w:val="left"/>
              <w:rPr>
                <w:rFonts w:ascii="宋体" w:hAnsi="宋体" w:cs="宋体"/>
                <w:sz w:val="24"/>
                <w:szCs w:val="24"/>
              </w:rPr>
            </w:pPr>
            <w:r>
              <w:rPr>
                <w:rFonts w:hint="eastAsia" w:ascii="宋体" w:hAnsi="宋体" w:cs="宋体"/>
                <w:sz w:val="24"/>
                <w:szCs w:val="24"/>
              </w:rPr>
              <w:t xml:space="preserve">内容完整、详细、表述清晰、科学合理、切实可行，符合采购需求，得10分；内容基本完整、表述基本清晰，方法基本可行，基本符合采购需求，得7分；内容不完整、表述不清晰或可行性不足，得4分；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存量机房基础设施运维方案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对投标人所提供的存量机房基础设施运维方案（涵盖但不限于机房电力保障、UPS系统保障、消防保障、温湿度保障等）开展评审工作。</w:t>
            </w:r>
            <w:r/>
          </w:p>
          <w:p>
            <w:pPr>
              <w:jc w:val="left"/>
              <w:rPr>
                <w:rFonts w:ascii="宋体" w:hAnsi="宋体" w:cs="宋体"/>
                <w:sz w:val="24"/>
                <w:szCs w:val="24"/>
              </w:rPr>
            </w:pPr>
            <w:r>
              <w:rPr>
                <w:rFonts w:hint="eastAsia" w:ascii="宋体" w:hAnsi="宋体" w:cs="宋体"/>
                <w:sz w:val="24"/>
                <w:szCs w:val="24"/>
              </w:rPr>
              <w:t xml:space="preserve">方案具备科学性与合理性，内容具体详尽，且具有较强的可操作性，符合采购需求，得10分；方案的科学合理性处于一般水平，不够具体详尽，可操作性一般，基本符合采购需求，得7分；方案的科学合理性较差，内容不具体详尽，可操作性不佳，得4分；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基础设施即服务（IaaS）保障方案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承载存量信息系统的基础设施即服务（IaaS）响应方案（涵盖业务分区要求、业务管理功能要求、服务要求（包含存量计算资源服务、存储资源服务、网络资源服务、虚拟数据中心、硬件托管服务）、组网要求的响应）开展评审。</w:t>
            </w:r>
            <w:r/>
          </w:p>
          <w:p>
            <w:pPr>
              <w:jc w:val="left"/>
              <w:rPr>
                <w:rFonts w:ascii="宋体" w:hAnsi="宋体" w:cs="宋体"/>
                <w:sz w:val="24"/>
                <w:szCs w:val="24"/>
              </w:rPr>
            </w:pPr>
            <w:r>
              <w:rPr>
                <w:rFonts w:hint="eastAsia" w:ascii="宋体" w:hAnsi="宋体" w:cs="宋体"/>
                <w:sz w:val="24"/>
                <w:szCs w:val="24"/>
              </w:rPr>
              <w:t xml:space="preserve">方案具备科学性与合理性，内容具体详尽，具有较强的可操作性，契合采购需求的，得10分；方案的科学合理性处于一般水平，不够具体详尽，可操作性一般，基本符合采购需求的，得7分；方案的科学合理性较差，内容不具体详尽，可操作性欠佳，得4分；</w:t>
            </w:r>
            <w:r/>
          </w:p>
          <w:p>
            <w:pPr>
              <w:jc w:val="left"/>
              <w:rPr>
                <w:rFonts w:ascii="宋体" w:hAnsi="宋体" w:cs="宋体"/>
                <w:sz w:val="24"/>
                <w:szCs w:val="24"/>
              </w:rPr>
            </w:pPr>
            <w:r>
              <w:rPr>
                <w:rFonts w:hint="eastAsia" w:ascii="宋体" w:hAnsi="宋体" w:cs="宋体"/>
                <w:sz w:val="24"/>
                <w:szCs w:val="24"/>
              </w:rPr>
              <w:t xml:space="preserve">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信息安全要求响应方案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对投标人所提供的信息安全响应方案（涵盖但不限于对网络安全等级保护定级要求、网络安全等级保护基本要求、云平台安全技术要求、云租户安全技术要求的响应）开展评审工作。</w:t>
            </w:r>
            <w:r/>
          </w:p>
          <w:p>
            <w:pPr>
              <w:jc w:val="left"/>
              <w:rPr>
                <w:rFonts w:ascii="宋体" w:hAnsi="宋体" w:cs="宋体"/>
                <w:sz w:val="24"/>
                <w:szCs w:val="24"/>
              </w:rPr>
            </w:pPr>
            <w:r>
              <w:rPr>
                <w:rFonts w:hint="eastAsia" w:ascii="宋体" w:hAnsi="宋体" w:cs="宋体"/>
                <w:sz w:val="24"/>
                <w:szCs w:val="24"/>
              </w:rPr>
              <w:t xml:space="preserve">方案具备科学性与合理性，内容具体详尽，且具有较强的可操作性，符合采购需求，得8分；方案的科学合理性一般，内容不够具体详尽，可操作性一般，基本符合采购需求的，得5分；方案的科学合理性较差，内容不具体详尽，可操作性欠佳，得3分；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项目组织保障方案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对投标人所提供的项目组织保障方案（涵盖但不限于运维管理范围的界定、运维职责、管理运行机制、运维团队、应急响应机制等要求的响应情况）展开评审。</w:t>
            </w:r>
            <w:r/>
          </w:p>
          <w:p>
            <w:pPr>
              <w:jc w:val="left"/>
              <w:rPr>
                <w:rFonts w:ascii="宋体" w:hAnsi="宋体" w:cs="宋体"/>
                <w:sz w:val="24"/>
                <w:szCs w:val="24"/>
              </w:rPr>
            </w:pPr>
            <w:r>
              <w:rPr>
                <w:rFonts w:hint="eastAsia" w:ascii="宋体" w:hAnsi="宋体" w:cs="宋体"/>
                <w:sz w:val="24"/>
                <w:szCs w:val="24"/>
              </w:rPr>
              <w:t xml:space="preserve">方案具备科学性与合理性，内容具体详尽，可操作性较强，契合采购需求的，得8分；</w:t>
            </w:r>
            <w:r/>
          </w:p>
          <w:p>
            <w:pPr>
              <w:jc w:val="left"/>
              <w:rPr>
                <w:rFonts w:ascii="宋体" w:hAnsi="宋体" w:cs="宋体"/>
                <w:sz w:val="24"/>
                <w:szCs w:val="24"/>
              </w:rPr>
            </w:pPr>
            <w:r>
              <w:rPr>
                <w:rFonts w:hint="eastAsia" w:ascii="宋体" w:hAnsi="宋体" w:cs="宋体"/>
                <w:sz w:val="24"/>
                <w:szCs w:val="24"/>
              </w:rPr>
              <w:t xml:space="preserve">方案的科学合理性处于一般水平，不够具体详尽，可操作性一般，基本符合采购需求的，得5分；方案科学合理性欠佳，内容不具体详尽，可操作性较差，得3分；其他情况不得分。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容灾备份运维方案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对投标人所制定的备份系统运维方案（包含但不限于包含备份验证、恢复演练、租户接口维护等）进行评审，具体评审标准如下。</w:t>
            </w:r>
            <w:r/>
          </w:p>
          <w:p>
            <w:pPr>
              <w:jc w:val="left"/>
              <w:rPr>
                <w:rFonts w:ascii="宋体" w:hAnsi="宋体" w:cs="宋体"/>
                <w:sz w:val="24"/>
                <w:szCs w:val="24"/>
              </w:rPr>
            </w:pPr>
            <w:r>
              <w:rPr>
                <w:rFonts w:hint="eastAsia" w:ascii="宋体" w:hAnsi="宋体" w:cs="宋体"/>
                <w:sz w:val="24"/>
                <w:szCs w:val="24"/>
              </w:rPr>
              <w:t xml:space="preserve">方案科学合理、具体详尽且具备较强可操作性，符合采购需求，得8分；方案科学合理性一般，不够具体详尽，可操作性一般，基本符合采购需求，得5分；方案科学合理性较差，缺乏具体详尽内容，可操作性差，得3分；其他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对投标人所提供的项目管理方案（涵盖但不限于组织机构与人员管理要求、人员培训计划要求的响应）予以评审。</w:t>
            </w:r>
            <w:r/>
          </w:p>
          <w:p>
            <w:pPr>
              <w:jc w:val="left"/>
              <w:rPr>
                <w:rFonts w:ascii="宋体" w:hAnsi="宋体" w:cs="宋体"/>
                <w:sz w:val="24"/>
                <w:szCs w:val="24"/>
              </w:rPr>
            </w:pPr>
            <w:r>
              <w:rPr>
                <w:rFonts w:hint="eastAsia" w:ascii="宋体" w:hAnsi="宋体" w:cs="宋体"/>
                <w:sz w:val="24"/>
                <w:szCs w:val="24"/>
              </w:rPr>
              <w:t xml:space="preserve">方案具备科学性与合理性，内容具体详尽，可操作性较强，契合采购需求的，得8分；</w:t>
            </w:r>
            <w:r/>
          </w:p>
          <w:p>
            <w:pPr>
              <w:jc w:val="left"/>
              <w:rPr>
                <w:rFonts w:ascii="宋体" w:hAnsi="宋体" w:cs="宋体"/>
                <w:sz w:val="24"/>
                <w:szCs w:val="24"/>
              </w:rPr>
            </w:pPr>
            <w:r>
              <w:rPr>
                <w:rFonts w:hint="eastAsia" w:ascii="宋体" w:hAnsi="宋体" w:cs="宋体"/>
                <w:sz w:val="24"/>
                <w:szCs w:val="24"/>
              </w:rPr>
              <w:t xml:space="preserve">方案的科学合理性处于一般水平，不够具体详尽，可操作性一般，基本符合采购需求的，得5分；方案的科学合理性欠佳，内容不具体详尽，可操作性差，得3分；其他情况不得分。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运维项目验收方案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对投标人所提供的项目验收方案（涵盖但不限于运维服务验收标准、服务考核评分标准内容、服务标准考核细则以及对验收流程的响应）展开评审。</w:t>
            </w:r>
            <w:r/>
          </w:p>
          <w:p>
            <w:pPr>
              <w:jc w:val="left"/>
              <w:rPr>
                <w:rFonts w:ascii="宋体" w:hAnsi="宋体" w:cs="宋体"/>
                <w:sz w:val="24"/>
                <w:szCs w:val="24"/>
              </w:rPr>
            </w:pPr>
            <w:r>
              <w:rPr>
                <w:rFonts w:hint="eastAsia" w:ascii="宋体" w:hAnsi="宋体" w:cs="宋体"/>
                <w:sz w:val="24"/>
                <w:szCs w:val="24"/>
              </w:rPr>
              <w:t xml:space="preserve">方案具备科学合理性，具体且详尽，具有较强的可操作性，契合采购需求的，得8分；</w:t>
            </w:r>
            <w:r/>
          </w:p>
          <w:p>
            <w:pPr>
              <w:jc w:val="left"/>
              <w:rPr>
                <w:rFonts w:ascii="宋体" w:hAnsi="宋体" w:cs="宋体"/>
                <w:sz w:val="24"/>
                <w:szCs w:val="24"/>
              </w:rPr>
            </w:pPr>
            <w:r>
              <w:rPr>
                <w:rFonts w:hint="eastAsia" w:ascii="宋体" w:hAnsi="宋体" w:cs="宋体"/>
                <w:sz w:val="24"/>
                <w:szCs w:val="24"/>
              </w:rPr>
              <w:t xml:space="preserve">方案的科学合理性一般，不够具体详尽，可操作性一般，基本符合采购需求的，得5分；方案科学合理性欠佳，不具体详尽，可操作性差，得3分；其他情况不得分。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投标人自2023年1月1日至今（以合同签订时间为准），承担过类似云服务项目的，有1个得0.5分，最多得1分。</w:t>
            </w:r>
            <w:r/>
          </w:p>
          <w:p>
            <w:pPr>
              <w:jc w:val="left"/>
              <w:rPr>
                <w:rFonts w:ascii="宋体" w:hAnsi="宋体" w:cs="宋体"/>
                <w:b/>
                <w:color w:val="000000"/>
              </w:rPr>
            </w:pPr>
            <w:r>
              <w:rPr>
                <w:rFonts w:hint="eastAsia" w:ascii="宋体" w:hAnsi="宋体" w:cs="宋体"/>
                <w:b/>
                <w:sz w:val="24"/>
                <w:szCs w:val="24"/>
              </w:rPr>
              <w:t xml:space="preserve">【</w:t>
            </w:r>
            <w:r>
              <w:rPr>
                <w:rFonts w:hint="eastAsia" w:ascii="宋体" w:hAnsi="宋体" w:cs="宋体"/>
                <w:b/>
                <w:sz w:val="24"/>
                <w:szCs w:val="24"/>
              </w:rPr>
              <w:t xml:space="preserve">投标时须提供相应有效完整合同原件扫描件，未提供的不得分。</w:t>
            </w:r>
            <w:r>
              <w:rPr>
                <w:rFonts w:hint="eastAsia" w:ascii="宋体" w:hAnsi="宋体" w:cs="宋体"/>
                <w:b/>
                <w:sz w:val="24"/>
                <w:szCs w:val="24"/>
              </w:rPr>
              <w:t xml:space="preserve">】</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企业实力</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1.投标人具有有效期内信息安全管理体系认证证书的，得2分；</w:t>
            </w:r>
            <w:r/>
          </w:p>
          <w:p>
            <w:pPr>
              <w:jc w:val="left"/>
              <w:rPr>
                <w:rFonts w:ascii="宋体" w:hAnsi="宋体" w:cs="宋体"/>
                <w:sz w:val="24"/>
                <w:szCs w:val="24"/>
              </w:rPr>
            </w:pPr>
            <w:r>
              <w:rPr>
                <w:rFonts w:hint="eastAsia" w:ascii="宋体" w:hAnsi="宋体" w:cs="宋体"/>
                <w:sz w:val="24"/>
                <w:szCs w:val="24"/>
              </w:rPr>
              <w:t xml:space="preserve">2.投标人具有有效期内的信息技术服务管理体系认证证书的，得2分；</w:t>
            </w:r>
            <w:r/>
          </w:p>
          <w:p>
            <w:pPr>
              <w:jc w:val="left"/>
              <w:rPr>
                <w:rFonts w:ascii="宋体" w:hAnsi="宋体" w:cs="宋体"/>
                <w:sz w:val="24"/>
                <w:szCs w:val="24"/>
              </w:rPr>
            </w:pPr>
            <w:r>
              <w:rPr>
                <w:rFonts w:hint="eastAsia" w:ascii="宋体" w:hAnsi="宋体" w:cs="宋体"/>
                <w:sz w:val="24"/>
                <w:szCs w:val="24"/>
              </w:rPr>
              <w:t xml:space="preserve">3.投标人具有有效期内的</w:t>
            </w:r>
            <w:bookmarkStart w:id="111" w:name="OLE_LINK1"/>
            <w:r>
              <w:rPr>
                <w:rFonts w:hint="eastAsia" w:ascii="宋体" w:hAnsi="宋体" w:cs="宋体"/>
                <w:sz w:val="24"/>
                <w:szCs w:val="24"/>
              </w:rPr>
              <w:t xml:space="preserve">业务连续性管理体系认证证书</w:t>
            </w:r>
            <w:bookmarkEnd w:id="111"/>
            <w:r>
              <w:rPr>
                <w:rFonts w:hint="eastAsia" w:ascii="宋体" w:hAnsi="宋体" w:cs="宋体"/>
                <w:sz w:val="24"/>
                <w:szCs w:val="24"/>
              </w:rPr>
              <w:t xml:space="preserve">的，得2分</w:t>
            </w:r>
            <w:r>
              <w:rPr>
                <w:rFonts w:hint="eastAsia" w:ascii="宋体" w:hAnsi="宋体" w:cs="宋体"/>
                <w:sz w:val="24"/>
                <w:szCs w:val="24"/>
              </w:rPr>
              <w:t xml:space="preserve">。</w:t>
            </w:r>
            <w:r/>
          </w:p>
          <w:p>
            <w:pPr>
              <w:jc w:val="left"/>
              <w:rPr>
                <w:rFonts w:ascii="宋体" w:hAnsi="宋体" w:cs="宋体"/>
                <w:b/>
                <w:color w:val="000000"/>
              </w:rPr>
            </w:pPr>
            <w:r>
              <w:rPr>
                <w:rFonts w:hint="eastAsia" w:ascii="宋体" w:hAnsi="宋体" w:cs="宋体"/>
                <w:b/>
                <w:sz w:val="24"/>
                <w:szCs w:val="24"/>
              </w:rPr>
              <w:t xml:space="preserve">【投标时须提供相应有效证书原件扫描件，未提供的不得分。】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技术实力</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1.拟配备项目负责人1名：</w:t>
            </w:r>
            <w:r/>
          </w:p>
          <w:p>
            <w:pPr>
              <w:jc w:val="left"/>
              <w:rPr>
                <w:rFonts w:ascii="宋体" w:hAnsi="宋体" w:cs="宋体"/>
                <w:sz w:val="24"/>
                <w:szCs w:val="24"/>
              </w:rPr>
            </w:pPr>
            <w:r>
              <w:rPr>
                <w:rFonts w:hint="eastAsia" w:ascii="宋体" w:hAnsi="宋体" w:cs="宋体"/>
                <w:sz w:val="24"/>
                <w:szCs w:val="24"/>
              </w:rPr>
              <w:t xml:space="preserve">具有信息系统项目管理师证书、IT服务项目经理证（ITSS），有1个证书得1分，本项最高得2分。</w:t>
            </w:r>
            <w:r/>
          </w:p>
          <w:p>
            <w:pPr>
              <w:jc w:val="left"/>
              <w:rPr>
                <w:rFonts w:ascii="宋体" w:hAnsi="宋体" w:cs="宋体"/>
                <w:sz w:val="24"/>
                <w:szCs w:val="24"/>
              </w:rPr>
            </w:pPr>
            <w:r>
              <w:rPr>
                <w:rFonts w:hint="eastAsia" w:ascii="宋体" w:hAnsi="宋体" w:cs="宋体"/>
                <w:sz w:val="24"/>
                <w:szCs w:val="24"/>
              </w:rPr>
              <w:t xml:space="preserve">2.拟配备技术负责人1人：</w:t>
            </w:r>
            <w:r/>
          </w:p>
          <w:p>
            <w:pPr>
              <w:jc w:val="left"/>
              <w:rPr>
                <w:rFonts w:ascii="宋体" w:hAnsi="宋体" w:cs="宋体"/>
                <w:sz w:val="24"/>
                <w:szCs w:val="24"/>
              </w:rPr>
            </w:pPr>
            <w:r>
              <w:rPr>
                <w:rFonts w:hint="eastAsia" w:ascii="宋体" w:hAnsi="宋体" w:cs="宋体"/>
                <w:sz w:val="24"/>
                <w:szCs w:val="24"/>
              </w:rPr>
              <w:t xml:space="preserve">具有国家重要信息系统保护人员证书、CISP注册信息安全专业人员证书，有1个证书得1分，本项最高得2分。</w:t>
            </w:r>
            <w:r/>
          </w:p>
          <w:p>
            <w:pPr>
              <w:jc w:val="left"/>
              <w:rPr>
                <w:rFonts w:ascii="宋体" w:hAnsi="宋体" w:cs="宋体"/>
                <w:sz w:val="24"/>
                <w:szCs w:val="24"/>
              </w:rPr>
            </w:pPr>
            <w:r>
              <w:rPr>
                <w:rFonts w:hint="eastAsia" w:ascii="宋体" w:hAnsi="宋体" w:cs="宋体"/>
                <w:sz w:val="24"/>
                <w:szCs w:val="24"/>
              </w:rPr>
              <w:t xml:space="preserve">3.拟配备实施负责人1人：</w:t>
            </w:r>
            <w:r/>
          </w:p>
          <w:p>
            <w:pPr>
              <w:jc w:val="left"/>
              <w:rPr>
                <w:rFonts w:ascii="宋体" w:hAnsi="宋体" w:cs="宋体"/>
                <w:sz w:val="24"/>
                <w:szCs w:val="24"/>
              </w:rPr>
            </w:pPr>
            <w:r>
              <w:rPr>
                <w:rFonts w:hint="eastAsia" w:ascii="宋体" w:hAnsi="宋体" w:cs="宋体"/>
                <w:sz w:val="24"/>
                <w:szCs w:val="24"/>
              </w:rPr>
              <w:t xml:space="preserve">具有数据中心（机房）运维管理工程师（高级），有1个证书得1分，本项最高得1分。</w:t>
            </w:r>
            <w:r/>
          </w:p>
          <w:p>
            <w:pPr>
              <w:jc w:val="left"/>
              <w:rPr>
                <w:rFonts w:ascii="宋体" w:hAnsi="宋体" w:cs="宋体"/>
                <w:sz w:val="24"/>
                <w:szCs w:val="24"/>
              </w:rPr>
            </w:pPr>
            <w:r>
              <w:rPr>
                <w:rFonts w:hint="eastAsia" w:ascii="宋体" w:hAnsi="宋体" w:cs="宋体"/>
                <w:sz w:val="24"/>
                <w:szCs w:val="24"/>
              </w:rPr>
              <w:t xml:space="preserve">4.拟配备项目组成员（不含项目负责人、技术负责人、实施负责人）：</w:t>
            </w:r>
            <w:r/>
          </w:p>
          <w:p>
            <w:pPr>
              <w:jc w:val="left"/>
              <w:rPr>
                <w:rFonts w:ascii="宋体" w:hAnsi="宋体" w:cs="宋体"/>
                <w:sz w:val="24"/>
                <w:szCs w:val="24"/>
              </w:rPr>
            </w:pPr>
            <w:r>
              <w:rPr>
                <w:rFonts w:hint="eastAsia" w:ascii="宋体" w:hAnsi="宋体" w:cs="宋体"/>
                <w:sz w:val="24"/>
                <w:szCs w:val="24"/>
              </w:rPr>
              <w:t xml:space="preserve">具有信息系统项目管理师、ITSS服务工程师、数据中心（机房）规划设计工程师（中级及以上），每提供一类证书得1分，一人不能重复得分，本项最多得3分。</w:t>
            </w:r>
            <w:r/>
          </w:p>
          <w:p>
            <w:pPr>
              <w:jc w:val="left"/>
              <w:rPr>
                <w:rFonts w:ascii="宋体" w:hAnsi="宋体" w:cs="宋体"/>
                <w:b/>
                <w:bCs/>
              </w:rPr>
            </w:pPr>
            <w:r>
              <w:rPr>
                <w:rFonts w:hint="eastAsia" w:ascii="宋体" w:hAnsi="宋体" w:cs="宋体"/>
                <w:sz w:val="24"/>
                <w:szCs w:val="24"/>
              </w:rPr>
              <w:t xml:space="preserve">【</w:t>
            </w:r>
            <w:r>
              <w:rPr>
                <w:rFonts w:hint="eastAsia" w:ascii="宋体" w:hAnsi="宋体" w:cs="宋体"/>
                <w:b/>
                <w:sz w:val="24"/>
                <w:szCs w:val="24"/>
              </w:rPr>
              <w:t xml:space="preserve">投标时须提供人员有效证书原件扫描件和投标人为其缴纳的开标前6个月中的任意1个月（不含开标当月）的社保证明原件扫描件，未提供的不得分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/投标报价）×15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bookmarkEnd w:id="110"/>
            <w:r/>
          </w:p>
        </w:tc>
      </w:tr>
    </w:tbl>
    <w:p>
      <w:pPr>
        <w:jc w:val="left"/>
        <w:rPr>
          <w:rFonts w:ascii="宋体" w:hAnsi="宋体"/>
          <w:b/>
          <w:bCs/>
          <w:sz w:val="24"/>
          <w:szCs w:val="24"/>
        </w:rPr>
      </w:pPr>
      <w:r>
        <w:rPr>
          <w:rFonts w:ascii="宋体" w:hAnsi="宋体"/>
          <w:b/>
          <w:bCs/>
          <w:sz w:val="24"/>
          <w:szCs w:val="24"/>
        </w:rPr>
      </w:r>
      <w:bookmarkEnd w:id="108"/>
      <w:bookmarkEnd w:id="109"/>
      <w:r/>
    </w:p>
    <w:p>
      <w:pPr>
        <w:jc w:val="left"/>
        <w:spacing w:line="360" w:lineRule="auto"/>
        <w:rPr>
          <w:rFonts w:ascii="宋体" w:hAnsi="宋体"/>
          <w:b/>
          <w:sz w:val="30"/>
          <w:szCs w:val="30"/>
        </w:rPr>
      </w:pPr>
      <w:r>
        <w:rPr>
          <w:rFonts w:hint="eastAsia" w:ascii="宋体" w:hAnsi="宋体"/>
          <w:b/>
          <w:sz w:val="30"/>
          <w:szCs w:val="30"/>
        </w:rPr>
        <w:t xml:space="preserve">采购包2：</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85分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15分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云备份平台技术方案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云备份服务商应基于自建或租赁的云备份平台，在保证网络、安全、存储等系统各自独立性的前提下实现深度融合，保证整体技术架构的灵活性、先进性、合理性、高安全性和可扩展性。</w:t>
            </w:r>
            <w:r/>
          </w:p>
          <w:p>
            <w:pPr>
              <w:jc w:val="left"/>
              <w:rPr>
                <w:rFonts w:ascii="宋体" w:hAnsi="宋体" w:cs="宋体"/>
                <w:sz w:val="24"/>
                <w:szCs w:val="24"/>
              </w:rPr>
            </w:pPr>
            <w:r>
              <w:rPr>
                <w:rFonts w:hint="eastAsia" w:ascii="宋体" w:hAnsi="宋体" w:cs="宋体"/>
                <w:sz w:val="24"/>
                <w:szCs w:val="24"/>
              </w:rPr>
              <w:t xml:space="preserve">在方案中体现全面且架构合理、数据备份功能完善、可扩展性强的，得10分；在方案中体现基本合理、功能较完善的，得7分；</w:t>
            </w:r>
            <w:r/>
          </w:p>
          <w:p>
            <w:pPr>
              <w:jc w:val="left"/>
              <w:rPr>
                <w:rFonts w:ascii="宋体" w:hAnsi="宋体" w:cs="宋体"/>
                <w:sz w:val="24"/>
                <w:szCs w:val="24"/>
              </w:rPr>
            </w:pPr>
            <w:r>
              <w:rPr>
                <w:rFonts w:hint="eastAsia" w:ascii="宋体" w:hAnsi="宋体" w:cs="宋体"/>
                <w:sz w:val="24"/>
                <w:szCs w:val="24"/>
              </w:rPr>
              <w:t xml:space="preserve">在方案中体现不够全面的，得4分；其余情况不得分。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云备份机房管理方案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云备份服务商应基于自建或租赁的云备份机房，针对供电保障、备用电源、机房台账管理等内容进行承诺和描述。</w:t>
            </w:r>
            <w:r/>
          </w:p>
          <w:p>
            <w:pPr>
              <w:jc w:val="left"/>
              <w:rPr>
                <w:rFonts w:ascii="宋体" w:hAnsi="宋体" w:cs="宋体"/>
                <w:sz w:val="24"/>
                <w:szCs w:val="24"/>
              </w:rPr>
            </w:pPr>
            <w:r>
              <w:rPr>
                <w:rFonts w:hint="eastAsia" w:ascii="宋体" w:hAnsi="宋体" w:cs="宋体"/>
                <w:sz w:val="24"/>
                <w:szCs w:val="24"/>
              </w:rPr>
              <w:t xml:space="preserve">在方案中体现管理合理、功能完善的，得10分；在方案中体现基本合理、功能较完善的，得7分；在方案中体现不够全面的，得4分；其余情况不得分。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运维服务方案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云备份服务商运维服务方案：云备份服务商应提供7×24小时响应服务、承诺运维需求平均响应时间小于等于30分钟。</w:t>
            </w:r>
            <w:r/>
          </w:p>
          <w:p>
            <w:pPr>
              <w:jc w:val="left"/>
              <w:rPr>
                <w:rFonts w:ascii="宋体" w:hAnsi="宋体" w:cs="宋体"/>
                <w:sz w:val="24"/>
                <w:szCs w:val="24"/>
              </w:rPr>
            </w:pPr>
            <w:r>
              <w:rPr>
                <w:rFonts w:hint="eastAsia" w:ascii="宋体" w:hAnsi="宋体" w:cs="宋体"/>
                <w:sz w:val="24"/>
                <w:szCs w:val="24"/>
              </w:rPr>
              <w:t xml:space="preserve">在方案中体现全面且运维保障可靠的，得10分；方案体现基本全面且运维保障较好的，得7分；在方案中体现不够全面的，得4分；其余情况不得分。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应急服务方案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云备份服务商针对应急响应的技术支持、维修方案及预案等服务内容进行相关描述。</w:t>
            </w:r>
            <w:r/>
          </w:p>
          <w:p>
            <w:pPr>
              <w:jc w:val="left"/>
              <w:rPr>
                <w:rFonts w:ascii="宋体" w:hAnsi="宋体" w:cs="宋体"/>
                <w:sz w:val="24"/>
                <w:szCs w:val="24"/>
              </w:rPr>
            </w:pPr>
            <w:r>
              <w:rPr>
                <w:rFonts w:hint="eastAsia" w:ascii="宋体" w:hAnsi="宋体" w:cs="宋体"/>
                <w:sz w:val="24"/>
                <w:szCs w:val="24"/>
              </w:rPr>
              <w:t xml:space="preserve">在方案中体现内容针对性、可行性强的，得10分；方案内容较科学合理、可行性较好的，得7分；方案可行性一般的，得4分；</w:t>
            </w:r>
            <w:r/>
          </w:p>
          <w:p>
            <w:pPr>
              <w:jc w:val="left"/>
              <w:rPr>
                <w:rFonts w:ascii="宋体" w:hAnsi="宋体" w:cs="宋体"/>
                <w:sz w:val="24"/>
                <w:szCs w:val="24"/>
              </w:rPr>
            </w:pPr>
            <w:r>
              <w:rPr>
                <w:rFonts w:hint="eastAsia" w:ascii="宋体" w:hAnsi="宋体" w:cs="宋体"/>
                <w:sz w:val="24"/>
                <w:szCs w:val="24"/>
              </w:rPr>
              <w:t xml:space="preserve">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公安网专项保障服务</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云备份服务商基于自身资源，针对公安网专项保障服务进行相关描述。在方案中体现资产运维赋能、智能监控与告警治理能力。</w:t>
            </w:r>
            <w:r/>
          </w:p>
          <w:p>
            <w:pPr>
              <w:jc w:val="left"/>
              <w:rPr>
                <w:rFonts w:ascii="宋体" w:hAnsi="宋体" w:cs="宋体"/>
                <w:sz w:val="24"/>
                <w:szCs w:val="24"/>
              </w:rPr>
            </w:pPr>
            <w:r>
              <w:rPr>
                <w:rFonts w:hint="eastAsia" w:ascii="宋体" w:hAnsi="宋体" w:cs="宋体"/>
                <w:sz w:val="24"/>
                <w:szCs w:val="24"/>
              </w:rPr>
              <w:t xml:space="preserve">功能完善，针对性强的，得10分；方案功能较为合理、针对性一般的，得7分；方案不够全面的，得4分；其余情况不得分。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服务考核与质量保证</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云备份服务商应提供基于备份云平台的内部规范、规定，其内容应包含但不限于运维人员培训、人员值班管理等。</w:t>
            </w:r>
            <w:r/>
          </w:p>
          <w:p>
            <w:pPr>
              <w:jc w:val="left"/>
              <w:rPr>
                <w:rFonts w:ascii="宋体" w:hAnsi="宋体" w:cs="宋体"/>
                <w:sz w:val="24"/>
                <w:szCs w:val="24"/>
              </w:rPr>
            </w:pPr>
            <w:r>
              <w:rPr>
                <w:rFonts w:hint="eastAsia" w:ascii="宋体" w:hAnsi="宋体" w:cs="宋体"/>
                <w:sz w:val="24"/>
                <w:szCs w:val="24"/>
              </w:rPr>
              <w:t xml:space="preserve">在方案中体现全面且规范合理、突发应对得当的，得10分；在方案中体现规范合理且基本全面的，得7分；在方案中体现不够全面的，得4分；其余情况不得分。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信息安全与保密要求</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根据投标人提供的安全保障与保密管理方案，就方案中针对本项目视频与数据保密方案、日志与审计方案、安全保障制度方案等内容，进行评审：</w:t>
            </w:r>
            <w:r/>
          </w:p>
          <w:p>
            <w:pPr>
              <w:jc w:val="left"/>
              <w:rPr>
                <w:rFonts w:ascii="宋体" w:hAnsi="宋体" w:cs="宋体"/>
                <w:sz w:val="24"/>
                <w:szCs w:val="24"/>
              </w:rPr>
            </w:pPr>
            <w:r>
              <w:rPr>
                <w:rFonts w:hint="eastAsia" w:ascii="宋体" w:hAnsi="宋体" w:cs="宋体"/>
                <w:sz w:val="24"/>
                <w:szCs w:val="24"/>
              </w:rPr>
              <w:t xml:space="preserve">方案描写细致全面，科学合理，切合本项目实际，针对性及可行性强的，得10分；方案描写较完整，科学性、合理性良好，符合本项目实际，针对性及可行性较好的，得7分；方案描写粗糙，科学性、合理性和可行性一般的，得3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投标人自2023年1月1日至今（以合同签订时间为准），承担过类似云服务项目的，有1个得0.5分，最多得1分。</w:t>
            </w:r>
            <w:r/>
          </w:p>
          <w:p>
            <w:pPr>
              <w:jc w:val="left"/>
              <w:rPr>
                <w:rFonts w:ascii="宋体" w:hAnsi="宋体" w:cs="宋体"/>
                <w:b/>
                <w:color w:val="000000"/>
              </w:rPr>
            </w:pPr>
            <w:r>
              <w:rPr>
                <w:rFonts w:hint="eastAsia" w:ascii="宋体" w:hAnsi="宋体" w:cs="宋体"/>
                <w:b/>
                <w:sz w:val="24"/>
                <w:szCs w:val="24"/>
              </w:rPr>
              <w:t xml:space="preserve">【</w:t>
            </w:r>
            <w:r>
              <w:rPr>
                <w:rFonts w:hint="eastAsia" w:ascii="宋体" w:hAnsi="宋体" w:cs="宋体"/>
                <w:b/>
                <w:sz w:val="24"/>
                <w:szCs w:val="24"/>
              </w:rPr>
              <w:t xml:space="preserve">投标时须提供相应有效完整合同原件扫描件，未提供的不得分。</w:t>
            </w:r>
            <w:r>
              <w:rPr>
                <w:rFonts w:hint="eastAsia" w:ascii="宋体" w:hAnsi="宋体" w:cs="宋体"/>
                <w:b/>
                <w:sz w:val="24"/>
                <w:szCs w:val="24"/>
              </w:rPr>
              <w:t xml:space="preserve">】</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企业实力</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1.投标人具有有效期内信息安全管理体系认证证书的，得2分；</w:t>
            </w:r>
            <w:r/>
          </w:p>
          <w:p>
            <w:pPr>
              <w:jc w:val="left"/>
              <w:rPr>
                <w:rFonts w:ascii="宋体" w:hAnsi="宋体" w:cs="宋体"/>
                <w:sz w:val="24"/>
                <w:szCs w:val="24"/>
              </w:rPr>
            </w:pPr>
            <w:r>
              <w:rPr>
                <w:rFonts w:hint="eastAsia" w:ascii="宋体" w:hAnsi="宋体" w:cs="宋体"/>
                <w:sz w:val="24"/>
                <w:szCs w:val="24"/>
              </w:rPr>
              <w:t xml:space="preserve">2.投标人具有有效期内的信息技术服务管理体系认证证书的，得2分；</w:t>
            </w:r>
            <w:r/>
          </w:p>
          <w:p>
            <w:pPr>
              <w:jc w:val="left"/>
              <w:rPr>
                <w:rFonts w:ascii="宋体" w:hAnsi="宋体" w:cs="宋体"/>
                <w:sz w:val="24"/>
                <w:szCs w:val="24"/>
              </w:rPr>
            </w:pPr>
            <w:r>
              <w:rPr>
                <w:rFonts w:hint="eastAsia" w:ascii="宋体" w:hAnsi="宋体" w:cs="宋体"/>
                <w:sz w:val="24"/>
                <w:szCs w:val="24"/>
              </w:rPr>
              <w:t xml:space="preserve">3.投标人具有有效期内的业务连续性管理体系认证证书的，得2分</w:t>
            </w:r>
            <w:r>
              <w:rPr>
                <w:rFonts w:hint="eastAsia" w:ascii="宋体" w:hAnsi="宋体" w:cs="宋体"/>
                <w:sz w:val="24"/>
                <w:szCs w:val="24"/>
              </w:rPr>
              <w:t xml:space="preserve">。</w:t>
            </w:r>
            <w:r/>
          </w:p>
          <w:p>
            <w:pPr>
              <w:jc w:val="left"/>
              <w:rPr>
                <w:rFonts w:ascii="宋体" w:hAnsi="宋体" w:cs="宋体"/>
                <w:b/>
                <w:color w:val="000000"/>
              </w:rPr>
            </w:pPr>
            <w:r>
              <w:rPr>
                <w:rFonts w:hint="eastAsia" w:ascii="宋体" w:hAnsi="宋体" w:cs="宋体"/>
                <w:b/>
                <w:sz w:val="24"/>
                <w:szCs w:val="24"/>
              </w:rPr>
              <w:t xml:space="preserve">【</w:t>
            </w:r>
            <w:r>
              <w:rPr>
                <w:rFonts w:hint="eastAsia" w:ascii="宋体" w:hAnsi="宋体" w:cs="宋体"/>
                <w:b/>
                <w:sz w:val="24"/>
                <w:szCs w:val="24"/>
              </w:rPr>
              <w:t xml:space="preserve">投标时须提供相应有效证书原件扫描件，未提供的不得分。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技术实力</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1.拟配备项目负责人1名：</w:t>
            </w:r>
            <w:r/>
          </w:p>
          <w:p>
            <w:pPr>
              <w:jc w:val="left"/>
              <w:rPr>
                <w:rFonts w:ascii="宋体" w:hAnsi="宋体" w:cs="宋体"/>
                <w:sz w:val="24"/>
                <w:szCs w:val="24"/>
              </w:rPr>
            </w:pPr>
            <w:r>
              <w:rPr>
                <w:rFonts w:hint="eastAsia" w:ascii="宋体" w:hAnsi="宋体" w:cs="宋体"/>
                <w:sz w:val="24"/>
                <w:szCs w:val="24"/>
              </w:rPr>
              <w:t xml:space="preserve">具有信息系统项目管理师证书、IT服务项目经理证（ITSS），有1个证书得1分，本项最高得2分。</w:t>
            </w:r>
            <w:r/>
          </w:p>
          <w:p>
            <w:pPr>
              <w:jc w:val="left"/>
              <w:rPr>
                <w:rFonts w:ascii="宋体" w:hAnsi="宋体" w:cs="宋体"/>
                <w:sz w:val="24"/>
                <w:szCs w:val="24"/>
              </w:rPr>
            </w:pPr>
            <w:r>
              <w:rPr>
                <w:rFonts w:hint="eastAsia" w:ascii="宋体" w:hAnsi="宋体" w:cs="宋体"/>
                <w:sz w:val="24"/>
                <w:szCs w:val="24"/>
              </w:rPr>
              <w:t xml:space="preserve">2.拟配备技术负责人1人：</w:t>
            </w:r>
            <w:r/>
          </w:p>
          <w:p>
            <w:pPr>
              <w:jc w:val="left"/>
              <w:rPr>
                <w:rFonts w:ascii="宋体" w:hAnsi="宋体" w:cs="宋体"/>
                <w:sz w:val="24"/>
                <w:szCs w:val="24"/>
              </w:rPr>
            </w:pPr>
            <w:r>
              <w:rPr>
                <w:rFonts w:hint="eastAsia" w:ascii="宋体" w:hAnsi="宋体" w:cs="宋体"/>
                <w:sz w:val="24"/>
                <w:szCs w:val="24"/>
              </w:rPr>
              <w:t xml:space="preserve">具有国家重要信息系统保护人员证书、CISP注册信息安全专业人员证书，有1个证书得1分，本项最高得2分。</w:t>
            </w:r>
            <w:r/>
          </w:p>
          <w:p>
            <w:pPr>
              <w:jc w:val="left"/>
              <w:rPr>
                <w:rFonts w:ascii="宋体" w:hAnsi="宋体" w:cs="宋体"/>
                <w:sz w:val="24"/>
                <w:szCs w:val="24"/>
              </w:rPr>
            </w:pPr>
            <w:r>
              <w:rPr>
                <w:rFonts w:hint="eastAsia" w:ascii="宋体" w:hAnsi="宋体" w:cs="宋体"/>
                <w:sz w:val="24"/>
                <w:szCs w:val="24"/>
              </w:rPr>
              <w:t xml:space="preserve">3.拟配备实施负责人1人：</w:t>
            </w:r>
            <w:r/>
          </w:p>
          <w:p>
            <w:pPr>
              <w:jc w:val="left"/>
              <w:rPr>
                <w:rFonts w:ascii="宋体" w:hAnsi="宋体" w:cs="宋体"/>
                <w:sz w:val="24"/>
                <w:szCs w:val="24"/>
              </w:rPr>
            </w:pPr>
            <w:r>
              <w:rPr>
                <w:rFonts w:hint="eastAsia" w:ascii="宋体" w:hAnsi="宋体" w:cs="宋体"/>
                <w:sz w:val="24"/>
                <w:szCs w:val="24"/>
              </w:rPr>
              <w:t xml:space="preserve">具有数据中心（机房）运维管理工程师（高级），有1个证书得1分，本项最高得1分。</w:t>
            </w:r>
            <w:r/>
          </w:p>
          <w:p>
            <w:pPr>
              <w:jc w:val="left"/>
              <w:rPr>
                <w:rFonts w:ascii="宋体" w:hAnsi="宋体" w:cs="宋体"/>
                <w:sz w:val="24"/>
                <w:szCs w:val="24"/>
              </w:rPr>
            </w:pPr>
            <w:r>
              <w:rPr>
                <w:rFonts w:hint="eastAsia" w:ascii="宋体" w:hAnsi="宋体" w:cs="宋体"/>
                <w:sz w:val="24"/>
                <w:szCs w:val="24"/>
              </w:rPr>
              <w:t xml:space="preserve">4.拟配备项目组成员（不含项目负责人、技术负责人、实施负责人）：</w:t>
            </w:r>
            <w:r/>
          </w:p>
          <w:p>
            <w:pPr>
              <w:jc w:val="left"/>
              <w:rPr>
                <w:rFonts w:ascii="宋体" w:hAnsi="宋体" w:cs="宋体"/>
                <w:sz w:val="24"/>
                <w:szCs w:val="24"/>
              </w:rPr>
            </w:pPr>
            <w:r>
              <w:rPr>
                <w:rFonts w:hint="eastAsia" w:ascii="宋体" w:hAnsi="宋体" w:cs="宋体"/>
                <w:sz w:val="24"/>
                <w:szCs w:val="24"/>
              </w:rPr>
              <w:t xml:space="preserve">具有信息系统项目管理师、数据中心（机房）规划设计工程师（中级及以上）、ITSS服务工程师，每提供一类证书得1分，一人不能重复得分，本项最多得3分。</w:t>
            </w:r>
            <w:r/>
          </w:p>
          <w:p>
            <w:pPr>
              <w:jc w:val="left"/>
              <w:rPr>
                <w:rFonts w:ascii="宋体" w:hAnsi="宋体" w:cs="宋体"/>
                <w:b/>
                <w:bCs/>
              </w:rPr>
            </w:pPr>
            <w:r>
              <w:rPr>
                <w:rFonts w:hint="eastAsia" w:ascii="宋体" w:hAnsi="宋体" w:cs="宋体"/>
                <w:b/>
                <w:sz w:val="24"/>
                <w:szCs w:val="24"/>
              </w:rPr>
              <w:t xml:space="preserve">【</w:t>
            </w:r>
            <w:r>
              <w:rPr>
                <w:rFonts w:hint="eastAsia" w:ascii="宋体" w:hAnsi="宋体" w:cs="宋体"/>
                <w:b/>
                <w:sz w:val="24"/>
                <w:szCs w:val="24"/>
              </w:rPr>
              <w:t xml:space="preserve">投标时须提供人员有效证书原件扫描件和投标人为其缴纳的开标前6个月中的任意1个月（不含开标当月）的社保证明原件扫描件，未提供的不得分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/投标报价）×15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r>
        <w:rPr>
          <w:rFonts w:hint="eastAsia" w:ascii="宋体" w:hAnsi="宋体" w:cs="宋体"/>
          <w:bCs/>
          <w:sz w:val="24"/>
          <w:szCs w:val="24"/>
        </w:rPr>
      </w:r>
      <w:r/>
      <w:r>
        <w:rPr>
          <w:rFonts w:ascii="宋体" w:hAnsi="宋体" w:cs="宋体"/>
          <w:bCs/>
          <w:sz w:val="24"/>
          <w:szCs w:val="24"/>
        </w:rP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3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ascii="宋体" w:hAnsi="宋体" w:cs="宋体"/>
          <w:bCs/>
          <w:sz w:val="24"/>
          <w:szCs w:val="24"/>
        </w:rPr>
      </w:r>
      <w:r/>
    </w:p>
    <w:p>
      <w:pPr>
        <w:ind w:firstLine="480"/>
        <w:jc w:val="left"/>
        <w:spacing w:line="360" w:lineRule="auto"/>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pPr>
      <w:r>
        <w:rPr>
          <w:rFonts w:ascii="宋体" w:hAnsi="宋体"/>
          <w:sz w:val="24"/>
          <w:szCs w:val="24"/>
        </w:rPr>
      </w:r>
      <w:r/>
    </w:p>
    <w:p>
      <w:pPr>
        <w:pStyle w:val="828"/>
        <w:jc w:val="center"/>
        <w:rPr>
          <w:rFonts w:ascii="黑体" w:hAnsi="黑体" w:eastAsia="黑体"/>
          <w:b w:val="0"/>
          <w:bCs w:val="0"/>
          <w:sz w:val="28"/>
        </w:rPr>
      </w:pPr>
      <w:r>
        <w:rPr>
          <w:rFonts w:hint="eastAsia" w:ascii="宋体" w:hAnsi="宋体"/>
          <w:sz w:val="24"/>
          <w:szCs w:val="24"/>
        </w:rPr>
        <w:br w:type="page" w:clear="all"/>
      </w:r>
      <w:bookmarkStart w:id="112" w:name="_Toc157174692"/>
      <w:r>
        <w:rPr>
          <w:rFonts w:hint="eastAsia" w:ascii="黑体" w:hAnsi="黑体" w:eastAsia="黑体"/>
          <w:b w:val="0"/>
          <w:bCs w:val="0"/>
          <w:sz w:val="36"/>
          <w:szCs w:val="36"/>
        </w:rPr>
        <w:t xml:space="preserve">第五章 政府采购合同（格式）</w:t>
      </w:r>
      <w:bookmarkEnd w:id="104"/>
      <w:r/>
      <w:bookmarkEnd w:id="105"/>
      <w:r/>
      <w:bookmarkEnd w:id="106"/>
      <w:r/>
      <w:bookmarkEnd w:id="112"/>
      <w:r/>
      <w:r/>
    </w:p>
    <w:p>
      <w:pPr>
        <w:pStyle w:val="849"/>
        <w:ind w:firstLine="0"/>
        <w:jc w:val="right"/>
        <w:rPr>
          <w:rFonts w:hAnsi="宋体" w:cs="宋体"/>
          <w:b/>
          <w:sz w:val="28"/>
          <w:szCs w:val="28"/>
          <w:lang w:val="zh-CN"/>
        </w:rPr>
      </w:pPr>
      <w:r>
        <w:rPr>
          <w:rFonts w:hAnsi="宋体" w:cs="宋体"/>
          <w:b/>
          <w:sz w:val="28"/>
          <w:szCs w:val="28"/>
          <w:lang w:val="zh-CN"/>
        </w:rPr>
      </w:r>
      <w:r/>
    </w:p>
    <w:p>
      <w:pPr>
        <w:pStyle w:val="849"/>
        <w:ind w:firstLine="0"/>
        <w:jc w:val="right"/>
        <w:rPr>
          <w:rFonts w:hAnsi="宋体" w:cs="宋体"/>
          <w:szCs w:val="24"/>
        </w:rPr>
      </w:pPr>
      <w:r>
        <w:rPr>
          <w:rFonts w:hAnsi="宋体" w:cs="宋体"/>
          <w:szCs w:val="24"/>
        </w:rPr>
      </w:r>
      <w:r/>
    </w:p>
    <w:p>
      <w:pPr>
        <w:pStyle w:val="849"/>
        <w:ind w:firstLine="0"/>
        <w:rPr>
          <w:rFonts w:hAnsi="宋体" w:cs="宋体"/>
          <w:szCs w:val="24"/>
        </w:rPr>
      </w:pPr>
      <w:r>
        <w:rPr>
          <w:rFonts w:hAnsi="宋体" w:cs="宋体"/>
          <w:szCs w:val="24"/>
        </w:rPr>
      </w:r>
      <w:r/>
    </w:p>
    <w:p>
      <w:pPr>
        <w:pStyle w:val="849"/>
        <w:ind w:firstLine="0"/>
        <w:rPr>
          <w:rFonts w:hAnsi="宋体" w:cs="宋体"/>
          <w:szCs w:val="24"/>
        </w:rPr>
      </w:pPr>
      <w:r>
        <w:rPr>
          <w:rFonts w:hAnsi="宋体" w:cs="宋体"/>
          <w:szCs w:val="24"/>
        </w:rPr>
      </w:r>
      <w:r/>
    </w:p>
    <w:p>
      <w:pPr>
        <w:pStyle w:val="849"/>
        <w:ind w:firstLine="0"/>
        <w:jc w:val="center"/>
        <w:rPr>
          <w:rFonts w:hAnsi="宋体" w:cs="宋体"/>
          <w:b/>
          <w:szCs w:val="24"/>
        </w:rPr>
      </w:pPr>
      <w:r>
        <w:rPr>
          <w:rFonts w:hint="eastAsia" w:hAnsi="宋体" w:cs="宋体"/>
          <w:b/>
          <w:szCs w:val="24"/>
        </w:rPr>
        <w:t xml:space="preserve">第一部分 合同书</w:t>
      </w:r>
      <w:r/>
    </w:p>
    <w:p>
      <w:pPr>
        <w:pStyle w:val="849"/>
        <w:ind w:firstLine="0"/>
        <w:rPr>
          <w:rFonts w:hAnsi="宋体" w:cs="宋体"/>
          <w:szCs w:val="24"/>
        </w:rPr>
      </w:pPr>
      <w:r>
        <w:rPr>
          <w:rFonts w:hAnsi="宋体" w:cs="宋体"/>
          <w:szCs w:val="24"/>
        </w:rPr>
      </w:r>
      <w:r/>
    </w:p>
    <w:p>
      <w:pPr>
        <w:pStyle w:val="849"/>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50"/>
        <w:spacing w:before="120" w:line="22" w:lineRule="atLeast"/>
        <w:rPr>
          <w:rFonts w:ascii="宋体" w:hAnsi="宋体" w:eastAsia="宋体" w:cs="宋体"/>
          <w:szCs w:val="24"/>
        </w:rPr>
      </w:pPr>
      <w:r>
        <w:rPr>
          <w:rFonts w:ascii="宋体" w:hAnsi="宋体" w:eastAsia="宋体" w:cs="宋体"/>
          <w:szCs w:val="24"/>
        </w:rPr>
      </w:r>
      <w:r/>
    </w:p>
    <w:p>
      <w:pPr>
        <w:pStyle w:val="850"/>
        <w:ind w:firstLine="960"/>
        <w:spacing w:before="120" w:line="22" w:lineRule="atLeast"/>
        <w:rPr>
          <w:rFonts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cols w:num="1" w:sep="0" w:space="0" w:equalWidth="1"/>
          <w:docGrid w:linePitch="360"/>
        </w:sectPr>
      </w:pPr>
      <w:r>
        <w:rPr>
          <w:rFonts w:ascii="宋体" w:hAnsi="宋体" w:cs="宋体"/>
          <w:sz w:val="24"/>
        </w:rPr>
      </w:r>
      <w:r/>
    </w:p>
    <w:p>
      <w:pPr>
        <w:ind w:firstLine="480"/>
        <w:spacing w:line="560" w:lineRule="exact"/>
        <w:rPr>
          <w:rFonts w:ascii="宋体" w:hAnsi="宋体" w:cs="宋体"/>
          <w:sz w:val="24"/>
        </w:rPr>
      </w:pPr>
      <w:r/>
      <w:bookmarkStart w:id="113" w:name="_Toc15367"/>
      <w:r/>
      <w:bookmarkStart w:id="114" w:name="_Toc28855"/>
      <w:r/>
      <w:bookmarkStart w:id="115" w:name="_Toc19273"/>
      <w:r/>
      <w:bookmarkStart w:id="116" w:name="_Toc22967"/>
      <w:r/>
      <w:bookmarkStart w:id="117" w:name="_Toc20421"/>
      <w:r/>
      <w:bookmarkEnd w:id="107"/>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18" w:name="_Hlk151450445"/>
      <w:r>
        <w:rPr>
          <w:rFonts w:hint="eastAsia" w:ascii="宋体" w:hAnsi="宋体" w:cs="宋体"/>
          <w:sz w:val="24"/>
          <w:u w:val="single"/>
        </w:rPr>
        <w:t xml:space="preserve"> </w:t>
      </w:r>
      <w:r>
        <w:rPr>
          <w:rFonts w:hint="eastAsia" w:ascii="宋体" w:hAnsi="宋体" w:cs="宋体"/>
          <w:sz w:val="24"/>
          <w:u w:val="single"/>
        </w:rPr>
        <w:t xml:space="preserve">宜兴市市域社会治理现代化指挥中心</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rPr>
        <w:t xml:space="preserve">无锡市政务云骨干节点宜兴存量部分运维项目</w:t>
      </w:r>
      <w:r>
        <w:rPr>
          <w:rFonts w:hint="eastAsia" w:ascii="宋体" w:hAnsi="宋体" w:cs="宋体"/>
          <w:sz w:val="24"/>
          <w:u w:val="single"/>
        </w:rPr>
        <w:t xml:space="preserve"> </w:t>
      </w:r>
      <w:r>
        <w:rPr>
          <w:rFonts w:hint="eastAsia" w:ascii="宋体" w:hAnsi="宋体" w:cs="宋体"/>
          <w:sz w:val="24"/>
        </w:rPr>
        <w:t xml:space="preserve">进行了采购。</w:t>
      </w:r>
      <w:bookmarkEnd w:id="118"/>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宜兴市市域社会治理现代化指挥中心</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9"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u w:val="single"/>
        </w:rPr>
        <w:t xml:space="preserve">宜兴市市域社会治理现代化指挥中心</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19"/>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spacing w:line="560" w:lineRule="exact"/>
        <w:rPr>
          <w:rFonts w:ascii="宋体" w:hAnsi="宋体" w:cs="宋体"/>
          <w:sz w:val="24"/>
          <w:szCs w:val="24"/>
        </w:rPr>
      </w:pPr>
      <w:r>
        <w:rPr>
          <w:rFonts w:hint="eastAsia" w:ascii="宋体" w:hAnsi="宋体" w:cs="宋体"/>
          <w:b/>
          <w:sz w:val="24"/>
          <w:szCs w:val="24"/>
        </w:rPr>
        <w:t xml:space="preserve">1.1 合同组成部分</w:t>
      </w:r>
      <w:bookmarkEnd w:id="113"/>
      <w:r/>
      <w:bookmarkEnd w:id="114"/>
      <w:r/>
      <w:bookmarkEnd w:id="115"/>
      <w:r/>
      <w:bookmarkEnd w:id="116"/>
      <w:r/>
      <w:bookmarkEnd w:id="117"/>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20" w:name="_Toc6311"/>
      <w:r/>
      <w:bookmarkStart w:id="121" w:name="_Toc2918"/>
      <w:r/>
      <w:bookmarkStart w:id="122" w:name="_Toc22185"/>
      <w:r/>
      <w:bookmarkStart w:id="123" w:name="_Toc18585"/>
      <w:r/>
      <w:bookmarkStart w:id="124" w:name="_Toc6773"/>
      <w:r>
        <w:rPr>
          <w:rFonts w:hint="eastAsia" w:ascii="宋体" w:hAnsi="宋体" w:cs="宋体"/>
          <w:b/>
          <w:sz w:val="24"/>
          <w:szCs w:val="24"/>
        </w:rPr>
        <w:t xml:space="preserve">1.2 标的</w:t>
      </w:r>
      <w:bookmarkEnd w:id="120"/>
      <w:r/>
      <w:bookmarkEnd w:id="121"/>
      <w:r/>
      <w:bookmarkEnd w:id="122"/>
      <w:r/>
      <w:bookmarkEnd w:id="123"/>
      <w:r/>
      <w:bookmarkEnd w:id="124"/>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25" w:name="_Toc4929"/>
      <w:r/>
      <w:bookmarkStart w:id="126" w:name="_Toc5635"/>
      <w:r/>
      <w:bookmarkStart w:id="127" w:name="_Toc21124"/>
      <w:r/>
      <w:bookmarkStart w:id="128" w:name="_Toc13918"/>
      <w:r/>
      <w:bookmarkStart w:id="129" w:name="_Toc1386"/>
      <w:r>
        <w:rPr>
          <w:rFonts w:hint="eastAsia" w:ascii="宋体" w:hAnsi="宋体" w:cs="宋体"/>
          <w:b/>
          <w:sz w:val="24"/>
          <w:szCs w:val="24"/>
        </w:rPr>
        <w:t xml:space="preserve">1.3 价款</w:t>
      </w:r>
      <w:bookmarkEnd w:id="125"/>
      <w:r/>
      <w:bookmarkEnd w:id="126"/>
      <w:r/>
      <w:bookmarkEnd w:id="127"/>
      <w:r/>
      <w:bookmarkEnd w:id="128"/>
      <w:r/>
      <w:bookmarkEnd w:id="129"/>
      <w:r/>
      <w:r/>
    </w:p>
    <w:p>
      <w:pPr>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851"/>
              <w:jc w:val="center"/>
              <w:spacing w:line="560" w:lineRule="exact"/>
              <w:rPr>
                <w:rFonts w:hAnsi="宋体" w:cs="宋体"/>
                <w:color w:val="000000"/>
                <w:sz w:val="24"/>
                <w:szCs w:val="24"/>
              </w:rPr>
            </w:pPr>
            <w:r>
              <w:rPr>
                <w:rFonts w:hint="eastAsia" w:hAnsi="宋体" w:cs="宋体"/>
                <w:color w:val="000000"/>
                <w:sz w:val="24"/>
                <w:szCs w:val="24"/>
              </w:rPr>
              <w:t xml:space="preserve">序号</w:t>
            </w:r>
            <w:r/>
          </w:p>
        </w:tc>
        <w:tc>
          <w:tcPr>
            <w:tcW w:w="3402" w:type="dxa"/>
            <w:vAlign w:val="center"/>
            <w:textDirection w:val="lrTb"/>
            <w:noWrap w:val="false"/>
          </w:tcPr>
          <w:p>
            <w:pPr>
              <w:pStyle w:val="851"/>
              <w:ind w:firstLine="200"/>
              <w:jc w:val="center"/>
              <w:spacing w:line="560" w:lineRule="exact"/>
              <w:rPr>
                <w:rFonts w:hAnsi="宋体" w:cs="宋体"/>
                <w:color w:val="000000"/>
                <w:sz w:val="24"/>
                <w:szCs w:val="24"/>
              </w:rPr>
            </w:pPr>
            <w:r>
              <w:rPr>
                <w:rFonts w:hint="eastAsia" w:hAnsi="宋体" w:cs="宋体"/>
                <w:color w:val="000000"/>
                <w:sz w:val="24"/>
                <w:szCs w:val="24"/>
              </w:rPr>
              <w:t xml:space="preserve">分项名称</w:t>
            </w:r>
            <w:r/>
          </w:p>
        </w:tc>
        <w:tc>
          <w:tcPr>
            <w:tcW w:w="2552" w:type="dxa"/>
            <w:vAlign w:val="center"/>
            <w:textDirection w:val="lrTb"/>
            <w:noWrap w:val="false"/>
          </w:tcPr>
          <w:p>
            <w:pPr>
              <w:pStyle w:val="851"/>
              <w:jc w:val="center"/>
              <w:spacing w:line="560" w:lineRule="exact"/>
              <w:rPr>
                <w:rFonts w:hAnsi="宋体" w:cs="宋体"/>
                <w:color w:val="000000"/>
                <w:sz w:val="24"/>
                <w:szCs w:val="24"/>
              </w:rPr>
            </w:pPr>
            <w:r>
              <w:rPr>
                <w:rFonts w:hint="eastAsia" w:hAnsi="宋体" w:cs="宋体"/>
                <w:color w:val="000000"/>
                <w:sz w:val="24"/>
                <w:szCs w:val="24"/>
              </w:rPr>
              <w:t xml:space="preserve">分项价格</w:t>
            </w:r>
            <w:r/>
          </w:p>
        </w:tc>
      </w:tr>
      <w:tr>
        <w:trPr>
          <w:jc w:val="center"/>
          <w:trHeight w:val="369"/>
        </w:trPr>
        <w:tc>
          <w:tcPr>
            <w:tcW w:w="1201"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gridSpan w:val="2"/>
            <w:tcW w:w="4603" w:type="dxa"/>
            <w:vAlign w:val="center"/>
            <w:textDirection w:val="lrTb"/>
            <w:noWrap w:val="false"/>
          </w:tcPr>
          <w:p>
            <w:pPr>
              <w:pStyle w:val="851"/>
              <w:ind w:firstLine="200"/>
              <w:jc w:val="center"/>
              <w:spacing w:line="560" w:lineRule="exact"/>
              <w:rPr>
                <w:rFonts w:hAnsi="宋体" w:cs="宋体"/>
                <w:color w:val="000000"/>
                <w:sz w:val="24"/>
                <w:szCs w:val="24"/>
              </w:rPr>
            </w:pPr>
            <w:r>
              <w:rPr>
                <w:rFonts w:hint="eastAsia" w:hAnsi="宋体" w:cs="宋体"/>
                <w:color w:val="000000"/>
                <w:sz w:val="24"/>
                <w:szCs w:val="24"/>
              </w:rPr>
              <w:t xml:space="preserve">总价</w:t>
            </w:r>
            <w:r/>
          </w:p>
        </w:tc>
        <w:tc>
          <w:tcPr>
            <w:tcW w:w="2552" w:type="dxa"/>
            <w:vAlign w:val="center"/>
            <w:textDirection w:val="lrTb"/>
            <w:noWrap w:val="false"/>
          </w:tcPr>
          <w:p>
            <w:pPr>
              <w:pStyle w:val="851"/>
              <w:ind w:firstLine="200"/>
              <w:jc w:val="center"/>
              <w:spacing w:line="560" w:lineRule="exact"/>
              <w:rPr>
                <w:rFonts w:hAnsi="宋体" w:cs="宋体"/>
                <w:color w:val="000000"/>
                <w:sz w:val="24"/>
                <w:szCs w:val="24"/>
              </w:rPr>
            </w:pPr>
            <w:r>
              <w:rPr>
                <w:rFonts w:hAnsi="宋体" w:cs="宋体"/>
                <w:color w:val="000000"/>
                <w:sz w:val="24"/>
                <w:szCs w:val="24"/>
              </w:rPr>
            </w:r>
            <w:r/>
          </w:p>
        </w:tc>
      </w:tr>
    </w:tbl>
    <w:p>
      <w:pPr>
        <w:ind w:firstLine="482"/>
        <w:spacing w:line="560" w:lineRule="exact"/>
        <w:rPr>
          <w:rFonts w:ascii="宋体" w:hAnsi="宋体" w:cs="宋体"/>
          <w:b/>
          <w:sz w:val="24"/>
          <w:szCs w:val="24"/>
        </w:rPr>
      </w:pPr>
      <w:r/>
      <w:bookmarkStart w:id="130" w:name="_Toc30506"/>
      <w:r/>
      <w:bookmarkStart w:id="131" w:name="_Toc3654"/>
      <w:r/>
      <w:bookmarkStart w:id="132" w:name="_Toc14993"/>
      <w:r/>
      <w:bookmarkStart w:id="133" w:name="_Toc30158"/>
      <w:r/>
      <w:bookmarkStart w:id="134" w:name="_Toc26916"/>
      <w:r>
        <w:rPr>
          <w:rFonts w:hint="eastAsia" w:ascii="宋体" w:hAnsi="宋体" w:cs="宋体"/>
          <w:b/>
          <w:sz w:val="24"/>
          <w:szCs w:val="24"/>
        </w:rPr>
        <w:t xml:space="preserve">1.4 付款方式和发票开具方式</w:t>
      </w:r>
      <w:bookmarkEnd w:id="130"/>
      <w:r/>
      <w:bookmarkEnd w:id="131"/>
      <w:r/>
      <w:bookmarkEnd w:id="132"/>
      <w:r/>
      <w:bookmarkEnd w:id="133"/>
      <w:r/>
      <w:bookmarkEnd w:id="134"/>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35" w:name="_Toc8772"/>
      <w:r/>
      <w:bookmarkStart w:id="136" w:name="_Toc31421"/>
      <w:r/>
      <w:bookmarkStart w:id="137" w:name="_Toc11108"/>
      <w:r/>
      <w:bookmarkStart w:id="138" w:name="_Toc3625"/>
      <w:r/>
      <w:bookmarkStart w:id="139" w:name="_Toc4760"/>
      <w:r>
        <w:rPr>
          <w:rFonts w:hint="eastAsia" w:ascii="宋体" w:hAnsi="宋体" w:cs="宋体"/>
          <w:b/>
          <w:sz w:val="24"/>
          <w:szCs w:val="24"/>
        </w:rPr>
        <w:t xml:space="preserve">1.5 履行期限、地点和方式</w:t>
      </w:r>
      <w:bookmarkEnd w:id="135"/>
      <w:r/>
      <w:bookmarkEnd w:id="136"/>
      <w:r/>
      <w:bookmarkEnd w:id="137"/>
      <w:r/>
      <w:bookmarkEnd w:id="138"/>
      <w:r/>
      <w:bookmarkEnd w:id="139"/>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40" w:name="_Toc2375"/>
      <w:r/>
      <w:bookmarkStart w:id="141" w:name="_Toc3079"/>
      <w:r/>
      <w:bookmarkStart w:id="142" w:name="_Toc24662"/>
      <w:r/>
      <w:bookmarkStart w:id="143" w:name="_Toc8586"/>
      <w:r/>
      <w:bookmarkStart w:id="144" w:name="_Toc5698"/>
      <w:r>
        <w:rPr>
          <w:rFonts w:hint="eastAsia" w:ascii="宋体" w:hAnsi="宋体" w:cs="宋体"/>
          <w:b/>
          <w:sz w:val="24"/>
          <w:szCs w:val="24"/>
        </w:rPr>
        <w:t xml:space="preserve">1.6 违约责任</w:t>
      </w:r>
      <w:bookmarkEnd w:id="140"/>
      <w:r/>
      <w:bookmarkEnd w:id="141"/>
      <w:r/>
      <w:bookmarkEnd w:id="142"/>
      <w:r/>
      <w:bookmarkEnd w:id="143"/>
      <w:r/>
      <w:bookmarkEnd w:id="144"/>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hint="eastAsia" w:ascii="宋体" w:hAnsi="宋体" w:cs="宋体"/>
          <w:sz w:val="24"/>
          <w:szCs w:val="24"/>
        </w:rPr>
        <w:t xml:space="preserve">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45" w:name="_Toc18683"/>
      <w:r/>
      <w:bookmarkStart w:id="146" w:name="_Toc30329"/>
      <w:r/>
      <w:bookmarkStart w:id="147" w:name="_Toc26807"/>
      <w:r/>
      <w:bookmarkStart w:id="148" w:name="_Toc9497"/>
      <w:r/>
      <w:bookmarkStart w:id="149" w:name="_Toc32454"/>
      <w:r>
        <w:rPr>
          <w:rFonts w:hint="eastAsia" w:ascii="宋体" w:hAnsi="宋体" w:cs="宋体"/>
          <w:b/>
          <w:sz w:val="24"/>
          <w:szCs w:val="24"/>
        </w:rPr>
        <w:t xml:space="preserve">1.7 合同争议的解决</w:t>
      </w:r>
      <w:bookmarkEnd w:id="145"/>
      <w:r/>
      <w:bookmarkEnd w:id="146"/>
      <w:r/>
      <w:bookmarkEnd w:id="147"/>
      <w:r/>
      <w:bookmarkEnd w:id="148"/>
      <w:r/>
      <w:bookmarkEnd w:id="149"/>
      <w:r/>
      <w:r/>
    </w:p>
    <w:p>
      <w:pPr>
        <w:ind w:firstLine="480"/>
        <w:spacing w:line="560" w:lineRule="exact"/>
        <w:rPr>
          <w:rFonts w:ascii="宋体" w:hAnsi="宋体" w:cs="宋体"/>
          <w:sz w:val="24"/>
          <w:szCs w:val="24"/>
        </w:rPr>
      </w:pPr>
      <w:r/>
      <w:bookmarkStart w:id="150"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bookmarkStart w:id="151" w:name="_Hlk160021638"/>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r/>
    </w:p>
    <w:p>
      <w:pPr>
        <w:ind w:firstLine="480"/>
        <w:spacing w:line="56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spacing w:line="560" w:lineRule="exact"/>
        <w:rPr>
          <w:rFonts w:ascii="宋体" w:hAnsi="宋体" w:cs="宋体"/>
          <w:b/>
          <w:sz w:val="24"/>
          <w:szCs w:val="24"/>
        </w:rPr>
      </w:pPr>
      <w:r/>
      <w:bookmarkStart w:id="152" w:name="_Toc23784"/>
      <w:r/>
      <w:bookmarkStart w:id="153" w:name="_Toc15827"/>
      <w:r/>
      <w:bookmarkStart w:id="154" w:name="_Toc26227"/>
      <w:r/>
      <w:bookmarkStart w:id="155" w:name="_Toc16417"/>
      <w:r/>
      <w:bookmarkStart w:id="156" w:name="_Toc12273"/>
      <w:r/>
      <w:bookmarkEnd w:id="150"/>
      <w:r/>
      <w:bookmarkEnd w:id="151"/>
      <w:r>
        <w:rPr>
          <w:rFonts w:hint="eastAsia" w:ascii="宋体" w:hAnsi="宋体" w:cs="宋体"/>
          <w:b/>
          <w:sz w:val="24"/>
          <w:szCs w:val="24"/>
        </w:rPr>
        <w:t xml:space="preserve">1.8 合同生效</w:t>
      </w:r>
      <w:bookmarkEnd w:id="152"/>
      <w:r/>
      <w:bookmarkEnd w:id="153"/>
      <w:r/>
      <w:bookmarkEnd w:id="154"/>
      <w:r/>
      <w:bookmarkEnd w:id="155"/>
      <w:r/>
      <w:bookmarkEnd w:id="156"/>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1265"/>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 xml:space="preserve">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57"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center"/>
        <w:spacing w:line="560" w:lineRule="exact"/>
        <w:widowControl/>
        <w:rPr>
          <w:rFonts w:hAnsi="宋体" w:cs="宋体"/>
          <w:b/>
          <w:szCs w:val="24"/>
        </w:rPr>
      </w:pPr>
      <w:r>
        <w:rPr>
          <w:rFonts w:ascii="宋体" w:hAnsi="宋体" w:cs="宋体"/>
          <w:b/>
          <w:sz w:val="24"/>
          <w:szCs w:val="24"/>
        </w:rPr>
        <w:br w:type="page" w:clear="all"/>
      </w:r>
      <w:r>
        <w:rPr>
          <w:rFonts w:hint="eastAsia" w:hAnsi="宋体" w:cs="宋体"/>
          <w:b/>
          <w:szCs w:val="24"/>
        </w:rPr>
        <w:t xml:space="preserve">第二部分</w:t>
      </w:r>
      <w:r>
        <w:rPr>
          <w:rFonts w:hint="eastAsia" w:hAnsi="宋体" w:cs="宋体"/>
          <w:b/>
          <w:szCs w:val="24"/>
        </w:rPr>
        <w:t xml:space="preserve"> </w:t>
      </w:r>
      <w:r>
        <w:rPr>
          <w:rFonts w:hint="eastAsia" w:hAnsi="宋体" w:cs="宋体"/>
          <w:b/>
          <w:szCs w:val="24"/>
        </w:rPr>
        <w:t xml:space="preserve">合同一般条款</w:t>
      </w:r>
      <w:bookmarkEnd w:id="157"/>
      <w:r/>
      <w:r/>
    </w:p>
    <w:p>
      <w:pPr>
        <w:ind w:firstLine="482"/>
        <w:spacing w:line="560" w:lineRule="exact"/>
        <w:rPr>
          <w:rFonts w:ascii="宋体" w:hAnsi="宋体" w:cs="宋体"/>
          <w:b/>
          <w:sz w:val="24"/>
          <w:szCs w:val="24"/>
        </w:rPr>
      </w:pPr>
      <w:r/>
      <w:bookmarkStart w:id="158" w:name="_Ref467379101"/>
      <w:r/>
      <w:bookmarkStart w:id="159" w:name="_Ref467379205"/>
      <w:r/>
      <w:bookmarkStart w:id="160" w:name="_Ref467379214"/>
      <w:r/>
      <w:bookmarkStart w:id="161" w:name="_Toc279701240"/>
      <w:r/>
      <w:bookmarkStart w:id="162" w:name="_Toc259093669"/>
      <w:r/>
      <w:bookmarkStart w:id="163" w:name="_Ref467379195"/>
      <w:r/>
      <w:bookmarkStart w:id="164" w:name="_Ref467379109"/>
      <w:r/>
      <w:bookmarkStart w:id="165" w:name="_Toc5228"/>
      <w:r/>
      <w:bookmarkStart w:id="166" w:name="_Ref467378404"/>
      <w:r/>
      <w:bookmarkStart w:id="167" w:name="_Toc487900349"/>
      <w:r/>
      <w:bookmarkStart w:id="168" w:name="_Ref467379225"/>
      <w:r/>
      <w:bookmarkStart w:id="169" w:name="_Toc14021"/>
      <w:r/>
      <w:bookmarkStart w:id="170" w:name="_Toc25079"/>
      <w:r/>
      <w:bookmarkStart w:id="171" w:name="_Ref467378499"/>
      <w:r/>
      <w:bookmarkStart w:id="172" w:name="_Toc31297"/>
      <w:r/>
      <w:bookmarkStart w:id="173" w:name="_Toc19680"/>
      <w:r/>
      <w:bookmarkStart w:id="174" w:name="_Ref467379094"/>
      <w:r/>
      <w:bookmarkStart w:id="175" w:name="_Ref467378463"/>
      <w:r>
        <w:rPr>
          <w:rFonts w:hint="eastAsia" w:ascii="宋体" w:hAnsi="宋体" w:cs="宋体"/>
          <w:b/>
          <w:sz w:val="24"/>
          <w:szCs w:val="24"/>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76" w:name="_Ref467378840"/>
      <w:r>
        <w:rPr>
          <w:rFonts w:hint="eastAsia" w:ascii="宋体" w:hAnsi="宋体" w:cs="宋体"/>
          <w:sz w:val="24"/>
          <w:szCs w:val="24"/>
        </w:rPr>
        <w:t xml:space="preserve">2.1.4 “甲方”系指与中标供应商签署合同的采购人</w:t>
      </w:r>
      <w:bookmarkEnd w:id="176"/>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77" w:name="_Ref467379400"/>
      <w:r>
        <w:rPr>
          <w:rFonts w:hint="eastAsia" w:ascii="宋体" w:hAnsi="宋体" w:cs="宋体"/>
          <w:sz w:val="24"/>
          <w:szCs w:val="24"/>
        </w:rPr>
        <w:t xml:space="preserve">2.1.5 “乙方”系指根据合同约定提供服务的中标供应商</w:t>
      </w:r>
      <w:bookmarkEnd w:id="177"/>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78" w:name="_Ref467379436"/>
      <w:r>
        <w:rPr>
          <w:rFonts w:hint="eastAsia" w:ascii="宋体" w:hAnsi="宋体" w:cs="宋体"/>
          <w:sz w:val="24"/>
          <w:szCs w:val="24"/>
        </w:rPr>
        <w:t xml:space="preserve">2.1.6 “现场”系指合同约定提供服务的地点。</w:t>
      </w:r>
      <w:bookmarkEnd w:id="178"/>
      <w:r/>
      <w:r/>
    </w:p>
    <w:p>
      <w:pPr>
        <w:ind w:firstLine="482"/>
        <w:spacing w:line="560" w:lineRule="exact"/>
        <w:rPr>
          <w:rFonts w:ascii="宋体" w:hAnsi="宋体" w:cs="宋体"/>
          <w:b/>
          <w:sz w:val="24"/>
          <w:szCs w:val="24"/>
        </w:rPr>
      </w:pPr>
      <w:r/>
      <w:bookmarkStart w:id="179" w:name="_Toc16752"/>
      <w:r/>
      <w:bookmarkStart w:id="180" w:name="_Toc23289"/>
      <w:r/>
      <w:bookmarkStart w:id="181" w:name="_Toc279701241"/>
      <w:r/>
      <w:bookmarkStart w:id="182" w:name="_Toc31402"/>
      <w:r/>
      <w:bookmarkStart w:id="183" w:name="_Toc259093670"/>
      <w:r/>
      <w:bookmarkStart w:id="184" w:name="_Toc19539"/>
      <w:r/>
      <w:bookmarkStart w:id="185" w:name="_Toc3769"/>
      <w:r/>
      <w:bookmarkStart w:id="186" w:name="_Toc487900350"/>
      <w:r>
        <w:rPr>
          <w:rFonts w:hint="eastAsia" w:ascii="宋体" w:hAnsi="宋体" w:cs="宋体"/>
          <w:b/>
          <w:sz w:val="24"/>
          <w:szCs w:val="24"/>
        </w:rPr>
        <w:t xml:space="preserve">2.2 技术规范</w:t>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187" w:name="_Toc9161"/>
      <w:r/>
      <w:bookmarkStart w:id="188" w:name="_Toc13673"/>
      <w:r/>
      <w:bookmarkStart w:id="189" w:name="_Toc12412"/>
      <w:r/>
      <w:bookmarkStart w:id="190" w:name="_Toc259093671"/>
      <w:r/>
      <w:bookmarkStart w:id="191" w:name="_Toc27945"/>
      <w:r/>
      <w:bookmarkStart w:id="192" w:name="_Toc4133"/>
      <w:r/>
      <w:bookmarkStart w:id="193" w:name="_Toc279701242"/>
      <w:r/>
      <w:bookmarkStart w:id="194" w:name="_Toc487900351"/>
      <w:r>
        <w:rPr>
          <w:rFonts w:hint="eastAsia" w:ascii="宋体" w:hAnsi="宋体" w:cs="宋体"/>
          <w:b/>
          <w:sz w:val="24"/>
          <w:szCs w:val="24"/>
        </w:rPr>
        <w:t xml:space="preserve">2.3 知识产权</w:t>
      </w:r>
      <w:bookmarkEnd w:id="187"/>
      <w:r/>
      <w:bookmarkEnd w:id="188"/>
      <w:r/>
      <w:bookmarkEnd w:id="189"/>
      <w:r/>
      <w:bookmarkEnd w:id="190"/>
      <w:r/>
      <w:bookmarkEnd w:id="191"/>
      <w:r/>
      <w:bookmarkEnd w:id="192"/>
      <w:r/>
      <w:bookmarkEnd w:id="193"/>
      <w:r/>
      <w:bookmarkEnd w:id="194"/>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195" w:name="_Ref467379657"/>
      <w:r>
        <w:rPr>
          <w:rFonts w:hint="eastAsia" w:ascii="宋体" w:hAnsi="宋体" w:cs="宋体"/>
          <w:sz w:val="24"/>
          <w:szCs w:val="24"/>
        </w:rPr>
        <w:t xml:space="preserve">2.4.1</w:t>
      </w:r>
      <w:bookmarkStart w:id="196" w:name="_Toc186431854"/>
      <w:r/>
      <w:bookmarkStart w:id="197" w:name="_Toc279701247"/>
      <w:r/>
      <w:bookmarkStart w:id="198" w:name="_Toc487900357"/>
      <w:r/>
      <w:bookmarkStart w:id="199" w:name="_Ref467379807"/>
      <w:r/>
      <w:bookmarkStart w:id="200" w:name="_Ref467379793"/>
      <w:r/>
      <w:bookmarkStart w:id="201" w:name="_Toc259093676"/>
      <w:r/>
      <w:bookmarkEnd w:id="195"/>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202" w:name="_Toc186431855"/>
      <w:r/>
      <w:bookmarkEnd w:id="196"/>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203" w:name="_Toc279701248"/>
      <w:r/>
      <w:bookmarkStart w:id="204" w:name="_Ref467379852"/>
      <w:r/>
      <w:bookmarkStart w:id="205" w:name="_Toc259093677"/>
      <w:r/>
      <w:bookmarkStart w:id="206" w:name="_Ref467379863"/>
      <w:r/>
      <w:bookmarkStart w:id="207" w:name="_Toc487900358"/>
      <w:r/>
      <w:bookmarkStart w:id="208" w:name="_Ref467379923"/>
      <w:r/>
      <w:bookmarkStart w:id="209" w:name="_Toc13467"/>
      <w:r/>
      <w:bookmarkStart w:id="210" w:name="_Toc13154"/>
      <w:r/>
      <w:bookmarkStart w:id="211" w:name="_Toc18990"/>
      <w:r/>
      <w:bookmarkStart w:id="212" w:name="_Toc16163"/>
      <w:r/>
      <w:bookmarkStart w:id="213" w:name="_Toc30507"/>
      <w:r/>
      <w:bookmarkEnd w:id="197"/>
      <w:r/>
      <w:bookmarkEnd w:id="198"/>
      <w:r/>
      <w:bookmarkEnd w:id="199"/>
      <w:r/>
      <w:bookmarkEnd w:id="200"/>
      <w:r/>
      <w:bookmarkEnd w:id="201"/>
      <w:r/>
      <w:bookmarkEnd w:id="202"/>
      <w:r>
        <w:rPr>
          <w:rFonts w:hint="eastAsia" w:ascii="宋体" w:hAnsi="宋体" w:cs="宋体"/>
          <w:b/>
          <w:sz w:val="24"/>
          <w:szCs w:val="24"/>
        </w:rPr>
        <w:t xml:space="preserve">2.5 技术资料</w:t>
      </w:r>
      <w:bookmarkEnd w:id="203"/>
      <w:r/>
      <w:bookmarkEnd w:id="204"/>
      <w:r/>
      <w:bookmarkEnd w:id="205"/>
      <w:r/>
      <w:bookmarkEnd w:id="206"/>
      <w:r/>
      <w:bookmarkEnd w:id="207"/>
      <w:r/>
      <w:bookmarkEnd w:id="208"/>
      <w:r>
        <w:rPr>
          <w:rFonts w:hint="eastAsia" w:ascii="宋体" w:hAnsi="宋体" w:cs="宋体"/>
          <w:b/>
          <w:sz w:val="24"/>
          <w:szCs w:val="24"/>
        </w:rPr>
        <w:t xml:space="preserve">和保密义务</w:t>
      </w:r>
      <w:bookmarkEnd w:id="209"/>
      <w:r/>
      <w:bookmarkEnd w:id="210"/>
      <w:r/>
      <w:bookmarkEnd w:id="211"/>
      <w:r/>
      <w:bookmarkEnd w:id="212"/>
      <w:r/>
      <w:bookmarkEnd w:id="213"/>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rPr>
      </w:pPr>
      <w:r/>
      <w:bookmarkStart w:id="214" w:name="_Toc19069"/>
      <w:r/>
      <w:bookmarkStart w:id="215" w:name="_Toc259093681"/>
      <w:r/>
      <w:bookmarkStart w:id="216" w:name="_Toc279701252"/>
      <w:r/>
      <w:bookmarkStart w:id="217" w:name="_Toc487900362"/>
      <w:r>
        <w:rPr>
          <w:rFonts w:hint="eastAsia" w:ascii="宋体" w:hAnsi="宋体" w:cs="宋体"/>
          <w:b/>
          <w:sz w:val="24"/>
          <w:szCs w:val="24"/>
        </w:rPr>
        <w:t xml:space="preserve">2.6 质量保证</w:t>
      </w:r>
      <w:bookmarkEnd w:id="214"/>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218" w:name="_Toc22267"/>
      <w:r>
        <w:rPr>
          <w:rFonts w:hint="eastAsia" w:ascii="宋体" w:hAnsi="宋体" w:cs="宋体"/>
          <w:b/>
          <w:sz w:val="24"/>
          <w:szCs w:val="24"/>
        </w:rPr>
        <w:t xml:space="preserve">2.7 延迟</w:t>
      </w:r>
      <w:bookmarkEnd w:id="215"/>
      <w:r/>
      <w:bookmarkEnd w:id="216"/>
      <w:r/>
      <w:bookmarkEnd w:id="217"/>
      <w:r>
        <w:rPr>
          <w:rFonts w:hint="eastAsia" w:ascii="宋体" w:hAnsi="宋体" w:cs="宋体"/>
          <w:b/>
          <w:sz w:val="24"/>
          <w:szCs w:val="24"/>
        </w:rPr>
        <w:t xml:space="preserve">履行</w:t>
      </w:r>
      <w:bookmarkEnd w:id="218"/>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219" w:name="_Toc10611"/>
      <w:r/>
      <w:bookmarkStart w:id="220" w:name="_Toc259093683"/>
      <w:r/>
      <w:bookmarkStart w:id="221" w:name="_Toc279701254"/>
      <w:r/>
      <w:bookmarkStart w:id="222" w:name="_Toc487900364"/>
      <w:r/>
      <w:bookmarkStart w:id="223" w:name="_Ref467378121"/>
      <w:r>
        <w:rPr>
          <w:rFonts w:hint="eastAsia" w:ascii="宋体" w:hAnsi="宋体" w:cs="宋体"/>
          <w:b/>
          <w:sz w:val="24"/>
          <w:szCs w:val="24"/>
        </w:rPr>
        <w:t xml:space="preserve">2.8 合同变更</w:t>
      </w:r>
      <w:bookmarkEnd w:id="219"/>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sz w:val="24"/>
          <w:szCs w:val="24"/>
        </w:rPr>
        <w:t xml:space="preserve">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24" w:name="_Toc279701259"/>
      <w:r/>
      <w:bookmarkStart w:id="225" w:name="_Toc487900369"/>
      <w:r/>
      <w:bookmarkStart w:id="226" w:name="_Toc259093688"/>
      <w:r/>
      <w:r/>
    </w:p>
    <w:p>
      <w:pPr>
        <w:ind w:firstLine="482"/>
        <w:spacing w:line="560" w:lineRule="exact"/>
        <w:rPr>
          <w:rFonts w:ascii="宋体" w:hAnsi="宋体" w:cs="宋体"/>
          <w:b/>
          <w:sz w:val="24"/>
          <w:szCs w:val="24"/>
        </w:rPr>
      </w:pPr>
      <w:r/>
      <w:bookmarkStart w:id="227" w:name="_Toc10663"/>
      <w:r/>
      <w:bookmarkStart w:id="228" w:name="_Toc26689"/>
      <w:r/>
      <w:bookmarkStart w:id="229" w:name="_Toc21830"/>
      <w:r/>
      <w:bookmarkStart w:id="230" w:name="_Toc23368"/>
      <w:r/>
      <w:bookmarkStart w:id="231" w:name="_Toc42"/>
      <w:r>
        <w:rPr>
          <w:rFonts w:hint="eastAsia" w:ascii="宋体" w:hAnsi="宋体" w:cs="宋体"/>
          <w:b/>
          <w:sz w:val="24"/>
          <w:szCs w:val="24"/>
        </w:rPr>
        <w:t xml:space="preserve">2.9 合同转让</w:t>
      </w:r>
      <w:bookmarkEnd w:id="224"/>
      <w:r/>
      <w:bookmarkEnd w:id="225"/>
      <w:r/>
      <w:bookmarkEnd w:id="226"/>
      <w:r>
        <w:rPr>
          <w:rFonts w:hint="eastAsia" w:ascii="宋体" w:hAnsi="宋体" w:cs="宋体"/>
          <w:b/>
          <w:sz w:val="24"/>
          <w:szCs w:val="24"/>
        </w:rPr>
        <w:t xml:space="preserve">和分包</w:t>
      </w:r>
      <w:bookmarkEnd w:id="227"/>
      <w:r/>
      <w:bookmarkEnd w:id="228"/>
      <w:r/>
      <w:bookmarkEnd w:id="229"/>
      <w:r/>
      <w:bookmarkEnd w:id="230"/>
      <w:r/>
      <w:bookmarkEnd w:id="231"/>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232" w:name="_Toc14371"/>
      <w:r/>
      <w:bookmarkStart w:id="233" w:name="_Toc4720"/>
      <w:r/>
      <w:bookmarkStart w:id="234" w:name="_Toc32494"/>
      <w:r/>
      <w:bookmarkStart w:id="235" w:name="_Toc26633"/>
      <w:r/>
      <w:bookmarkStart w:id="236" w:name="_Toc25571"/>
      <w:r>
        <w:rPr>
          <w:rFonts w:hint="eastAsia" w:ascii="宋体" w:hAnsi="宋体" w:cs="宋体"/>
          <w:b/>
          <w:sz w:val="24"/>
          <w:szCs w:val="24"/>
        </w:rPr>
        <w:t xml:space="preserve">2.10 不可抗力</w:t>
      </w:r>
      <w:bookmarkEnd w:id="232"/>
      <w:r/>
      <w:bookmarkEnd w:id="233"/>
      <w:r/>
      <w:bookmarkEnd w:id="234"/>
      <w:r/>
      <w:bookmarkEnd w:id="235"/>
      <w:r/>
      <w:bookmarkEnd w:id="236"/>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237" w:name="_Toc487900365"/>
      <w:r/>
      <w:bookmarkStart w:id="238" w:name="_Toc259093684"/>
      <w:r/>
      <w:bookmarkStart w:id="239" w:name="_Toc3638"/>
      <w:r/>
      <w:bookmarkStart w:id="240" w:name="_Toc25783"/>
      <w:r/>
      <w:bookmarkStart w:id="241" w:name="_Toc279701255"/>
      <w:r/>
      <w:bookmarkStart w:id="242" w:name="_Toc24465"/>
      <w:r/>
      <w:bookmarkStart w:id="243" w:name="_Toc23854"/>
      <w:r/>
      <w:bookmarkStart w:id="244" w:name="_Toc14115"/>
      <w:r>
        <w:rPr>
          <w:rFonts w:hint="eastAsia" w:ascii="宋体" w:hAnsi="宋体" w:cs="宋体"/>
          <w:b/>
          <w:sz w:val="24"/>
          <w:szCs w:val="24"/>
        </w:rPr>
        <w:t xml:space="preserve">2.11 税费</w:t>
      </w:r>
      <w:bookmarkEnd w:id="237"/>
      <w:r/>
      <w:bookmarkEnd w:id="238"/>
      <w:r/>
      <w:bookmarkEnd w:id="239"/>
      <w:r/>
      <w:bookmarkEnd w:id="240"/>
      <w:r/>
      <w:bookmarkEnd w:id="241"/>
      <w:r/>
      <w:bookmarkEnd w:id="242"/>
      <w:r/>
      <w:bookmarkEnd w:id="243"/>
      <w:r/>
      <w:bookmarkEnd w:id="244"/>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245" w:name="_Toc30105"/>
      <w:r/>
      <w:bookmarkStart w:id="246" w:name="_Toc259093687"/>
      <w:r/>
      <w:bookmarkStart w:id="247" w:name="_Toc14814"/>
      <w:r/>
      <w:bookmarkStart w:id="248" w:name="_Toc26883"/>
      <w:r/>
      <w:bookmarkStart w:id="249" w:name="_Toc487900368"/>
      <w:r/>
      <w:bookmarkStart w:id="250" w:name="_Toc7315"/>
      <w:r/>
      <w:bookmarkStart w:id="251" w:name="_Toc279701258"/>
      <w:r/>
      <w:bookmarkStart w:id="252" w:name="_Toc25525"/>
      <w:r>
        <w:rPr>
          <w:rFonts w:hint="eastAsia" w:ascii="宋体" w:hAnsi="宋体" w:cs="宋体"/>
          <w:b/>
          <w:sz w:val="24"/>
          <w:szCs w:val="24"/>
        </w:rPr>
        <w:t xml:space="preserve">2.12 乙方破产</w:t>
      </w:r>
      <w:bookmarkEnd w:id="245"/>
      <w:r/>
      <w:bookmarkEnd w:id="246"/>
      <w:r/>
      <w:bookmarkEnd w:id="247"/>
      <w:r/>
      <w:bookmarkEnd w:id="248"/>
      <w:r/>
      <w:bookmarkEnd w:id="249"/>
      <w:r/>
      <w:bookmarkEnd w:id="250"/>
      <w:r/>
      <w:bookmarkEnd w:id="251"/>
      <w:r/>
      <w:bookmarkEnd w:id="252"/>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sz w:val="24"/>
          <w:szCs w:val="24"/>
        </w:rPr>
        <w:t xml:space="preserve">付违约金、赔偿损失等的行动或补救措施的权利。</w:t>
      </w:r>
      <w:r/>
    </w:p>
    <w:p>
      <w:pPr>
        <w:ind w:firstLine="482"/>
        <w:spacing w:line="560" w:lineRule="exact"/>
        <w:rPr>
          <w:rFonts w:ascii="宋体" w:hAnsi="宋体" w:cs="宋体"/>
          <w:b/>
          <w:sz w:val="24"/>
          <w:szCs w:val="24"/>
        </w:rPr>
      </w:pPr>
      <w:r/>
      <w:bookmarkStart w:id="253" w:name="_Toc1123"/>
      <w:r/>
      <w:bookmarkStart w:id="254" w:name="_Toc23323"/>
      <w:r/>
      <w:bookmarkStart w:id="255" w:name="_Toc2016"/>
      <w:r>
        <w:rPr>
          <w:rFonts w:hint="eastAsia" w:ascii="宋体" w:hAnsi="宋体" w:cs="宋体"/>
          <w:b/>
          <w:sz w:val="24"/>
          <w:szCs w:val="24"/>
        </w:rPr>
        <w:t xml:space="preserve">2.13 合同中止、终止</w:t>
      </w:r>
      <w:bookmarkEnd w:id="253"/>
      <w:r/>
      <w:bookmarkEnd w:id="254"/>
      <w:r/>
      <w:bookmarkEnd w:id="255"/>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256" w:name="_Toc17363"/>
      <w:r/>
      <w:bookmarkStart w:id="257" w:name="_Toc14525"/>
      <w:r/>
      <w:bookmarkStart w:id="258" w:name="_Toc1969"/>
      <w:r>
        <w:rPr>
          <w:rFonts w:hint="eastAsia" w:ascii="宋体" w:hAnsi="宋体" w:cs="宋体"/>
          <w:b/>
          <w:sz w:val="24"/>
          <w:szCs w:val="24"/>
        </w:rPr>
        <w:t xml:space="preserve">2.14 检验和验收</w:t>
      </w:r>
      <w:bookmarkEnd w:id="256"/>
      <w:r/>
      <w:bookmarkEnd w:id="257"/>
      <w:r/>
      <w:bookmarkEnd w:id="258"/>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cs="宋体"/>
          <w:b/>
          <w:sz w:val="24"/>
          <w:szCs w:val="24"/>
        </w:rPr>
      </w:pPr>
      <w:r/>
      <w:bookmarkStart w:id="259" w:name="_Toc259093690"/>
      <w:r/>
      <w:bookmarkStart w:id="260" w:name="_Toc279701261"/>
      <w:r/>
      <w:bookmarkStart w:id="261" w:name="_Toc487900371"/>
      <w:r/>
      <w:bookmarkStart w:id="262" w:name="_Toc2308"/>
      <w:r/>
      <w:bookmarkStart w:id="263" w:name="_Toc31892"/>
      <w:r/>
      <w:bookmarkStart w:id="264" w:name="_Toc25198"/>
      <w:r/>
      <w:bookmarkStart w:id="265" w:name="_Toc12666"/>
      <w:r/>
      <w:bookmarkStart w:id="266" w:name="_Toc9808"/>
      <w:r/>
      <w:bookmarkEnd w:id="220"/>
      <w:r/>
      <w:bookmarkEnd w:id="221"/>
      <w:r/>
      <w:bookmarkEnd w:id="222"/>
      <w:r/>
      <w:bookmarkEnd w:id="223"/>
      <w:r>
        <w:rPr>
          <w:rFonts w:hint="eastAsia" w:ascii="宋体" w:hAnsi="宋体" w:cs="宋体"/>
          <w:b/>
          <w:sz w:val="24"/>
          <w:szCs w:val="24"/>
        </w:rPr>
        <w:t xml:space="preserve">2.15 通知</w:t>
      </w:r>
      <w:bookmarkEnd w:id="259"/>
      <w:r/>
      <w:bookmarkEnd w:id="260"/>
      <w:r/>
      <w:bookmarkEnd w:id="261"/>
      <w:r>
        <w:rPr>
          <w:rFonts w:hint="eastAsia" w:ascii="宋体" w:hAnsi="宋体" w:cs="宋体"/>
          <w:b/>
          <w:sz w:val="24"/>
          <w:szCs w:val="24"/>
        </w:rPr>
        <w:t xml:space="preserve">和送达</w:t>
      </w:r>
      <w:bookmarkEnd w:id="262"/>
      <w:r/>
      <w:bookmarkEnd w:id="263"/>
      <w:r/>
      <w:bookmarkEnd w:id="264"/>
      <w:r/>
      <w:bookmarkEnd w:id="265"/>
      <w:r/>
      <w:bookmarkEnd w:id="266"/>
      <w:r/>
      <w:r/>
    </w:p>
    <w:p>
      <w:pPr>
        <w:ind w:firstLine="480"/>
        <w:spacing w:line="560" w:lineRule="exact"/>
        <w:rPr>
          <w:rFonts w:ascii="宋体" w:hAnsi="宋体" w:cs="宋体"/>
          <w:sz w:val="24"/>
          <w:szCs w:val="24"/>
        </w:rPr>
      </w:pPr>
      <w:r/>
      <w:bookmarkStart w:id="267" w:name="_Toc29220"/>
      <w:r/>
      <w:bookmarkStart w:id="268" w:name="_Toc7073"/>
      <w:r/>
      <w:bookmarkStart w:id="269" w:name="_Toc487900372"/>
      <w:r/>
      <w:bookmarkStart w:id="270" w:name="_Toc259093691"/>
      <w:r/>
      <w:bookmarkStart w:id="271"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67"/>
      <w:r/>
      <w:bookmarkEnd w:id="268"/>
      <w:r/>
      <w:r/>
    </w:p>
    <w:p>
      <w:pPr>
        <w:ind w:firstLine="480"/>
        <w:spacing w:line="560" w:lineRule="exact"/>
        <w:rPr>
          <w:rFonts w:ascii="宋体" w:hAnsi="宋体" w:cs="宋体"/>
          <w:sz w:val="24"/>
          <w:szCs w:val="24"/>
        </w:rPr>
      </w:pPr>
      <w:r/>
      <w:bookmarkStart w:id="272" w:name="_Toc27674"/>
      <w:r/>
      <w:bookmarkStart w:id="273"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2"/>
      <w:r/>
      <w:bookmarkEnd w:id="273"/>
      <w:r/>
      <w:r/>
    </w:p>
    <w:p>
      <w:pPr>
        <w:ind w:firstLine="482"/>
        <w:spacing w:line="560" w:lineRule="exact"/>
        <w:rPr>
          <w:rFonts w:ascii="宋体" w:hAnsi="宋体" w:cs="宋体"/>
          <w:b/>
          <w:sz w:val="24"/>
          <w:szCs w:val="24"/>
        </w:rPr>
      </w:pPr>
      <w:r/>
      <w:bookmarkStart w:id="274" w:name="_Toc279701263"/>
      <w:r/>
      <w:bookmarkStart w:id="275" w:name="_Toc487900373"/>
      <w:r/>
      <w:bookmarkStart w:id="276" w:name="_Toc20808"/>
      <w:r/>
      <w:bookmarkStart w:id="277" w:name="_Toc28906"/>
      <w:r/>
      <w:bookmarkStart w:id="278" w:name="_Toc5063"/>
      <w:r/>
      <w:bookmarkStart w:id="279" w:name="_Toc12254"/>
      <w:r/>
      <w:bookmarkStart w:id="280" w:name="_Toc27644"/>
      <w:r/>
      <w:bookmarkStart w:id="281" w:name="_Toc259093692"/>
      <w:r/>
      <w:bookmarkEnd w:id="269"/>
      <w:r/>
      <w:bookmarkEnd w:id="270"/>
      <w:r/>
      <w:bookmarkEnd w:id="271"/>
      <w:r>
        <w:rPr>
          <w:rFonts w:hint="eastAsia" w:ascii="宋体" w:hAnsi="宋体" w:cs="宋体"/>
          <w:b/>
          <w:sz w:val="24"/>
          <w:szCs w:val="24"/>
        </w:rPr>
        <w:t xml:space="preserve">2.16 合同使用的文字和适用的法律</w:t>
      </w:r>
      <w:bookmarkEnd w:id="274"/>
      <w:r/>
      <w:bookmarkEnd w:id="275"/>
      <w:r/>
      <w:bookmarkEnd w:id="276"/>
      <w:r/>
      <w:bookmarkEnd w:id="277"/>
      <w:r/>
      <w:bookmarkEnd w:id="278"/>
      <w:r/>
      <w:bookmarkEnd w:id="279"/>
      <w:r/>
      <w:bookmarkEnd w:id="280"/>
      <w:r/>
      <w:bookmarkEnd w:id="281"/>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ascii="宋体" w:hAnsi="宋体" w:cs="宋体"/>
          <w:b/>
          <w:sz w:val="24"/>
          <w:szCs w:val="24"/>
        </w:rPr>
      </w:pPr>
      <w:r/>
      <w:bookmarkStart w:id="282" w:name="_Toc1492"/>
      <w:r/>
      <w:bookmarkStart w:id="283" w:name="_Toc27127"/>
      <w:r/>
      <w:bookmarkStart w:id="284" w:name="_Toc30096"/>
      <w:r/>
      <w:bookmarkStart w:id="285" w:name="_Toc279701264"/>
      <w:r/>
      <w:bookmarkStart w:id="286" w:name="_Toc259093693"/>
      <w:r/>
      <w:bookmarkStart w:id="287" w:name="_Toc22266"/>
      <w:r/>
      <w:bookmarkStart w:id="288" w:name="_Toc27403"/>
      <w:r>
        <w:rPr>
          <w:rFonts w:hint="eastAsia" w:ascii="宋体" w:hAnsi="宋体" w:cs="宋体"/>
          <w:b/>
          <w:sz w:val="24"/>
          <w:szCs w:val="24"/>
        </w:rPr>
        <w:t xml:space="preserve">2.17 履约保证金</w:t>
      </w:r>
      <w:bookmarkEnd w:id="282"/>
      <w:r/>
      <w:bookmarkEnd w:id="283"/>
      <w:r/>
      <w:bookmarkEnd w:id="284"/>
      <w:r/>
      <w:bookmarkEnd w:id="285"/>
      <w:r/>
      <w:bookmarkEnd w:id="286"/>
      <w:r/>
      <w:bookmarkEnd w:id="287"/>
      <w:r/>
      <w:bookmarkEnd w:id="288"/>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w:t>
      </w:r>
      <w:r>
        <w:rPr>
          <w:rFonts w:hint="eastAsia" w:ascii="宋体" w:hAnsi="宋体" w:cs="宋体"/>
          <w:sz w:val="24"/>
          <w:szCs w:val="24"/>
        </w:rPr>
        <w:t xml:space="preserve">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2.17.3 如果甲方未及时退还履约保证金，相关责任由甲乙双方在合同中自行约定。</w:t>
      </w:r>
      <w:r/>
    </w:p>
    <w:p>
      <w:pPr>
        <w:pStyle w:val="844"/>
      </w:pPr>
      <w:r/>
      <w:r/>
    </w:p>
    <w:p>
      <w:pPr>
        <w:jc w:val="center"/>
        <w:rPr>
          <w:rFonts w:ascii="黑体" w:hAnsi="黑体" w:eastAsia="黑体"/>
          <w:sz w:val="28"/>
        </w:rPr>
        <w:outlineLvl w:val="0"/>
      </w:pPr>
      <w:r>
        <w:rPr>
          <w:rFonts w:ascii="黑体" w:hAnsi="黑体" w:eastAsia="黑体"/>
          <w:sz w:val="28"/>
        </w:rPr>
        <w:br w:type="page" w:clear="all"/>
      </w:r>
      <w:bookmarkStart w:id="289" w:name="_Toc157174693"/>
      <w:r/>
      <w:bookmarkStart w:id="290" w:name="_Toc27444"/>
      <w:r/>
      <w:bookmarkStart w:id="291" w:name="_Toc24602"/>
      <w:r>
        <w:rPr>
          <w:rFonts w:hint="eastAsia" w:ascii="黑体" w:hAnsi="黑体" w:eastAsia="黑体"/>
          <w:sz w:val="36"/>
          <w:szCs w:val="36"/>
        </w:rPr>
        <w:t xml:space="preserve">第六章 投标文件</w:t>
      </w:r>
      <w:bookmarkEnd w:id="289"/>
      <w:r/>
      <w:bookmarkEnd w:id="290"/>
      <w:r>
        <w:rPr>
          <w:rFonts w:hint="eastAsia" w:ascii="黑体" w:hAnsi="黑体" w:eastAsia="黑体"/>
          <w:sz w:val="36"/>
          <w:szCs w:val="36"/>
        </w:rPr>
        <w:t xml:space="preserve">内容与格式</w:t>
      </w:r>
      <w:r/>
    </w:p>
    <w:p>
      <w:pPr>
        <w:pStyle w:val="860"/>
        <w:ind w:firstLine="0"/>
        <w:spacing w:line="500" w:lineRule="exact"/>
        <w:rPr>
          <w:rFonts w:cs="Arial"/>
          <w:b/>
          <w:sz w:val="30"/>
          <w:szCs w:val="30"/>
        </w:rPr>
      </w:pPr>
      <w:r/>
      <w:bookmarkStart w:id="292" w:name="OLE_LINK146"/>
      <w:r/>
      <w:bookmarkStart w:id="293" w:name="OLE_LINK173"/>
      <w:r/>
      <w:bookmarkEnd w:id="291"/>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860"/>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860"/>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860"/>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860"/>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860"/>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860"/>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860"/>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860"/>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860"/>
              <w:ind w:firstLine="0"/>
              <w:spacing w:before="0" w:after="0" w:line="240" w:lineRule="auto"/>
              <w:rPr>
                <w:rFonts w:ascii="宋体" w:hAnsi="宋体" w:cs="宋体"/>
              </w:rPr>
            </w:pPr>
            <w:r>
              <w:rPr>
                <w:rFonts w:hint="eastAsia" w:ascii="宋体" w:hAnsi="宋体"/>
                <w:bCs/>
                <w:lang w:val="zh-CN"/>
              </w:rPr>
              <w:t xml:space="preserve">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w:t>
            </w:r>
            <w:r>
              <w:rPr>
                <w:rFonts w:hint="eastAsia" w:ascii="宋体" w:hAnsi="宋体"/>
                <w:b/>
              </w:rPr>
              <w:t xml:space="preserve">项目</w:t>
            </w:r>
            <w:r>
              <w:rPr>
                <w:rFonts w:hint="eastAsia" w:ascii="宋体" w:hAnsi="宋体"/>
                <w:b/>
                <w:lang w:val="zh-CN"/>
              </w:rPr>
              <w:t xml:space="preserve">无需提供）</w:t>
            </w:r>
            <w:r>
              <w:rPr>
                <w:rFonts w:hint="eastAsia" w:ascii="宋体" w:hAnsi="宋体"/>
                <w:bCs/>
                <w:lang w:val="zh-CN"/>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860"/>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860"/>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860"/>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860"/>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860"/>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860"/>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860"/>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860"/>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860"/>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860"/>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7"/>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860"/>
        <w:numPr>
          <w:ilvl w:val="0"/>
          <w:numId w:val="8"/>
        </w:numPr>
        <w:ind w:firstLine="0"/>
        <w:spacing w:line="500" w:lineRule="exact"/>
        <w:rPr>
          <w:b/>
          <w:sz w:val="28"/>
          <w:szCs w:val="28"/>
        </w:rPr>
      </w:pPr>
      <w:r>
        <w:rPr>
          <w:rFonts w:hint="eastAsia"/>
          <w:b/>
          <w:sz w:val="28"/>
          <w:szCs w:val="28"/>
        </w:rPr>
        <w:t xml:space="preserve">符合性证明文件及评审因素</w:t>
      </w:r>
      <w:r/>
    </w:p>
    <w:p>
      <w:pPr>
        <w:pStyle w:val="860"/>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860"/>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860"/>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860"/>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860"/>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860"/>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textDirection w:val="lrTb"/>
            <w:noWrap w:val="false"/>
          </w:tcPr>
          <w:p>
            <w:pPr>
              <w:pStyle w:val="86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60"/>
              <w:ind w:firstLine="0"/>
              <w:jc w:val="center"/>
              <w:spacing w:before="0" w:after="0" w:line="240" w:lineRule="auto"/>
              <w:rPr>
                <w:rFonts w:ascii="宋体" w:hAnsi="宋体"/>
              </w:rPr>
            </w:pPr>
            <w:r>
              <w:rPr>
                <w:rFonts w:hint="eastAsia" w:ascii="宋体" w:hAnsi="宋体"/>
              </w:rPr>
              <w:t xml:space="preserve">2</w:t>
            </w:r>
            <w:r/>
          </w:p>
        </w:tc>
        <w:tc>
          <w:tcPr>
            <w:tcW w:w="5811" w:type="dxa"/>
            <w:vAlign w:val="center"/>
            <w:textDirection w:val="lrTb"/>
            <w:noWrap w:val="false"/>
          </w:tcPr>
          <w:p>
            <w:pPr>
              <w:pStyle w:val="860"/>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86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60"/>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860"/>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86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60"/>
              <w:ind w:firstLine="0"/>
              <w:jc w:val="center"/>
              <w:spacing w:before="0" w:after="0" w:line="240" w:lineRule="auto"/>
              <w:rPr>
                <w:rFonts w:ascii="宋体" w:hAnsi="宋体"/>
              </w:rPr>
            </w:pPr>
            <w:r>
              <w:rPr>
                <w:rFonts w:hint="eastAsia" w:ascii="宋体" w:hAnsi="宋体"/>
              </w:rPr>
              <w:t xml:space="preserve">4</w:t>
            </w:r>
            <w:r/>
          </w:p>
        </w:tc>
        <w:tc>
          <w:tcPr>
            <w:shd w:val="clear" w:color="auto" w:fill="auto"/>
            <w:tcW w:w="5811" w:type="dxa"/>
            <w:vAlign w:val="center"/>
            <w:textDirection w:val="lrTb"/>
            <w:noWrap w:val="false"/>
          </w:tcPr>
          <w:p>
            <w:pPr>
              <w:pStyle w:val="860"/>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86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60"/>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860"/>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860"/>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rPr>
        <w:t xml:space="preserve">5</w:t>
      </w:r>
      <w:r>
        <w:rPr>
          <w:rFonts w:hint="eastAsia" w:ascii="宋体" w:hAnsi="宋体" w:cs="Arial"/>
          <w:sz w:val="24"/>
          <w:szCs w:val="24"/>
        </w:rPr>
        <w:t xml:space="preserve">项，本招标文件“第三章 项目技术要求和有关说明”中如有要求提供证明材料的，须按要求提供，否则投标文件无效。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rPr>
        <w:t xml:space="preserve">5</w:t>
      </w:r>
      <w:r>
        <w:rPr>
          <w:rFonts w:hint="eastAsia" w:ascii="宋体" w:hAnsi="宋体" w:cs="Arial"/>
          <w:sz w:val="24"/>
          <w:szCs w:val="24"/>
        </w:rPr>
        <w:t xml:space="preserve">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9"/>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rPr>
        <w:t xml:space="preserve">4</w:t>
      </w:r>
      <w:r>
        <w:rPr>
          <w:rFonts w:hint="eastAsia" w:ascii="宋体" w:hAnsi="宋体" w:cs="宋体"/>
          <w:sz w:val="24"/>
          <w:szCs w:val="24"/>
        </w:rPr>
        <w:t xml:space="preserve">项可由联合体主体单位（即联合体牵头人）代表联合体提供。第</w:t>
      </w:r>
      <w:r>
        <w:rPr>
          <w:rFonts w:hint="eastAsia" w:ascii="宋体" w:hAnsi="宋体" w:cs="宋体"/>
          <w:sz w:val="24"/>
          <w:szCs w:val="24"/>
        </w:rPr>
        <w:t xml:space="preserve">5</w:t>
      </w:r>
      <w:r>
        <w:rPr>
          <w:rFonts w:hint="eastAsia" w:ascii="宋体" w:hAnsi="宋体" w:cs="宋体"/>
          <w:sz w:val="24"/>
          <w:szCs w:val="24"/>
        </w:rPr>
        <w:t xml:space="preserve">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860"/>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860"/>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860"/>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86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860"/>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892" w:type="dxa"/>
            <w:vAlign w:val="center"/>
            <w:textDirection w:val="lrTb"/>
            <w:noWrap w:val="false"/>
          </w:tcPr>
          <w:p>
            <w:pPr>
              <w:pStyle w:val="860"/>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对符合规定的小微企业报价给予扣除,用扣除后的价格参与评审。</w:t>
            </w:r>
            <w:r/>
          </w:p>
        </w:tc>
        <w:tc>
          <w:tcPr>
            <w:tcW w:w="2932" w:type="dxa"/>
            <w:vAlign w:val="center"/>
            <w:textDirection w:val="lrTb"/>
            <w:noWrap w:val="false"/>
          </w:tcPr>
          <w:p>
            <w:pPr>
              <w:pStyle w:val="860"/>
              <w:ind w:firstLine="0"/>
              <w:spacing w:before="0" w:after="0" w:line="240" w:lineRule="auto"/>
              <w:rPr>
                <w:rFonts w:ascii="宋体" w:hAnsi="宋体"/>
                <w:bCs/>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pStyle w:val="860"/>
        <w:numPr>
          <w:ilvl w:val="0"/>
          <w:numId w:val="10"/>
        </w:numPr>
        <w:ind w:firstLine="0"/>
        <w:spacing w:line="500" w:lineRule="exact"/>
        <w:rPr>
          <w:rFonts w:ascii="宋体" w:hAnsi="宋体" w:cs="宋体"/>
          <w:color w:val="ff0000"/>
        </w:rPr>
      </w:pPr>
      <w:r>
        <w:rPr>
          <w:rFonts w:ascii="宋体" w:hAnsi="宋体" w:cs="宋体"/>
          <w:color w:val="ff0000"/>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860"/>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left="3252" w:hanging="1807"/>
        <w:rPr>
          <w:rFonts w:ascii="宋体" w:hAnsi="宋体"/>
          <w:b/>
          <w:sz w:val="36"/>
          <w:szCs w:val="36"/>
          <w:u w:val="single"/>
        </w:rPr>
      </w:pPr>
      <w:r/>
      <w:bookmarkStart w:id="294" w:name="_Toc10010"/>
      <w:r/>
      <w:bookmarkStart w:id="295" w:name="_Toc24371"/>
      <w:r>
        <w:rPr>
          <w:rFonts w:hint="eastAsia" w:ascii="宋体" w:hAnsi="宋体"/>
          <w:b/>
          <w:sz w:val="36"/>
          <w:szCs w:val="36"/>
        </w:rPr>
        <w:t xml:space="preserve">项目名称：</w:t>
      </w:r>
      <w:bookmarkEnd w:id="294"/>
      <w:r>
        <w:rPr>
          <w:rFonts w:hint="eastAsia" w:ascii="宋体" w:hAnsi="宋体"/>
          <w:b/>
          <w:sz w:val="36"/>
          <w:szCs w:val="36"/>
          <w:u w:val="single"/>
        </w:rPr>
        <w:t xml:space="preserve">无锡市政务云骨干节点宜兴存量部分运维项目</w:t>
      </w:r>
      <w:r>
        <w:rPr>
          <w:rFonts w:hint="eastAsia" w:ascii="宋体" w:hAnsi="宋体"/>
          <w:b/>
          <w:sz w:val="36"/>
          <w:szCs w:val="36"/>
          <w:u w:val="single"/>
        </w:rPr>
        <w:t xml:space="preserve">                     </w:t>
      </w:r>
      <w:r/>
    </w:p>
    <w:p>
      <w:pPr>
        <w:jc w:val="center"/>
        <w:rPr>
          <w:rFonts w:ascii="宋体" w:hAnsi="宋体"/>
          <w:b/>
          <w:sz w:val="36"/>
          <w:szCs w:val="36"/>
          <w:u w:val="single"/>
        </w:rPr>
      </w:pPr>
      <w:r/>
      <w:bookmarkStart w:id="296" w:name="_Toc2400"/>
      <w:r>
        <w:rPr>
          <w:rFonts w:hint="eastAsia" w:ascii="宋体" w:hAnsi="宋体"/>
          <w:b/>
          <w:sz w:val="36"/>
          <w:szCs w:val="36"/>
        </w:rPr>
        <w:t xml:space="preserve">项目编号：</w:t>
      </w:r>
      <w:bookmarkEnd w:id="296"/>
      <w:r>
        <w:rPr>
          <w:rFonts w:hint="eastAsia" w:ascii="宋体" w:hAnsi="宋体"/>
          <w:b/>
          <w:sz w:val="36"/>
          <w:szCs w:val="36"/>
          <w:u w:val="single"/>
        </w:rPr>
        <w:t xml:space="preserve">JSZC-320282-JZCG-G2026-0020</w:t>
      </w:r>
      <w:r/>
    </w:p>
    <w:p>
      <w:pPr>
        <w:ind w:firstLine="1446"/>
        <w:rPr>
          <w:rFonts w:ascii="宋体" w:hAnsi="宋体"/>
          <w:b/>
          <w:sz w:val="36"/>
          <w:szCs w:val="36"/>
          <w:u w:val="single"/>
        </w:rPr>
      </w:pPr>
      <w:r>
        <w:rPr>
          <w:rFonts w:hint="eastAsia" w:ascii="宋体" w:hAnsi="宋体"/>
          <w:b/>
          <w:sz w:val="36"/>
          <w:szCs w:val="36"/>
        </w:rPr>
        <w:t xml:space="preserve">投 标 人：</w:t>
      </w:r>
      <w:bookmarkEnd w:id="295"/>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rPr>
          <w:rFonts w:ascii="黑体" w:hAnsi="宋体" w:eastAsia="黑体"/>
          <w:bCs/>
          <w:sz w:val="28"/>
          <w:szCs w:val="28"/>
        </w:rPr>
      </w:pPr>
      <w:r>
        <w:rPr>
          <w:rFonts w:hint="eastAsia" w:ascii="黑体" w:hAnsi="宋体" w:eastAsia="黑体"/>
          <w:bCs/>
          <w:sz w:val="24"/>
          <w:szCs w:val="24"/>
        </w:rPr>
        <w:br w:type="page" w:clear="all"/>
      </w:r>
      <w:bookmarkStart w:id="297" w:name="OLE_LINK151"/>
      <w:r/>
      <w:bookmarkStart w:id="298" w:name="_Toc8000"/>
      <w:r>
        <w:rPr>
          <w:rFonts w:hint="eastAsia" w:ascii="黑体" w:hAnsi="宋体" w:eastAsia="黑体"/>
          <w:bCs/>
          <w:sz w:val="28"/>
          <w:szCs w:val="28"/>
        </w:rPr>
        <w:t xml:space="preserve">二、</w:t>
      </w:r>
      <w:bookmarkStart w:id="299" w:name="_Hlk131928370"/>
      <w:r>
        <w:rPr>
          <w:rFonts w:hint="eastAsia" w:ascii="黑体" w:hAnsi="宋体" w:eastAsia="黑体"/>
          <w:bCs/>
          <w:sz w:val="28"/>
          <w:szCs w:val="28"/>
        </w:rPr>
        <w:t xml:space="preserve">开标一览表</w:t>
      </w:r>
      <w:bookmarkEnd w:id="299"/>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300" w:name="_Toc32423"/>
      <w:r/>
      <w:bookmarkStart w:id="301" w:name="OLE_LINK4"/>
      <w:r/>
      <w:bookmarkStart w:id="302" w:name="_Toc4946"/>
      <w:r>
        <w:rPr>
          <w:rFonts w:hint="eastAsia" w:ascii="黑体" w:eastAsia="黑体"/>
          <w:bCs/>
          <w:sz w:val="28"/>
          <w:szCs w:val="28"/>
        </w:rPr>
        <w:t xml:space="preserve">开标一览表</w:t>
      </w:r>
      <w:bookmarkEnd w:id="300"/>
      <w:r/>
      <w:bookmarkEnd w:id="301"/>
      <w:r/>
      <w:r/>
    </w:p>
    <w:p>
      <w:pPr>
        <w:ind w:firstLine="480"/>
        <w:jc w:val="left"/>
        <w:spacing w:line="480" w:lineRule="auto"/>
        <w:rPr>
          <w:rFonts w:ascii="宋体" w:hAnsi="宋体"/>
          <w:bCs/>
          <w:sz w:val="24"/>
          <w:szCs w:val="24"/>
        </w:rPr>
      </w:pPr>
      <w:r/>
      <w:bookmarkStart w:id="303" w:name="_Hlk160022548"/>
      <w:r>
        <w:rPr>
          <w:rFonts w:hint="eastAsia" w:ascii="宋体" w:hAnsi="宋体"/>
          <w:bCs/>
          <w:sz w:val="24"/>
          <w:szCs w:val="24"/>
        </w:rPr>
        <w:t xml:space="preserve">项目编号：</w:t>
      </w:r>
      <w:r>
        <w:rPr>
          <w:rFonts w:hint="eastAsia" w:ascii="宋体" w:hAnsi="宋体"/>
          <w:bCs/>
          <w:sz w:val="24"/>
          <w:lang w:val="zh-CN"/>
        </w:rPr>
        <w:t xml:space="preserve">JSZC-320282-JZCG-G2026-0020</w:t>
      </w:r>
      <w:bookmarkEnd w:id="303"/>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843"/>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843"/>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843"/>
              <w:jc w:val="center"/>
              <w:widowControl/>
              <w:rPr>
                <w:rFonts w:ascii="宋体" w:hAnsi="宋体"/>
              </w:rPr>
            </w:pPr>
            <w:r>
              <w:rPr>
                <w:rFonts w:hint="eastAsia" w:ascii="宋体" w:hAnsi="宋体" w:cs="微软雅黑"/>
                <w:color w:val="000000"/>
                <w:sz w:val="27"/>
                <w:szCs w:val="27"/>
              </w:rPr>
              <w:t xml:space="preserve">服务费折扣（小写）</w:t>
            </w:r>
            <w:r/>
          </w:p>
        </w:tc>
      </w:tr>
      <w:tr>
        <w:trPr>
          <w:trHeight w:val="807"/>
        </w:trPr>
        <w:tc>
          <w:tcPr>
            <w:tcW w:w="2829" w:type="dxa"/>
            <w:vAlign w:val="center"/>
            <w:textDirection w:val="lrTb"/>
            <w:noWrap w:val="false"/>
          </w:tcPr>
          <w:p>
            <w:pPr>
              <w:pStyle w:val="843"/>
              <w:jc w:val="center"/>
              <w:widowControl/>
              <w:rPr>
                <w:rFonts w:ascii="宋体" w:hAnsi="宋体" w:cs="Segoe UI"/>
                <w:color w:val="000000"/>
                <w:sz w:val="27"/>
                <w:szCs w:val="27"/>
              </w:rPr>
            </w:pPr>
            <w:r>
              <w:rPr>
                <w:rFonts w:hint="eastAsia" w:ascii="宋体" w:hAnsi="宋体" w:cs="Segoe UI"/>
                <w:color w:val="000000"/>
                <w:sz w:val="27"/>
                <w:szCs w:val="27"/>
              </w:rPr>
              <w:t xml:space="preserve">无锡市政务云骨干节点宜兴存量部分运维项目</w:t>
            </w:r>
            <w:r/>
          </w:p>
        </w:tc>
        <w:tc>
          <w:tcPr>
            <w:tcW w:w="2733" w:type="dxa"/>
            <w:vAlign w:val="center"/>
            <w:textDirection w:val="lrTb"/>
            <w:noWrap w:val="false"/>
          </w:tcPr>
          <w:p>
            <w:pPr>
              <w:pStyle w:val="843"/>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843"/>
              <w:jc w:val="center"/>
              <w:widowControl/>
              <w:rPr>
                <w:rFonts w:ascii="宋体" w:hAnsi="宋体" w:cs="Segoe UI"/>
                <w:color w:val="000000"/>
                <w:sz w:val="27"/>
                <w:szCs w:val="27"/>
              </w:rPr>
            </w:pPr>
            <w:r>
              <w:rPr>
                <w:rFonts w:hint="eastAsia" w:ascii="宋体" w:hAnsi="宋体" w:cs="Segoe UI"/>
                <w:color w:val="000000"/>
                <w:sz w:val="27"/>
                <w:szCs w:val="27"/>
              </w:rPr>
              <w:t xml:space="preserve">%</w:t>
            </w:r>
            <w:r/>
          </w:p>
        </w:tc>
      </w:tr>
      <w:tr>
        <w:trPr>
          <w:trHeight w:val="678"/>
        </w:trPr>
        <w:tc>
          <w:tcPr>
            <w:tcW w:w="2829" w:type="dxa"/>
            <w:vAlign w:val="center"/>
            <w:textDirection w:val="lrTb"/>
            <w:noWrap w:val="false"/>
          </w:tcPr>
          <w:p>
            <w:pPr>
              <w:pStyle w:val="843"/>
              <w:jc w:val="center"/>
              <w:widowControl/>
              <w:rPr>
                <w:rFonts w:ascii="宋体" w:hAnsi="宋体" w:cs="Segoe UI"/>
                <w:color w:val="000000"/>
                <w:sz w:val="27"/>
                <w:szCs w:val="27"/>
              </w:rPr>
            </w:pPr>
            <w:r>
              <w:rPr>
                <w:rFonts w:hint="eastAsia" w:ascii="宋体" w:hAnsi="宋体" w:cs="Segoe UI"/>
                <w:color w:val="000000"/>
                <w:sz w:val="27"/>
                <w:szCs w:val="27"/>
              </w:rPr>
              <w:t xml:space="preserve">服务费折扣</w:t>
            </w:r>
            <w:r>
              <w:rPr>
                <w:rFonts w:hint="eastAsia" w:ascii="宋体" w:hAnsi="宋体" w:cs="Segoe UI"/>
                <w:color w:val="000000"/>
                <w:sz w:val="27"/>
                <w:szCs w:val="27"/>
              </w:rPr>
              <w:t xml:space="preserve">（大写）：</w:t>
            </w:r>
            <w:r/>
          </w:p>
        </w:tc>
        <w:tc>
          <w:tcPr>
            <w:gridSpan w:val="2"/>
            <w:tcW w:w="6839" w:type="dxa"/>
            <w:vAlign w:val="center"/>
            <w:textDirection w:val="lrTb"/>
            <w:noWrap w:val="false"/>
          </w:tcPr>
          <w:p>
            <w:pPr>
              <w:pStyle w:val="843"/>
              <w:jc w:val="center"/>
              <w:widowControl/>
              <w:rPr>
                <w:rFonts w:ascii="宋体" w:hAnsi="宋体" w:cs="Segoe UI"/>
                <w:color w:val="000000"/>
                <w:sz w:val="27"/>
                <w:szCs w:val="27"/>
              </w:rPr>
            </w:pPr>
            <w:r>
              <w:rPr>
                <w:rFonts w:ascii="宋体" w:hAnsi="宋体" w:cs="Segoe UI"/>
                <w:color w:val="000000"/>
                <w:sz w:val="27"/>
                <w:szCs w:val="27"/>
              </w:rPr>
            </w:r>
            <w:r/>
          </w:p>
        </w:tc>
      </w:tr>
    </w:tbl>
    <w:p>
      <w:pPr>
        <w:pStyle w:val="843"/>
        <w:ind w:right="960" w:firstLine="5520"/>
        <w:widowControl/>
        <w:rPr>
          <w:rFonts w:ascii="宋体" w:hAnsi="宋体"/>
          <w:bCs/>
        </w:rPr>
      </w:pPr>
      <w:r>
        <w:rPr>
          <w:rFonts w:ascii="宋体" w:hAnsi="宋体"/>
          <w:bCs/>
        </w:rPr>
      </w:r>
      <w:r/>
    </w:p>
    <w:p>
      <w:pPr>
        <w:pStyle w:val="843"/>
        <w:ind w:right="960" w:firstLine="5520"/>
        <w:widowControl/>
        <w:rPr>
          <w:rFonts w:ascii="宋体" w:hAnsi="宋体"/>
        </w:rPr>
      </w:pPr>
      <w:r>
        <w:rPr>
          <w:rFonts w:hint="eastAsia" w:ascii="宋体" w:hAnsi="宋体"/>
          <w:bCs/>
        </w:rPr>
        <w:t xml:space="preserve">投标人（电子签章）：</w:t>
      </w:r>
      <w:r/>
    </w:p>
    <w:p>
      <w:pPr>
        <w:pStyle w:val="835"/>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35"/>
        <w:rPr>
          <w:rFonts w:ascii="宋体" w:hAnsi="宋体"/>
          <w:bCs/>
          <w:szCs w:val="21"/>
        </w:rPr>
      </w:pPr>
      <w:r>
        <w:rPr>
          <w:rFonts w:ascii="宋体" w:hAnsi="宋体"/>
          <w:bCs/>
          <w:szCs w:val="21"/>
        </w:rPr>
      </w:r>
      <w:r/>
    </w:p>
    <w:p>
      <w:pPr>
        <w:pStyle w:val="835"/>
        <w:rPr>
          <w:rFonts w:ascii="宋体" w:hAnsi="宋体"/>
          <w:bCs/>
          <w:szCs w:val="21"/>
        </w:rPr>
      </w:pPr>
      <w:r>
        <w:rPr>
          <w:rFonts w:hint="eastAsia" w:ascii="宋体" w:hAnsi="宋体"/>
          <w:bCs/>
          <w:szCs w:val="21"/>
        </w:rPr>
        <w:t xml:space="preserve">本次投标报价须为折扣报价，投标人针对本项目云服务目录及限价报出整体折扣率b%（投标人须依据企业自身能力申报服务费折扣率b%，b值应为固定整数，取值范围为0&lt;b≤100。</w:t>
      </w:r>
      <w:r/>
    </w:p>
    <w:p>
      <w:pPr>
        <w:pStyle w:val="835"/>
        <w:rPr>
          <w:rFonts w:ascii="宋体" w:hAnsi="宋体"/>
          <w:bCs/>
          <w:szCs w:val="21"/>
        </w:rPr>
      </w:pPr>
      <w:r>
        <w:rPr>
          <w:rFonts w:hint="eastAsia" w:ascii="宋体" w:hAnsi="宋体"/>
          <w:bCs/>
          <w:szCs w:val="21"/>
        </w:rPr>
        <w:t xml:space="preserve">如投标人报价为b折，即在《开标一览表》中填列b%，则投标人各单项报价=目录单项限价×b%），不得针对单项服务报价。根据折扣报价计算的云计算服务价格包含服务费、税费等其他所有费用。</w:t>
      </w:r>
      <w:r/>
    </w:p>
    <w:p>
      <w:pPr>
        <w:pStyle w:val="835"/>
        <w:rPr>
          <w:rFonts w:ascii="宋体" w:hAnsi="宋体"/>
          <w:bCs/>
          <w:szCs w:val="21"/>
        </w:rPr>
      </w:pPr>
      <w:r>
        <w:rPr>
          <w:rFonts w:hint="eastAsia" w:ascii="宋体" w:hAnsi="宋体"/>
          <w:bCs/>
          <w:szCs w:val="21"/>
        </w:rPr>
        <w:t xml:space="preserve">中标人的投标报价为本项目合同执行期间提供云服务的最高限价。</w:t>
      </w:r>
      <w:r/>
    </w:p>
    <w:p>
      <w:pPr>
        <w:pStyle w:val="835"/>
        <w:rPr>
          <w:rFonts w:ascii="宋体" w:hAnsi="宋体"/>
          <w:bCs/>
          <w:szCs w:val="21"/>
        </w:rPr>
      </w:pPr>
      <w:r>
        <w:rPr>
          <w:rFonts w:ascii="宋体" w:hAnsi="宋体"/>
          <w:bCs/>
          <w:szCs w:val="21"/>
        </w:rPr>
      </w:r>
      <w:r/>
    </w:p>
    <w:p>
      <w:pPr>
        <w:pStyle w:val="835"/>
        <w:rPr>
          <w:rFonts w:ascii="宋体" w:hAnsi="宋体"/>
          <w:bCs/>
          <w:szCs w:val="21"/>
        </w:rPr>
      </w:pPr>
      <w:r>
        <w:rPr>
          <w:rFonts w:hint="eastAsia" w:ascii="宋体" w:hAnsi="宋体"/>
          <w:bCs/>
          <w:szCs w:val="21"/>
        </w:rPr>
        <w:t xml:space="preserve">项目服务费依据该项目实际发生的分项服务内容所对应的服务费累计计算。各分项服务费的计算方式为：分项服务最高价格上限乘以b%，按价格表中年、月、天计费方式算出每日服务费用，最后乘以实际服务使用天数。所有费用均为含税金额。</w:t>
      </w:r>
      <w:r/>
    </w:p>
    <w:p>
      <w:pPr>
        <w:pStyle w:val="835"/>
        <w:rPr>
          <w:rFonts w:ascii="宋体" w:hAnsi="宋体"/>
          <w:bCs/>
          <w:szCs w:val="21"/>
        </w:rPr>
      </w:pPr>
      <w:r>
        <w:rPr>
          <w:rFonts w:hint="eastAsia" w:ascii="宋体" w:hAnsi="宋体"/>
          <w:bCs/>
          <w:szCs w:val="21"/>
        </w:rPr>
        <w:t xml:space="preserve">注：</w:t>
      </w:r>
      <w:r/>
    </w:p>
    <w:p>
      <w:pPr>
        <w:pStyle w:val="835"/>
        <w:rPr>
          <w:rFonts w:ascii="宋体" w:hAnsi="宋体"/>
          <w:bCs/>
          <w:szCs w:val="21"/>
        </w:rPr>
      </w:pPr>
      <w:r>
        <w:rPr>
          <w:rFonts w:hint="eastAsia" w:ascii="宋体" w:hAnsi="宋体"/>
          <w:bCs/>
          <w:szCs w:val="21"/>
        </w:rPr>
        <w:t xml:space="preserve">1.分项服务最高价格上限参照服务目录所列对应服务类别的年度最高限价，以365天为全年基准计费天数，按实际服务使用天数折算单日费用后计算分项服务费。</w:t>
      </w:r>
      <w:r/>
    </w:p>
    <w:p>
      <w:pPr>
        <w:pStyle w:val="835"/>
        <w:rPr>
          <w:rFonts w:ascii="宋体" w:hAnsi="宋体"/>
          <w:bCs/>
          <w:szCs w:val="21"/>
        </w:rPr>
      </w:pPr>
      <w:r>
        <w:rPr>
          <w:rFonts w:hint="eastAsia" w:ascii="宋体" w:hAnsi="宋体"/>
          <w:bCs/>
          <w:szCs w:val="21"/>
        </w:rPr>
        <w:t xml:space="preserve">2.本项目服务费按单日折算计费方式核算，具体流程为：以对应服务类别的最高价格上限乘以投标固定折扣率，折算为年度含税总价；将该总价平摊至每日单价；再乘以实际服务使用天数，得出单项服务费。各分项服务费累加之和，即为该项目总服务费。</w:t>
      </w:r>
      <w:r/>
    </w:p>
    <w:p>
      <w:pPr>
        <w:pStyle w:val="835"/>
        <w:rPr>
          <w:rFonts w:ascii="宋体" w:hAnsi="宋体"/>
          <w:bCs/>
          <w:szCs w:val="21"/>
        </w:rPr>
      </w:pPr>
      <w:r>
        <w:rPr>
          <w:rFonts w:hint="eastAsia" w:ascii="宋体" w:hAnsi="宋体"/>
          <w:bCs/>
          <w:szCs w:val="21"/>
        </w:rPr>
        <w:t xml:space="preserve">3.示例1：若1台虚拟主机A的年度最高限价为7452元，实际使用天数为100天，则该台虚拟主机A当年服务费计算公式为：7452 × b% ÷ 365 × 100。</w:t>
      </w:r>
      <w:r/>
    </w:p>
    <w:p>
      <w:pPr>
        <w:pStyle w:val="835"/>
        <w:rPr>
          <w:rFonts w:ascii="宋体" w:hAnsi="宋体"/>
          <w:bCs/>
          <w:szCs w:val="21"/>
        </w:rPr>
      </w:pPr>
      <w:r>
        <w:rPr>
          <w:rFonts w:hint="eastAsia" w:ascii="宋体" w:hAnsi="宋体"/>
          <w:bCs/>
          <w:szCs w:val="21"/>
        </w:rPr>
        <w:t xml:space="preserve">示例2：若基础网络和安全的月度最高限价为79500元，实际使用天数为100天，则该项服务当年服务费计算公式为：79500 × b% × 12 ÷ 365 × 100。</w:t>
      </w:r>
      <w:r/>
    </w:p>
    <w:p>
      <w:pPr>
        <w:pStyle w:val="835"/>
        <w:rPr>
          <w:rFonts w:ascii="宋体" w:hAnsi="宋体"/>
          <w:bCs/>
          <w:szCs w:val="21"/>
        </w:rPr>
      </w:pPr>
      <w:r>
        <w:rPr>
          <w:rFonts w:hint="eastAsia" w:ascii="宋体" w:hAnsi="宋体"/>
          <w:bCs/>
          <w:szCs w:val="21"/>
        </w:rPr>
        <w:t xml:space="preserve">示例3：若漏洞扫描年度最高限价300元/次，则根据次数n计算该项服务费：300 × b% × 次数n。</w:t>
      </w:r>
      <w:bookmarkEnd w:id="302"/>
      <w:r/>
    </w:p>
    <w:p>
      <w:pPr>
        <w:ind w:right="480"/>
        <w:spacing w:line="360" w:lineRule="auto"/>
        <w:tabs>
          <w:tab w:val="right" w:pos="9158" w:leader="none"/>
        </w:tabs>
        <w:rPr>
          <w:rFonts w:ascii="宋体" w:hAnsi="宋体"/>
          <w:b/>
          <w:sz w:val="24"/>
          <w:szCs w:val="24"/>
          <w:highlight w:val="red"/>
        </w:rPr>
      </w:pPr>
      <w:r>
        <w:rPr>
          <w:rFonts w:hint="eastAsia" w:cs="Arial"/>
          <w:b/>
          <w:sz w:val="28"/>
          <w:szCs w:val="28"/>
        </w:rPr>
        <w:t xml:space="preserve">三、</w:t>
      </w:r>
      <w:bookmarkEnd w:id="297"/>
      <w:r>
        <w:rPr>
          <w:rFonts w:hint="eastAsia" w:ascii="黑体" w:eastAsia="黑体"/>
          <w:bCs/>
          <w:sz w:val="28"/>
          <w:szCs w:val="28"/>
        </w:rPr>
        <w:t xml:space="preserve">关于资格的声明函</w:t>
      </w:r>
      <w:r>
        <w:rPr>
          <w:rFonts w:hint="eastAsia" w:cs="Arial"/>
          <w:b/>
          <w:sz w:val="28"/>
          <w:szCs w:val="28"/>
        </w:rPr>
        <w:t xml:space="preserve">（给定格式）：</w:t>
      </w:r>
      <w:bookmarkEnd w:id="298"/>
      <w:r/>
      <w:r/>
    </w:p>
    <w:p>
      <w:pPr>
        <w:jc w:val="center"/>
        <w:rPr>
          <w:rFonts w:ascii="黑体" w:eastAsia="黑体"/>
          <w:bCs/>
          <w:sz w:val="32"/>
        </w:rPr>
      </w:pPr>
      <w:r/>
      <w:bookmarkStart w:id="304" w:name="报价方关于资格的声明函（格式）"/>
      <w:r/>
      <w:bookmarkStart w:id="305" w:name="_Toc24943"/>
      <w:r/>
      <w:bookmarkEnd w:id="304"/>
      <w:r>
        <w:rPr>
          <w:rFonts w:hint="eastAsia" w:ascii="黑体" w:eastAsia="黑体"/>
          <w:bCs/>
          <w:sz w:val="28"/>
          <w:szCs w:val="28"/>
        </w:rPr>
        <w:t xml:space="preserve">关于资格的声明函</w:t>
      </w:r>
      <w:bookmarkEnd w:id="305"/>
      <w:r/>
      <w:r/>
    </w:p>
    <w:p>
      <w:pPr>
        <w:jc w:val="center"/>
        <w:spacing w:line="480" w:lineRule="auto"/>
        <w:rPr>
          <w:rFonts w:ascii="宋体"/>
          <w:bCs/>
          <w:sz w:val="24"/>
          <w:szCs w:val="24"/>
        </w:rPr>
      </w:pPr>
      <w:r/>
      <w:bookmarkStart w:id="306" w:name="OLE_LINK80"/>
      <w:r/>
      <w:r/>
    </w:p>
    <w:p>
      <w:pPr>
        <w:spacing w:line="480" w:lineRule="auto"/>
        <w:rPr>
          <w:rFonts w:ascii="宋体"/>
          <w:bCs/>
          <w:sz w:val="24"/>
          <w:szCs w:val="24"/>
        </w:rPr>
      </w:pPr>
      <w:r>
        <w:rPr>
          <w:rFonts w:hint="eastAsia" w:ascii="宋体" w:hAnsi="宋体"/>
          <w:bCs/>
          <w:sz w:val="24"/>
          <w:szCs w:val="24"/>
        </w:rPr>
        <w:t xml:space="preserve">宜兴市市域社会治理现代化指挥中心</w:t>
      </w:r>
      <w:r>
        <w:rPr>
          <w:rFonts w:hint="eastAsia" w:ascii="宋体" w:hAnsi="宋体"/>
          <w:bCs/>
          <w:sz w:val="24"/>
          <w:szCs w:val="24"/>
        </w:rPr>
        <w:t xml:space="preserve">：</w:t>
      </w:r>
      <w:bookmarkEnd w:id="306"/>
      <w:r/>
      <w:r/>
    </w:p>
    <w:p>
      <w:pPr>
        <w:ind w:firstLine="480"/>
        <w:jc w:val="left"/>
        <w:spacing w:line="480" w:lineRule="auto"/>
        <w:rPr>
          <w:rFonts w:ascii="宋体"/>
          <w:bCs/>
          <w:sz w:val="24"/>
          <w:szCs w:val="24"/>
        </w:rPr>
      </w:pPr>
      <w:r/>
      <w:bookmarkStart w:id="307"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308" w:name="_Hlk161058152"/>
      <w:r>
        <w:rPr>
          <w:rFonts w:hint="eastAsia" w:ascii="宋体" w:hAnsi="宋体"/>
          <w:bCs/>
          <w:sz w:val="24"/>
          <w:szCs w:val="24"/>
        </w:rPr>
        <w:t xml:space="preserve">（项目编号：</w:t>
      </w:r>
      <w:r>
        <w:rPr>
          <w:rFonts w:hint="eastAsia" w:ascii="宋体" w:hAnsi="宋体"/>
          <w:bCs/>
          <w:sz w:val="24"/>
          <w:szCs w:val="24"/>
        </w:rPr>
        <w:t xml:space="preserve">JSZC-320282-JZCG-G2026-0020</w:t>
      </w:r>
      <w:r>
        <w:rPr>
          <w:rFonts w:hint="eastAsia" w:ascii="宋体" w:hAnsi="宋体"/>
          <w:bCs/>
          <w:sz w:val="24"/>
          <w:szCs w:val="24"/>
        </w:rPr>
        <w:t xml:space="preserve">）</w:t>
      </w:r>
      <w:bookmarkEnd w:id="308"/>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309" w:name="OLE_LINK242"/>
      <w:r>
        <w:rPr>
          <w:rFonts w:hint="eastAsia" w:ascii="宋体" w:hAnsi="宋体" w:cs="宋体"/>
          <w:sz w:val="24"/>
          <w:szCs w:val="24"/>
        </w:rPr>
        <w:t xml:space="preserve">有效期限</w:t>
      </w:r>
      <w:bookmarkEnd w:id="309"/>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307"/>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310" w:name="OLE_LINK81"/>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jc w:val="center"/>
        <w:spacing w:line="360" w:lineRule="auto"/>
        <w:rPr>
          <w:rFonts w:ascii="黑体" w:eastAsia="黑体"/>
          <w:bCs/>
          <w:sz w:val="28"/>
          <w:szCs w:val="28"/>
        </w:rPr>
      </w:pPr>
      <w:r/>
      <w:bookmarkStart w:id="311" w:name="OLE_LINK36"/>
      <w:r/>
      <w:bookmarkStart w:id="312" w:name="OLE_LINK152"/>
      <w:r/>
      <w:bookmarkEnd w:id="310"/>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bookmarkEnd w:id="311"/>
      <w:r/>
    </w:p>
    <w:p>
      <w:pPr>
        <w:jc w:val="center"/>
        <w:spacing w:line="360" w:lineRule="auto"/>
        <w:rPr>
          <w:rFonts w:ascii="黑体" w:eastAsia="黑体"/>
          <w:bCs/>
          <w:sz w:val="28"/>
          <w:szCs w:val="28"/>
        </w:rPr>
      </w:pPr>
      <w:r>
        <w:rPr>
          <w:rFonts w:ascii="黑体" w:eastAsia="黑体"/>
          <w:bCs/>
          <w:sz w:val="28"/>
          <w:szCs w:val="28"/>
        </w:rPr>
      </w:r>
      <w:r/>
    </w:p>
    <w:p>
      <w:pPr>
        <w:pStyle w:val="836"/>
      </w:pPr>
      <w:r/>
      <w:r/>
    </w:p>
    <w:p>
      <w:pPr>
        <w:pStyle w:val="844"/>
      </w:pPr>
      <w:r/>
      <w:r/>
    </w:p>
    <w:p>
      <w:pPr>
        <w:pStyle w:val="844"/>
      </w:pPr>
      <w:r/>
      <w:r/>
    </w:p>
    <w:p>
      <w:pPr>
        <w:rPr>
          <w:rFonts w:ascii="黑体" w:hAnsi="宋体" w:eastAsia="黑体"/>
          <w:bCs/>
          <w:color w:val="000000"/>
          <w:sz w:val="24"/>
          <w:szCs w:val="24"/>
        </w:rPr>
      </w:pPr>
      <w:r/>
      <w:bookmarkStart w:id="313" w:name="_Hlk131928408"/>
      <w:r>
        <w:rPr>
          <w:rFonts w:hint="eastAsia"/>
          <w:color w:val="000000"/>
        </w:rPr>
        <w:t xml:space="preserve">注：上述所称“重大违法记录”是指投标人因违法经营受到刑事处罚或者责令停产停业、吊销许可证或者执照、较大数额罚款等行政处罚。</w:t>
      </w:r>
      <w:bookmarkEnd w:id="313"/>
      <w:r/>
    </w:p>
    <w:p>
      <w:pPr>
        <w:pStyle w:val="844"/>
      </w:pPr>
      <w:r/>
      <w:bookmarkEnd w:id="312"/>
      <w:r/>
    </w:p>
    <w:p>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314" w:name="OLE_LINK186"/>
      <w:r>
        <w:rPr>
          <w:rFonts w:hint="eastAsia" w:ascii="宋体" w:hAnsi="宋体"/>
          <w:bCs/>
          <w:sz w:val="24"/>
          <w:lang w:val="zh-CN"/>
        </w:rPr>
        <w:t xml:space="preserve">宜兴市市域社会治理现代化指挥中心</w:t>
      </w:r>
      <w:r>
        <w:rPr>
          <w:rFonts w:hint="eastAsia" w:ascii="宋体" w:hAnsi="宋体"/>
          <w:bCs/>
          <w:sz w:val="24"/>
          <w:lang w:val="zh-CN"/>
        </w:rPr>
        <w:t xml:space="preserve">、</w:t>
      </w:r>
      <w:bookmarkEnd w:id="314"/>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15"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315"/>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w:t>
      </w:r>
      <w:r>
        <w:rPr>
          <w:rFonts w:hint="eastAsia" w:ascii="宋体" w:hAnsi="宋体"/>
          <w:sz w:val="24"/>
          <w:szCs w:val="21"/>
          <w:lang w:val="zh-CN"/>
        </w:rPr>
        <w:t xml:space="preserve">JSZC-320282-JZCG-G2026-0020</w:t>
      </w:r>
      <w:r>
        <w:rPr>
          <w:rFonts w:hint="eastAsia" w:ascii="宋体" w:hAnsi="宋体"/>
          <w:sz w:val="24"/>
          <w:szCs w:val="21"/>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pStyle w:val="844"/>
        <w:ind w:firstLine="0"/>
        <w:rPr>
          <w:rFonts w:ascii="黑体" w:hAnsi="宋体" w:eastAsia="黑体"/>
          <w:bCs/>
          <w:sz w:val="24"/>
          <w:szCs w:val="24"/>
          <w:highlight w:val="yellow"/>
        </w:rPr>
      </w:pPr>
      <w:r>
        <w:rPr>
          <w:rFonts w:ascii="黑体" w:hAnsi="宋体" w:eastAsia="黑体"/>
          <w:bCs/>
          <w:sz w:val="24"/>
          <w:szCs w:val="24"/>
          <w:highlight w:val="yellow"/>
        </w:rPr>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宜兴市市域社会治理现代化指挥中心</w:t>
      </w:r>
      <w:r>
        <w:rPr>
          <w:rFonts w:hint="eastAsia" w:ascii="宋体" w:hAnsi="宋体"/>
          <w:bCs/>
          <w:sz w:val="24"/>
          <w:szCs w:val="24"/>
        </w:rPr>
        <w:t xml:space="preserve">的</w:t>
      </w:r>
      <w:r>
        <w:rPr>
          <w:rFonts w:hint="eastAsia" w:ascii="宋体" w:hAnsi="宋体"/>
          <w:bCs/>
          <w:sz w:val="24"/>
          <w:szCs w:val="24"/>
          <w:u w:val="single"/>
        </w:rPr>
        <w:t xml:space="preserve">无锡市政务云骨干节点宜兴存量部分运维项目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845"/>
        <w:tblW w:w="9556" w:type="dxa"/>
        <w:jc w:val="center"/>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rPr>
              <w:t xml:space="preserve">无锡市政务云骨干节点宜兴存量部分运维项目</w:t>
            </w:r>
            <w:r/>
          </w:p>
        </w:tc>
        <w:tc>
          <w:tcPr>
            <w:tcW w:w="1149" w:type="dxa"/>
            <w:vAlign w:val="center"/>
            <w:textDirection w:val="lrTb"/>
            <w:noWrap w:val="false"/>
          </w:tcPr>
          <w:p>
            <w:pPr>
              <w:jc w:val="center"/>
              <w:rPr>
                <w:rFonts w:ascii="宋体" w:hAnsi="宋体"/>
                <w:bCs/>
                <w:szCs w:val="21"/>
              </w:rPr>
            </w:pPr>
            <w:r>
              <w:rPr>
                <w:rFonts w:hint="eastAsia" w:ascii="宋体" w:hAnsi="宋体"/>
                <w:bCs/>
                <w:szCs w:val="21"/>
              </w:rPr>
              <w:t xml:space="preserve">软件和信息技术服务</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right="96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所属行业为</w:t>
      </w:r>
      <w:r>
        <w:rPr>
          <w:rFonts w:hint="eastAsia" w:asciiTheme="majorEastAsia" w:hAnsiTheme="majorEastAsia" w:eastAsiaTheme="majorEastAsia" w:cstheme="majorEastAsia"/>
          <w:b/>
          <w:szCs w:val="21"/>
        </w:rPr>
        <w:t xml:space="preserve">软件和信息技术服务</w:t>
      </w:r>
      <w:r>
        <w:rPr>
          <w:rFonts w:hint="eastAsia" w:asciiTheme="majorEastAsia" w:hAnsiTheme="majorEastAsia" w:eastAsiaTheme="majorEastAsia" w:cstheme="majorEastAsia"/>
          <w:b/>
          <w:szCs w:val="21"/>
        </w:rPr>
        <w:t xml:space="preserve">，</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ascii="黑体" w:hAnsi="黑体" w:eastAsia="黑体"/>
          <w:sz w:val="24"/>
          <w:szCs w:val="24"/>
        </w:rPr>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rPr>
        <w:t xml:space="preserve">宜兴市市域社会治理现代化指挥中心</w:t>
      </w:r>
      <w:r>
        <w:rPr>
          <w:rFonts w:hint="eastAsia"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hint="eastAsia" w:ascii="宋体" w:hAnsi="宋体"/>
          <w:bCs/>
          <w:sz w:val="24"/>
          <w:szCs w:val="24"/>
          <w:u w:val="single"/>
        </w:rPr>
        <w:t xml:space="preserve">无锡市政务云骨干节点宜兴存量部分运维项目</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836"/>
      </w:pPr>
      <w:r/>
      <w:r/>
    </w:p>
    <w:p>
      <w:pPr>
        <w:pStyle w:val="844"/>
      </w:pPr>
      <w:r/>
      <w:r/>
    </w:p>
    <w:p>
      <w:pPr>
        <w:ind w:firstLine="480"/>
        <w:spacing w:line="580" w:lineRule="exact"/>
        <w:rPr>
          <w:rFonts w:ascii="宋体" w:hAnsi="宋体"/>
          <w:bCs/>
          <w:sz w:val="24"/>
          <w:szCs w:val="24"/>
        </w:rPr>
      </w:pPr>
      <w:r>
        <w:rPr>
          <w:rFonts w:ascii="宋体" w:hAnsi="宋体"/>
          <w:bCs/>
          <w:sz w:val="24"/>
          <w:szCs w:val="24"/>
        </w:rPr>
      </w:r>
      <w:r/>
    </w:p>
    <w:p>
      <w:pPr>
        <w:pStyle w:val="836"/>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pStyle w:val="844"/>
        <w:ind w:firstLine="0"/>
        <w:rPr>
          <w:rFonts w:ascii="宋体" w:hAnsi="宋体"/>
          <w:sz w:val="24"/>
          <w:szCs w:val="21"/>
        </w:rPr>
      </w:pPr>
      <w:r>
        <w:rPr>
          <w:rFonts w:ascii="宋体" w:hAnsi="宋体"/>
          <w:sz w:val="24"/>
          <w:szCs w:val="21"/>
        </w:rPr>
      </w:r>
      <w:r/>
    </w:p>
    <w:p>
      <w:pPr>
        <w:jc w:val="left"/>
        <w:spacing w:line="560" w:lineRule="exact"/>
        <w:rPr>
          <w:rFonts w:ascii="仿宋" w:hAnsi="仿宋" w:eastAsia="仿宋" w:cs="仿宋"/>
          <w:sz w:val="28"/>
          <w:szCs w:val="28"/>
        </w:rPr>
      </w:pPr>
      <w:r>
        <w:rPr>
          <w:rFonts w:ascii="宋体" w:hAnsi="宋体"/>
          <w:sz w:val="24"/>
          <w:szCs w:val="21"/>
        </w:rPr>
        <w:br w:type="page" w:clear="all"/>
      </w: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bookmarkStart w:id="316"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317" w:name="_Hlk166058340"/>
      <w:r>
        <w:rPr>
          <w:rFonts w:hint="eastAsia" w:ascii="宋体" w:hAnsi="宋体"/>
          <w:sz w:val="24"/>
          <w:szCs w:val="21"/>
          <w:lang w:val="zh-CN"/>
        </w:rPr>
        <w:t xml:space="preserve">（项目编号：</w:t>
      </w:r>
      <w:r>
        <w:rPr>
          <w:rFonts w:hint="eastAsia" w:ascii="宋体" w:hAnsi="宋体"/>
          <w:sz w:val="24"/>
          <w:szCs w:val="21"/>
          <w:lang w:val="zh-CN"/>
        </w:rPr>
        <w:t xml:space="preserve">JSZC-320282-JZCG-G2026-0020</w:t>
      </w:r>
      <w:r>
        <w:rPr>
          <w:rFonts w:hint="eastAsia" w:ascii="宋体" w:hAnsi="宋体"/>
          <w:sz w:val="24"/>
          <w:szCs w:val="21"/>
          <w:lang w:val="zh-CN"/>
        </w:rPr>
        <w:t xml:space="preserve">）</w:t>
      </w:r>
      <w:bookmarkEnd w:id="317"/>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1"/>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318" w:name="_Hlk151451066"/>
      <w:r>
        <w:rPr>
          <w:rFonts w:hint="eastAsia" w:ascii="宋体" w:hAnsi="宋体"/>
          <w:bCs/>
          <w:szCs w:val="21"/>
        </w:rPr>
        <w:t xml:space="preserve">注：如采购人接受联合体且投标人组成联合体的，应提供有效的联合体协议书，否则无需提供。</w:t>
      </w:r>
      <w:bookmarkEnd w:id="318"/>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319" w:name="OLE_LINK82"/>
      <w:r/>
      <w:r/>
    </w:p>
    <w:p>
      <w:pPr>
        <w:rPr>
          <w:rFonts w:ascii="黑体" w:hAnsi="宋体" w:eastAsia="黑体"/>
          <w:bCs/>
          <w:sz w:val="24"/>
          <w:szCs w:val="24"/>
        </w:rPr>
      </w:pPr>
      <w:r>
        <w:rPr>
          <w:rFonts w:hint="eastAsia" w:ascii="黑体" w:hAnsi="黑体" w:eastAsia="黑体"/>
          <w:sz w:val="28"/>
          <w:szCs w:val="28"/>
        </w:rPr>
        <w:t xml:space="preserve">七、分包情况说明</w:t>
      </w:r>
      <w:bookmarkEnd w:id="319"/>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320" w:name="_Hlk152583523"/>
      <w:r/>
      <w:bookmarkEnd w:id="316"/>
      <w:r>
        <w:rPr>
          <w:rFonts w:hint="eastAsia" w:ascii="宋体" w:hAnsi="宋体" w:cs="宋体"/>
          <w:sz w:val="24"/>
          <w:szCs w:val="24"/>
        </w:rPr>
        <w:t xml:space="preserve">我公司根据本项目</w:t>
      </w:r>
      <w:r>
        <w:rPr>
          <w:rFonts w:hint="eastAsia" w:ascii="宋体" w:hAnsi="宋体"/>
          <w:sz w:val="24"/>
          <w:szCs w:val="21"/>
          <w:lang w:val="zh-CN"/>
        </w:rPr>
        <w:t xml:space="preserve">（项目编号：</w:t>
      </w:r>
      <w:r>
        <w:rPr>
          <w:rFonts w:hint="eastAsia" w:ascii="宋体" w:hAnsi="宋体"/>
          <w:sz w:val="24"/>
          <w:szCs w:val="21"/>
          <w:lang w:val="zh-CN"/>
        </w:rPr>
        <w:t xml:space="preserve">JSZC-320282-JZCG-G2026-0020</w:t>
      </w:r>
      <w:r>
        <w:rPr>
          <w:rFonts w:hint="eastAsia" w:ascii="宋体" w:hAnsi="宋体"/>
          <w:sz w:val="24"/>
          <w:szCs w:val="21"/>
          <w:lang w:val="zh-CN"/>
        </w:rPr>
        <w:t xml:space="preserve">）</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321" w:name="OLE_LINK203"/>
      <w:r/>
      <w:bookmarkEnd w:id="321"/>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320"/>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835"/>
        <w:rPr>
          <w:rFonts w:ascii="宋体" w:hAnsi="宋体"/>
          <w:bCs/>
          <w:sz w:val="24"/>
          <w:szCs w:val="24"/>
        </w:rPr>
      </w:pPr>
      <w:r>
        <w:rPr>
          <w:rFonts w:ascii="宋体" w:hAnsi="宋体"/>
          <w:bCs/>
          <w:sz w:val="24"/>
          <w:szCs w:val="24"/>
        </w:rPr>
      </w:r>
      <w:r/>
    </w:p>
    <w:p>
      <w:pPr>
        <w:pStyle w:val="835"/>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黑体" w:eastAsia="黑体"/>
          <w:sz w:val="28"/>
          <w:szCs w:val="28"/>
        </w:rPr>
      </w:pPr>
      <w:r/>
      <w:bookmarkStart w:id="322" w:name="OLE_LINK149"/>
      <w:r/>
      <w:bookmarkStart w:id="323" w:name="_Hlk160009940"/>
      <w:r>
        <w:rPr>
          <w:rFonts w:ascii="宋体" w:hAnsi="宋体"/>
          <w:bCs/>
          <w:szCs w:val="21"/>
        </w:rPr>
        <w:br w:type="page" w:clear="all"/>
      </w:r>
      <w:bookmarkEnd w:id="322"/>
      <w:r/>
      <w:bookmarkEnd w:id="323"/>
      <w:r>
        <w:rPr>
          <w:rFonts w:hint="eastAsia" w:ascii="黑体" w:hAnsi="黑体" w:eastAsia="黑体"/>
          <w:sz w:val="28"/>
          <w:szCs w:val="28"/>
        </w:rPr>
        <w:t xml:space="preserve">八</w:t>
      </w:r>
      <w:r>
        <w:rPr>
          <w:rFonts w:hint="eastAsia" w:ascii="黑体" w:hAnsi="黑体" w:eastAsia="黑体"/>
          <w:sz w:val="28"/>
          <w:szCs w:val="28"/>
        </w:rPr>
        <w:t xml:space="preserve">、投标函（给定格式）：</w:t>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jc w:val="left"/>
        <w:spacing w:line="360" w:lineRule="auto"/>
        <w:rPr>
          <w:rFonts w:ascii="宋体" w:hAnsi="宋体"/>
          <w:bCs/>
          <w:sz w:val="24"/>
          <w:lang w:val="zh-CN"/>
        </w:rPr>
      </w:pPr>
      <w:r>
        <w:rPr>
          <w:rFonts w:hint="eastAsia" w:ascii="宋体" w:hAnsi="宋体"/>
          <w:bCs/>
          <w:sz w:val="24"/>
          <w:lang w:val="zh-CN"/>
        </w:rPr>
        <w:t xml:space="preserve">致</w:t>
      </w:r>
      <w:r>
        <w:rPr>
          <w:rFonts w:hint="eastAsia" w:ascii="宋体" w:hAnsi="宋体"/>
          <w:bCs/>
          <w:sz w:val="24"/>
          <w:lang w:val="zh-CN"/>
        </w:rPr>
        <w:t xml:space="preserve">宜兴市市域社会治理现代化指挥中心</w:t>
      </w:r>
      <w:r>
        <w:rPr>
          <w:rFonts w:hint="eastAsia" w:ascii="宋体" w:hAnsi="宋体"/>
          <w:bCs/>
          <w:sz w:val="24"/>
          <w:lang w:val="zh-CN"/>
        </w:rPr>
        <w:t xml:space="preserve">、宜兴市公共资源交易中心：</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我方收到你们本项目（项目编号：</w:t>
      </w:r>
      <w:r>
        <w:rPr>
          <w:rFonts w:hint="eastAsia" w:ascii="宋体" w:hAnsi="宋体"/>
          <w:bCs/>
          <w:sz w:val="24"/>
          <w:lang w:val="zh-CN"/>
        </w:rPr>
        <w:t xml:space="preserve">JSZC-320282-JZCG-G2026-0020</w:t>
      </w:r>
      <w:r>
        <w:rPr>
          <w:rFonts w:hint="eastAsia" w:ascii="宋体" w:hAnsi="宋体"/>
          <w:bCs/>
          <w:sz w:val="24"/>
          <w:lang w:val="zh-CN"/>
        </w:rPr>
        <w:t xml:space="preserve">）招标文件，经仔细阅读和研究，我方决定参加投标。</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我方愿意按照招标文件的一切要求，提供服务，投标总价详见《开标一览表》。</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我方已对照招标文件要求，填写了服务的偏离情况，详见</w:t>
      </w:r>
      <w:bookmarkStart w:id="324" w:name="_Hlk131935611"/>
      <w:r>
        <w:rPr>
          <w:rFonts w:hint="eastAsia" w:ascii="宋体" w:hAnsi="宋体"/>
          <w:bCs/>
          <w:sz w:val="24"/>
          <w:lang w:val="zh-CN"/>
        </w:rPr>
        <w:t xml:space="preserve">《项目技术要求偏离表》</w:t>
      </w:r>
      <w:bookmarkEnd w:id="324"/>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bookmarkStart w:id="325" w:name="_Hlk160091472"/>
      <w:r/>
      <w:bookmarkStart w:id="326" w:name="_Hlk160091080"/>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bookmarkEnd w:id="325"/>
      <w:r>
        <w:rPr>
          <w:rFonts w:hint="eastAsia" w:ascii="宋体" w:hAnsi="宋体"/>
          <w:bCs/>
          <w:sz w:val="24"/>
          <w:lang w:val="zh-CN"/>
        </w:rPr>
        <w:t xml:space="preserve">。</w:t>
      </w:r>
      <w:bookmarkEnd w:id="326"/>
      <w:r/>
    </w:p>
    <w:p>
      <w:pPr>
        <w:numPr>
          <w:ilvl w:val="0"/>
          <w:numId w:val="12"/>
        </w:numPr>
        <w:jc w:val="left"/>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bookmarkStart w:id="327"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327"/>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spacing w:line="360" w:lineRule="auto"/>
        <w:rPr>
          <w:b/>
          <w:sz w:val="28"/>
          <w:szCs w:val="28"/>
        </w:rPr>
      </w:pPr>
      <w:r>
        <w:rPr>
          <w:rFonts w:hint="eastAsia"/>
          <w:b/>
          <w:sz w:val="28"/>
          <w:szCs w:val="28"/>
        </w:rPr>
        <w:t xml:space="preserve">九</w:t>
      </w:r>
      <w:r>
        <w:rPr>
          <w:rFonts w:hint="eastAsia"/>
          <w:b/>
          <w:sz w:val="28"/>
          <w:szCs w:val="28"/>
        </w:rPr>
        <w:t xml:space="preserve">、承诺书（给定格式）：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JSZC-320282-JZCG-G2026-0020</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bookmarkEnd w:id="292"/>
      <w:r/>
    </w:p>
    <w:p>
      <w:pPr>
        <w:rPr>
          <w:rFonts w:ascii="黑体" w:hAnsi="宋体" w:eastAsia="黑体"/>
          <w:bCs/>
          <w:sz w:val="24"/>
          <w:szCs w:val="24"/>
          <w:lang w:val="zh-CN"/>
        </w:rPr>
      </w:pPr>
      <w:r>
        <w:rPr>
          <w:rFonts w:hint="eastAsia" w:ascii="黑体" w:hAnsi="宋体" w:eastAsia="黑体"/>
          <w:bCs/>
          <w:sz w:val="28"/>
          <w:szCs w:val="28"/>
        </w:rPr>
        <w:t xml:space="preserve">十</w:t>
      </w:r>
      <w:r>
        <w:rPr>
          <w:rFonts w:hint="eastAsia" w:ascii="黑体" w:hAnsi="宋体" w:eastAsia="黑体"/>
          <w:bCs/>
          <w:sz w:val="28"/>
          <w:szCs w:val="28"/>
        </w:rPr>
        <w:t xml:space="preserve">、</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无锡市政务云骨干节点宜兴存量部分运维项目</w:t>
      </w:r>
      <w:r>
        <w:rPr>
          <w:rFonts w:hint="eastAsia" w:ascii="宋体" w:hAnsi="宋体"/>
          <w:sz w:val="24"/>
          <w:szCs w:val="24"/>
        </w:rPr>
        <w:t xml:space="preserve"> </w:t>
      </w:r>
      <w:r/>
    </w:p>
    <w:p>
      <w:pPr>
        <w:rPr>
          <w:rFonts w:ascii="宋体" w:hAnsi="宋体"/>
          <w:sz w:val="24"/>
          <w:szCs w:val="21"/>
          <w:lang w:val="zh-CN"/>
        </w:rPr>
      </w:pPr>
      <w:r>
        <w:rPr>
          <w:rFonts w:hint="eastAsia" w:ascii="宋体" w:hAnsi="宋体"/>
          <w:sz w:val="24"/>
          <w:szCs w:val="24"/>
        </w:rPr>
        <w:t xml:space="preserve">项目编号：</w:t>
      </w:r>
      <w:r>
        <w:rPr>
          <w:rFonts w:hint="eastAsia" w:ascii="宋体" w:hAnsi="宋体"/>
          <w:sz w:val="24"/>
          <w:szCs w:val="24"/>
        </w:rPr>
        <w:t xml:space="preserve">JSZC-320282-JZCG-G2026-0020</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4"/>
          <w:szCs w:val="24"/>
        </w:rPr>
      </w:pPr>
      <w:r>
        <w:rPr>
          <w:rFonts w:ascii="宋体" w:hAnsi="宋体"/>
          <w:sz w:val="24"/>
          <w:szCs w:val="21"/>
          <w:lang w:val="zh-CN"/>
        </w:rPr>
        <w:br w:type="page" w:clear="all"/>
      </w:r>
      <w:r>
        <w:rPr>
          <w:rFonts w:hint="eastAsia" w:ascii="黑体" w:hAnsi="宋体" w:eastAsia="黑体"/>
          <w:bCs/>
          <w:sz w:val="28"/>
          <w:szCs w:val="28"/>
        </w:rPr>
        <w:t xml:space="preserve">十一</w:t>
      </w:r>
      <w:r>
        <w:rPr>
          <w:rFonts w:hint="eastAsia" w:ascii="黑体" w:hAnsi="宋体" w:eastAsia="黑体"/>
          <w:bCs/>
          <w:sz w:val="28"/>
          <w:szCs w:val="28"/>
        </w:rPr>
        <w:t xml:space="preserve">、</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无锡市政务云骨干节点宜兴存量部分运维项目</w:t>
      </w:r>
      <w:r>
        <w:rPr>
          <w:rFonts w:hint="eastAsia" w:ascii="宋体" w:hAnsi="宋体"/>
          <w:sz w:val="24"/>
          <w:szCs w:val="24"/>
        </w:rPr>
        <w:t xml:space="preserve"> </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w:t>
      </w:r>
      <w:r>
        <w:rPr>
          <w:rFonts w:hint="eastAsia" w:ascii="宋体" w:hAnsi="宋体"/>
          <w:sz w:val="24"/>
          <w:szCs w:val="24"/>
        </w:rPr>
        <w:t xml:space="preserve">JSZC-320282-JZCG-G2026-0020</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28"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bookmarkEnd w:id="328"/>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1.表格不够可自行延长。</w:t>
      </w:r>
      <w:r/>
    </w:p>
    <w:p>
      <w:pPr>
        <w:ind w:firstLine="420"/>
        <w:jc w:val="left"/>
      </w:pPr>
      <w:r>
        <w:rPr>
          <w:rFonts w:hint="eastAsia" w:ascii="宋体" w:hAnsi="宋体"/>
        </w:rPr>
        <w:t xml:space="preserve">2.上述</w:t>
      </w:r>
      <w:r>
        <w:rPr>
          <w:rFonts w:hint="eastAsia"/>
        </w:rPr>
        <w:t xml:space="preserve">人员如在项目执行过程中需要更换，须经采购人同意。擅自更换或不到位属违约行为。</w:t>
      </w:r>
      <w:r/>
    </w:p>
    <w:p>
      <w:pPr>
        <w:pStyle w:val="836"/>
      </w:pPr>
      <w:r/>
      <w:r/>
    </w:p>
    <w:p>
      <w:pPr>
        <w:pStyle w:val="844"/>
      </w:pPr>
      <w:r/>
      <w:r/>
    </w:p>
    <w:p>
      <w:pPr>
        <w:jc w:val="right"/>
        <w:rPr>
          <w:rFonts w:ascii="宋体" w:hAnsi="宋体"/>
          <w:bCs/>
          <w:sz w:val="24"/>
        </w:rPr>
      </w:pPr>
      <w:r>
        <w:rPr>
          <w:rFonts w:hint="eastAsia" w:ascii="宋体" w:hAnsi="宋体"/>
          <w:bCs/>
          <w:sz w:val="24"/>
        </w:rPr>
        <w:t xml:space="preserve">投标人（电子签章）：</w:t>
      </w:r>
      <w:r/>
    </w:p>
    <w:p>
      <w:pPr>
        <w:pStyle w:val="844"/>
        <w:jc w:val="right"/>
      </w:pPr>
      <w:r/>
      <w:r/>
    </w:p>
    <w:p>
      <w:pPr>
        <w:pStyle w:val="844"/>
        <w:jc w:val="right"/>
      </w:pPr>
      <w:r/>
      <w:r/>
    </w:p>
    <w:p>
      <w:pPr>
        <w:pStyle w:val="844"/>
        <w:jc w:val="right"/>
      </w:pPr>
      <w:r/>
      <w:r/>
    </w:p>
    <w:p>
      <w:pPr>
        <w:pStyle w:val="844"/>
        <w:jc w:val="right"/>
      </w:pPr>
      <w:r/>
      <w:r/>
    </w:p>
    <w:p>
      <w:pPr>
        <w:ind w:left="420" w:firstLine="420"/>
        <w:spacing w:line="360" w:lineRule="auto"/>
        <w:rPr>
          <w:rFonts w:ascii="宋体" w:hAnsi="宋体"/>
          <w:bCs/>
          <w:szCs w:val="21"/>
        </w:rPr>
      </w:pPr>
      <w:r/>
      <w:bookmarkStart w:id="329" w:name="_Hlk162251903"/>
      <w:r/>
      <w:bookmarkStart w:id="330" w:name="_Hlk152234543"/>
      <w:r/>
      <w:bookmarkEnd w:id="293"/>
      <w:bookmarkEnd w:id="329"/>
      <w:bookmarkEnd w:id="330"/>
      <w:r/>
    </w:p>
    <w:p>
      <w:pPr>
        <w:jc w:val="left"/>
        <w:spacing w:line="560" w:lineRule="exact"/>
        <w:rPr>
          <w:rFonts w:ascii="仿宋" w:hAnsi="仿宋" w:eastAsia="仿宋" w:cs="仿宋"/>
          <w:sz w:val="28"/>
          <w:szCs w:val="28"/>
        </w:rPr>
      </w:pPr>
      <w:r>
        <w:rPr>
          <w:rFonts w:ascii="仿宋" w:hAnsi="仿宋" w:eastAsia="仿宋" w:cs="仿宋"/>
          <w:sz w:val="28"/>
          <w:szCs w:val="28"/>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fldChar w:fldCharType="begin"/>
    </w:r>
    <w:r>
      <w:instrText xml:space="preserve">PAGE   \* MERGEFORMAT</w:instrText>
    </w:r>
    <w:r>
      <w:fldChar w:fldCharType="separate"/>
    </w:r>
    <w:r>
      <w:rPr>
        <w:lang w:val="zh-CN"/>
      </w:rPr>
      <w:t xml:space="preserve">-</w:t>
    </w:r>
    <w:r>
      <w:t xml:space="preserve"> 84 -</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882"/>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0"/>
  </w:num>
  <w:num w:numId="2">
    <w:abstractNumId w:val="34"/>
  </w:num>
  <w:num w:numId="3">
    <w:abstractNumId w:val="33"/>
  </w:num>
  <w:num w:numId="4">
    <w:abstractNumId w:val="32"/>
  </w:num>
  <w:num w:numId="5">
    <w:abstractNumId w:val="24"/>
  </w:num>
  <w:num w:numId="6">
    <w:abstractNumId w:val="37"/>
  </w:num>
  <w:num w:numId="7">
    <w:abstractNumId w:val="27"/>
  </w:num>
  <w:num w:numId="8">
    <w:abstractNumId w:val="38"/>
  </w:num>
  <w:num w:numId="9">
    <w:abstractNumId w:val="1"/>
  </w:num>
  <w:num w:numId="10">
    <w:abstractNumId w:val="14"/>
  </w:num>
  <w:num w:numId="11">
    <w:abstractNumId w:val="36"/>
  </w:num>
  <w:num w:numId="12">
    <w:abstractNumId w:val="25"/>
  </w:num>
  <w:num w:numId="13">
    <w:abstractNumId w:val="26"/>
  </w:num>
  <w:num w:numId="14">
    <w:abstractNumId w:val="0"/>
  </w:num>
  <w:num w:numId="15">
    <w:abstractNumId w:val="17"/>
  </w:num>
  <w:num w:numId="16">
    <w:abstractNumId w:val="18"/>
  </w:num>
  <w:num w:numId="17">
    <w:abstractNumId w:val="10"/>
  </w:num>
  <w:num w:numId="18">
    <w:abstractNumId w:val="4"/>
  </w:num>
  <w:num w:numId="19">
    <w:abstractNumId w:val="12"/>
  </w:num>
  <w:num w:numId="20">
    <w:abstractNumId w:val="2"/>
  </w:num>
  <w:num w:numId="21">
    <w:abstractNumId w:val="40"/>
  </w:num>
  <w:num w:numId="22">
    <w:abstractNumId w:val="22"/>
  </w:num>
  <w:num w:numId="23">
    <w:abstractNumId w:val="31"/>
  </w:num>
  <w:num w:numId="24">
    <w:abstractNumId w:val="23"/>
  </w:num>
  <w:num w:numId="25">
    <w:abstractNumId w:val="9"/>
  </w:num>
  <w:num w:numId="26">
    <w:abstractNumId w:val="5"/>
  </w:num>
  <w:num w:numId="27">
    <w:abstractNumId w:val="13"/>
  </w:num>
  <w:num w:numId="28">
    <w:abstractNumId w:val="28"/>
  </w:num>
  <w:num w:numId="29">
    <w:abstractNumId w:val="8"/>
  </w:num>
  <w:num w:numId="30">
    <w:abstractNumId w:val="41"/>
  </w:num>
  <w:num w:numId="31">
    <w:abstractNumId w:val="29"/>
  </w:num>
  <w:num w:numId="32">
    <w:abstractNumId w:val="6"/>
  </w:num>
  <w:num w:numId="33">
    <w:abstractNumId w:val="39"/>
  </w:num>
  <w:num w:numId="34">
    <w:abstractNumId w:val="21"/>
  </w:num>
  <w:num w:numId="35">
    <w:abstractNumId w:val="35"/>
  </w:num>
  <w:num w:numId="36">
    <w:abstractNumId w:val="15"/>
  </w:num>
  <w:num w:numId="37">
    <w:abstractNumId w:val="7"/>
  </w:num>
  <w:num w:numId="38">
    <w:abstractNumId w:val="3"/>
  </w:num>
  <w:num w:numId="39">
    <w:abstractNumId w:val="20"/>
  </w:num>
  <w:num w:numId="40">
    <w:abstractNumId w:val="19"/>
  </w:num>
  <w:num w:numId="41">
    <w:abstractNumId w:val="16"/>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2"/>
    <w:link w:val="828"/>
    <w:uiPriority w:val="9"/>
    <w:rPr>
      <w:rFonts w:ascii="Arial" w:hAnsi="Arial" w:eastAsia="Arial" w:cs="Arial"/>
      <w:sz w:val="40"/>
      <w:szCs w:val="40"/>
    </w:rPr>
  </w:style>
  <w:style w:type="character" w:styleId="15">
    <w:name w:val="Heading 2 Char"/>
    <w:basedOn w:val="832"/>
    <w:link w:val="829"/>
    <w:uiPriority w:val="9"/>
    <w:rPr>
      <w:rFonts w:ascii="Arial" w:hAnsi="Arial" w:eastAsia="Arial" w:cs="Arial"/>
      <w:sz w:val="34"/>
    </w:rPr>
  </w:style>
  <w:style w:type="character" w:styleId="17">
    <w:name w:val="Heading 3 Char"/>
    <w:basedOn w:val="832"/>
    <w:link w:val="830"/>
    <w:uiPriority w:val="9"/>
    <w:rPr>
      <w:rFonts w:ascii="Arial" w:hAnsi="Arial" w:eastAsia="Arial" w:cs="Arial"/>
      <w:sz w:val="30"/>
      <w:szCs w:val="30"/>
    </w:rPr>
  </w:style>
  <w:style w:type="character" w:styleId="19">
    <w:name w:val="Heading 4 Char"/>
    <w:basedOn w:val="832"/>
    <w:link w:val="831"/>
    <w:uiPriority w:val="9"/>
    <w:rPr>
      <w:rFonts w:ascii="Arial" w:hAnsi="Arial" w:eastAsia="Arial" w:cs="Arial"/>
      <w:b/>
      <w:bCs/>
      <w:sz w:val="26"/>
      <w:szCs w:val="26"/>
    </w:rPr>
  </w:style>
  <w:style w:type="paragraph" w:styleId="20">
    <w:name w:val="Heading 5"/>
    <w:basedOn w:val="827"/>
    <w:next w:val="8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2"/>
    <w:link w:val="20"/>
    <w:uiPriority w:val="9"/>
    <w:rPr>
      <w:rFonts w:ascii="Arial" w:hAnsi="Arial" w:eastAsia="Arial" w:cs="Arial"/>
      <w:b/>
      <w:bCs/>
      <w:sz w:val="24"/>
      <w:szCs w:val="24"/>
    </w:rPr>
  </w:style>
  <w:style w:type="paragraph" w:styleId="22">
    <w:name w:val="Heading 6"/>
    <w:basedOn w:val="827"/>
    <w:next w:val="8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2"/>
    <w:link w:val="22"/>
    <w:uiPriority w:val="9"/>
    <w:rPr>
      <w:rFonts w:ascii="Arial" w:hAnsi="Arial" w:eastAsia="Arial" w:cs="Arial"/>
      <w:b/>
      <w:bCs/>
      <w:sz w:val="22"/>
      <w:szCs w:val="22"/>
    </w:rPr>
  </w:style>
  <w:style w:type="paragraph" w:styleId="24">
    <w:name w:val="Heading 7"/>
    <w:basedOn w:val="827"/>
    <w:next w:val="8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2"/>
    <w:link w:val="24"/>
    <w:uiPriority w:val="9"/>
    <w:rPr>
      <w:rFonts w:ascii="Arial" w:hAnsi="Arial" w:eastAsia="Arial" w:cs="Arial"/>
      <w:b/>
      <w:bCs/>
      <w:i/>
      <w:iCs/>
      <w:sz w:val="22"/>
      <w:szCs w:val="22"/>
    </w:rPr>
  </w:style>
  <w:style w:type="paragraph" w:styleId="26">
    <w:name w:val="Heading 8"/>
    <w:basedOn w:val="827"/>
    <w:next w:val="8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2"/>
    <w:link w:val="26"/>
    <w:uiPriority w:val="9"/>
    <w:rPr>
      <w:rFonts w:ascii="Arial" w:hAnsi="Arial" w:eastAsia="Arial" w:cs="Arial"/>
      <w:i/>
      <w:iCs/>
      <w:sz w:val="22"/>
      <w:szCs w:val="22"/>
    </w:rPr>
  </w:style>
  <w:style w:type="paragraph" w:styleId="28">
    <w:name w:val="Heading 9"/>
    <w:basedOn w:val="827"/>
    <w:next w:val="8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2"/>
    <w:link w:val="33"/>
    <w:uiPriority w:val="10"/>
    <w:rPr>
      <w:sz w:val="48"/>
      <w:szCs w:val="48"/>
    </w:rPr>
  </w:style>
  <w:style w:type="paragraph" w:styleId="35">
    <w:name w:val="Subtitle"/>
    <w:basedOn w:val="827"/>
    <w:next w:val="827"/>
    <w:link w:val="36"/>
    <w:uiPriority w:val="11"/>
    <w:qFormat/>
    <w:pPr>
      <w:spacing w:before="200" w:after="200"/>
    </w:pPr>
    <w:rPr>
      <w:sz w:val="24"/>
      <w:szCs w:val="24"/>
    </w:rPr>
  </w:style>
  <w:style w:type="character" w:styleId="36">
    <w:name w:val="Subtitle Char"/>
    <w:basedOn w:val="832"/>
    <w:link w:val="35"/>
    <w:uiPriority w:val="11"/>
    <w:rPr>
      <w:sz w:val="24"/>
      <w:szCs w:val="24"/>
    </w:rPr>
  </w:style>
  <w:style w:type="paragraph" w:styleId="37">
    <w:name w:val="Quote"/>
    <w:basedOn w:val="827"/>
    <w:next w:val="827"/>
    <w:link w:val="38"/>
    <w:uiPriority w:val="29"/>
    <w:qFormat/>
    <w:pPr>
      <w:ind w:left="720" w:right="720"/>
    </w:pPr>
    <w:rPr>
      <w:i/>
    </w:rPr>
  </w:style>
  <w:style w:type="character" w:styleId="38">
    <w:name w:val="Quote Char"/>
    <w:link w:val="37"/>
    <w:uiPriority w:val="29"/>
    <w:rPr>
      <w:i/>
    </w:rPr>
  </w:style>
  <w:style w:type="paragraph" w:styleId="39">
    <w:name w:val="Intense Quote"/>
    <w:basedOn w:val="827"/>
    <w:next w:val="8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2"/>
    <w:link w:val="839"/>
    <w:uiPriority w:val="99"/>
  </w:style>
  <w:style w:type="character" w:styleId="44">
    <w:name w:val="Footer Char"/>
    <w:basedOn w:val="832"/>
    <w:link w:val="838"/>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38"/>
    <w:uiPriority w:val="99"/>
  </w:style>
  <w:style w:type="table" w:styleId="48">
    <w:name w:val="Table Grid Light"/>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2"/>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2"/>
    <w:uiPriority w:val="99"/>
    <w:semiHidden/>
    <w:unhideWhenUsed/>
    <w:rPr>
      <w:vertAlign w:val="superscript"/>
    </w:r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link w:val="858"/>
    <w:qFormat/>
    <w:pPr>
      <w:jc w:val="both"/>
      <w:widowControl w:val="off"/>
    </w:pPr>
    <w:rPr>
      <w:sz w:val="21"/>
    </w:rPr>
  </w:style>
  <w:style w:type="paragraph" w:styleId="828">
    <w:name w:val="Heading 1"/>
    <w:basedOn w:val="827"/>
    <w:next w:val="827"/>
    <w:link w:val="853"/>
    <w:uiPriority w:val="99"/>
    <w:qFormat/>
    <w:pPr>
      <w:keepLines/>
      <w:keepNext/>
      <w:spacing w:before="340" w:after="330" w:line="578" w:lineRule="auto"/>
      <w:outlineLvl w:val="0"/>
    </w:pPr>
    <w:rPr>
      <w:b/>
      <w:bCs/>
      <w:sz w:val="44"/>
      <w:szCs w:val="44"/>
    </w:rPr>
  </w:style>
  <w:style w:type="paragraph" w:styleId="829">
    <w:name w:val="Heading 2"/>
    <w:basedOn w:val="827"/>
    <w:next w:val="827"/>
    <w:link w:val="854"/>
    <w:qFormat/>
    <w:pPr>
      <w:keepLines/>
      <w:keepNext/>
      <w:spacing w:line="413" w:lineRule="auto"/>
      <w:outlineLvl w:val="1"/>
    </w:pPr>
    <w:rPr>
      <w:rFonts w:ascii="Arial" w:hAnsi="Arial" w:eastAsia="黑体"/>
      <w:b/>
      <w:sz w:val="32"/>
    </w:rPr>
  </w:style>
  <w:style w:type="paragraph" w:styleId="830">
    <w:name w:val="Heading 3"/>
    <w:basedOn w:val="827"/>
    <w:next w:val="827"/>
    <w:link w:val="861"/>
    <w:uiPriority w:val="99"/>
    <w:unhideWhenUsed/>
    <w:qFormat/>
    <w:pPr>
      <w:keepLines/>
      <w:keepNext/>
      <w:spacing w:before="260" w:after="260" w:line="416" w:lineRule="auto"/>
      <w:outlineLvl w:val="2"/>
    </w:pPr>
    <w:rPr>
      <w:b/>
      <w:bCs/>
      <w:sz w:val="32"/>
      <w:szCs w:val="32"/>
    </w:rPr>
  </w:style>
  <w:style w:type="paragraph" w:styleId="831">
    <w:name w:val="Heading 4"/>
    <w:next w:val="827"/>
    <w:link w:val="862"/>
    <w:qFormat/>
    <w:pPr>
      <w:spacing w:after="120" w:line="360" w:lineRule="auto"/>
      <w:widowControl w:val="off"/>
      <w:outlineLvl w:val="3"/>
    </w:pPr>
    <w:rPr>
      <w:sz w:val="24"/>
    </w:rPr>
  </w:style>
  <w:style w:type="character" w:styleId="832" w:default="1">
    <w:name w:val="Default Paragraph Font"/>
    <w:uiPriority w:val="1"/>
    <w:semiHidden/>
    <w:unhideWhenUsed/>
  </w:style>
  <w:style w:type="table" w:styleId="833" w:default="1">
    <w:name w:val="Normal Table"/>
    <w:uiPriority w:val="99"/>
    <w:semiHidden/>
    <w:unhideWhenUsed/>
    <w:qFormat/>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annotation text"/>
    <w:basedOn w:val="827"/>
    <w:link w:val="874"/>
    <w:uiPriority w:val="99"/>
    <w:qFormat/>
    <w:pPr>
      <w:jc w:val="left"/>
    </w:pPr>
  </w:style>
  <w:style w:type="paragraph" w:styleId="836">
    <w:name w:val="Body Text"/>
    <w:basedOn w:val="827"/>
    <w:link w:val="864"/>
    <w:qFormat/>
    <w:rPr>
      <w:sz w:val="20"/>
    </w:rPr>
  </w:style>
  <w:style w:type="paragraph" w:styleId="837">
    <w:name w:val="Plain Text"/>
    <w:basedOn w:val="827"/>
    <w:qFormat/>
    <w:rPr>
      <w:rFonts w:ascii="宋体" w:hAnsi="Courier New"/>
    </w:rPr>
  </w:style>
  <w:style w:type="paragraph" w:styleId="838">
    <w:name w:val="Footer"/>
    <w:basedOn w:val="827"/>
    <w:link w:val="855"/>
    <w:uiPriority w:val="99"/>
    <w:qFormat/>
    <w:pPr>
      <w:jc w:val="left"/>
      <w:tabs>
        <w:tab w:val="center" w:pos="4153" w:leader="none"/>
        <w:tab w:val="right" w:pos="8306" w:leader="none"/>
      </w:tabs>
    </w:pPr>
    <w:rPr>
      <w:sz w:val="18"/>
    </w:rPr>
  </w:style>
  <w:style w:type="paragraph" w:styleId="839">
    <w:name w:val="Header"/>
    <w:basedOn w:val="827"/>
    <w:link w:val="856"/>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0">
    <w:name w:val="toc 1"/>
    <w:basedOn w:val="827"/>
    <w:next w:val="827"/>
    <w:qFormat/>
  </w:style>
  <w:style w:type="paragraph" w:styleId="841">
    <w:name w:val="Body Text Indent 3"/>
    <w:basedOn w:val="827"/>
    <w:link w:val="857"/>
    <w:qFormat/>
    <w:pPr>
      <w:ind w:left="420"/>
      <w:spacing w:after="120"/>
    </w:pPr>
    <w:rPr>
      <w:sz w:val="16"/>
      <w:szCs w:val="16"/>
    </w:rPr>
  </w:style>
  <w:style w:type="paragraph" w:styleId="842">
    <w:name w:val="Body Text 2"/>
    <w:basedOn w:val="827"/>
    <w:qFormat/>
    <w:pPr>
      <w:spacing w:line="480" w:lineRule="auto"/>
    </w:pPr>
    <w:rPr>
      <w:sz w:val="20"/>
    </w:rPr>
  </w:style>
  <w:style w:type="paragraph" w:styleId="843">
    <w:name w:val="Normal (Web)"/>
    <w:basedOn w:val="827"/>
    <w:link w:val="887"/>
    <w:uiPriority w:val="99"/>
    <w:qFormat/>
    <w:pPr>
      <w:jc w:val="left"/>
      <w:spacing w:before="100" w:beforeAutospacing="1" w:after="100" w:afterAutospacing="1"/>
    </w:pPr>
    <w:rPr>
      <w:sz w:val="24"/>
    </w:rPr>
  </w:style>
  <w:style w:type="paragraph" w:styleId="844">
    <w:name w:val="Body Text First Indent"/>
    <w:basedOn w:val="836"/>
    <w:link w:val="876"/>
    <w:qFormat/>
    <w:pPr>
      <w:ind w:firstLine="420"/>
      <w:spacing w:after="120"/>
      <w:tabs>
        <w:tab w:val="left" w:pos="2020" w:leader="none"/>
        <w:tab w:val="center" w:pos="4535" w:leader="none"/>
      </w:tabs>
    </w:pPr>
    <w:rPr>
      <w:sz w:val="21"/>
    </w:rPr>
  </w:style>
  <w:style w:type="table" w:styleId="845">
    <w:name w:val="Table Grid"/>
    <w:basedOn w:val="833"/>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FollowedHyperlink"/>
    <w:uiPriority w:val="99"/>
    <w:qFormat/>
    <w:rPr>
      <w:color w:val="auto"/>
      <w:u w:val="none"/>
    </w:rPr>
  </w:style>
  <w:style w:type="character" w:styleId="847">
    <w:name w:val="Hyperlink"/>
    <w:uiPriority w:val="99"/>
    <w:unhideWhenUsed/>
    <w:qFormat/>
    <w:rPr>
      <w:color w:val="0563c1"/>
      <w:u w:val="single"/>
    </w:rPr>
  </w:style>
  <w:style w:type="paragraph" w:styleId="848" w:customStyle="1">
    <w:name w:val="普通文字"/>
    <w:basedOn w:val="827"/>
    <w:next w:val="827"/>
    <w:uiPriority w:val="99"/>
    <w:qFormat/>
    <w:rPr>
      <w:rFonts w:ascii="宋体"/>
      <w:sz w:val="24"/>
    </w:rPr>
  </w:style>
  <w:style w:type="paragraph" w:styleId="849" w:customStyle="1">
    <w:name w:val="正文缩进1"/>
    <w:basedOn w:val="827"/>
    <w:qFormat/>
    <w:pPr>
      <w:ind w:firstLine="420"/>
      <w:jc w:val="left"/>
    </w:pPr>
    <w:rPr>
      <w:rFonts w:ascii="宋体" w:hAnsi="Calibri"/>
      <w:sz w:val="24"/>
      <w:szCs w:val="22"/>
    </w:rPr>
  </w:style>
  <w:style w:type="paragraph" w:styleId="850" w:customStyle="1">
    <w:name w:val="索引 11"/>
    <w:basedOn w:val="827"/>
    <w:next w:val="827"/>
    <w:qFormat/>
    <w:pPr>
      <w:spacing w:line="360" w:lineRule="auto"/>
    </w:pPr>
    <w:rPr>
      <w:rFonts w:ascii="仿宋_GB2312" w:eastAsia="仿宋_GB2312"/>
      <w:sz w:val="24"/>
    </w:rPr>
  </w:style>
  <w:style w:type="paragraph" w:styleId="851" w:customStyle="1">
    <w:name w:val="纯文本1"/>
    <w:basedOn w:val="827"/>
    <w:qFormat/>
    <w:rPr>
      <w:rFonts w:ascii="宋体" w:hAnsi="Courier New"/>
      <w:szCs w:val="22"/>
    </w:rPr>
  </w:style>
  <w:style w:type="paragraph" w:styleId="852">
    <w:name w:val="List Paragraph"/>
    <w:basedOn w:val="827"/>
    <w:qFormat/>
    <w:pPr>
      <w:ind w:firstLine="420"/>
    </w:pPr>
  </w:style>
  <w:style w:type="character" w:styleId="853" w:customStyle="1">
    <w:name w:val="标题 1 Char"/>
    <w:link w:val="828"/>
    <w:uiPriority w:val="99"/>
    <w:qFormat/>
    <w:rPr>
      <w:rFonts w:ascii="Times New Roman" w:hAnsi="Times New Roman"/>
      <w:b/>
      <w:bCs/>
      <w:sz w:val="44"/>
      <w:szCs w:val="44"/>
    </w:rPr>
  </w:style>
  <w:style w:type="character" w:styleId="854" w:customStyle="1">
    <w:name w:val="标题 2 Char"/>
    <w:link w:val="829"/>
    <w:qFormat/>
    <w:rPr>
      <w:rFonts w:ascii="Arial" w:hAnsi="Arial" w:eastAsia="黑体"/>
      <w:b/>
      <w:sz w:val="32"/>
    </w:rPr>
  </w:style>
  <w:style w:type="character" w:styleId="855" w:customStyle="1">
    <w:name w:val="页脚 Char"/>
    <w:link w:val="838"/>
    <w:uiPriority w:val="99"/>
    <w:qFormat/>
    <w:rPr>
      <w:rFonts w:ascii="Times New Roman" w:hAnsi="Times New Roman"/>
      <w:sz w:val="18"/>
    </w:rPr>
  </w:style>
  <w:style w:type="character" w:styleId="856" w:customStyle="1">
    <w:name w:val="页眉 Char"/>
    <w:link w:val="839"/>
    <w:uiPriority w:val="99"/>
    <w:qFormat/>
    <w:rPr>
      <w:rFonts w:ascii="Times New Roman" w:hAnsi="Times New Roman"/>
      <w:sz w:val="18"/>
    </w:rPr>
  </w:style>
  <w:style w:type="character" w:styleId="857" w:customStyle="1">
    <w:name w:val="正文文本缩进 3 Char"/>
    <w:link w:val="841"/>
    <w:qFormat/>
    <w:rPr>
      <w:rFonts w:ascii="Times New Roman" w:hAnsi="Times New Roman"/>
      <w:sz w:val="16"/>
      <w:szCs w:val="16"/>
    </w:rPr>
  </w:style>
  <w:style w:type="character" w:styleId="858" w:customStyle="1">
    <w:name w:val="批注引用1"/>
    <w:semiHidden/>
    <w:qFormat/>
    <w:rPr>
      <w:rFonts w:ascii="Times New Roman" w:hAnsi="Times New Roman" w:eastAsia="宋体" w:cs="Times New Roman"/>
      <w:sz w:val="21"/>
      <w:lang w:val="en-US" w:eastAsia="zh-CN" w:bidi="ar-SA"/>
    </w:rPr>
  </w:style>
  <w:style w:type="paragraph" w:styleId="859" w:customStyle="1">
    <w:name w:val="标题 41"/>
    <w:basedOn w:val="827"/>
    <w:next w:val="849"/>
    <w:qFormat/>
    <w:pPr>
      <w:keepLines/>
      <w:keepNext/>
      <w:spacing w:before="280" w:after="290" w:line="376" w:lineRule="auto"/>
      <w:outlineLvl w:val="3"/>
    </w:pPr>
    <w:rPr>
      <w:rFonts w:ascii="Arial" w:hAnsi="Arial" w:eastAsia="黑体"/>
      <w:b/>
      <w:bCs/>
      <w:sz w:val="28"/>
      <w:szCs w:val="28"/>
    </w:rPr>
  </w:style>
  <w:style w:type="paragraph" w:styleId="860" w:customStyle="1">
    <w:name w:val="普通正文"/>
    <w:basedOn w:val="827"/>
    <w:qFormat/>
    <w:pPr>
      <w:ind w:firstLine="480"/>
      <w:jc w:val="left"/>
      <w:spacing w:before="120" w:after="120" w:line="360" w:lineRule="auto"/>
    </w:pPr>
    <w:rPr>
      <w:rFonts w:ascii="Arial" w:hAnsi="Arial"/>
      <w:sz w:val="24"/>
      <w:szCs w:val="24"/>
    </w:rPr>
  </w:style>
  <w:style w:type="character" w:styleId="861" w:customStyle="1">
    <w:name w:val="标题 3 Char"/>
    <w:basedOn w:val="832"/>
    <w:link w:val="830"/>
    <w:uiPriority w:val="99"/>
    <w:qFormat/>
    <w:rPr>
      <w:b/>
      <w:bCs/>
      <w:sz w:val="32"/>
      <w:szCs w:val="32"/>
    </w:rPr>
  </w:style>
  <w:style w:type="character" w:styleId="862" w:customStyle="1">
    <w:name w:val="标题 4 Char"/>
    <w:basedOn w:val="832"/>
    <w:link w:val="831"/>
    <w:rPr>
      <w:sz w:val="24"/>
    </w:rPr>
  </w:style>
  <w:style w:type="character" w:styleId="863" w:customStyle="1">
    <w:name w:val="批注文字 Char"/>
    <w:basedOn w:val="832"/>
    <w:uiPriority w:val="99"/>
    <w:semiHidden/>
    <w:qFormat/>
    <w:rPr>
      <w:rFonts w:ascii="Calibri" w:hAnsi="Calibri" w:cs="Calibri"/>
      <w:sz w:val="21"/>
      <w:szCs w:val="21"/>
    </w:rPr>
  </w:style>
  <w:style w:type="character" w:styleId="864" w:customStyle="1">
    <w:name w:val="正文文本 Char"/>
    <w:basedOn w:val="832"/>
    <w:link w:val="836"/>
  </w:style>
  <w:style w:type="paragraph" w:styleId="865">
    <w:name w:val="Body Text Indent"/>
    <w:basedOn w:val="827"/>
    <w:next w:val="867"/>
    <w:link w:val="866"/>
    <w:uiPriority w:val="99"/>
    <w:qFormat/>
    <w:pPr>
      <w:ind w:left="-105" w:firstLine="232"/>
    </w:pPr>
    <w:rPr>
      <w:rFonts w:ascii="Calibri" w:hAnsi="Calibri" w:eastAsia="仿宋_GB2312" w:cs="Calibri"/>
      <w:sz w:val="32"/>
      <w:szCs w:val="21"/>
    </w:rPr>
  </w:style>
  <w:style w:type="character" w:styleId="866" w:customStyle="1">
    <w:name w:val="正文文本缩进 Char"/>
    <w:basedOn w:val="832"/>
    <w:link w:val="865"/>
    <w:uiPriority w:val="99"/>
    <w:rPr>
      <w:rFonts w:ascii="Calibri" w:hAnsi="Calibri" w:eastAsia="仿宋_GB2312" w:cs="Calibri"/>
      <w:sz w:val="32"/>
      <w:szCs w:val="21"/>
    </w:rPr>
  </w:style>
  <w:style w:type="paragraph" w:styleId="867">
    <w:name w:val="envelope return"/>
    <w:basedOn w:val="827"/>
    <w:uiPriority w:val="99"/>
    <w:qFormat/>
    <w:rPr>
      <w:rFonts w:ascii="Arial" w:hAnsi="Arial"/>
      <w:szCs w:val="21"/>
    </w:rPr>
  </w:style>
  <w:style w:type="paragraph" w:styleId="868">
    <w:name w:val="Date"/>
    <w:basedOn w:val="827"/>
    <w:next w:val="827"/>
    <w:link w:val="869"/>
    <w:uiPriority w:val="99"/>
    <w:unhideWhenUsed/>
    <w:qFormat/>
    <w:pPr>
      <w:ind w:left="100"/>
    </w:pPr>
    <w:rPr>
      <w:rFonts w:ascii="Calibri" w:hAnsi="Calibri" w:cs="Calibri"/>
      <w:szCs w:val="21"/>
    </w:rPr>
  </w:style>
  <w:style w:type="character" w:styleId="869" w:customStyle="1">
    <w:name w:val="日期 Char"/>
    <w:basedOn w:val="832"/>
    <w:link w:val="868"/>
    <w:uiPriority w:val="99"/>
    <w:qFormat/>
    <w:rPr>
      <w:rFonts w:ascii="Calibri" w:hAnsi="Calibri" w:cs="Calibri"/>
      <w:sz w:val="21"/>
      <w:szCs w:val="21"/>
    </w:rPr>
  </w:style>
  <w:style w:type="paragraph" w:styleId="870">
    <w:name w:val="Balloon Text"/>
    <w:basedOn w:val="827"/>
    <w:link w:val="871"/>
    <w:uiPriority w:val="99"/>
    <w:qFormat/>
    <w:rPr>
      <w:rFonts w:ascii="Calibri" w:hAnsi="Calibri" w:cs="Calibri"/>
      <w:sz w:val="18"/>
      <w:szCs w:val="18"/>
    </w:rPr>
  </w:style>
  <w:style w:type="character" w:styleId="871" w:customStyle="1">
    <w:name w:val="批注框文本 Char"/>
    <w:basedOn w:val="832"/>
    <w:link w:val="870"/>
    <w:uiPriority w:val="99"/>
    <w:qFormat/>
    <w:rPr>
      <w:rFonts w:ascii="Calibri" w:hAnsi="Calibri" w:cs="Calibri"/>
      <w:sz w:val="18"/>
      <w:szCs w:val="18"/>
    </w:rPr>
  </w:style>
  <w:style w:type="paragraph" w:styleId="872">
    <w:name w:val="toc 2"/>
    <w:basedOn w:val="827"/>
    <w:next w:val="827"/>
    <w:qFormat/>
    <w:pPr>
      <w:ind w:left="420"/>
    </w:pPr>
    <w:rPr>
      <w:rFonts w:ascii="Calibri" w:hAnsi="Calibri" w:cs="Calibri"/>
      <w:szCs w:val="21"/>
    </w:rPr>
  </w:style>
  <w:style w:type="paragraph" w:styleId="873">
    <w:name w:val="annotation subject"/>
    <w:basedOn w:val="835"/>
    <w:next w:val="835"/>
    <w:link w:val="875"/>
    <w:uiPriority w:val="99"/>
    <w:unhideWhenUsed/>
    <w:qFormat/>
    <w:rPr>
      <w:rFonts w:ascii="Calibri" w:hAnsi="Calibri" w:cs="Calibri"/>
      <w:b/>
      <w:bCs/>
      <w:szCs w:val="21"/>
    </w:rPr>
  </w:style>
  <w:style w:type="character" w:styleId="874" w:customStyle="1">
    <w:name w:val="批注文字 Char1"/>
    <w:basedOn w:val="832"/>
    <w:link w:val="835"/>
    <w:uiPriority w:val="99"/>
    <w:rPr>
      <w:sz w:val="21"/>
    </w:rPr>
  </w:style>
  <w:style w:type="character" w:styleId="875" w:customStyle="1">
    <w:name w:val="批注主题 Char"/>
    <w:basedOn w:val="874"/>
    <w:link w:val="873"/>
    <w:uiPriority w:val="99"/>
    <w:qFormat/>
    <w:rPr>
      <w:rFonts w:ascii="Calibri" w:hAnsi="Calibri" w:cs="Calibri"/>
      <w:b/>
      <w:bCs/>
      <w:szCs w:val="21"/>
    </w:rPr>
  </w:style>
  <w:style w:type="character" w:styleId="876" w:customStyle="1">
    <w:name w:val="正文首行缩进 Char"/>
    <w:basedOn w:val="864"/>
    <w:link w:val="844"/>
    <w:rPr>
      <w:sz w:val="21"/>
    </w:rPr>
  </w:style>
  <w:style w:type="paragraph" w:styleId="877">
    <w:name w:val="Body Text First Indent 2"/>
    <w:basedOn w:val="865"/>
    <w:next w:val="827"/>
    <w:link w:val="878"/>
    <w:uiPriority w:val="99"/>
    <w:qFormat/>
    <w:pPr>
      <w:ind w:firstLine="420"/>
    </w:pPr>
  </w:style>
  <w:style w:type="character" w:styleId="878" w:customStyle="1">
    <w:name w:val="正文首行缩进 2 Char"/>
    <w:basedOn w:val="866"/>
    <w:link w:val="877"/>
    <w:uiPriority w:val="99"/>
  </w:style>
  <w:style w:type="character" w:styleId="879">
    <w:name w:val="Strong"/>
    <w:basedOn w:val="832"/>
    <w:uiPriority w:val="22"/>
    <w:qFormat/>
    <w:rPr>
      <w:b/>
      <w:bCs/>
    </w:rPr>
  </w:style>
  <w:style w:type="character" w:styleId="880">
    <w:name w:val="annotation reference"/>
    <w:uiPriority w:val="99"/>
    <w:qFormat/>
    <w:rPr>
      <w:sz w:val="21"/>
      <w:szCs w:val="21"/>
    </w:rPr>
  </w:style>
  <w:style w:type="paragraph" w:styleId="881" w:customStyle="1">
    <w:name w:val="Default"/>
    <w:qFormat/>
    <w:pPr>
      <w:widowControl w:val="off"/>
    </w:pPr>
    <w:rPr>
      <w:rFonts w:ascii="宋体" w:hAnsi="Calibri" w:cs="宋体"/>
      <w:color w:val="000000"/>
      <w:sz w:val="24"/>
      <w:szCs w:val="24"/>
    </w:rPr>
  </w:style>
  <w:style w:type="paragraph" w:styleId="882" w:customStyle="1">
    <w:name w:val="正文1"/>
    <w:basedOn w:val="827"/>
    <w:uiPriority w:val="99"/>
    <w:qFormat/>
    <w:pPr>
      <w:numPr>
        <w:numId w:val="13"/>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883" w:customStyle="1">
    <w:name w:val="列出段落1"/>
    <w:basedOn w:val="827"/>
    <w:uiPriority w:val="99"/>
    <w:qFormat/>
    <w:pPr>
      <w:ind w:firstLine="420"/>
    </w:pPr>
    <w:rPr>
      <w:rFonts w:ascii="Calibri" w:hAnsi="Calibri" w:cs="Calibri"/>
      <w:szCs w:val="21"/>
    </w:rPr>
  </w:style>
  <w:style w:type="paragraph" w:styleId="884" w:customStyle="1">
    <w:name w:val="列出段落2"/>
    <w:basedOn w:val="827"/>
    <w:uiPriority w:val="99"/>
    <w:qFormat/>
    <w:pPr>
      <w:ind w:firstLine="420"/>
    </w:pPr>
    <w:rPr>
      <w:rFonts w:ascii="Calibri" w:hAnsi="Calibri" w:cs="Calibri"/>
      <w:szCs w:val="21"/>
    </w:rPr>
  </w:style>
  <w:style w:type="paragraph" w:styleId="885" w:customStyle="1">
    <w:name w:val="WPSOffice手动目录 1"/>
    <w:qFormat/>
  </w:style>
  <w:style w:type="paragraph" w:styleId="886" w:customStyle="1">
    <w:name w:val="4正文"/>
    <w:basedOn w:val="827"/>
    <w:qFormat/>
    <w:pPr>
      <w:ind w:firstLine="480"/>
      <w:spacing w:line="360" w:lineRule="auto"/>
    </w:pPr>
    <w:rPr>
      <w:rFonts w:ascii="宋体" w:hAnsi="宋体"/>
      <w:sz w:val="24"/>
      <w:szCs w:val="24"/>
    </w:rPr>
  </w:style>
  <w:style w:type="character" w:styleId="887" w:customStyle="1">
    <w:name w:val="普通(网站) Char"/>
    <w:link w:val="843"/>
    <w:uiPriority w:val="99"/>
    <w:qFormat/>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许颖</cp:lastModifiedBy>
  <cp:revision>348</cp:revision>
  <dcterms:created xsi:type="dcterms:W3CDTF">2022-12-23T01:29:00Z</dcterms:created>
  <dcterms:modified xsi:type="dcterms:W3CDTF">2026-07-17T01:13:26Z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eyJoZGlkIjoiYTRjZTEwNTBlOTUwY2IxY2I0ZjgxYzNmYzBmMWU3ZDciLCJ1c2VySWQiOiIxNDMzNTY1NDY0In0=</vt:lpwstr>
  </property>
</Properties>
</file>