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 州 政 府 采 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采购编号：JSZC-320500-SZZP-C2026-0002</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采购单位：苏州相城经济技术开发区管理委员会</w:t>
      </w:r>
      <w:r/>
    </w:p>
    <w:p>
      <w:pPr>
        <w:ind w:left="2397" w:right="0" w:hanging="15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采购项目：2026年水利水务抢修零星工程 </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类别：工程类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苏州中普建设管理咨询有限公司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2026年07月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tabs>
          <w:tab w:val="left" w:pos="830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260" w:after="57"/>
        <w:tabs>
          <w:tab w:val="left" w:pos="90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前附表</w:t>
        <w:tab/>
      </w:r>
      <w:r/>
    </w:p>
    <w:p>
      <w:pPr>
        <w:ind w:left="0" w:right="0" w:firstLine="0"/>
        <w:jc w:val="both"/>
        <w:spacing w:before="260" w:after="57"/>
        <w:tabs>
          <w:tab w:val="left" w:pos="90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 磋商邀请函</w:t>
        <w:tab/>
      </w:r>
      <w:r/>
    </w:p>
    <w:p>
      <w:pPr>
        <w:ind w:left="0" w:right="0" w:firstLine="0"/>
        <w:jc w:val="both"/>
        <w:spacing w:before="260" w:after="57"/>
        <w:tabs>
          <w:tab w:val="left" w:pos="90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 磋商响应文件格式</w:t>
        <w:tab/>
      </w:r>
      <w:r/>
    </w:p>
    <w:p>
      <w:pPr>
        <w:ind w:left="0" w:right="0" w:firstLine="0"/>
        <w:jc w:val="both"/>
        <w:spacing w:before="260" w:after="57"/>
        <w:tabs>
          <w:tab w:val="left" w:pos="90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 采购内容</w:t>
        <w:tab/>
      </w:r>
      <w:r/>
    </w:p>
    <w:p>
      <w:pPr>
        <w:ind w:left="0" w:right="0" w:firstLine="0"/>
        <w:jc w:val="both"/>
        <w:spacing w:before="260" w:after="57"/>
        <w:tabs>
          <w:tab w:val="left" w:pos="90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 合同主要条款</w:t>
        <w:tab/>
      </w:r>
      <w:r/>
    </w:p>
    <w:p>
      <w:pPr>
        <w:ind w:left="0" w:right="0" w:firstLine="0"/>
        <w:jc w:val="both"/>
        <w:spacing w:before="260" w:after="57"/>
        <w:tabs>
          <w:tab w:val="left" w:pos="90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 评审办法</w:t>
        <w:tab/>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658"/>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5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前附表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1539"/>
        <w:gridCol w:w="6548"/>
      </w:tblGrid>
      <w:tr>
        <w:trPr>
          <w:trHeight w:val="4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说明与要求</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2026年水利水务抢修零星工程 </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苏州市相城区北桥街道</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包工包料</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2026年水利水务抢修零星工程，工程内容详见工程量清单、工程量编制说明。</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工期365日历天（具体开工日期以采购人通知为准）</w:t>
            </w:r>
            <w:r/>
          </w:p>
        </w:tc>
      </w:tr>
      <w:tr>
        <w:trPr>
          <w:trHeight w:val="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财政资金</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由响应单位自行踏勘（供应商由于未踏勘现场导致的报价失误或对工程量清单理解产生的歧义，其后果自行承担）。</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工程报价方式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固定综合单价</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本项目不收取磋商保证金，采购文件中有关磋商保证金的条款不适用。</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预算价：1807601.51元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注：报价超过预算价或最高限价的按无效报价处理。</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本项目采用电子投标文件，投标人按照招标文件要求制作上传电子投标文件。注：响应单位成交后须提供叁份与电子响应文件内容一致的纸质响应文件（装订成册）。</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90天（从提交响应文件截止时间当日起算）</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磋商响应文件提交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上传截止时间：2026年8月12日13:30（北京时间）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响应文件开启时间：2026年8月12日13:30（北京时间）</w:t>
            </w:r>
            <w:r/>
          </w:p>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磋商地点：苏采云政府采购一体化平台</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询问和质疑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（1）获取磋商文件成功的磋商供应商在下载磋商文件后，对磋商文件有疑问的，可通过邮件（zhongpu_gs@163.com）进行询问。采购代理机构通过邮件予以解答，询问人自行在邮件中查看解答信息。</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采购文件、采购过程、成交结果使自己的权益受到损害的，可以在知道或者应知其权益受到损害之日起7个工作日内，以书面形式向采购人提出质疑。供应商须在法定质疑期内一次性提出针对同一采购程序环节的质疑。质疑函须以当面递交等法定途径送达。供应商质疑应符合政府采购质疑和投诉办法(中华人民共和国财政部令第94号)。</w:t>
            </w:r>
            <w:r/>
          </w:p>
        </w:tc>
      </w:tr>
      <w:tr>
        <w:trPr>
          <w:trHeight w:val="12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成交原则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本项目代理服务费由采购人向采购代理机构支付，在成交通知书发出后一次性付清。</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收费标准：预算金额100万以下费率为预算金额的1.5%；预算金额100万元（含）－500万元部分，费率为该部分预算金额的1.1%；</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说明：代理服务费以采购预算金额为基数依据，按以上规定的标准和差额定率累进法进行计算收取。例：如预算金额为150万元，则代理服务费＝100万元以下部分×1.5%＋（150万元－100万元以下部分）×1.1%。</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服务费账号：</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账户名：苏州中普建设管理咨询有限公司</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账号：0706678021120101481283</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开户银行：苏州农村商业银行松陵支行</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代理费金额：23883.62元</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成交通知书发出之日起15日内</w:t>
            </w:r>
            <w:r/>
          </w:p>
        </w:tc>
      </w:tr>
      <w:tr>
        <w:trPr>
          <w:trHeight w:val="7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不提交，采购文件中有关履约保证金的规定均不适用。</w:t>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1、本项目支持网上不见面开标，供应商不需到现场参加磋商会。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4、本项目图纸及工程量清单等获取方式：百度网盘自行下载。</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获取连接：</w:t>
            </w:r>
            <w:r>
              <w:rPr>
                <w:rFonts w:ascii="SimSun" w:hAnsi="SimSun" w:eastAsia="SimSun" w:cs="SimSun"/>
                <w:b/>
                <w:color w:val="0000ff"/>
                <w:sz w:val="24"/>
              </w:rPr>
              <w:t xml:space="preserve">https://pan.baidu.com/s/1p5IQtJ04y60Jz8Qul4cbyg</w:t>
            </w:r>
            <w:r>
              <w:rPr>
                <w:rFonts w:ascii="SimSun" w:hAnsi="SimSun" w:eastAsia="SimSun" w:cs="SimSun"/>
                <w:b/>
                <w:color w:val="000000"/>
                <w:sz w:val="24"/>
              </w:rPr>
              <w:t xml:space="preserve"> ，提取码：</w:t>
            </w:r>
            <w:r>
              <w:rPr>
                <w:rFonts w:ascii="SimSun" w:hAnsi="SimSun" w:eastAsia="SimSun" w:cs="SimSun"/>
                <w:b/>
                <w:color w:val="0000ff"/>
                <w:sz w:val="24"/>
              </w:rPr>
              <w:t xml:space="preserve">fycn。</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8"/>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 磋商邀请函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2026年水利水务抢修零星工程采购项目的潜在供应商应在“苏采云政府采购一体化平台”获取采购文件，并于2026年8月12日13:30（北京时间）前提交响应文件。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项目编号：JSZC-320500-SZZP-C2026-0002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项目名称：2026年水利水务抢修零星工程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预算金额：180.760151万元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最高限价（如有）：180.760151万元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1.工程内容：2026年水利水务抢修零星工程,具体内容详见工程量清单及图纸。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2.工程地点：苏州市相城区北桥街道。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3.资金来源：财政资金。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4.承包方式：包工包料。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5.质量要求：合格。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6.项目工程量：详见工程量清单（本项目工程量清单、工程量编制说明及图纸，请投标人自行下载）。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7.施工要求：按现行国家施工技术及验收规范规程执行，满足采购需求要求。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8.验收标准：满足采购需求要求。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合同履行期限：工期365日历天（具体开工日期以采购人通知为准）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6.符合法律、行政法规规定的其他条件。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促进中小企业发展管理办法》的相关规定，本项目专门面向中小企业采购，所属行业为建筑业。供应商必须提供《中小企业声明函》或《残疾人福利性单位声明函》或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2.供应商具有有效期内的水利水电工程施工总承包三级及以上资质；同时具备有效的《安全生产许可证》。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3.拟选派项目经理具备二级及以上注册建造师（水利水电工程专业）资质证书及水行政主管部门颁发的安全生产考核合格证（B类）及响应单位为其缴纳社保。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负责人必须满足下列条件：（1）项目负责人不得同时在两个或者两个以上单位受聘或者执业：（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供应商在响应文件中提供拟派项目负责人无在建工程承诺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方式：自行下载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截止时间：2026-8-12 13：30（北京时间）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时间：2026-8-12 13：30（北京时间）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地点：苏州市市辖区政府采购不见面虚拟开标室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3.为本采购项目提供整体设计、规范编制或者项目管理、监理、检测等服务的供应商，不得再参加本采购项目的其他采购活动。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4.不得转包、分包本项目。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8.线上参加（观看）开标会方式：苏州市政府采购网点击“苏采云”进入交易系统，点击“开标大厅-我的项目”，找到对应项目进入不见面开标系统。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9.请供应商确保电脑、系统及其他设备（视频输入输出设备等）无误，且开标直至项目结束始终保持系统在线状态。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10.CA办理及使用指南： 根据省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高新区邓尉路105号狮山科技馆1楼服务大厅，咨询电话：0512-</w:t>
      </w:r>
      <w:r>
        <w:rPr>
          <w:rFonts w:ascii="SimSun" w:hAnsi="SimSun" w:eastAsia="SimSun" w:cs="SimSun"/>
          <w:color w:val="000000"/>
          <w:sz w:val="24"/>
        </w:rPr>
        <w:t xml:space="preserve">65737699。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13.投标人（供应商）应自行在苏采云政府采购一体化平台上下载/获取招标（采购）文件及其澄清（答疑）、工程量清单、图纸等相关招标（采购）资料，恕不另行通知。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14.采购项目需要落实的政府采购政策：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15.成交供应商可凭政府采购合同办理融资贷款，详情请见江苏政府采购网“政采贷”专栏。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16.请贵单位领取本次采购文件后，认真阅读各项内容，进行必要的磋商准备，按文件的要求详细填写和编制响应文件。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17.苏州市相城区财政局政府采购监督电话：0512-67591005、0512-67591006。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18.本次采购的有关信息将在苏州市政府采购网、江苏政府采购网</w:t>
      </w:r>
      <w:hyperlink r:id="rId9" w:tooltip="http://www.szweikang.xn--com-6y3ba7cbgc4097e4kax19cqoerohxod7w1bva254sga6035lg4sc/" w:history="1">
        <w:r>
          <w:rPr>
            <w:rStyle w:val="818"/>
            <w:rFonts w:ascii="SimSun" w:hAnsi="SimSun" w:eastAsia="SimSun" w:cs="SimSun"/>
            <w:color w:val="000000"/>
            <w:sz w:val="24"/>
            <w:u w:val="single"/>
          </w:rPr>
          <w:t xml:space="preserve">上发布</w:t>
        </w:r>
      </w:hyperlink>
      <w:r>
        <w:rPr>
          <w:rFonts w:ascii="SimSun" w:hAnsi="SimSun" w:eastAsia="SimSun" w:cs="SimSun"/>
          <w:color w:val="000000"/>
          <w:sz w:val="24"/>
        </w:rPr>
        <w:t xml:space="preserve">，敬请留意。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19.技术支持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注册咨询：13914088964、18261002950；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单位名称：苏州相城经济技术开发区管理委员会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单位地址：苏州相城经济技术开发区蠡塘河路900号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联系人：侯磊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联系电话：0512-65413508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单位名称：苏州中普建设管理咨询有限公司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单位地址：苏州高新区新锐科创中心2幢1303室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联系人：陶珣、陆金燕、诸萍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联系电话：18915742027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项目联系人：陶珣、陆金燕、诸萍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电话：18915742027</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8"/>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磋商响应文件格式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1、授权委托书</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法定代表人授权委托书</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（姓名）</w:t>
      </w:r>
      <w:r>
        <w:rPr>
          <w:rFonts w:ascii="SimSun" w:hAnsi="SimSun" w:eastAsia="SimSun" w:cs="SimSun"/>
          <w:color w:val="000000"/>
          <w:sz w:val="24"/>
        </w:rPr>
        <w:t xml:space="preserve">系</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（姓名+手机号码）</w:t>
      </w:r>
      <w:r>
        <w:rPr>
          <w:rFonts w:ascii="SimSun" w:hAnsi="SimSun" w:eastAsia="SimSun" w:cs="SimSun"/>
          <w:color w:val="000000"/>
          <w:sz w:val="24"/>
        </w:rPr>
        <w:t xml:space="preserve">为我公司代理人，以本公司的名义参加</w:t>
      </w:r>
      <w:r>
        <w:rPr>
          <w:rFonts w:ascii="SimSun" w:hAnsi="SimSun" w:eastAsia="SimSun" w:cs="SimSun"/>
          <w:color w:val="000000"/>
          <w:sz w:val="24"/>
          <w:u w:val="single"/>
        </w:rPr>
        <w:t xml:space="preserve">（采购人名称）</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号的招标（采购）活动。代理人在投标、开标、评标、合同订立和履行过程中所签署的一切文件和处理与这有关的一切事务，我均予以承认。</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代理人无转委托权。特此委托。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被授权人：（签字或盖章）</w:t>
      </w:r>
      <w:r/>
    </w:p>
    <w:p>
      <w:pPr>
        <w:ind w:left="0" w:right="0" w:firstLine="48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2、磋商响应函</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苏州中普建设管理咨询有限公司：</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号采购文件，经仔细阅读和研究，我们决定参加磋商活动。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1、我们愿意按照磋商采购文件的一切要求，提供本项目所有内容，我方的报价包含磋商文件要求的一切费用。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2、如果我们的磋商响应文件被接受，我们将严格履行采购文件中规定的每一项要求，按期、按质、按量履行合同的义务。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3、我们已详细审查全部采购文件，包括更正公告(如有)。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4、我们同意按采购文件中的规定，本磋商响应文件的有效期限为响应文件提交截止之日起90天。如果我们在开标后规定的有效期内撤回，我们愿承担一切责任。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采购文件中要求的所有资料，也同意向贵方提供贵方可能另外要求的与其有关的任何证据或资料，并保证所提供的资料全部是真实的、合法的、有效的，若有虚假，我们愿承担一切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6、我们愿意遵守采购文件中所列的收费标准。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7、我们承诺该磋商响应文件在磋商开始后的全过程中保持有效，不作任何更改和变动。我们同意成交后若不履行响应文件的内容要求和各项承诺及义务的即被视为违约，我们愿承担一切责任。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8、我们承诺我公司符合采购文件中“合格磋商供应商的条件”的要求，若与真实情况不符，本公司愿意承担由此而产生的一切后果。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10、如果我们成交，我们愿意在签订合同时按采购文件的规定支付代理服务费（如有）；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11、综合说明：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（3）对采购文件有不同意见的偏离说明；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（4）其它说明。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12、本函填写的电子邮箱为我方在本次采购中的授权邮箱，该邮箱发至采购人或招标代理的函件无论是否签字或盖章，均视为我方的意思表示，我方均予以承认并承担相应后果。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所有有关磋商响应文件的函电，请按下列地址联系：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联系电话（手机号码）：电子邮箱：</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3、磋商报价表（以苏采云系统为准）</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6"/>
        <w:gridCol w:w="2406"/>
        <w:gridCol w:w="4159"/>
        <w:gridCol w:w="1236"/>
      </w:tblGrid>
      <w:tr>
        <w:trPr>
          <w:trHeight w:val="801"/>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4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磋商响应报价</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22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2026年北桥街道水利水务零星工程</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59" w:type="dxa"/>
            <w:vAlign w:val="center"/>
            <w:textDirection w:val="lrTb"/>
            <w:noWrap w:val="false"/>
          </w:tcPr>
          <w:p>
            <w:pPr>
              <w:ind w:left="0" w:right="0" w:firstLine="0"/>
              <w:jc w:val="both"/>
              <w:spacing w:before="0" w:after="0" w:line="22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both"/>
              <w:spacing w:before="0" w:after="0" w:line="22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1"/>
        </w:trPr>
        <w:tc>
          <w:tcPr>
            <w:gridSpan w:val="4"/>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磋商响应总报价：人民币（大写）            （小写¥：             ）</w:t>
            </w:r>
            <w:r/>
          </w:p>
        </w:tc>
      </w:tr>
      <w:tr>
        <w:trPr>
          <w:trHeight w:val="561"/>
        </w:trPr>
        <w:tc>
          <w:tcPr>
            <w:gridSpan w:val="4"/>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tc>
      </w:tr>
      <w:tr>
        <w:trPr>
          <w:trHeight w:val="561"/>
        </w:trPr>
        <w:tc>
          <w:tcPr>
            <w:gridSpan w:val="4"/>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工程质量标准：</w:t>
            </w:r>
            <w:r/>
          </w:p>
        </w:tc>
      </w:tr>
      <w:tr>
        <w:trPr>
          <w:trHeight w:val="5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报价包括完成该项目所需的全部人工费、材料费、机械费、制作、检测、检验、管理费、利润、工程风险、规费、税金，以及所需的施工准备、施工过程、保修期等所需的供货、运输、运杂保险、装卸、备品、备件、损耗、安装、调试、人员培训、售后服务、专利技术等一切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4、已标价工程量清单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5、具备履行合同所必需的设备和专业技术能力的承诺</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具备履行合同所必需设备和专业技术能力证明材料声明函</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rPr>
          <w:rFonts w:ascii="SimSun" w:hAnsi="SimSun" w:eastAsia="SimSun" w:cs="SimSun"/>
          <w:color w:val="000000"/>
          <w:sz w:val="24"/>
        </w:rPr>
        <w:t xml:space="preserve">      </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我方具备履行合同所必需的设备和专业技术能力，并对本声明承诺的真实性负责，否则产生不利后果由我方承担责任。</w:t>
      </w:r>
      <w:r/>
    </w:p>
    <w:p>
      <w:pPr>
        <w:ind w:left="0" w:right="0" w:firstLine="42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56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6、参加政府采购活动前三年内在经营活动中没有重大违法记录的书面声明函</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参加政府采购活动前三年内在经营活动中没有重大违法记录书面声明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参加采购活动前三年内，我方在经营活动中没有重大违法记录。</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1、“重大违法记录”指供应商因违法经营受到刑事处罚或责令停产停业、吊销许可证或执照、较大数额罚款等行政处罚。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2、请供应商根据实际情况进行声明，</w:t>
      </w:r>
      <w:r>
        <w:rPr>
          <w:rFonts w:ascii="SimSun" w:hAnsi="SimSun" w:eastAsia="SimSun" w:cs="SimSun"/>
          <w:b/>
          <w:color w:val="000000"/>
          <w:sz w:val="24"/>
        </w:rPr>
        <w:t xml:space="preserve">若声明不真实，视为提供虚假材料。</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7、偏离表</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商务要求偏离表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921"/>
        <w:gridCol w:w="2401"/>
        <w:gridCol w:w="2401"/>
        <w:gridCol w:w="104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技术要求偏离表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921"/>
        <w:gridCol w:w="2401"/>
        <w:gridCol w:w="2401"/>
        <w:gridCol w:w="1209"/>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采购文件的技术要求 </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响应文件的技术条款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20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20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的磋商响应文件技术要求与磋商采购文件规定的技术要求有偏离的，应在此表中说明。未在上表中说明的，如在响应文件其他内容中已有文字说明的，则以已有文字说明为准，否则，将被认为完全响应磋商采购文件的规定。但该表不作为供应商对所投标的物关于技术要求等详细描述和说明的替代。</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8、施工组织机构及现场施工人员名单</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施工组织机构人员名单</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683"/>
        <w:gridCol w:w="878"/>
        <w:gridCol w:w="1684"/>
        <w:gridCol w:w="1525"/>
        <w:gridCol w:w="1684"/>
        <w:gridCol w:w="11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拟在本项目中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执业资格证或上岗证书等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主要资历和项目施工经历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注：1、成交后，项目组人员配备应按本表承诺实施，不经采购单位事先书面同意，不得擅自更换。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9、类似业绩一览表</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类似业绩一览表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6"/>
        <w:gridCol w:w="2077"/>
        <w:gridCol w:w="1363"/>
        <w:gridCol w:w="1676"/>
        <w:gridCol w:w="1651"/>
        <w:gridCol w:w="1072"/>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项目名称及简介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9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10、中小企业声明函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建筑业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 ，属于</w:t>
      </w:r>
      <w:r>
        <w:rPr>
          <w:rFonts w:ascii="SimSun" w:hAnsi="SimSun" w:eastAsia="SimSun" w:cs="SimSun"/>
          <w:color w:val="000000"/>
          <w:sz w:val="24"/>
          <w:u w:val="single"/>
        </w:rPr>
        <w:t xml:space="preserve">（中型企业、小型企业、微型企业,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三者选一）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 </w:t>
      </w:r>
      <w:r/>
    </w:p>
    <w:p>
      <w:pPr>
        <w:ind w:left="0" w:right="49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1、提供的中小企业声明函必须将盖有公章的彩色扫描件上传至电子投标文件中，</w:t>
      </w:r>
      <w:r>
        <w:rPr>
          <w:rFonts w:ascii="SimSun" w:hAnsi="SimSun" w:eastAsia="SimSun" w:cs="SimSun"/>
          <w:b/>
          <w:color w:val="000000"/>
          <w:sz w:val="24"/>
          <w:u w:val="none"/>
        </w:rPr>
        <w:t xml:space="preserve">否则不享受相应政府采购政策</w:t>
      </w:r>
      <w:r>
        <w:rPr>
          <w:rFonts w:ascii="SimSun" w:hAnsi="SimSun" w:eastAsia="SimSun" w:cs="SimSun"/>
          <w:b/>
          <w:color w:val="000000"/>
          <w:sz w:val="24"/>
        </w:rPr>
        <w:t xml:space="preserve">或视为不响应。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6、如未对（中型企业、小型企业、微型企业）进行勾选，视同非中小微企业，不可享受相应扶持政策。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11、残疾人福利性单位声明函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注：未提供或者提供的残疾人福利性单位声明函未加盖有公章的彩色扫描件上传至电子投标文件中的不享受相应政策优惠。</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12、投标（响应）保证承诺书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投标（响应）保证承诺书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（采购代理机构名称）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 </w:t>
      </w:r>
      <w:r>
        <w:rPr>
          <w:rFonts w:ascii="SimSun" w:hAnsi="SimSun" w:eastAsia="SimSun" w:cs="SimSun"/>
          <w:color w:val="000000"/>
          <w:sz w:val="24"/>
          <w:u w:val="single"/>
        </w:rPr>
        <w:t xml:space="preserve">      （项目名称和采购编号）</w:t>
      </w:r>
      <w:r>
        <w:rPr>
          <w:rFonts w:ascii="SimSun" w:hAnsi="SimSun" w:eastAsia="SimSun" w:cs="SimSun"/>
          <w:color w:val="000000"/>
          <w:sz w:val="24"/>
        </w:rPr>
        <w:t xml:space="preserve">的投标（响应）,并做出如下承诺：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除不可抗力外，我单位如果发生以下行为，将在行为发生的10个工作日内，向贵方（或采购人）支付本采购文件公布的预算金额（或最高限价）的2%作为违约赔偿金（数量不确定的单价采购须约定具体金额）。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自投标（响应）截止时间至本项目发布中标（成交）公告为止，撤销投标（响应）；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中标（成交）后不依法与采购人签订合同；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中标（成交）后不按本采购文件规定向采购人提交履约保证金（如有要求）；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中标（成交）后不按本采购文件规定向贵方缴纳采购代理服务费（如有要求）。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我单位知晓上述行为的法律后果，承认本承诺书作为贵方（或采购人）要求我单位履行违约赔偿义务的依据作用。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投标（响应）人：（盖公章）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(1)关于资格文件的声明函</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苏州中普建设管理咨询有限公司：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______号的磋商采购活动进行响应。本公司所提交的响应文件中所有关于磋商资格的文件、证明和陈述均是真实的、准确的。若与真实情况不符，本公司愿意承担由此而产生的一切后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numPr>
          <w:ilvl w:val="0"/>
          <w:numId w:val="10"/>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（2）磋商响应单位情况表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响应单位（盖章）：</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29"/>
        <w:gridCol w:w="1356"/>
        <w:gridCol w:w="718"/>
        <w:gridCol w:w="1472"/>
        <w:gridCol w:w="563"/>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3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top"/>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top"/>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（3）供应商与其他单位存在控股、管理关系情况表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01"/>
        <w:gridCol w:w="4154"/>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控股、管理关系情况说明</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100" w:after="10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 </w:t>
      </w:r>
      <w:r/>
    </w:p>
    <w:p>
      <w:pPr>
        <w:ind w:left="520" w:right="0"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rPr>
          <w:rFonts w:ascii="SimSun" w:hAnsi="SimSun" w:eastAsia="SimSun" w:cs="SimSun"/>
          <w:color w:val="000000"/>
          <w:sz w:val="24"/>
        </w:rPr>
        <w:t xml:space="preserve">响应单位：（公章）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（4）拟选派项目经理无在建工程声明函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拟选派项目经理无在建工程声明函</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苏州中普建设管理咨询有限公司：</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号的磋商采购活动进行响应。本公司拟派的项目经理</w:t>
      </w:r>
      <w:r>
        <w:rPr>
          <w:rFonts w:ascii="SimSun" w:hAnsi="SimSun" w:eastAsia="SimSun" w:cs="SimSun"/>
          <w:color w:val="000000"/>
          <w:sz w:val="24"/>
          <w:u w:val="single"/>
        </w:rPr>
        <w:t xml:space="preserve">（姓名），资质等级，证书号</w:t>
      </w:r>
      <w:r>
        <w:rPr>
          <w:rFonts w:ascii="SimSun" w:hAnsi="SimSun" w:eastAsia="SimSun" w:cs="SimSun"/>
          <w:color w:val="000000"/>
          <w:sz w:val="24"/>
        </w:rPr>
        <w:t xml:space="preserve">，无在建工程，</w:t>
      </w:r>
      <w:r/>
    </w:p>
    <w:p>
      <w:pPr>
        <w:ind w:left="0" w:right="0" w:firstLine="0"/>
        <w:spacing w:before="240" w:after="240" w:line="85" w:lineRule="atLeast"/>
        <w:tabs>
          <w:tab w:val="left" w:pos="80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满足以下情形：</w:t>
      </w:r>
      <w:r>
        <w:rPr>
          <w:rFonts w:ascii="SimSun" w:hAnsi="SimSun" w:eastAsia="SimSun" w:cs="SimSun"/>
          <w:color w:val="000000"/>
          <w:sz w:val="24"/>
        </w:rPr>
        <w:t xml:space="preserve">（1）项目负责人不得同时在两个或者两个以上单位受聘或者执业：（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若与真实情况不符，本公司愿意承担由此而产生的一切后果。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8"/>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SimHei" w:hAnsi="SimHei" w:eastAsia="SimHei" w:cs="SimHei"/>
          <w:b/>
          <w:color w:val="000000"/>
          <w:sz w:val="44"/>
        </w:rPr>
        <w:t xml:space="preserve">第三章 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苏州中普建设管理咨询有限公司受苏州相城经济技术开发区管理委员会的委托，就其所需2026年水利水务抢修零星工程项目采用竞争性磋商方式进行采购，欢迎有资格的供应商前来参加本次磋商采购活动。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一、采购编号：JSZC-320500-SZZP-C2026-0002</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二、采购项目：2026年水利水务抢修零星工程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1、工程概况：2026年北桥街道水利水务零星工程，项目位于相城区北桥街道；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工程内容：2026年水利水务抢修零星工程,具体内容详见工程量清单及图纸；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工程地点：苏州区相城区北桥街道；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资金来源：财政资金；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合同履行期限：工期365日历天（具体开工日期以采购人通知为准）；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质量要求：合格。</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项目工程量：详见工程量清单，工程量清单及图纸请至百度网盘下载相关附件：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获取连接：https://pan.baidu.com/s/1p5IQtJ04y60Jz8Qul4cbyg，提取码： fycn。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（1）按采购文件、工程量清单等资料组织改造施工；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（2）施工质量应符合现行国家施工技术及验收规范规程。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4、施工组织设计方案要求：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要求组织改造施工，施工组织设计内容包括但不限于总体概述、进度计划、施工方案应科学合理。劳动力配备合理，工作任务明确，人员组织到位。机械设备投入符合项目要求，有详尽的计划，项目实施进度、时间，关键节点科学合理。安全文明施工措施科学、合理、操作性强，沟通和解决机制简单有效，给出验收条件明晰、措施合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5、验收标准：满足采购需求要求。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1、报价方式：本工程项目采用下列第</w:t>
      </w:r>
      <w:r>
        <w:rPr>
          <w:rFonts w:ascii="SimSun" w:hAnsi="SimSun" w:eastAsia="SimSun" w:cs="SimSun"/>
          <w:color w:val="000000"/>
          <w:sz w:val="24"/>
          <w:u w:val="single"/>
        </w:rPr>
        <w:t xml:space="preserve"> （2）</w:t>
      </w:r>
      <w:r>
        <w:rPr>
          <w:rFonts w:ascii="SimSun" w:hAnsi="SimSun" w:eastAsia="SimSun" w:cs="SimSun"/>
          <w:color w:val="000000"/>
          <w:sz w:val="24"/>
        </w:rPr>
        <w:t xml:space="preserve"> 种报价方式。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（1）固定总价报价。竞争报价人应充分考虑施工期间各类建材市场价格变化，政策性调整的风险，一旦经评审确定承包人，报价不作调整。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报价时，必须按统一的工程量清单报价。成交后，本工程工程量清单各子目综合单价的确定方式为：以预算价各子目综合单价为基准，按其成交价与预算价相比的下浮系数同比例下浮。【成交下浮率＝（预算价-中标（成交）价）/[预算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w:t>
      </w:r>
      <w:r>
        <w:rPr>
          <w:rFonts w:ascii="SimSun" w:hAnsi="SimSun" w:eastAsia="SimSun" w:cs="SimSun"/>
          <w:color w:val="000000"/>
          <w:sz w:val="24"/>
        </w:rPr>
        <w:t xml:space="preserve">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（2.2）本工程追加费用不得超过原合同金额的10%；原合同金额10%以内的追加费用，限于原合同内工程清单数量调整增加的工程费用，原合同外工程内容不得计入。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（2.3）本工程在磋商文件中已明确的各项施工措施项目，除工程变更引起施工方案改变外，承包人不得以招标工程措施项目清单缺项为由要求新增措施项目。 </w:t>
      </w:r>
      <w:r/>
    </w:p>
    <w:p>
      <w:pPr>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（2.4）政府投资工程有关变更按《苏州市政府投资建设项目工程变更备案管理暂行办法》、《苏州市市级政府投资建筑工程变更备案管理实施细则》等项目所在地相关规定执行。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及时对招标工程量清单数量的工程数量进行校核，如两者的误差额达到《苏州市市级政府投资建筑工程变更备案管理实施细则》等项目所在地相关规定的备案起点时，必须在分部分项工程实施前向发包方提出变更费用申请，否则工程结算时对因此造成的造价增加将不予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（2.5）合同备案要求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（2.5.1）如需办理施工许可证等相关工程监管手续的小额工程项目，在项目实施前，建设单位（集中建设实施单位）应及时办理施工许可证，并接受质安监的监督管理。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（2.5.2）无需办理施工许可证等相关工程监管手续的小额工程项目，只需在合同公示即可。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2、磋商报价时，不可竞争费用均按规定计算，不得让利或随意调整计算标准，否则报价无效。规费费率详见工程量清单。磋商单位不得将不可竞争费用降低标准收取，不可竞争费费率详见工程量清单。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3、规费费率详见工程量清单。江苏省安全文明施工措施费应放在措施项目清单中（计取基本费、扬尘污染防治增加费）。投标人不得将不可磋商费用降低标准收取，不可磋商费费率详见工程量清单。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4、计价格式中列明的所有需要填报的单价和合价，竞争人均需填报，未填报的单价和合价，视为此项费用已包含在工程量清单的其他单价和合价中。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5、成交供应商一般工程8小时内响应，24小时内完成；特殊项目8小时内响应，48小时内完成。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6、因成交供应商施工不到位造成的他人的人身及财产损失，经有关部门认定为成交单位责任的，由成交单位承担相关责任及费用。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六、响应文件的组成及要求：</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（一）文件组成（部分格式见第二章）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1、封面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2、磋商报价表</w:t>
      </w:r>
      <w:r>
        <w:rPr>
          <w:rFonts w:ascii="SimSun" w:hAnsi="SimSun" w:eastAsia="SimSun" w:cs="SimSun"/>
          <w:color w:val="000000"/>
          <w:sz w:val="24"/>
        </w:rPr>
        <w:t xml:space="preserve">（第一次报价）（具体按照“苏采云”系统填报）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3、磋商分项报价明细表（已标价工程量清单）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4、资格审查响应文件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4.1具有独立承担民事责任的能力证明。包括法人或者其他组织的营业执照等证明文件，自然人的身份证明；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4.2具有良好的商业信誉和健全的财务会计制度证明（法人应提供最近一期经审计的财务报告，其他组织、自然人及成立未满一年的法人应提供银行出具的资信证明）；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4.3具有履行合同所必需的设备和专业技术能力的证明材料或承诺；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有依法缴纳税收和社会保障资金的良好记录（响应单位应提供提交投标文件截止时间前最近任意一期依法缴纳税收及缴纳社会保障资金的证明材料，如相关主管部门证明或银行代扣证明。投标人如依法享受缓缴、免缴税收、社会保障资金的应提供相关主管部门出具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4.5参加政府采购活动前三年内，在经营活动中没有重大违法记录的书面声明函；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4.6.1关于资格文件声明函；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4.6.2磋商响应单位情况表，供应商与其他单位存在控股、管理关系情况表；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4.6.3磋商响应单位法定代表人身份证复印件；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4.6.4法定代表人授权委托书（如有授权）；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4.6.5磋商响应单位授权代理人身份证复印件（如有授权）；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4.7《中小企业声明函》或残疾人福利性单位声明函或省级以上监狱管理局、戒毒管理局（含新疆生产建设兵团）出具的属于监狱企业的证明文件扫描件；</w:t>
      </w:r>
      <w:r>
        <w:rPr>
          <w:rFonts w:ascii="SimSun" w:hAnsi="SimSun" w:eastAsia="SimSun" w:cs="SimSun"/>
          <w:b/>
          <w:color w:val="000000"/>
          <w:sz w:val="24"/>
          <w:u w:val="single"/>
        </w:rPr>
        <w:t xml:space="preserve">未提供、未按要求提供或者提供的中小企业声明函或残疾人福利性单位声明函</w:t>
      </w:r>
      <w:r>
        <w:rPr>
          <w:rFonts w:ascii="SimSun" w:hAnsi="SimSun" w:eastAsia="SimSun" w:cs="SimSun"/>
          <w:color w:val="000000"/>
          <w:sz w:val="24"/>
        </w:rPr>
        <w:t xml:space="preserve">未加盖有公章的彩色扫描件上传至电子投标文件中的不享受相关政策。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4.8供应商特殊资格条件证明文件：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4.8.1响应单位具有有效期内的水利水电工程施工总承包三级及以上资质；响应单位具备有效的《安全生产许可证》；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4.8.2拟选派项目经理具备二级及以上注册建造师（水利水电工程专业）资质证书及水行政主管部门颁发的安全生产考核合格证（B类）及响应单位为其缴纳社保证明扫描件；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4.8.3拟选派项目经理无在建工程承诺书；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4.9其它有关资格证明的文件（如有）。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5.符合性审查响应文件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5.1磋商响应函；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5.2投标（响应）保证承诺书；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5.4其他有关符合性证明的文件（如有）；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6.综合评审响应文件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6.2拟投入本项目人员配备情况比较；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6.3响应单位综合实力比较；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6.4采购需求及评分标准中所涉及到的其他材料等（如有）。</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（二）电子磋商响应文件编制及提交：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2、电子投标（响应）文件制作工具下载：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3、电子投标（响应）文件制作与提交：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4、投标（响应）文件制作完成后导出投标（响应）文件，在“参与详情”页面上传已制作完成的投标（响应）文件。</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5、投标（响应）文件提交后，供应商可通过模拟解密操作检测投标（响应）文件是否可以正常解密。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6、</w:t>
      </w:r>
      <w:r>
        <w:rPr>
          <w:rFonts w:ascii="SimSun" w:hAnsi="SimSun" w:eastAsia="SimSun" w:cs="SimSun"/>
          <w:b/>
          <w:color w:val="000000"/>
          <w:sz w:val="24"/>
          <w:u w:val="single"/>
        </w:rPr>
        <w:t xml:space="preserve">因本章“六、响应文件的组成及要求”要求的中小企业声明函、残疾人福利性单位声明函要求的文件需在成交公告时对外公示，故磋商供应商如涉及需要提供“六、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8、联合体投标：本项目不涉及。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w:t>
      </w:r>
      <w:r>
        <w:rPr>
          <w:rFonts w:ascii="KaiTi" w:hAnsi="KaiTi" w:eastAsia="KaiTi" w:cs="KaiTi"/>
          <w:color w:val="000000"/>
          <w:sz w:val="24"/>
        </w:rPr>
        <w:t xml:space="preserve">：</w:t>
      </w:r>
      <w:r>
        <w:rPr>
          <w:rFonts w:ascii="SimSun" w:hAnsi="SimSun" w:eastAsia="SimSun" w:cs="SimSun"/>
          <w:color w:val="000000"/>
          <w:sz w:val="24"/>
        </w:rPr>
        <w:t xml:space="preserve">在投标（响应）文件中，由联合体中的牵头人制作投标（响应）文件。</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（三）报价（编制）要求的说明</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1、根据提供的磋商文件、工程量清单及有关资料单独编制相关项目实施的磋商报价并汇总填入《已标价工程量清单》；</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2、磋商报价明细中标的物顺序和数量均应按本磋商文件提供的采购清单顺序和数量。如发现响应报价中有错算现象，一旦成交，磋商供应商自行承担错算这部分的经济损失。</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3、供应商应对磋商文件内所要采购的全部内容进行报价，只响应其中部分内容者，其响应文件将被拒绝。</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4、一项响应内容只允许一个报价，采购人不接受任何有选择性的响应报价。</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5、响应文件中报价全部采用人民币表示，除非合同的特殊条款另有规定。</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七、磋商程序</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2、线上参加（观看）开标会方式：苏州市政府采购网点击“苏采云”进入交易系统，点击“开标大厅-我的项目”，找到对应项目进行线上参加（观看）。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3、开标时，供应商的响应文件须在供应商解密环节进行解密，在解密时长倒计时结束前，供应商需解密完成，否则视为放弃本次投标（磋商）。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5、开评审结果会在磋商结束的同时通过采购系统告知供应商，请供应商及时查看，否则导致的对供应商不利的后果由供应商自行承担。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6、本项目采用线上澄清：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评审中需要供应商进行澄清的通知会通过苏采云系统发出，供应商应及时登录采购系统查看澄清要求并在规定的时间内进行线上答复。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8、供应商未按规定时间及要求递交二次报价的，视为放弃本次投标（响应）。</w:t>
      </w:r>
      <w:r/>
    </w:p>
    <w:p>
      <w:pPr>
        <w:ind w:left="0" w:right="0" w:firstLine="518"/>
        <w:jc w:val="both"/>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10、异常低价投标审查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w:t>
      </w:r>
      <w:r>
        <w:rPr>
          <w:rFonts w:ascii="SimSun" w:hAnsi="SimSun" w:eastAsia="SimSun" w:cs="SimSun"/>
          <w:b/>
          <w:color w:val="000000"/>
          <w:sz w:val="24"/>
        </w:rPr>
        <w:t xml:space="preserve">评审过程中出现下列情形之一的，磋商小组应当启动异常低价响应审查程序：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（1）响应报价低于全部通过符合性审查供应商响应报价平均值50%的，即响应报价&lt;全部通过符合性审查供应商响应报价平均值×50%；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（2）响应报价低于通过符合性审查的次低报价供应商响应报价50%的，即响应报价&lt;通过符合性审查的次低报价供应商响应报价×50%；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b/>
          <w:color w:val="000000"/>
          <w:sz w:val="24"/>
          <w:u w:val="none"/>
        </w:rPr>
        <w:t xml:space="preserve">响应报价</w:t>
      </w:r>
      <w:r>
        <w:rPr>
          <w:rFonts w:ascii="SimSun" w:hAnsi="SimSun" w:eastAsia="SimSun" w:cs="SimSun"/>
          <w:b/>
          <w:color w:val="000000"/>
          <w:sz w:val="24"/>
        </w:rPr>
        <w:t xml:space="preserve">低于采购项目最高限价45%的，即响应报价&lt;采购项目最高限价×45%；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（4）磋商小组基于专业判断，认为供应商报价过低，有可能影响产品质量或者不能诚信履约的其他情形。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10.2启动异常低价响应审查后，</w:t>
      </w:r>
      <w:r>
        <w:rPr>
          <w:rFonts w:ascii="SimSun" w:hAnsi="SimSun" w:eastAsia="SimSun" w:cs="SimSun"/>
          <w:b/>
          <w:color w:val="000000"/>
          <w:sz w:val="24"/>
          <w:u w:val="none"/>
        </w:rPr>
        <w:t xml:space="preserve">磋商小组</w:t>
      </w:r>
      <w:r>
        <w:rPr>
          <w:rFonts w:ascii="SimSun" w:hAnsi="SimSun" w:eastAsia="SimSun" w:cs="SimSun"/>
          <w:b/>
          <w:color w:val="000000"/>
          <w:sz w:val="24"/>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11.1第（3）项情形，供应商已随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10.3</w:t>
      </w:r>
      <w:r>
        <w:rPr>
          <w:rFonts w:ascii="SimSun" w:hAnsi="SimSun" w:eastAsia="SimSun" w:cs="SimSun"/>
          <w:b/>
          <w:color w:val="000000"/>
          <w:sz w:val="24"/>
          <w:u w:val="none"/>
        </w:rPr>
        <w:t xml:space="preserve">磋商小组</w:t>
      </w:r>
      <w:r>
        <w:rPr>
          <w:rFonts w:ascii="SimSun" w:hAnsi="SimSun" w:eastAsia="SimSun" w:cs="SimSun"/>
          <w:b/>
          <w:color w:val="000000"/>
          <w:sz w:val="24"/>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八、磋商小组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1、磋商小组由采购人依法组建，由采购人代表、专家评委组成。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2、磋商小组与参加采购活动的供应商存在下列利害关系之一的，应当回避：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3、磋商小组负责具体的磋商事务，并独立履行以下职责：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3.1审查响应文件是否符合磋商采购文件的要求，并作出评价；</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3.2可以要求磋商供应商对响应文件有关事项作出解释或澄清；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3.3推荐成交候选磋商供应商名单；</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3.4向采购人或者有关部门报告非法干预磋商工作的行为。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4、磋商小组成员应当履行下列义务：</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4.1遵纪守法，客观、公正、廉洁地履行职责；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4.2按照磋商采购文件规定的评审办法和评分标准进行评审，对评审意见承担个人责任；</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4.3对磋商过程和结果，以及磋商供应商的商业秘密保密；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4.4参与评审报告的起草；</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4.5配合相关部门的投诉处理工作；</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4.6配合采购人答复磋商供应商提出的质疑。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九、评审内容的保密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1、磋商开始后，直到宣布授予成交单位合同为止，凡属于审查、澄清、评价和比较响应文件的所有资料，有关授予合同的信息都不应向磋商供应商或与评审无关的其他人泄露。</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2、在响应文件的审查、澄清、评价和比较以及授予合同的过程中，磋商供应商对采购人和磋商小组施加影响的任何行为，都将取消其成交资格。</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3、在评审期间，采购人将通过指定联络人与磋商供应商进行联系。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十、对响应文件初审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1.1磋商供应商的响应文件未按照本须知规定制作的；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1.2未按本须知规定提交资格文件；</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1.3与磋商采购文件有重大偏离；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1.4磋商供应商拒绝修正错误；</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1.5磋商供应商的报价是选择性的；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1.6磋商供应商的报价只投了部分内容；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1.7未按时递交二次报价的；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1.8磋商供应商的响应文件出现了评标委员会认为不应当雷同的情况；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1.9经磋商小组认定磋商供应商的报价低于成本价的；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1.10不同供应商的“机器码一致”的情形；</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其他被磋商小组认定无效的情况。</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3、磋商小组将对确定为实质性响应的文件进行审核，看其是否有计算上或累加上的算术错误，修正错误的原则如下：</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3.1响应文件的大写金额与小写金额不一致的，以大写金额为准；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3.3对不同文字文本响应文件的解释发生异议的，以中文文本为准；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3.4磋商供应商不同意以上修正，则其响应文件将被拒绝。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十一、项目的终止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1、出现下列情形之一的，将终止竞争性磋商采购活动：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1.1因情况变化，不再符合规定的竞争性磋商采购方式适用情形的；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1.2出现影响采购公正的违法、违规行为的；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1.3实质性响应磋商文件不满三家或进入二次报价的不满三家或二次报价在采购预算内不满三家的。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十二、响应文件的评价和比较</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1、磋商小组将仅对按照本须知有关规定确定为实质性响应磋商采购文件要求的响应文件进行评价和比较。</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2、评审办法</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采购人授权磋商小组根据本文件规定的成交原则，在响应文件满足磋商文件全部实质性要求且按评审因素的量化指标评审得分最高的磋商供应商为成交候选磋商供应商。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2.1磋商供应商的资信情况和履约能力；</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2.2磋商供应商提供的其他优惠条件；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2.3磋商供应商的实施方案；</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3、评标委员会各成员独立对每个进入合格性评审程序的磋商供应商的响应文件按评审办法进行评审和评价。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十三、成交单位的确认</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1、磋商小组根据磋商供应商资格审查情况，对响应文件进行评价和比较，按照评审办法和标准进行评审，并按采购人的委托向采购人推荐成交候选单位。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2、确定成交供应商后，磋商采购单位将在规定的时间内将成交结果在相关媒体上予以公告。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十五、成交通知书</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1、磋商采购单位应在规定的时间向成交供应商发出成交通知书。成交通知书发出后，采购人改变成交结果，或者成交供应商放弃成交，应当承担相应的法律责任。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2、成交通知书将成为合同的组成部分。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3、磋商采购单位对未成交供应商不承担解释未成交原因的义务。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1、发出成交通知书。在发布成交公告的同时，向成交磋商供应商发出成交通知书。</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十七、合同的签订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1、成交单位应按规定的时间和地点，由法定代表人或代理人与甲方代表签订合同。否则按放弃处理。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2、签订合同及合同条款应以磋商采购文件和成交单位的响应文件及其澄清文件为依据。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十八、代理服务费</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同前附表。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十九、采购文件的质疑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2、本次采购文件要求供应商在法定质疑期内一次性提出针对同一采购程序环节的质疑。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3、采购人、采购代理机构收到质疑供应商在法定质疑期内发出的质疑函，应当在收到质疑函后7个工作日内作出答复，并以书面形式通知质疑供应商和其他有关供应商。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4、供应商提出质疑应当提交质疑函、报名确认单和必要的证明材料。质疑函应当包括下列内容：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4.1供应商的姓名或者名称、地址、邮编、联系人及联系电话；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4.2质疑项目的名称、编号；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4.3具体、明确的质疑事项和与质疑事项相关的请求；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4.5必要的法律依据；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5、质疑联系方式详见前附表。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1、关于节能环保产品政府采购要求：</w:t>
        <w:br/>
      </w:r>
      <w:r>
        <w:rPr>
          <w:rFonts w:ascii="SimSun" w:hAnsi="SimSun" w:eastAsia="SimSun" w:cs="SimSun"/>
          <w:color w:val="000000"/>
          <w:sz w:val="24"/>
        </w:rPr>
        <w:t xml:space="preserve">   本项目不涉及属于《节能产品政府采购品目清单》中强制采购范围内产品，不涉及属于《节能产品政府采购品目清单》中优先采购范围内的产品及《环境标志产品政府采购品目清单》范围内的产品。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2、本项目不接受进口产品。</w:t>
      </w:r>
      <w:r>
        <w:rPr>
          <w:rFonts w:ascii="SimSun" w:hAnsi="SimSun" w:eastAsia="SimSun" w:cs="SimSun"/>
          <w:color w:val="000000"/>
          <w:sz w:val="24"/>
        </w:rPr>
        <w:t xml:space="preserve">本项目中涉及的标的物执行国办发〔2025〕34号《国务院办公厅关于在政府采购中实施本国产品标准及相关政策的通知》。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本项目为专门面向中小企业采购的项目，不再执行价格评审优惠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在政府采购活动中，供应商提供的工程符合下列情形的，享受《政府采购促进中小企业发展管理办法》规定的中小企业扶持政策：在工程项目中，项目由中小微企业承建。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根据《政府采购促进中小企业发展管理办法》（财库〔2020〕46号）及《中小企业划型标准规定》（工信部联企业〔2011〕300号），本采购项目对应的中小企业划分标准所属行业为：建筑业。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若中小微企业提供的“中小企业声明函”或认定证明为虚假声明则视同提供虚假材料，按政府采购相关规定处理并报请政府监管部门给予行政处罚。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信用记录使用规则：对投标人进行资格性审查时，应根据查询结果对供应商的不良信用记录逐项甄别确认。按照《中华人民共和国政府采购法》第二十二条规定，下列信用记录属于应依法拒绝投标人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br w:type="page" w:clear="all"/>
      </w:r>
      <w:r/>
    </w:p>
    <w:p>
      <w:pPr>
        <w:pStyle w:val="658"/>
        <w:ind w:left="0" w:right="0" w:firstLine="0"/>
        <w:jc w:val="center"/>
        <w:spacing w:before="48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第四章 合同主要条款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乙方：（以下简称乙方） </w:t>
      </w:r>
      <w:r/>
    </w:p>
    <w:p>
      <w:pPr>
        <w:ind w:left="0" w:right="0" w:firstLine="0"/>
        <w:jc w:val="both"/>
        <w:spacing w:before="0" w:after="0" w:line="85" w:lineRule="atLeast"/>
        <w:tabs>
          <w:tab w:val="left" w:pos="15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依据甲方委托苏州中普建设管理咨询有限公司进行本项目政府采购（采购编号：</w:t>
      </w:r>
      <w:r>
        <w:rPr>
          <w:rFonts w:ascii="SimSun" w:hAnsi="SimSun" w:eastAsia="SimSun" w:cs="SimSun"/>
          <w:color w:val="000000"/>
          <w:sz w:val="24"/>
          <w:u w:val="single"/>
        </w:rPr>
        <w:t xml:space="preserve">JSZC-320500-SZZP-C2026-0002</w:t>
      </w:r>
      <w:r>
        <w:rPr>
          <w:rFonts w:ascii="SimSun" w:hAnsi="SimSun" w:eastAsia="SimSun" w:cs="SimSun"/>
          <w:color w:val="000000"/>
          <w:sz w:val="24"/>
        </w:rPr>
        <w:t xml:space="preserve">）的采购结果，确定乙方为本次成交供应商，现依照采购文件、乙方的响应文件及相关文件的内容，签订本合同书。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一、合同标的物和合同价格组成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1.1采购的服务内容概述：详见采购文件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1.2项目地点：详见采购文件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1.3项目施工工期：365日历天（具体开工日期以采购单位通知为准）。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1.4合同价款的组成：合同价款包含甲方应付乙方的全部款项，合同金额：人民币。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报价包括完成该项目所需的全部人工费、材料费、机械费、制作、检测、检验、管理费、利润、工程风险、规费、税金，以及所需的施工准备、施工过程、保修期等所需的供货、运输、运杂保险、装卸、备品、备件、损耗、安装、调试、人员培训、售后服务、专利技术等一切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1.5结算方式：按固定综合单价结算。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二、下列文件为本合同不可分割部分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2.1成交通知书；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2.2乙方成交的响应文件；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2.4乙方在采购过程中所作的其它承诺、声明、书面澄清等。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三、合同价格支付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（1）工程预付款：鉴于供应商/承包人具备充足的资金周转能力，前期无需支付预付款。供应商/承包人将严格按照《政府采购合同》约定的时间、质量及标准完成项目，不因未收取预付款而主张任何抗辩或补偿。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进度款：项目开工后进度款按实际完成工程量的40%定期支付；工程竣工备案完成后最高付至合同价（实际完成工程量）的50%；工程审计结束（以审计报告为准）付至审计价的70%；余款审计后2年内定期支付。因工程变更增加的价款在工程审计结束前（以审计报告为准）最多付至实际完成工程量的40%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乙方应向甲方提供以下材料：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A、合格的发票。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B、由甲乙双方及采购代理机构签章的《政府采购合同履行验收报告》。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3.2根据现行税法对甲方征收的与本合同有关的一切税费均由甲方承担；根据现行税法对乙方征收的与本合同有关的一切税费均由乙方承担。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3.3支付方式：银行转账、银行汇票或转账支票，具体支付方式甲方有权根据财务安排自主选择。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4.1验收标准：根据现行国家技术、施工及验收规范规程及采购需求进行验收。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4.2验收时间：详见采购文件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五、售后服务：详见采购文件。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六、不可抗力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6.1因不可抗力不能履行合同的，根据不可抗力的影响，部分或者全部免除责任。但合同一方延迟履行后发生不可抗力的，不能免除责任。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6.2合同一方因不可抗力不能履行合同的，应当及时通知对方，以减轻可能给对方造成的损失，并应当在合理期限内提供证明。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七、合同的解除和转让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7.1甲方和乙方协商一致，可以解除合同。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7.2有下列情形之一，合同一方可以解除合同：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7.2.1因不可抗力致使不能实现合同目的，未受不可抗力影响的一方有权解除合同；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7.2.2因合同一方违约导致合同不能履行，另一方有权解除合同；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7.2.3因乙方在履行合同过程中造成社会不良影响的，甲方有权解除合同。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7.3有权解除合同的一方，应当在违约事实或不可抗力发生之后三十天内书面通知对方以主张解除合同，合同在书面通知到达对方时解除。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7.4合同的部分和全部都不得转让。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8.1合同一方不履行合同义务或者履行合同义务不符合约定的，应当承担继续履行、采取补救措施或赔偿损失等违约责任。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8.2甲方违约责任。甲方未按照约定时间支付合同价款的，应当承担逾期付款违约责任。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8.3乙方违约责任。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8.3.1甲方有权按照本合同第四条规定对乙方进行验收，并按照现行国家技术、施工及验收规范规程及采购需求的规定要求乙方承担相应责任。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8.3.2乙方承担的违约金不足以赔偿甲方实际损失的，甲方有权要求乙方继续赔偿。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8.3.3乙方履行合同不符合合同要求的，甲方有权责令乙方立即改正，乙方拒不改正或已经造成不良社会影响的，甲方有权要求乙方承担责任。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九、争议解决办法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因本合同或与本合同有关的一切事项发生争议，由双方友好协商解决。协商不成的，任何一方均可以向甲方所在地人民法院起诉。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十、合同生效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本合同经双方法定代表人或授权代表签字（或盖章）并经单位盖章后生效。合同签订后七个工作日内须经政府采购监督管理部门备案。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十一、其他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十二、附则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12.1本合同一式六份，甲方执两份、乙方执两份，政府采购监督管理部门备案一份，采购代理机构一份。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12.2本合同文件使用中文书写、解释和说明。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12.3本合同履行过程中产生的纪要、协议以及成交通知书、响应文件和采购文件为本合同的附件，与合同具有同等效力。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12.4未尽事宜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按《中华人民共和国政府采购法》及其他有关的法律法规的规定执行。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0"/>
        <w:gridCol w:w="3280"/>
      </w:tblGrid>
      <w:tr>
        <w:trPr>
          <w:trHeight w:val="9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发包人：(盖单位章)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承包人:(盖单位章)</w:t>
            </w:r>
            <w:r/>
          </w:p>
        </w:tc>
      </w:tr>
      <w:tr>
        <w:trPr>
          <w:trHeight w:val="118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r>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35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签约地点:</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政府采购合同信用融资政策告知函</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欢迎贵公司参加苏州市政府采购活动!</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8"/>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 评审办法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1、本次磋商采用综合评分法，即在响应文件满足采购文件全部实质性要求且按评审因素的量化指标评审得分最高的供应商为成交候选供应商。由采购人确定成交供应商。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2、评审小组各成员独立对每个进入打分程序的有效磋商供应商的响应文件技术和资质部分以打分的形式进行评审和评价。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3、对评委的评分（除价格分外）进行统计汇总，直接算术平均计算出每个磋商供应商的得分，加上价格得分即为每个磋商供应商的综合得分。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4、如出现评审总得分最高的磋商供应商有两个或两个以上的，以磋商报价较低者优先作为成交候选人，如果磋商报价也相同的，则由采购人组织以抽签方式确定成交候选人。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（一）价格基准分：最高10分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第一步：磋商报价低于或等于财政预算价格（最高限价）的，为有效磋商报价。超财政预算（最高限价）的磋商报价文件为未实质性响应文件，不参与评审。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第二步：在所有有效磋商报价中满足采购文件要求，且磋商价格最低的磋商报价为评标基准价，其价格分为10分，其他磋商供应商的价格分按照下列公式计算（计算结果四舍五入保留两位小数）。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磋商报价得分＝（评标基准价/磋商报价）×10%×100。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（二）施工组织设计：最高63分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1、工程概述、总体安排及施工部署及施工段划分等方面比较（最高8分）：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方案描述清晰明了、科学合理、操作性强的得8分；方案描述较清晰、较科学合理、操作性较强的得5分；方案描述一般、科学合理性一般、操作性一般的得2分；其他情况不得分。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2、施工总进度计划及保证措施比较（最高8分）：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方案描述清晰明了、科学合理、操作性强的得8分；方案描述较清晰、较科学合理、操作性较强的得5分；方案描述一般、科学合理性一般、操作性一般的得2分；其他情况不得分。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3、分部、分项工程的施工方案比较（最高8分）：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方案描述清晰明了、科学合理、操作性强的得8分；方案描述较清晰、较科学合理、操作性较强的得5分；方案描述一般、科学合理性一般、操作性一般的得2分；其他情况不得分。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4、质量保证措施比较（最高8分）：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方案描述清晰明了、科学合理、操作性强的得8分；方案描述较清晰、较科学合理、操作性较强的得5分；方案描述一般、科学合理性一般、操作性一般的得2分；其他情况不得分。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5、安全文明施工及环境保护措施，包括安全文明施工，施工现场扬尘、噪声污染防治措施及其他环境保护方面的措施比较（最高8分）：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方案描述清晰明了、科学合理、操作性强的得8分；方案描述较清晰、较科学合理、操作性较强的得5分；方案描述一般、科学合理性一般、操作性一般的得2分；其他情况不得分。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6、季节性施工，包括季节性施工、已有设备、管线的加固、保护等特殊情况下的施工措施比较（最高8分）：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方案描述清晰明了、科学合理、操作性强的得8分；方案描述较清晰、较科学合理、操作性较强的得5分；方案描述一般、科学合理性一般、操作性一般的得2分；其他情况不得分。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7、应急救援预案，包括施工区域内可能存在的危险应急响应预案比较（最高8分）：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方案描述清晰明了、科学合理、操作性强的得8分；方案描述较清晰、较科学合理、操作性较强的得5分；方案描述一般、科学合理性一般、操作性一般的得2分；其他情况不得分。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8、劳动力配备比较（最高7分）：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用于该工程的劳动力配备科学合理、操作性强、高效的得7分；劳动力配备较科学合理、操作性较强、较高效的得4分；劳动力配备科学合理性一般、操作性一般的得2分；其他情况不得分。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（三）拟投入本项目人员配备情况比较：最高12分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1、项目技术负责人具有水利专业中级及以上职称的得2分。最高2分。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2、项目组配备人员中（除项目经理外）配备有施工员、质检(量）员、安全员、材料员、资料员的有一个得2分（每种证书不重复计分；同一人提供多种证书的只计一种，不重复计分），最高得10分。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注：上述1-2项响应文件中提供人员证书扫描件及响应单位为其缴纳近一个月的社保证明扫描件。材料未提供或提供不全或提供材料无法认定的，则对应评分项不得分。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（四）响应单位综合实力比较：最高15分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1、响应单位具有有效期内的质量管理体系认证证书、环境管理体系认证证书、职业健康安全管理体系认证证书，有一个得1分，最高得3分。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注：响应文件中提供证书扫描件及加盖响应单位公章，不提供不得分。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2、响应单位自2023年6月1日至今承担过类似水利项目业绩的，每提供一个业绩证明得3分，最高得12分。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注：①时间以合同签订时间为准；②响应文件中提供施工合同扫描件。材料未提供或提供不全或提供材料无法认定的，则对应评分项不得分。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注：针对评分标准中评分的每一条，响应人在响应文件中均应提供清晰明了的相关资料并做出相应说明供评委评判，不提供相关资料的视为不具备该项得分的条件。</w:t>
      </w:r>
      <w:r/>
    </w:p>
    <w:p>
      <w:pPr>
        <w:ind w:left="0" w:right="0" w:firstLine="0"/>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20" w:firstLine="0"/>
        <w:jc w:val="right"/>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第%1章"/>
      <w:lvlJc w:val="left"/>
      <w:pPr>
        <w:ind w:left="234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第%1章"/>
      <w:lvlJc w:val="left"/>
      <w:pPr>
        <w:ind w:left="234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第%1章"/>
      <w:lvlJc w:val="left"/>
      <w:pPr>
        <w:ind w:left="234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tab"/>
      <w:lvlText w:val="第%1章"/>
      <w:lvlJc w:val="left"/>
      <w:pPr>
        <w:ind w:left="234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uiPriority w:val="34"/>
    <w:qFormat/>
    <w:pPr>
      <w:contextualSpacing/>
      <w:ind w:left="720"/>
    </w:pPr>
  </w:style>
  <w:style w:type="paragraph" w:styleId="677">
    <w:name w:val="No Spacing"/>
    <w:uiPriority w:val="1"/>
    <w:qFormat/>
    <w:pPr>
      <w:spacing w:before="0" w:after="0" w:line="240" w:lineRule="auto"/>
    </w:pPr>
  </w:style>
  <w:style w:type="paragraph" w:styleId="678">
    <w:name w:val="Title"/>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link w:val="683"/>
    <w:uiPriority w:val="29"/>
    <w:qFormat/>
    <w:pPr>
      <w:ind w:left="720" w:right="720"/>
    </w:pPr>
    <w:rPr>
      <w:i/>
    </w:rPr>
  </w:style>
  <w:style w:type="character" w:styleId="683">
    <w:name w:val="Quote Char"/>
    <w:link w:val="682"/>
    <w:uiPriority w:val="29"/>
    <w:rPr>
      <w:i/>
    </w:rPr>
  </w:style>
  <w:style w:type="paragraph" w:styleId="684">
    <w:name w:val="Intense Quote"/>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uiPriority w:val="39"/>
    <w:unhideWhenUsed/>
    <w:pPr>
      <w:ind w:left="0" w:right="0" w:firstLine="0"/>
      <w:spacing w:after="57"/>
    </w:pPr>
  </w:style>
  <w:style w:type="paragraph" w:styleId="826">
    <w:name w:val="toc 2"/>
    <w:uiPriority w:val="39"/>
    <w:unhideWhenUsed/>
    <w:pPr>
      <w:ind w:left="283" w:right="0" w:firstLine="0"/>
      <w:spacing w:after="57"/>
    </w:pPr>
  </w:style>
  <w:style w:type="paragraph" w:styleId="827">
    <w:name w:val="toc 3"/>
    <w:uiPriority w:val="39"/>
    <w:unhideWhenUsed/>
    <w:pPr>
      <w:ind w:left="567" w:right="0" w:firstLine="0"/>
      <w:spacing w:after="57"/>
    </w:pPr>
  </w:style>
  <w:style w:type="paragraph" w:styleId="828">
    <w:name w:val="toc 4"/>
    <w:uiPriority w:val="39"/>
    <w:unhideWhenUsed/>
    <w:pPr>
      <w:ind w:left="850" w:right="0" w:firstLine="0"/>
      <w:spacing w:after="57"/>
    </w:pPr>
  </w:style>
  <w:style w:type="paragraph" w:styleId="829">
    <w:name w:val="toc 5"/>
    <w:uiPriority w:val="39"/>
    <w:unhideWhenUsed/>
    <w:pPr>
      <w:ind w:left="1134" w:right="0" w:firstLine="0"/>
      <w:spacing w:after="57"/>
    </w:pPr>
  </w:style>
  <w:style w:type="paragraph" w:styleId="830">
    <w:name w:val="toc 6"/>
    <w:uiPriority w:val="39"/>
    <w:unhideWhenUsed/>
    <w:pPr>
      <w:ind w:left="1417" w:right="0" w:firstLine="0"/>
      <w:spacing w:after="57"/>
    </w:pPr>
  </w:style>
  <w:style w:type="paragraph" w:styleId="831">
    <w:name w:val="toc 7"/>
    <w:uiPriority w:val="39"/>
    <w:unhideWhenUsed/>
    <w:pPr>
      <w:ind w:left="1701" w:right="0" w:firstLine="0"/>
      <w:spacing w:after="57"/>
    </w:pPr>
  </w:style>
  <w:style w:type="paragraph" w:styleId="832">
    <w:name w:val="toc 8"/>
    <w:uiPriority w:val="39"/>
    <w:unhideWhenUsed/>
    <w:pPr>
      <w:ind w:left="1984" w:right="0" w:firstLine="0"/>
      <w:spacing w:after="57"/>
    </w:pPr>
  </w:style>
  <w:style w:type="paragraph" w:styleId="833">
    <w:name w:val="toc 9"/>
    <w:uiPriority w:val="39"/>
    <w:unhideWhenUsed/>
    <w:pPr>
      <w:ind w:left="2268" w:right="0" w:firstLine="0"/>
      <w:spacing w:after="57"/>
    </w:pPr>
  </w:style>
  <w:style w:type="paragraph" w:styleId="834">
    <w:name w:val="TOC Heading"/>
    <w:uiPriority w:val="39"/>
    <w:unhideWhenUsed/>
  </w:style>
  <w:style w:type="paragraph" w:styleId="835">
    <w:name w:val="table of figures"/>
    <w:uiPriority w:val="99"/>
    <w:unhideWhenUsed/>
    <w:pPr>
      <w:spacing w:after="0" w:afterAutospacing="0"/>
    </w:pPr>
  </w:style>
  <w:style w:type="character" w:styleId="836" w:default="1">
    <w:name w:val="Default Paragraph Font"/>
    <w:uiPriority w:val="1"/>
    <w:semiHidden/>
    <w:unhideWhenUsed/>
  </w:style>
  <w:style w:type="numbering" w:styleId="837" w:default="1">
    <w:name w:val="No List"/>
    <w:uiPriority w:val="99"/>
    <w:semiHidden/>
    <w:unhideWhenUsed/>
  </w:style>
  <w:style w:type="paragraph" w:styleId="838" w:default="1">
    <w:name w:val="Normal"/>
    <w:qFormat/>
  </w:style>
  <w:style w:type="table" w:styleId="8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szweikang.xn--com-6y3ba7cbgc4097e4kax19cqoerohxod7w1bva254sga6035lg4sc/"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陶珣</cp:lastModifiedBy>
  <cp:revision>5</cp:revision>
  <dcterms:created xsi:type="dcterms:W3CDTF">2026-07-28T03:09:11Z</dcterms:created>
  <dcterms:modified xsi:type="dcterms:W3CDTF">2026-07-29T05:06:21Z</dcterms:modified>
</cp:coreProperties>
</file>