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shd w:val="clear" w:color="auto"/>
        <w:rPr>
          <w:rFonts w:hint="eastAsia" w:ascii="宋体" w:hAnsi="宋体" w:cs="宋体"/>
          <w:b/>
          <w:bCs/>
          <w:color w:val="auto"/>
          <w:sz w:val="28"/>
          <w:szCs w:val="20"/>
          <w:highlight w:val="none"/>
        </w:rPr>
      </w:pPr>
      <w:r/>
      <w:bookmarkStart w:id="0" w:name="_Toc528771312"/>
      <w:r/>
      <w:bookmarkStart w:id="1" w:name="_Toc27744861"/>
      <w:r/>
      <w:r/>
    </w:p>
    <w:p>
      <w:pPr>
        <w:pStyle w:val="884"/>
        <w:jc w:val="center"/>
        <w:shd w:val="clear" w:color="auto"/>
        <w:rPr>
          <w:color w:val="auto"/>
          <w:highlight w:val="none"/>
        </w:rPr>
      </w:pPr>
      <w:r>
        <w:rPr>
          <w:rFonts w:hint="eastAsia" w:ascii="黑体" w:hAnsi="宋体" w:eastAsia="黑体"/>
          <w:b/>
          <w:bCs/>
          <w:color w:val="auto"/>
          <w:sz w:val="52"/>
          <w:szCs w:val="52"/>
          <w:highlight w:val="none"/>
          <w:lang w:eastAsia="zh-CN"/>
        </w:rPr>
        <w:t xml:space="preserve">南京市江宁医院角膜屈光系统维保采购项目</w:t>
      </w:r>
      <w:r/>
    </w:p>
    <w:p>
      <w:pPr>
        <w:pStyle w:val="884"/>
        <w:shd w:val="clear" w:color="auto"/>
        <w:rPr>
          <w:color w:val="auto"/>
          <w:highlight w:val="none"/>
        </w:rPr>
      </w:pPr>
      <w:r>
        <w:rPr>
          <w:color w:val="auto"/>
          <w:highlight w:val="none"/>
        </w:rPr>
      </w:r>
      <w:r/>
    </w:p>
    <w:p>
      <w:pPr>
        <w:pStyle w:val="884"/>
        <w:shd w:val="clear" w:color="auto"/>
        <w:rPr>
          <w:color w:val="auto"/>
          <w:highlight w:val="none"/>
        </w:rPr>
      </w:pPr>
      <w:r>
        <w:rPr>
          <w:color w:val="auto"/>
          <w:highlight w:val="none"/>
        </w:rPr>
      </w:r>
      <w:r/>
    </w:p>
    <w:p>
      <w:pPr>
        <w:pStyle w:val="884"/>
        <w:shd w:val="clear" w:color="auto"/>
        <w:rPr>
          <w:color w:val="auto"/>
          <w:highlight w:val="none"/>
        </w:rPr>
      </w:pPr>
      <w:r>
        <w:rPr>
          <w:color w:val="auto"/>
          <w:highlight w:val="none"/>
        </w:rPr>
      </w:r>
      <w:r/>
    </w:p>
    <w:p>
      <w:pPr>
        <w:jc w:val="center"/>
        <w:shd w:val="clear" w:color="auto"/>
        <w:tabs>
          <w:tab w:val="left" w:pos="390" w:leader="none"/>
          <w:tab w:val="center" w:pos="4404" w:leader="none"/>
        </w:tabs>
        <w:rPr>
          <w:rFonts w:hint="eastAsia" w:ascii="黑体" w:hAnsi="宋体" w:eastAsia="黑体"/>
          <w:b/>
          <w:bCs/>
          <w:color w:val="auto"/>
          <w:sz w:val="76"/>
          <w:szCs w:val="76"/>
          <w:highlight w:val="none"/>
        </w:rPr>
      </w:pPr>
      <w:r>
        <w:rPr>
          <w:rFonts w:hint="eastAsia" w:ascii="宋体" w:hAnsi="宋体" w:cs="宋体"/>
          <w:b/>
          <w:bCs/>
          <w:color w:val="auto"/>
          <w:sz w:val="76"/>
          <w:szCs w:val="76"/>
          <w:highlight w:val="none"/>
        </w:rPr>
        <w:t xml:space="preserve">竞争性磋商文件</w:t>
      </w:r>
      <w:bookmarkStart w:id="76" w:name="_GoBack"/>
      <w:r/>
      <w:bookmarkEnd w:id="76"/>
      <w:r/>
      <w:r/>
    </w:p>
    <w:p>
      <w:pPr>
        <w:ind w:left="0" w:right="0" w:firstLine="0"/>
        <w:jc w:val="center"/>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40"/>
          <w:szCs w:val="21"/>
          <w:highlight w:val="none"/>
        </w:rPr>
        <w:t xml:space="preserve">项目编号</w:t>
      </w:r>
      <w:r>
        <w:rPr>
          <w:rFonts w:hint="eastAsia" w:ascii="宋体" w:hAnsi="宋体" w:cs="宋体"/>
          <w:color w:val="auto"/>
          <w:sz w:val="40"/>
          <w:szCs w:val="40"/>
          <w:highlight w:val="none"/>
        </w:rPr>
        <w:t xml:space="preserve">：JSZC-320115-JSHY-C2026-0152</w:t>
      </w:r>
      <w:r/>
    </w:p>
    <w:p>
      <w:pPr>
        <w:jc w:val="center"/>
        <w:shd w:val="clear" w:color="auto"/>
        <w:rPr>
          <w:rFonts w:hint="eastAsia" w:ascii="宋体" w:hAnsi="宋体" w:cs="宋体"/>
          <w:color w:val="auto"/>
          <w:sz w:val="40"/>
          <w:szCs w:val="40"/>
          <w:highlight w:val="none"/>
        </w:rPr>
      </w:pPr>
      <w:r>
        <w:rPr>
          <w:rFonts w:hint="eastAsia" w:ascii="宋体" w:hAnsi="宋体" w:cs="宋体"/>
          <w:color w:val="auto"/>
          <w:sz w:val="40"/>
          <w:szCs w:val="40"/>
          <w:highlight w:val="none"/>
        </w:rPr>
        <w:t xml:space="preserve">招标代理编号：1009-2</w:t>
      </w:r>
      <w:r>
        <w:rPr>
          <w:rFonts w:hint="eastAsia" w:ascii="宋体" w:hAnsi="宋体" w:cs="宋体"/>
          <w:color w:val="auto"/>
          <w:sz w:val="40"/>
          <w:szCs w:val="40"/>
          <w:highlight w:val="none"/>
          <w:lang w:val="en-US" w:eastAsia="zh-CN"/>
        </w:rPr>
        <w:t xml:space="preserve">6</w:t>
      </w:r>
      <w:r>
        <w:rPr>
          <w:rFonts w:hint="eastAsia" w:ascii="宋体" w:hAnsi="宋体" w:cs="宋体"/>
          <w:color w:val="auto"/>
          <w:sz w:val="40"/>
          <w:szCs w:val="40"/>
          <w:highlight w:val="none"/>
        </w:rPr>
        <w:t xml:space="preserve">41HOLLY</w:t>
      </w:r>
      <w:r>
        <w:rPr>
          <w:rFonts w:hint="eastAsia" w:ascii="宋体" w:hAnsi="宋体" w:cs="宋体"/>
          <w:color w:val="auto"/>
          <w:sz w:val="40"/>
          <w:szCs w:val="40"/>
          <w:highlight w:val="none"/>
          <w:lang w:val="en-US" w:eastAsia="zh-CN"/>
        </w:rPr>
        <w:t xml:space="preserve">08E</w:t>
      </w:r>
      <w:r/>
    </w:p>
    <w:p>
      <w:pPr>
        <w:shd w:val="clear" w:color="auto"/>
        <w:rPr>
          <w:rFonts w:hint="eastAsia" w:ascii="黑体" w:hAnsi="宋体" w:eastAsia="黑体"/>
          <w:color w:val="auto"/>
          <w:sz w:val="32"/>
          <w:highlight w:val="none"/>
        </w:rPr>
      </w:pPr>
      <w:r>
        <w:rPr>
          <w:rFonts w:hint="eastAsia" w:ascii="黑体" w:hAnsi="宋体" w:eastAsia="黑体"/>
          <w:color w:val="auto"/>
          <w:sz w:val="32"/>
          <w:highlight w:val="none"/>
        </w:rPr>
      </w:r>
      <w:r/>
    </w:p>
    <w:p>
      <w:pPr>
        <w:shd w:val="clear" w:color="auto"/>
        <w:rPr>
          <w:rFonts w:hint="eastAsia" w:ascii="黑体" w:hAnsi="宋体" w:eastAsia="黑体"/>
          <w:color w:val="auto"/>
          <w:sz w:val="32"/>
          <w:highlight w:val="none"/>
        </w:rPr>
      </w:pPr>
      <w:r>
        <w:rPr>
          <w:rFonts w:hint="eastAsia" w:ascii="黑体" w:hAnsi="宋体" w:eastAsia="黑体"/>
          <w:color w:val="auto"/>
          <w:sz w:val="32"/>
          <w:highlight w:val="none"/>
        </w:rPr>
      </w:r>
      <w:r/>
    </w:p>
    <w:p>
      <w:pPr>
        <w:pStyle w:val="1032"/>
        <w:ind w:firstLine="0"/>
        <w:shd w:val="clear" w:color="auto"/>
        <w:rPr>
          <w:rFonts w:hint="eastAsia" w:ascii="黑体" w:hAnsi="宋体" w:eastAsia="黑体"/>
          <w:color w:val="auto"/>
          <w:sz w:val="32"/>
          <w:highlight w:val="none"/>
        </w:rPr>
      </w:pPr>
      <w:r>
        <w:rPr>
          <w:rFonts w:hint="eastAsia" w:ascii="黑体" w:hAnsi="宋体" w:eastAsia="黑体"/>
          <w:color w:val="auto"/>
          <w:sz w:val="32"/>
          <w:highlight w:val="none"/>
        </w:rPr>
      </w:r>
      <w:r/>
    </w:p>
    <w:p>
      <w:pPr>
        <w:pStyle w:val="1032"/>
        <w:ind w:firstLine="0"/>
        <w:shd w:val="clear" w:color="auto"/>
        <w:rPr>
          <w:rFonts w:hint="eastAsia" w:ascii="黑体" w:hAnsi="宋体" w:eastAsia="黑体"/>
          <w:color w:val="auto"/>
          <w:sz w:val="32"/>
          <w:highlight w:val="none"/>
        </w:rPr>
      </w:pPr>
      <w:r>
        <w:rPr>
          <w:rFonts w:hint="eastAsia" w:ascii="黑体" w:hAnsi="宋体" w:eastAsia="黑体"/>
          <w:color w:val="auto"/>
          <w:sz w:val="32"/>
          <w:highlight w:val="none"/>
        </w:rPr>
      </w:r>
      <w:r/>
    </w:p>
    <w:p>
      <w:pPr>
        <w:pStyle w:val="1032"/>
        <w:ind w:firstLine="0"/>
        <w:shd w:val="clear" w:color="auto"/>
        <w:rPr>
          <w:rFonts w:hint="eastAsia" w:ascii="黑体" w:hAnsi="宋体" w:eastAsia="黑体"/>
          <w:color w:val="auto"/>
          <w:sz w:val="32"/>
          <w:highlight w:val="none"/>
        </w:rPr>
      </w:pPr>
      <w:r>
        <w:rPr>
          <w:rFonts w:hint="eastAsia" w:ascii="黑体" w:hAnsi="宋体" w:eastAsia="黑体"/>
          <w:color w:val="auto"/>
          <w:sz w:val="32"/>
          <w:highlight w:val="none"/>
        </w:rPr>
      </w:r>
      <w:r/>
    </w:p>
    <w:p>
      <w:pPr>
        <w:shd w:val="clear" w:color="auto"/>
        <w:rPr>
          <w:rFonts w:hint="eastAsia" w:ascii="黑体" w:hAnsi="宋体" w:eastAsia="黑体"/>
          <w:color w:val="auto"/>
          <w:sz w:val="32"/>
          <w:highlight w:val="none"/>
        </w:rPr>
      </w:pPr>
      <w:r>
        <w:rPr>
          <w:rFonts w:hint="eastAsia" w:ascii="黑体" w:hAnsi="宋体" w:eastAsia="黑体"/>
          <w:color w:val="auto"/>
          <w:sz w:val="32"/>
          <w:highlight w:val="none"/>
        </w:rPr>
      </w:r>
      <w:r/>
    </w:p>
    <w:p>
      <w:pPr>
        <w:pStyle w:val="1060"/>
        <w:shd w:val="clear" w:color="auto"/>
        <w:rPr>
          <w:color w:val="auto"/>
          <w:highlight w:val="none"/>
          <w:lang w:eastAsia="zh-CN"/>
        </w:rPr>
      </w:pPr>
      <w:r>
        <w:rPr>
          <w:color w:val="auto"/>
          <w:highlight w:val="none"/>
          <w:lang w:eastAsia="zh-CN"/>
        </w:rPr>
      </w:r>
      <w:r/>
    </w:p>
    <w:p>
      <w:pPr>
        <w:ind w:firstLine="643"/>
        <w:jc w:val="center"/>
        <w:spacing w:line="480" w:lineRule="auto"/>
        <w:shd w:val="clear" w:color="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rPr>
        <w:t xml:space="preserve">采购单位：</w:t>
      </w:r>
      <w:r>
        <w:rPr>
          <w:rFonts w:hint="eastAsia" w:ascii="宋体" w:hAnsi="宋体" w:cs="宋体"/>
          <w:b/>
          <w:bCs/>
          <w:color w:val="auto"/>
          <w:sz w:val="32"/>
          <w:szCs w:val="32"/>
          <w:highlight w:val="none"/>
          <w:lang w:eastAsia="zh-CN"/>
        </w:rPr>
        <w:t xml:space="preserve">南京市江宁医院</w:t>
      </w:r>
      <w:r/>
    </w:p>
    <w:p>
      <w:pPr>
        <w:ind w:firstLine="643"/>
        <w:jc w:val="center"/>
        <w:spacing w:line="48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采购代理机构：江苏弘业国际技术工程有限公司</w:t>
      </w:r>
      <w:r/>
    </w:p>
    <w:p>
      <w:pPr>
        <w:jc w:val="center"/>
        <w:spacing w:line="48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二〇二</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月</w:t>
      </w:r>
      <w:r/>
    </w:p>
    <w:p>
      <w:pPr>
        <w:jc w:val="center"/>
        <w:spacing w:line="360" w:lineRule="auto"/>
        <w:shd w:val="clear" w:color="auto"/>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750"/>
        <w:shd w:val="clear" w:color="auto"/>
        <w:rPr>
          <w:rFonts w:hint="eastAsia" w:ascii="宋体" w:hAnsi="宋体" w:cs="宋体"/>
          <w:b/>
          <w:bCs/>
          <w:color w:val="auto"/>
          <w:sz w:val="36"/>
          <w:highlight w:val="none"/>
        </w:rPr>
      </w:pPr>
      <w:r>
        <w:rPr>
          <w:rFonts w:hint="eastAsia" w:ascii="宋体" w:hAnsi="宋体" w:cs="宋体"/>
          <w:b/>
          <w:bCs/>
          <w:color w:val="auto"/>
          <w:sz w:val="36"/>
          <w:highlight w:val="none"/>
        </w:rPr>
      </w:r>
      <w:r/>
    </w:p>
    <w:p>
      <w:pPr>
        <w:shd w:val="clear" w:color="auto"/>
        <w:rPr>
          <w:rFonts w:hint="eastAsia" w:ascii="宋体" w:hAnsi="宋体" w:cs="宋体"/>
          <w:b/>
          <w:bCs/>
          <w:color w:val="auto"/>
          <w:sz w:val="36"/>
          <w:highlight w:val="none"/>
        </w:rPr>
      </w:pPr>
      <w:r>
        <w:rPr>
          <w:rFonts w:hint="eastAsia" w:ascii="宋体" w:hAnsi="宋体" w:cs="宋体"/>
          <w:b/>
          <w:bCs/>
          <w:color w:val="auto"/>
          <w:sz w:val="36"/>
          <w:highlight w:val="none"/>
        </w:rPr>
      </w:r>
      <w:r/>
    </w:p>
    <w:p>
      <w:pPr>
        <w:shd w:val="nil" w:color="auto"/>
        <w:rPr>
          <w:rFonts w:hint="eastAsia"/>
          <w:color w:val="auto"/>
          <w:highlight w:val="none"/>
        </w:rPr>
      </w:pPr>
      <w:r>
        <w:rPr>
          <w:rFonts w:hint="eastAsia"/>
          <w:color w:val="auto"/>
          <w:highlight w:val="none"/>
        </w:rPr>
        <w:br w:type="page" w:clear="all"/>
      </w:r>
      <w:r>
        <w:rPr>
          <w:rFonts w:hint="eastAsia"/>
          <w:color w:val="auto"/>
          <w:highlight w:val="none"/>
        </w:rPr>
      </w:r>
      <w:r/>
    </w:p>
    <w:p>
      <w:pPr>
        <w:pStyle w:val="750"/>
        <w:shd w:val="clear" w:color="auto"/>
        <w:rPr>
          <w:rFonts w:hint="eastAsia"/>
          <w:color w:val="auto"/>
          <w:highlight w:val="none"/>
        </w:rPr>
      </w:pPr>
      <w:r>
        <w:rPr>
          <w:rFonts w:hint="eastAsia"/>
          <w:color w:val="auto"/>
          <w:highlight w:val="none"/>
        </w:rPr>
      </w:r>
      <w:r/>
    </w:p>
    <w:p>
      <w:pPr>
        <w:jc w:val="center"/>
        <w:shd w:val="clear" w:color="auto"/>
        <w:rPr>
          <w:rFonts w:hint="eastAsia" w:ascii="宋体" w:hAnsi="宋体" w:cs="宋体"/>
          <w:b/>
          <w:bCs/>
          <w:color w:val="auto"/>
          <w:sz w:val="32"/>
          <w:highlight w:val="none"/>
        </w:rPr>
      </w:pPr>
      <w:r>
        <w:rPr>
          <w:rFonts w:hint="eastAsia" w:ascii="宋体" w:hAnsi="宋体" w:cs="宋体"/>
          <w:b/>
          <w:bCs/>
          <w:color w:val="auto"/>
          <w:sz w:val="32"/>
          <w:highlight w:val="none"/>
        </w:rPr>
        <w:t xml:space="preserve">目 录</w:t>
      </w:r>
      <w:r/>
    </w:p>
    <w:p>
      <w:pPr>
        <w:jc w:val="center"/>
        <w:spacing w:line="360" w:lineRule="auto"/>
        <w:shd w:val="clear" w:color="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736"/>
        <w:shd w:val="clear" w:color="auto"/>
        <w:tabs>
          <w:tab w:val="right" w:pos="9968" w:leader="dot"/>
        </w:tabs>
        <w:rPr>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_Toc17755 \h </w:instrText>
      </w:r>
      <w:r>
        <w:rPr>
          <w:color w:val="auto"/>
          <w:highlight w:val="none"/>
        </w:rPr>
        <w:fldChar w:fldCharType="separate"/>
      </w:r>
      <w:r>
        <w:rPr>
          <w:color w:val="auto"/>
          <w:highlight w:val="none"/>
        </w:rPr>
        <w:t xml:space="preserve">3</w:t>
      </w:r>
      <w:r>
        <w:rPr>
          <w:color w:val="auto"/>
          <w:highlight w:val="none"/>
        </w:rPr>
        <w:fldChar w:fldCharType="end"/>
      </w:r>
      <w:r/>
    </w:p>
    <w:p>
      <w:pPr>
        <w:pStyle w:val="742"/>
        <w:shd w:val="clear" w:color="auto"/>
        <w:tabs>
          <w:tab w:val="right" w:pos="9968" w:leader="dot"/>
        </w:tabs>
        <w:rPr>
          <w:color w:val="auto"/>
          <w:highlight w:val="none"/>
        </w:rPr>
      </w:pPr>
      <w:r>
        <w:rPr>
          <w:rFonts w:hint="eastAsia" w:ascii="宋体" w:hAnsi="宋体" w:cs="宋体"/>
          <w:bCs w:val="0"/>
          <w:color w:val="auto"/>
          <w:szCs w:val="21"/>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_Toc3023 \h </w:instrText>
      </w:r>
      <w:r>
        <w:rPr>
          <w:color w:val="auto"/>
          <w:highlight w:val="none"/>
        </w:rPr>
        <w:fldChar w:fldCharType="separate"/>
      </w:r>
      <w:r>
        <w:rPr>
          <w:color w:val="auto"/>
          <w:highlight w:val="none"/>
        </w:rPr>
        <w:t xml:space="preserve">3</w:t>
      </w:r>
      <w:r>
        <w:rPr>
          <w:color w:val="auto"/>
          <w:highlight w:val="none"/>
        </w:rPr>
        <w:fldChar w:fldCharType="end"/>
      </w:r>
      <w:r/>
    </w:p>
    <w:p>
      <w:pPr>
        <w:pStyle w:val="742"/>
        <w:shd w:val="clear" w:color="auto"/>
        <w:tabs>
          <w:tab w:val="right" w:pos="9968" w:leader="dot"/>
        </w:tabs>
        <w:rPr>
          <w:color w:val="auto"/>
          <w:highlight w:val="none"/>
        </w:rPr>
      </w:pPr>
      <w:r>
        <w:rPr>
          <w:rFonts w:hint="eastAsia" w:ascii="宋体" w:hAnsi="宋体" w:cs="宋体"/>
          <w:bCs w:val="0"/>
          <w:color w:val="auto"/>
          <w:szCs w:val="21"/>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_Toc1126 \h </w:instrText>
      </w:r>
      <w:r>
        <w:rPr>
          <w:color w:val="auto"/>
          <w:highlight w:val="none"/>
        </w:rPr>
        <w:fldChar w:fldCharType="separate"/>
      </w:r>
      <w:r>
        <w:rPr>
          <w:color w:val="auto"/>
          <w:highlight w:val="none"/>
        </w:rPr>
        <w:t xml:space="preserve">3</w:t>
      </w:r>
      <w:r>
        <w:rPr>
          <w:color w:val="auto"/>
          <w:highlight w:val="none"/>
        </w:rPr>
        <w:fldChar w:fldCharType="end"/>
      </w:r>
      <w:r/>
    </w:p>
    <w:p>
      <w:pPr>
        <w:pStyle w:val="742"/>
        <w:shd w:val="clear" w:color="auto"/>
        <w:tabs>
          <w:tab w:val="right" w:pos="9968" w:leader="dot"/>
        </w:tabs>
        <w:rPr>
          <w:color w:val="auto"/>
          <w:highlight w:val="none"/>
        </w:rPr>
      </w:pPr>
      <w:r>
        <w:rPr>
          <w:rFonts w:hint="eastAsia" w:ascii="宋体" w:hAnsi="宋体" w:cs="宋体"/>
          <w:bCs w:val="0"/>
          <w:color w:val="auto"/>
          <w:szCs w:val="21"/>
          <w:highlight w:val="none"/>
        </w:rPr>
        <w:t xml:space="preserve">三、获取采购文件</w:t>
      </w:r>
      <w:r>
        <w:rPr>
          <w:color w:val="auto"/>
          <w:highlight w:val="none"/>
        </w:rPr>
        <w:tab/>
      </w:r>
      <w:r>
        <w:rPr>
          <w:color w:val="auto"/>
          <w:highlight w:val="none"/>
        </w:rPr>
        <w:fldChar w:fldCharType="begin"/>
      </w:r>
      <w:r>
        <w:rPr>
          <w:color w:val="auto"/>
          <w:highlight w:val="none"/>
        </w:rPr>
        <w:instrText xml:space="preserve"> PAGEREF _Toc28472 \h </w:instrText>
      </w:r>
      <w:r>
        <w:rPr>
          <w:color w:val="auto"/>
          <w:highlight w:val="none"/>
        </w:rPr>
        <w:fldChar w:fldCharType="separate"/>
      </w:r>
      <w:r>
        <w:rPr>
          <w:color w:val="auto"/>
          <w:highlight w:val="none"/>
        </w:rPr>
        <w:t xml:space="preserve">4</w:t>
      </w:r>
      <w:r>
        <w:rPr>
          <w:color w:val="auto"/>
          <w:highlight w:val="none"/>
        </w:rPr>
        <w:fldChar w:fldCharType="end"/>
      </w:r>
      <w:r/>
    </w:p>
    <w:p>
      <w:pPr>
        <w:pStyle w:val="742"/>
        <w:shd w:val="clear" w:color="auto"/>
        <w:tabs>
          <w:tab w:val="right" w:pos="9968" w:leader="dot"/>
        </w:tabs>
        <w:rPr>
          <w:color w:val="auto"/>
          <w:highlight w:val="none"/>
        </w:rPr>
      </w:pPr>
      <w:r>
        <w:rPr>
          <w:rFonts w:hint="eastAsia" w:ascii="宋体" w:hAnsi="宋体" w:cs="宋体"/>
          <w:bCs w:val="0"/>
          <w:color w:val="auto"/>
          <w:szCs w:val="21"/>
          <w:highlight w:val="none"/>
        </w:rPr>
        <w:t xml:space="preserve">四、响应文件提交</w:t>
      </w:r>
      <w:r>
        <w:rPr>
          <w:color w:val="auto"/>
          <w:highlight w:val="none"/>
        </w:rPr>
        <w:tab/>
      </w:r>
      <w:r>
        <w:rPr>
          <w:color w:val="auto"/>
          <w:highlight w:val="none"/>
        </w:rPr>
        <w:fldChar w:fldCharType="begin"/>
      </w:r>
      <w:r>
        <w:rPr>
          <w:color w:val="auto"/>
          <w:highlight w:val="none"/>
        </w:rPr>
        <w:instrText xml:space="preserve"> PAGEREF _Toc18351 \h </w:instrText>
      </w:r>
      <w:r>
        <w:rPr>
          <w:color w:val="auto"/>
          <w:highlight w:val="none"/>
        </w:rPr>
        <w:fldChar w:fldCharType="separate"/>
      </w:r>
      <w:r>
        <w:rPr>
          <w:color w:val="auto"/>
          <w:highlight w:val="none"/>
        </w:rPr>
        <w:t xml:space="preserve">4</w:t>
      </w:r>
      <w:r>
        <w:rPr>
          <w:color w:val="auto"/>
          <w:highlight w:val="none"/>
        </w:rPr>
        <w:fldChar w:fldCharType="end"/>
      </w:r>
      <w:r/>
    </w:p>
    <w:p>
      <w:pPr>
        <w:pStyle w:val="742"/>
        <w:shd w:val="clear" w:color="auto"/>
        <w:tabs>
          <w:tab w:val="right" w:pos="9968" w:leader="dot"/>
        </w:tabs>
        <w:rPr>
          <w:color w:val="auto"/>
          <w:highlight w:val="none"/>
        </w:rPr>
      </w:pPr>
      <w:r>
        <w:rPr>
          <w:rFonts w:hint="eastAsia" w:ascii="宋体" w:hAnsi="宋体" w:cs="宋体"/>
          <w:bCs w:val="0"/>
          <w:color w:val="auto"/>
          <w:szCs w:val="21"/>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_Toc28529 \h </w:instrText>
      </w:r>
      <w:r>
        <w:rPr>
          <w:color w:val="auto"/>
          <w:highlight w:val="none"/>
        </w:rPr>
        <w:fldChar w:fldCharType="separate"/>
      </w:r>
      <w:r>
        <w:rPr>
          <w:color w:val="auto"/>
          <w:highlight w:val="none"/>
        </w:rPr>
        <w:t xml:space="preserve">4</w:t>
      </w:r>
      <w:r>
        <w:rPr>
          <w:color w:val="auto"/>
          <w:highlight w:val="none"/>
        </w:rPr>
        <w:fldChar w:fldCharType="end"/>
      </w:r>
      <w:r/>
    </w:p>
    <w:p>
      <w:pPr>
        <w:pStyle w:val="742"/>
        <w:shd w:val="clear" w:color="auto"/>
        <w:tabs>
          <w:tab w:val="right" w:pos="9968" w:leader="dot"/>
        </w:tabs>
        <w:rPr>
          <w:color w:val="auto"/>
          <w:highlight w:val="none"/>
        </w:rPr>
      </w:pPr>
      <w:r>
        <w:rPr>
          <w:rFonts w:hint="eastAsia" w:ascii="宋体" w:hAnsi="宋体" w:cs="宋体"/>
          <w:bCs w:val="0"/>
          <w:color w:val="auto"/>
          <w:szCs w:val="21"/>
          <w:highlight w:val="none"/>
        </w:rPr>
        <w:t xml:space="preserve">六、公告期限</w:t>
      </w:r>
      <w:r>
        <w:rPr>
          <w:color w:val="auto"/>
          <w:highlight w:val="none"/>
        </w:rPr>
        <w:tab/>
      </w:r>
      <w:r>
        <w:rPr>
          <w:color w:val="auto"/>
          <w:highlight w:val="none"/>
        </w:rPr>
        <w:fldChar w:fldCharType="begin"/>
      </w:r>
      <w:r>
        <w:rPr>
          <w:color w:val="auto"/>
          <w:highlight w:val="none"/>
        </w:rPr>
        <w:instrText xml:space="preserve"> PAGEREF _Toc12524 \h </w:instrText>
      </w:r>
      <w:r>
        <w:rPr>
          <w:color w:val="auto"/>
          <w:highlight w:val="none"/>
        </w:rPr>
        <w:fldChar w:fldCharType="separate"/>
      </w:r>
      <w:r>
        <w:rPr>
          <w:color w:val="auto"/>
          <w:highlight w:val="none"/>
        </w:rPr>
        <w:t xml:space="preserve">4</w:t>
      </w:r>
      <w:r>
        <w:rPr>
          <w:color w:val="auto"/>
          <w:highlight w:val="none"/>
        </w:rPr>
        <w:fldChar w:fldCharType="end"/>
      </w:r>
      <w:r/>
    </w:p>
    <w:p>
      <w:pPr>
        <w:pStyle w:val="742"/>
        <w:shd w:val="clear" w:color="auto"/>
        <w:tabs>
          <w:tab w:val="right" w:pos="9968" w:leader="dot"/>
        </w:tabs>
        <w:rPr>
          <w:color w:val="auto"/>
          <w:highlight w:val="none"/>
        </w:rPr>
      </w:pPr>
      <w:r>
        <w:rPr>
          <w:rFonts w:hint="eastAsia" w:ascii="宋体" w:hAnsi="宋体" w:cs="宋体"/>
          <w:color w:val="auto"/>
          <w:szCs w:val="21"/>
          <w:highlight w:val="none"/>
        </w:rPr>
        <w:t xml:space="preserve">七、其他补充事宜</w:t>
      </w:r>
      <w:r>
        <w:rPr>
          <w:color w:val="auto"/>
          <w:highlight w:val="none"/>
        </w:rPr>
        <w:tab/>
      </w:r>
      <w:r>
        <w:rPr>
          <w:color w:val="auto"/>
          <w:highlight w:val="none"/>
        </w:rPr>
        <w:fldChar w:fldCharType="begin"/>
      </w:r>
      <w:r>
        <w:rPr>
          <w:color w:val="auto"/>
          <w:highlight w:val="none"/>
        </w:rPr>
        <w:instrText xml:space="preserve"> PAGEREF _Toc7594 \h </w:instrText>
      </w:r>
      <w:r>
        <w:rPr>
          <w:color w:val="auto"/>
          <w:highlight w:val="none"/>
        </w:rPr>
        <w:fldChar w:fldCharType="separate"/>
      </w:r>
      <w:r>
        <w:rPr>
          <w:color w:val="auto"/>
          <w:highlight w:val="none"/>
        </w:rPr>
        <w:t xml:space="preserve">5</w:t>
      </w:r>
      <w:r>
        <w:rPr>
          <w:color w:val="auto"/>
          <w:highlight w:val="none"/>
        </w:rPr>
        <w:fldChar w:fldCharType="end"/>
      </w:r>
      <w:r/>
    </w:p>
    <w:p>
      <w:pPr>
        <w:pStyle w:val="742"/>
        <w:shd w:val="clear" w:color="auto"/>
        <w:tabs>
          <w:tab w:val="right" w:pos="9968" w:leader="dot"/>
        </w:tabs>
        <w:rPr>
          <w:color w:val="auto"/>
          <w:highlight w:val="none"/>
        </w:rPr>
      </w:pPr>
      <w:r>
        <w:rPr>
          <w:rFonts w:hint="eastAsia" w:ascii="宋体" w:hAnsi="宋体" w:cs="宋体"/>
          <w:color w:val="auto"/>
          <w:szCs w:val="21"/>
          <w:highlight w:val="none"/>
        </w:rPr>
        <w:t xml:space="preserve">八、对本次招标提出询问，请按以下方式联系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_Toc29073 \h </w:instrText>
      </w:r>
      <w:r>
        <w:rPr>
          <w:color w:val="auto"/>
          <w:highlight w:val="none"/>
        </w:rPr>
        <w:fldChar w:fldCharType="separate"/>
      </w:r>
      <w:r>
        <w:rPr>
          <w:color w:val="auto"/>
          <w:highlight w:val="none"/>
        </w:rPr>
        <w:t xml:space="preserve">6</w:t>
      </w:r>
      <w:r>
        <w:rPr>
          <w:color w:val="auto"/>
          <w:highlight w:val="none"/>
        </w:rPr>
        <w:fldChar w:fldCharType="end"/>
      </w:r>
      <w:r/>
    </w:p>
    <w:p>
      <w:pPr>
        <w:pStyle w:val="736"/>
        <w:shd w:val="clear" w:color="auto"/>
        <w:tabs>
          <w:tab w:val="right" w:pos="9968" w:leader="dot"/>
        </w:tabs>
        <w:rPr>
          <w:color w:val="auto"/>
          <w:highlight w:val="none"/>
        </w:rPr>
      </w:pPr>
      <w:r>
        <w:rPr>
          <w:rFonts w:hint="eastAsia" w:ascii="宋体" w:hAnsi="宋体" w:cs="宋体"/>
          <w:color w:val="auto"/>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_Toc24167 \h </w:instrText>
      </w:r>
      <w:r>
        <w:rPr>
          <w:color w:val="auto"/>
          <w:highlight w:val="none"/>
        </w:rPr>
        <w:fldChar w:fldCharType="separate"/>
      </w:r>
      <w:r>
        <w:rPr>
          <w:color w:val="auto"/>
          <w:highlight w:val="none"/>
        </w:rPr>
        <w:t xml:space="preserve">7</w:t>
      </w:r>
      <w:r>
        <w:rPr>
          <w:color w:val="auto"/>
          <w:highlight w:val="none"/>
        </w:rPr>
        <w:fldChar w:fldCharType="end"/>
      </w:r>
      <w:r/>
    </w:p>
    <w:p>
      <w:pPr>
        <w:pStyle w:val="736"/>
        <w:shd w:val="clear" w:color="auto"/>
        <w:tabs>
          <w:tab w:val="right" w:pos="9968" w:leader="dot"/>
        </w:tabs>
        <w:rPr>
          <w:color w:val="auto"/>
          <w:highlight w:val="none"/>
        </w:rPr>
      </w:pPr>
      <w:r>
        <w:rPr>
          <w:rFonts w:hint="eastAsia" w:ascii="宋体" w:hAnsi="宋体" w:cs="宋体"/>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_Toc31087 \h </w:instrText>
      </w:r>
      <w:r>
        <w:rPr>
          <w:color w:val="auto"/>
          <w:highlight w:val="none"/>
        </w:rPr>
        <w:fldChar w:fldCharType="separate"/>
      </w:r>
      <w:r>
        <w:rPr>
          <w:color w:val="auto"/>
          <w:highlight w:val="none"/>
        </w:rPr>
        <w:t xml:space="preserve">21</w:t>
      </w:r>
      <w:r>
        <w:rPr>
          <w:color w:val="auto"/>
          <w:highlight w:val="none"/>
        </w:rPr>
        <w:fldChar w:fldCharType="end"/>
      </w:r>
      <w:r/>
    </w:p>
    <w:p>
      <w:pPr>
        <w:pStyle w:val="736"/>
        <w:shd w:val="clear" w:color="auto"/>
        <w:tabs>
          <w:tab w:val="right" w:pos="9968" w:leader="dot"/>
        </w:tabs>
        <w:rPr>
          <w:color w:val="auto"/>
          <w:highlight w:val="none"/>
        </w:rPr>
      </w:pPr>
      <w:r>
        <w:rPr>
          <w:rFonts w:hint="eastAsia"/>
          <w:bCs/>
          <w:color w:val="auto"/>
          <w:szCs w:val="32"/>
          <w:highlight w:val="none"/>
          <w14:ligatures w14:val="standardContextual"/>
        </w:rPr>
        <w:t xml:space="preserve">政府采购合同范本（服务类）</w:t>
      </w:r>
      <w:r>
        <w:rPr>
          <w:color w:val="auto"/>
          <w:highlight w:val="none"/>
        </w:rPr>
        <w:tab/>
      </w:r>
      <w:r>
        <w:rPr>
          <w:color w:val="auto"/>
          <w:highlight w:val="none"/>
        </w:rPr>
        <w:fldChar w:fldCharType="begin"/>
      </w:r>
      <w:r>
        <w:rPr>
          <w:color w:val="auto"/>
          <w:highlight w:val="none"/>
        </w:rPr>
        <w:instrText xml:space="preserve"> PAGEREF _Toc29229 \h </w:instrText>
      </w:r>
      <w:r>
        <w:rPr>
          <w:color w:val="auto"/>
          <w:highlight w:val="none"/>
        </w:rPr>
        <w:fldChar w:fldCharType="separate"/>
      </w:r>
      <w:r>
        <w:rPr>
          <w:color w:val="auto"/>
          <w:highlight w:val="none"/>
        </w:rPr>
        <w:t xml:space="preserve">21</w:t>
      </w:r>
      <w:r>
        <w:rPr>
          <w:color w:val="auto"/>
          <w:highlight w:val="none"/>
        </w:rPr>
        <w:fldChar w:fldCharType="end"/>
      </w:r>
      <w:r/>
    </w:p>
    <w:p>
      <w:pPr>
        <w:pStyle w:val="736"/>
        <w:shd w:val="clear" w:color="auto"/>
        <w:tabs>
          <w:tab w:val="right" w:pos="9968" w:leader="dot"/>
        </w:tabs>
        <w:rPr>
          <w:color w:val="auto"/>
          <w:highlight w:val="none"/>
        </w:rPr>
      </w:pPr>
      <w:r>
        <w:rPr>
          <w:rFonts w:hint="eastAsia" w:ascii="宋体" w:hAnsi="宋体" w:cs="宋体"/>
          <w:color w:val="auto"/>
          <w:highlight w:val="none"/>
        </w:rPr>
        <w:t xml:space="preserve">第四章 </w:t>
      </w:r>
      <w:r>
        <w:rPr>
          <w:rFonts w:hint="eastAsia" w:ascii="宋体" w:hAnsi="宋体" w:cs="宋体"/>
          <w:color w:val="auto"/>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_Toc7970 \h </w:instrText>
      </w:r>
      <w:r>
        <w:rPr>
          <w:color w:val="auto"/>
          <w:highlight w:val="none"/>
        </w:rPr>
        <w:fldChar w:fldCharType="separate"/>
      </w:r>
      <w:r>
        <w:rPr>
          <w:color w:val="auto"/>
          <w:highlight w:val="none"/>
        </w:rPr>
        <w:t xml:space="preserve">25</w:t>
      </w:r>
      <w:r>
        <w:rPr>
          <w:color w:val="auto"/>
          <w:highlight w:val="none"/>
        </w:rPr>
        <w:fldChar w:fldCharType="end"/>
      </w:r>
      <w:r/>
    </w:p>
    <w:p>
      <w:pPr>
        <w:pStyle w:val="731"/>
        <w:shd w:val="clear" w:color="auto"/>
        <w:tabs>
          <w:tab w:val="right" w:pos="9968" w:leader="dot"/>
        </w:tabs>
        <w:rPr>
          <w:color w:val="auto"/>
          <w:highlight w:val="none"/>
        </w:rPr>
      </w:pPr>
      <w:r>
        <w:rPr>
          <w:rFonts w:hint="eastAsia"/>
          <w:color w:val="auto"/>
          <w:highlight w:val="none"/>
          <w:lang w:val="en-US" w:eastAsia="zh-CN"/>
        </w:rPr>
        <w:t xml:space="preserve">一、 项目需求</w:t>
      </w:r>
      <w:r>
        <w:rPr>
          <w:color w:val="auto"/>
          <w:highlight w:val="none"/>
        </w:rPr>
        <w:tab/>
      </w:r>
      <w:r>
        <w:rPr>
          <w:color w:val="auto"/>
          <w:highlight w:val="none"/>
        </w:rPr>
        <w:fldChar w:fldCharType="begin"/>
      </w:r>
      <w:r>
        <w:rPr>
          <w:color w:val="auto"/>
          <w:highlight w:val="none"/>
        </w:rPr>
        <w:instrText xml:space="preserve"> PAGEREF _Toc13476 \h </w:instrText>
      </w:r>
      <w:r>
        <w:rPr>
          <w:color w:val="auto"/>
          <w:highlight w:val="none"/>
        </w:rPr>
        <w:fldChar w:fldCharType="separate"/>
      </w:r>
      <w:r>
        <w:rPr>
          <w:color w:val="auto"/>
          <w:highlight w:val="none"/>
        </w:rPr>
        <w:t xml:space="preserve">25</w:t>
      </w:r>
      <w:r>
        <w:rPr>
          <w:color w:val="auto"/>
          <w:highlight w:val="none"/>
        </w:rPr>
        <w:fldChar w:fldCharType="end"/>
      </w:r>
      <w:r/>
    </w:p>
    <w:p>
      <w:pPr>
        <w:pStyle w:val="731"/>
        <w:shd w:val="clear" w:color="auto"/>
        <w:tabs>
          <w:tab w:val="right" w:pos="9968" w:leader="dot"/>
        </w:tabs>
        <w:rPr>
          <w:color w:val="auto"/>
          <w:highlight w:val="none"/>
        </w:rPr>
      </w:pPr>
      <w:r>
        <w:rPr>
          <w:rFonts w:hint="eastAsia"/>
          <w:color w:val="auto"/>
          <w:highlight w:val="none"/>
          <w:lang w:val="en-US" w:eastAsia="zh-CN"/>
        </w:rPr>
        <w:t xml:space="preserve">二</w:t>
      </w:r>
      <w:r>
        <w:rPr>
          <w:rFonts w:hint="eastAsia"/>
          <w:color w:val="auto"/>
          <w:highlight w:val="none"/>
        </w:rPr>
        <w:t xml:space="preserve">、</w:t>
      </w:r>
      <w:r>
        <w:rPr>
          <w:rFonts w:hint="eastAsia"/>
          <w:color w:val="auto"/>
          <w:highlight w:val="none"/>
          <w:lang w:val="en-US" w:eastAsia="zh-CN"/>
        </w:rPr>
        <w:t xml:space="preserve">技术</w:t>
      </w:r>
      <w:r>
        <w:rPr>
          <w:rFonts w:hint="eastAsia"/>
          <w:color w:val="auto"/>
          <w:highlight w:val="none"/>
        </w:rPr>
        <w:t xml:space="preserve">要求</w:t>
      </w:r>
      <w:r>
        <w:rPr>
          <w:color w:val="auto"/>
          <w:highlight w:val="none"/>
        </w:rPr>
        <w:tab/>
      </w:r>
      <w:r>
        <w:rPr>
          <w:color w:val="auto"/>
          <w:highlight w:val="none"/>
        </w:rPr>
        <w:fldChar w:fldCharType="begin"/>
      </w:r>
      <w:r>
        <w:rPr>
          <w:color w:val="auto"/>
          <w:highlight w:val="none"/>
        </w:rPr>
        <w:instrText xml:space="preserve"> PAGEREF _Toc14637 \h </w:instrText>
      </w:r>
      <w:r>
        <w:rPr>
          <w:color w:val="auto"/>
          <w:highlight w:val="none"/>
        </w:rPr>
        <w:fldChar w:fldCharType="separate"/>
      </w:r>
      <w:r>
        <w:rPr>
          <w:color w:val="auto"/>
          <w:highlight w:val="none"/>
        </w:rPr>
        <w:t xml:space="preserve">25</w:t>
      </w:r>
      <w:r>
        <w:rPr>
          <w:color w:val="auto"/>
          <w:highlight w:val="none"/>
        </w:rPr>
        <w:fldChar w:fldCharType="end"/>
      </w:r>
      <w:r/>
    </w:p>
    <w:p>
      <w:pPr>
        <w:pStyle w:val="731"/>
        <w:shd w:val="clear" w:color="auto"/>
        <w:tabs>
          <w:tab w:val="right" w:pos="9968" w:leader="dot"/>
        </w:tabs>
        <w:rPr>
          <w:color w:val="auto"/>
          <w:highlight w:val="none"/>
        </w:rPr>
      </w:pPr>
      <w:r>
        <w:rPr>
          <w:rFonts w:hint="eastAsia" w:ascii="微软雅黑" w:hAnsi="微软雅黑" w:eastAsia="微软雅黑" w:cs="微软雅黑"/>
          <w:color w:val="auto"/>
          <w:highlight w:val="none"/>
        </w:rPr>
        <w:t xml:space="preserve">★</w:t>
      </w:r>
      <w:r>
        <w:rPr>
          <w:rFonts w:hint="eastAsia"/>
          <w:color w:val="auto"/>
          <w:highlight w:val="none"/>
        </w:rPr>
        <w:t xml:space="preserve">三、商务要求</w:t>
      </w:r>
      <w:r>
        <w:rPr>
          <w:color w:val="auto"/>
          <w:highlight w:val="none"/>
        </w:rPr>
        <w:tab/>
      </w:r>
      <w:r>
        <w:rPr>
          <w:color w:val="auto"/>
          <w:highlight w:val="none"/>
        </w:rPr>
        <w:fldChar w:fldCharType="begin"/>
      </w:r>
      <w:r>
        <w:rPr>
          <w:color w:val="auto"/>
          <w:highlight w:val="none"/>
        </w:rPr>
        <w:instrText xml:space="preserve"> PAGEREF _Toc19927 \h </w:instrText>
      </w:r>
      <w:r>
        <w:rPr>
          <w:color w:val="auto"/>
          <w:highlight w:val="none"/>
        </w:rPr>
        <w:fldChar w:fldCharType="separate"/>
      </w:r>
      <w:r>
        <w:rPr>
          <w:color w:val="auto"/>
          <w:highlight w:val="none"/>
        </w:rPr>
        <w:t xml:space="preserve">26</w:t>
      </w:r>
      <w:r>
        <w:rPr>
          <w:color w:val="auto"/>
          <w:highlight w:val="none"/>
        </w:rPr>
        <w:fldChar w:fldCharType="end"/>
      </w:r>
      <w:r/>
    </w:p>
    <w:p>
      <w:pPr>
        <w:pStyle w:val="742"/>
        <w:shd w:val="clear" w:color="auto"/>
        <w:tabs>
          <w:tab w:val="right" w:pos="9968" w:leader="dot"/>
        </w:tabs>
        <w:rPr>
          <w:color w:val="auto"/>
          <w:highlight w:val="none"/>
        </w:rPr>
      </w:pPr>
      <w:r>
        <w:rPr>
          <w:rFonts w:hint="eastAsia"/>
          <w:color w:val="auto"/>
          <w:highlight w:val="none"/>
        </w:rPr>
        <w:t xml:space="preserve">一、资格审查</w:t>
      </w:r>
      <w:r>
        <w:rPr>
          <w:color w:val="auto"/>
          <w:highlight w:val="none"/>
        </w:rPr>
        <w:tab/>
      </w:r>
      <w:r>
        <w:rPr>
          <w:color w:val="auto"/>
          <w:highlight w:val="none"/>
        </w:rPr>
        <w:fldChar w:fldCharType="begin"/>
      </w:r>
      <w:r>
        <w:rPr>
          <w:color w:val="auto"/>
          <w:highlight w:val="none"/>
        </w:rPr>
        <w:instrText xml:space="preserve"> PAGEREF _Toc5300 \h </w:instrText>
      </w:r>
      <w:r>
        <w:rPr>
          <w:color w:val="auto"/>
          <w:highlight w:val="none"/>
        </w:rPr>
        <w:fldChar w:fldCharType="separate"/>
      </w:r>
      <w:r>
        <w:rPr>
          <w:color w:val="auto"/>
          <w:highlight w:val="none"/>
        </w:rPr>
        <w:t xml:space="preserve">28</w:t>
      </w:r>
      <w:r>
        <w:rPr>
          <w:color w:val="auto"/>
          <w:highlight w:val="none"/>
        </w:rPr>
        <w:fldChar w:fldCharType="end"/>
      </w:r>
      <w:r/>
    </w:p>
    <w:p>
      <w:pPr>
        <w:pStyle w:val="742"/>
        <w:shd w:val="clear" w:color="auto"/>
        <w:tabs>
          <w:tab w:val="right" w:pos="9968" w:leader="dot"/>
        </w:tabs>
        <w:rPr>
          <w:color w:val="auto"/>
          <w:highlight w:val="none"/>
        </w:rPr>
      </w:pPr>
      <w:r>
        <w:rPr>
          <w:rFonts w:hint="eastAsia"/>
          <w:color w:val="auto"/>
          <w:highlight w:val="none"/>
        </w:rPr>
        <w:t xml:space="preserve">二、符合性审查</w:t>
      </w:r>
      <w:r>
        <w:rPr>
          <w:color w:val="auto"/>
          <w:highlight w:val="none"/>
        </w:rPr>
        <w:tab/>
      </w:r>
      <w:r>
        <w:rPr>
          <w:color w:val="auto"/>
          <w:highlight w:val="none"/>
        </w:rPr>
        <w:fldChar w:fldCharType="begin"/>
      </w:r>
      <w:r>
        <w:rPr>
          <w:color w:val="auto"/>
          <w:highlight w:val="none"/>
        </w:rPr>
        <w:instrText xml:space="preserve"> PAGEREF _Toc11904 \h </w:instrText>
      </w:r>
      <w:r>
        <w:rPr>
          <w:color w:val="auto"/>
          <w:highlight w:val="none"/>
        </w:rPr>
        <w:fldChar w:fldCharType="separate"/>
      </w:r>
      <w:r>
        <w:rPr>
          <w:color w:val="auto"/>
          <w:highlight w:val="none"/>
        </w:rPr>
        <w:t xml:space="preserve">28</w:t>
      </w:r>
      <w:r>
        <w:rPr>
          <w:color w:val="auto"/>
          <w:highlight w:val="none"/>
        </w:rPr>
        <w:fldChar w:fldCharType="end"/>
      </w:r>
      <w:r/>
    </w:p>
    <w:p>
      <w:pPr>
        <w:pStyle w:val="742"/>
        <w:shd w:val="clear" w:color="auto"/>
        <w:tabs>
          <w:tab w:val="right" w:pos="9968" w:leader="dot"/>
        </w:tabs>
        <w:rPr>
          <w:color w:val="auto"/>
          <w:highlight w:val="none"/>
        </w:rPr>
      </w:pPr>
      <w:r>
        <w:rPr>
          <w:color w:val="auto"/>
          <w:highlight w:val="none"/>
        </w:rPr>
        <w:t xml:space="preserve">三、评分办法—综合评分法</w:t>
      </w:r>
      <w:r>
        <w:rPr>
          <w:color w:val="auto"/>
          <w:highlight w:val="none"/>
        </w:rPr>
        <w:tab/>
      </w:r>
      <w:r>
        <w:rPr>
          <w:color w:val="auto"/>
          <w:highlight w:val="none"/>
        </w:rPr>
        <w:fldChar w:fldCharType="begin"/>
      </w:r>
      <w:r>
        <w:rPr>
          <w:color w:val="auto"/>
          <w:highlight w:val="none"/>
        </w:rPr>
        <w:instrText xml:space="preserve"> PAGEREF _Toc24362 \h </w:instrText>
      </w:r>
      <w:r>
        <w:rPr>
          <w:color w:val="auto"/>
          <w:highlight w:val="none"/>
        </w:rPr>
        <w:fldChar w:fldCharType="separate"/>
      </w:r>
      <w:r>
        <w:rPr>
          <w:color w:val="auto"/>
          <w:highlight w:val="none"/>
        </w:rPr>
        <w:t xml:space="preserve">28</w:t>
      </w:r>
      <w:r>
        <w:rPr>
          <w:color w:val="auto"/>
          <w:highlight w:val="none"/>
        </w:rPr>
        <w:fldChar w:fldCharType="end"/>
      </w:r>
      <w:r/>
    </w:p>
    <w:p>
      <w:pPr>
        <w:pStyle w:val="736"/>
        <w:shd w:val="clear" w:color="auto"/>
        <w:tabs>
          <w:tab w:val="right" w:pos="9968" w:leader="dot"/>
        </w:tabs>
        <w:rPr>
          <w:color w:val="auto"/>
          <w:highlight w:val="none"/>
        </w:rPr>
      </w:pPr>
      <w:r>
        <w:rPr>
          <w:rFonts w:hint="eastAsia" w:ascii="宋体" w:hAnsi="宋体" w:cs="宋体"/>
          <w:color w:val="auto"/>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_Toc14192 \h </w:instrText>
      </w:r>
      <w:r>
        <w:rPr>
          <w:color w:val="auto"/>
          <w:highlight w:val="none"/>
        </w:rPr>
        <w:fldChar w:fldCharType="separate"/>
      </w:r>
      <w:r>
        <w:rPr>
          <w:color w:val="auto"/>
          <w:highlight w:val="none"/>
        </w:rPr>
        <w:t xml:space="preserve">33</w:t>
      </w:r>
      <w:r>
        <w:rPr>
          <w:color w:val="auto"/>
          <w:highlight w:val="none"/>
        </w:rPr>
        <w:fldChar w:fldCharType="end"/>
      </w:r>
      <w:r/>
    </w:p>
    <w:p>
      <w:pPr>
        <w:pStyle w:val="731"/>
        <w:shd w:val="clear" w:color="auto"/>
        <w:tabs>
          <w:tab w:val="right" w:pos="9968" w:leader="dot"/>
        </w:tabs>
        <w:rPr>
          <w:color w:val="auto"/>
          <w:highlight w:val="none"/>
        </w:rPr>
      </w:pPr>
      <w:r>
        <w:rPr>
          <w:rFonts w:hint="eastAsia" w:ascii="宋体" w:hAnsi="宋体" w:eastAsia="宋体" w:cs="宋体"/>
          <w:color w:val="auto"/>
          <w:szCs w:val="22"/>
          <w:highlight w:val="none"/>
        </w:rPr>
        <w:t xml:space="preserve">法定代表人身份证明书</w:t>
      </w:r>
      <w:r>
        <w:rPr>
          <w:color w:val="auto"/>
          <w:highlight w:val="none"/>
        </w:rPr>
        <w:tab/>
      </w:r>
      <w:r>
        <w:rPr>
          <w:color w:val="auto"/>
          <w:highlight w:val="none"/>
        </w:rPr>
        <w:fldChar w:fldCharType="begin"/>
      </w:r>
      <w:r>
        <w:rPr>
          <w:color w:val="auto"/>
          <w:highlight w:val="none"/>
        </w:rPr>
        <w:instrText xml:space="preserve"> PAGEREF _Toc638 \h </w:instrText>
      </w:r>
      <w:r>
        <w:rPr>
          <w:color w:val="auto"/>
          <w:highlight w:val="none"/>
        </w:rPr>
        <w:fldChar w:fldCharType="separate"/>
      </w:r>
      <w:r>
        <w:rPr>
          <w:color w:val="auto"/>
          <w:highlight w:val="none"/>
        </w:rPr>
        <w:t xml:space="preserve">43</w:t>
      </w:r>
      <w:r>
        <w:rPr>
          <w:color w:val="auto"/>
          <w:highlight w:val="none"/>
        </w:rPr>
        <w:fldChar w:fldCharType="end"/>
      </w:r>
      <w:r/>
    </w:p>
    <w:p>
      <w:pPr>
        <w:pStyle w:val="731"/>
        <w:shd w:val="clear" w:color="auto"/>
        <w:tabs>
          <w:tab w:val="right" w:pos="9968" w:leader="dot"/>
        </w:tabs>
        <w:rPr>
          <w:color w:val="auto"/>
          <w:highlight w:val="none"/>
        </w:rPr>
      </w:pPr>
      <w:r>
        <w:rPr>
          <w:rFonts w:hint="eastAsia" w:ascii="宋体" w:hAnsi="宋体" w:eastAsia="宋体" w:cs="宋体"/>
          <w:color w:val="auto"/>
          <w:szCs w:val="22"/>
          <w:highlight w:val="none"/>
        </w:rPr>
        <w:t xml:space="preserve">法定代表人授权委托书</w:t>
      </w:r>
      <w:r>
        <w:rPr>
          <w:color w:val="auto"/>
          <w:highlight w:val="none"/>
        </w:rPr>
        <w:tab/>
      </w:r>
      <w:r>
        <w:rPr>
          <w:color w:val="auto"/>
          <w:highlight w:val="none"/>
        </w:rPr>
        <w:fldChar w:fldCharType="begin"/>
      </w:r>
      <w:r>
        <w:rPr>
          <w:color w:val="auto"/>
          <w:highlight w:val="none"/>
        </w:rPr>
        <w:instrText xml:space="preserve"> PAGEREF _Toc11682 \h </w:instrText>
      </w:r>
      <w:r>
        <w:rPr>
          <w:color w:val="auto"/>
          <w:highlight w:val="none"/>
        </w:rPr>
        <w:fldChar w:fldCharType="separate"/>
      </w:r>
      <w:r>
        <w:rPr>
          <w:color w:val="auto"/>
          <w:highlight w:val="none"/>
        </w:rPr>
        <w:t xml:space="preserve">44</w:t>
      </w:r>
      <w:r>
        <w:rPr>
          <w:color w:val="auto"/>
          <w:highlight w:val="none"/>
        </w:rPr>
        <w:fldChar w:fldCharType="end"/>
      </w:r>
      <w:r/>
    </w:p>
    <w:p>
      <w:pPr>
        <w:pStyle w:val="742"/>
        <w:shd w:val="clear" w:color="auto"/>
        <w:tabs>
          <w:tab w:val="right" w:pos="9968" w:leader="dot"/>
        </w:tabs>
        <w:rPr>
          <w:color w:val="auto"/>
          <w:highlight w:val="none"/>
        </w:rPr>
      </w:pPr>
      <w:r>
        <w:rPr>
          <w:rFonts w:hint="eastAsia" w:ascii="仿宋" w:hAnsi="仿宋" w:eastAsia="仿宋" w:cs="仿宋"/>
          <w:color w:val="auto"/>
          <w:szCs w:val="20"/>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仿宋" w:hAnsi="仿宋" w:eastAsia="仿宋" w:cs="仿宋"/>
          <w:color w:val="auto"/>
          <w:szCs w:val="20"/>
          <w:highlight w:val="none"/>
        </w:rPr>
        <w:t xml:space="preserve">。</w:t>
      </w:r>
      <w:r>
        <w:rPr>
          <w:color w:val="auto"/>
          <w:highlight w:val="none"/>
        </w:rPr>
        <w:tab/>
      </w:r>
      <w:r>
        <w:rPr>
          <w:color w:val="auto"/>
          <w:highlight w:val="none"/>
        </w:rPr>
        <w:fldChar w:fldCharType="begin"/>
      </w:r>
      <w:r>
        <w:rPr>
          <w:color w:val="auto"/>
          <w:highlight w:val="none"/>
        </w:rPr>
        <w:instrText xml:space="preserve"> PAGEREF _Toc12159 \h </w:instrText>
      </w:r>
      <w:r>
        <w:rPr>
          <w:color w:val="auto"/>
          <w:highlight w:val="none"/>
        </w:rPr>
        <w:fldChar w:fldCharType="separate"/>
      </w:r>
      <w:r>
        <w:rPr>
          <w:color w:val="auto"/>
          <w:highlight w:val="none"/>
        </w:rPr>
        <w:t xml:space="preserve">44</w:t>
      </w:r>
      <w:r>
        <w:rPr>
          <w:color w:val="auto"/>
          <w:highlight w:val="none"/>
        </w:rPr>
        <w:fldChar w:fldCharType="end"/>
      </w:r>
      <w:r/>
    </w:p>
    <w:p>
      <w:pPr>
        <w:pStyle w:val="742"/>
        <w:shd w:val="clear" w:color="auto"/>
        <w:tabs>
          <w:tab w:val="right" w:pos="9968" w:leader="dot"/>
        </w:tabs>
        <w:rPr>
          <w:color w:val="auto"/>
          <w:highlight w:val="none"/>
        </w:rPr>
      </w:pPr>
      <w:r>
        <w:rPr>
          <w:rFonts w:hint="eastAsia" w:ascii="宋体" w:hAnsi="宋体" w:cs="宋体"/>
          <w:bCs w:val="0"/>
          <w:color w:val="auto"/>
          <w:szCs w:val="21"/>
          <w:highlight w:val="none"/>
        </w:rPr>
        <w:t xml:space="preserve">中小微企业划型标准 </w:t>
      </w:r>
      <w:r>
        <w:rPr>
          <w:color w:val="auto"/>
          <w:highlight w:val="none"/>
        </w:rPr>
        <w:tab/>
      </w:r>
      <w:r>
        <w:rPr>
          <w:color w:val="auto"/>
          <w:highlight w:val="none"/>
        </w:rPr>
        <w:fldChar w:fldCharType="begin"/>
      </w:r>
      <w:r>
        <w:rPr>
          <w:color w:val="auto"/>
          <w:highlight w:val="none"/>
        </w:rPr>
        <w:instrText xml:space="preserve"> PAGEREF _Toc26487 \h </w:instrText>
      </w:r>
      <w:r>
        <w:rPr>
          <w:color w:val="auto"/>
          <w:highlight w:val="none"/>
        </w:rPr>
        <w:fldChar w:fldCharType="separate"/>
      </w:r>
      <w:r>
        <w:rPr>
          <w:color w:val="auto"/>
          <w:highlight w:val="none"/>
        </w:rPr>
        <w:t xml:space="preserve">46</w:t>
      </w:r>
      <w:r>
        <w:rPr>
          <w:color w:val="auto"/>
          <w:highlight w:val="none"/>
        </w:rPr>
        <w:fldChar w:fldCharType="end"/>
      </w:r>
      <w:r/>
    </w:p>
    <w:p>
      <w:pPr>
        <w:pStyle w:val="742"/>
        <w:shd w:val="clear" w:color="auto"/>
        <w:tabs>
          <w:tab w:val="right" w:pos="9968" w:leader="dot"/>
        </w:tabs>
        <w:rPr>
          <w:color w:val="auto"/>
          <w:highlight w:val="none"/>
        </w:rPr>
      </w:pPr>
      <w:r>
        <w:rPr>
          <w:rFonts w:hint="eastAsia" w:ascii="宋体" w:hAnsi="宋体" w:cs="宋体"/>
          <w:bCs w:val="0"/>
          <w:color w:val="auto"/>
          <w:highlight w:val="none"/>
        </w:rPr>
        <w:t xml:space="preserve">五、技术参数响应及偏离表</w:t>
      </w:r>
      <w:r>
        <w:rPr>
          <w:color w:val="auto"/>
          <w:highlight w:val="none"/>
        </w:rPr>
        <w:tab/>
      </w:r>
      <w:r>
        <w:rPr>
          <w:color w:val="auto"/>
          <w:highlight w:val="none"/>
        </w:rPr>
        <w:fldChar w:fldCharType="begin"/>
      </w:r>
      <w:r>
        <w:rPr>
          <w:color w:val="auto"/>
          <w:highlight w:val="none"/>
        </w:rPr>
        <w:instrText xml:space="preserve"> PAGEREF _Toc28819 \h </w:instrText>
      </w:r>
      <w:r>
        <w:rPr>
          <w:color w:val="auto"/>
          <w:highlight w:val="none"/>
        </w:rPr>
        <w:fldChar w:fldCharType="separate"/>
      </w:r>
      <w:r>
        <w:rPr>
          <w:color w:val="auto"/>
          <w:highlight w:val="none"/>
        </w:rPr>
        <w:t xml:space="preserve">53</w:t>
      </w:r>
      <w:r>
        <w:rPr>
          <w:color w:val="auto"/>
          <w:highlight w:val="none"/>
        </w:rPr>
        <w:fldChar w:fldCharType="end"/>
      </w:r>
      <w:r/>
    </w:p>
    <w:p>
      <w:pPr>
        <w:pStyle w:val="742"/>
        <w:shd w:val="clear" w:color="auto"/>
        <w:tabs>
          <w:tab w:val="right" w:pos="9968" w:leader="dot"/>
        </w:tabs>
        <w:rPr>
          <w:color w:val="auto"/>
          <w:highlight w:val="none"/>
        </w:rPr>
      </w:pPr>
      <w:r>
        <w:rPr>
          <w:rFonts w:hint="eastAsia" w:ascii="宋体" w:hAnsi="宋体" w:cs="宋体"/>
          <w:bCs w:val="0"/>
          <w:color w:val="auto"/>
          <w:highlight w:val="none"/>
        </w:rPr>
        <w:t xml:space="preserve">六、商务条款响应及偏离表</w:t>
      </w:r>
      <w:r>
        <w:rPr>
          <w:color w:val="auto"/>
          <w:highlight w:val="none"/>
        </w:rPr>
        <w:tab/>
      </w:r>
      <w:r>
        <w:rPr>
          <w:color w:val="auto"/>
          <w:highlight w:val="none"/>
        </w:rPr>
        <w:fldChar w:fldCharType="begin"/>
      </w:r>
      <w:r>
        <w:rPr>
          <w:color w:val="auto"/>
          <w:highlight w:val="none"/>
        </w:rPr>
        <w:instrText xml:space="preserve"> PAGEREF _Toc17700 \h </w:instrText>
      </w:r>
      <w:r>
        <w:rPr>
          <w:color w:val="auto"/>
          <w:highlight w:val="none"/>
        </w:rPr>
        <w:fldChar w:fldCharType="separate"/>
      </w:r>
      <w:r>
        <w:rPr>
          <w:color w:val="auto"/>
          <w:highlight w:val="none"/>
        </w:rPr>
        <w:t xml:space="preserve">54</w:t>
      </w:r>
      <w:r>
        <w:rPr>
          <w:color w:val="auto"/>
          <w:highlight w:val="none"/>
        </w:rPr>
        <w:fldChar w:fldCharType="end"/>
      </w:r>
      <w:r/>
    </w:p>
    <w:p>
      <w:pPr>
        <w:jc w:val="center"/>
        <w:spacing w:line="360" w:lineRule="auto"/>
        <w:shd w:val="clear" w:color="auto"/>
        <w:rPr>
          <w:rFonts w:hint="eastAsia" w:ascii="宋体" w:hAnsi="宋体" w:cs="宋体"/>
          <w:color w:val="auto"/>
          <w:sz w:val="28"/>
          <w:highlight w:val="none"/>
        </w:rPr>
      </w:pPr>
      <w:r>
        <w:rPr>
          <w:rFonts w:hint="eastAsia" w:ascii="宋体" w:hAnsi="宋体" w:cs="宋体"/>
          <w:color w:val="auto"/>
          <w:highlight w:val="none"/>
        </w:rPr>
        <w:fldChar w:fldCharType="end"/>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pStyle w:val="998"/>
        <w:jc w:val="center"/>
        <w:spacing w:line="360" w:lineRule="auto"/>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2" w:name="_Toc17755"/>
      <w:r>
        <w:rPr>
          <w:rFonts w:hint="eastAsia" w:ascii="宋体" w:hAnsi="宋体" w:cs="宋体"/>
          <w:color w:val="auto"/>
          <w:szCs w:val="36"/>
          <w:highlight w:val="none"/>
        </w:rPr>
        <w:t xml:space="preserve">第一章 竞争性磋商采购公告</w:t>
      </w:r>
      <w:bookmarkEnd w:id="2"/>
      <w:r/>
      <w:r/>
    </w:p>
    <w:p>
      <w:pPr>
        <w:ind w:firstLine="422"/>
        <w:spacing w:line="360" w:lineRule="auto"/>
        <w:shd w:val="clear" w:color="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shd w:val="clear" w:color="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lang w:eastAsia="zh-CN"/>
        </w:rPr>
        <w:t xml:space="preserve">南京市江宁医院角膜屈光系统维保采购项目</w:t>
      </w:r>
      <w:r>
        <w:rPr>
          <w:rFonts w:hint="eastAsia" w:ascii="宋体" w:hAnsi="宋体" w:cs="宋体"/>
          <w:color w:val="auto"/>
          <w:szCs w:val="21"/>
          <w:highlight w:val="none"/>
        </w:rPr>
        <w:t xml:space="preserve">的潜在供应商可在江苏政府采购网苏采云系统下载采购文件，并于</w:t>
      </w:r>
      <w:bookmarkStart w:id="3" w:name="XMTBJSR_1"/>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8</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12</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点30分</w:t>
      </w:r>
      <w:bookmarkEnd w:id="3"/>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1000"/>
        <w:ind w:firstLine="422"/>
        <w:spacing w:before="0" w:after="0" w:line="360" w:lineRule="auto"/>
        <w:shd w:val="clear" w:color="auto"/>
        <w:rPr>
          <w:rFonts w:hint="eastAsia" w:ascii="宋体" w:hAnsi="宋体" w:cs="宋体"/>
          <w:bCs w:val="0"/>
          <w:color w:val="auto"/>
          <w:sz w:val="21"/>
          <w:szCs w:val="21"/>
          <w:highlight w:val="none"/>
        </w:rPr>
      </w:pPr>
      <w:r/>
      <w:bookmarkStart w:id="4" w:name="_Toc3023"/>
      <w:r/>
      <w:bookmarkStart w:id="5" w:name="_Toc109304963"/>
      <w:r>
        <w:rPr>
          <w:rFonts w:hint="eastAsia" w:ascii="宋体" w:hAnsi="宋体" w:cs="宋体"/>
          <w:bCs w:val="0"/>
          <w:color w:val="auto"/>
          <w:sz w:val="21"/>
          <w:szCs w:val="21"/>
          <w:highlight w:val="none"/>
        </w:rPr>
        <w:t xml:space="preserve">一、项目基本情况</w:t>
      </w:r>
      <w:bookmarkEnd w:id="4"/>
      <w:r/>
      <w:bookmarkEnd w:id="5"/>
      <w:r/>
      <w:r/>
    </w:p>
    <w:p>
      <w:pPr>
        <w:ind w:left="0" w:right="0" w:firstLine="420"/>
        <w:jc w:val="both"/>
        <w:spacing w:before="0" w:after="0"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1.项目编号：JSZC-320115-JSHY-C2026-0152</w:t>
      </w:r>
      <w:r/>
    </w:p>
    <w:p>
      <w:pPr>
        <w:ind w:firstLine="420"/>
        <w:spacing w:line="360" w:lineRule="auto"/>
        <w:shd w:val="clear" w:color="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南京市江宁医院角膜屈光系统维保采购项目</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预算金额：</w:t>
      </w:r>
      <w:r>
        <w:rPr>
          <w:rFonts w:hint="eastAsia" w:ascii="宋体" w:hAnsi="宋体" w:cs="宋体"/>
          <w:color w:val="auto"/>
          <w:szCs w:val="21"/>
          <w:highlight w:val="none"/>
          <w:lang w:val="en-US" w:eastAsia="zh-CN"/>
        </w:rPr>
        <w:t xml:space="preserve">174</w:t>
      </w:r>
      <w:r>
        <w:rPr>
          <w:rFonts w:hint="eastAsia" w:ascii="宋体" w:hAnsi="宋体" w:cs="宋体"/>
          <w:color w:val="auto"/>
          <w:szCs w:val="21"/>
          <w:highlight w:val="none"/>
        </w:rPr>
        <w:t xml:space="preserve">.00</w:t>
      </w:r>
      <w:r>
        <w:rPr>
          <w:rFonts w:hint="eastAsia" w:ascii="宋体" w:hAnsi="宋体" w:cs="宋体"/>
          <w:color w:val="auto"/>
          <w:szCs w:val="21"/>
          <w:highlight w:val="none"/>
          <w:lang w:val="zh-CN"/>
        </w:rPr>
        <w:t xml:space="preserve">万元</w:t>
      </w:r>
      <w:r/>
    </w:p>
    <w:p>
      <w:pPr>
        <w:ind w:firstLine="420"/>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最高限价：</w:t>
      </w:r>
      <w:r>
        <w:rPr>
          <w:rFonts w:hint="eastAsia" w:ascii="宋体" w:hAnsi="宋体" w:cs="宋体"/>
          <w:color w:val="auto"/>
          <w:szCs w:val="21"/>
          <w:highlight w:val="none"/>
          <w:lang w:val="en-US" w:eastAsia="zh-CN"/>
        </w:rPr>
        <w:t xml:space="preserve">174</w:t>
      </w:r>
      <w:r>
        <w:rPr>
          <w:rFonts w:hint="eastAsia" w:ascii="宋体" w:hAnsi="宋体" w:cs="宋体"/>
          <w:color w:val="auto"/>
          <w:szCs w:val="21"/>
          <w:highlight w:val="none"/>
        </w:rPr>
        <w:t xml:space="preserve">.00</w:t>
      </w:r>
      <w:r>
        <w:rPr>
          <w:rFonts w:hint="eastAsia" w:ascii="宋体" w:hAnsi="宋体" w:cs="宋体"/>
          <w:color w:val="auto"/>
          <w:szCs w:val="21"/>
          <w:highlight w:val="none"/>
          <w:lang w:val="zh-CN"/>
        </w:rPr>
        <w:t xml:space="preserve">万元</w:t>
      </w:r>
      <w:r/>
    </w:p>
    <w:p>
      <w:pPr>
        <w:ind w:firstLine="420"/>
        <w:jc w:val="left"/>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6.采购需求：</w:t>
      </w:r>
      <w:r>
        <w:rPr>
          <w:rFonts w:hint="eastAsia" w:ascii="宋体" w:hAnsi="宋体" w:cs="宋体"/>
          <w:color w:val="auto"/>
          <w:szCs w:val="21"/>
          <w:highlight w:val="none"/>
          <w:lang w:eastAsia="zh-CN"/>
        </w:rPr>
        <w:t xml:space="preserve">南京市江宁医院角膜屈光系统维保采购项目</w:t>
      </w:r>
      <w:r>
        <w:rPr>
          <w:rFonts w:hint="eastAsia" w:ascii="宋体" w:hAnsi="宋体" w:cs="宋体"/>
          <w:color w:val="auto"/>
          <w:szCs w:val="21"/>
          <w:highlight w:val="none"/>
          <w:lang w:val="zh-CN"/>
        </w:rPr>
        <w:t xml:space="preserve">，服务期</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年。</w:t>
      </w:r>
      <w:r/>
    </w:p>
    <w:p>
      <w:pPr>
        <w:ind w:firstLine="420"/>
        <w:spacing w:line="360" w:lineRule="auto"/>
        <w:shd w:val="clear" w:color="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7.合同履行期限：</w:t>
      </w:r>
      <w:r>
        <w:rPr>
          <w:rFonts w:hint="eastAsia" w:ascii="宋体" w:hAnsi="宋体" w:cs="宋体"/>
          <w:color w:val="auto"/>
          <w:szCs w:val="21"/>
          <w:highlight w:val="none"/>
          <w:lang w:val="zh-CN"/>
        </w:rPr>
        <w:t xml:space="preserve">服务期</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年。</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8.本项目不接收联合体响应。</w:t>
      </w:r>
      <w:r/>
    </w:p>
    <w:p>
      <w:pPr>
        <w:pStyle w:val="1000"/>
        <w:ind w:firstLine="422"/>
        <w:spacing w:before="0" w:after="0" w:line="360" w:lineRule="auto"/>
        <w:shd w:val="clear" w:color="auto"/>
        <w:rPr>
          <w:rFonts w:hint="eastAsia" w:ascii="宋体" w:hAnsi="宋体" w:cs="宋体"/>
          <w:bCs w:val="0"/>
          <w:color w:val="auto"/>
          <w:sz w:val="21"/>
          <w:szCs w:val="21"/>
          <w:highlight w:val="none"/>
        </w:rPr>
      </w:pPr>
      <w:r/>
      <w:bookmarkStart w:id="6" w:name="_Toc109304964"/>
      <w:r/>
      <w:bookmarkStart w:id="7" w:name="_Toc1126"/>
      <w:r>
        <w:rPr>
          <w:rFonts w:hint="eastAsia" w:ascii="宋体" w:hAnsi="宋体" w:cs="宋体"/>
          <w:bCs w:val="0"/>
          <w:color w:val="auto"/>
          <w:sz w:val="21"/>
          <w:szCs w:val="21"/>
          <w:highlight w:val="none"/>
        </w:rPr>
        <w:t xml:space="preserve">二、申请人的资格要求：</w:t>
      </w:r>
      <w:bookmarkEnd w:id="6"/>
      <w:r/>
      <w:bookmarkEnd w:id="7"/>
      <w:r/>
      <w:r/>
    </w:p>
    <w:p>
      <w:pPr>
        <w:ind w:firstLine="482"/>
        <w:jc w:val="left"/>
        <w:spacing w:line="360" w:lineRule="auto"/>
        <w:shd w:val="clear" w:color="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t xml:space="preserve">（一）满足《中华人民共和国政府采购法》第二十二条规定：</w:t>
      </w:r>
      <w:r/>
    </w:p>
    <w:p>
      <w:pPr>
        <w:ind w:firstLine="482"/>
        <w:jc w:val="left"/>
        <w:spacing w:line="360" w:lineRule="auto"/>
        <w:shd w:val="clear" w:color="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t xml:space="preserve">(1）具有独立承担民事责任的能力（提供法人或者其他组织的营业执照等证明文件；供应商为自然人的，提供其身份证）；</w:t>
      </w:r>
      <w:r/>
    </w:p>
    <w:p>
      <w:pPr>
        <w:ind w:firstLine="482"/>
        <w:jc w:val="left"/>
        <w:spacing w:line="360" w:lineRule="auto"/>
        <w:shd w:val="clear" w:color="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t xml:space="preserve">(2）具有良好的商业信誉和健全的财务会计制度（提供 2024</w:t>
      </w:r>
      <w:r>
        <w:rPr>
          <w:rFonts w:hint="eastAsia" w:ascii="宋体" w:hAnsi="宋体" w:cs="宋体"/>
          <w:color w:val="auto"/>
          <w:sz w:val="22"/>
          <w:szCs w:val="21"/>
          <w:highlight w:val="none"/>
          <w:lang w:val="en-US" w:eastAsia="zh-CN" w:bidi="ar"/>
        </w:rPr>
        <w:t xml:space="preserve">或2025</w:t>
      </w:r>
      <w:r>
        <w:rPr>
          <w:rFonts w:hint="eastAsia" w:ascii="宋体" w:hAnsi="宋体" w:cs="宋体"/>
          <w:color w:val="auto"/>
          <w:sz w:val="22"/>
          <w:szCs w:val="21"/>
          <w:highlight w:val="none"/>
          <w:lang w:bidi="ar"/>
        </w:rPr>
        <w:t xml:space="preserve">年度财务报告，至少包含资产负债表、利润表，或投标截止时间前六个月内银行出具的资信证明；成立不满一年的无须提供）；</w:t>
      </w:r>
      <w:r/>
    </w:p>
    <w:p>
      <w:pPr>
        <w:ind w:firstLine="482"/>
        <w:jc w:val="left"/>
        <w:spacing w:line="360" w:lineRule="auto"/>
        <w:shd w:val="clear" w:color="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t xml:space="preserve">(3）具有履行合同所必需的设备和专业技术能力（供应商根据履行采购项目合同需要，提供履行合同所必需的设备和专业技术能力的声明函或证明材料）；</w:t>
      </w:r>
      <w:r/>
    </w:p>
    <w:p>
      <w:pPr>
        <w:ind w:firstLine="482"/>
        <w:jc w:val="left"/>
        <w:spacing w:line="360" w:lineRule="auto"/>
        <w:shd w:val="clear" w:color="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t xml:space="preserve">(4）</w:t>
      </w:r>
      <w:bookmarkStart w:id="8" w:name="OLE_LINK8"/>
      <w:r>
        <w:rPr>
          <w:rFonts w:hint="eastAsia" w:ascii="宋体" w:hAnsi="宋体" w:cs="宋体"/>
          <w:color w:val="auto"/>
          <w:sz w:val="22"/>
          <w:szCs w:val="21"/>
          <w:highlight w:val="none"/>
          <w:lang w:bidi="ar"/>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8"/>
      <w:r>
        <w:rPr>
          <w:rFonts w:hint="eastAsia" w:ascii="宋体" w:hAnsi="宋体" w:cs="宋体"/>
          <w:color w:val="auto"/>
          <w:sz w:val="22"/>
          <w:szCs w:val="21"/>
          <w:highlight w:val="none"/>
          <w:lang w:bidi="ar"/>
        </w:rPr>
        <w:t xml:space="preserve">;</w:t>
      </w:r>
      <w:r/>
    </w:p>
    <w:p>
      <w:pPr>
        <w:ind w:firstLine="482"/>
        <w:jc w:val="left"/>
        <w:spacing w:line="360" w:lineRule="auto"/>
        <w:shd w:val="clear" w:color="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t xml:space="preserve">(5）参加政府采购活动前三年内，在经营活动中没有重大违法记录（提供承诺书）；</w:t>
      </w:r>
      <w:r/>
    </w:p>
    <w:p>
      <w:pPr>
        <w:ind w:firstLine="482"/>
        <w:jc w:val="left"/>
        <w:spacing w:line="360" w:lineRule="auto"/>
        <w:shd w:val="clear" w:color="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t xml:space="preserve">(6）法律、行政法规规定的其他条件;</w:t>
      </w:r>
      <w:r/>
    </w:p>
    <w:p>
      <w:pPr>
        <w:ind w:firstLine="482"/>
        <w:jc w:val="left"/>
        <w:spacing w:line="360" w:lineRule="auto"/>
        <w:shd w:val="clear" w:color="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t xml:space="preserve">(7)南京市政府采购供应商信用记录表暨信用承诺书。</w:t>
      </w:r>
      <w:r/>
    </w:p>
    <w:p>
      <w:pPr>
        <w:ind w:firstLine="420"/>
        <w:spacing w:line="360" w:lineRule="auto"/>
        <w:shd w:val="clear" w:color="auto"/>
        <w:rPr>
          <w:rFonts w:hint="eastAsia" w:ascii="宋体" w:hAnsi="宋体" w:cs="宋体"/>
          <w:bCs/>
          <w:iCs/>
          <w:color w:val="auto"/>
          <w:szCs w:val="21"/>
          <w:highlight w:val="none"/>
        </w:rPr>
      </w:pPr>
      <w:r>
        <w:rPr>
          <w:rFonts w:hint="eastAsia" w:ascii="宋体" w:hAnsi="宋体" w:cs="宋体"/>
          <w:color w:val="auto"/>
          <w:szCs w:val="21"/>
          <w:highlight w:val="none"/>
        </w:rPr>
        <w:t xml:space="preserve">（二）</w:t>
      </w:r>
      <w:r>
        <w:rPr>
          <w:rFonts w:hint="eastAsia" w:ascii="宋体" w:hAnsi="宋体" w:cs="宋体"/>
          <w:color w:val="auto"/>
          <w:sz w:val="22"/>
          <w:szCs w:val="21"/>
          <w:highlight w:val="none"/>
          <w:lang w:bidi="ar"/>
        </w:rPr>
        <w:t xml:space="preserve">落实政府采购政策需满足的资格要求：本项目为非预留份额的采购项目或采购包，执行价格扣除优惠政策，具体详见第五章评分标准</w:t>
      </w:r>
      <w:r/>
    </w:p>
    <w:p>
      <w:pPr>
        <w:ind w:firstLine="420"/>
        <w:jc w:val="left"/>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r/>
    </w:p>
    <w:p>
      <w:pPr>
        <w:ind w:firstLine="440"/>
        <w:jc w:val="left"/>
        <w:spacing w:line="360" w:lineRule="auto"/>
        <w:shd w:val="clear" w:color="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t xml:space="preserve">1.未被“信用中国”网站（www.creditchina.gov.cn）列入失信被执行人、重大税收违法案件当事人名单、政府采购严重失信行为记录名单。</w:t>
      </w:r>
      <w:r/>
    </w:p>
    <w:p>
      <w:pPr>
        <w:ind w:firstLine="440"/>
        <w:jc w:val="left"/>
        <w:spacing w:line="360" w:lineRule="auto"/>
        <w:shd w:val="clear" w:color="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1000"/>
        <w:ind w:firstLine="422"/>
        <w:spacing w:before="0" w:after="0" w:line="360" w:lineRule="auto"/>
        <w:shd w:val="clear" w:color="auto"/>
        <w:rPr>
          <w:rFonts w:hint="eastAsia" w:ascii="宋体" w:hAnsi="宋体" w:cs="宋体"/>
          <w:bCs w:val="0"/>
          <w:color w:val="auto"/>
          <w:sz w:val="21"/>
          <w:szCs w:val="21"/>
          <w:highlight w:val="none"/>
        </w:rPr>
      </w:pPr>
      <w:r/>
      <w:bookmarkStart w:id="9" w:name="_Toc109304965"/>
      <w:r/>
      <w:bookmarkStart w:id="10" w:name="_Toc28472"/>
      <w:r>
        <w:rPr>
          <w:rFonts w:hint="eastAsia" w:ascii="宋体" w:hAnsi="宋体" w:cs="宋体"/>
          <w:bCs w:val="0"/>
          <w:color w:val="auto"/>
          <w:sz w:val="21"/>
          <w:szCs w:val="21"/>
          <w:highlight w:val="none"/>
        </w:rPr>
        <w:t xml:space="preserve">三、获取采购文件</w:t>
      </w:r>
      <w:bookmarkEnd w:id="9"/>
      <w:r/>
      <w:bookmarkEnd w:id="10"/>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szCs w:val="21"/>
          <w:highlight w:val="none"/>
        </w:rPr>
        <w:t xml:space="preserve">1.</w:t>
      </w:r>
      <w:r>
        <w:rPr>
          <w:rFonts w:hint="eastAsia" w:ascii="宋体" w:hAnsi="宋体" w:cs="宋体"/>
          <w:color w:val="auto"/>
          <w:sz w:val="22"/>
          <w:szCs w:val="21"/>
          <w:highlight w:val="none"/>
          <w:lang w:bidi="ar"/>
        </w:rPr>
        <w:t xml:space="preserve">时间：自磋商文件公告发布之日起5个工作日</w:t>
      </w:r>
      <w:r/>
    </w:p>
    <w:p>
      <w:pPr>
        <w:ind w:firstLine="422"/>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cs="宋体"/>
          <w:b/>
          <w:bCs/>
          <w:color w:val="auto"/>
          <w:szCs w:val="21"/>
          <w:highlight w:val="none"/>
        </w:rPr>
        <w:t xml:space="preserve">本项目采用网上注册登记方式。</w:t>
      </w:r>
      <w:r/>
    </w:p>
    <w:p>
      <w:pPr>
        <w:ind w:firstLine="422"/>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3.潜在供应商访问</w:t>
      </w:r>
      <w:r>
        <w:rPr>
          <w:rFonts w:hint="eastAsia" w:ascii="宋体" w:hAnsi="宋体" w:cs="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shd w:val="clear" w:color="auto"/>
        <w:rPr>
          <w:rFonts w:hint="eastAsia" w:ascii="宋体" w:hAnsi="宋体" w:cs="宋体"/>
          <w:b/>
          <w:bCs/>
          <w:color w:val="auto"/>
          <w:szCs w:val="21"/>
          <w:highlight w:val="none"/>
        </w:rPr>
      </w:pPr>
      <w:r/>
      <w:bookmarkStart w:id="11" w:name="OLE_LINK1"/>
      <w:r/>
      <w:bookmarkStart w:id="12" w:name="_Toc109304966"/>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（3）“CA数字证书”的办理材料以及供应商操作手册详见：http://jsxcmm.com/help/gys.html。</w:t>
      </w:r>
      <w:r/>
    </w:p>
    <w:p>
      <w:pPr>
        <w:ind w:firstLine="422"/>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（4）潜在供应商访问“苏采云”系统的网络地址和方法：“苏采云”系统的网址：http://jszfcg.jsczt.cn/jszc/login。</w:t>
      </w:r>
      <w:r/>
    </w:p>
    <w:p>
      <w:pPr>
        <w:ind w:firstLine="422"/>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bookmarkEnd w:id="11"/>
      <w:r/>
      <w:r/>
    </w:p>
    <w:p>
      <w:pPr>
        <w:pStyle w:val="1000"/>
        <w:ind w:firstLine="422"/>
        <w:spacing w:before="0" w:after="0" w:line="360" w:lineRule="auto"/>
        <w:shd w:val="clear" w:color="auto"/>
        <w:rPr>
          <w:rFonts w:hint="eastAsia" w:ascii="宋体" w:hAnsi="宋体" w:cs="宋体"/>
          <w:bCs w:val="0"/>
          <w:color w:val="auto"/>
          <w:sz w:val="21"/>
          <w:szCs w:val="21"/>
          <w:highlight w:val="none"/>
        </w:rPr>
      </w:pPr>
      <w:r/>
      <w:bookmarkStart w:id="13" w:name="_Toc18351"/>
      <w:r>
        <w:rPr>
          <w:rFonts w:hint="eastAsia" w:ascii="宋体" w:hAnsi="宋体" w:cs="宋体"/>
          <w:bCs w:val="0"/>
          <w:color w:val="auto"/>
          <w:sz w:val="21"/>
          <w:szCs w:val="21"/>
          <w:highlight w:val="none"/>
        </w:rPr>
        <w:t xml:space="preserve">四、响应文件提交</w:t>
      </w:r>
      <w:bookmarkEnd w:id="12"/>
      <w:r/>
      <w:bookmarkEnd w:id="13"/>
      <w:r/>
      <w:r/>
    </w:p>
    <w:p>
      <w:pPr>
        <w:ind w:firstLine="420"/>
        <w:spacing w:line="360" w:lineRule="auto"/>
        <w:shd w:val="clear" w:color="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8</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12</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点30分</w:t>
      </w:r>
      <w:r>
        <w:rPr>
          <w:rFonts w:hint="eastAsia" w:ascii="宋体" w:hAnsi="宋体" w:cs="宋体"/>
          <w:color w:val="auto"/>
          <w:szCs w:val="21"/>
          <w:highlight w:val="none"/>
        </w:rPr>
        <w:t xml:space="preserve">（北京时间）</w:t>
      </w:r>
      <w:r/>
    </w:p>
    <w:p>
      <w:pPr>
        <w:ind w:firstLine="420"/>
        <w:spacing w:line="360" w:lineRule="auto"/>
        <w:shd w:val="clear" w:color="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2.投标地点：“苏采云”系统（网址： http://jszfcg.jsczt.cn/）</w:t>
      </w:r>
      <w:r/>
    </w:p>
    <w:p>
      <w:pPr>
        <w:pStyle w:val="1000"/>
        <w:ind w:firstLine="422"/>
        <w:spacing w:before="0" w:after="0" w:line="360" w:lineRule="auto"/>
        <w:shd w:val="clear" w:color="auto"/>
        <w:rPr>
          <w:rFonts w:hint="eastAsia" w:ascii="宋体" w:hAnsi="宋体" w:cs="宋体"/>
          <w:bCs w:val="0"/>
          <w:color w:val="auto"/>
          <w:sz w:val="21"/>
          <w:szCs w:val="21"/>
          <w:highlight w:val="none"/>
        </w:rPr>
      </w:pPr>
      <w:r/>
      <w:bookmarkStart w:id="14" w:name="_Toc109304967"/>
      <w:r/>
      <w:bookmarkStart w:id="15" w:name="_Toc28529"/>
      <w:r>
        <w:rPr>
          <w:rFonts w:hint="eastAsia" w:ascii="宋体" w:hAnsi="宋体" w:cs="宋体"/>
          <w:bCs w:val="0"/>
          <w:color w:val="auto"/>
          <w:sz w:val="21"/>
          <w:szCs w:val="21"/>
          <w:highlight w:val="none"/>
        </w:rPr>
        <w:t xml:space="preserve">五、开启</w:t>
      </w:r>
      <w:bookmarkEnd w:id="14"/>
      <w:r/>
      <w:bookmarkEnd w:id="15"/>
      <w:r/>
      <w:r/>
    </w:p>
    <w:p>
      <w:pPr>
        <w:pStyle w:val="1001"/>
        <w:spacing w:line="360" w:lineRule="auto"/>
        <w:shd w:val="clear" w:color="auto"/>
        <w:rPr>
          <w:rFonts w:hint="eastAsia" w:ascii="宋体" w:hAnsi="宋体" w:cs="宋体"/>
          <w:bCs/>
          <w:color w:val="auto"/>
          <w:szCs w:val="21"/>
          <w:highlight w:val="none"/>
        </w:rPr>
      </w:pPr>
      <w:r>
        <w:rPr>
          <w:rFonts w:hint="eastAsia" w:ascii="宋体" w:hAnsi="宋体" w:cs="宋体"/>
          <w:color w:val="auto"/>
          <w:szCs w:val="21"/>
          <w:highlight w:val="none"/>
        </w:rPr>
        <w:t xml:space="preserve">1.时间：</w:t>
      </w:r>
      <w:r>
        <w:rPr>
          <w:rFonts w:hint="eastAsia" w:ascii="宋体" w:hAnsi="宋体" w:cs="宋体"/>
          <w:bCs/>
          <w:color w:val="auto"/>
          <w:szCs w:val="21"/>
          <w:highlight w:val="none"/>
          <w:u w:val="single"/>
        </w:rPr>
        <w:t xml:space="preserve">2026年</w:t>
      </w:r>
      <w:r>
        <w:rPr>
          <w:rFonts w:hint="eastAsia" w:ascii="宋体" w:hAnsi="宋体" w:cs="宋体"/>
          <w:bCs/>
          <w:color w:val="auto"/>
          <w:szCs w:val="21"/>
          <w:highlight w:val="none"/>
          <w:u w:val="single"/>
          <w:lang w:val="en-US" w:eastAsia="zh-CN"/>
        </w:rPr>
        <w:t xml:space="preserve">8</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12</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点30分</w:t>
      </w:r>
      <w:r>
        <w:rPr>
          <w:rFonts w:hint="eastAsia" w:ascii="宋体" w:hAnsi="宋体" w:cs="宋体"/>
          <w:bCs/>
          <w:color w:val="auto"/>
          <w:szCs w:val="21"/>
          <w:highlight w:val="none"/>
        </w:rPr>
        <w:t xml:space="preserve">（北京时间）</w:t>
      </w:r>
      <w:r/>
    </w:p>
    <w:p>
      <w:pPr>
        <w:ind w:firstLine="420"/>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2.开标地点：“苏采云”系统（网址： http://jszfcg.jsczt.cn/）</w:t>
      </w:r>
      <w:r/>
    </w:p>
    <w:p>
      <w:pPr>
        <w:pStyle w:val="1000"/>
        <w:ind w:firstLine="422"/>
        <w:spacing w:before="0" w:after="0" w:line="360" w:lineRule="auto"/>
        <w:shd w:val="clear" w:color="auto"/>
        <w:rPr>
          <w:rFonts w:hint="eastAsia" w:ascii="宋体" w:hAnsi="宋体" w:cs="宋体"/>
          <w:bCs w:val="0"/>
          <w:color w:val="auto"/>
          <w:sz w:val="21"/>
          <w:szCs w:val="21"/>
          <w:highlight w:val="none"/>
        </w:rPr>
      </w:pPr>
      <w:r/>
      <w:bookmarkStart w:id="16" w:name="_Toc12524"/>
      <w:r/>
      <w:bookmarkStart w:id="17" w:name="_Toc109304968"/>
      <w:r>
        <w:rPr>
          <w:rFonts w:hint="eastAsia" w:ascii="宋体" w:hAnsi="宋体" w:cs="宋体"/>
          <w:bCs w:val="0"/>
          <w:color w:val="auto"/>
          <w:sz w:val="21"/>
          <w:szCs w:val="21"/>
          <w:highlight w:val="none"/>
        </w:rPr>
        <w:t xml:space="preserve">六、公告期限</w:t>
      </w:r>
      <w:bookmarkEnd w:id="16"/>
      <w:r/>
      <w:bookmarkEnd w:id="17"/>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pStyle w:val="1000"/>
        <w:ind w:firstLine="422"/>
        <w:spacing w:before="0" w:after="0" w:line="360" w:lineRule="auto"/>
        <w:shd w:val="clear" w:color="auto"/>
        <w:rPr>
          <w:rFonts w:hint="eastAsia" w:ascii="宋体" w:hAnsi="宋体" w:cs="宋体"/>
          <w:color w:val="auto"/>
          <w:sz w:val="21"/>
          <w:szCs w:val="21"/>
          <w:highlight w:val="none"/>
        </w:rPr>
      </w:pPr>
      <w:r/>
      <w:bookmarkStart w:id="18" w:name="_Toc109304971"/>
      <w:r/>
      <w:bookmarkStart w:id="19" w:name="_Toc7594"/>
      <w:r>
        <w:rPr>
          <w:rFonts w:hint="eastAsia" w:ascii="宋体" w:hAnsi="宋体" w:cs="宋体"/>
          <w:color w:val="auto"/>
          <w:sz w:val="21"/>
          <w:szCs w:val="21"/>
          <w:highlight w:val="none"/>
        </w:rPr>
        <w:t xml:space="preserve">七、其他</w:t>
      </w:r>
      <w:bookmarkEnd w:id="18"/>
      <w:r>
        <w:rPr>
          <w:rFonts w:hint="eastAsia" w:ascii="宋体" w:hAnsi="宋体" w:cs="宋体"/>
          <w:color w:val="auto"/>
          <w:sz w:val="21"/>
          <w:szCs w:val="21"/>
          <w:highlight w:val="none"/>
        </w:rPr>
        <w:t xml:space="preserve">补充事宜</w:t>
      </w:r>
      <w:bookmarkEnd w:id="19"/>
      <w:r/>
      <w:r/>
    </w:p>
    <w:p>
      <w:pPr>
        <w:ind w:firstLine="422"/>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2.供应商如确定参加磋商，可自行下载采购文件及有关资料，按照《操作手册》进行注册，领取CA和办理电子签章，并按《操作手册》要求制作、上传电子投标文件。</w:t>
      </w:r>
      <w:r/>
    </w:p>
    <w:p>
      <w:pPr>
        <w:ind w:firstLine="422"/>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before="240" w:after="24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4.严格执行政府采购关于支持</w:t>
      </w:r>
      <w:r>
        <w:rPr>
          <w:rFonts w:ascii="宋体" w:hAnsi="宋体" w:cs="宋体"/>
          <w:color w:val="auto"/>
          <w:sz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5.供应商对于投标产品的包装应按照“财办库〔2020〕123号《关于印发《商品包装政府采购需求标准（试行）》、《快递包装政府采购需求标准（试行）》的通知》”执行。</w:t>
      </w:r>
      <w:r/>
    </w:p>
    <w:p>
      <w:pPr>
        <w:ind w:firstLine="422"/>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6.落实政府采购《绿色建筑和绿色建材政府采购需求标准》（财库〔2022〕35号文）和《政府采购支持绿色建材促进建筑品质提升政策项目实施指南》（财办库〔2023〕52号）文件标准。</w:t>
      </w:r>
      <w:r/>
    </w:p>
    <w:p>
      <w:pPr>
        <w:ind w:firstLine="422"/>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7.潜在供应商对采购文件项目需求部分的询问、质疑请向采购人提出，由采购人负责答复。</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8.本次采购不收取保证金。</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9.拒绝下述供应商参加本次采购活动：</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（1）供应商单位负责人为同一人或者存在直接控股、管理关系的不同供应商，不得参加同一合同项下的政府采购活动；</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（2）为采购项目提供整体设计、规范编制或者项目管理、监理、检测等服务的供应商，不得参加本项目的采购活动；</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10.现场考察、答疑时间：采购人不统一组织，有需要的供应商自行考察；</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ascii="宋体" w:hAnsi="宋体" w:cs="宋体"/>
          <w:color w:val="auto"/>
          <w:sz w:val="22"/>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在政府采购资格审查环节，供应商只需提供书面《南京市政府采购供应商信用记录表暨信用承诺书》，即可替代以下证明材料： </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（1）符合国家相关规定的财务状况报告； </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（2）依法缴纳税收的证明材料； </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（3）依法缴纳社会保障资金的证明材料； </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（4）具备履行政府采购合同所必需的设备和专业技术能力的证明材料； </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（5）参加政府采购活动前三年内在经营活动中没有重大违法记录的证明材料； </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（6）未被列入失信被执行人、重大税收违法失信主体、政府采购严重违法失信行为记录名单的证明材料。 </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供应商涉及以下情形的，不适用信用承诺： </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（1）供应商被列入严重失信主体名单； </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（2）被相关监管部门作出行政处罚且尚在处罚有效期内； </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（3）其他法律、行政法规规定的不适用信用承诺的情形。 </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供应商对信用承诺内容的真实性、合法性、有效性负责。如作出虚假信用承诺，视同为“提供虚假材料谋取中标、成交”的违法行为。</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12.有关本次采购的事项若存在变动或修改，敬请及时关注“江苏政府采购网”发布的信息。</w:t>
      </w:r>
      <w:r/>
    </w:p>
    <w:p>
      <w:pPr>
        <w:pStyle w:val="1000"/>
        <w:ind w:firstLine="422"/>
        <w:spacing w:before="0" w:after="0" w:line="360" w:lineRule="auto"/>
        <w:shd w:val="clear" w:color="auto"/>
        <w:rPr>
          <w:rFonts w:hint="eastAsia" w:ascii="宋体" w:hAnsi="宋体" w:cs="宋体"/>
          <w:color w:val="auto"/>
          <w:sz w:val="21"/>
          <w:szCs w:val="21"/>
          <w:highlight w:val="none"/>
        </w:rPr>
      </w:pPr>
      <w:r/>
      <w:bookmarkStart w:id="20" w:name="_Toc109304969"/>
      <w:r/>
      <w:bookmarkStart w:id="21" w:name="_Toc29073"/>
      <w:r>
        <w:rPr>
          <w:rFonts w:hint="eastAsia" w:ascii="宋体" w:hAnsi="宋体" w:cs="宋体"/>
          <w:color w:val="auto"/>
          <w:sz w:val="21"/>
          <w:szCs w:val="21"/>
          <w:highlight w:val="none"/>
        </w:rPr>
        <w:t xml:space="preserve">八、</w:t>
      </w:r>
      <w:bookmarkEnd w:id="20"/>
      <w:r>
        <w:rPr>
          <w:rFonts w:hint="eastAsia" w:ascii="宋体" w:hAnsi="宋体" w:cs="宋体"/>
          <w:color w:val="auto"/>
          <w:sz w:val="21"/>
          <w:szCs w:val="21"/>
          <w:highlight w:val="none"/>
        </w:rPr>
        <w:t xml:space="preserve">对本次招标提出询问，请按以下方式联系</w:t>
      </w:r>
      <w:bookmarkEnd w:id="21"/>
      <w:r/>
      <w:r/>
    </w:p>
    <w:p>
      <w:pPr>
        <w:ind w:firstLine="420"/>
        <w:spacing w:line="360" w:lineRule="auto"/>
        <w:shd w:val="clear" w:color="auto"/>
        <w:rPr>
          <w:rFonts w:hint="eastAsia" w:ascii="宋体" w:hAnsi="宋体" w:cs="宋体"/>
          <w:color w:val="auto"/>
          <w:sz w:val="22"/>
          <w:highlight w:val="none"/>
          <w:lang w:val="zh-CN"/>
        </w:rPr>
        <w:pBdr>
          <w:top w:val="none" w:color="000000" w:sz="0" w:space="0"/>
          <w:left w:val="none" w:color="000000" w:sz="0" w:space="0"/>
          <w:bottom w:val="none" w:color="000000" w:sz="0" w:space="0"/>
          <w:right w:val="none" w:color="000000" w:sz="0" w:space="0"/>
        </w:pBdr>
      </w:pPr>
      <w:r/>
      <w:bookmarkStart w:id="22" w:name="_Toc172535237"/>
      <w:r>
        <w:rPr>
          <w:rFonts w:hint="eastAsia" w:ascii="宋体" w:hAnsi="宋体" w:cs="宋体"/>
          <w:color w:val="auto"/>
          <w:sz w:val="22"/>
          <w:highlight w:val="none"/>
          <w:lang w:val="zh-CN"/>
        </w:rPr>
        <w:t xml:space="preserve">1.采购人信息</w:t>
      </w:r>
      <w:bookmarkEnd w:id="22"/>
      <w:r/>
      <w:r/>
    </w:p>
    <w:p>
      <w:pPr>
        <w:ind w:firstLine="420"/>
        <w:spacing w:line="360" w:lineRule="auto"/>
        <w:shd w:val="clear" w:color="auto"/>
        <w:rPr>
          <w:rFonts w:hint="eastAsia" w:ascii="宋体" w:hAnsi="宋体" w:cs="宋体"/>
          <w:color w:val="auto"/>
          <w:sz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zh-CN"/>
        </w:rPr>
        <w:t xml:space="preserve">名称：</w:t>
      </w:r>
      <w:r>
        <w:rPr>
          <w:rFonts w:hint="eastAsia" w:ascii="宋体" w:hAnsi="宋体" w:cs="宋体"/>
          <w:color w:val="auto"/>
          <w:sz w:val="22"/>
          <w:highlight w:val="none"/>
          <w:lang w:val="zh-CN" w:eastAsia="zh-CN"/>
        </w:rPr>
        <w:t xml:space="preserve">南京市江宁医院</w:t>
      </w:r>
      <w:r/>
    </w:p>
    <w:p>
      <w:pPr>
        <w:ind w:firstLine="420"/>
        <w:spacing w:line="360" w:lineRule="auto"/>
        <w:shd w:val="clear" w:color="auto"/>
        <w:rPr>
          <w:rFonts w:hint="eastAsia" w:ascii="宋体" w:hAnsi="宋体" w:cs="宋体"/>
          <w:color w:val="auto"/>
          <w:sz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zh-CN"/>
        </w:rPr>
        <w:t xml:space="preserve">地址：</w:t>
      </w:r>
      <w:r>
        <w:rPr>
          <w:rFonts w:hint="eastAsia" w:ascii="宋体" w:hAnsi="宋体" w:cs="宋体"/>
          <w:color w:val="auto"/>
          <w:sz w:val="22"/>
          <w:highlight w:val="none"/>
          <w:lang w:val="zh-CN" w:eastAsia="zh-CN"/>
        </w:rPr>
        <w:t xml:space="preserve">南京市江宁区东山街道湖山路169号</w:t>
      </w:r>
      <w:r/>
    </w:p>
    <w:p>
      <w:pPr>
        <w:ind w:firstLine="420"/>
        <w:spacing w:line="360" w:lineRule="auto"/>
        <w:shd w:val="clear" w:color="auto"/>
        <w:rPr>
          <w:rFonts w:hint="eastAsia" w:ascii="宋体" w:hAnsi="宋体" w:cs="宋体"/>
          <w:color w:val="auto"/>
          <w:sz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zh-CN"/>
        </w:rPr>
        <w:t xml:space="preserve">联系方式：025-52087336</w:t>
      </w:r>
      <w:r/>
    </w:p>
    <w:p>
      <w:pPr>
        <w:ind w:firstLine="420"/>
        <w:spacing w:line="360" w:lineRule="auto"/>
        <w:shd w:val="clear" w:color="auto"/>
        <w:rPr>
          <w:rFonts w:hint="eastAsia" w:ascii="宋体" w:hAnsi="宋体" w:cs="宋体"/>
          <w:color w:val="auto"/>
          <w:sz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zh-CN"/>
        </w:rPr>
        <w:t xml:space="preserve">2.采购代理机构信息</w:t>
      </w:r>
      <w:r/>
    </w:p>
    <w:p>
      <w:pPr>
        <w:ind w:firstLine="420"/>
        <w:spacing w:line="360" w:lineRule="auto"/>
        <w:shd w:val="clear" w:color="auto"/>
        <w:rPr>
          <w:rFonts w:hint="eastAsia" w:ascii="宋体" w:hAnsi="宋体" w:cs="宋体"/>
          <w:color w:val="auto"/>
          <w:sz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zh-CN"/>
        </w:rPr>
        <w:t xml:space="preserve">名称：江苏弘业国际技术工程有限公司</w:t>
      </w:r>
      <w:r/>
    </w:p>
    <w:p>
      <w:pPr>
        <w:ind w:firstLine="420"/>
        <w:spacing w:line="360" w:lineRule="auto"/>
        <w:shd w:val="clear" w:color="auto"/>
        <w:rPr>
          <w:rFonts w:hint="eastAsia" w:ascii="宋体" w:hAnsi="宋体" w:cs="宋体"/>
          <w:color w:val="auto"/>
          <w:sz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zh-CN"/>
        </w:rPr>
        <w:t xml:space="preserve">地址：南京市中华路50号弘业大厦10楼 </w:t>
      </w:r>
      <w:r/>
    </w:p>
    <w:p>
      <w:pPr>
        <w:ind w:firstLine="420"/>
        <w:spacing w:line="360" w:lineRule="auto"/>
        <w:shd w:val="clear" w:color="auto"/>
        <w:rPr>
          <w:rFonts w:hint="eastAsia" w:ascii="宋体" w:hAnsi="宋体" w:cs="宋体"/>
          <w:color w:val="auto"/>
          <w:sz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zh-CN"/>
        </w:rPr>
        <w:t xml:space="preserve">联系方式：025-52278370</w:t>
      </w:r>
      <w:r/>
    </w:p>
    <w:p>
      <w:pPr>
        <w:ind w:firstLine="420"/>
        <w:spacing w:line="360" w:lineRule="auto"/>
        <w:shd w:val="clear" w:color="auto"/>
        <w:rPr>
          <w:rFonts w:hint="eastAsia" w:ascii="宋体" w:hAnsi="宋体" w:cs="宋体"/>
          <w:color w:val="auto"/>
          <w:sz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zh-CN"/>
        </w:rPr>
        <w:t xml:space="preserve">传  真：025-52278761</w:t>
      </w:r>
      <w:r/>
    </w:p>
    <w:p>
      <w:pPr>
        <w:ind w:firstLine="420"/>
        <w:spacing w:line="360" w:lineRule="auto"/>
        <w:shd w:val="clear" w:color="auto"/>
        <w:rPr>
          <w:rFonts w:hint="eastAsia" w:ascii="宋体" w:hAnsi="宋体" w:cs="宋体"/>
          <w:color w:val="auto"/>
          <w:sz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zh-CN"/>
        </w:rPr>
        <w:t xml:space="preserve">邮箱：hollyzbzy@artall.com</w:t>
      </w:r>
      <w:r/>
    </w:p>
    <w:p>
      <w:pPr>
        <w:ind w:firstLine="420"/>
        <w:spacing w:line="360" w:lineRule="auto"/>
        <w:shd w:val="clear" w:color="auto"/>
        <w:rPr>
          <w:rFonts w:hint="eastAsia" w:ascii="宋体" w:hAnsi="宋体" w:cs="宋体"/>
          <w:color w:val="auto"/>
          <w:sz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zh-CN"/>
        </w:rPr>
        <w:t xml:space="preserve">3.项目联系方式</w:t>
      </w:r>
      <w:r/>
    </w:p>
    <w:p>
      <w:pPr>
        <w:ind w:firstLine="420"/>
        <w:spacing w:line="360" w:lineRule="auto"/>
        <w:shd w:val="clear" w:color="auto"/>
        <w:rPr>
          <w:rFonts w:hint="eastAsia" w:ascii="宋体" w:hAnsi="宋体" w:cs="宋体"/>
          <w:color w:val="auto"/>
          <w:sz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zh-CN"/>
        </w:rPr>
        <w:t xml:space="preserve">项目联系人：徐玥妮</w:t>
      </w:r>
      <w:r/>
    </w:p>
    <w:p>
      <w:pPr>
        <w:ind w:firstLine="420"/>
        <w:spacing w:line="360" w:lineRule="auto"/>
        <w:shd w:val="clear" w:color="auto"/>
        <w:rPr>
          <w:rFonts w:hint="eastAsia" w:ascii="宋体" w:hAnsi="宋体" w:cs="宋体"/>
          <w:color w:val="auto"/>
          <w:sz w:val="2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lang w:val="zh-CN"/>
        </w:rPr>
        <w:t xml:space="preserve">电话：025-52278370</w:t>
      </w:r>
      <w:r/>
    </w:p>
    <w:p>
      <w:pPr>
        <w:ind w:firstLine="420"/>
        <w:spacing w:line="360" w:lineRule="auto"/>
        <w:shd w:val="clear" w:color="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r>
      <w:r/>
    </w:p>
    <w:p>
      <w:pPr>
        <w:pStyle w:val="998"/>
        <w:jc w:val="center"/>
        <w:spacing w:line="360" w:lineRule="auto"/>
        <w:shd w:val="clear" w:color="auto"/>
        <w:rPr>
          <w:rFonts w:hint="eastAsia" w:ascii="宋体" w:hAnsi="宋体" w:cs="宋体"/>
          <w:color w:val="auto"/>
          <w:highlight w:val="none"/>
        </w:rPr>
      </w:pPr>
      <w:r>
        <w:rPr>
          <w:rFonts w:hint="eastAsia" w:ascii="宋体" w:hAnsi="宋体" w:cs="宋体"/>
          <w:color w:val="auto"/>
          <w:sz w:val="36"/>
          <w:highlight w:val="none"/>
        </w:rPr>
        <w:br w:type="page" w:clear="all"/>
      </w:r>
      <w:bookmarkStart w:id="23" w:name="_Toc24167"/>
      <w:r>
        <w:rPr>
          <w:rFonts w:hint="eastAsia" w:ascii="宋体" w:hAnsi="宋体" w:cs="宋体"/>
          <w:color w:val="auto"/>
          <w:highlight w:val="none"/>
        </w:rPr>
        <w:t xml:space="preserve">第二章 磋商须知</w:t>
      </w:r>
      <w:bookmarkEnd w:id="23"/>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1、采购方式</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1.1 本次采购采取竞争性磋商方式，本采购文件仅适用于本采购项目。</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 参加竞争性磋商的供应商以下简称“供应商”，是指参加磋商并符合采购文件规定资格条件的法人、其他组织或者自然人。</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2.2合格的供应商</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2.2.1 满足采购公告中供应商的资格条件要求的规定。</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2.2.2 满足本文件实质性条款的规定。</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3、适用法律</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3.1 本次采购及由此产生的合同受中华人民共和国有关的法律法规制约和保护。</w:t>
      </w:r>
      <w:r/>
    </w:p>
    <w:p>
      <w:pPr>
        <w:ind w:left="420" w:firstLine="0"/>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采购代理服务</w:t>
      </w:r>
      <w:r>
        <w:rPr>
          <w:rFonts w:hint="eastAsia" w:ascii="宋体" w:hAnsi="宋体" w:cs="宋体"/>
          <w:color w:val="auto"/>
          <w:sz w:val="24"/>
          <w:szCs w:val="24"/>
          <w:highlight w:val="none"/>
        </w:rPr>
        <w:t xml:space="preserve">费：</w:t>
      </w:r>
      <w:r>
        <w:rPr>
          <w:rFonts w:hint="eastAsia" w:ascii="宋体" w:hAnsi="宋体" w:cs="宋体"/>
          <w:color w:val="auto"/>
          <w:sz w:val="24"/>
          <w:szCs w:val="24"/>
          <w:highlight w:val="none"/>
          <w:lang w:val="en-US" w:eastAsia="zh-CN"/>
        </w:rPr>
        <w:t xml:space="preserve">成交供应商</w:t>
      </w:r>
      <w:r>
        <w:rPr>
          <w:rFonts w:hint="eastAsia" w:ascii="宋体" w:hAnsi="宋体" w:cs="宋体"/>
          <w:color w:val="auto"/>
          <w:sz w:val="24"/>
          <w:szCs w:val="24"/>
          <w:highlight w:val="none"/>
        </w:rPr>
        <w:t xml:space="preserve">须按以下标准和规定向</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rPr>
        <w:t xml:space="preserve">交纳</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服务费：（1）</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服务费收取</w:t>
      </w:r>
      <w:r>
        <w:rPr>
          <w:rFonts w:hint="eastAsia" w:ascii="宋体" w:hAnsi="宋体" w:cs="宋体"/>
          <w:color w:val="auto"/>
          <w:sz w:val="24"/>
          <w:szCs w:val="24"/>
          <w:highlight w:val="none"/>
          <w:lang w:val="en-US" w:eastAsia="zh-CN"/>
        </w:rPr>
        <w:t xml:space="preserve">见下表：</w:t>
      </w:r>
      <w:r/>
    </w:p>
    <w:tbl>
      <w:tblPr>
        <w:tblStyle w:val="724"/>
        <w:tblW w:w="90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649"/>
        <w:gridCol w:w="1581"/>
        <w:gridCol w:w="2673"/>
        <w:gridCol w:w="1132"/>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649"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费率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货物招标</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服务招标</w:t>
            </w:r>
            <w:r/>
          </w:p>
        </w:tc>
        <w:tc>
          <w:tcPr>
            <w:shd w:val="clear" w:color="auto" w:fill="auto"/>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折扣</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649"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100万元以下</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649"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100-500万元</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0.80%</w:t>
            </w:r>
            <w:r/>
          </w:p>
        </w:tc>
        <w:tc>
          <w:tcPr>
            <w:shd w:val="clear" w:color="auto" w:fill="auto"/>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trHeight w:val="423"/>
        </w:trPr>
        <w:tc>
          <w:tcPr>
            <w:shd w:val="clear" w:color="auto" w:fill="auto"/>
            <w:tcBorders>
              <w:top w:val="single" w:color="000000" w:sz="4" w:space="0"/>
              <w:left w:val="single" w:color="000000" w:sz="4" w:space="0"/>
              <w:bottom w:val="single" w:color="000000" w:sz="4" w:space="0"/>
              <w:right w:val="single" w:color="000000" w:sz="4" w:space="0"/>
            </w:tcBorders>
            <w:tcW w:w="3649"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500-1000万元</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0.80%</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3649"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1000-5000万元</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0.50%</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jc w:val="both"/>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bl>
    <w:p>
      <w:pPr>
        <w:ind w:left="420" w:firstLine="0"/>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2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服务费币种与投标货币的币种相同</w:t>
      </w:r>
      <w:r/>
    </w:p>
    <w:p>
      <w:pPr>
        <w:ind w:firstLine="42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服务费的交纳方式：电汇方式</w:t>
      </w:r>
      <w:r/>
    </w:p>
    <w:p>
      <w:pPr>
        <w:ind w:firstLine="480"/>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账户信息：</w:t>
      </w:r>
      <w:r/>
    </w:p>
    <w:p>
      <w:pPr>
        <w:ind w:firstLine="480"/>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    名：江苏弘业国际技术工程有限公司</w:t>
      </w:r>
      <w:r/>
    </w:p>
    <w:p>
      <w:pPr>
        <w:ind w:firstLine="480"/>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开户银行：中国银行南京市中华路支行   </w:t>
      </w:r>
      <w:r/>
    </w:p>
    <w:p>
      <w:pPr>
        <w:ind w:firstLine="480"/>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号：527460884999</w:t>
      </w:r>
      <w:r/>
    </w:p>
    <w:p>
      <w:pPr>
        <w:ind w:firstLine="72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供应商的报价须涵盖上述费用，投标人应将该费用纳入投标报价的考量范畴</w:t>
      </w:r>
      <w:r>
        <w:rPr>
          <w:rFonts w:hint="eastAsia" w:ascii="宋体" w:hAnsi="宋体" w:cs="宋体"/>
          <w:color w:val="auto"/>
          <w:sz w:val="24"/>
          <w:szCs w:val="24"/>
          <w:highlight w:val="none"/>
        </w:rPr>
        <w:t xml:space="preserve">。</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5、采购文件的约束力</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5.1 供应商一旦参加本项目采购活动，即被认为接受了本采购文件的规定和约束。</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6、采购文件构成</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6.1 采购文件有以下部分组成：</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（1）采购公告</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（2）磋商须知</w:t>
      </w:r>
      <w:r>
        <w:rPr>
          <w:rFonts w:hint="eastAsia" w:ascii="宋体" w:hAnsi="宋体" w:cs="宋体"/>
          <w:color w:val="auto"/>
          <w:sz w:val="24"/>
          <w:szCs w:val="24"/>
          <w:highlight w:val="none"/>
        </w:rPr>
        <w:tab/>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（3）合同条款及格式</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（4）项目需求</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（6）竞争性磋商响应文件格式</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请仔细检查采购文件是否齐全，如有缺漏请立即与代理机构联系解决。</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6.3 采购文件如果要求供应商提交备选响应方案的，供应商可以提交备选方案；否则，备选方案将被拒绝。</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7、采购文件的澄清</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7.1 任何要求对采购文件进行澄清的供应商，应在提交首次响应文件截止时间至少5日前按采购公告中的通讯地址，以书面形式通知</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8、采购文件的修改</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w:t>
      </w:r>
      <w:r>
        <w:rPr>
          <w:rFonts w:hint="eastAsia" w:ascii="宋体" w:hAnsi="宋体" w:eastAsia="宋体" w:cs="宋体"/>
          <w:color w:val="auto"/>
          <w:sz w:val="24"/>
          <w:szCs w:val="24"/>
          <w:highlight w:val="none"/>
        </w:rPr>
        <w:t xml:space="preserve">少5日前</w:t>
      </w:r>
      <w:r>
        <w:rPr>
          <w:rFonts w:hint="eastAsia" w:ascii="宋体" w:hAnsi="宋体" w:cs="宋体"/>
          <w:color w:val="auto"/>
          <w:sz w:val="24"/>
          <w:szCs w:val="24"/>
          <w:highlight w:val="none"/>
        </w:rPr>
        <w:t xml:space="preserve">，通知所有获取磋商文件的供应商；不足5日的，采购人、采购代理机构应当顺延提交首次响应文件截止时间。</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8.2采购文件的修改将在“江苏政府采购网”公布，补充文件将作为采购文件的组成部分，并对供应商具有约束力。</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9、采购文件的语言、度量衡单位、货币</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9.1供应商提交的响应文件以及供应商与代理机构就有关磋商的所有来往通知、函件和文件均应使用简体中文。</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9.2 除技术性能另有规定外，采购文件所使用的度量衡单位，均须采用国家法定计量单位。</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9.3采购文件中的服务单价和总价无特殊规定的采用人民币报价。采购文件中另有规定的按规定执行。</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10、响应文件构成</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10.1磋商文件由以下部分组成</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（1）资格审查响应对照表</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（2）符合性审查响应对照表</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（3）磋商响应报价表 </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（4）技术参数响应及偏离表 </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（5）商务条款响应及偏离表 </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（6）其他（供应商认为有必要提供的声明和文件，如有自拟并自行添加）</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11、证明供应商资格及符合采购文件规定的文件</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11.1供应商应按要求提交资格证明文件及符合采购文件规定的文件。</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11.2供应商应提交证明其有资格参加磋商和成交后有能力独立履行合同的文件。</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11.3供应商除必须具有履行合同所需提供的产品或服务的能力外，还必须具备相应的财务、技术方面的能力。</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11.4供应商应提交根据合同要求提供的证明服务质量合格以及符合采购文件规定的证明文件。</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11.5证明供应商所提供服务与采购文件的要求相一致的文件可以是手册、图纸、文字资料和数据。</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12、磋商响应报价表</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12.1 供应商应按照采购文件规定格式填报磋商响应报价表，每项服务只允许有一个报价，任何有选择的报价将不予接受。</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12.2 标的物</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采购人需求的服务供应、安装，调试及有关技术服务等。</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12.3其它费用处理</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采购文件未列明，而供应商认为必需的费用也需列入报价。</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13、技术参数响应及偏离表、商务条款响应及偏离表及磋商服务说明</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13.1 对采购文件中的技术与商务条款要求逐项作出响应或偏离，并说明原因；</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供应商认为需要的其他技术文件或说明。</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14、供应商的服务承诺应按不低于采购文件中商务要求的标准。</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提供供应商有关售后服务的管理制度、售后服务机构的分布情况、售后服务人员的数量、素质、技术水平及售后服务的反应能力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rPr>
        <w:t xml:space="preserve">。</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15、磋商响应函</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15.1 供应商应按照政府采购交易管理系统提供的格式完整、正确填写磋商响应函。</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16、磋商响应有效期</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16.1 磋商响应有效期为代理机构规定的响应文件接收截止时间后</w:t>
      </w:r>
      <w:r>
        <w:rPr>
          <w:rFonts w:hint="eastAsia" w:ascii="宋体" w:hAnsi="宋体" w:cs="宋体"/>
          <w:color w:val="auto"/>
          <w:sz w:val="24"/>
          <w:szCs w:val="24"/>
          <w:highlight w:val="none"/>
          <w:u w:val="single"/>
        </w:rPr>
        <w:t xml:space="preserve">六十（60）天</w:t>
      </w:r>
      <w:r>
        <w:rPr>
          <w:rFonts w:hint="eastAsia" w:ascii="宋体" w:hAnsi="宋体" w:cs="宋体"/>
          <w:color w:val="auto"/>
          <w:sz w:val="24"/>
          <w:szCs w:val="24"/>
          <w:highlight w:val="none"/>
        </w:rPr>
        <w:t xml:space="preserve">。磋商响应有效期比规定短的将被视为非实质性响应性而予以拒绝。</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shd w:val="clear" w:color="auto"/>
        <w:rPr>
          <w:rFonts w:ascii="宋体" w:hAnsi="宋体" w:cs="宋体"/>
          <w:color w:val="auto"/>
          <w:sz w:val="24"/>
          <w:szCs w:val="24"/>
          <w:highlight w:val="none"/>
        </w:rPr>
      </w:pPr>
      <w:r/>
      <w:bookmarkStart w:id="24" w:name="_Toc20823297"/>
      <w:r/>
      <w:bookmarkStart w:id="25" w:name="_Toc16938541"/>
      <w:r>
        <w:rPr>
          <w:rFonts w:hint="eastAsia" w:ascii="宋体" w:hAnsi="宋体" w:cs="宋体"/>
          <w:color w:val="auto"/>
          <w:sz w:val="24"/>
          <w:szCs w:val="24"/>
          <w:highlight w:val="none"/>
        </w:rPr>
        <w:t xml:space="preserve">17、响应文件</w:t>
      </w:r>
      <w:bookmarkEnd w:id="24"/>
      <w:r/>
      <w:bookmarkEnd w:id="25"/>
      <w:r>
        <w:rPr>
          <w:rFonts w:hint="eastAsia" w:ascii="宋体" w:hAnsi="宋体" w:cs="宋体"/>
          <w:color w:val="auto"/>
          <w:sz w:val="24"/>
          <w:szCs w:val="24"/>
          <w:highlight w:val="none"/>
        </w:rPr>
        <w:t xml:space="preserve">的递交</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17.1 电子响应文件的递交供应商应当按照《操作手册》规定，在磋商响应截止时间前制作并上传电子响应文件。</w:t>
      </w:r>
      <w:bookmarkStart w:id="26" w:name="_Toc16938542"/>
      <w:r/>
      <w:bookmarkStart w:id="27" w:name="_Toc20823298"/>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17.2政府采购管理交易系统（苏采云）相关要求是本采购文件的组成部分。</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17.3供应商应对 CA 证书妥善保管，如被他人盗用投标，因此带来的结果均由供应商自行承担。</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17.4供应商应当对采购文件提出的要求和条件作出实质性响应，并在电子投标系统逐条应答。</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17.5供应商应对要求提供的资格证明文件（如资质证书、资格证书）、技术资料（如白皮书、彩页、手册、检测报告等）扫描上传至投标系统。</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17.6各供应商应在规定时间内凭CA证书进行网上解密。</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18、磋商响应截止日期</w:t>
      </w:r>
      <w:bookmarkEnd w:id="26"/>
      <w:r/>
      <w:bookmarkEnd w:id="27"/>
      <w:r/>
      <w:r/>
    </w:p>
    <w:p>
      <w:pPr>
        <w:ind w:firstLine="420"/>
        <w:spacing w:line="360" w:lineRule="auto"/>
        <w:shd w:val="clear" w:color="auto"/>
        <w:rPr>
          <w:rFonts w:ascii="宋体" w:hAnsi="宋体" w:cs="宋体"/>
          <w:i/>
          <w:color w:val="auto"/>
          <w:sz w:val="24"/>
          <w:szCs w:val="24"/>
          <w:highlight w:val="none"/>
          <w:u w:val="single"/>
        </w:rPr>
      </w:pPr>
      <w:r>
        <w:rPr>
          <w:rFonts w:hint="eastAsia" w:ascii="宋体" w:hAnsi="宋体" w:cs="宋体"/>
          <w:b/>
          <w:bCs/>
          <w:i/>
          <w:color w:val="auto"/>
          <w:sz w:val="24"/>
          <w:szCs w:val="24"/>
          <w:highlight w:val="none"/>
        </w:rPr>
        <w:t xml:space="preserve">18.1 </w:t>
      </w:r>
      <w:r>
        <w:rPr>
          <w:rFonts w:hint="eastAsia" w:ascii="宋体" w:hAnsi="宋体" w:cs="宋体"/>
          <w:b/>
          <w:bCs/>
          <w:i/>
          <w:color w:val="auto"/>
          <w:sz w:val="24"/>
          <w:szCs w:val="24"/>
          <w:highlight w:val="none"/>
          <w:u w:val="single"/>
        </w:rPr>
        <w:t xml:space="preserve">供应商上传电子响应文件的时间不得迟于采购公告中规定的磋商响应截止时间。</w:t>
      </w:r>
      <w:r/>
    </w:p>
    <w:p>
      <w:pPr>
        <w:ind w:firstLine="420"/>
        <w:spacing w:line="360" w:lineRule="auto"/>
        <w:shd w:val="clear" w:color="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shd w:val="clear" w:color="auto"/>
        <w:rPr>
          <w:rFonts w:ascii="宋体" w:hAnsi="宋体" w:cs="宋体"/>
          <w:color w:val="auto"/>
          <w:sz w:val="24"/>
          <w:szCs w:val="24"/>
          <w:highlight w:val="none"/>
        </w:rPr>
      </w:pPr>
      <w:r/>
      <w:bookmarkStart w:id="28" w:name="_Toc20823299"/>
      <w:r/>
      <w:bookmarkStart w:id="29" w:name="_Toc16938543"/>
      <w:r>
        <w:rPr>
          <w:rFonts w:hint="eastAsia" w:ascii="宋体" w:hAnsi="宋体" w:cs="宋体"/>
          <w:color w:val="auto"/>
          <w:sz w:val="24"/>
          <w:szCs w:val="24"/>
          <w:highlight w:val="none"/>
        </w:rPr>
        <w:t xml:space="preserve">19、响应文件</w:t>
      </w:r>
      <w:bookmarkEnd w:id="28"/>
      <w:r/>
      <w:bookmarkEnd w:id="29"/>
      <w:r>
        <w:rPr>
          <w:rFonts w:hint="eastAsia" w:ascii="宋体" w:hAnsi="宋体" w:cs="宋体"/>
          <w:color w:val="auto"/>
          <w:sz w:val="24"/>
          <w:szCs w:val="24"/>
          <w:highlight w:val="none"/>
        </w:rPr>
        <w:t xml:space="preserve">的拒收</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19.1代理机构拒绝接收在其规定的磋商截止时间后上传的任何响应文件。</w:t>
      </w:r>
      <w:r/>
    </w:p>
    <w:p>
      <w:pPr>
        <w:ind w:firstLine="420"/>
        <w:spacing w:line="360" w:lineRule="auto"/>
        <w:shd w:val="clear" w:color="auto"/>
        <w:rPr>
          <w:rFonts w:ascii="宋体" w:hAnsi="宋体" w:cs="宋体"/>
          <w:color w:val="auto"/>
          <w:sz w:val="24"/>
          <w:szCs w:val="24"/>
          <w:highlight w:val="none"/>
        </w:rPr>
      </w:pPr>
      <w:r/>
      <w:bookmarkStart w:id="30" w:name="_Toc16938544"/>
      <w:r/>
      <w:bookmarkStart w:id="31" w:name="_Toc20823300"/>
      <w:r>
        <w:rPr>
          <w:rFonts w:hint="eastAsia" w:ascii="宋体" w:hAnsi="宋体" w:cs="宋体"/>
          <w:color w:val="auto"/>
          <w:sz w:val="24"/>
          <w:szCs w:val="24"/>
          <w:highlight w:val="none"/>
        </w:rPr>
        <w:t xml:space="preserve">20、响应文件的撤回和修改</w:t>
      </w:r>
      <w:bookmarkEnd w:id="30"/>
      <w:r/>
      <w:bookmarkEnd w:id="31"/>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20.1 响应文件的撤回</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20.1.1 电子响应文件的撤回</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供应商可在磋商截止时间前，撤回其电子响应文件，具体操作方法见《操作手册》。</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20.1.2 供应商撤回电子响应文件，则认为其不再参与本项目磋商谈判。</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20.2 响应文件的修改</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供应商可在磋商截止时间前，对其电子响应文件进行修改，具体操作方法见《操作手册》。</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20.3 在磋商截止时间之后，供应商不得对其电子响应文件作任何修改。</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20.4 在磋商截止时间至采购文件中规定的磋商有效期满之间的这段时间内，供应商不得撤回其响应文件。</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21、磋商</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21.1 代理机构将在采购公告中规定的时间和地点组织磋商开始仪式。供应商应当按照《操作手册》规定，参加磋商活动。</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21.2供应商在磋商过程中涉及到的响应文件解密等工作，应按照《操作手册》规定执行。</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22、磋商小组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22.1 磋商开始后，代理机构将立即组织磋商小组进行评审。</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22.2磋商小组由采购人代表和有关技术、经济等方面的专家组成，且人员构成符合政府采购有关规定。</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22.3磋商小组独立工作，负责评审有效响应文件并确定成交候选供应商。</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23、评审过程的保密与公正</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23.1评审专家应当遵守评审工作纪律，不得泄露评审情况和评审中获悉的商业秘密。</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23.2在评审过程中，供应商不得以任何行为影响评审过程，否则其响应文件将被作为无效响应文件。</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23.3 在评审期间，代理机构将设专门工作人员与供应商联系。</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23.4 </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代理机构和磋商小组不向未成交的供应商解释未成交原因，也不公布评审过程中的相关细节。</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24、磋商的澄清</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24.1评审期间，磋商小组要求供应商澄清、说明或者更正响应文件以电子函件形式提交但并非对每个供应商都作澄清要求。</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24.3 接到磋商小组澄清要求的供应商如未按规定做出澄清，其风险由供应商自行承担。</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25、对响应文件的初审</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25.1响应文件初审分为资格审查和符合性审查。</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25.1.1资格审查：依据法律法规和采购文件的规定，对响应文件中的资格证明文件进行审查。以确定供应商是否具备参加磋商的资格。</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25.1.3 未通过资格审查或符合性审查的供应商，</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代理机构将在”政府采购管理交易系统（苏采云）”中告知未通过资格审查或符合性审查的原因，评审结束后，代理机构将不再告知未通过资格审查或符合性审查的原因。</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25.4 供应商在开、评标全过程中应保持通讯畅通，并安排专人与代理机构及磋商小组联系。</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26、磋商程序及评审方法和标准</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26.1磋商程序</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shd w:val="clear" w:color="auto"/>
        <w:rPr>
          <w:rFonts w:hint="eastAsia"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26.1.3 供应商未在磋商小组规定的时间内完成最后报价的视为放弃磋商，其响应按无效响应</w:t>
      </w:r>
      <w:r>
        <w:rPr>
          <w:rFonts w:hint="eastAsia" w:ascii="宋体" w:hAnsi="宋体" w:cs="宋体"/>
          <w:b/>
          <w:bCs/>
          <w:i/>
          <w:iCs/>
          <w:color w:val="auto"/>
          <w:sz w:val="24"/>
          <w:szCs w:val="24"/>
          <w:highlight w:val="none"/>
          <w:lang w:val="en-US" w:eastAsia="zh-CN"/>
        </w:rPr>
        <w:t xml:space="preserve">文件</w:t>
      </w:r>
      <w:r>
        <w:rPr>
          <w:rFonts w:hint="eastAsia" w:ascii="宋体" w:hAnsi="宋体" w:cs="宋体"/>
          <w:b/>
          <w:bCs/>
          <w:i/>
          <w:iCs/>
          <w:color w:val="auto"/>
          <w:sz w:val="24"/>
          <w:szCs w:val="24"/>
          <w:highlight w:val="none"/>
        </w:rPr>
        <w:t xml:space="preserve">处理。最后报价须加盖电子签章。已提交响应文件的供应商，在提交最后报价之前，可以根据磋商情况退出磋商。</w:t>
      </w:r>
      <w:r/>
    </w:p>
    <w:p>
      <w:pPr>
        <w:ind w:firstLine="482"/>
        <w:spacing w:line="360" w:lineRule="auto"/>
        <w:shd w:val="clear" w:color="auto"/>
        <w:rPr>
          <w:rFonts w:hint="eastAsia" w:ascii="宋体" w:hAnsi="宋体" w:cs="宋体"/>
          <w:b/>
          <w:bCs/>
          <w:i/>
          <w:iCs/>
          <w:color w:val="auto"/>
          <w:sz w:val="24"/>
          <w:szCs w:val="24"/>
          <w:highlight w:val="none"/>
        </w:rPr>
      </w:pPr>
      <w:r>
        <w:rPr>
          <w:rFonts w:hint="eastAsia" w:ascii="宋体" w:hAnsi="宋体"/>
          <w:b/>
          <w:bCs/>
          <w:i/>
          <w:iCs/>
          <w:color w:val="auto"/>
          <w:sz w:val="24"/>
          <w:szCs w:val="24"/>
          <w:highlight w:val="none"/>
          <w:lang w:val="en-US" w:eastAsia="zh-CN"/>
        </w:rPr>
        <w:t xml:space="preserve">26.1.4在采购内容和采购需求不变的情况下，供应商次轮报价及最后报价均不得高于首轮报价，否则作无效标处理。供应商分项报价按首轮报价与最终报价调整比例进行同比调整。</w:t>
      </w:r>
      <w:r/>
    </w:p>
    <w:p>
      <w:pPr>
        <w:ind w:firstLine="420"/>
        <w:spacing w:line="360" w:lineRule="auto"/>
        <w:shd w:val="clear" w:color="auto"/>
        <w:rPr>
          <w:rFonts w:hint="eastAsia" w:ascii="宋体" w:hAnsi="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26.1.5根据财库〔2026〕2号文件，评审委员会启动异常低价投标审查的情形和具体要求，包括：</w:t>
      </w:r>
      <w:r/>
    </w:p>
    <w:p>
      <w:pPr>
        <w:ind w:firstLine="420"/>
        <w:spacing w:line="360" w:lineRule="auto"/>
        <w:shd w:val="clear" w:color="auto"/>
        <w:rPr>
          <w:rFonts w:hint="eastAsia" w:ascii="宋体" w:hAnsi="宋体" w:eastAsia="Times New Roman" w:cs="Times New Roman"/>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（一）1.投标（响应）报价低于全部通过符合性审查供应商投标（响应）报价平均值50%的，即投标（响</w:t>
      </w:r>
      <w:r>
        <w:rPr>
          <w:rFonts w:hint="eastAsia" w:ascii="宋体" w:hAnsi="宋体" w:eastAsia="Times New Roman" w:cs="Times New Roman"/>
          <w:b/>
          <w:bCs/>
          <w:i/>
          <w:iCs/>
          <w:color w:val="auto"/>
          <w:sz w:val="24"/>
          <w:szCs w:val="24"/>
          <w:highlight w:val="none"/>
          <w:lang w:val="en-US" w:eastAsia="zh-CN"/>
        </w:rPr>
        <w:t xml:space="preserve">应）报价&lt;全部通过符合性审查供应商投标（响应）报价平均值×50%；</w:t>
      </w:r>
      <w:r/>
    </w:p>
    <w:p>
      <w:pPr>
        <w:ind w:firstLine="480"/>
        <w:spacing w:line="500" w:lineRule="exact"/>
        <w:shd w:val="clear" w:color="auto"/>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500" w:lineRule="exact"/>
        <w:shd w:val="clear" w:color="auto"/>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3.投标（响应）报价低于采购项目最高限价45%的，即投标（响应）报价&lt;采购项目最高限价×45%；</w:t>
      </w:r>
      <w:r/>
    </w:p>
    <w:p>
      <w:pPr>
        <w:ind w:firstLine="480"/>
        <w:spacing w:line="500" w:lineRule="exact"/>
        <w:shd w:val="clear" w:color="auto"/>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spacing w:line="500" w:lineRule="exact"/>
        <w:shd w:val="clear" w:color="auto"/>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480"/>
        <w:spacing w:line="500" w:lineRule="exact"/>
        <w:shd w:val="clear" w:color="auto"/>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（二）评审委员会启动异常低价响应审查后，属于前述第1项至第4项情形的，</w:t>
      </w:r>
      <w:r>
        <w:rPr>
          <w:rFonts w:hint="eastAsia" w:ascii="宋体" w:hAnsi="宋体" w:eastAsia="Times New Roman" w:cs="Times New Roman"/>
          <w:b/>
          <w:bCs/>
          <w:i/>
          <w:iCs/>
          <w:color w:val="auto"/>
          <w:sz w:val="24"/>
          <w:szCs w:val="24"/>
          <w:highlight w:val="none"/>
          <w:lang w:val="en-US" w:eastAsia="zh-CN"/>
        </w:rPr>
        <w:t xml:space="preserve">相关供应商在30分钟内对响应价格作出解释</w:t>
      </w:r>
      <w:r>
        <w:rPr>
          <w:rFonts w:hint="eastAsia" w:ascii="宋体" w:hAnsi="宋体" w:eastAsia="Times New Roman" w:cs="Times New Roman"/>
          <w:i/>
          <w:iCs/>
          <w:color w:val="auto"/>
          <w:sz w:val="24"/>
          <w:szCs w:val="24"/>
          <w:highlight w:val="none"/>
          <w:lang w:val="en-US" w:eastAsia="zh-CN"/>
        </w:rPr>
        <w:t xml:space="preserve">，</w:t>
      </w:r>
      <w:r>
        <w:rPr>
          <w:rFonts w:hint="eastAsia" w:ascii="宋体" w:hAnsi="宋体" w:eastAsia="Times New Roman" w:cs="Times New Roman"/>
          <w:color w:val="auto"/>
          <w:sz w:val="24"/>
          <w:szCs w:val="24"/>
          <w:highlight w:val="none"/>
          <w:lang w:val="en-US" w:eastAsia="zh-CN"/>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500" w:lineRule="exact"/>
        <w:shd w:val="clear" w:color="auto"/>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500" w:lineRule="exact"/>
        <w:shd w:val="clear" w:color="auto"/>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shd w:val="clear" w:color="auto"/>
        <w:rPr>
          <w:rFonts w:hint="eastAsia" w:ascii="宋体" w:hAnsi="宋体" w:eastAsia="宋体" w:cs="宋体"/>
          <w:b/>
          <w:bCs/>
          <w:i/>
          <w:iCs/>
          <w:color w:val="auto"/>
          <w:sz w:val="24"/>
          <w:szCs w:val="24"/>
          <w:highlight w:val="none"/>
          <w:u w:val="single"/>
          <w:lang w:val="en-US" w:eastAsia="zh-CN"/>
        </w:rPr>
      </w:pPr>
      <w:r>
        <w:rPr>
          <w:rFonts w:hint="eastAsia" w:ascii="宋体" w:hAnsi="宋体" w:eastAsia="Times New Roman" w:cs="Times New Roman"/>
          <w:color w:val="auto"/>
          <w:sz w:val="24"/>
          <w:szCs w:val="24"/>
          <w:highlight w:val="none"/>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26.2 评审方法和标准</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26.2.2评审标准</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见本采购文件第五章规定。</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27、无效响应及采购活动终止的情况</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27.1无效响应条款</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27.1.1 供应商未按照采购文件要求上传电子磋商响应文件的。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27.1.2 供应商未成功解密电子磋商响应文件的。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27.1.3 供应商不具备采购文件中规定资格要求的。</w:t>
      </w:r>
      <w:r/>
    </w:p>
    <w:p>
      <w:pPr>
        <w:ind w:firstLine="420"/>
        <w:spacing w:line="360" w:lineRule="auto"/>
        <w:shd w:val="clear" w:color="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27.1.4 未通过符合性审查的。</w:t>
      </w:r>
      <w:r/>
    </w:p>
    <w:p>
      <w:pPr>
        <w:ind w:firstLine="420"/>
        <w:spacing w:line="360" w:lineRule="auto"/>
        <w:shd w:val="clear" w:color="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27.1.5 不符合采购文件中规定的其他实质性要求和条件的（</w:t>
      </w:r>
      <w:r>
        <w:rPr>
          <w:rFonts w:hint="eastAsia" w:ascii="宋体" w:hAnsi="宋体" w:cs="宋体"/>
          <w:i/>
          <w:color w:val="auto"/>
          <w:sz w:val="24"/>
          <w:szCs w:val="24"/>
          <w:highlight w:val="none"/>
          <w:u w:val="single"/>
        </w:rPr>
        <w:t xml:space="preserve">本采购文件中斜体且有下划线部分为实质性要求和条件）。</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27.1.8 响应文件未按照采购文件要求加盖电子签章。</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27.1.9 其他法律、法规及本采购文件规定的属无效响应的情形。</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27.2 采购活动终止的情况：</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27.2.1 因情况变化，不再符合规定的竞争性磋商采购方式适用情形的；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27.2.2 出现影响采购公正的违法、违规行为的；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27.2.3 除本磋商文件第26.1.2条第三款规定的情形外，在采购过程中符合要求的供应商或者报价未超过采购预算的供应商不足3家的。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27.2.4 因重大变故，采购任务取消的。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28、确定成交单位</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28.2 采购人应根据磋商推荐的成交候选人，按照排序由高到低的原</w:t>
      </w:r>
      <w:r>
        <w:rPr>
          <w:rFonts w:hint="eastAsia" w:ascii="宋体" w:hAnsi="宋体" w:cs="宋体"/>
          <w:color w:val="auto"/>
          <w:sz w:val="24"/>
          <w:szCs w:val="24"/>
          <w:highlight w:val="none"/>
          <w:lang w:val="en-US" w:eastAsia="zh-CN"/>
        </w:rPr>
        <w:t xml:space="preserve">则</w:t>
      </w:r>
      <w:r>
        <w:rPr>
          <w:rFonts w:hint="eastAsia" w:ascii="宋体" w:hAnsi="宋体" w:cs="宋体"/>
          <w:color w:val="auto"/>
          <w:sz w:val="24"/>
          <w:szCs w:val="24"/>
          <w:highlight w:val="none"/>
        </w:rPr>
        <w:t xml:space="preserve">确定成交供应商。</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28.3 代理机构将在”江苏政府采购网”发布成交公告，公告期限为1个工作日。</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28.4 若有充分证据证明，成交供应商出现下列情况之一的，一经查实，将被取消成交资格：</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28.4.1 提供虚假材料谋取成交的；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28.4.2 向采购人、代理机构行贿或者提供其他不正当利益的；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28.4.3 恶意竞争，最终总报价明显低于其自身合理成本且又无法提供证明的；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28.4.4 属于本文件规定的无效条件，但在评审过程中又未被磋商小组发现的；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28.4.5 与采购人或者其他供应商恶意串通的；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28.4.6 采取不正当手段诋毁、排挤其他供应商的；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28.4.7 不符合法律、法规的规定的。</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29、质疑与投诉</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对项目需求部分的质疑，潜在供应商应向采购人提出，由采购人负责答复。</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29.2.1对采购文件提出质疑的，应当在获取采购文件之日或者采购文件公告期限届满之日起7个工作日内提出。</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29.2.2对采购过程提出质疑的，为各采购程序环节结束之日起7个工作日内提出。</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29.2.3对成交结果提出质疑的，为成交结果公告期限届满之日起7个工作日内提出。</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29.5 代理机构及采购人只接收以纸质原件形式送达的质疑。</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采购人质疑接收人及联系方式见采购文件第一章。</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29.6代理机构收到质疑申请后，将对质疑的形式和内容进行审查，如质疑内容、格式不符合规定，代理机构将告知质疑人进行补正。</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29.7质疑人应当在法定质疑期限内进行补正并重新提交质疑函。</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29.8 以下情形的质疑不予受理</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29.8.1 内容不符合《政府采购质疑和投诉办法》第十二条规定的质疑。</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29.8.2 超出政府采购法定期限的质疑。</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29.8.3 以传真、电子邮件等方式递交的非原件形式的质疑。</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29.8.4 未参加磋商活动的供应商或在磋商活动中自身权益未受到损害的供应商所提出的质疑。</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29.8.5供应商组成联合体参加磋商，联合体中任何一方或多方未按要求签字、盖章、加盖公章的质疑。</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29.11</w:t>
      </w:r>
      <w:r>
        <w:rPr>
          <w:rFonts w:hint="eastAsia" w:ascii="宋体" w:hAnsi="宋体" w:eastAsia="宋体" w:cs="宋体"/>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供应商捏造事实、提供虚假材料或者以非法手段取得证明材料进行投诉的，由财政部门列入不良行为记录名单，禁止其1至3年内参加政府采购活动。 </w:t>
      </w:r>
      <w:r/>
    </w:p>
    <w:p>
      <w:pPr>
        <w:pStyle w:val="728"/>
        <w:shd w:val="clear" w:color="auto"/>
        <w:rPr>
          <w:color w:val="auto"/>
          <w:sz w:val="24"/>
          <w:szCs w:val="24"/>
          <w:highlight w:val="none"/>
        </w:rPr>
      </w:pPr>
      <w:r>
        <w:rPr>
          <w:color w:val="auto"/>
          <w:sz w:val="24"/>
          <w:szCs w:val="24"/>
          <w:highlight w:val="none"/>
        </w:rPr>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30、成交通知书</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30.l 成交结果确定后，代理机构将向成交供应商发出成</w:t>
      </w:r>
      <w:r>
        <w:rPr>
          <w:rFonts w:hint="eastAsia" w:ascii="宋体" w:hAnsi="宋体" w:cs="宋体"/>
          <w:color w:val="auto"/>
          <w:sz w:val="24"/>
          <w:szCs w:val="24"/>
          <w:highlight w:val="none"/>
          <w:lang w:val="en-US" w:eastAsia="zh-CN"/>
        </w:rPr>
        <w:t xml:space="preserve">交</w:t>
      </w:r>
      <w:r>
        <w:rPr>
          <w:rFonts w:hint="eastAsia" w:ascii="宋体" w:hAnsi="宋体" w:cs="宋体"/>
          <w:color w:val="auto"/>
          <w:sz w:val="24"/>
          <w:szCs w:val="24"/>
          <w:highlight w:val="none"/>
        </w:rPr>
        <w:t xml:space="preserve">通知书。</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30.2 成交供应商可在”政府采购交易管理系统（苏采云）”成交通知书下载模块中自行下载成交通知书。</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31、 签订合同</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31.l成交供应商应在成交通知书发出之日起三十日内，按照采购文件确定的事项与采购人签订政府采购合同。</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31.2 采购文件、成交供应商的响应文件及磋商过程中有关澄清、承诺文件均应作为合同附件。</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31.3 合同在“政府采购管理交易系统（苏采云）”中签订，签订合同后，</w:t>
      </w:r>
      <w:r>
        <w:rPr>
          <w:rFonts w:hint="eastAsia" w:ascii="宋体" w:hAnsi="宋体" w:cs="宋体"/>
          <w:i/>
          <w:iCs/>
          <w:color w:val="auto"/>
          <w:sz w:val="24"/>
          <w:szCs w:val="24"/>
          <w:highlight w:val="none"/>
          <w:u w:val="single"/>
        </w:rPr>
        <w:t xml:space="preserve">成交供应商不得将货物或服务及其他服务进行转包</w:t>
      </w:r>
      <w:r>
        <w:rPr>
          <w:rFonts w:hint="eastAsia" w:ascii="宋体" w:hAnsi="宋体" w:cs="宋体"/>
          <w:color w:val="auto"/>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32、其他</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32.1 依据《政府采购促进中小企业发展管理办法》享受享受扶持政策获得政府采购合</w:t>
      </w:r>
      <w:r>
        <w:rPr>
          <w:rFonts w:hint="eastAsia" w:ascii="宋体" w:hAnsi="宋体" w:eastAsia="宋体" w:cs="宋体"/>
          <w:color w:val="auto"/>
          <w:sz w:val="24"/>
          <w:szCs w:val="24"/>
          <w:highlight w:val="none"/>
        </w:rPr>
        <w:t xml:space="preserve">同的，小微企业不得将合同分包给大中型企业，中型企业不得将合同分包给大型企业。</w:t>
      </w:r>
      <w:r/>
    </w:p>
    <w:p>
      <w:pPr>
        <w:ind w:firstLine="482"/>
        <w:spacing w:line="240" w:lineRule="auto"/>
        <w:shd w:val="clear" w:color="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33、政府采购政策功能落实</w:t>
      </w:r>
      <w:r/>
    </w:p>
    <w:p>
      <w:pPr>
        <w:ind w:firstLine="480"/>
        <w:spacing w:line="500" w:lineRule="exact"/>
        <w:shd w:val="clear" w:color="auto"/>
        <w:rPr>
          <w:rFonts w:hint="eastAsia" w:ascii="宋体" w:hAnsi="宋体" w:eastAsia="宋体" w:cs="宋体"/>
          <w:color w:val="auto"/>
          <w:sz w:val="24"/>
          <w:szCs w:val="24"/>
          <w:highlight w:val="none"/>
        </w:rPr>
      </w:pPr>
      <w:r/>
      <w:bookmarkStart w:id="32" w:name="EBd9bc59d5f2ed4fb8a64ee2e373d8cc72"/>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 政府采购促进中小企业发展，在政府采购活动中，供应商提供的货物、工程或者服务符合下列情形的，享受中小企业扶持政策：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.5 提供的产品属于信息安全产品的，供应商应当选择经国家认证的信息安全产品投标，并提供由中国信息安全认证中心按国家标准认证颁发的有效认证证书复印件。</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.6 提供的产品属于政府强制采购节能产品的，供应商应当选择依据国家标准中二级能效（水效）指标认证的节能产品投标，并提供有效的节能产品认证证书复印件。</w:t>
      </w:r>
      <w:bookmarkEnd w:id="32"/>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.7提供的产品属于环境标志产品的,供应商应当选择依据相关标准的最新版本认证的环境标志产品投标,并提供有效的环境标志产品认证证书复印件。 </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.8进口产品政策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.9落实政府采购《商品包装政府采购需求标准(试行)》、《快递包装政府采购需求标准（试行）》（财办库〔2020〕123号〕、《绿色数据中心政府采购需求标准（试行）》（财库〔2023]7号）等需求标准。</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.10落实政府采购《绿色建筑和绿色建材政府采购需求标准》（财库〔2022〕35号文）和《政府采购支持绿色建材促进建筑品质提升政策项目实施指南》（财办库〔2023〕52号）文件标准。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.11 支持乡村产业振兴管理：落实《关于运用政府采购政策支持乡村产业振兴的通知》（财库〔2021〕19号）有关要求。</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创新产品采购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pStyle w:val="998"/>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br w:type="page" w:clear="all"/>
      </w:r>
      <w:bookmarkStart w:id="33" w:name="_Toc31087"/>
      <w:r>
        <w:rPr>
          <w:rFonts w:hint="eastAsia" w:ascii="宋体" w:hAnsi="宋体" w:cs="宋体"/>
          <w:color w:val="auto"/>
          <w:highlight w:val="none"/>
        </w:rPr>
        <w:t xml:space="preserve">第三章 合同条款及格式</w:t>
      </w:r>
      <w:bookmarkEnd w:id="33"/>
      <w:r/>
      <w:r/>
    </w:p>
    <w:p>
      <w:pPr>
        <w:ind w:firstLine="643"/>
        <w:jc w:val="center"/>
        <w:shd w:val="clear" w:color="auto"/>
        <w:rPr>
          <w:rFonts w:hint="eastAsia" w:ascii="仿宋" w:hAnsi="仿宋" w:eastAsia="仿宋"/>
          <w:b/>
          <w:color w:val="auto"/>
          <w:sz w:val="36"/>
          <w:szCs w:val="32"/>
          <w:highlight w:val="none"/>
        </w:rPr>
      </w:pPr>
      <w:r/>
      <w:bookmarkStart w:id="34" w:name="_Toc9730_WPSOffice_Level2"/>
      <w:r/>
      <w:bookmarkEnd w:id="34"/>
      <w:r>
        <w:rPr>
          <w:rFonts w:hint="eastAsia" w:ascii="仿宋" w:hAnsi="仿宋" w:eastAsia="仿宋"/>
          <w:b/>
          <w:color w:val="auto"/>
          <w:sz w:val="36"/>
          <w:szCs w:val="32"/>
          <w:highlight w:val="none"/>
        </w:rPr>
        <w:t xml:space="preserve">（参考格式</w:t>
      </w:r>
      <w:r>
        <w:rPr>
          <w:rFonts w:hint="eastAsia" w:ascii="仿宋" w:hAnsi="仿宋" w:eastAsia="仿宋"/>
          <w:color w:val="auto"/>
          <w:sz w:val="36"/>
          <w:szCs w:val="32"/>
          <w:highlight w:val="none"/>
          <w:vertAlign w:val="superscript"/>
        </w:rPr>
        <w:footnoteReference w:id="2"/>
      </w:r>
      <w:r>
        <w:rPr>
          <w:rFonts w:hint="eastAsia" w:ascii="仿宋" w:hAnsi="仿宋" w:eastAsia="仿宋"/>
          <w:b/>
          <w:color w:val="auto"/>
          <w:sz w:val="36"/>
          <w:szCs w:val="32"/>
          <w:highlight w:val="none"/>
        </w:rPr>
        <w:t xml:space="preserve">）</w:t>
      </w:r>
      <w:r/>
    </w:p>
    <w:p>
      <w:pPr>
        <w:ind w:firstLine="0"/>
        <w:spacing w:line="200" w:lineRule="exact"/>
        <w:shd w:val="clear" w:color="auto"/>
        <w:rPr>
          <w:rFonts w:hint="eastAsia"/>
          <w:color w:val="auto"/>
          <w:highlight w:val="none"/>
        </w:rPr>
      </w:pPr>
      <w:r>
        <w:rPr>
          <w:rFonts w:hint="eastAsia"/>
          <w:color w:val="auto"/>
          <w:highlight w:val="none"/>
        </w:rPr>
      </w:r>
      <w:r/>
    </w:p>
    <w:p>
      <w:pPr>
        <w:pStyle w:val="714"/>
        <w:ind w:right="2640" w:firstLine="0"/>
        <w:spacing w:before="0" w:after="0" w:line="840" w:lineRule="atLeast"/>
        <w:shd w:val="clear" w:color="auto"/>
        <w:rPr>
          <w:rFonts w:hint="eastAsia"/>
          <w:bCs/>
          <w:color w:val="auto"/>
          <w:sz w:val="32"/>
          <w:szCs w:val="32"/>
          <w:highlight w:val="none"/>
          <w14:ligatures w14:val="standardContextual"/>
        </w:rPr>
      </w:pPr>
      <w:r>
        <w:rPr>
          <w:rFonts w:hint="eastAsia"/>
          <w:b w:val="0"/>
          <w:color w:val="auto"/>
          <w:sz w:val="36"/>
          <w:szCs w:val="36"/>
          <w:highlight w:val="none"/>
          <w14:ligatures w14:val="standardContextual"/>
        </w:rPr>
        <w:t xml:space="preserve"> </w:t>
      </w:r>
      <w:r>
        <w:rPr>
          <w:b w:val="0"/>
          <w:color w:val="auto"/>
          <w:sz w:val="36"/>
          <w:szCs w:val="36"/>
          <w:highlight w:val="none"/>
          <w14:ligatures w14:val="standardContextual"/>
        </w:rPr>
        <w:t xml:space="preserve">         </w:t>
      </w:r>
      <w:r>
        <w:rPr>
          <w:rFonts w:hint="eastAsia"/>
          <w:b w:val="0"/>
          <w:color w:val="auto"/>
          <w:sz w:val="32"/>
          <w:szCs w:val="32"/>
          <w:highlight w:val="none"/>
          <w14:ligatures w14:val="standardContextual"/>
        </w:rPr>
        <w:t xml:space="preserve"> </w:t>
      </w:r>
      <w:r>
        <w:rPr>
          <w:rFonts w:hint="eastAsia"/>
          <w:bCs/>
          <w:color w:val="auto"/>
          <w:sz w:val="32"/>
          <w:szCs w:val="32"/>
          <w:highlight w:val="none"/>
          <w14:ligatures w14:val="standardContextual"/>
        </w:rPr>
        <w:t xml:space="preserve"> </w:t>
      </w:r>
      <w:bookmarkStart w:id="35" w:name="_Toc25215"/>
      <w:r/>
      <w:bookmarkStart w:id="36" w:name="_Toc29229"/>
      <w:r/>
      <w:bookmarkStart w:id="37" w:name="_Toc164720963"/>
      <w:r>
        <w:rPr>
          <w:rFonts w:hint="eastAsia"/>
          <w:bCs/>
          <w:color w:val="auto"/>
          <w:sz w:val="32"/>
          <w:szCs w:val="32"/>
          <w:highlight w:val="none"/>
          <w14:ligatures w14:val="standardContextual"/>
        </w:rPr>
        <w:t xml:space="preserve">政府采购合同范本（服务类）</w:t>
      </w:r>
      <w:bookmarkEnd w:id="35"/>
      <w:r/>
      <w:bookmarkEnd w:id="36"/>
      <w:r/>
      <w:bookmarkEnd w:id="37"/>
      <w:r/>
      <w:r/>
    </w:p>
    <w:p>
      <w:pPr>
        <w:spacing w:line="240" w:lineRule="auto"/>
        <w:shd w:val="clear" w:color="auto"/>
        <w:widowControl/>
        <w:rPr>
          <w:rFonts w:hint="eastAsia" w:ascii="微软雅黑" w:hAnsi="微软雅黑" w:eastAsia="微软雅黑"/>
          <w:color w:val="auto"/>
          <w:sz w:val="22"/>
          <w:szCs w:val="22"/>
          <w:highlight w:val="none"/>
          <w:shd w:val="clear" w:color="auto" w:fill="ffffff"/>
          <w14:ligatures w14:val="none"/>
        </w:rPr>
      </w:pPr>
      <w:r>
        <w:rPr>
          <w:rFonts w:hint="eastAsia" w:ascii="微软雅黑" w:hAnsi="微软雅黑" w:eastAsia="微软雅黑"/>
          <w:color w:val="auto"/>
          <w:sz w:val="22"/>
          <w:szCs w:val="22"/>
          <w:highlight w:val="none"/>
          <w:shd w:val="clear" w:color="auto" w:fill="ffffff"/>
          <w14:ligatures w14:val="none"/>
        </w:rPr>
      </w:r>
      <w:r/>
    </w:p>
    <w:p>
      <w:pPr>
        <w:spacing w:line="240" w:lineRule="auto"/>
        <w:shd w:val="clear" w:color="auto"/>
        <w:widowControl/>
        <w:rPr>
          <w:rFonts w:hint="eastAsia"/>
          <w:color w:val="auto"/>
          <w:sz w:val="22"/>
          <w:szCs w:val="22"/>
          <w:highlight w:val="none"/>
          <w14:ligatures w14:val="none"/>
        </w:rPr>
      </w:pPr>
      <w:r>
        <w:rPr>
          <w:rFonts w:hint="eastAsia" w:ascii="仿宋" w:hAnsi="仿宋" w:eastAsia="仿宋"/>
          <w:color w:val="auto"/>
          <w:sz w:val="28"/>
          <w:szCs w:val="28"/>
          <w:highlight w:val="none"/>
          <w:shd w:val="clear" w:color="auto" w:fill="ffffff"/>
          <w14:ligatures w14:val="none"/>
        </w:rPr>
        <w:t xml:space="preserve">合同编号：</w:t>
      </w:r>
      <w:r>
        <w:rPr>
          <w:rFonts w:hint="eastAsia" w:ascii="微软雅黑" w:hAnsi="微软雅黑" w:eastAsia="微软雅黑"/>
          <w:color w:val="auto"/>
          <w:sz w:val="22"/>
          <w:szCs w:val="22"/>
          <w:highlight w:val="none"/>
          <w:shd w:val="clear" w:color="auto" w:fill="ffffff"/>
          <w14:ligatures w14:val="none"/>
        </w:rPr>
        <w:t xml:space="preserve">                                        </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签订地点：</w:t>
      </w:r>
      <w:r>
        <w:rPr>
          <w:rFonts w:hint="eastAsia" w:ascii="微软雅黑" w:hAnsi="微软雅黑" w:eastAsia="微软雅黑"/>
          <w:color w:val="auto"/>
          <w:sz w:val="22"/>
          <w:szCs w:val="22"/>
          <w:highlight w:val="none"/>
          <w14:ligatures w14:val="none"/>
        </w:rPr>
        <w:t xml:space="preserve">                                       </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签订时间：</w:t>
      </w:r>
      <w:r>
        <w:rPr>
          <w:rFonts w:hint="eastAsia" w:ascii="微软雅黑" w:hAnsi="微软雅黑" w:eastAsia="微软雅黑"/>
          <w:color w:val="auto"/>
          <w:sz w:val="22"/>
          <w:szCs w:val="22"/>
          <w:highlight w:val="none"/>
          <w14:ligatures w14:val="none"/>
        </w:rPr>
        <w:t xml:space="preserve">                                       </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采购人（甲方）：</w:t>
      </w:r>
      <w:r>
        <w:rPr>
          <w:rFonts w:hint="eastAsia" w:ascii="仿宋" w:hAnsi="仿宋" w:eastAsia="仿宋"/>
          <w:color w:val="auto"/>
          <w:sz w:val="28"/>
          <w:szCs w:val="28"/>
          <w:highlight w:val="none"/>
          <w:lang w:val="en-US" w:eastAsia="zh-CN"/>
          <w14:ligatures w14:val="none"/>
        </w:rPr>
        <w:t xml:space="preserve">南京市江宁医院</w:t>
      </w:r>
      <w:r>
        <w:rPr>
          <w:rFonts w:hint="eastAsia" w:ascii="微软雅黑" w:hAnsi="微软雅黑" w:eastAsia="微软雅黑"/>
          <w:color w:val="auto"/>
          <w:sz w:val="22"/>
          <w:szCs w:val="22"/>
          <w:highlight w:val="none"/>
          <w14:ligatures w14:val="none"/>
        </w:rPr>
        <w:t xml:space="preserve">                             </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供应商（乙方）：</w:t>
      </w:r>
      <w:r>
        <w:rPr>
          <w:rFonts w:hint="eastAsia" w:ascii="微软雅黑" w:hAnsi="微软雅黑" w:eastAsia="微软雅黑"/>
          <w:color w:val="auto"/>
          <w:sz w:val="22"/>
          <w:szCs w:val="22"/>
          <w:highlight w:val="none"/>
          <w14:ligatures w14:val="none"/>
        </w:rPr>
        <w:t xml:space="preserve">                                 </w:t>
      </w:r>
      <w:r/>
    </w:p>
    <w:p>
      <w:pPr>
        <w:ind w:firstLine="640"/>
        <w:spacing w:line="580" w:lineRule="atLeast"/>
        <w:shd w:val="clear" w:color="auto"/>
        <w:widowControl/>
        <w:rPr>
          <w:rFonts w:hint="eastAsia" w:ascii="仿宋" w:hAnsi="仿宋" w:eastAsia="仿宋"/>
          <w:color w:val="auto"/>
          <w:sz w:val="28"/>
          <w:szCs w:val="28"/>
          <w:highlight w:val="none"/>
          <w14:ligatures w14:val="none"/>
        </w:rPr>
      </w:pPr>
      <w:r>
        <w:rPr>
          <w:rFonts w:hint="eastAsia" w:ascii="仿宋" w:hAnsi="仿宋" w:eastAsia="仿宋"/>
          <w:color w:val="auto"/>
          <w:sz w:val="28"/>
          <w:szCs w:val="28"/>
          <w:highlight w:val="none"/>
          <w14:ligatures w14:val="none"/>
        </w:rPr>
        <w:t xml:space="preserve">依据《中华人民共和国民法典》等相关法律法规，以及</w:t>
      </w:r>
      <w:r>
        <w:rPr>
          <w:rFonts w:hint="eastAsia" w:ascii="仿宋" w:hAnsi="仿宋" w:eastAsia="仿宋"/>
          <w:color w:val="auto"/>
          <w:sz w:val="28"/>
          <w:szCs w:val="28"/>
          <w:highlight w:val="none"/>
          <w:u w:val="single"/>
          <w14:ligatures w14:val="none"/>
        </w:rPr>
        <w:t xml:space="preserve">             </w:t>
      </w:r>
      <w:r>
        <w:rPr>
          <w:rFonts w:hint="eastAsia" w:ascii="仿宋" w:hAnsi="仿宋" w:eastAsia="仿宋"/>
          <w:color w:val="auto"/>
          <w:sz w:val="28"/>
          <w:szCs w:val="28"/>
          <w:highlight w:val="none"/>
          <w14:ligatures w14:val="none"/>
        </w:rPr>
        <w:t xml:space="preserve">采购 项目（项目编号：</w:t>
      </w:r>
      <w:r>
        <w:rPr>
          <w:rFonts w:hint="eastAsia" w:ascii="仿宋" w:hAnsi="仿宋" w:eastAsia="仿宋"/>
          <w:color w:val="auto"/>
          <w:sz w:val="28"/>
          <w:szCs w:val="28"/>
          <w:highlight w:val="none"/>
          <w:u w:val="single"/>
          <w14:ligatures w14:val="none"/>
        </w:rPr>
        <w:t xml:space="preserve">            </w:t>
      </w:r>
      <w:r>
        <w:rPr>
          <w:rFonts w:hint="eastAsia" w:ascii="仿宋" w:hAnsi="仿宋" w:eastAsia="仿宋"/>
          <w:color w:val="auto"/>
          <w:sz w:val="28"/>
          <w:szCs w:val="28"/>
          <w:highlight w:val="none"/>
          <w14:ligatures w14:val="none"/>
        </w:rPr>
        <w:t xml:space="preserve">）的《采购文件》，乙方的《响应文件》及《成交通知书》，甲、乙双方同意签订本合同。详细技术说明及其他有关合同项目的特定信息由合同附件予以说明，合同附件及本项目的《采购文件》、《响应文件》、《成交通知书》等均为本合同的组成部分。</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黑体" w:hAnsi="黑体" w:eastAsia="黑体"/>
          <w:color w:val="auto"/>
          <w:sz w:val="28"/>
          <w:szCs w:val="28"/>
          <w:highlight w:val="none"/>
          <w14:ligatures w14:val="none"/>
        </w:rPr>
        <w:t xml:space="preserve">一、项目基本情况：</w:t>
      </w:r>
      <w:r/>
    </w:p>
    <w:p>
      <w:pPr>
        <w:ind w:left="636" w:firstLine="2931"/>
        <w:spacing w:line="580" w:lineRule="atLeast"/>
        <w:shd w:val="clear" w:color="auto"/>
        <w:widowControl/>
        <w:rPr>
          <w:rFonts w:hint="eastAsia" w:ascii="仿宋" w:hAnsi="仿宋" w:eastAsia="仿宋"/>
          <w:color w:val="auto"/>
          <w:sz w:val="28"/>
          <w:szCs w:val="28"/>
          <w:highlight w:val="none"/>
          <w14:ligatures w14:val="none"/>
        </w:rPr>
      </w:pPr>
      <w:r>
        <w:rPr>
          <w:rFonts w:hint="eastAsia" w:ascii="仿宋" w:hAnsi="仿宋" w:eastAsia="仿宋"/>
          <w:color w:val="auto"/>
          <w:sz w:val="28"/>
          <w:szCs w:val="28"/>
          <w:highlight w:val="none"/>
          <w:lang w:val="en-US" w:eastAsia="zh-CN"/>
          <w14:ligatures w14:val="none"/>
        </w:rPr>
        <w:t xml:space="preserve">待确定</w:t>
      </w:r>
      <w:r/>
    </w:p>
    <w:p>
      <w:pPr>
        <w:ind w:left="530" w:hanging="320"/>
        <w:spacing w:line="580" w:lineRule="atLeast"/>
        <w:shd w:val="clear" w:color="auto"/>
        <w:widowControl/>
        <w:rPr>
          <w:rFonts w:hint="eastAsia" w:ascii="微软雅黑" w:hAnsi="微软雅黑" w:eastAsia="微软雅黑"/>
          <w:color w:val="auto"/>
          <w:sz w:val="22"/>
          <w:szCs w:val="22"/>
          <w:highlight w:val="none"/>
          <w14:ligatures w14:val="none"/>
        </w:rPr>
      </w:pPr>
      <w:r>
        <w:rPr>
          <w:rFonts w:ascii="Calibri" w:hAnsi="Calibri" w:eastAsia="仿宋" w:cs="Calibri"/>
          <w:color w:val="auto"/>
          <w:sz w:val="28"/>
          <w:szCs w:val="28"/>
          <w:highlight w:val="none"/>
          <w14:ligatures w14:val="none"/>
        </w:rPr>
        <w:t xml:space="preserve">       </w:t>
      </w:r>
      <w:r>
        <w:rPr>
          <w:rFonts w:hint="eastAsia" w:ascii="黑体" w:hAnsi="黑体" w:eastAsia="黑体"/>
          <w:color w:val="auto"/>
          <w:sz w:val="28"/>
          <w:szCs w:val="28"/>
          <w:highlight w:val="none"/>
          <w14:ligatures w14:val="none"/>
        </w:rPr>
        <w:t xml:space="preserve">二、服务内容与质量标准</w:t>
      </w:r>
      <w:r/>
    </w:p>
    <w:p>
      <w:pPr>
        <w:ind w:firstLine="640"/>
        <w:spacing w:line="580" w:lineRule="atLeast"/>
        <w:shd w:val="clear" w:color="auto"/>
        <w:widowControl/>
        <w:rPr>
          <w:rFonts w:hint="eastAsia" w:ascii="仿宋" w:hAnsi="仿宋" w:eastAsia="仿宋"/>
          <w:color w:val="auto"/>
          <w:sz w:val="28"/>
          <w:szCs w:val="28"/>
          <w:highlight w:val="none"/>
          <w14:ligatures w14:val="none"/>
        </w:rPr>
      </w:pPr>
      <w:r>
        <w:rPr>
          <w:rFonts w:hint="eastAsia" w:ascii="仿宋" w:hAnsi="仿宋" w:eastAsia="仿宋"/>
          <w:color w:val="auto"/>
          <w:sz w:val="28"/>
          <w:szCs w:val="28"/>
          <w:highlight w:val="none"/>
          <w14:ligatures w14:val="none"/>
        </w:rPr>
        <w:t xml:space="preserve">1.投标人提供的服务应符合国家、地方及相关政府管理部门和行业与本项目有关的各项服务标准、规范、规章要求，并满足采购人实际需求，标准、规范等不一致的，以要求高的为准。</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黑体" w:hAnsi="黑体" w:eastAsia="黑体"/>
          <w:color w:val="auto"/>
          <w:sz w:val="28"/>
          <w:szCs w:val="28"/>
          <w:highlight w:val="none"/>
          <w14:ligatures w14:val="none"/>
        </w:rPr>
        <w:t xml:space="preserve">三、支付方式：</w:t>
      </w:r>
      <w:r/>
    </w:p>
    <w:p>
      <w:pPr>
        <w:ind w:firstLine="640"/>
        <w:spacing w:line="580" w:lineRule="atLeast"/>
        <w:shd w:val="clear" w:color="auto"/>
        <w:widowControl/>
        <w:rPr>
          <w:rFonts w:hint="default" w:ascii="仿宋" w:hAnsi="仿宋" w:eastAsia="仿宋"/>
          <w:color w:val="auto"/>
          <w:sz w:val="28"/>
          <w:szCs w:val="28"/>
          <w:highlight w:val="none"/>
          <w:lang w:val="en-US" w:eastAsia="zh-CN"/>
          <w14:ligatures w14:val="none"/>
        </w:rPr>
      </w:pPr>
      <w:r>
        <w:rPr>
          <w:rFonts w:hint="eastAsia" w:ascii="仿宋" w:hAnsi="仿宋" w:eastAsia="仿宋"/>
          <w:color w:val="auto"/>
          <w:sz w:val="28"/>
          <w:szCs w:val="28"/>
          <w:highlight w:val="none"/>
          <w:lang w:val="en-US" w:eastAsia="zh-CN"/>
          <w14:ligatures w14:val="none"/>
        </w:rPr>
        <w:t xml:space="preserve">详见采购文件</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黑体" w:hAnsi="黑体" w:eastAsia="黑体"/>
          <w:color w:val="auto"/>
          <w:sz w:val="28"/>
          <w:szCs w:val="28"/>
          <w:highlight w:val="none"/>
          <w14:ligatures w14:val="none"/>
        </w:rPr>
        <w:t xml:space="preserve">四、知识产权</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乙方应保证所提供的服务或其任何一部分均不会侵犯任何第三方的知识产权。</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黑体" w:hAnsi="黑体" w:eastAsia="黑体"/>
          <w:color w:val="auto"/>
          <w:sz w:val="28"/>
          <w:szCs w:val="28"/>
          <w:highlight w:val="none"/>
          <w14:ligatures w14:val="none"/>
        </w:rPr>
        <w:t xml:space="preserve">五、无权利瑕疵担保条款</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乙方保证所提供的服务的所有权完全属于乙方且无任何抵押、查封等权利瑕疵。如有权利瑕疵的，视为乙方违约。乙方应负担由此而产生的一切损失。</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黑体" w:hAnsi="黑体" w:eastAsia="黑体"/>
          <w:color w:val="auto"/>
          <w:sz w:val="28"/>
          <w:szCs w:val="28"/>
          <w:highlight w:val="none"/>
          <w14:ligatures w14:val="none"/>
        </w:rPr>
        <w:t xml:space="preserve">六、履约保证金</w:t>
      </w:r>
      <w:r/>
    </w:p>
    <w:p>
      <w:pPr>
        <w:ind w:firstLine="640"/>
        <w:spacing w:line="580" w:lineRule="atLeast"/>
        <w:shd w:val="clear" w:color="auto"/>
        <w:widowControl/>
        <w:rPr>
          <w:rFonts w:hint="eastAsia" w:ascii="仿宋" w:hAnsi="仿宋" w:eastAsia="仿宋"/>
          <w:color w:val="auto"/>
          <w:sz w:val="28"/>
          <w:szCs w:val="28"/>
          <w:highlight w:val="none"/>
          <w14:ligatures w14:val="none"/>
        </w:rPr>
      </w:pPr>
      <w:r>
        <w:rPr>
          <w:rFonts w:hint="eastAsia" w:ascii="仿宋" w:hAnsi="仿宋" w:eastAsia="仿宋"/>
          <w:color w:val="auto"/>
          <w:sz w:val="28"/>
          <w:szCs w:val="28"/>
          <w:highlight w:val="none"/>
          <w14:ligatures w14:val="none"/>
        </w:rPr>
        <w:t xml:space="preserve">无</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黑体" w:hAnsi="黑体" w:eastAsia="黑体"/>
          <w:color w:val="auto"/>
          <w:sz w:val="28"/>
          <w:szCs w:val="28"/>
          <w:highlight w:val="none"/>
          <w14:ligatures w14:val="none"/>
        </w:rPr>
        <w:t xml:space="preserve">七、甲方的权利和义务</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1. </w:t>
      </w:r>
      <w:r>
        <w:rPr>
          <w:rFonts w:hint="eastAsia" w:ascii="仿宋" w:hAnsi="仿宋" w:eastAsia="仿宋"/>
          <w:color w:val="auto"/>
          <w:sz w:val="28"/>
          <w:szCs w:val="28"/>
          <w:highlight w:val="none"/>
          <w14:ligatures w14:val="none"/>
        </w:rPr>
        <w:t xml:space="preserve">甲方有权对合同规定范围内乙方的服务行为进行监督和检查，拥有监管权。有权定期核对乙方提供服务所配备的人员数量等。对甲方认为不合理的部分有权下达整改通知书，并要求乙方限期整改。</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2. </w:t>
      </w:r>
      <w:r>
        <w:rPr>
          <w:rFonts w:hint="eastAsia" w:ascii="仿宋" w:hAnsi="仿宋" w:eastAsia="仿宋"/>
          <w:color w:val="auto"/>
          <w:sz w:val="28"/>
          <w:szCs w:val="28"/>
          <w:highlight w:val="none"/>
          <w14:ligatures w14:val="none"/>
        </w:rPr>
        <w:t xml:space="preserve">甲方有权依据双方签订的考评办法对乙方提供的服务进行定期考评。当考评结果未达到标准时，有权依据考评办法约定的数额扣除履约保证金。</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3. </w:t>
      </w:r>
      <w:r>
        <w:rPr>
          <w:rFonts w:hint="eastAsia" w:ascii="仿宋" w:hAnsi="仿宋" w:eastAsia="仿宋"/>
          <w:color w:val="auto"/>
          <w:sz w:val="28"/>
          <w:szCs w:val="28"/>
          <w:highlight w:val="none"/>
          <w:lang w:val="en-US" w:eastAsia="zh-CN"/>
          <w14:ligatures w14:val="none"/>
        </w:rPr>
        <w:t xml:space="preserve">甲方有权</w:t>
      </w:r>
      <w:r>
        <w:rPr>
          <w:rFonts w:hint="eastAsia" w:ascii="仿宋" w:hAnsi="仿宋" w:eastAsia="仿宋"/>
          <w:color w:val="auto"/>
          <w:sz w:val="28"/>
          <w:szCs w:val="28"/>
          <w:highlight w:val="none"/>
          <w14:ligatures w14:val="none"/>
        </w:rPr>
        <w:t xml:space="preserve">检查监督乙方管理工作的实施及制度的执行情况。</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黑体" w:hAnsi="黑体" w:eastAsia="黑体"/>
          <w:color w:val="auto"/>
          <w:sz w:val="28"/>
          <w:szCs w:val="28"/>
          <w:highlight w:val="none"/>
          <w14:ligatures w14:val="none"/>
        </w:rPr>
        <w:t xml:space="preserve">八、乙方的权利和义务</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1. </w:t>
      </w:r>
      <w:r>
        <w:rPr>
          <w:rFonts w:hint="eastAsia" w:ascii="仿宋" w:hAnsi="仿宋" w:eastAsia="仿宋"/>
          <w:color w:val="auto"/>
          <w:sz w:val="28"/>
          <w:szCs w:val="28"/>
          <w:highlight w:val="none"/>
          <w14:ligatures w14:val="none"/>
        </w:rPr>
        <w:t xml:space="preserve">对本合同规定的委托服务范围内的项目享有管理权及服务义务。</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lang w:val="en-US" w:eastAsia="zh-CN"/>
          <w14:ligatures w14:val="none"/>
        </w:rPr>
        <w:t xml:space="preserve">2</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及时向甲方通告本项目服务范围内有关服务的重大事项，及时配合处理投诉。</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lang w:val="en-US" w:eastAsia="zh-CN"/>
          <w14:ligatures w14:val="none"/>
        </w:rPr>
        <w:t xml:space="preserve">3</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接受项目行业管理部门及政府有关部门的指导，接受甲方的监督。</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lang w:val="en-US" w:eastAsia="zh-CN"/>
          <w14:ligatures w14:val="none"/>
        </w:rPr>
        <w:t xml:space="preserve">4</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国家法律、法规所规定由乙方承担的其它责任。</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黑体" w:hAnsi="黑体" w:eastAsia="黑体"/>
          <w:color w:val="auto"/>
          <w:sz w:val="28"/>
          <w:szCs w:val="28"/>
          <w:highlight w:val="none"/>
          <w14:ligatures w14:val="none"/>
        </w:rPr>
        <w:t xml:space="preserve">九、违约责任</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1. </w:t>
      </w:r>
      <w:r>
        <w:rPr>
          <w:rFonts w:hint="eastAsia" w:ascii="仿宋" w:hAnsi="仿宋" w:eastAsia="仿宋"/>
          <w:color w:val="auto"/>
          <w:sz w:val="28"/>
          <w:szCs w:val="28"/>
          <w:highlight w:val="none"/>
          <w14:ligatures w14:val="none"/>
        </w:rPr>
        <w:t xml:space="preserve">甲乙双方必须遵守本合同并执行合同中的各项规定，保证本合同的正常履行。</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2. </w:t>
      </w:r>
      <w:r>
        <w:rPr>
          <w:rFonts w:hint="eastAsia" w:ascii="仿宋" w:hAnsi="仿宋" w:eastAsia="仿宋"/>
          <w:color w:val="auto"/>
          <w:sz w:val="28"/>
          <w:szCs w:val="28"/>
          <w:highlight w:val="none"/>
          <w14:ligatures w14:val="none"/>
        </w:rPr>
        <w:t xml:space="preserve">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r/>
    </w:p>
    <w:p>
      <w:pPr>
        <w:ind w:firstLine="640"/>
        <w:spacing w:line="580" w:lineRule="atLeast"/>
        <w:shd w:val="clear" w:color="auto"/>
        <w:widowControl/>
        <w:rPr>
          <w:rFonts w:hint="eastAsia" w:ascii="仿宋" w:hAnsi="仿宋" w:eastAsia="仿宋"/>
          <w:color w:val="auto"/>
          <w:sz w:val="28"/>
          <w:szCs w:val="28"/>
          <w:highlight w:val="none"/>
          <w14:ligatures w14:val="none"/>
        </w:rPr>
      </w:pPr>
      <w:r>
        <w:rPr>
          <w:rFonts w:hint="eastAsia" w:ascii="仿宋" w:hAnsi="仿宋" w:eastAsia="仿宋"/>
          <w:color w:val="auto"/>
          <w:sz w:val="28"/>
          <w:szCs w:val="28"/>
          <w:highlight w:val="none"/>
          <w14:ligatures w14:val="none"/>
        </w:rPr>
        <w:t xml:space="preserve">3．因一方违约导致纠纷的，违约方除承担赔偿损失的违约责任外，还需负担守约方为维护合同权益所支出的包括但不限于诉讼费、律师费、交通费、鉴定费等维权费用。</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黑体" w:hAnsi="黑体" w:eastAsia="黑体"/>
          <w:color w:val="auto"/>
          <w:sz w:val="28"/>
          <w:szCs w:val="28"/>
          <w:highlight w:val="none"/>
          <w14:ligatures w14:val="none"/>
        </w:rPr>
        <w:t xml:space="preserve">十、不可抗力事件处理</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1. </w:t>
      </w:r>
      <w:r>
        <w:rPr>
          <w:rFonts w:hint="eastAsia" w:ascii="仿宋" w:hAnsi="仿宋" w:eastAsia="仿宋"/>
          <w:color w:val="auto"/>
          <w:sz w:val="28"/>
          <w:szCs w:val="28"/>
          <w:highlight w:val="none"/>
          <w14:ligatures w14:val="none"/>
        </w:rPr>
        <w:t xml:space="preserve">在合同有效期内，任何一方因不可抗力事件导致不能履行合同，则合同履行期可延长，其延长期与不可抗力影响期相同。</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2. </w:t>
      </w:r>
      <w:r>
        <w:rPr>
          <w:rFonts w:hint="eastAsia" w:ascii="仿宋" w:hAnsi="仿宋" w:eastAsia="仿宋"/>
          <w:color w:val="auto"/>
          <w:sz w:val="28"/>
          <w:szCs w:val="28"/>
          <w:highlight w:val="none"/>
          <w14:ligatures w14:val="none"/>
        </w:rPr>
        <w:t xml:space="preserve">不可抗力事件发生后，应立即通知对方，并寄送有关权威机构出具的证明。</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3. </w:t>
      </w:r>
      <w:r>
        <w:rPr>
          <w:rFonts w:hint="eastAsia" w:ascii="仿宋" w:hAnsi="仿宋" w:eastAsia="仿宋"/>
          <w:color w:val="auto"/>
          <w:sz w:val="28"/>
          <w:szCs w:val="28"/>
          <w:highlight w:val="none"/>
          <w14:ligatures w14:val="none"/>
        </w:rPr>
        <w:t xml:space="preserve">不可抗力事件延续</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天以上，双方应通过友好协商，确定是否继续履行合同。</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黑体" w:hAnsi="黑体" w:eastAsia="黑体"/>
          <w:color w:val="auto"/>
          <w:sz w:val="28"/>
          <w:szCs w:val="28"/>
          <w:highlight w:val="none"/>
          <w14:ligatures w14:val="none"/>
        </w:rPr>
        <w:t xml:space="preserve">十一、合同纠纷的解决方式</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1. </w:t>
      </w:r>
      <w:r>
        <w:rPr>
          <w:rFonts w:hint="eastAsia" w:ascii="仿宋" w:hAnsi="仿宋" w:eastAsia="仿宋"/>
          <w:color w:val="auto"/>
          <w:sz w:val="28"/>
          <w:szCs w:val="28"/>
          <w:highlight w:val="none"/>
          <w14:ligatures w14:val="none"/>
        </w:rPr>
        <w:t xml:space="preserve">在执行本合同中发生的或与本合同有关的争端，双方应通过友好协商解决，经协商在</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天内不能达成协议时，任何一方均可以向</w:t>
      </w:r>
      <w:r>
        <w:rPr>
          <w:rFonts w:ascii="Calibri" w:hAnsi="Calibri" w:eastAsia="仿宋" w:cs="Calibri"/>
          <w:color w:val="auto"/>
          <w:sz w:val="28"/>
          <w:szCs w:val="28"/>
          <w:highlight w:val="none"/>
          <w14:ligatures w14:val="none"/>
        </w:rPr>
        <w:t xml:space="preserve"> </w:t>
      </w:r>
      <w:r>
        <w:rPr>
          <w:rFonts w:hint="eastAsia" w:ascii="Calibri" w:hAnsi="Calibri" w:eastAsia="仿宋" w:cs="Calibri"/>
          <w:color w:val="auto"/>
          <w:sz w:val="28"/>
          <w:szCs w:val="28"/>
          <w:highlight w:val="none"/>
          <w:lang w:val="en-US" w:eastAsia="zh-CN"/>
          <w14:ligatures w14:val="none"/>
        </w:rPr>
        <w:t xml:space="preserve">甲方</w:t>
      </w:r>
      <w:r>
        <w:rPr>
          <w:rFonts w:hint="eastAsia" w:ascii="仿宋" w:hAnsi="仿宋" w:eastAsia="仿宋"/>
          <w:color w:val="auto"/>
          <w:sz w:val="28"/>
          <w:szCs w:val="28"/>
          <w:highlight w:val="none"/>
          <w14:ligatures w14:val="none"/>
        </w:rPr>
        <w:t xml:space="preserve">所在地人民法院起诉讼。</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2. </w:t>
      </w:r>
      <w:r>
        <w:rPr>
          <w:rFonts w:hint="eastAsia" w:ascii="仿宋" w:hAnsi="仿宋" w:eastAsia="仿宋"/>
          <w:color w:val="auto"/>
          <w:sz w:val="28"/>
          <w:szCs w:val="28"/>
          <w:highlight w:val="none"/>
          <w14:ligatures w14:val="none"/>
        </w:rPr>
        <w:t xml:space="preserve">在诉讼期间，除争议部分外，本合同其他部分继续执行。</w:t>
      </w:r>
      <w:r>
        <w:rPr>
          <w:rFonts w:hint="eastAsia" w:ascii="微软雅黑" w:hAnsi="微软雅黑" w:eastAsia="微软雅黑"/>
          <w:color w:val="auto"/>
          <w:sz w:val="22"/>
          <w:szCs w:val="22"/>
          <w:highlight w:val="none"/>
          <w14:ligatures w14:val="none"/>
        </w:rPr>
        <w:t xml:space="preserve"> </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黑体" w:hAnsi="黑体" w:eastAsia="黑体"/>
          <w:color w:val="auto"/>
          <w:sz w:val="28"/>
          <w:szCs w:val="28"/>
          <w:highlight w:val="none"/>
          <w14:ligatures w14:val="none"/>
        </w:rPr>
        <w:t xml:space="preserve">十二、合同生效及其他</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1. </w:t>
      </w:r>
      <w:r>
        <w:rPr>
          <w:rFonts w:hint="eastAsia" w:ascii="仿宋" w:hAnsi="仿宋" w:eastAsia="仿宋"/>
          <w:color w:val="auto"/>
          <w:sz w:val="28"/>
          <w:szCs w:val="28"/>
          <w:highlight w:val="none"/>
          <w14:ligatures w14:val="none"/>
        </w:rPr>
        <w:t xml:space="preserve">合同经双方法定代表人或授权委托代理人签字并加盖单位公章后生效。</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2. </w:t>
      </w:r>
      <w:r>
        <w:rPr>
          <w:rFonts w:hint="eastAsia" w:ascii="仿宋" w:hAnsi="仿宋" w:eastAsia="仿宋"/>
          <w:color w:val="auto"/>
          <w:sz w:val="28"/>
          <w:szCs w:val="28"/>
          <w:highlight w:val="none"/>
          <w14:ligatures w14:val="none"/>
        </w:rPr>
        <w:t xml:space="preserve">合同执行中涉及采购资金和采购内容修改或补充的，须签书面补充协议报政府采购监督管理部门备案，方可作为主合同不可分割的一部分。</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3. </w:t>
      </w:r>
      <w:r>
        <w:rPr>
          <w:rFonts w:hint="eastAsia" w:ascii="仿宋" w:hAnsi="仿宋" w:eastAsia="仿宋"/>
          <w:color w:val="auto"/>
          <w:sz w:val="28"/>
          <w:szCs w:val="28"/>
          <w:highlight w:val="none"/>
          <w14:ligatures w14:val="none"/>
        </w:rPr>
        <w:t xml:space="preserve">双方约定以下地址及联系方式为本合同履行及纠纷解决时的送达信息：</w:t>
      </w:r>
      <w:r/>
    </w:p>
    <w:p>
      <w:pPr>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甲方：联系地址：</w:t>
      </w:r>
      <w:r>
        <w:rPr>
          <w:rFonts w:ascii="Calibri" w:hAnsi="Calibri" w:eastAsia="仿宋" w:cs="Calibri"/>
          <w:color w:val="auto"/>
          <w:sz w:val="28"/>
          <w:szCs w:val="28"/>
          <w:highlight w:val="none"/>
          <w14:ligatures w14:val="none"/>
        </w:rPr>
        <w:t xml:space="preserve">                                  </w:t>
      </w:r>
      <w:r>
        <w:rPr>
          <w:rFonts w:hint="eastAsia" w:ascii="仿宋" w:hAnsi="仿宋" w:eastAsia="仿宋"/>
          <w:color w:val="auto"/>
          <w:sz w:val="28"/>
          <w:szCs w:val="28"/>
          <w:highlight w:val="none"/>
          <w14:ligatures w14:val="none"/>
        </w:rPr>
        <w:t xml:space="preserve">，</w:t>
      </w:r>
      <w:r/>
    </w:p>
    <w:p>
      <w:pPr>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联系人：</w:t>
      </w:r>
      <w:r>
        <w:rPr>
          <w:rFonts w:ascii="Calibri" w:hAnsi="Calibri" w:eastAsia="仿宋" w:cs="Calibri"/>
          <w:color w:val="auto"/>
          <w:sz w:val="28"/>
          <w:szCs w:val="28"/>
          <w:highlight w:val="none"/>
          <w14:ligatures w14:val="none"/>
        </w:rPr>
        <w:t xml:space="preserve">             </w:t>
      </w:r>
      <w:r>
        <w:rPr>
          <w:rFonts w:hint="eastAsia" w:ascii="仿宋" w:hAnsi="仿宋" w:eastAsia="仿宋"/>
          <w:color w:val="auto"/>
          <w:sz w:val="28"/>
          <w:szCs w:val="28"/>
          <w:highlight w:val="none"/>
          <w14:ligatures w14:val="none"/>
        </w:rPr>
        <w:t xml:space="preserve">，</w:t>
      </w:r>
      <w:r>
        <w:rPr>
          <w:rFonts w:ascii="Calibri" w:hAnsi="Calibri" w:eastAsia="仿宋" w:cs="Calibri"/>
          <w:color w:val="auto"/>
          <w:sz w:val="28"/>
          <w:szCs w:val="28"/>
          <w:highlight w:val="none"/>
          <w14:ligatures w14:val="none"/>
        </w:rPr>
        <w:t xml:space="preserve">   </w:t>
      </w:r>
      <w:r>
        <w:rPr>
          <w:rFonts w:hint="eastAsia" w:ascii="仿宋" w:hAnsi="仿宋" w:eastAsia="仿宋"/>
          <w:color w:val="auto"/>
          <w:sz w:val="28"/>
          <w:szCs w:val="28"/>
          <w:highlight w:val="none"/>
          <w14:ligatures w14:val="none"/>
        </w:rPr>
        <w:t xml:space="preserve">联系电话：</w:t>
      </w:r>
      <w:r>
        <w:rPr>
          <w:rFonts w:ascii="Calibri" w:hAnsi="Calibri" w:eastAsia="仿宋" w:cs="Calibri"/>
          <w:color w:val="auto"/>
          <w:sz w:val="28"/>
          <w:szCs w:val="28"/>
          <w:highlight w:val="none"/>
          <w14:ligatures w14:val="none"/>
        </w:rPr>
        <w:t xml:space="preserve">              </w:t>
      </w:r>
      <w:r>
        <w:rPr>
          <w:rFonts w:hint="eastAsia" w:ascii="仿宋" w:hAnsi="仿宋" w:eastAsia="仿宋"/>
          <w:color w:val="auto"/>
          <w:sz w:val="28"/>
          <w:szCs w:val="28"/>
          <w:highlight w:val="none"/>
          <w14:ligatures w14:val="none"/>
        </w:rPr>
        <w:t xml:space="preserve">。</w:t>
      </w:r>
      <w:r>
        <w:rPr>
          <w:rFonts w:ascii="Calibri" w:hAnsi="Calibri" w:eastAsia="仿宋" w:cs="Calibri"/>
          <w:color w:val="auto"/>
          <w:sz w:val="28"/>
          <w:szCs w:val="28"/>
          <w:highlight w:val="none"/>
          <w14:ligatures w14:val="none"/>
        </w:rPr>
        <w:t xml:space="preserve">  </w:t>
      </w:r>
      <w:r/>
    </w:p>
    <w:p>
      <w:pPr>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乙方：联系地址：</w:t>
      </w:r>
      <w:r>
        <w:rPr>
          <w:rFonts w:ascii="Calibri" w:hAnsi="Calibri" w:eastAsia="仿宋" w:cs="Calibri"/>
          <w:color w:val="auto"/>
          <w:sz w:val="28"/>
          <w:szCs w:val="28"/>
          <w:highlight w:val="none"/>
          <w14:ligatures w14:val="none"/>
        </w:rPr>
        <w:t xml:space="preserve">                                   </w:t>
      </w:r>
      <w:r>
        <w:rPr>
          <w:rFonts w:hint="eastAsia" w:ascii="仿宋" w:hAnsi="仿宋" w:eastAsia="仿宋"/>
          <w:color w:val="auto"/>
          <w:sz w:val="28"/>
          <w:szCs w:val="28"/>
          <w:highlight w:val="none"/>
          <w14:ligatures w14:val="none"/>
        </w:rPr>
        <w:t xml:space="preserve">，</w:t>
      </w:r>
      <w:r/>
    </w:p>
    <w:p>
      <w:pPr>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联系人：</w:t>
      </w:r>
      <w:r>
        <w:rPr>
          <w:rFonts w:ascii="Calibri" w:hAnsi="Calibri" w:eastAsia="仿宋" w:cs="Calibri"/>
          <w:color w:val="auto"/>
          <w:sz w:val="28"/>
          <w:szCs w:val="28"/>
          <w:highlight w:val="none"/>
          <w14:ligatures w14:val="none"/>
        </w:rPr>
        <w:t xml:space="preserve">             </w:t>
      </w:r>
      <w:r>
        <w:rPr>
          <w:rFonts w:hint="eastAsia" w:ascii="仿宋" w:hAnsi="仿宋" w:eastAsia="仿宋"/>
          <w:color w:val="auto"/>
          <w:sz w:val="28"/>
          <w:szCs w:val="28"/>
          <w:highlight w:val="none"/>
          <w14:ligatures w14:val="none"/>
        </w:rPr>
        <w:t xml:space="preserve">，</w:t>
      </w:r>
      <w:r>
        <w:rPr>
          <w:rFonts w:ascii="Calibri" w:hAnsi="Calibri" w:eastAsia="仿宋" w:cs="Calibri"/>
          <w:color w:val="auto"/>
          <w:sz w:val="28"/>
          <w:szCs w:val="28"/>
          <w:highlight w:val="none"/>
          <w14:ligatures w14:val="none"/>
        </w:rPr>
        <w:t xml:space="preserve">   </w:t>
      </w:r>
      <w:r>
        <w:rPr>
          <w:rFonts w:hint="eastAsia" w:ascii="仿宋" w:hAnsi="仿宋" w:eastAsia="仿宋"/>
          <w:color w:val="auto"/>
          <w:sz w:val="28"/>
          <w:szCs w:val="28"/>
          <w:highlight w:val="none"/>
          <w14:ligatures w14:val="none"/>
        </w:rPr>
        <w:t xml:space="preserve">联系电话：</w:t>
      </w:r>
      <w:r>
        <w:rPr>
          <w:rFonts w:ascii="Calibri" w:hAnsi="Calibri" w:eastAsia="仿宋" w:cs="Calibri"/>
          <w:color w:val="auto"/>
          <w:sz w:val="28"/>
          <w:szCs w:val="28"/>
          <w:highlight w:val="none"/>
          <w14:ligatures w14:val="none"/>
        </w:rPr>
        <w:t xml:space="preserve">               </w:t>
      </w:r>
      <w:r>
        <w:rPr>
          <w:rFonts w:hint="eastAsia" w:ascii="仿宋" w:hAnsi="仿宋" w:eastAsia="仿宋"/>
          <w:color w:val="auto"/>
          <w:sz w:val="28"/>
          <w:szCs w:val="28"/>
          <w:highlight w:val="none"/>
          <w14:ligatures w14:val="none"/>
        </w:rPr>
        <w:t xml:space="preserve">。</w:t>
      </w:r>
      <w:r/>
    </w:p>
    <w:p>
      <w:pPr>
        <w:ind w:left="210" w:firstLine="32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任何一方上述送达信息有变更的，应在变更之日起</w:t>
      </w:r>
      <w:r/>
    </w:p>
    <w:p>
      <w:pPr>
        <w:ind w:left="210"/>
        <w:spacing w:line="580" w:lineRule="atLeast"/>
        <w:shd w:val="clear" w:color="auto"/>
        <w:widowControl/>
        <w:rPr>
          <w:rFonts w:hint="eastAsia" w:ascii="微软雅黑" w:hAnsi="微软雅黑" w:eastAsia="微软雅黑"/>
          <w:color w:val="auto"/>
          <w:sz w:val="22"/>
          <w:szCs w:val="22"/>
          <w:highlight w:val="none"/>
          <w14:ligatures w14:val="none"/>
        </w:rPr>
      </w:pPr>
      <w:r>
        <w:rPr>
          <w:rFonts w:ascii="Calibri" w:hAnsi="Calibri" w:eastAsia="仿宋" w:cs="Calibri"/>
          <w:color w:val="auto"/>
          <w:sz w:val="28"/>
          <w:szCs w:val="28"/>
          <w:highlight w:val="none"/>
          <w14:ligatures w14:val="none"/>
        </w:rPr>
        <w:t xml:space="preserve">     </w:t>
      </w:r>
      <w:r>
        <w:rPr>
          <w:rFonts w:hint="eastAsia" w:ascii="仿宋" w:hAnsi="仿宋" w:eastAsia="仿宋"/>
          <w:color w:val="auto"/>
          <w:sz w:val="28"/>
          <w:szCs w:val="28"/>
          <w:highlight w:val="none"/>
          <w14:ligatures w14:val="none"/>
        </w:rPr>
        <w:t xml:space="preserve">日内书面通知对方。送达信息变更未通知的，仍以本合同约定信息为准。因联系人拒收或送达信息有误及送达信息变更未通知导致相关文件未能实际送达的，相关文件退回之日视为送达之日。</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4.</w:t>
      </w:r>
      <w:r>
        <w:rPr>
          <w:rFonts w:hint="eastAsia" w:ascii="仿宋" w:hAnsi="仿宋" w:eastAsia="仿宋"/>
          <w:color w:val="auto"/>
          <w:sz w:val="28"/>
          <w:szCs w:val="28"/>
          <w:highlight w:val="none"/>
          <w14:ligatures w14:val="none"/>
        </w:rPr>
        <w:t xml:space="preserve">本合同一式四份，甲方、乙方各贰份，具同等法律效力。</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黑体" w:hAnsi="黑体" w:eastAsia="黑体"/>
          <w:color w:val="auto"/>
          <w:sz w:val="28"/>
          <w:szCs w:val="28"/>
          <w:highlight w:val="none"/>
          <w14:ligatures w14:val="none"/>
        </w:rPr>
        <w:t xml:space="preserve">十三、附件</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1. </w:t>
      </w:r>
      <w:r>
        <w:rPr>
          <w:rFonts w:hint="eastAsia" w:ascii="仿宋" w:hAnsi="仿宋" w:eastAsia="仿宋"/>
          <w:color w:val="auto"/>
          <w:sz w:val="28"/>
          <w:szCs w:val="28"/>
          <w:highlight w:val="none"/>
          <w14:ligatures w14:val="none"/>
        </w:rPr>
        <w:t xml:space="preserve">项目采购文件</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2. </w:t>
      </w:r>
      <w:r>
        <w:rPr>
          <w:rFonts w:hint="eastAsia" w:ascii="仿宋" w:hAnsi="仿宋" w:eastAsia="仿宋"/>
          <w:color w:val="auto"/>
          <w:sz w:val="28"/>
          <w:szCs w:val="28"/>
          <w:highlight w:val="none"/>
          <w14:ligatures w14:val="none"/>
        </w:rPr>
        <w:t xml:space="preserve">项目修改澄清文件</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3. </w:t>
      </w:r>
      <w:r>
        <w:rPr>
          <w:rFonts w:hint="eastAsia" w:ascii="仿宋" w:hAnsi="仿宋" w:eastAsia="仿宋"/>
          <w:color w:val="auto"/>
          <w:sz w:val="28"/>
          <w:szCs w:val="28"/>
          <w:highlight w:val="none"/>
          <w14:ligatures w14:val="none"/>
        </w:rPr>
        <w:t xml:space="preserve">项目响应文件</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4. </w:t>
      </w:r>
      <w:r>
        <w:rPr>
          <w:rFonts w:hint="eastAsia" w:ascii="仿宋" w:hAnsi="仿宋" w:eastAsia="仿宋"/>
          <w:color w:val="auto"/>
          <w:sz w:val="28"/>
          <w:szCs w:val="28"/>
          <w:highlight w:val="none"/>
          <w14:ligatures w14:val="none"/>
        </w:rPr>
        <w:t xml:space="preserve">成交通知书</w:t>
      </w:r>
      <w:r/>
    </w:p>
    <w:p>
      <w:pPr>
        <w:ind w:firstLine="64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微软雅黑" w:hAnsi="微软雅黑" w:eastAsia="微软雅黑"/>
          <w:color w:val="auto"/>
          <w:sz w:val="22"/>
          <w:szCs w:val="22"/>
          <w:highlight w:val="none"/>
          <w14:ligatures w14:val="none"/>
        </w:rPr>
        <w:t xml:space="preserve">5. </w:t>
      </w:r>
      <w:r>
        <w:rPr>
          <w:rFonts w:hint="eastAsia" w:ascii="仿宋" w:hAnsi="仿宋" w:eastAsia="仿宋"/>
          <w:color w:val="auto"/>
          <w:sz w:val="28"/>
          <w:szCs w:val="28"/>
          <w:highlight w:val="none"/>
          <w14:ligatures w14:val="none"/>
        </w:rPr>
        <w:t xml:space="preserve">其他</w:t>
      </w:r>
      <w:r>
        <w:rPr>
          <w:rFonts w:ascii="Calibri" w:hAnsi="Calibri" w:eastAsia="微软雅黑" w:cs="Calibri"/>
          <w:color w:val="auto"/>
          <w:sz w:val="28"/>
          <w:szCs w:val="28"/>
          <w:highlight w:val="none"/>
          <w14:ligatures w14:val="none"/>
        </w:rPr>
        <w:t xml:space="preserve"> </w:t>
      </w:r>
      <w:r/>
    </w:p>
    <w:p>
      <w:pPr>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甲方：</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（盖章）</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乙方：</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（盖章）</w:t>
      </w:r>
      <w:r/>
    </w:p>
    <w:p>
      <w:pPr>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法定代表人（授权代表）：</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法定代表人（授权代表）：</w:t>
      </w:r>
      <w:r/>
    </w:p>
    <w:p>
      <w:pPr>
        <w:ind w:firstLine="32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地</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址：</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地</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址：</w:t>
      </w:r>
      <w:r/>
    </w:p>
    <w:p>
      <w:pPr>
        <w:ind w:firstLine="32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开户银行：</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开户银行：</w:t>
      </w:r>
      <w:r/>
    </w:p>
    <w:p>
      <w:pPr>
        <w:ind w:firstLine="32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账号：</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账号：</w:t>
      </w:r>
      <w:r/>
    </w:p>
    <w:p>
      <w:pPr>
        <w:ind w:firstLine="32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电</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话：</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电</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话：</w:t>
      </w:r>
      <w:r/>
    </w:p>
    <w:p>
      <w:pPr>
        <w:ind w:firstLine="320"/>
        <w:spacing w:line="580" w:lineRule="atLeast"/>
        <w:shd w:val="clear" w:color="auto"/>
        <w:widowControl/>
        <w:rPr>
          <w:rFonts w:hint="eastAsia" w:ascii="微软雅黑" w:hAnsi="微软雅黑" w:eastAsia="微软雅黑"/>
          <w:color w:val="auto"/>
          <w:sz w:val="22"/>
          <w:szCs w:val="22"/>
          <w:highlight w:val="none"/>
          <w14:ligatures w14:val="none"/>
        </w:rPr>
      </w:pPr>
      <w:r>
        <w:rPr>
          <w:rFonts w:hint="eastAsia" w:ascii="仿宋" w:hAnsi="仿宋" w:eastAsia="仿宋"/>
          <w:color w:val="auto"/>
          <w:sz w:val="28"/>
          <w:szCs w:val="28"/>
          <w:highlight w:val="none"/>
          <w14:ligatures w14:val="none"/>
        </w:rPr>
        <w:t xml:space="preserve">传</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真：</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传</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真：</w:t>
      </w:r>
      <w:r/>
    </w:p>
    <w:p>
      <w:pPr>
        <w:ind w:firstLine="320"/>
        <w:spacing w:line="580" w:lineRule="atLeast"/>
        <w:shd w:val="clear" w:color="auto"/>
        <w:widowControl/>
        <w:rPr>
          <w:rFonts w:hint="eastAsia" w:ascii="仿宋" w:hAnsi="仿宋" w:eastAsia="仿宋"/>
          <w:color w:val="auto"/>
          <w:sz w:val="28"/>
          <w:szCs w:val="28"/>
          <w:highlight w:val="none"/>
          <w14:ligatures w14:val="none"/>
        </w:rPr>
        <w:sectPr>
          <w:footnotePr/>
          <w:endnotePr/>
          <w:type w:val="nextPage"/>
          <w:pgSz w:w="11906" w:h="16838" w:orient="portrait"/>
          <w:pgMar w:top="930" w:right="969" w:bottom="986" w:left="969" w:header="851" w:footer="992" w:gutter="0"/>
          <w:cols w:num="1" w:sep="0" w:space="720" w:equalWidth="1"/>
          <w:docGrid w:linePitch="360"/>
        </w:sectPr>
      </w:pPr>
      <w:r>
        <w:rPr>
          <w:rFonts w:hint="eastAsia" w:ascii="仿宋" w:hAnsi="仿宋" w:eastAsia="仿宋"/>
          <w:color w:val="auto"/>
          <w:sz w:val="28"/>
          <w:szCs w:val="28"/>
          <w:highlight w:val="none"/>
          <w14:ligatures w14:val="none"/>
        </w:rPr>
        <w:t xml:space="preserve">签约日期：</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年</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月</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日</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签约日期：</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年</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月</w:t>
      </w:r>
      <w:r>
        <w:rPr>
          <w:rFonts w:hint="eastAsia" w:ascii="微软雅黑" w:hAnsi="微软雅黑" w:eastAsia="微软雅黑"/>
          <w:color w:val="auto"/>
          <w:sz w:val="22"/>
          <w:szCs w:val="22"/>
          <w:highlight w:val="none"/>
          <w14:ligatures w14:val="none"/>
        </w:rPr>
        <w:t xml:space="preserve">  </w:t>
      </w:r>
      <w:r>
        <w:rPr>
          <w:rFonts w:hint="eastAsia" w:ascii="仿宋" w:hAnsi="仿宋" w:eastAsia="仿宋"/>
          <w:color w:val="auto"/>
          <w:sz w:val="28"/>
          <w:szCs w:val="28"/>
          <w:highlight w:val="none"/>
          <w14:ligatures w14:val="none"/>
        </w:rPr>
        <w:t xml:space="preserve">日</w:t>
      </w:r>
      <w:r/>
    </w:p>
    <w:p>
      <w:pPr>
        <w:pStyle w:val="998"/>
        <w:numPr>
          <w:ilvl w:val="0"/>
          <w:numId w:val="3"/>
        </w:numPr>
        <w:jc w:val="center"/>
        <w:spacing w:line="360" w:lineRule="auto"/>
        <w:shd w:val="clear" w:color="auto"/>
        <w:rPr>
          <w:rFonts w:hint="eastAsia" w:ascii="宋体" w:hAnsi="宋体" w:cs="宋体"/>
          <w:color w:val="auto"/>
          <w:highlight w:val="none"/>
        </w:rPr>
      </w:pPr>
      <w:r/>
      <w:bookmarkStart w:id="38" w:name="_Toc7970"/>
      <w:r>
        <w:rPr>
          <w:rFonts w:hint="eastAsia" w:ascii="宋体" w:hAnsi="宋体" w:cs="宋体"/>
          <w:color w:val="auto"/>
          <w:highlight w:val="none"/>
        </w:rPr>
        <w:t xml:space="preserve">项目需求</w:t>
      </w:r>
      <w:bookmarkEnd w:id="38"/>
      <w:r/>
      <w:r/>
    </w:p>
    <w:p>
      <w:pPr>
        <w:pStyle w:val="716"/>
        <w:numPr>
          <w:ilvl w:val="0"/>
          <w:numId w:val="4"/>
        </w:numPr>
        <w:shd w:val="clear" w:color="auto"/>
        <w:rPr>
          <w:rFonts w:hint="eastAsia"/>
          <w:color w:val="auto"/>
          <w:highlight w:val="none"/>
          <w:lang w:val="en-US" w:eastAsia="zh-CN"/>
        </w:rPr>
      </w:pPr>
      <w:r/>
      <w:bookmarkStart w:id="39" w:name="_Toc13476"/>
      <w:r>
        <w:rPr>
          <w:rFonts w:hint="eastAsia"/>
          <w:color w:val="auto"/>
          <w:highlight w:val="none"/>
          <w:lang w:val="en-US" w:eastAsia="zh-CN"/>
        </w:rPr>
        <w:t xml:space="preserve">项目需求</w:t>
      </w:r>
      <w:bookmarkEnd w:id="39"/>
      <w:r/>
      <w:r/>
    </w:p>
    <w:tbl>
      <w:tblPr>
        <w:tblStyle w:val="746"/>
        <w:tblpPr w:horzAnchor="page" w:tblpX="1254" w:vertAnchor="text" w:tblpY="299" w:leftFromText="180" w:topFromText="0" w:rightFromText="180" w:bottomFromText="0"/>
        <w:tblW w:w="9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2333"/>
        <w:gridCol w:w="1284"/>
        <w:gridCol w:w="1968"/>
        <w:gridCol w:w="1265"/>
        <w:gridCol w:w="2000"/>
      </w:tblGrid>
      <w:tr>
        <w:trPr/>
        <w:tc>
          <w:tcPr>
            <w:tcW w:w="650" w:type="dxa"/>
            <w:vAlign w:val="center"/>
            <w:textDirection w:val="lrTb"/>
            <w:noWrap w:val="false"/>
          </w:tcPr>
          <w:p>
            <w:pPr>
              <w:jc w:val="center"/>
              <w:shd w:val="clear" w:color="auto"/>
              <w:rPr>
                <w:rFonts w:hint="eastAsia" w:ascii="Calibri" w:eastAsia="宋体" w:cs="Times New Roman"/>
                <w:color w:val="auto"/>
                <w:highlight w:val="none"/>
                <w:vertAlign w:val="baseline"/>
                <w:lang w:val="en-US" w:eastAsia="zh-CN"/>
              </w:rPr>
            </w:pPr>
            <w:r>
              <w:rPr>
                <w:rFonts w:hint="eastAsia" w:eastAsia="宋体" w:cs="Times New Roman"/>
                <w:color w:val="auto"/>
                <w:highlight w:val="none"/>
                <w:vertAlign w:val="baseline"/>
                <w:lang w:val="en-US" w:eastAsia="zh-CN"/>
              </w:rPr>
              <w:t xml:space="preserve">序号</w:t>
            </w:r>
            <w:r/>
          </w:p>
        </w:tc>
        <w:tc>
          <w:tcPr>
            <w:tcW w:w="2333" w:type="dxa"/>
            <w:vAlign w:val="center"/>
            <w:textDirection w:val="lrTb"/>
            <w:noWrap w:val="false"/>
          </w:tcPr>
          <w:p>
            <w:pPr>
              <w:jc w:val="center"/>
              <w:shd w:val="clear" w:color="auto"/>
              <w:rPr>
                <w:rFonts w:hint="eastAsia" w:eastAsia="宋体" w:cs="Times New Roman"/>
                <w:color w:val="auto"/>
                <w:highlight w:val="none"/>
                <w:vertAlign w:val="baseline"/>
                <w:lang w:val="en-US" w:eastAsia="zh-CN"/>
              </w:rPr>
            </w:pPr>
            <w:r>
              <w:rPr>
                <w:rFonts w:hint="eastAsia" w:ascii="Calibri" w:eastAsia="宋体" w:cs="Times New Roman"/>
                <w:color w:val="auto"/>
                <w:highlight w:val="none"/>
                <w:vertAlign w:val="baseline"/>
                <w:lang w:val="en-US" w:eastAsia="zh-CN"/>
              </w:rPr>
              <w:t xml:space="preserve">设备名称</w:t>
            </w:r>
            <w:r/>
          </w:p>
        </w:tc>
        <w:tc>
          <w:tcPr>
            <w:tcW w:w="1284" w:type="dxa"/>
            <w:vAlign w:val="center"/>
            <w:textDirection w:val="lrTb"/>
            <w:noWrap w:val="false"/>
          </w:tcPr>
          <w:p>
            <w:pPr>
              <w:jc w:val="center"/>
              <w:shd w:val="clear" w:color="auto"/>
              <w:rPr>
                <w:rFonts w:hint="eastAsia" w:eastAsia="宋体" w:cs="Times New Roman"/>
                <w:color w:val="auto"/>
                <w:highlight w:val="none"/>
                <w:vertAlign w:val="baseline"/>
                <w:lang w:val="en-US" w:eastAsia="zh-CN"/>
              </w:rPr>
            </w:pPr>
            <w:r>
              <w:rPr>
                <w:rFonts w:hint="eastAsia" w:ascii="Calibri" w:eastAsia="宋体" w:cs="Times New Roman"/>
                <w:color w:val="auto"/>
                <w:highlight w:val="none"/>
                <w:vertAlign w:val="baseline"/>
                <w:lang w:val="en-US" w:eastAsia="zh-CN"/>
              </w:rPr>
              <w:t xml:space="preserve">品牌</w:t>
            </w:r>
            <w:r/>
          </w:p>
        </w:tc>
        <w:tc>
          <w:tcPr>
            <w:tcW w:w="1968" w:type="dxa"/>
            <w:vAlign w:val="center"/>
            <w:textDirection w:val="lrTb"/>
            <w:noWrap w:val="false"/>
          </w:tcPr>
          <w:p>
            <w:pPr>
              <w:jc w:val="center"/>
              <w:shd w:val="clear" w:color="auto"/>
              <w:rPr>
                <w:rFonts w:hint="eastAsia" w:eastAsia="宋体" w:cs="Times New Roman"/>
                <w:color w:val="auto"/>
                <w:highlight w:val="none"/>
                <w:vertAlign w:val="baseline"/>
                <w:lang w:val="en-US" w:eastAsia="zh-CN"/>
              </w:rPr>
            </w:pPr>
            <w:r>
              <w:rPr>
                <w:rFonts w:hint="eastAsia" w:ascii="Calibri" w:eastAsia="宋体" w:cs="Times New Roman"/>
                <w:color w:val="auto"/>
                <w:highlight w:val="none"/>
                <w:vertAlign w:val="baseline"/>
                <w:lang w:val="en-US" w:eastAsia="zh-CN"/>
              </w:rPr>
              <w:t xml:space="preserve">型号</w:t>
            </w:r>
            <w:r/>
          </w:p>
        </w:tc>
        <w:tc>
          <w:tcPr>
            <w:tcW w:w="1265" w:type="dxa"/>
            <w:vAlign w:val="center"/>
            <w:textDirection w:val="lrTb"/>
            <w:noWrap w:val="false"/>
          </w:tcPr>
          <w:p>
            <w:pPr>
              <w:jc w:val="center"/>
              <w:shd w:val="clear" w:color="auto"/>
              <w:rPr>
                <w:rFonts w:hint="eastAsia" w:eastAsia="宋体" w:cs="Times New Roman"/>
                <w:color w:val="auto"/>
                <w:highlight w:val="none"/>
                <w:vertAlign w:val="baseline"/>
                <w:lang w:val="en-US" w:eastAsia="zh-CN"/>
              </w:rPr>
            </w:pPr>
            <w:r>
              <w:rPr>
                <w:rFonts w:hint="eastAsia" w:ascii="Calibri" w:eastAsia="宋体" w:cs="Times New Roman"/>
                <w:color w:val="auto"/>
                <w:highlight w:val="none"/>
                <w:vertAlign w:val="baseline"/>
                <w:lang w:val="en-US" w:eastAsia="zh-CN"/>
              </w:rPr>
              <w:t xml:space="preserve">启用日期</w:t>
            </w:r>
            <w:r/>
          </w:p>
        </w:tc>
        <w:tc>
          <w:tcPr>
            <w:tcW w:w="2000" w:type="dxa"/>
            <w:vAlign w:val="center"/>
            <w:textDirection w:val="lrTb"/>
            <w:noWrap w:val="false"/>
          </w:tcPr>
          <w:p>
            <w:pPr>
              <w:jc w:val="center"/>
              <w:shd w:val="clear" w:color="auto"/>
              <w:rPr>
                <w:rFonts w:hint="eastAsia" w:eastAsia="宋体" w:cs="Times New Roman"/>
                <w:color w:val="auto"/>
                <w:highlight w:val="none"/>
                <w:vertAlign w:val="baseline"/>
                <w:lang w:val="en-US" w:eastAsia="zh-CN"/>
              </w:rPr>
            </w:pPr>
            <w:r>
              <w:rPr>
                <w:rFonts w:hint="eastAsia" w:eastAsia="宋体" w:cs="Times New Roman"/>
                <w:color w:val="auto"/>
                <w:highlight w:val="none"/>
                <w:vertAlign w:val="baseline"/>
                <w:lang w:val="en-US" w:eastAsia="zh-CN"/>
              </w:rPr>
              <w:t xml:space="preserve">安装位置</w:t>
            </w:r>
            <w:r/>
          </w:p>
        </w:tc>
      </w:tr>
      <w:tr>
        <w:trPr/>
        <w:tc>
          <w:tcPr>
            <w:tcW w:w="650" w:type="dxa"/>
            <w:vAlign w:val="center"/>
            <w:textDirection w:val="lrTb"/>
            <w:noWrap w:val="false"/>
          </w:tcPr>
          <w:p>
            <w:pPr>
              <w:numPr>
                <w:ilvl w:val="0"/>
                <w:numId w:val="0"/>
              </w:numPr>
              <w:jc w:val="center"/>
              <w:keepLines w:val="0"/>
              <w:keepNext w:val="0"/>
              <w:shd w:val="clear" w:color="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w:t>
            </w:r>
            <w:r/>
          </w:p>
        </w:tc>
        <w:tc>
          <w:tcPr>
            <w:tcW w:w="2333"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飞秒激光角膜屈光治疗机</w:t>
            </w:r>
            <w:r/>
          </w:p>
        </w:tc>
        <w:tc>
          <w:tcPr>
            <w:tcW w:w="1284"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蔡司</w:t>
            </w:r>
            <w:r/>
          </w:p>
        </w:tc>
        <w:tc>
          <w:tcPr>
            <w:tcW w:w="1968"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VisuMax</w:t>
            </w:r>
            <w:r/>
          </w:p>
        </w:tc>
        <w:tc>
          <w:tcPr>
            <w:tcW w:w="1265" w:type="dxa"/>
            <w:vAlign w:val="center"/>
            <w:textDirection w:val="lrTb"/>
            <w:noWrap w:val="false"/>
          </w:tcPr>
          <w:p>
            <w:pPr>
              <w:numPr>
                <w:ilvl w:val="0"/>
                <w:numId w:val="0"/>
              </w:numPr>
              <w:jc w:val="center"/>
              <w:keepLines w:val="0"/>
              <w:keepNext w:val="0"/>
              <w:shd w:val="clear" w:color="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2023.11</w:t>
            </w:r>
            <w:r/>
          </w:p>
        </w:tc>
        <w:tc>
          <w:tcPr>
            <w:tcW w:w="2000"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湖山路院区</w:t>
            </w:r>
            <w:r/>
          </w:p>
          <w:p>
            <w:pPr>
              <w:numPr>
                <w:ilvl w:val="0"/>
                <w:numId w:val="0"/>
              </w:numPr>
              <w:jc w:val="center"/>
              <w:keepLines w:val="0"/>
              <w:keepNext w:val="0"/>
              <w:shd w:val="clear" w:color="auto"/>
              <w:widowControl/>
              <w:rPr>
                <w:rFonts w:hint="eastAsia" w:eastAsia="宋体" w:cs="Times New Roman"/>
                <w:color w:val="auto"/>
                <w:highlight w:val="none"/>
                <w:vertAlign w:val="baseline"/>
                <w:lang w:val="en-US" w:eastAsia="zh-CN"/>
              </w:rPr>
              <w:suppressLineNumbers w:val="0"/>
            </w:pPr>
            <w:r>
              <w:rPr>
                <w:rFonts w:hint="eastAsia" w:ascii="仿宋" w:hAnsi="仿宋" w:eastAsia="仿宋" w:cs="仿宋"/>
                <w:color w:val="auto"/>
                <w:sz w:val="24"/>
                <w:szCs w:val="24"/>
                <w:highlight w:val="none"/>
                <w:lang w:val="en-US" w:eastAsia="zh-CN" w:bidi="ar"/>
              </w:rPr>
              <w:t xml:space="preserve">手术室</w:t>
            </w:r>
            <w:r/>
          </w:p>
        </w:tc>
      </w:tr>
      <w:tr>
        <w:trPr/>
        <w:tc>
          <w:tcPr>
            <w:tcW w:w="650" w:type="dxa"/>
            <w:vAlign w:val="center"/>
            <w:textDirection w:val="lrTb"/>
            <w:noWrap w:val="false"/>
          </w:tcPr>
          <w:p>
            <w:pPr>
              <w:numPr>
                <w:ilvl w:val="0"/>
                <w:numId w:val="0"/>
              </w:numPr>
              <w:jc w:val="center"/>
              <w:keepLines w:val="0"/>
              <w:keepNext w:val="0"/>
              <w:shd w:val="clear" w:color="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w:t>
            </w:r>
            <w:r/>
          </w:p>
        </w:tc>
        <w:tc>
          <w:tcPr>
            <w:tcW w:w="2333"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准分子激光系统</w:t>
            </w:r>
            <w:r/>
          </w:p>
        </w:tc>
        <w:tc>
          <w:tcPr>
            <w:tcW w:w="1284"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蔡司</w:t>
            </w:r>
            <w:r/>
          </w:p>
        </w:tc>
        <w:tc>
          <w:tcPr>
            <w:tcW w:w="1968"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MEL90</w:t>
            </w:r>
            <w:r/>
          </w:p>
        </w:tc>
        <w:tc>
          <w:tcPr>
            <w:tcW w:w="1265" w:type="dxa"/>
            <w:vAlign w:val="center"/>
            <w:textDirection w:val="lrTb"/>
            <w:noWrap w:val="false"/>
          </w:tcPr>
          <w:p>
            <w:pPr>
              <w:numPr>
                <w:ilvl w:val="0"/>
                <w:numId w:val="0"/>
              </w:numPr>
              <w:jc w:val="center"/>
              <w:keepLines w:val="0"/>
              <w:keepNext w:val="0"/>
              <w:shd w:val="clear" w:color="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2023.11</w:t>
            </w:r>
            <w:r/>
          </w:p>
        </w:tc>
        <w:tc>
          <w:tcPr>
            <w:tcW w:w="2000"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湖山路院区</w:t>
            </w:r>
            <w:r/>
          </w:p>
          <w:p>
            <w:pPr>
              <w:numPr>
                <w:ilvl w:val="0"/>
                <w:numId w:val="0"/>
              </w:numPr>
              <w:jc w:val="center"/>
              <w:keepLines w:val="0"/>
              <w:keepNext w:val="0"/>
              <w:shd w:val="clear" w:color="auto"/>
              <w:widowControl/>
              <w:rPr>
                <w:rFonts w:hint="eastAsia" w:eastAsia="宋体" w:cs="Times New Roman"/>
                <w:color w:val="auto"/>
                <w:highlight w:val="none"/>
                <w:vertAlign w:val="baseline"/>
                <w:lang w:val="en-US" w:eastAsia="zh-CN"/>
              </w:rPr>
              <w:suppressLineNumbers w:val="0"/>
            </w:pPr>
            <w:r>
              <w:rPr>
                <w:rFonts w:hint="eastAsia" w:ascii="仿宋" w:hAnsi="仿宋" w:eastAsia="仿宋" w:cs="仿宋"/>
                <w:color w:val="auto"/>
                <w:sz w:val="24"/>
                <w:szCs w:val="24"/>
                <w:highlight w:val="none"/>
                <w:lang w:val="en-US" w:eastAsia="zh-CN" w:bidi="ar"/>
              </w:rPr>
              <w:t xml:space="preserve">手术室</w:t>
            </w:r>
            <w:r/>
          </w:p>
        </w:tc>
      </w:tr>
      <w:tr>
        <w:trPr/>
        <w:tc>
          <w:tcPr>
            <w:tcW w:w="650" w:type="dxa"/>
            <w:vAlign w:val="center"/>
            <w:textDirection w:val="lrTb"/>
            <w:noWrap w:val="false"/>
          </w:tcPr>
          <w:p>
            <w:pPr>
              <w:numPr>
                <w:ilvl w:val="0"/>
                <w:numId w:val="0"/>
              </w:numPr>
              <w:jc w:val="center"/>
              <w:keepLines w:val="0"/>
              <w:keepNext w:val="0"/>
              <w:shd w:val="clear" w:color="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w:t>
            </w:r>
            <w:r/>
          </w:p>
        </w:tc>
        <w:tc>
          <w:tcPr>
            <w:tcW w:w="2333"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角膜地形图系统</w:t>
            </w:r>
            <w:r/>
          </w:p>
        </w:tc>
        <w:tc>
          <w:tcPr>
            <w:tcW w:w="1284"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蔡司</w:t>
            </w:r>
            <w:r/>
          </w:p>
        </w:tc>
        <w:tc>
          <w:tcPr>
            <w:tcW w:w="1968"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9000</w:t>
            </w:r>
            <w:r/>
          </w:p>
        </w:tc>
        <w:tc>
          <w:tcPr>
            <w:tcW w:w="1265" w:type="dxa"/>
            <w:vAlign w:val="center"/>
            <w:textDirection w:val="lrTb"/>
            <w:noWrap w:val="false"/>
          </w:tcPr>
          <w:p>
            <w:pPr>
              <w:numPr>
                <w:ilvl w:val="0"/>
                <w:numId w:val="0"/>
              </w:numPr>
              <w:jc w:val="center"/>
              <w:keepLines w:val="0"/>
              <w:keepNext w:val="0"/>
              <w:shd w:val="clear" w:color="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2023.11</w:t>
            </w:r>
            <w:r/>
          </w:p>
        </w:tc>
        <w:tc>
          <w:tcPr>
            <w:tcW w:w="2000"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湖山路院区</w:t>
            </w:r>
            <w:r/>
          </w:p>
          <w:p>
            <w:pPr>
              <w:numPr>
                <w:ilvl w:val="0"/>
                <w:numId w:val="0"/>
              </w:numPr>
              <w:jc w:val="center"/>
              <w:keepLines w:val="0"/>
              <w:keepNext w:val="0"/>
              <w:shd w:val="clear" w:color="auto"/>
              <w:widowControl/>
              <w:rPr>
                <w:rFonts w:hint="default" w:eastAsia="宋体" w:cs="Times New Roman"/>
                <w:color w:val="auto"/>
                <w:highlight w:val="none"/>
                <w:vertAlign w:val="baseline"/>
                <w:lang w:val="en-US" w:eastAsia="zh-CN"/>
              </w:rPr>
              <w:suppressLineNumbers w:val="0"/>
            </w:pPr>
            <w:r>
              <w:rPr>
                <w:rFonts w:hint="eastAsia" w:ascii="仿宋" w:hAnsi="仿宋" w:eastAsia="仿宋" w:cs="仿宋"/>
                <w:color w:val="auto"/>
                <w:sz w:val="24"/>
                <w:szCs w:val="24"/>
                <w:highlight w:val="none"/>
                <w:lang w:val="en-US" w:eastAsia="zh-CN" w:bidi="ar"/>
              </w:rPr>
              <w:t xml:space="preserve">眼科门诊</w:t>
            </w:r>
            <w:r/>
          </w:p>
        </w:tc>
      </w:tr>
      <w:tr>
        <w:trPr/>
        <w:tc>
          <w:tcPr>
            <w:tcW w:w="650" w:type="dxa"/>
            <w:vAlign w:val="center"/>
            <w:textDirection w:val="lrTb"/>
            <w:noWrap w:val="false"/>
          </w:tcPr>
          <w:p>
            <w:pPr>
              <w:numPr>
                <w:ilvl w:val="0"/>
                <w:numId w:val="0"/>
              </w:numPr>
              <w:jc w:val="center"/>
              <w:keepLines w:val="0"/>
              <w:keepNext w:val="0"/>
              <w:shd w:val="clear" w:color="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w:t>
            </w:r>
            <w:r/>
          </w:p>
        </w:tc>
        <w:tc>
          <w:tcPr>
            <w:tcW w:w="2333"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眼科光学生物测量仪</w:t>
            </w:r>
            <w:r/>
          </w:p>
        </w:tc>
        <w:tc>
          <w:tcPr>
            <w:tcW w:w="1284"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蔡司</w:t>
            </w:r>
            <w:r/>
          </w:p>
        </w:tc>
        <w:tc>
          <w:tcPr>
            <w:tcW w:w="1968"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IOL Master700</w:t>
            </w:r>
            <w:r/>
          </w:p>
        </w:tc>
        <w:tc>
          <w:tcPr>
            <w:tcW w:w="1265"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2023.11</w:t>
            </w:r>
            <w:r/>
          </w:p>
        </w:tc>
        <w:tc>
          <w:tcPr>
            <w:tcW w:w="2000" w:type="dxa"/>
            <w:vAlign w:val="center"/>
            <w:textDirection w:val="lrTb"/>
            <w:noWrap w:val="false"/>
          </w:tcPr>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湖山路院区</w:t>
            </w:r>
            <w:r/>
          </w:p>
          <w:p>
            <w:pPr>
              <w:numPr>
                <w:ilvl w:val="0"/>
                <w:numId w:val="0"/>
              </w:num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眼科门诊</w:t>
            </w:r>
            <w:r/>
          </w:p>
        </w:tc>
      </w:tr>
    </w:tbl>
    <w:p>
      <w:pPr>
        <w:numPr>
          <w:ilvl w:val="0"/>
          <w:numId w:val="0"/>
        </w:numPr>
        <w:shd w:val="clear" w:color="auto"/>
        <w:rPr>
          <w:rFonts w:hint="default"/>
          <w:color w:val="auto"/>
          <w:highlight w:val="none"/>
          <w:lang w:val="en-US" w:eastAsia="zh-CN"/>
        </w:rPr>
      </w:pPr>
      <w:r>
        <w:rPr>
          <w:rFonts w:hint="default"/>
          <w:color w:val="auto"/>
          <w:highlight w:val="none"/>
          <w:lang w:val="en-US" w:eastAsia="zh-CN"/>
        </w:rPr>
      </w:r>
      <w:r/>
    </w:p>
    <w:p>
      <w:pPr>
        <w:pStyle w:val="716"/>
        <w:shd w:val="clear" w:color="auto"/>
        <w:rPr>
          <w:rFonts w:hint="eastAsia"/>
          <w:color w:val="auto"/>
          <w:highlight w:val="none"/>
        </w:rPr>
      </w:pPr>
      <w:r/>
      <w:bookmarkStart w:id="40" w:name="_Toc14637"/>
      <w:r/>
      <w:bookmarkStart w:id="41" w:name="_Toc197812079"/>
      <w:r/>
      <w:bookmarkStart w:id="42" w:name="_Toc186207370"/>
      <w:r>
        <w:rPr>
          <w:rFonts w:hint="eastAsia"/>
          <w:color w:val="auto"/>
          <w:highlight w:val="none"/>
          <w:lang w:val="en-US" w:eastAsia="zh-CN"/>
        </w:rPr>
        <w:t xml:space="preserve">二</w:t>
      </w:r>
      <w:r>
        <w:rPr>
          <w:rFonts w:hint="eastAsia"/>
          <w:color w:val="auto"/>
          <w:highlight w:val="none"/>
        </w:rPr>
        <w:t xml:space="preserve">、</w:t>
      </w:r>
      <w:r>
        <w:rPr>
          <w:rFonts w:hint="eastAsia"/>
          <w:color w:val="auto"/>
          <w:highlight w:val="none"/>
          <w:lang w:val="en-US" w:eastAsia="zh-CN"/>
        </w:rPr>
        <w:t xml:space="preserve">技术</w:t>
      </w:r>
      <w:r>
        <w:rPr>
          <w:rFonts w:hint="eastAsia"/>
          <w:color w:val="auto"/>
          <w:highlight w:val="none"/>
        </w:rPr>
        <w:t xml:space="preserve">要求</w:t>
      </w:r>
      <w:bookmarkEnd w:id="40"/>
      <w:r/>
      <w:r/>
    </w:p>
    <w:p>
      <w:pPr>
        <w:pStyle w:val="728"/>
        <w:keepLines w:val="0"/>
        <w:keepNext w:val="0"/>
        <w:pageBreakBefore w:val="0"/>
        <w:spacing w:after="0" w:line="400" w:lineRule="exac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1.保修性质：全保型维护，包含技术服务费、人工费、差旅费、配件费等，定期保养，紧急维修等内容，不额外收取任何费用；</w:t>
      </w:r>
      <w:r/>
    </w:p>
    <w:p>
      <w:pPr>
        <w:ind w:firstLine="240"/>
        <w:keepLines w:val="0"/>
        <w:keepNext w:val="0"/>
        <w:pageBreakBefore w:val="0"/>
        <w:spacing w:line="400" w:lineRule="exac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现场维护、响应时间：需具备客户服务专线电话，通过服务提供方的服务热线，客户可方便的报备本次维保仪器的紧急维修需求，或进行其他相关事宜问询(如技术咨询，临床应用支持，索取产品信息等)。供应商需指派工程师赴故障现场处理时，工程师响应时间小于0.1小时，到达现场维修时间小于2小时，进行维修直至排除故障（包括节假日）；提供其相关办事处详细地址与联系电话以供采购方核实。</w:t>
      </w:r>
      <w:r/>
    </w:p>
    <w:p>
      <w:pPr>
        <w:pStyle w:val="728"/>
        <w:keepLines w:val="0"/>
        <w:keepNext w:val="0"/>
        <w:pageBreakBefore w:val="0"/>
        <w:spacing w:after="0" w:line="400" w:lineRule="exact"/>
        <w:shd w:val="clear" w:color="auto"/>
        <w:rPr>
          <w:rFonts w:hint="default"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CN" w:bidi="ar-SA"/>
        </w:rPr>
        <w:t xml:space="preserve">3.为保证设备正常运行，需设有备件库及保证备件可在48小时内运抵现场更换，并提供备件库相关证明材料（含租赁合同或房产证明）。</w:t>
      </w:r>
      <w:r/>
    </w:p>
    <w:p>
      <w:pPr>
        <w:jc w:val="left"/>
        <w:keepLines w:val="0"/>
        <w:keepNext w:val="0"/>
        <w:pageBreakBefore w:val="0"/>
        <w:spacing w:line="400" w:lineRule="exact"/>
        <w:shd w:val="clear" w:color="auto"/>
        <w:widowControl/>
        <w:rPr>
          <w:rFonts w:hint="default" w:ascii="宋体" w:hAnsi="宋体" w:eastAsia="宋体" w:cs="宋体"/>
          <w:b w:val="0"/>
          <w:color w:val="auto"/>
          <w:position w:val="0"/>
          <w:sz w:val="24"/>
          <w:szCs w:val="24"/>
          <w:highlight w:val="none"/>
          <w:lang w:val="en-US"/>
        </w:rPr>
      </w:pP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CN" w:bidi="ar-SA"/>
        </w:rPr>
        <w:t xml:space="preserve">4.保养方案：根据生产厂商的仪器保养规则及仪器的使用状况，服务提供方预先安排主动维护保养。根据不同仪器的保养规则制定保养计划，亦包括易损易耗件的检测及必要的系统测试和校准。每台设备每年4次主动维护保养，每2个月进行巡检，需提供保养手册，巡检、保养开始前，乙方将提供一份定期巡检、保养计划给甲方，任务开始前5个工作日正式通知甲方时间，任务完成后提供保养、巡检报告现场三方签字；以上作为维保验收依据</w:t>
      </w:r>
      <w:r>
        <w:rPr>
          <w:rFonts w:hint="eastAsia" w:ascii="宋体" w:hAnsi="宋体" w:cs="宋体"/>
          <w:color w:val="auto"/>
          <w:sz w:val="24"/>
          <w:szCs w:val="24"/>
          <w:highlight w:val="none"/>
          <w:lang w:val="en-US" w:eastAsia="zh-CN" w:bidi="ar-SA"/>
        </w:rPr>
        <w:t xml:space="preserve">。</w:t>
      </w:r>
      <w:r/>
    </w:p>
    <w:p>
      <w:pPr>
        <w:pStyle w:val="728"/>
        <w:keepLines w:val="0"/>
        <w:keepNext w:val="0"/>
        <w:pageBreakBefore w:val="0"/>
        <w:spacing w:after="0" w:line="400" w:lineRule="exac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CN" w:bidi="ar-SA"/>
        </w:rPr>
        <w:t xml:space="preserve">5.零配件：所提供的所有维修配件均为全新原厂配件，且应具备100%备件供应能力，</w:t>
      </w:r>
      <w:r>
        <w:rPr>
          <w:rFonts w:hint="eastAsia" w:ascii="宋体" w:hAnsi="宋体" w:eastAsia="宋体" w:cs="宋体"/>
          <w:color w:val="auto"/>
          <w:sz w:val="24"/>
          <w:szCs w:val="24"/>
          <w:highlight w:val="none"/>
          <w:lang w:val="en-US" w:eastAsia="zh-CN" w:bidi="ar-SA"/>
        </w:rPr>
        <w:t xml:space="preserve">可</w:t>
      </w:r>
      <w:r>
        <w:rPr>
          <w:rFonts w:hint="eastAsia" w:ascii="宋体" w:hAnsi="宋体" w:eastAsia="宋体" w:cs="宋体"/>
          <w:color w:val="auto"/>
          <w:sz w:val="24"/>
          <w:szCs w:val="24"/>
          <w:highlight w:val="none"/>
          <w:lang w:val="en-US" w:eastAsia="zh-CN" w:bidi="ar-SA"/>
        </w:rPr>
        <w:t xml:space="preserve">提供原厂配件溯源证明；如非原厂配件，院方有权取消维保合同且不支付任何维保费用，损失由乙方承担</w:t>
      </w:r>
      <w:r>
        <w:rPr>
          <w:rFonts w:hint="eastAsia" w:ascii="宋体" w:hAnsi="宋体" w:eastAsia="宋体" w:cs="宋体"/>
          <w:color w:val="auto"/>
          <w:sz w:val="24"/>
          <w:szCs w:val="24"/>
          <w:highlight w:val="none"/>
          <w:lang w:val="en-US" w:eastAsia="zh-CN" w:bidi="ar-SA"/>
        </w:rPr>
        <w:t xml:space="preserve">（提供承诺书，承诺书格式自拟）</w:t>
      </w:r>
      <w:r>
        <w:rPr>
          <w:rFonts w:hint="eastAsia" w:ascii="宋体" w:hAnsi="宋体" w:eastAsia="宋体" w:cs="宋体"/>
          <w:color w:val="auto"/>
          <w:sz w:val="24"/>
          <w:szCs w:val="24"/>
          <w:highlight w:val="none"/>
          <w:lang w:val="en-US" w:eastAsia="zh-CN" w:bidi="ar-SA"/>
        </w:rPr>
        <w:t xml:space="preserve">。</w:t>
      </w:r>
      <w:r/>
    </w:p>
    <w:p>
      <w:pPr>
        <w:pStyle w:val="728"/>
        <w:ind w:firstLine="240"/>
        <w:keepLines w:val="0"/>
        <w:keepNext w:val="0"/>
        <w:pageBreakBefore w:val="0"/>
        <w:spacing w:after="0" w:line="400" w:lineRule="exac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6.安全及性能优化：服务提供方将提供以提高安全性和设备性能为目的的软件更新。</w:t>
      </w:r>
      <w:r/>
    </w:p>
    <w:p>
      <w:pPr>
        <w:pStyle w:val="728"/>
        <w:ind w:firstLine="240"/>
        <w:keepLines w:val="0"/>
        <w:keepNext w:val="0"/>
        <w:pageBreakBefore w:val="0"/>
        <w:spacing w:after="0" w:line="400" w:lineRule="exac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7.保证能够解决所有需要原厂service key才能解决的设备故障。</w:t>
      </w:r>
      <w:r/>
    </w:p>
    <w:p>
      <w:pPr>
        <w:pStyle w:val="728"/>
        <w:ind w:firstLine="240"/>
        <w:keepLines w:val="0"/>
        <w:keepNext w:val="0"/>
        <w:pageBreakBefore w:val="0"/>
        <w:spacing w:after="0" w:line="400" w:lineRule="exac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8.保证在维保期内具有经校正的所维修保修保养设备的专业维修工具、仪器，并提供序列号和需校正的工具仪器的校正记录文件。</w:t>
      </w:r>
      <w:r/>
    </w:p>
    <w:p>
      <w:pPr>
        <w:pStyle w:val="728"/>
        <w:ind w:firstLine="240"/>
        <w:keepLines w:val="0"/>
        <w:keepNext w:val="0"/>
        <w:pageBreakBefore w:val="0"/>
        <w:spacing w:after="0" w:line="400" w:lineRule="exac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9.需提供服务期内培训方案，针对采购方的使用人员，投标人提供认证的临床应用专家定期进行课堂或上门式的培训服务。</w:t>
      </w:r>
      <w:r/>
    </w:p>
    <w:p>
      <w:pPr>
        <w:pStyle w:val="728"/>
        <w:keepLines w:val="0"/>
        <w:keepNext w:val="0"/>
        <w:pageBreakBefore w:val="0"/>
        <w:spacing w:after="0" w:line="400" w:lineRule="exac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CN" w:bidi="ar-SA"/>
        </w:rPr>
        <w:t xml:space="preserve">10.年检时，投标人负责机器调试到最佳状态，保证全部检测指标达国家标准，保证该设备能通过相关专业检测，并提供当年的系统状态报告</w:t>
      </w:r>
      <w:r>
        <w:rPr>
          <w:rFonts w:hint="eastAsia" w:ascii="宋体" w:hAnsi="宋体" w:eastAsia="宋体" w:cs="宋体"/>
          <w:color w:val="auto"/>
          <w:sz w:val="24"/>
          <w:szCs w:val="24"/>
          <w:highlight w:val="none"/>
          <w:lang w:val="en-US" w:eastAsia="zh-CN" w:bidi="ar-SA"/>
        </w:rPr>
        <w:t xml:space="preserve">（提供承诺书，承诺书格式自拟）</w:t>
      </w:r>
      <w:r>
        <w:rPr>
          <w:rFonts w:hint="eastAsia" w:ascii="宋体" w:hAnsi="宋体" w:eastAsia="宋体" w:cs="宋体"/>
          <w:color w:val="auto"/>
          <w:sz w:val="24"/>
          <w:szCs w:val="24"/>
          <w:highlight w:val="none"/>
          <w:lang w:val="en-US" w:eastAsia="zh-CN" w:bidi="ar-SA"/>
        </w:rPr>
        <w:t xml:space="preserve">。</w:t>
      </w:r>
      <w:r/>
    </w:p>
    <w:p>
      <w:pPr>
        <w:pStyle w:val="728"/>
        <w:ind w:firstLine="240"/>
        <w:keepLines w:val="0"/>
        <w:keepNext w:val="0"/>
        <w:pageBreakBefore w:val="0"/>
        <w:spacing w:after="0" w:line="400" w:lineRule="exac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11.维保期间提供准分子气体</w:t>
      </w: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瓶/年。</w:t>
      </w:r>
      <w:r/>
    </w:p>
    <w:p>
      <w:pPr>
        <w:pStyle w:val="728"/>
        <w:ind w:firstLine="240"/>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12.包含手术显微镜免费维修及更换手柄配件一次。</w:t>
      </w:r>
      <w:r/>
    </w:p>
    <w:p>
      <w:pPr>
        <w:jc w:val="both"/>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Hans"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.包含更换滤波片费用</w:t>
      </w:r>
      <w:r>
        <w:rPr>
          <w:rFonts w:hint="eastAsia" w:ascii="宋体" w:hAnsi="宋体" w:cs="宋体"/>
          <w:color w:val="auto"/>
          <w:sz w:val="24"/>
          <w:szCs w:val="24"/>
          <w:highlight w:val="none"/>
          <w:lang w:val="en-US" w:eastAsia="zh-CN" w:bidi="ar-SA"/>
        </w:rPr>
        <w:t xml:space="preserve">。</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Hans"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.需达到提供服务期间保证保修设备开机率达到95%以上；如设备故障停机率超过5%（一年按365天计算，每年18天），每超过一天，保修期顺延一天。</w:t>
      </w:r>
      <w:r/>
    </w:p>
    <w:p>
      <w:pPr>
        <w:pStyle w:val="716"/>
        <w:shd w:val="clear" w:color="auto"/>
        <w:rPr>
          <w:rFonts w:hint="eastAsia"/>
          <w:color w:val="auto"/>
          <w:highlight w:val="none"/>
        </w:rPr>
      </w:pPr>
      <w:r/>
      <w:bookmarkStart w:id="43" w:name="_Toc19927"/>
      <w:r>
        <w:rPr>
          <w:rFonts w:hint="eastAsia" w:ascii="微软雅黑" w:hAnsi="微软雅黑" w:eastAsia="微软雅黑" w:cs="微软雅黑"/>
          <w:color w:val="auto"/>
          <w:highlight w:val="none"/>
        </w:rPr>
        <w:t xml:space="preserve">★</w:t>
      </w:r>
      <w:r>
        <w:rPr>
          <w:rFonts w:hint="eastAsia"/>
          <w:color w:val="auto"/>
          <w:highlight w:val="none"/>
        </w:rPr>
        <w:t xml:space="preserve">三、商务要求</w:t>
      </w:r>
      <w:bookmarkEnd w:id="41"/>
      <w:r/>
      <w:bookmarkEnd w:id="42"/>
      <w:r/>
      <w:bookmarkEnd w:id="43"/>
      <w:r/>
      <w:r/>
    </w:p>
    <w:p>
      <w:pPr>
        <w:keepLines w:val="0"/>
        <w:keepNext w:val="0"/>
        <w:pageBreakBefore w:val="0"/>
        <w:spacing w:line="360" w:lineRule="auto"/>
        <w:shd w:val="clear" w:color="auto"/>
        <w:widowControl w:val="off"/>
        <w:rPr>
          <w:rFonts w:hint="eastAsia"/>
          <w:b/>
          <w:bCs/>
          <w:color w:val="auto"/>
          <w:sz w:val="28"/>
          <w:szCs w:val="28"/>
          <w:highlight w:val="none"/>
        </w:rPr>
      </w:pPr>
      <w:r>
        <w:rPr>
          <w:rFonts w:hint="eastAsia"/>
          <w:b/>
          <w:bCs/>
          <w:color w:val="auto"/>
          <w:sz w:val="28"/>
          <w:szCs w:val="28"/>
          <w:highlight w:val="none"/>
        </w:rPr>
        <w:t xml:space="preserve">1、</w:t>
      </w:r>
      <w:r>
        <w:rPr>
          <w:rFonts w:hint="eastAsia"/>
          <w:b/>
          <w:bCs/>
          <w:color w:val="auto"/>
          <w:sz w:val="28"/>
          <w:szCs w:val="28"/>
          <w:highlight w:val="none"/>
        </w:rPr>
        <w:t xml:space="preserve">付款方式</w:t>
      </w:r>
      <w:r/>
    </w:p>
    <w:p>
      <w:pPr>
        <w:ind w:left="420"/>
        <w:keepLines w:val="0"/>
        <w:keepNext w:val="0"/>
        <w:pageBreakBefore w:val="0"/>
        <w:spacing w:line="360" w:lineRule="auto"/>
        <w:shd w:val="clear" w:color="auto"/>
        <w:widowControl w:val="off"/>
        <w:rPr>
          <w:rFonts w:hint="eastAsia"/>
          <w:color w:val="auto"/>
          <w:highlight w:val="none"/>
        </w:rPr>
      </w:pPr>
      <w:r>
        <w:rPr>
          <w:rFonts w:hint="eastAsia" w:ascii="宋体" w:hAnsi="宋体" w:eastAsia="宋体" w:cs="宋体"/>
          <w:color w:val="auto"/>
          <w:sz w:val="24"/>
          <w:szCs w:val="24"/>
          <w:highlight w:val="none"/>
          <w:lang w:val="en-US" w:eastAsia="zh-CN" w:bidi="ar-SA"/>
        </w:rPr>
        <w:t xml:space="preserve">先服务后付款方式，无首付款，各期付款均需院方维保验收审批完成后执行</w:t>
      </w:r>
      <w:r/>
    </w:p>
    <w:p>
      <w:pPr>
        <w:keepLines w:val="0"/>
        <w:keepNext w:val="0"/>
        <w:pageBreakBefore w:val="0"/>
        <w:spacing w:line="360" w:lineRule="auto"/>
        <w:shd w:val="clear" w:color="auto"/>
        <w:widowControl w:val="off"/>
        <w:rPr>
          <w:rFonts w:hint="eastAsia" w:eastAsia="宋体"/>
          <w:b/>
          <w:bCs/>
          <w:color w:val="auto"/>
          <w:sz w:val="28"/>
          <w:szCs w:val="28"/>
          <w:highlight w:val="none"/>
          <w:lang w:eastAsia="zh-CN"/>
        </w:rPr>
      </w:pPr>
      <w:r>
        <w:rPr>
          <w:rFonts w:hint="eastAsia"/>
          <w:b/>
          <w:bCs/>
          <w:color w:val="auto"/>
          <w:sz w:val="28"/>
          <w:szCs w:val="28"/>
          <w:highlight w:val="none"/>
          <w:lang w:val="en-US" w:eastAsia="zh-CN"/>
        </w:rPr>
        <w:t xml:space="preserve">2</w:t>
      </w:r>
      <w:r>
        <w:rPr>
          <w:rFonts w:hint="eastAsia"/>
          <w:b/>
          <w:bCs/>
          <w:color w:val="auto"/>
          <w:sz w:val="28"/>
          <w:szCs w:val="28"/>
          <w:highlight w:val="none"/>
        </w:rPr>
        <w:t xml:space="preserve">、</w:t>
      </w:r>
      <w:r>
        <w:rPr>
          <w:rFonts w:hint="eastAsia"/>
          <w:b/>
          <w:bCs/>
          <w:color w:val="auto"/>
          <w:sz w:val="28"/>
          <w:szCs w:val="28"/>
          <w:highlight w:val="none"/>
          <w:lang w:val="en-US" w:eastAsia="zh-CN"/>
        </w:rPr>
        <w:t xml:space="preserve">服务期</w:t>
      </w:r>
      <w:r/>
    </w:p>
    <w:p>
      <w:pPr>
        <w:ind w:left="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服务期限三年</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合同一年一签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合同每执行一个年度，医院有权对供应商进行考核，考核不合格的，医院有权终止合同；考核合格后合同方可继续执行。</w:t>
      </w:r>
      <w:r/>
    </w:p>
    <w:p>
      <w:pPr>
        <w:keepLines w:val="0"/>
        <w:keepNext w:val="0"/>
        <w:pageBreakBefore w:val="0"/>
        <w:spacing w:line="400" w:lineRule="exact"/>
        <w:shd w:val="clear" w:color="auto"/>
        <w:rPr>
          <w:b/>
          <w:bCs/>
          <w:color w:val="auto"/>
          <w:sz w:val="28"/>
          <w:szCs w:val="28"/>
          <w:highlight w:val="none"/>
        </w:rPr>
      </w:pPr>
      <w:r>
        <w:rPr>
          <w:rFonts w:hint="eastAsia"/>
          <w:b/>
          <w:bCs/>
          <w:color w:val="auto"/>
          <w:sz w:val="28"/>
          <w:szCs w:val="28"/>
          <w:highlight w:val="none"/>
          <w:lang w:val="en-US" w:eastAsia="zh-CN"/>
        </w:rPr>
        <w:t xml:space="preserve">3、</w:t>
      </w:r>
      <w:r>
        <w:rPr>
          <w:rFonts w:hint="eastAsia"/>
          <w:b/>
          <w:bCs/>
          <w:color w:val="auto"/>
          <w:sz w:val="28"/>
          <w:szCs w:val="28"/>
          <w:highlight w:val="none"/>
        </w:rPr>
        <w:t xml:space="preserve">服务标准</w:t>
      </w:r>
      <w:r/>
    </w:p>
    <w:p>
      <w:pPr>
        <w:keepLines w:val="0"/>
        <w:keepNext w:val="0"/>
        <w:pageBreakBefore w:val="0"/>
        <w:spacing w:line="400" w:lineRule="exact"/>
        <w:shd w:val="clear" w:color="auto"/>
        <w:rPr>
          <w:color w:val="auto"/>
          <w:sz w:val="24"/>
          <w:szCs w:val="28"/>
          <w:highlight w:val="none"/>
        </w:rPr>
      </w:pPr>
      <w:r>
        <w:rPr>
          <w:color w:val="auto"/>
          <w:highlight w:val="none"/>
        </w:rPr>
        <w:tab/>
      </w:r>
      <w:r>
        <w:rPr>
          <w:rFonts w:hint="eastAsia"/>
          <w:color w:val="auto"/>
          <w:sz w:val="24"/>
          <w:szCs w:val="28"/>
          <w:highlight w:val="none"/>
        </w:rPr>
        <w:t xml:space="preserve">（1）投标人提供的服务应符合国家、地方及相关政府管理部门和行业与本项目有关的各项服务标准、规范、规章要求，并满足采购人实际需求，标准、规范等不一致的，以要求高的为准。</w:t>
      </w:r>
      <w:r/>
    </w:p>
    <w:p>
      <w:pPr>
        <w:numPr>
          <w:ilvl w:val="0"/>
          <w:numId w:val="0"/>
        </w:numPr>
        <w:ind w:firstLine="420"/>
        <w:keepLines w:val="0"/>
        <w:keepNext w:val="0"/>
        <w:pageBreakBefore w:val="0"/>
        <w:spacing w:line="360" w:lineRule="auto"/>
        <w:shd w:val="clear" w:color="auto"/>
        <w:widowControl w:val="off"/>
        <w:rPr>
          <w:rFonts w:hint="eastAsia"/>
          <w:color w:val="auto"/>
          <w:sz w:val="24"/>
          <w:szCs w:val="28"/>
          <w:highlight w:val="none"/>
          <w:lang w:val="en-US" w:eastAsia="zh-CN"/>
        </w:rPr>
      </w:pPr>
      <w:r>
        <w:rPr>
          <w:rFonts w:hint="eastAsia"/>
          <w:color w:val="auto"/>
          <w:sz w:val="24"/>
          <w:szCs w:val="28"/>
          <w:highlight w:val="none"/>
        </w:rPr>
        <w:t xml:space="preserve">（2）在项目服务实施期间，中标人应严格执行国家、地方、行业各项有关本项目业务管理和安全作业的法律、法规和制度，积极主动加强和服务业务及安全等有关的管理工作， 并按规定承担相应的费用。中标人因违反规定等原因造成的一切损失和责任由中标人承担。</w:t>
      </w:r>
      <w:r/>
    </w:p>
    <w:p>
      <w:pPr>
        <w:shd w:val="clear" w:color="auto"/>
        <w:rPr>
          <w:rFonts w:hint="eastAsia"/>
          <w:b/>
          <w:bCs/>
          <w:i/>
          <w:iCs/>
          <w:color w:val="auto"/>
          <w:sz w:val="32"/>
          <w:szCs w:val="32"/>
          <w:highlight w:val="none"/>
        </w:rPr>
      </w:pPr>
      <w:r>
        <w:rPr>
          <w:rFonts w:hint="eastAsia"/>
          <w:b/>
          <w:bCs/>
          <w:i/>
          <w:iCs/>
          <w:color w:val="auto"/>
          <w:sz w:val="32"/>
          <w:szCs w:val="32"/>
          <w:highlight w:val="none"/>
        </w:rPr>
        <w:t xml:space="preserve">注：带</w:t>
      </w:r>
      <w:r>
        <w:rPr>
          <w:rFonts w:hint="eastAsia" w:ascii="微软雅黑" w:hAnsi="微软雅黑" w:eastAsia="微软雅黑" w:cs="微软雅黑"/>
          <w:color w:val="auto"/>
          <w:sz w:val="32"/>
          <w:szCs w:val="32"/>
          <w:highlight w:val="none"/>
        </w:rPr>
        <w:t xml:space="preserve">★</w:t>
      </w:r>
      <w:r>
        <w:rPr>
          <w:rFonts w:hint="eastAsia"/>
          <w:b/>
          <w:bCs/>
          <w:i/>
          <w:iCs/>
          <w:color w:val="auto"/>
          <w:sz w:val="32"/>
          <w:szCs w:val="32"/>
          <w:highlight w:val="none"/>
        </w:rPr>
        <w:t xml:space="preserve">号条款为实质性条款，负偏离视为无效文件。</w:t>
      </w:r>
      <w:r/>
    </w:p>
    <w:p>
      <w:pPr>
        <w:shd w:val="clear" w:color="auto"/>
        <w:rPr>
          <w:rFonts w:hint="default"/>
          <w:b/>
          <w:bCs/>
          <w:i/>
          <w:iCs/>
          <w:color w:val="auto"/>
          <w:sz w:val="32"/>
          <w:szCs w:val="32"/>
          <w:highlight w:val="none"/>
          <w:lang w:val="en-US" w:eastAsia="zh-CN"/>
        </w:rPr>
      </w:pPr>
      <w:r>
        <w:rPr>
          <w:rFonts w:hint="eastAsia"/>
          <w:b/>
          <w:bCs/>
          <w:i/>
          <w:iCs/>
          <w:color w:val="auto"/>
          <w:sz w:val="32"/>
          <w:szCs w:val="32"/>
          <w:highlight w:val="none"/>
          <w:lang w:val="en-US" w:eastAsia="zh-CN"/>
        </w:rPr>
        <w:t xml:space="preserve">带</w:t>
      </w:r>
      <w:r>
        <w:rPr>
          <w:rFonts w:hint="eastAsia"/>
          <w:b/>
          <w:bCs/>
          <w:i/>
          <w:iCs/>
          <w:color w:val="auto"/>
          <w:sz w:val="32"/>
          <w:szCs w:val="32"/>
          <w:highlight w:val="none"/>
          <w:lang w:val="en-US" w:eastAsia="zh-Hans"/>
        </w:rPr>
        <w:t xml:space="preserve">▲</w:t>
      </w:r>
      <w:r>
        <w:rPr>
          <w:rFonts w:hint="eastAsia"/>
          <w:b/>
          <w:bCs/>
          <w:i/>
          <w:iCs/>
          <w:color w:val="auto"/>
          <w:sz w:val="32"/>
          <w:szCs w:val="32"/>
          <w:highlight w:val="none"/>
          <w:lang w:val="en-US" w:eastAsia="zh-CN"/>
        </w:rPr>
        <w:t xml:space="preserve">号条款为重要条款。</w:t>
      </w:r>
      <w:r/>
    </w:p>
    <w:p>
      <w:pPr>
        <w:jc w:val="center"/>
        <w:shd w:val="clear" w:color="auto"/>
        <w:rPr>
          <w:rFonts w:hint="eastAsia" w:ascii="宋体" w:hAnsi="宋体" w:cs="宋体"/>
          <w:color w:val="auto"/>
          <w:highlight w:val="none"/>
        </w:rPr>
      </w:pPr>
      <w:r>
        <w:rPr>
          <w:rFonts w:hint="eastAsia"/>
          <w:b/>
          <w:bCs/>
          <w:i/>
          <w:iCs/>
          <w:color w:val="auto"/>
          <w:sz w:val="32"/>
          <w:szCs w:val="32"/>
          <w:highlight w:val="none"/>
          <w:lang w:val="en-US" w:eastAsia="zh-CN"/>
        </w:rPr>
        <w:t xml:space="preserve">带</w:t>
      </w:r>
      <w:r>
        <w:rPr>
          <w:rFonts w:hint="eastAsia"/>
          <w:b/>
          <w:bCs/>
          <w:i/>
          <w:iCs/>
          <w:color w:val="auto"/>
          <w:sz w:val="32"/>
          <w:szCs w:val="32"/>
          <w:highlight w:val="none"/>
        </w:rPr>
        <w:t xml:space="preserve">★</w:t>
      </w:r>
      <w:r>
        <w:rPr>
          <w:rFonts w:hint="eastAsia"/>
          <w:b/>
          <w:bCs/>
          <w:i/>
          <w:iCs/>
          <w:color w:val="auto"/>
          <w:sz w:val="32"/>
          <w:szCs w:val="32"/>
          <w:highlight w:val="none"/>
          <w:lang w:eastAsia="zh-CN"/>
        </w:rPr>
        <w:t xml:space="preserve">、</w:t>
      </w:r>
      <w:r>
        <w:rPr>
          <w:rFonts w:hint="eastAsia"/>
          <w:b/>
          <w:bCs/>
          <w:i/>
          <w:iCs/>
          <w:color w:val="auto"/>
          <w:sz w:val="32"/>
          <w:szCs w:val="32"/>
          <w:highlight w:val="none"/>
          <w:lang w:val="en-US" w:eastAsia="zh-Hans"/>
        </w:rPr>
        <w:t xml:space="preserve">▲</w:t>
      </w:r>
      <w:r>
        <w:rPr>
          <w:rFonts w:hint="eastAsia"/>
          <w:b/>
          <w:bCs/>
          <w:i/>
          <w:iCs/>
          <w:color w:val="auto"/>
          <w:sz w:val="32"/>
          <w:szCs w:val="32"/>
          <w:highlight w:val="none"/>
          <w:lang w:val="en-US" w:eastAsia="zh-CN"/>
        </w:rPr>
        <w:t xml:space="preserve">条款如磋商文件要求需提供证明材料或承诺函的，需按照要求提供证明材料或承诺函，未提供视为负偏离。</w:t>
      </w:r>
      <w:r>
        <w:rPr>
          <w:rFonts w:hint="eastAsia" w:ascii="宋体" w:hAnsi="宋体" w:cs="宋体"/>
          <w:color w:val="auto"/>
          <w:highlight w:val="none"/>
        </w:rPr>
        <w:br w:type="page" w:clear="all"/>
      </w:r>
      <w:r>
        <w:rPr>
          <w:rStyle w:val="1070"/>
          <w:rFonts w:hint="eastAsia"/>
          <w:color w:val="auto"/>
          <w:highlight w:val="none"/>
        </w:rPr>
        <w:t xml:space="preserve">第五章 评审方法及评审标准</w:t>
      </w:r>
      <w:bookmarkEnd w:id="0"/>
      <w:r/>
      <w:r/>
    </w:p>
    <w:p>
      <w:pPr>
        <w:pStyle w:val="715"/>
        <w:shd w:val="clear" w:color="auto"/>
        <w:rPr>
          <w:rFonts w:hint="eastAsia"/>
          <w:color w:val="auto"/>
          <w:highlight w:val="none"/>
        </w:rPr>
      </w:pPr>
      <w:r/>
      <w:bookmarkStart w:id="44" w:name="_Toc5300"/>
      <w:r/>
      <w:bookmarkStart w:id="45" w:name="_Toc186207364"/>
      <w:r>
        <w:rPr>
          <w:rFonts w:hint="eastAsia"/>
          <w:color w:val="auto"/>
          <w:highlight w:val="none"/>
        </w:rPr>
        <w:t xml:space="preserve">一、资格审查</w:t>
      </w:r>
      <w:bookmarkEnd w:id="44"/>
      <w:r/>
      <w:bookmarkEnd w:id="45"/>
      <w:r/>
      <w:r/>
    </w:p>
    <w:p>
      <w:pPr>
        <w:ind w:firstLine="420"/>
        <w:shd w:val="clear" w:color="auto"/>
        <w:rPr>
          <w:rFonts w:hint="eastAsia" w:ascii="宋体" w:hAnsi="宋体" w:cs="宋体"/>
          <w:color w:val="auto"/>
          <w:sz w:val="24"/>
          <w:highlight w:val="none"/>
        </w:rPr>
      </w:pPr>
      <w:r/>
      <w:bookmarkStart w:id="46" w:name="_Toc186207365"/>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24"/>
        <w:tblW w:w="8363"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048"/>
        <w:gridCol w:w="2315"/>
      </w:tblGrid>
      <w:tr>
        <w:trPr>
          <w:jc w:val="center"/>
          <w:trHeight w:val="0"/>
          <w:tblHeader/>
        </w:trPr>
        <w:tc>
          <w:tcPr>
            <w:tcW w:w="0" w:type="auto"/>
            <w:vAlign w:val="center"/>
            <w:textDirection w:val="lrTb"/>
            <w:noWrap w:val="false"/>
          </w:tcPr>
          <w:p>
            <w:pPr>
              <w:ind w:left="0" w:right="0" w:firstLine="0"/>
              <w:jc w:val="center"/>
              <w:shd w:val="clear" w:color="auto"/>
              <w:rPr>
                <w:rFonts w:hint="eastAsia" w:ascii="宋体" w:hAnsi="宋体" w:cs="宋体"/>
                <w:b/>
                <w:color w:val="auto"/>
                <w:highlight w:val="none"/>
              </w:rPr>
            </w:pPr>
            <w:r>
              <w:rPr>
                <w:rFonts w:hint="eastAsia" w:ascii="宋体" w:hAnsi="宋体" w:cs="宋体"/>
                <w:b/>
                <w:color w:val="auto"/>
                <w:highlight w:val="none"/>
              </w:rPr>
              <w:t xml:space="preserve">资格审查因素</w:t>
            </w:r>
            <w:r/>
          </w:p>
        </w:tc>
        <w:tc>
          <w:tcPr>
            <w:tcW w:w="2315" w:type="dxa"/>
            <w:vAlign w:val="center"/>
            <w:textDirection w:val="lrTb"/>
            <w:noWrap w:val="false"/>
          </w:tcPr>
          <w:p>
            <w:pPr>
              <w:ind w:left="0" w:right="0" w:firstLine="0"/>
              <w:jc w:val="center"/>
              <w:shd w:val="clear" w:color="auto"/>
              <w:rPr>
                <w:rFonts w:hint="eastAsia" w:ascii="宋体" w:hAnsi="宋体" w:cs="宋体"/>
                <w:b/>
                <w:color w:val="auto"/>
                <w:highlight w:val="none"/>
              </w:rPr>
            </w:pPr>
            <w:r>
              <w:rPr>
                <w:rFonts w:hint="eastAsia" w:ascii="宋体" w:hAnsi="宋体" w:cs="宋体"/>
                <w:b/>
                <w:color w:val="auto"/>
                <w:highlight w:val="none"/>
              </w:rPr>
              <w:t xml:space="preserve">审查标准</w:t>
            </w:r>
            <w:r/>
          </w:p>
        </w:tc>
      </w:tr>
      <w:tr>
        <w:trPr>
          <w:jc w:val="center"/>
          <w:trHeight w:val="0"/>
        </w:trPr>
        <w:tc>
          <w:tcPr>
            <w:tcW w:w="0" w:type="auto"/>
            <w:vAlign w:val="center"/>
            <w:textDirection w:val="lrTb"/>
            <w:noWrap w:val="false"/>
          </w:tcPr>
          <w:p>
            <w:pPr>
              <w:ind w:left="0" w:right="0" w:firstLine="0"/>
              <w:jc w:val="left"/>
              <w:shd w:val="clear" w:color="auto"/>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具有独立承担民事责任的能力</w:t>
            </w:r>
            <w:r/>
          </w:p>
        </w:tc>
        <w:tc>
          <w:tcPr>
            <w:tcW w:w="2315" w:type="dxa"/>
            <w:vAlign w:val="center"/>
            <w:vMerge w:val="restart"/>
            <w:textDirection w:val="lrTb"/>
            <w:noWrap w:val="false"/>
          </w:tcPr>
          <w:p>
            <w:pPr>
              <w:ind w:left="0" w:right="0" w:firstLine="0"/>
              <w:jc w:val="center"/>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符合</w:t>
            </w:r>
            <w:r>
              <w:rPr>
                <w:rFonts w:hint="eastAsia" w:ascii="宋体" w:hAnsi="宋体" w:eastAsia="宋体" w:cs="宋体"/>
                <w:color w:val="auto"/>
                <w:sz w:val="21"/>
                <w:highlight w:val="none"/>
                <w:lang w:val="en-US" w:eastAsia="zh-CN"/>
              </w:rPr>
              <w:t xml:space="preserve">采购</w:t>
            </w:r>
            <w:r>
              <w:rPr>
                <w:rFonts w:hint="eastAsia" w:ascii="宋体" w:hAnsi="宋体" w:eastAsia="宋体" w:cs="宋体"/>
                <w:color w:val="auto"/>
                <w:sz w:val="21"/>
                <w:highlight w:val="none"/>
              </w:rPr>
              <w:t xml:space="preserve">文件规定</w:t>
            </w:r>
            <w:r/>
          </w:p>
        </w:tc>
      </w:tr>
      <w:tr>
        <w:trPr>
          <w:jc w:val="center"/>
          <w:trHeight w:val="0"/>
        </w:trPr>
        <w:tc>
          <w:tcPr>
            <w:tcW w:w="0" w:type="auto"/>
            <w:vAlign w:val="center"/>
            <w:textDirection w:val="lrTb"/>
            <w:noWrap w:val="false"/>
          </w:tcPr>
          <w:p>
            <w:pPr>
              <w:ind w:left="0" w:right="0" w:firstLine="0"/>
              <w:jc w:val="left"/>
              <w:shd w:val="clear" w:color="auto"/>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具有良好的商业信誉和健全的财务会计制度</w:t>
            </w:r>
            <w:r/>
          </w:p>
        </w:tc>
        <w:tc>
          <w:tcPr>
            <w:tcW w:w="2315" w:type="dxa"/>
            <w:vAlign w:val="center"/>
            <w:vMerge w:val="continue"/>
            <w:textDirection w:val="lrTb"/>
            <w:noWrap w:val="false"/>
          </w:tcPr>
          <w:p>
            <w:pPr>
              <w:ind w:left="0" w:right="0" w:firstLine="0"/>
              <w:jc w:val="center"/>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0"/>
        </w:trPr>
        <w:tc>
          <w:tcPr>
            <w:tcW w:w="0" w:type="auto"/>
            <w:vAlign w:val="center"/>
            <w:textDirection w:val="lrTb"/>
            <w:noWrap w:val="false"/>
          </w:tcPr>
          <w:p>
            <w:pPr>
              <w:ind w:left="0" w:right="0" w:firstLine="0"/>
              <w:jc w:val="left"/>
              <w:shd w:val="clear" w:color="auto"/>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具有履行合同所必需的设备和专业技术能力</w:t>
            </w:r>
            <w:r/>
          </w:p>
        </w:tc>
        <w:tc>
          <w:tcPr>
            <w:tcW w:w="2315" w:type="dxa"/>
            <w:vAlign w:val="center"/>
            <w:vMerge w:val="continue"/>
            <w:textDirection w:val="lrTb"/>
            <w:noWrap w:val="false"/>
          </w:tcPr>
          <w:p>
            <w:pPr>
              <w:ind w:left="0" w:right="0" w:firstLine="0"/>
              <w:jc w:val="center"/>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0"/>
        </w:trPr>
        <w:tc>
          <w:tcPr>
            <w:tcW w:w="0" w:type="auto"/>
            <w:vAlign w:val="center"/>
            <w:textDirection w:val="lrTb"/>
            <w:noWrap w:val="false"/>
          </w:tcPr>
          <w:p>
            <w:pPr>
              <w:ind w:left="0" w:right="0" w:firstLine="0"/>
              <w:jc w:val="left"/>
              <w:shd w:val="clear" w:color="auto"/>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有依法缴纳税收和社会保障资金的良好记录</w:t>
            </w:r>
            <w:r/>
          </w:p>
        </w:tc>
        <w:tc>
          <w:tcPr>
            <w:tcW w:w="2315" w:type="dxa"/>
            <w:vAlign w:val="center"/>
            <w:vMerge w:val="continue"/>
            <w:textDirection w:val="lrTb"/>
            <w:noWrap w:val="false"/>
          </w:tcPr>
          <w:p>
            <w:pPr>
              <w:ind w:left="0" w:right="0" w:firstLine="0"/>
              <w:jc w:val="center"/>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0"/>
        </w:trPr>
        <w:tc>
          <w:tcPr>
            <w:tcW w:w="0" w:type="auto"/>
            <w:vAlign w:val="center"/>
            <w:textDirection w:val="lrTb"/>
            <w:noWrap w:val="false"/>
          </w:tcPr>
          <w:p>
            <w:pPr>
              <w:ind w:left="0" w:right="0" w:firstLine="0"/>
              <w:jc w:val="left"/>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无重大违法行为声明</w:t>
            </w:r>
            <w:r/>
          </w:p>
        </w:tc>
        <w:tc>
          <w:tcPr>
            <w:tcW w:w="2315" w:type="dxa"/>
            <w:vAlign w:val="center"/>
            <w:vMerge w:val="continue"/>
            <w:textDirection w:val="lrTb"/>
            <w:noWrap w:val="false"/>
          </w:tcPr>
          <w:p>
            <w:pPr>
              <w:ind w:left="0" w:right="0" w:firstLine="0"/>
              <w:jc w:val="center"/>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0"/>
        </w:trPr>
        <w:tc>
          <w:tcPr>
            <w:tcW w:w="0" w:type="auto"/>
            <w:vAlign w:val="center"/>
            <w:textDirection w:val="lrTb"/>
            <w:noWrap w:val="false"/>
          </w:tcPr>
          <w:p>
            <w:pPr>
              <w:ind w:left="0" w:right="0" w:firstLine="0"/>
              <w:jc w:val="left"/>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法律、行政法规规定的其他条件</w:t>
            </w:r>
            <w:r/>
          </w:p>
        </w:tc>
        <w:tc>
          <w:tcPr>
            <w:tcW w:w="2315" w:type="dxa"/>
            <w:vAlign w:val="center"/>
            <w:vMerge w:val="continue"/>
            <w:textDirection w:val="lrTb"/>
            <w:noWrap w:val="false"/>
          </w:tcPr>
          <w:p>
            <w:pPr>
              <w:ind w:left="0" w:right="0" w:firstLine="0"/>
              <w:jc w:val="center"/>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0"/>
        </w:trPr>
        <w:tc>
          <w:tcPr>
            <w:tcW w:w="0" w:type="auto"/>
            <w:vAlign w:val="center"/>
            <w:textDirection w:val="lrTb"/>
            <w:noWrap w:val="false"/>
          </w:tcPr>
          <w:p>
            <w:pPr>
              <w:ind w:left="0" w:right="0" w:firstLine="0"/>
              <w:jc w:val="left"/>
              <w:shd w:val="clear" w:color="auto"/>
              <w:rPr>
                <w:rFonts w:hint="eastAsia" w:ascii="宋体" w:hAnsi="宋体" w:eastAsia="宋体" w:cs="宋体"/>
                <w:color w:val="auto"/>
                <w:sz w:val="21"/>
                <w:highlight w:val="none"/>
              </w:rPr>
            </w:pPr>
            <w:r>
              <w:rPr>
                <w:rFonts w:hint="eastAsia" w:ascii="宋体" w:eastAsia="宋体"/>
                <w:color w:val="auto"/>
                <w:sz w:val="21"/>
                <w:highlight w:val="none"/>
                <w:lang w:val="en-US" w:eastAsia="zh-CN"/>
              </w:rPr>
              <w:t xml:space="preserve">南京市政府采购供应商信用记录表暨信用承诺书</w:t>
            </w:r>
            <w:r/>
          </w:p>
        </w:tc>
        <w:tc>
          <w:tcPr>
            <w:tcW w:w="2315" w:type="dxa"/>
            <w:vAlign w:val="center"/>
            <w:vMerge w:val="continue"/>
            <w:textDirection w:val="lrTb"/>
            <w:noWrap w:val="false"/>
          </w:tcPr>
          <w:p>
            <w:pPr>
              <w:ind w:left="0" w:right="0" w:firstLine="0"/>
              <w:jc w:val="center"/>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0"/>
        </w:trPr>
        <w:tc>
          <w:tcPr>
            <w:tcW w:w="0" w:type="auto"/>
            <w:vAlign w:val="center"/>
            <w:textDirection w:val="lrTb"/>
            <w:noWrap w:val="false"/>
          </w:tcPr>
          <w:p>
            <w:pPr>
              <w:ind w:left="0" w:right="0" w:firstLine="0"/>
              <w:jc w:val="left"/>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信用信息</w:t>
            </w:r>
            <w:r/>
          </w:p>
        </w:tc>
        <w:tc>
          <w:tcPr>
            <w:tcW w:w="2315" w:type="dxa"/>
            <w:vAlign w:val="center"/>
            <w:vMerge w:val="continue"/>
            <w:textDirection w:val="lrTb"/>
            <w:noWrap w:val="false"/>
          </w:tcPr>
          <w:p>
            <w:pPr>
              <w:ind w:left="0" w:right="0" w:firstLine="0"/>
              <w:jc w:val="center"/>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0"/>
        </w:trPr>
        <w:tc>
          <w:tcPr>
            <w:tcW w:w="0" w:type="auto"/>
            <w:vAlign w:val="center"/>
            <w:textDirection w:val="lrTb"/>
            <w:noWrap w:val="false"/>
          </w:tcPr>
          <w:p>
            <w:pPr>
              <w:ind w:left="0" w:right="0" w:firstLine="0"/>
              <w:jc w:val="left"/>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符合联合体规定</w:t>
            </w:r>
            <w:r/>
          </w:p>
        </w:tc>
        <w:tc>
          <w:tcPr>
            <w:tcW w:w="2315" w:type="dxa"/>
            <w:vAlign w:val="center"/>
            <w:textDirection w:val="lrTb"/>
            <w:noWrap w:val="false"/>
          </w:tcPr>
          <w:p>
            <w:pPr>
              <w:ind w:left="0" w:right="0" w:firstLine="0"/>
              <w:jc w:val="center"/>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符合</w:t>
            </w:r>
            <w:r>
              <w:rPr>
                <w:rFonts w:hint="eastAsia" w:ascii="宋体" w:hAnsi="宋体" w:eastAsia="宋体" w:cs="宋体"/>
                <w:color w:val="auto"/>
                <w:sz w:val="21"/>
                <w:highlight w:val="none"/>
                <w:lang w:val="en-US" w:eastAsia="zh-CN"/>
              </w:rPr>
              <w:t xml:space="preserve">采购</w:t>
            </w:r>
            <w:r>
              <w:rPr>
                <w:rFonts w:hint="eastAsia" w:ascii="宋体" w:hAnsi="宋体" w:eastAsia="宋体" w:cs="宋体"/>
                <w:color w:val="auto"/>
                <w:sz w:val="21"/>
                <w:highlight w:val="none"/>
              </w:rPr>
              <w:t xml:space="preserve">文件规定</w:t>
            </w:r>
            <w:r/>
          </w:p>
        </w:tc>
      </w:tr>
      <w:tr>
        <w:trPr>
          <w:jc w:val="center"/>
          <w:trHeight w:val="0"/>
        </w:trPr>
        <w:tc>
          <w:tcPr>
            <w:tcW w:w="6048" w:type="dxa"/>
            <w:vAlign w:val="center"/>
            <w:textDirection w:val="lrTb"/>
            <w:noWrap w:val="false"/>
          </w:tcPr>
          <w:p>
            <w:pPr>
              <w:ind w:left="0" w:right="0" w:firstLine="0"/>
              <w:jc w:val="left"/>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特定资格要求</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如有）</w:t>
            </w:r>
            <w:r/>
          </w:p>
        </w:tc>
        <w:tc>
          <w:tcPr>
            <w:tcW w:w="2315" w:type="dxa"/>
            <w:vAlign w:val="center"/>
            <w:textDirection w:val="lrTb"/>
            <w:noWrap w:val="false"/>
          </w:tcPr>
          <w:p>
            <w:pPr>
              <w:ind w:left="0" w:right="0" w:firstLine="0"/>
              <w:jc w:val="center"/>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符合</w:t>
            </w:r>
            <w:r>
              <w:rPr>
                <w:rFonts w:hint="eastAsia" w:ascii="宋体" w:hAnsi="宋体" w:eastAsia="宋体" w:cs="宋体"/>
                <w:color w:val="auto"/>
                <w:sz w:val="21"/>
                <w:highlight w:val="none"/>
                <w:lang w:val="en-US" w:eastAsia="zh-CN"/>
              </w:rPr>
              <w:t xml:space="preserve">采购</w:t>
            </w:r>
            <w:r>
              <w:rPr>
                <w:rFonts w:hint="eastAsia" w:ascii="宋体" w:hAnsi="宋体" w:eastAsia="宋体" w:cs="宋体"/>
                <w:color w:val="auto"/>
                <w:sz w:val="21"/>
                <w:highlight w:val="none"/>
              </w:rPr>
              <w:t xml:space="preserve">文件规定</w:t>
            </w:r>
            <w:r/>
          </w:p>
        </w:tc>
      </w:tr>
    </w:tbl>
    <w:p>
      <w:pPr>
        <w:pStyle w:val="715"/>
        <w:shd w:val="clear" w:color="auto"/>
        <w:rPr>
          <w:rFonts w:hint="eastAsia"/>
          <w:color w:val="auto"/>
          <w:highlight w:val="none"/>
        </w:rPr>
      </w:pPr>
      <w:r/>
      <w:bookmarkStart w:id="47" w:name="_Toc11904"/>
      <w:r>
        <w:rPr>
          <w:rFonts w:hint="eastAsia"/>
          <w:color w:val="auto"/>
          <w:highlight w:val="none"/>
        </w:rPr>
        <w:t xml:space="preserve">二、符合性审查</w:t>
      </w:r>
      <w:bookmarkEnd w:id="46"/>
      <w:r/>
      <w:bookmarkEnd w:id="47"/>
      <w:r/>
      <w:r/>
    </w:p>
    <w:p>
      <w:pPr>
        <w:ind w:firstLine="420"/>
        <w:spacing w:line="360" w:lineRule="auto"/>
        <w:shd w:val="clear" w:color="auto"/>
        <w:rPr>
          <w:rFonts w:hint="eastAsia" w:ascii="宋体" w:hAnsi="宋体" w:cs="宋体"/>
          <w:color w:val="auto"/>
          <w:sz w:val="24"/>
          <w:highlight w:val="none"/>
        </w:rPr>
      </w:pPr>
      <w:r/>
      <w:bookmarkStart w:id="48" w:name="_Toc186207366"/>
      <w:r>
        <w:rPr>
          <w:rFonts w:hint="eastAsia" w:ascii="宋体" w:hAnsi="宋体" w:cs="宋体"/>
          <w:color w:val="auto"/>
          <w:sz w:val="24"/>
          <w:highlight w:val="none"/>
        </w:rPr>
        <w:t xml:space="preserve">符合性审查是指依据</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文件的规定，从商务和技术角度对</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文件的有效性和完整性进行审查，以确定是否对</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文件的实质性要求做出响应。</w:t>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24"/>
        <w:tblW w:w="8363"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501"/>
        <w:gridCol w:w="4862"/>
      </w:tblGrid>
      <w:tr>
        <w:trPr>
          <w:jc w:val="center"/>
          <w:trHeight w:val="0"/>
          <w:tblHeader/>
        </w:trPr>
        <w:tc>
          <w:tcPr>
            <w:tcW w:w="0" w:type="auto"/>
            <w:vAlign w:val="center"/>
            <w:textDirection w:val="lrTb"/>
            <w:noWrap w:val="false"/>
          </w:tcPr>
          <w:p>
            <w:pPr>
              <w:ind w:left="0" w:right="0" w:firstLine="0"/>
              <w:jc w:val="center"/>
              <w:shd w:val="clear" w:color="auto"/>
              <w:rPr>
                <w:rFonts w:hint="eastAsia" w:ascii="宋体" w:hAnsi="宋体" w:cs="宋体"/>
                <w:b/>
                <w:color w:val="auto"/>
                <w:highlight w:val="none"/>
              </w:rPr>
            </w:pPr>
            <w:r>
              <w:rPr>
                <w:rFonts w:hint="eastAsia" w:ascii="宋体" w:hAnsi="宋体" w:cs="宋体"/>
                <w:b/>
                <w:color w:val="auto"/>
                <w:highlight w:val="none"/>
              </w:rPr>
              <w:t xml:space="preserve">符合性审查因素</w:t>
            </w:r>
            <w:r/>
          </w:p>
        </w:tc>
        <w:tc>
          <w:tcPr>
            <w:tcW w:w="4862" w:type="dxa"/>
            <w:vAlign w:val="center"/>
            <w:textDirection w:val="lrTb"/>
            <w:noWrap w:val="false"/>
          </w:tcPr>
          <w:p>
            <w:pPr>
              <w:ind w:left="0" w:right="0" w:firstLine="0"/>
              <w:jc w:val="center"/>
              <w:shd w:val="clear" w:color="auto"/>
              <w:rPr>
                <w:rFonts w:hint="eastAsia" w:ascii="宋体" w:hAnsi="宋体" w:cs="宋体"/>
                <w:b/>
                <w:color w:val="auto"/>
                <w:highlight w:val="none"/>
              </w:rPr>
            </w:pPr>
            <w:r>
              <w:rPr>
                <w:rFonts w:hint="eastAsia" w:ascii="宋体" w:hAnsi="宋体" w:cs="宋体"/>
                <w:b/>
                <w:color w:val="auto"/>
                <w:highlight w:val="none"/>
              </w:rPr>
              <w:t xml:space="preserve">审查标准</w:t>
            </w:r>
            <w:r/>
          </w:p>
        </w:tc>
      </w:tr>
      <w:tr>
        <w:trPr>
          <w:jc w:val="center"/>
          <w:trHeight w:val="0"/>
        </w:trPr>
        <w:tc>
          <w:tcPr>
            <w:tcW w:w="0" w:type="auto"/>
            <w:vAlign w:val="center"/>
            <w:textDirection w:val="lrTb"/>
            <w:noWrap w:val="false"/>
          </w:tcPr>
          <w:p>
            <w:pPr>
              <w:ind w:left="0" w:right="0" w:firstLine="0"/>
              <w:jc w:val="left"/>
              <w:shd w:val="clear" w:color="auto"/>
              <w:rPr>
                <w:rFonts w:hint="eastAsia" w:ascii="宋体" w:hAnsi="宋体" w:cs="宋体"/>
                <w:color w:val="auto"/>
                <w:highlight w:val="none"/>
              </w:rPr>
            </w:pPr>
            <w:r>
              <w:rPr>
                <w:rFonts w:hint="eastAsia" w:ascii="宋体" w:hAnsi="宋体" w:cs="宋体"/>
                <w:color w:val="auto"/>
                <w:highlight w:val="none"/>
              </w:rPr>
              <w:t xml:space="preserve">磋商响应函</w:t>
            </w:r>
            <w:r/>
          </w:p>
        </w:tc>
        <w:tc>
          <w:tcPr>
            <w:tcW w:w="4862" w:type="dxa"/>
            <w:vAlign w:val="center"/>
            <w:textDirection w:val="lrTb"/>
            <w:noWrap w:val="false"/>
          </w:tcPr>
          <w:p>
            <w:pPr>
              <w:ind w:left="0" w:right="0" w:firstLine="0"/>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jc w:val="center"/>
          <w:trHeight w:val="0"/>
        </w:trPr>
        <w:tc>
          <w:tcPr>
            <w:tcW w:w="0" w:type="auto"/>
            <w:vAlign w:val="center"/>
            <w:textDirection w:val="lrTb"/>
            <w:noWrap w:val="false"/>
          </w:tcPr>
          <w:p>
            <w:pPr>
              <w:ind w:left="0" w:right="0" w:firstLine="0"/>
              <w:jc w:val="left"/>
              <w:shd w:val="clear" w:color="auto"/>
              <w:rPr>
                <w:rFonts w:hint="eastAsia" w:ascii="宋体" w:hAnsi="宋体" w:cs="宋体"/>
                <w:color w:val="auto"/>
                <w:highlight w:val="none"/>
              </w:rPr>
            </w:pPr>
            <w:r>
              <w:rPr>
                <w:rFonts w:hint="eastAsia" w:ascii="宋体" w:hAnsi="宋体" w:cs="宋体"/>
                <w:color w:val="auto"/>
                <w:highlight w:val="none"/>
              </w:rPr>
              <w:t xml:space="preserve">法定代表人身份证明</w:t>
            </w:r>
            <w:r>
              <w:rPr>
                <w:rFonts w:hint="eastAsia" w:ascii="宋体" w:hAnsi="宋体" w:cs="宋体"/>
                <w:color w:val="auto"/>
                <w:highlight w:val="none"/>
                <w:lang w:val="en-US" w:eastAsia="zh-CN"/>
              </w:rPr>
              <w:t xml:space="preserve">书</w:t>
            </w:r>
            <w:r>
              <w:rPr>
                <w:rFonts w:hint="eastAsia" w:ascii="宋体" w:hAnsi="宋体" w:cs="宋体"/>
                <w:color w:val="auto"/>
                <w:highlight w:val="none"/>
              </w:rPr>
              <w:t xml:space="preserve">或</w:t>
            </w:r>
            <w:r>
              <w:rPr>
                <w:rFonts w:hint="eastAsia" w:ascii="宋体" w:hAnsi="宋体" w:cs="宋体"/>
                <w:color w:val="auto"/>
                <w:highlight w:val="none"/>
                <w:lang w:val="en-US" w:eastAsia="zh-CN"/>
              </w:rPr>
              <w:t xml:space="preserve">法定代表人</w:t>
            </w:r>
            <w:r>
              <w:rPr>
                <w:rFonts w:hint="eastAsia" w:ascii="宋体" w:hAnsi="宋体" w:cs="宋体"/>
                <w:color w:val="auto"/>
                <w:highlight w:val="none"/>
              </w:rPr>
              <w:t xml:space="preserve">授权委托书</w:t>
            </w:r>
            <w:r/>
          </w:p>
        </w:tc>
        <w:tc>
          <w:tcPr>
            <w:tcW w:w="4862" w:type="dxa"/>
            <w:vAlign w:val="center"/>
            <w:textDirection w:val="lrTb"/>
            <w:noWrap w:val="false"/>
          </w:tcPr>
          <w:p>
            <w:pPr>
              <w:ind w:left="0" w:right="0" w:firstLine="0"/>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jc w:val="center"/>
          <w:trHeight w:val="0"/>
        </w:trPr>
        <w:tc>
          <w:tcPr>
            <w:tcW w:w="0" w:type="auto"/>
            <w:vAlign w:val="center"/>
            <w:textDirection w:val="lrTb"/>
            <w:noWrap w:val="false"/>
          </w:tcPr>
          <w:p>
            <w:pPr>
              <w:ind w:left="0" w:right="0" w:firstLine="0"/>
              <w:jc w:val="left"/>
              <w:shd w:val="clear" w:color="auto"/>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862" w:type="dxa"/>
            <w:vAlign w:val="center"/>
            <w:textDirection w:val="lrTb"/>
            <w:noWrap w:val="false"/>
          </w:tcPr>
          <w:p>
            <w:pPr>
              <w:ind w:left="0" w:right="0" w:firstLine="0"/>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磋采购</w:t>
            </w:r>
            <w:r>
              <w:rPr>
                <w:rFonts w:hint="eastAsia" w:ascii="宋体" w:hAnsi="宋体" w:cs="宋体"/>
                <w:color w:val="auto"/>
                <w:highlight w:val="none"/>
              </w:rPr>
              <w:t xml:space="preserve">文件规定</w:t>
            </w:r>
            <w:r/>
          </w:p>
        </w:tc>
      </w:tr>
      <w:tr>
        <w:trPr>
          <w:jc w:val="center"/>
          <w:trHeight w:val="0"/>
        </w:trPr>
        <w:tc>
          <w:tcPr>
            <w:tcW w:w="0" w:type="auto"/>
            <w:vAlign w:val="center"/>
            <w:textDirection w:val="lrTb"/>
            <w:noWrap w:val="false"/>
          </w:tcPr>
          <w:p>
            <w:pPr>
              <w:ind w:left="0" w:right="0" w:firstLine="0"/>
              <w:jc w:val="left"/>
              <w:shd w:val="clear" w:color="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磋商响应报价表</w:t>
            </w:r>
            <w:r/>
          </w:p>
        </w:tc>
        <w:tc>
          <w:tcPr>
            <w:tcW w:w="4862" w:type="dxa"/>
            <w:vAlign w:val="center"/>
            <w:textDirection w:val="lrTb"/>
            <w:noWrap w:val="false"/>
          </w:tcPr>
          <w:p>
            <w:pPr>
              <w:ind w:left="0" w:right="0" w:firstLine="0"/>
              <w:jc w:val="left"/>
              <w:shd w:val="clear" w:color="auto"/>
              <w:rPr>
                <w:rFonts w:hint="eastAsia" w:ascii="宋体" w:hAnsi="宋体" w:cs="宋体"/>
                <w:color w:val="auto"/>
                <w:highlight w:val="none"/>
              </w:rPr>
            </w:pPr>
            <w:r>
              <w:rPr>
                <w:rFonts w:hint="eastAsia" w:ascii="宋体" w:hAnsi="宋体" w:cs="宋体"/>
                <w:color w:val="auto"/>
                <w:highlight w:val="none"/>
              </w:rPr>
              <w:t xml:space="preserve">格式、填写要求符合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文件规定（报价未超过预算或最高限价）</w:t>
            </w:r>
            <w:r/>
          </w:p>
        </w:tc>
      </w:tr>
      <w:tr>
        <w:trPr>
          <w:jc w:val="center"/>
          <w:trHeight w:val="0"/>
        </w:trPr>
        <w:tc>
          <w:tcPr>
            <w:tcW w:w="3501" w:type="dxa"/>
            <w:vAlign w:val="center"/>
            <w:textDirection w:val="lrTb"/>
            <w:noWrap w:val="false"/>
          </w:tcPr>
          <w:p>
            <w:pPr>
              <w:ind w:left="0" w:right="0" w:firstLine="0"/>
              <w:jc w:val="left"/>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文件对</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文件的实质性条款的响应性</w:t>
            </w:r>
            <w:r/>
          </w:p>
        </w:tc>
        <w:tc>
          <w:tcPr>
            <w:tcW w:w="4862" w:type="dxa"/>
            <w:vAlign w:val="center"/>
            <w:textDirection w:val="lrTb"/>
            <w:noWrap w:val="false"/>
          </w:tcPr>
          <w:p>
            <w:pPr>
              <w:ind w:left="0" w:right="0" w:firstLine="0"/>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pStyle w:val="715"/>
        <w:shd w:val="clear" w:color="auto"/>
        <w:rPr>
          <w:rFonts w:hint="eastAsia"/>
          <w:color w:val="auto"/>
          <w:highlight w:val="none"/>
        </w:rPr>
      </w:pPr>
      <w:r/>
      <w:bookmarkStart w:id="49" w:name="_Toc24362"/>
      <w:r>
        <w:rPr>
          <w:color w:val="auto"/>
          <w:highlight w:val="none"/>
        </w:rPr>
        <w:t xml:space="preserve">三、评分办法—综合评分法</w:t>
      </w:r>
      <w:bookmarkEnd w:id="48"/>
      <w:r/>
      <w:bookmarkEnd w:id="49"/>
      <w:r/>
      <w:r/>
    </w:p>
    <w:p>
      <w:pPr>
        <w:ind w:firstLine="420"/>
        <w:shd w:val="clear" w:color="auto"/>
        <w:rPr>
          <w:rFonts w:hint="eastAsia"/>
          <w:color w:val="auto"/>
          <w:highlight w:val="none"/>
        </w:rPr>
      </w:pPr>
      <w:r>
        <w:rPr>
          <w:b/>
          <w:bCs/>
          <w:color w:val="auto"/>
          <w:highlight w:val="none"/>
        </w:rPr>
        <w:t xml:space="preserve">1、评标办法</w:t>
      </w:r>
      <w:r>
        <w:rPr>
          <w:color w:val="auto"/>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得分高优先；评分、报价、技术得分均相同时，由评标委员会通过抽签方式排序。 </w:t>
      </w:r>
      <w:r/>
    </w:p>
    <w:p>
      <w:pPr>
        <w:shd w:val="clear" w:color="auto"/>
        <w:rPr>
          <w:rFonts w:hint="eastAsia"/>
          <w:color w:val="auto"/>
          <w:highlight w:val="none"/>
        </w:rPr>
      </w:pPr>
      <w:r>
        <w:rPr>
          <w:rFonts w:hint="eastAsia"/>
          <w:color w:val="auto"/>
          <w:highlight w:val="none"/>
        </w:rPr>
        <w:t xml:space="preserve">综合评分保留至小数点后两位。</w:t>
      </w:r>
      <w:r>
        <w:rPr>
          <w:color w:val="auto"/>
          <w:highlight w:val="none"/>
        </w:rPr>
        <w:t xml:space="preserve"> </w:t>
      </w:r>
      <w:r/>
    </w:p>
    <w:tbl>
      <w:tblPr>
        <w:tblStyle w:val="724"/>
        <w:tblW w:w="8660" w:type="dxa"/>
        <w:jc w:val="center"/>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60"/>
        <w:gridCol w:w="6520"/>
        <w:gridCol w:w="1080"/>
      </w:tblGrid>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060" w:type="dxa"/>
            <w:vAlign w:val="center"/>
            <w:textDirection w:val="lrTb"/>
            <w:noWrap/>
          </w:tcPr>
          <w:p>
            <w:pPr>
              <w:jc w:val="center"/>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6520"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评审细则</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分值</w:t>
            </w:r>
            <w:r/>
          </w:p>
        </w:tc>
      </w:tr>
      <w:tr>
        <w:trPr>
          <w:jc w:val="center"/>
          <w:trHeight w:val="1140"/>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价格</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进入详细评审的各投标人评标价的最低值为A值，A值为价格分的满分，即10分。其他投标人的价格分统一按照以下公式计算：投标人评标价得分=（A／该投标人评标价）×10。（保留小数点后两位）</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10</w:t>
            </w:r>
            <w:r/>
          </w:p>
        </w:tc>
      </w:tr>
      <w:tr>
        <w:trPr>
          <w:jc w:val="center"/>
          <w:trHeight w:val="2280"/>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技术要求</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hd w:val="clear" w:color="auto"/>
              <w:widowControl/>
              <w:rPr>
                <w:rFonts w:hint="eastAsia" w:cs="宋体"/>
                <w:b w:val="0"/>
                <w:bCs w:val="0"/>
                <w:color w:val="auto"/>
                <w:sz w:val="21"/>
                <w:szCs w:val="21"/>
                <w:highlight w:val="none"/>
              </w:rPr>
            </w:pPr>
            <w:r>
              <w:rPr>
                <w:rFonts w:hint="eastAsia" w:cs="宋体"/>
                <w:b w:val="0"/>
                <w:bCs w:val="0"/>
                <w:color w:val="auto"/>
                <w:sz w:val="21"/>
                <w:szCs w:val="21"/>
                <w:highlight w:val="none"/>
              </w:rPr>
              <w:t xml:space="preserve">投标人对招标文件具体需求的响应程度能够</w:t>
            </w:r>
            <w:r>
              <w:rPr>
                <w:rFonts w:hint="eastAsia" w:ascii="宋体" w:hAnsi="宋体" w:eastAsia="宋体" w:cs="宋体"/>
                <w:b w:val="0"/>
                <w:bCs w:val="0"/>
                <w:color w:val="auto"/>
                <w:sz w:val="21"/>
                <w:szCs w:val="21"/>
                <w:highlight w:val="none"/>
                <w:shd w:val="clear" w:color="auto" w:fill="auto"/>
                <w:lang w:val="en-US" w:eastAsia="zh-CN"/>
              </w:rPr>
              <w:t xml:space="preserve">满足招标文件第</w:t>
            </w:r>
            <w:r>
              <w:rPr>
                <w:rFonts w:hint="eastAsia" w:cs="宋体"/>
                <w:b w:val="0"/>
                <w:bCs w:val="0"/>
                <w:color w:val="auto"/>
                <w:sz w:val="21"/>
                <w:szCs w:val="21"/>
                <w:highlight w:val="none"/>
              </w:rPr>
              <w:t xml:space="preserve">四章项目需求二、技术要求部分中“</w:t>
            </w:r>
            <w:r>
              <w:rPr>
                <w:rFonts w:hint="eastAsia"/>
                <w:b w:val="0"/>
                <w:bCs w:val="0"/>
                <w:color w:val="auto"/>
                <w:sz w:val="21"/>
                <w:szCs w:val="21"/>
                <w:highlight w:val="none"/>
              </w:rPr>
              <w:t xml:space="preserve">维保要求</w:t>
            </w:r>
            <w:r>
              <w:rPr>
                <w:rFonts w:hint="eastAsia" w:cs="宋体"/>
                <w:b w:val="0"/>
                <w:bCs w:val="0"/>
                <w:color w:val="auto"/>
                <w:sz w:val="21"/>
                <w:szCs w:val="21"/>
                <w:highlight w:val="none"/>
              </w:rPr>
              <w:t xml:space="preserve">”的得</w:t>
            </w:r>
            <w:r>
              <w:rPr>
                <w:rFonts w:hint="eastAsia" w:cs="宋体"/>
                <w:b w:val="0"/>
                <w:bCs w:val="0"/>
                <w:color w:val="auto"/>
                <w:sz w:val="21"/>
                <w:szCs w:val="21"/>
                <w:highlight w:val="none"/>
                <w:lang w:val="en-US" w:eastAsia="zh-CN"/>
              </w:rPr>
              <w:t xml:space="preserve">31</w:t>
            </w:r>
            <w:r>
              <w:rPr>
                <w:rFonts w:hint="eastAsia" w:cs="宋体"/>
                <w:b w:val="0"/>
                <w:bCs w:val="0"/>
                <w:color w:val="auto"/>
                <w:sz w:val="21"/>
                <w:szCs w:val="21"/>
                <w:highlight w:val="none"/>
              </w:rPr>
              <w:t xml:space="preserve">分，</w:t>
            </w:r>
            <w:r/>
          </w:p>
          <w:p>
            <w:pPr>
              <w:numPr>
                <w:ilvl w:val="0"/>
                <w:numId w:val="5"/>
              </w:numPr>
              <w:ind w:firstLine="420"/>
              <w:spacing w:line="440" w:lineRule="exact"/>
              <w:shd w:val="clear" w:color="auto"/>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 xml:space="preserve">普通参数共计</w:t>
            </w:r>
            <w:r>
              <w:rPr>
                <w:rFonts w:hint="eastAsia" w:ascii="宋体" w:hAnsi="宋体" w:cs="宋体"/>
                <w:b w:val="0"/>
                <w:bCs w:val="0"/>
                <w:color w:val="auto"/>
                <w:sz w:val="21"/>
                <w:szCs w:val="21"/>
                <w:highlight w:val="none"/>
                <w:shd w:val="clear" w:color="auto" w:fill="auto"/>
                <w:lang w:val="en-US" w:eastAsia="zh-CN"/>
              </w:rPr>
              <w:t xml:space="preserve">7</w:t>
            </w:r>
            <w:r>
              <w:rPr>
                <w:rFonts w:hint="eastAsia" w:ascii="宋体" w:hAnsi="宋体" w:eastAsia="宋体" w:cs="宋体"/>
                <w:b w:val="0"/>
                <w:bCs w:val="0"/>
                <w:color w:val="auto"/>
                <w:sz w:val="21"/>
                <w:szCs w:val="21"/>
                <w:highlight w:val="none"/>
                <w:shd w:val="clear" w:color="auto" w:fill="auto"/>
                <w:lang w:val="en-US" w:eastAsia="zh-CN"/>
              </w:rPr>
              <w:t xml:space="preserve">项目；</w:t>
            </w:r>
            <w:r/>
          </w:p>
          <w:p>
            <w:pPr>
              <w:numPr>
                <w:ilvl w:val="0"/>
                <w:numId w:val="5"/>
              </w:numPr>
              <w:ind w:left="0" w:firstLine="420"/>
              <w:spacing w:line="440" w:lineRule="exact"/>
              <w:shd w:val="clear" w:color="auto"/>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 xml:space="preserve">标记▲参数为重要参数，共计</w:t>
            </w:r>
            <w:r>
              <w:rPr>
                <w:rFonts w:hint="eastAsia" w:ascii="宋体" w:hAnsi="宋体" w:cs="宋体"/>
                <w:b w:val="0"/>
                <w:bCs w:val="0"/>
                <w:color w:val="auto"/>
                <w:sz w:val="21"/>
                <w:szCs w:val="21"/>
                <w:highlight w:val="none"/>
                <w:shd w:val="clear" w:color="auto" w:fill="auto"/>
                <w:lang w:val="en-US" w:eastAsia="zh-CN"/>
              </w:rPr>
              <w:t xml:space="preserve">6</w:t>
            </w:r>
            <w:r>
              <w:rPr>
                <w:rFonts w:hint="eastAsia" w:ascii="宋体" w:hAnsi="宋体" w:eastAsia="宋体" w:cs="宋体"/>
                <w:b w:val="0"/>
                <w:bCs w:val="0"/>
                <w:color w:val="auto"/>
                <w:sz w:val="21"/>
                <w:szCs w:val="21"/>
                <w:highlight w:val="none"/>
                <w:shd w:val="clear" w:color="auto" w:fill="auto"/>
                <w:lang w:val="en-US" w:eastAsia="zh-CN"/>
              </w:rPr>
              <w:t xml:space="preserve">项；</w:t>
            </w:r>
            <w:r/>
          </w:p>
          <w:p>
            <w:pPr>
              <w:numPr>
                <w:ilvl w:val="0"/>
                <w:numId w:val="5"/>
              </w:numPr>
              <w:ind w:left="0" w:firstLine="420"/>
              <w:spacing w:line="440" w:lineRule="exact"/>
              <w:shd w:val="clear" w:color="auto"/>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 xml:space="preserve">标记★参数为实质性参数，共计</w:t>
            </w:r>
            <w:r>
              <w:rPr>
                <w:rFonts w:hint="eastAsia" w:ascii="宋体" w:hAnsi="宋体" w:cs="宋体"/>
                <w:b w:val="0"/>
                <w:bCs w:val="0"/>
                <w:color w:val="auto"/>
                <w:sz w:val="21"/>
                <w:szCs w:val="21"/>
                <w:highlight w:val="none"/>
                <w:shd w:val="clear" w:color="auto" w:fill="auto"/>
                <w:lang w:val="en-US" w:eastAsia="zh-CN"/>
              </w:rPr>
              <w:t xml:space="preserve">1</w:t>
            </w:r>
            <w:r>
              <w:rPr>
                <w:rFonts w:hint="eastAsia" w:ascii="宋体" w:hAnsi="宋体" w:eastAsia="宋体" w:cs="宋体"/>
                <w:b w:val="0"/>
                <w:bCs w:val="0"/>
                <w:color w:val="auto"/>
                <w:sz w:val="21"/>
                <w:szCs w:val="21"/>
                <w:highlight w:val="none"/>
                <w:shd w:val="clear" w:color="auto" w:fill="auto"/>
                <w:lang w:val="en-US" w:eastAsia="zh-CN"/>
              </w:rPr>
              <w:t xml:space="preserve">项；</w:t>
            </w:r>
            <w:r/>
          </w:p>
          <w:p>
            <w:pPr>
              <w:ind w:firstLine="420"/>
              <w:spacing w:line="440" w:lineRule="exact"/>
              <w:shd w:val="clear" w:color="auto"/>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 xml:space="preserve">普通参数每有一项负偏离扣</w:t>
            </w:r>
            <w:r>
              <w:rPr>
                <w:rFonts w:hint="eastAsia" w:ascii="宋体" w:hAnsi="宋体" w:cs="宋体"/>
                <w:b w:val="0"/>
                <w:bCs w:val="0"/>
                <w:color w:val="auto"/>
                <w:sz w:val="21"/>
                <w:szCs w:val="21"/>
                <w:highlight w:val="none"/>
                <w:shd w:val="clear" w:color="auto" w:fill="auto"/>
                <w:lang w:val="en-US" w:eastAsia="zh-CN"/>
              </w:rPr>
              <w:t xml:space="preserve">1</w:t>
            </w:r>
            <w:r>
              <w:rPr>
                <w:rFonts w:hint="eastAsia" w:ascii="宋体" w:hAnsi="宋体" w:eastAsia="宋体" w:cs="宋体"/>
                <w:b w:val="0"/>
                <w:bCs w:val="0"/>
                <w:color w:val="auto"/>
                <w:sz w:val="21"/>
                <w:szCs w:val="21"/>
                <w:highlight w:val="none"/>
                <w:shd w:val="clear" w:color="auto" w:fill="auto"/>
                <w:lang w:val="en-US" w:eastAsia="zh-CN"/>
              </w:rPr>
              <w:t xml:space="preserve">分，满分</w:t>
            </w:r>
            <w:r>
              <w:rPr>
                <w:rFonts w:hint="eastAsia" w:ascii="宋体" w:hAnsi="宋体" w:cs="宋体"/>
                <w:b w:val="0"/>
                <w:bCs w:val="0"/>
                <w:color w:val="auto"/>
                <w:sz w:val="21"/>
                <w:szCs w:val="21"/>
                <w:highlight w:val="none"/>
                <w:shd w:val="clear" w:color="auto" w:fill="auto"/>
                <w:lang w:val="en-US" w:eastAsia="zh-CN"/>
              </w:rPr>
              <w:t xml:space="preserve">7</w:t>
            </w:r>
            <w:r>
              <w:rPr>
                <w:rFonts w:hint="eastAsia" w:ascii="宋体" w:hAnsi="宋体" w:eastAsia="宋体" w:cs="宋体"/>
                <w:b w:val="0"/>
                <w:bCs w:val="0"/>
                <w:color w:val="auto"/>
                <w:sz w:val="21"/>
                <w:szCs w:val="21"/>
                <w:highlight w:val="none"/>
                <w:shd w:val="clear" w:color="auto" w:fill="auto"/>
                <w:lang w:val="en-US" w:eastAsia="zh-CN"/>
              </w:rPr>
              <w:t xml:space="preserve">分。</w:t>
            </w:r>
            <w:r/>
          </w:p>
          <w:p>
            <w:pPr>
              <w:ind w:firstLine="420"/>
              <w:spacing w:line="440" w:lineRule="exact"/>
              <w:shd w:val="clear" w:color="auto"/>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 xml:space="preserve">带▲参数每有一项负偏离扣</w:t>
            </w:r>
            <w:r>
              <w:rPr>
                <w:rFonts w:hint="eastAsia" w:ascii="宋体" w:hAnsi="宋体" w:cs="宋体"/>
                <w:b w:val="0"/>
                <w:bCs w:val="0"/>
                <w:color w:val="auto"/>
                <w:sz w:val="21"/>
                <w:szCs w:val="21"/>
                <w:highlight w:val="none"/>
                <w:shd w:val="clear" w:color="auto" w:fill="auto"/>
                <w:lang w:val="en-US" w:eastAsia="zh-CN"/>
              </w:rPr>
              <w:t xml:space="preserve">4</w:t>
            </w:r>
            <w:r>
              <w:rPr>
                <w:rFonts w:hint="eastAsia" w:ascii="宋体" w:hAnsi="宋体" w:eastAsia="宋体" w:cs="宋体"/>
                <w:b w:val="0"/>
                <w:bCs w:val="0"/>
                <w:color w:val="auto"/>
                <w:sz w:val="21"/>
                <w:szCs w:val="21"/>
                <w:highlight w:val="none"/>
                <w:shd w:val="clear" w:color="auto" w:fill="auto"/>
                <w:lang w:val="en-US" w:eastAsia="zh-CN"/>
              </w:rPr>
              <w:t xml:space="preserve">分，满分</w:t>
            </w:r>
            <w:r>
              <w:rPr>
                <w:rFonts w:hint="eastAsia" w:ascii="宋体" w:hAnsi="宋体" w:cs="宋体"/>
                <w:b w:val="0"/>
                <w:bCs w:val="0"/>
                <w:color w:val="auto"/>
                <w:sz w:val="21"/>
                <w:szCs w:val="21"/>
                <w:highlight w:val="none"/>
                <w:shd w:val="clear" w:color="auto" w:fill="auto"/>
                <w:lang w:val="en-US" w:eastAsia="zh-CN"/>
              </w:rPr>
              <w:t xml:space="preserve">24</w:t>
            </w:r>
            <w:r>
              <w:rPr>
                <w:rFonts w:hint="eastAsia" w:ascii="宋体" w:hAnsi="宋体" w:eastAsia="宋体" w:cs="宋体"/>
                <w:b w:val="0"/>
                <w:bCs w:val="0"/>
                <w:color w:val="auto"/>
                <w:sz w:val="21"/>
                <w:szCs w:val="21"/>
                <w:highlight w:val="none"/>
                <w:shd w:val="clear" w:color="auto" w:fill="auto"/>
                <w:lang w:val="en-US" w:eastAsia="zh-CN"/>
              </w:rPr>
              <w:t xml:space="preserve">分。</w:t>
            </w:r>
            <w:r/>
          </w:p>
          <w:p>
            <w:pPr>
              <w:ind w:firstLine="420"/>
              <w:spacing w:line="440" w:lineRule="exact"/>
              <w:shd w:val="clear" w:color="auto"/>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shd w:val="clear" w:color="auto" w:fill="auto"/>
              </w:rPr>
              <w:t xml:space="preserve">参数不允许负偏离</w:t>
            </w:r>
            <w:r>
              <w:rPr>
                <w:rFonts w:hint="eastAsia" w:ascii="宋体" w:hAnsi="宋体" w:eastAsia="宋体" w:cs="宋体"/>
                <w:b w:val="0"/>
                <w:bCs w:val="0"/>
                <w:color w:val="auto"/>
                <w:sz w:val="21"/>
                <w:szCs w:val="21"/>
                <w:highlight w:val="none"/>
                <w:shd w:val="clear" w:color="auto" w:fill="auto"/>
                <w:lang w:eastAsia="zh-CN"/>
              </w:rPr>
              <w:t xml:space="preserve">，</w:t>
            </w:r>
            <w:r>
              <w:rPr>
                <w:rFonts w:hint="eastAsia" w:ascii="宋体" w:hAnsi="宋体" w:eastAsia="宋体" w:cs="宋体"/>
                <w:b w:val="0"/>
                <w:bCs w:val="0"/>
                <w:color w:val="auto"/>
                <w:sz w:val="21"/>
                <w:szCs w:val="21"/>
                <w:highlight w:val="none"/>
                <w:shd w:val="clear" w:color="auto" w:fill="auto"/>
                <w:lang w:val="en-US" w:eastAsia="zh-CN"/>
              </w:rPr>
              <w:t xml:space="preserve">带★参数有一项负偏离视为无效文件。</w:t>
            </w:r>
            <w:r/>
          </w:p>
          <w:p>
            <w:pPr>
              <w:spacing w:before="156" w:line="440" w:lineRule="exact"/>
              <w:shd w:val="clear" w:color="auto"/>
              <w:rPr>
                <w:rFonts w:hint="eastAsia" w:eastAsia="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shd w:val="clear" w:color="auto" w:fill="auto"/>
              </w:rPr>
              <w:t xml:space="preserve">注：</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shd w:val="clear" w:color="auto" w:fill="auto"/>
              </w:rPr>
              <w:t xml:space="preserve">参数不允许负偏离，</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shd w:val="clear" w:color="auto" w:fill="auto"/>
              </w:rPr>
              <w:t xml:space="preserve">、▲号参数需要提供技术支撑材料</w:t>
            </w:r>
            <w:r>
              <w:rPr>
                <w:rFonts w:hint="eastAsia" w:ascii="宋体" w:hAnsi="宋体" w:cs="宋体"/>
                <w:b w:val="0"/>
                <w:bCs w:val="0"/>
                <w:color w:val="auto"/>
                <w:sz w:val="21"/>
                <w:szCs w:val="21"/>
                <w:highlight w:val="none"/>
                <w:shd w:val="clear" w:color="auto" w:fill="auto"/>
                <w:lang w:eastAsia="zh-CN"/>
              </w:rPr>
              <w:t xml:space="preserve">，</w:t>
            </w:r>
            <w:r>
              <w:rPr>
                <w:rFonts w:hint="eastAsia" w:ascii="宋体" w:hAnsi="宋体" w:eastAsia="宋体" w:cs="宋体"/>
                <w:b w:val="0"/>
                <w:bCs w:val="0"/>
                <w:color w:val="auto"/>
                <w:sz w:val="21"/>
                <w:szCs w:val="21"/>
                <w:highlight w:val="none"/>
                <w:shd w:val="clear" w:color="auto" w:fill="auto"/>
              </w:rPr>
              <w:t xml:space="preserve">未提供证明材料的视为负偏离。</w:t>
            </w:r>
            <w:r>
              <w:rPr>
                <w:rFonts w:hint="eastAsia" w:ascii="宋体" w:hAnsi="宋体" w:cs="宋体"/>
                <w:b w:val="0"/>
                <w:bCs w:val="0"/>
                <w:color w:val="auto"/>
                <w:sz w:val="21"/>
                <w:szCs w:val="21"/>
                <w:highlight w:val="none"/>
                <w:shd w:val="clear" w:color="auto" w:fill="auto"/>
                <w:lang w:eastAsia="zh-CN"/>
              </w:rPr>
              <w:t xml:space="preserve">（</w:t>
            </w:r>
            <w:r>
              <w:rPr>
                <w:rFonts w:hint="eastAsia" w:ascii="宋体" w:hAnsi="宋体" w:cs="宋体"/>
                <w:b w:val="0"/>
                <w:bCs w:val="0"/>
                <w:color w:val="auto"/>
                <w:sz w:val="21"/>
                <w:szCs w:val="21"/>
                <w:highlight w:val="none"/>
                <w:shd w:val="clear" w:color="auto" w:fill="auto"/>
                <w:lang w:val="en-US" w:eastAsia="zh-CN"/>
              </w:rPr>
              <w:t xml:space="preserve">技术支撑材料</w:t>
            </w:r>
            <w:r>
              <w:rPr>
                <w:rFonts w:hint="eastAsia" w:ascii="宋体" w:hAnsi="宋体" w:eastAsia="宋体" w:cs="宋体"/>
                <w:b w:val="0"/>
                <w:bCs w:val="0"/>
                <w:color w:val="auto"/>
                <w:sz w:val="21"/>
                <w:szCs w:val="21"/>
                <w:highlight w:val="none"/>
                <w:shd w:val="clear" w:color="auto" w:fill="auto"/>
                <w:lang w:val="en-US" w:eastAsia="zh-CN"/>
              </w:rPr>
              <w:t xml:space="preserve">为招标文件所</w:t>
            </w:r>
            <w:r>
              <w:rPr>
                <w:rFonts w:hint="eastAsia" w:ascii="宋体" w:hAnsi="宋体" w:cs="宋体"/>
                <w:b w:val="0"/>
                <w:bCs w:val="0"/>
                <w:color w:val="auto"/>
                <w:sz w:val="21"/>
                <w:szCs w:val="21"/>
                <w:highlight w:val="none"/>
                <w:shd w:val="clear" w:color="auto" w:fill="auto"/>
                <w:lang w:val="en-US" w:eastAsia="zh-CN"/>
              </w:rPr>
              <w:t xml:space="preserve">要求的证明材料</w:t>
            </w:r>
            <w:r>
              <w:rPr>
                <w:rFonts w:hint="eastAsia" w:ascii="宋体" w:hAnsi="宋体" w:cs="宋体"/>
                <w:b w:val="0"/>
                <w:bCs w:val="0"/>
                <w:color w:val="auto"/>
                <w:sz w:val="21"/>
                <w:szCs w:val="21"/>
                <w:highlight w:val="none"/>
                <w:shd w:val="clear" w:color="auto" w:fill="auto"/>
                <w:lang w:eastAsia="zh-CN"/>
              </w:rPr>
              <w:t xml:space="preserve">）</w:t>
            </w:r>
            <w:r/>
          </w:p>
          <w:p>
            <w:pPr>
              <w:jc w:val="left"/>
              <w:shd w:val="clear" w:color="auto"/>
              <w:widowControl/>
              <w:rPr>
                <w:rFonts w:hint="eastAsia" w:asciiTheme="minorEastAsia" w:hAnsiTheme="minorEastAsia" w:eastAsiaTheme="minorEastAsia" w:cstheme="minorEastAsia"/>
                <w:color w:val="auto"/>
                <w:sz w:val="22"/>
                <w:highlight w:val="none"/>
              </w:rPr>
            </w:pPr>
            <w:r>
              <w:rPr>
                <w:rFonts w:hint="eastAsia" w:cs="宋体"/>
                <w:b w:val="0"/>
                <w:bCs w:val="0"/>
                <w:color w:val="auto"/>
                <w:sz w:val="21"/>
                <w:szCs w:val="21"/>
                <w:highlight w:val="none"/>
              </w:rPr>
              <w:t xml:space="preserve">（供应商需在“技术及商务要求响应及偏离表”中如实逐项填列所提供的技术及服务承诺，并按招标文件要求提供相应证明材料。供应商应在偏离表中注明证明材料所在投标文件的页码位置，否则评审小组有权做负偏离处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hd w:val="clear" w:color="auto"/>
              <w:widowControl/>
              <w:rPr>
                <w:rFonts w:hint="default"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 xml:space="preserve">31</w:t>
            </w:r>
            <w:r/>
          </w:p>
        </w:tc>
      </w:tr>
      <w:tr>
        <w:trPr>
          <w:jc w:val="center"/>
          <w:trHeight w:val="459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企业实力</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numPr>
                <w:ilvl w:val="0"/>
                <w:numId w:val="6"/>
              </w:numPr>
              <w:jc w:val="left"/>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维保技术能力（10分）：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投标人具有本项目设备维修保养设备能力的工程师（提供与本项目相关的工程师资质证明材料，并提供投标人近三个月中任一个月为其缴纳的社保证明）。工程师每有一人得2分，最多得10分。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2.工具配置及零配件储备情况：（</w:t>
            </w:r>
            <w:r>
              <w:rPr>
                <w:rFonts w:hint="eastAsia" w:asciiTheme="minorEastAsia" w:hAnsiTheme="minorEastAsia" w:eastAsiaTheme="minorEastAsia" w:cstheme="minorEastAsia"/>
                <w:color w:val="auto"/>
                <w:sz w:val="22"/>
                <w:highlight w:val="none"/>
                <w:lang w:val="en-US" w:eastAsia="zh-CN"/>
              </w:rPr>
              <w:t xml:space="preserve">3</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投标人具有全套维修工具，并提供适用于本设备型号的相关维修工具图片；未提供不得分。</w:t>
            </w:r>
            <w:r/>
          </w:p>
          <w:p>
            <w:pPr>
              <w:numPr>
                <w:ilvl w:val="0"/>
                <w:numId w:val="0"/>
              </w:numPr>
              <w:jc w:val="left"/>
              <w:shd w:val="clear" w:color="auto"/>
              <w:widowControl/>
              <w:rPr>
                <w:rFonts w:hint="eastAsia"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 xml:space="preserve">3.维修证书（4分）</w:t>
            </w:r>
            <w:r/>
          </w:p>
          <w:p>
            <w:pPr>
              <w:numPr>
                <w:ilvl w:val="0"/>
                <w:numId w:val="0"/>
              </w:numPr>
              <w:jc w:val="left"/>
              <w:shd w:val="clear" w:color="auto"/>
              <w:widowControl/>
              <w:rPr>
                <w:rFonts w:hint="default"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 xml:space="preserve">投标人持有设备制造商出具的有效期内类似本项目设备维修证书，每提供一份得2分，满分4分。（提供维修证书扫描件）</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hd w:val="clear" w:color="auto"/>
              <w:widowControl/>
              <w:rPr>
                <w:rFonts w:hint="default"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 xml:space="preserve">17</w:t>
            </w:r>
            <w:r/>
          </w:p>
        </w:tc>
      </w:tr>
      <w:tr>
        <w:trPr>
          <w:jc w:val="center"/>
          <w:trHeight w:val="3990"/>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vMerge w:val="restart"/>
            <w:textDirection w:val="lrTb"/>
            <w:noWrap/>
          </w:tcPr>
          <w:p>
            <w:pPr>
              <w:jc w:val="center"/>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服务方案</w:t>
            </w:r>
            <w:r/>
          </w:p>
          <w:p>
            <w:pPr>
              <w:jc w:val="center"/>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　</w:t>
            </w:r>
            <w:r/>
          </w:p>
          <w:p>
            <w:pPr>
              <w:jc w:val="center"/>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　</w:t>
            </w:r>
            <w:r/>
          </w:p>
          <w:p>
            <w:pPr>
              <w:jc w:val="center"/>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　</w:t>
            </w:r>
            <w:r/>
          </w:p>
          <w:p>
            <w:pPr>
              <w:jc w:val="center"/>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（1）提供合理的维保计划表、维保人员安排并承诺中标后按此执行（</w:t>
            </w:r>
            <w:r>
              <w:rPr>
                <w:rFonts w:hint="eastAsia" w:asciiTheme="minorEastAsia" w:hAnsiTheme="minorEastAsia" w:eastAsiaTheme="minorEastAsia" w:cstheme="minorEastAsia"/>
                <w:color w:val="auto"/>
                <w:sz w:val="22"/>
                <w:highlight w:val="none"/>
                <w:lang w:val="en-US" w:eastAsia="zh-CN"/>
              </w:rPr>
              <w:t xml:space="preserve">7</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a. 维保计划表及维保人员安排详细、具体、明确，对关键内容表述清晰完整，实施路径清晰可行，可操作性强的得 </w:t>
            </w:r>
            <w:r>
              <w:rPr>
                <w:rFonts w:hint="eastAsia" w:asciiTheme="minorEastAsia" w:hAnsiTheme="minorEastAsia" w:eastAsiaTheme="minorEastAsia" w:cstheme="minorEastAsia"/>
                <w:color w:val="auto"/>
                <w:sz w:val="22"/>
                <w:highlight w:val="none"/>
                <w:lang w:val="en-US" w:eastAsia="zh-CN"/>
              </w:rPr>
              <w:t xml:space="preserve">7</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b. 维保计划表及维保人员安排较为详细和具体，关键内容表述清晰完整，实施路径较为明确，可操作性较强的得 </w:t>
            </w:r>
            <w:r>
              <w:rPr>
                <w:rFonts w:hint="eastAsia" w:asciiTheme="minorEastAsia" w:hAnsiTheme="minorEastAsia" w:eastAsiaTheme="minorEastAsia" w:cstheme="minorEastAsia"/>
                <w:color w:val="auto"/>
                <w:sz w:val="22"/>
                <w:highlight w:val="none"/>
                <w:lang w:val="en-US" w:eastAsia="zh-CN"/>
              </w:rPr>
              <w:t xml:space="preserve">5</w:t>
            </w:r>
            <w:r>
              <w:rPr>
                <w:rFonts w:hint="eastAsia" w:asciiTheme="minorEastAsia" w:hAnsiTheme="minorEastAsia" w:eastAsiaTheme="minorEastAsia" w:cstheme="minorEastAsia"/>
                <w:color w:val="auto"/>
                <w:sz w:val="22"/>
                <w:highlight w:val="none"/>
              </w:rPr>
              <w:t xml:space="preserve">分； </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c. 维保计划表及维保人员安排较为简单，但内容基本完整，关键内容表述较清晰，实施路径基本明确，可操作性一般的得 </w:t>
            </w:r>
            <w:r>
              <w:rPr>
                <w:rFonts w:hint="eastAsia" w:asciiTheme="minorEastAsia" w:hAnsiTheme="minorEastAsia" w:eastAsiaTheme="minorEastAsia" w:cstheme="minorEastAsia"/>
                <w:color w:val="auto"/>
                <w:sz w:val="22"/>
                <w:highlight w:val="none"/>
                <w:lang w:val="en-US" w:eastAsia="zh-CN"/>
              </w:rPr>
              <w:t xml:space="preserve">3</w:t>
            </w:r>
            <w:r>
              <w:rPr>
                <w:rFonts w:hint="eastAsia" w:asciiTheme="minorEastAsia" w:hAnsiTheme="minorEastAsia" w:eastAsiaTheme="minorEastAsia" w:cstheme="minorEastAsia"/>
                <w:color w:val="auto"/>
                <w:sz w:val="22"/>
                <w:highlight w:val="none"/>
              </w:rPr>
              <w:t xml:space="preserve">分； </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d. 维保计划表及维保人员安排描述不完整，对关键内容表述基本清晰但存在不足，实施路径不够清晰或存在一定缺陷，可操作性较弱，实施存在一定困难的，得 1 分； </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e. 未提供维保计划表及维保人员安排，或内容极度简略、空洞，无法体现关键内容与实施路径的，得 0 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其余情况或未提供的不得分。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hd w:val="clear" w:color="auto"/>
              <w:widowControl/>
              <w:rPr>
                <w:rFonts w:hint="eastAsia"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 xml:space="preserve">7</w:t>
            </w:r>
            <w:r/>
          </w:p>
        </w:tc>
      </w:tr>
      <w:tr>
        <w:trPr>
          <w:jc w:val="center"/>
          <w:trHeight w:val="313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tcPr>
          <w:p>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（2）应急预案：供应商须有能力应对突发事件应急预案，包括但不仅限于遭遇恶劣天气，医院临时要求等突发事件，根据应答情况评审（</w:t>
            </w:r>
            <w:r>
              <w:rPr>
                <w:rFonts w:hint="eastAsia" w:asciiTheme="minorEastAsia" w:hAnsiTheme="minorEastAsia" w:eastAsiaTheme="minorEastAsia" w:cstheme="minorEastAsia"/>
                <w:color w:val="auto"/>
                <w:sz w:val="22"/>
                <w:highlight w:val="none"/>
                <w:lang w:val="en-US" w:eastAsia="zh-CN"/>
              </w:rPr>
              <w:t xml:space="preserve">6</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a.方案全面、合理，具有针对性，科学合理且具备突出可执行性的，得</w:t>
            </w:r>
            <w:r>
              <w:rPr>
                <w:rFonts w:hint="eastAsia" w:asciiTheme="minorEastAsia" w:hAnsiTheme="minorEastAsia" w:eastAsiaTheme="minorEastAsia" w:cstheme="minorEastAsia"/>
                <w:color w:val="auto"/>
                <w:sz w:val="22"/>
                <w:highlight w:val="none"/>
                <w:lang w:val="en-US" w:eastAsia="zh-CN"/>
              </w:rPr>
              <w:t xml:space="preserve">6</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b.方案较为全面合理，具备良好可执行性，但个别环节的针对性或深度略有不足，得</w:t>
            </w:r>
            <w:r>
              <w:rPr>
                <w:rFonts w:hint="eastAsia" w:asciiTheme="minorEastAsia" w:hAnsiTheme="minorEastAsia" w:eastAsiaTheme="minorEastAsia" w:cstheme="minorEastAsia"/>
                <w:color w:val="auto"/>
                <w:sz w:val="22"/>
                <w:highlight w:val="none"/>
                <w:lang w:val="en-US" w:eastAsia="zh-CN"/>
              </w:rPr>
              <w:t xml:space="preserve">4</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c.方案考虑相对不够全面，但依旧具备基本可行性的，得2分；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d.方案不全面、主要环节存在缺失或明显不合理，可执行性较弱的，得1分。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e.未提供服务方案的不得分。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hd w:val="clear" w:color="auto"/>
              <w:widowControl/>
              <w:rPr>
                <w:rFonts w:hint="eastAsia"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 xml:space="preserve">6</w:t>
            </w:r>
            <w:r/>
          </w:p>
        </w:tc>
      </w:tr>
      <w:tr>
        <w:trPr>
          <w:jc w:val="center"/>
          <w:trHeight w:val="2850"/>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tcPr>
          <w:p>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（3）质量管控：供应商须有一系列保证服务质量的制度、实施方案和考核办法，根据应答情况评审（</w:t>
            </w:r>
            <w:r>
              <w:rPr>
                <w:rFonts w:hint="eastAsia" w:asciiTheme="minorEastAsia" w:hAnsiTheme="minorEastAsia" w:eastAsiaTheme="minorEastAsia" w:cstheme="minorEastAsia"/>
                <w:color w:val="auto"/>
                <w:sz w:val="22"/>
                <w:highlight w:val="none"/>
                <w:lang w:val="en-US" w:eastAsia="zh-CN"/>
              </w:rPr>
              <w:t xml:space="preserve">7</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a.方案全面、合理，具有针对性，科学合理且具备突出可执行性的，得</w:t>
            </w:r>
            <w:r>
              <w:rPr>
                <w:rFonts w:hint="eastAsia" w:asciiTheme="minorEastAsia" w:hAnsiTheme="minorEastAsia" w:eastAsiaTheme="minorEastAsia" w:cstheme="minorEastAsia"/>
                <w:color w:val="auto"/>
                <w:sz w:val="22"/>
                <w:highlight w:val="none"/>
                <w:lang w:val="en-US" w:eastAsia="zh-CN"/>
              </w:rPr>
              <w:t xml:space="preserve">7</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b.方案较为全面合理，具备良好可执行性，但个别环节的针对性或深度略有不足，得</w:t>
            </w:r>
            <w:r>
              <w:rPr>
                <w:rFonts w:hint="eastAsia" w:asciiTheme="minorEastAsia" w:hAnsiTheme="minorEastAsia" w:eastAsiaTheme="minorEastAsia" w:cstheme="minorEastAsia"/>
                <w:color w:val="auto"/>
                <w:sz w:val="22"/>
                <w:highlight w:val="none"/>
                <w:lang w:val="en-US" w:eastAsia="zh-CN"/>
              </w:rPr>
              <w:t xml:space="preserve">5</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c.方案考虑相对不够全面，但依旧具备基本可行性的，得</w:t>
            </w:r>
            <w:r>
              <w:rPr>
                <w:rFonts w:hint="eastAsia" w:asciiTheme="minorEastAsia" w:hAnsiTheme="minorEastAsia" w:eastAsiaTheme="minorEastAsia" w:cstheme="minorEastAsia"/>
                <w:color w:val="auto"/>
                <w:sz w:val="22"/>
                <w:highlight w:val="none"/>
                <w:lang w:val="en-US" w:eastAsia="zh-CN"/>
              </w:rPr>
              <w:t xml:space="preserve">3</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d.方案不全面、主要环节存在缺失或明显不合理，可执行性较弱的，得1分。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e.未提供服务方案的不得分。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hd w:val="clear" w:color="auto"/>
              <w:widowControl/>
              <w:rPr>
                <w:rFonts w:hint="eastAsia"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 xml:space="preserve">7</w:t>
            </w:r>
            <w:r/>
          </w:p>
        </w:tc>
      </w:tr>
      <w:tr>
        <w:trPr>
          <w:jc w:val="center"/>
          <w:trHeight w:val="2850"/>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tcPr>
          <w:p>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（4）根据投标人提供的巡检保养方案进行评分(</w:t>
            </w:r>
            <w:r>
              <w:rPr>
                <w:rFonts w:hint="eastAsia" w:asciiTheme="minorEastAsia" w:hAnsiTheme="minorEastAsia" w:eastAsiaTheme="minorEastAsia" w:cstheme="minorEastAsia"/>
                <w:color w:val="auto"/>
                <w:sz w:val="22"/>
                <w:highlight w:val="none"/>
                <w:lang w:val="en-US" w:eastAsia="zh-CN"/>
              </w:rPr>
              <w:t xml:space="preserve">7</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a.巡检保养方案全面、合理，具有针对性，科学合理且具备突出可执行性的，得</w:t>
            </w:r>
            <w:r>
              <w:rPr>
                <w:rFonts w:hint="eastAsia" w:asciiTheme="minorEastAsia" w:hAnsiTheme="minorEastAsia" w:eastAsiaTheme="minorEastAsia" w:cstheme="minorEastAsia"/>
                <w:color w:val="auto"/>
                <w:sz w:val="22"/>
                <w:highlight w:val="none"/>
                <w:lang w:val="en-US" w:eastAsia="zh-CN"/>
              </w:rPr>
              <w:t xml:space="preserve">7</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b. 巡检保养方案较为全面合理，具备良好可执行性，但个别环节的针对性或深度略有不足，得</w:t>
            </w:r>
            <w:r>
              <w:rPr>
                <w:rFonts w:hint="eastAsia" w:asciiTheme="minorEastAsia" w:hAnsiTheme="minorEastAsia" w:eastAsiaTheme="minorEastAsia" w:cstheme="minorEastAsia"/>
                <w:color w:val="auto"/>
                <w:sz w:val="22"/>
                <w:highlight w:val="none"/>
                <w:lang w:val="en-US" w:eastAsia="zh-CN"/>
              </w:rPr>
              <w:t xml:space="preserve">5</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c. 巡检保养方案考虑相对不够全面，但依旧具备基本可行性的，得</w:t>
            </w:r>
            <w:r>
              <w:rPr>
                <w:rFonts w:hint="eastAsia" w:asciiTheme="minorEastAsia" w:hAnsiTheme="minorEastAsia" w:eastAsiaTheme="minorEastAsia" w:cstheme="minorEastAsia"/>
                <w:color w:val="auto"/>
                <w:sz w:val="22"/>
                <w:highlight w:val="none"/>
                <w:lang w:val="en-US" w:eastAsia="zh-CN"/>
              </w:rPr>
              <w:t xml:space="preserve">3</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d. 巡检保养方案不全面、主要环节存在缺失或明显不合理，可执行性较弱的，得1分。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e.未提供巡检保养方案的不得分。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hd w:val="clear" w:color="auto"/>
              <w:widowControl/>
              <w:rPr>
                <w:rFonts w:hint="eastAsia" w:asciiTheme="minorEastAsia" w:hAnsiTheme="minorEastAsia" w:eastAsiaTheme="minorEastAsia" w:cstheme="minorEastAsia"/>
                <w:color w:val="auto"/>
                <w:sz w:val="22"/>
                <w:highlight w:val="none"/>
                <w:lang w:eastAsia="zh-CN"/>
              </w:rPr>
            </w:pPr>
            <w:r>
              <w:rPr>
                <w:rFonts w:hint="eastAsia" w:asciiTheme="minorEastAsia" w:hAnsiTheme="minorEastAsia" w:eastAsiaTheme="minorEastAsia" w:cstheme="minorEastAsia"/>
                <w:color w:val="auto"/>
                <w:sz w:val="22"/>
                <w:highlight w:val="none"/>
                <w:lang w:val="en-US" w:eastAsia="zh-CN"/>
              </w:rPr>
              <w:t xml:space="preserve">7</w:t>
            </w:r>
            <w:r/>
          </w:p>
        </w:tc>
      </w:tr>
      <w:tr>
        <w:trPr>
          <w:jc w:val="center"/>
          <w:trHeight w:val="3420"/>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tcPr>
          <w:p>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5）对本项目提出符合现场条件的合理化建议（</w:t>
            </w:r>
            <w:r>
              <w:rPr>
                <w:rFonts w:hint="eastAsia" w:asciiTheme="minorEastAsia" w:hAnsiTheme="minorEastAsia" w:eastAsiaTheme="minorEastAsia" w:cstheme="minorEastAsia"/>
                <w:color w:val="auto"/>
                <w:sz w:val="22"/>
                <w:highlight w:val="none"/>
                <w:lang w:val="en-US" w:eastAsia="zh-CN"/>
              </w:rPr>
              <w:t xml:space="preserve">6</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a.合理化建议描述详细、具体、明确，对关键内容表述清晰完整，逻辑严谨，对临床科室延长设备使用寿命有显著促进作用的，得</w:t>
            </w:r>
            <w:r>
              <w:rPr>
                <w:rFonts w:hint="eastAsia" w:asciiTheme="minorEastAsia" w:hAnsiTheme="minorEastAsia" w:eastAsiaTheme="minorEastAsia" w:cstheme="minorEastAsia"/>
                <w:color w:val="auto"/>
                <w:sz w:val="22"/>
                <w:highlight w:val="none"/>
                <w:lang w:val="en-US" w:eastAsia="zh-CN"/>
              </w:rPr>
              <w:t xml:space="preserve">6</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b.合理化建议描述较为详细，关键内容表述基本清晰完整，具有一定操作性，能较好支持临床科室设备维护与寿命延长的，得</w:t>
            </w:r>
            <w:r>
              <w:rPr>
                <w:rFonts w:hint="eastAsia" w:asciiTheme="minorEastAsia" w:hAnsiTheme="minorEastAsia" w:eastAsiaTheme="minorEastAsia" w:cstheme="minorEastAsia"/>
                <w:color w:val="auto"/>
                <w:sz w:val="22"/>
                <w:highlight w:val="none"/>
                <w:lang w:val="en-US" w:eastAsia="zh-CN"/>
              </w:rPr>
              <w:t xml:space="preserve">4</w:t>
            </w:r>
            <w:r>
              <w:rPr>
                <w:rFonts w:hint="eastAsia" w:asciiTheme="minorEastAsia" w:hAnsiTheme="minorEastAsia" w:eastAsiaTheme="minorEastAsia" w:cstheme="minorEastAsia"/>
                <w:color w:val="auto"/>
                <w:sz w:val="22"/>
                <w:highlight w:val="none"/>
              </w:rPr>
              <w:t xml:space="preserve">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c.合理化建议描述较为简单，内容较完整，关键内容表述较清晰，在一定程度上有利于设备使用管理的，得2分；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d.合理化建议描述不完整，关键内容表述模糊，可操作性较弱，对实际设备寿命延长支持有限的，得1分。</w:t>
            </w:r>
            <w:r>
              <w:rPr>
                <w:rFonts w:hint="eastAsia" w:asciiTheme="minorEastAsia" w:hAnsiTheme="minorEastAsia" w:eastAsiaTheme="minorEastAsia" w:cstheme="minorEastAsia"/>
                <w:color w:val="auto"/>
                <w:sz w:val="22"/>
                <w:highlight w:val="none"/>
              </w:rPr>
              <w:br/>
            </w:r>
            <w:r>
              <w:rPr>
                <w:rFonts w:hint="eastAsia" w:asciiTheme="minorEastAsia" w:hAnsiTheme="minorEastAsia" w:eastAsiaTheme="minorEastAsia" w:cstheme="minorEastAsia"/>
                <w:color w:val="auto"/>
                <w:sz w:val="22"/>
                <w:highlight w:val="none"/>
              </w:rPr>
              <w:t xml:space="preserve">e.未提供不得分。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hd w:val="clear" w:color="auto"/>
              <w:widowControl/>
              <w:rPr>
                <w:rFonts w:hint="eastAsia" w:asciiTheme="minorEastAsia" w:hAnsiTheme="minorEastAsia" w:eastAsiaTheme="minorEastAsia" w:cstheme="minorEastAsia"/>
                <w:color w:val="auto"/>
                <w:sz w:val="22"/>
                <w:highlight w:val="none"/>
                <w:lang w:eastAsia="zh-CN"/>
              </w:rPr>
            </w:pPr>
            <w:r>
              <w:rPr>
                <w:rFonts w:hint="eastAsia" w:asciiTheme="minorEastAsia" w:hAnsiTheme="minorEastAsia" w:eastAsiaTheme="minorEastAsia" w:cstheme="minorEastAsia"/>
                <w:color w:val="auto"/>
                <w:sz w:val="22"/>
                <w:highlight w:val="none"/>
                <w:lang w:val="en-US" w:eastAsia="zh-CN"/>
              </w:rPr>
              <w:t xml:space="preserve">6</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业绩</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投标人具有自202</w:t>
            </w:r>
            <w:r>
              <w:rPr>
                <w:rFonts w:hint="eastAsia" w:asciiTheme="minorEastAsia" w:hAnsiTheme="minorEastAsia" w:eastAsiaTheme="minorEastAsia" w:cstheme="minorEastAsia"/>
                <w:color w:val="auto"/>
                <w:sz w:val="22"/>
                <w:highlight w:val="none"/>
                <w:lang w:val="en-US" w:eastAsia="zh-CN"/>
              </w:rPr>
              <w:t xml:space="preserve">3</w:t>
            </w:r>
            <w:r>
              <w:rPr>
                <w:rFonts w:hint="eastAsia" w:asciiTheme="minorEastAsia" w:hAnsiTheme="minorEastAsia" w:eastAsiaTheme="minorEastAsia" w:cstheme="minorEastAsia"/>
                <w:color w:val="auto"/>
                <w:sz w:val="22"/>
                <w:highlight w:val="none"/>
              </w:rPr>
              <w:t xml:space="preserve">年起，具有类似设备的维保业绩（以合同复印件为准）。有一份得3分，最多得9分。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hd w:val="clear" w:color="auto"/>
              <w:widowControl/>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9</w:t>
            </w:r>
            <w:r/>
          </w:p>
        </w:tc>
      </w:tr>
    </w:tbl>
    <w:p>
      <w:pPr>
        <w:shd w:val="clear" w:color="auto"/>
        <w:rPr>
          <w:rFonts w:hint="eastAsia" w:eastAsia="宋体"/>
          <w:b/>
          <w:bCs/>
          <w:color w:val="auto"/>
          <w:highlight w:val="none"/>
          <w:lang w:eastAsia="zh-CN"/>
        </w:rPr>
      </w:pPr>
      <w:r>
        <w:rPr>
          <w:rFonts w:hint="eastAsia" w:eastAsia="宋体"/>
          <w:b/>
          <w:bCs/>
          <w:color w:val="auto"/>
          <w:highlight w:val="none"/>
          <w:lang w:eastAsia="zh-CN"/>
        </w:rPr>
      </w:r>
      <w:r/>
    </w:p>
    <w:p>
      <w:pPr>
        <w:shd w:val="clear" w:color="auto"/>
        <w:rPr>
          <w:rFonts w:hint="eastAsia" w:eastAsia="宋体"/>
          <w:b/>
          <w:bCs/>
          <w:color w:val="auto"/>
          <w:highlight w:val="none"/>
          <w:lang w:eastAsia="zh-CN"/>
        </w:rPr>
      </w:pPr>
      <w:r>
        <w:rPr>
          <w:rFonts w:hint="eastAsia" w:eastAsia="宋体"/>
          <w:b/>
          <w:bCs/>
          <w:color w:val="auto"/>
          <w:highlight w:val="none"/>
          <w:lang w:eastAsia="zh-CN"/>
        </w:rPr>
      </w:r>
      <w:r/>
    </w:p>
    <w:p>
      <w:pPr>
        <w:ind w:firstLine="420"/>
        <w:shd w:val="clear" w:color="auto"/>
        <w:rPr>
          <w:rFonts w:hint="eastAsia"/>
          <w:color w:val="auto"/>
          <w:sz w:val="24"/>
          <w:szCs w:val="28"/>
          <w:highlight w:val="none"/>
        </w:rPr>
      </w:pPr>
      <w:r>
        <w:rPr>
          <w:b/>
          <w:bCs/>
          <w:color w:val="auto"/>
          <w:sz w:val="24"/>
          <w:szCs w:val="28"/>
          <w:highlight w:val="none"/>
        </w:rPr>
        <w:t xml:space="preserve">2、详细评审</w:t>
      </w:r>
      <w:r>
        <w:rPr>
          <w:color w:val="auto"/>
          <w:sz w:val="24"/>
          <w:szCs w:val="28"/>
          <w:highlight w:val="none"/>
        </w:rPr>
        <w:t xml:space="preserve">。评标委员会按照招标文件规定的评分标准，对各投标文件进行详细评审打分。评标委员会组长对各评审专家的打分情况进行复核无误后汇总，形成评审报告。</w:t>
      </w:r>
      <w:r/>
    </w:p>
    <w:p>
      <w:pPr>
        <w:shd w:val="clear" w:color="auto"/>
        <w:rPr>
          <w:rFonts w:hint="eastAsia"/>
          <w:color w:val="auto"/>
          <w:sz w:val="24"/>
          <w:szCs w:val="28"/>
          <w:highlight w:val="none"/>
        </w:rPr>
      </w:pPr>
      <w:r>
        <w:rPr>
          <w:rFonts w:hint="eastAsia"/>
          <w:color w:val="auto"/>
          <w:sz w:val="24"/>
          <w:szCs w:val="28"/>
          <w:highlight w:val="none"/>
        </w:rPr>
        <w:t xml:space="preserve">说明：</w:t>
      </w:r>
      <w:r/>
    </w:p>
    <w:p>
      <w:pPr>
        <w:ind w:firstLine="420"/>
        <w:shd w:val="clear" w:color="auto"/>
        <w:rPr>
          <w:rFonts w:hint="eastAsia"/>
          <w:color w:val="auto"/>
          <w:sz w:val="24"/>
          <w:szCs w:val="28"/>
          <w:highlight w:val="none"/>
        </w:rPr>
      </w:pPr>
      <w:r>
        <w:rPr>
          <w:rFonts w:hint="eastAsia"/>
          <w:color w:val="auto"/>
          <w:sz w:val="24"/>
          <w:szCs w:val="28"/>
          <w:highlight w:val="none"/>
        </w:rPr>
        <w:t xml:space="preserve">（</w:t>
      </w:r>
      <w:r>
        <w:rPr>
          <w:color w:val="auto"/>
          <w:sz w:val="24"/>
          <w:szCs w:val="28"/>
          <w:highlight w:val="none"/>
        </w:rPr>
        <w:t xml:space="preserve">2）小微企业的价格扣除</w:t>
      </w:r>
      <w:r/>
    </w:p>
    <w:p>
      <w:pPr>
        <w:ind w:firstLine="420"/>
        <w:shd w:val="clear" w:color="auto"/>
        <w:rPr>
          <w:rFonts w:hint="eastAsia"/>
          <w:color w:val="auto"/>
          <w:sz w:val="24"/>
          <w:szCs w:val="28"/>
          <w:highlight w:val="none"/>
        </w:rPr>
      </w:pPr>
      <w:r>
        <w:rPr>
          <w:rFonts w:hint="eastAsia"/>
          <w:color w:val="auto"/>
          <w:sz w:val="24"/>
          <w:szCs w:val="28"/>
          <w:highlight w:val="none"/>
        </w:rPr>
        <w:t xml:space="preserve">（</w:t>
      </w:r>
      <w:r>
        <w:rPr>
          <w:color w:val="auto"/>
          <w:sz w:val="24"/>
          <w:szCs w:val="28"/>
          <w:highlight w:val="none"/>
        </w:rPr>
        <w:t xml:space="preserve">2.1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shd w:val="clear" w:color="auto"/>
        <w:rPr>
          <w:rFonts w:hint="eastAsia"/>
          <w:color w:val="auto"/>
          <w:sz w:val="24"/>
          <w:szCs w:val="28"/>
          <w:highlight w:val="none"/>
        </w:rPr>
      </w:pPr>
      <w:r>
        <w:rPr>
          <w:rFonts w:hint="eastAsia"/>
          <w:color w:val="auto"/>
          <w:sz w:val="24"/>
          <w:szCs w:val="28"/>
          <w:highlight w:val="none"/>
        </w:rPr>
        <w:t xml:space="preserve">（</w:t>
      </w:r>
      <w:r>
        <w:rPr>
          <w:color w:val="auto"/>
          <w:sz w:val="24"/>
          <w:szCs w:val="28"/>
          <w:highlight w:val="none"/>
        </w:rPr>
        <w:t xml:space="preserve">2.2）价格扣除比例或者价格分加分比例对小型企业和微型企业同等对待，不作区分。</w:t>
      </w:r>
      <w:r/>
    </w:p>
    <w:p>
      <w:pPr>
        <w:ind w:firstLine="420"/>
        <w:shd w:val="clear" w:color="auto"/>
        <w:rPr>
          <w:rFonts w:hint="eastAsia"/>
          <w:color w:val="auto"/>
          <w:sz w:val="24"/>
          <w:szCs w:val="28"/>
          <w:highlight w:val="none"/>
        </w:rPr>
      </w:pPr>
      <w:r>
        <w:rPr>
          <w:rFonts w:hint="eastAsia"/>
          <w:color w:val="auto"/>
          <w:sz w:val="24"/>
          <w:szCs w:val="28"/>
          <w:highlight w:val="none"/>
        </w:rPr>
        <w:t xml:space="preserve">（</w:t>
      </w:r>
      <w:r>
        <w:rPr>
          <w:color w:val="auto"/>
          <w:sz w:val="24"/>
          <w:szCs w:val="28"/>
          <w:highlight w:val="none"/>
        </w:rPr>
        <w:t xml:space="preserve">3）监狱和戒毒企业的价格扣除</w:t>
      </w:r>
      <w:r/>
    </w:p>
    <w:p>
      <w:pPr>
        <w:ind w:firstLine="420"/>
        <w:shd w:val="clear" w:color="auto"/>
        <w:rPr>
          <w:rFonts w:hint="eastAsia"/>
          <w:color w:val="auto"/>
          <w:sz w:val="24"/>
          <w:szCs w:val="28"/>
          <w:highlight w:val="none"/>
        </w:rPr>
      </w:pPr>
      <w:r>
        <w:rPr>
          <w:rFonts w:hint="eastAsia"/>
          <w:color w:val="auto"/>
          <w:sz w:val="24"/>
          <w:szCs w:val="28"/>
          <w:highlight w:val="none"/>
        </w:rPr>
        <w:t xml:space="preserve">（</w:t>
      </w:r>
      <w:r>
        <w:rPr>
          <w:color w:val="auto"/>
          <w:sz w:val="24"/>
          <w:szCs w:val="28"/>
          <w:highlight w:val="none"/>
        </w:rPr>
        <w:t xml:space="preserve">3.1）本项目对监狱和戒毒企业（简称监狱企业），给予10%的价格扣除，用扣除后的价格参与评审。</w:t>
      </w:r>
      <w:r/>
    </w:p>
    <w:p>
      <w:pPr>
        <w:ind w:firstLine="420"/>
        <w:shd w:val="clear" w:color="auto"/>
        <w:rPr>
          <w:rFonts w:hint="eastAsia"/>
          <w:color w:val="auto"/>
          <w:sz w:val="24"/>
          <w:szCs w:val="28"/>
          <w:highlight w:val="none"/>
        </w:rPr>
      </w:pPr>
      <w:r>
        <w:rPr>
          <w:rFonts w:hint="eastAsia"/>
          <w:color w:val="auto"/>
          <w:sz w:val="24"/>
          <w:szCs w:val="28"/>
          <w:highlight w:val="none"/>
        </w:rPr>
        <w:t xml:space="preserve">（</w:t>
      </w:r>
      <w:r>
        <w:rPr>
          <w:color w:val="auto"/>
          <w:sz w:val="24"/>
          <w:szCs w:val="28"/>
          <w:highlight w:val="none"/>
        </w:rPr>
        <w:t xml:space="preserve">3.2）监狱企业需提供由省级以上监狱管理局、戒毒管理局（含新疆生产建设兵团）出具的属于监狱企业的证明文件。</w:t>
      </w:r>
      <w:r/>
    </w:p>
    <w:p>
      <w:pPr>
        <w:ind w:firstLine="420"/>
        <w:shd w:val="clear" w:color="auto"/>
        <w:rPr>
          <w:rFonts w:hint="eastAsia"/>
          <w:color w:val="auto"/>
          <w:sz w:val="24"/>
          <w:szCs w:val="28"/>
          <w:highlight w:val="none"/>
        </w:rPr>
      </w:pPr>
      <w:r>
        <w:rPr>
          <w:rFonts w:hint="eastAsia"/>
          <w:color w:val="auto"/>
          <w:sz w:val="24"/>
          <w:szCs w:val="28"/>
          <w:highlight w:val="none"/>
        </w:rPr>
        <w:t xml:space="preserve">（</w:t>
      </w:r>
      <w:r>
        <w:rPr>
          <w:color w:val="auto"/>
          <w:sz w:val="24"/>
          <w:szCs w:val="28"/>
          <w:highlight w:val="none"/>
        </w:rPr>
        <w:t xml:space="preserve">3.3）监狱企业标准请参照《关于政府采购支持监狱企业发展有关问题的通知》（财库[2014]68号）。</w:t>
      </w:r>
      <w:r/>
    </w:p>
    <w:p>
      <w:pPr>
        <w:ind w:firstLine="420"/>
        <w:shd w:val="clear" w:color="auto"/>
        <w:rPr>
          <w:rFonts w:hint="eastAsia"/>
          <w:color w:val="auto"/>
          <w:sz w:val="24"/>
          <w:szCs w:val="28"/>
          <w:highlight w:val="none"/>
        </w:rPr>
      </w:pPr>
      <w:r>
        <w:rPr>
          <w:rFonts w:hint="eastAsia"/>
          <w:color w:val="auto"/>
          <w:sz w:val="24"/>
          <w:szCs w:val="28"/>
          <w:highlight w:val="none"/>
        </w:rPr>
        <w:t xml:space="preserve">（</w:t>
      </w:r>
      <w:r>
        <w:rPr>
          <w:color w:val="auto"/>
          <w:sz w:val="24"/>
          <w:szCs w:val="28"/>
          <w:highlight w:val="none"/>
        </w:rPr>
        <w:t xml:space="preserve">4）残疾人福利性单位的价格扣除</w:t>
      </w:r>
      <w:r/>
    </w:p>
    <w:p>
      <w:pPr>
        <w:ind w:firstLine="420"/>
        <w:shd w:val="clear" w:color="auto"/>
        <w:rPr>
          <w:rFonts w:hint="eastAsia"/>
          <w:color w:val="auto"/>
          <w:sz w:val="24"/>
          <w:szCs w:val="28"/>
          <w:highlight w:val="none"/>
        </w:rPr>
      </w:pPr>
      <w:r>
        <w:rPr>
          <w:rFonts w:hint="eastAsia"/>
          <w:color w:val="auto"/>
          <w:sz w:val="24"/>
          <w:szCs w:val="28"/>
          <w:highlight w:val="none"/>
        </w:rPr>
        <w:t xml:space="preserve">（</w:t>
      </w:r>
      <w:r>
        <w:rPr>
          <w:color w:val="auto"/>
          <w:sz w:val="24"/>
          <w:szCs w:val="28"/>
          <w:highlight w:val="none"/>
        </w:rPr>
        <w:t xml:space="preserve">4.1）本项目对残疾人福利性单位，给予10%的价格扣除，用扣除后的价格参与评审。</w:t>
      </w:r>
      <w:r/>
    </w:p>
    <w:p>
      <w:pPr>
        <w:ind w:firstLine="420"/>
        <w:shd w:val="clear" w:color="auto"/>
        <w:rPr>
          <w:rFonts w:hint="eastAsia"/>
          <w:color w:val="auto"/>
          <w:sz w:val="24"/>
          <w:szCs w:val="28"/>
          <w:highlight w:val="none"/>
        </w:rPr>
      </w:pPr>
      <w:r>
        <w:rPr>
          <w:rFonts w:hint="eastAsia"/>
          <w:color w:val="auto"/>
          <w:sz w:val="24"/>
          <w:szCs w:val="28"/>
          <w:highlight w:val="none"/>
        </w:rPr>
        <w:t xml:space="preserve">（</w:t>
      </w:r>
      <w:r>
        <w:rPr>
          <w:color w:val="auto"/>
          <w:sz w:val="24"/>
          <w:szCs w:val="28"/>
          <w:highlight w:val="none"/>
        </w:rPr>
        <w:t xml:space="preserve">4.2）残疾人福利单位需按照招标文件的要求提供《残疾人福利性单位声明函》。</w:t>
      </w:r>
      <w:r/>
    </w:p>
    <w:p>
      <w:pPr>
        <w:ind w:firstLine="420"/>
        <w:shd w:val="clear" w:color="auto"/>
        <w:rPr>
          <w:rFonts w:hint="eastAsia"/>
          <w:color w:val="auto"/>
          <w:sz w:val="24"/>
          <w:szCs w:val="28"/>
          <w:highlight w:val="none"/>
        </w:rPr>
      </w:pPr>
      <w:r>
        <w:rPr>
          <w:rFonts w:hint="eastAsia"/>
          <w:color w:val="auto"/>
          <w:sz w:val="24"/>
          <w:szCs w:val="28"/>
          <w:highlight w:val="none"/>
        </w:rPr>
        <w:t xml:space="preserve">（</w:t>
      </w:r>
      <w:r>
        <w:rPr>
          <w:color w:val="auto"/>
          <w:sz w:val="24"/>
          <w:szCs w:val="28"/>
          <w:highlight w:val="none"/>
        </w:rPr>
        <w:t xml:space="preserve">4.3）残疾人福利单位标准请参照《关于促进残疾人就业政府采购政策的通知》（财库〔2017〕141号）。</w:t>
      </w:r>
      <w:r/>
    </w:p>
    <w:p>
      <w:pPr>
        <w:ind w:firstLine="420"/>
        <w:shd w:val="clear" w:color="auto"/>
        <w:rPr>
          <w:rFonts w:hint="eastAsia"/>
          <w:color w:val="auto"/>
          <w:sz w:val="24"/>
          <w:szCs w:val="28"/>
          <w:highlight w:val="none"/>
        </w:rPr>
      </w:pPr>
      <w:r>
        <w:rPr>
          <w:rFonts w:hint="eastAsia"/>
          <w:color w:val="auto"/>
          <w:sz w:val="24"/>
          <w:szCs w:val="28"/>
          <w:highlight w:val="none"/>
        </w:rPr>
        <w:t xml:space="preserve">（</w:t>
      </w:r>
      <w:r>
        <w:rPr>
          <w:color w:val="auto"/>
          <w:sz w:val="24"/>
          <w:szCs w:val="28"/>
          <w:highlight w:val="none"/>
        </w:rPr>
        <w:t xml:space="preserve">5）监狱企业、残疾人福利单位属于小型、微型企业的，不重复享受政策。</w:t>
      </w:r>
      <w:r/>
    </w:p>
    <w:p>
      <w:pPr>
        <w:ind w:firstLine="420"/>
        <w:shd w:val="clear" w:color="auto"/>
        <w:rPr>
          <w:rFonts w:hint="eastAsia"/>
          <w:color w:val="auto"/>
          <w:sz w:val="24"/>
          <w:szCs w:val="28"/>
          <w:highlight w:val="none"/>
        </w:rPr>
      </w:pPr>
      <w:r>
        <w:rPr>
          <w:rFonts w:hint="eastAsia"/>
          <w:color w:val="auto"/>
          <w:sz w:val="24"/>
          <w:szCs w:val="28"/>
          <w:highlight w:val="none"/>
        </w:rPr>
        <w:t xml:space="preserve">（</w:t>
      </w:r>
      <w:r>
        <w:rPr>
          <w:color w:val="auto"/>
          <w:sz w:val="24"/>
          <w:szCs w:val="28"/>
          <w:highlight w:val="none"/>
        </w:rPr>
        <w:t xml:space="preserve">6）专门面向中小企业采购的项目，不再执行价格评审优惠的扶持政策。</w:t>
      </w:r>
      <w:r/>
    </w:p>
    <w:p>
      <w:pPr>
        <w:ind w:firstLine="420"/>
        <w:shd w:val="clear" w:color="auto"/>
        <w:rPr>
          <w:rFonts w:hint="eastAsia"/>
          <w:color w:val="auto"/>
          <w:sz w:val="24"/>
          <w:szCs w:val="28"/>
          <w:highlight w:val="none"/>
        </w:rPr>
      </w:pPr>
      <w:r>
        <w:rPr>
          <w:color w:val="auto"/>
          <w:sz w:val="24"/>
          <w:szCs w:val="28"/>
          <w:highlight w:val="none"/>
        </w:rPr>
        <w:t xml:space="preserve">（</w:t>
      </w:r>
      <w:r>
        <w:rPr>
          <w:rFonts w:hint="eastAsia"/>
          <w:color w:val="auto"/>
          <w:sz w:val="24"/>
          <w:szCs w:val="28"/>
          <w:highlight w:val="none"/>
        </w:rPr>
        <w:t xml:space="preserve">7</w:t>
      </w:r>
      <w:r>
        <w:rPr>
          <w:color w:val="auto"/>
          <w:sz w:val="24"/>
          <w:szCs w:val="28"/>
          <w:highlight w:val="none"/>
        </w:rPr>
        <w:t xml:space="preserve">）对国家认定的节能产品和环保产品分别给予投标价的5%价格扣除，用扣除后的价格参与评审（特别说明：节能、环保产品必须纳入“中国政府采购网</w:t>
      </w:r>
      <w:r>
        <w:rPr>
          <w:color w:val="auto"/>
          <w:sz w:val="24"/>
          <w:szCs w:val="28"/>
          <w:highlight w:val="none"/>
        </w:rPr>
        <w:fldChar w:fldCharType="begin"/>
      </w:r>
      <w:r>
        <w:rPr>
          <w:color w:val="auto"/>
          <w:sz w:val="24"/>
          <w:szCs w:val="28"/>
          <w:highlight w:val="none"/>
        </w:rPr>
        <w:instrText xml:space="preserve"> HYPERLINK "http://www.ccgp.gov.cn" </w:instrText>
      </w:r>
      <w:r>
        <w:rPr>
          <w:color w:val="auto"/>
          <w:sz w:val="24"/>
          <w:szCs w:val="28"/>
          <w:highlight w:val="none"/>
        </w:rPr>
        <w:fldChar w:fldCharType="separate"/>
      </w:r>
      <w:r>
        <w:rPr>
          <w:rStyle w:val="748"/>
          <w:color w:val="auto"/>
          <w:sz w:val="24"/>
          <w:szCs w:val="28"/>
          <w:highlight w:val="none"/>
        </w:rPr>
        <w:t xml:space="preserve">http://www.ccgp.gov.cn”等官方网站“节能、环保产品查询系统”</w:t>
      </w:r>
      <w:r>
        <w:rPr>
          <w:rStyle w:val="748"/>
          <w:color w:val="auto"/>
          <w:sz w:val="24"/>
          <w:szCs w:val="28"/>
          <w:highlight w:val="none"/>
        </w:rPr>
        <w:fldChar w:fldCharType="end"/>
      </w:r>
      <w:r>
        <w:rPr>
          <w:color w:val="auto"/>
          <w:sz w:val="24"/>
          <w:szCs w:val="28"/>
          <w:highlight w:val="none"/>
        </w:rPr>
        <w:t xml:space="preserve">，且以提供的证书复印件为准）。”</w:t>
      </w:r>
      <w:r/>
    </w:p>
    <w:p>
      <w:pPr>
        <w:ind w:left="420"/>
        <w:shd w:val="clear" w:color="auto"/>
        <w:rPr>
          <w:rFonts w:hint="eastAsia"/>
          <w:b/>
          <w:bCs/>
          <w:color w:val="auto"/>
          <w:sz w:val="24"/>
          <w:szCs w:val="28"/>
          <w:highlight w:val="none"/>
        </w:rPr>
      </w:pPr>
      <w:r>
        <w:rPr>
          <w:rFonts w:hint="eastAsia"/>
          <w:color w:val="auto"/>
          <w:sz w:val="24"/>
          <w:szCs w:val="28"/>
          <w:highlight w:val="none"/>
        </w:rPr>
        <w:t xml:space="preserve">（8</w:t>
      </w:r>
      <w:r>
        <w:rPr>
          <w:color w:val="auto"/>
          <w:sz w:val="24"/>
          <w:szCs w:val="28"/>
          <w:highlight w:val="none"/>
        </w:rPr>
        <w:t xml:space="preserve">）所有认证、证明和业绩均以复印件加盖公章作为依据（文件中明确要求原件的除外），</w:t>
      </w:r>
      <w:r>
        <w:rPr>
          <w:b/>
          <w:bCs/>
          <w:color w:val="auto"/>
          <w:sz w:val="24"/>
          <w:szCs w:val="28"/>
          <w:highlight w:val="none"/>
        </w:rPr>
        <w:t xml:space="preserve">原件标后备查。</w:t>
      </w:r>
      <w:r/>
    </w:p>
    <w:p>
      <w:pPr>
        <w:ind w:firstLine="420"/>
        <w:shd w:val="clear" w:color="auto"/>
        <w:rPr>
          <w:color w:val="auto"/>
          <w:sz w:val="24"/>
          <w:szCs w:val="28"/>
          <w:highlight w:val="none"/>
        </w:rPr>
      </w:pPr>
      <w:r>
        <w:rPr>
          <w:rFonts w:hint="eastAsia"/>
          <w:b/>
          <w:bCs/>
          <w:color w:val="auto"/>
          <w:sz w:val="24"/>
          <w:szCs w:val="28"/>
          <w:highlight w:val="none"/>
        </w:rPr>
        <w:t xml:space="preserve">3</w:t>
      </w:r>
      <w:r>
        <w:rPr>
          <w:b/>
          <w:bCs/>
          <w:color w:val="auto"/>
          <w:sz w:val="24"/>
          <w:szCs w:val="28"/>
          <w:highlight w:val="none"/>
        </w:rPr>
        <w:t xml:space="preserve">、评标结果</w:t>
      </w:r>
      <w:r>
        <w:rPr>
          <w:color w:val="auto"/>
          <w:sz w:val="24"/>
          <w:szCs w:val="28"/>
          <w:highlight w:val="none"/>
        </w:rPr>
        <w:t xml:space="preserve">。评标委员会按照本办法规定推荐中标候选人，并形成评标报告。</w:t>
      </w:r>
      <w:r/>
    </w:p>
    <w:p>
      <w:pPr>
        <w:ind w:firstLine="442"/>
        <w:spacing w:line="360" w:lineRule="auto"/>
        <w:shd w:val="clear" w:color="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ind w:firstLine="442"/>
        <w:spacing w:line="360" w:lineRule="auto"/>
        <w:shd w:val="clear" w:color="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ind w:firstLine="442"/>
        <w:spacing w:line="360" w:lineRule="auto"/>
        <w:shd w:val="clear" w:color="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ind w:firstLine="442"/>
        <w:spacing w:line="360" w:lineRule="auto"/>
        <w:shd w:val="clear" w:color="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ind w:firstLine="442"/>
        <w:spacing w:line="360" w:lineRule="auto"/>
        <w:shd w:val="clear" w:color="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ind w:firstLine="442"/>
        <w:spacing w:line="360" w:lineRule="auto"/>
        <w:shd w:val="clear" w:color="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ind w:firstLine="442"/>
        <w:spacing w:line="360" w:lineRule="auto"/>
        <w:shd w:val="clear" w:color="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ind w:firstLine="442"/>
        <w:spacing w:line="360" w:lineRule="auto"/>
        <w:shd w:val="clear" w:color="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ind w:firstLine="442"/>
        <w:spacing w:line="360" w:lineRule="auto"/>
        <w:shd w:val="clear" w:color="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shd w:val="clear" w:color="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br w:type="page" w:clear="all"/>
      </w:r>
      <w:r/>
    </w:p>
    <w:p>
      <w:pPr>
        <w:pStyle w:val="728"/>
        <w:shd w:val="clear" w:color="auto"/>
        <w:rPr>
          <w:rFonts w:hint="eastAsia"/>
          <w:color w:val="auto"/>
          <w:highlight w:val="none"/>
          <w:lang w:val="zh-CN"/>
        </w:rPr>
      </w:pPr>
      <w:r>
        <w:rPr>
          <w:rFonts w:hint="eastAsia"/>
          <w:color w:val="auto"/>
          <w:highlight w:val="none"/>
          <w:lang w:val="zh-CN"/>
        </w:rPr>
      </w:r>
      <w:r/>
    </w:p>
    <w:p>
      <w:pPr>
        <w:pStyle w:val="998"/>
        <w:jc w:val="center"/>
        <w:spacing w:line="360" w:lineRule="auto"/>
        <w:shd w:val="clear" w:color="auto"/>
        <w:rPr>
          <w:rFonts w:hint="eastAsia" w:ascii="宋体" w:hAnsi="宋体" w:cs="宋体"/>
          <w:color w:val="auto"/>
          <w:sz w:val="52"/>
          <w:highlight w:val="none"/>
        </w:rPr>
      </w:pPr>
      <w:r/>
      <w:bookmarkStart w:id="50" w:name="_Toc14192"/>
      <w:r>
        <w:rPr>
          <w:rFonts w:hint="eastAsia" w:ascii="宋体" w:hAnsi="宋体" w:cs="宋体"/>
          <w:color w:val="auto"/>
          <w:highlight w:val="none"/>
        </w:rPr>
        <w:t xml:space="preserve">第六章 竞争性磋商响应文件格式</w:t>
      </w:r>
      <w:bookmarkEnd w:id="1"/>
      <w:r/>
      <w:bookmarkEnd w:id="50"/>
      <w:r/>
      <w:r/>
    </w:p>
    <w:p>
      <w:pPr>
        <w:jc w:val="center"/>
        <w:spacing w:line="360" w:lineRule="auto"/>
        <w:shd w:val="clear" w:color="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shd w:val="clear" w:color="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t xml:space="preserve">竞争性磋商响应文件</w:t>
      </w:r>
      <w:r/>
    </w:p>
    <w:p>
      <w:pPr>
        <w:jc w:val="center"/>
        <w:spacing w:line="360" w:lineRule="auto"/>
        <w:shd w:val="clear" w:color="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shd w:val="clear" w:color="auto"/>
        <w:rPr>
          <w:rFonts w:hint="eastAsia" w:ascii="宋体" w:hAnsi="宋体" w:cs="宋体"/>
          <w:b/>
          <w:color w:val="auto"/>
          <w:sz w:val="36"/>
          <w:highlight w:val="none"/>
        </w:rPr>
        <w:outlineLvl w:val="0"/>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shd w:val="clear" w:color="auto"/>
        <w:rPr>
          <w:rFonts w:hint="eastAsia" w:ascii="宋体" w:hAnsi="宋体" w:cs="宋体"/>
          <w:b/>
          <w:color w:val="auto"/>
          <w:sz w:val="36"/>
          <w:highlight w:val="none"/>
          <w:u w:val="single"/>
        </w:rPr>
        <w:outlineLvl w:val="0"/>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shd w:val="clear" w:color="auto"/>
        <w:rPr>
          <w:rFonts w:hint="eastAsia" w:ascii="宋体" w:hAnsi="宋体" w:cs="宋体"/>
          <w:b/>
          <w:color w:val="auto"/>
          <w:sz w:val="36"/>
          <w:highlight w:val="none"/>
          <w:u w:val="single"/>
        </w:rPr>
        <w:outlineLvl w:val="0"/>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shd w:val="clear" w:color="auto"/>
        <w:rPr>
          <w:rFonts w:hint="eastAsia" w:ascii="宋体" w:hAnsi="宋体" w:cs="宋体"/>
          <w:b/>
          <w:color w:val="auto"/>
          <w:sz w:val="36"/>
          <w:highlight w:val="none"/>
          <w:u w:val="single"/>
        </w:rPr>
        <w:outlineLvl w:val="0"/>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shd w:val="clear" w:color="auto"/>
        <w:rPr>
          <w:rFonts w:hint="eastAsia" w:ascii="宋体" w:hAnsi="宋体" w:cs="宋体"/>
          <w:b/>
          <w:color w:val="auto"/>
          <w:sz w:val="36"/>
          <w:highlight w:val="none"/>
        </w:rPr>
        <w:outlineLvl w:val="0"/>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jc w:val="center"/>
        <w:spacing w:line="360" w:lineRule="auto"/>
        <w:shd w:val="clear" w:color="auto"/>
        <w:rPr>
          <w:rFonts w:hint="eastAsia" w:ascii="宋体" w:hAnsi="宋体" w:cs="宋体"/>
          <w:b/>
          <w:bCs/>
          <w:color w:val="auto"/>
          <w:sz w:val="32"/>
          <w:szCs w:val="32"/>
          <w:highlight w:val="none"/>
        </w:rPr>
        <w:outlineLvl w:val="0"/>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shd w:val="clear" w:color="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一、资格审查响应对照表</w:t>
      </w:r>
      <w:r/>
    </w:p>
    <w:p>
      <w:pPr>
        <w:ind w:left="480"/>
        <w:spacing w:line="360" w:lineRule="auto"/>
        <w:shd w:val="clear" w:color="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二、符合性审查响应对照表</w:t>
      </w:r>
      <w:r/>
    </w:p>
    <w:p>
      <w:pPr>
        <w:ind w:left="480"/>
        <w:spacing w:line="360" w:lineRule="auto"/>
        <w:shd w:val="clear" w:color="auto"/>
        <w:rPr>
          <w:rFonts w:hint="eastAsia" w:ascii="宋体" w:hAnsi="宋体" w:cs="宋体"/>
          <w:b/>
          <w:bCs/>
          <w:color w:val="auto"/>
          <w:sz w:val="24"/>
          <w:highlight w:val="none"/>
        </w:rPr>
        <w:outlineLvl w:val="0"/>
      </w:pPr>
      <w:r>
        <w:rPr>
          <w:rFonts w:hint="eastAsia" w:ascii="宋体" w:hAnsi="宋体" w:cs="宋体"/>
          <w:color w:val="auto"/>
          <w:sz w:val="24"/>
          <w:highlight w:val="none"/>
        </w:rPr>
        <w:t xml:space="preserve">三、</w:t>
      </w:r>
      <w:r>
        <w:rPr>
          <w:rFonts w:hint="eastAsia" w:ascii="宋体" w:hAnsi="宋体" w:cs="宋体"/>
          <w:i/>
          <w:color w:val="auto"/>
          <w:sz w:val="24"/>
          <w:highlight w:val="none"/>
          <w:u w:val="single"/>
        </w:rPr>
        <w:t xml:space="preserve">磋商响应报价表</w:t>
      </w:r>
      <w:r/>
    </w:p>
    <w:p>
      <w:pPr>
        <w:ind w:firstLine="480"/>
        <w:spacing w:line="360" w:lineRule="auto"/>
        <w:shd w:val="clear" w:color="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四、</w:t>
      </w:r>
      <w:r>
        <w:rPr>
          <w:rFonts w:hint="eastAsia" w:ascii="宋体" w:hAnsi="宋体" w:cs="宋体"/>
          <w:color w:val="auto"/>
          <w:sz w:val="24"/>
          <w:szCs w:val="24"/>
          <w:highlight w:val="none"/>
        </w:rPr>
        <w:t xml:space="preserve">技术参数响应及偏离表</w:t>
      </w:r>
      <w:r/>
    </w:p>
    <w:p>
      <w:pPr>
        <w:ind w:firstLine="480"/>
        <w:spacing w:line="360" w:lineRule="auto"/>
        <w:shd w:val="clear" w:color="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shd w:val="clear" w:color="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六、其他 （供应商认为有必要提供的声明和文件，如有自拟并自行添加）</w:t>
      </w:r>
      <w:r/>
    </w:p>
    <w:p>
      <w:pPr>
        <w:jc w:val="center"/>
        <w:spacing w:line="360" w:lineRule="auto"/>
        <w:shd w:val="clear" w:color="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24"/>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资格条件</w:t>
            </w:r>
            <w:r/>
          </w:p>
        </w:tc>
      </w:tr>
      <w:tr>
        <w:trPr>
          <w:trHeight w:val="761"/>
        </w:trPr>
        <w:tc>
          <w:tcPr>
            <w:tcW w:w="706"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824" w:type="dxa"/>
            <w:vAlign w:val="center"/>
            <w:textDirection w:val="lrTb"/>
            <w:noWrap w:val="false"/>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824"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824"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824"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824"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824"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before="156" w:after="156"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156" w:after="156" w:line="360" w:lineRule="auto"/>
        <w:shd w:val="clear" w:color="auto"/>
        <w:rPr>
          <w:rFonts w:hint="eastAsia" w:ascii="宋体" w:hAnsi="宋体" w:cs="宋体"/>
          <w:b/>
          <w:bCs/>
          <w:color w:val="auto"/>
          <w:highlight w:val="none"/>
        </w:rPr>
        <w:outlineLvl w:val="1"/>
      </w:pPr>
      <w:r>
        <w:rPr>
          <w:rFonts w:hint="eastAsia" w:ascii="宋体" w:hAnsi="宋体" w:cs="宋体"/>
          <w:b/>
          <w:bCs/>
          <w:color w:val="auto"/>
          <w:highlight w:val="none"/>
        </w:rPr>
        <w:br w:type="page" w:clear="all"/>
      </w:r>
      <w:r/>
    </w:p>
    <w:p>
      <w:pPr>
        <w:jc w:val="center"/>
        <w:spacing w:before="156" w:after="156" w:line="360" w:lineRule="auto"/>
        <w:shd w:val="clear" w:color="auto"/>
        <w:rPr>
          <w:rFonts w:hint="eastAsia" w:ascii="宋体" w:hAnsi="宋体" w:cs="宋体"/>
          <w:b/>
          <w:bCs/>
          <w:color w:val="auto"/>
          <w:highlight w:val="none"/>
        </w:rPr>
        <w:outlineLvl w:val="1"/>
      </w:pPr>
      <w:r>
        <w:rPr>
          <w:rFonts w:hint="eastAsia" w:ascii="宋体" w:hAnsi="宋体" w:cs="宋体"/>
          <w:b/>
          <w:bCs/>
          <w:color w:val="auto"/>
          <w:highlight w:val="none"/>
        </w:rPr>
        <w:t xml:space="preserve">具有独立承担民事责任的能力（提供法人或者其他组织的营业执照等证明文件；供应商为自然人的，提供其身份证）</w:t>
      </w:r>
      <w:r/>
    </w:p>
    <w:p>
      <w:pPr>
        <w:ind w:firstLine="482"/>
        <w:jc w:val="left"/>
        <w:spacing w:line="360" w:lineRule="auto"/>
        <w:shd w:val="clear" w:color="auto"/>
        <w:widowControl/>
        <w:rPr>
          <w:rFonts w:hint="eastAsia" w:ascii="宋体" w:hAnsi="宋体" w:cs="宋体"/>
          <w:color w:val="auto"/>
          <w:sz w:val="22"/>
          <w:szCs w:val="21"/>
          <w:highlight w:val="none"/>
          <w:lang w:bidi="ar"/>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具有良好的商业信誉和健全的财务会计制度（</w:t>
      </w:r>
      <w:r>
        <w:rPr>
          <w:rFonts w:hint="eastAsia" w:ascii="宋体" w:hAnsi="宋体" w:cs="宋体"/>
          <w:color w:val="auto"/>
          <w:sz w:val="22"/>
          <w:szCs w:val="21"/>
          <w:highlight w:val="none"/>
          <w:lang w:bidi="ar"/>
        </w:rPr>
        <w:t xml:space="preserve">（提供 2024</w:t>
      </w:r>
      <w:r>
        <w:rPr>
          <w:rFonts w:hint="eastAsia" w:ascii="宋体" w:hAnsi="宋体" w:cs="宋体"/>
          <w:color w:val="auto"/>
          <w:sz w:val="22"/>
          <w:szCs w:val="21"/>
          <w:highlight w:val="none"/>
          <w:lang w:val="en-US" w:eastAsia="zh-CN" w:bidi="ar"/>
        </w:rPr>
        <w:t xml:space="preserve">或2025</w:t>
      </w:r>
      <w:r>
        <w:rPr>
          <w:rFonts w:hint="eastAsia" w:ascii="宋体" w:hAnsi="宋体" w:cs="宋体"/>
          <w:color w:val="auto"/>
          <w:sz w:val="22"/>
          <w:szCs w:val="21"/>
          <w:highlight w:val="none"/>
          <w:lang w:bidi="ar"/>
        </w:rPr>
        <w:t xml:space="preserve">年度财务报告，至少包含资产负债表、利润表，或投标截止时间前六个月内银行出具的资信证明；成立不满一年的无须提供）；</w:t>
      </w:r>
      <w:r/>
    </w:p>
    <w:p>
      <w:pPr>
        <w:ind w:firstLine="482"/>
        <w:jc w:val="left"/>
        <w:spacing w:line="360" w:lineRule="auto"/>
        <w:shd w:val="clear" w:color="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jc w:val="center"/>
        <w:spacing w:before="156" w:after="156" w:line="360" w:lineRule="auto"/>
        <w:shd w:val="clear" w:color="auto"/>
        <w:rPr>
          <w:rFonts w:hint="eastAsia" w:ascii="宋体" w:hAnsi="宋体" w:cs="宋体"/>
          <w:b/>
          <w:bCs/>
          <w:color w:val="auto"/>
          <w:highlight w:val="none"/>
        </w:rPr>
        <w:outlineLvl w:val="1"/>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spacing w:line="360" w:lineRule="auto"/>
        <w:shd w:val="clear" w:color="auto"/>
        <w:rPr>
          <w:rFonts w:hint="eastAsia" w:ascii="宋体" w:hAnsi="宋体" w:cs="宋体"/>
          <w:color w:val="auto"/>
          <w:highlight w:val="none"/>
        </w:rPr>
      </w:pPr>
      <w:r>
        <w:rPr>
          <w:rFonts w:hint="eastAsia" w:ascii="宋体" w:hAnsi="宋体" w:cs="宋体"/>
          <w:bCs/>
          <w:color w:val="auto"/>
          <w:highlight w:val="none"/>
        </w:rPr>
        <w:t xml:space="preserve">                              </w:t>
      </w:r>
      <w:r/>
    </w:p>
    <w:p>
      <w:pPr>
        <w:jc w:val="right"/>
        <w:spacing w:line="360" w:lineRule="auto"/>
        <w:shd w:val="clear" w:color="auto"/>
        <w:rPr>
          <w:rFonts w:hint="eastAsia" w:ascii="宋体" w:hAnsi="宋体" w:cs="宋体"/>
          <w:color w:val="auto"/>
          <w:highlight w:val="none"/>
        </w:rPr>
      </w:pPr>
      <w:r>
        <w:rPr>
          <w:rFonts w:hint="eastAsia" w:ascii="宋体" w:hAnsi="宋体" w:cs="宋体"/>
          <w:bCs/>
          <w:color w:val="auto"/>
          <w:highlight w:val="none"/>
        </w:rPr>
        <w:t xml:space="preserve">  供应商名称（公章）：</w:t>
      </w:r>
      <w:r/>
    </w:p>
    <w:p>
      <w:pPr>
        <w:spacing w:line="360" w:lineRule="auto"/>
        <w:shd w:val="clear" w:color="auto"/>
        <w:rPr>
          <w:color w:val="auto"/>
          <w:highlight w:val="none"/>
        </w:rPr>
      </w:pPr>
      <w:r>
        <w:rPr>
          <w:rFonts w:hint="eastAsia" w:ascii="宋体" w:hAnsi="宋体" w:cs="宋体"/>
          <w:bCs/>
          <w:color w:val="auto"/>
          <w:highlight w:val="none"/>
        </w:rPr>
        <w:t xml:space="preserve">                                                    日期：______年    月    日</w:t>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有依法缴纳税收和社会保障资金的良好记录（</w:t>
      </w:r>
      <w:r>
        <w:rPr>
          <w:rFonts w:hint="default" w:ascii="宋体" w:hAnsi="宋体" w:eastAsia="宋体" w:cs="宋体"/>
          <w:b/>
          <w:bCs/>
          <w:color w:val="auto"/>
          <w:highlight w:val="none"/>
        </w:rPr>
        <w:t xml:space="preserve">参加本次政府采购活动前6个月内至少一个月</w:t>
      </w:r>
      <w:r>
        <w:rPr>
          <w:rFonts w:hint="eastAsia" w:ascii="宋体" w:hAnsi="宋体" w:eastAsia="宋体" w:cs="宋体"/>
          <w:b/>
          <w:bCs/>
          <w:color w:val="auto"/>
          <w:highlight w:val="none"/>
          <w:lang w:eastAsia="zh-CN"/>
        </w:rPr>
        <w:t xml:space="preserve">）</w:t>
      </w:r>
      <w:r>
        <w:rPr>
          <w:rFonts w:hint="eastAsia" w:ascii="宋体" w:hAnsi="宋体" w:cs="宋体"/>
          <w:b/>
          <w:bCs/>
          <w:color w:val="auto"/>
          <w:highlight w:val="none"/>
        </w:rPr>
        <w:t xml:space="preserve">的依法缴纳税收和社会保险费的相关材料（提供相关主管部门证明或银行代扣证明的复印件，根据国家相关政策免缴或迟缴的需提供相关证明材料）</w:t>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bCs/>
          <w:color w:val="auto"/>
          <w:highlight w:val="none"/>
        </w:rPr>
        <w:outlineLvl w:val="1"/>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shd w:val="clear" w:color="auto"/>
        <w:rPr>
          <w:rFonts w:hint="eastAsia" w:ascii="宋体" w:hAnsi="宋体" w:cs="宋体"/>
          <w:b/>
          <w:bCs/>
          <w:color w:val="auto"/>
          <w:highlight w:val="none"/>
        </w:rPr>
        <w:outlineLvl w:val="1"/>
      </w:pPr>
      <w:r>
        <w:rPr>
          <w:rFonts w:hint="eastAsia" w:ascii="宋体" w:hAnsi="宋体" w:cs="宋体"/>
          <w:b/>
          <w:bCs/>
          <w:color w:val="auto"/>
          <w:highlight w:val="none"/>
        </w:rPr>
        <w:t xml:space="preserve">声  明</w:t>
      </w:r>
      <w:r/>
    </w:p>
    <w:p>
      <w:pPr>
        <w:spacing w:line="360" w:lineRule="auto"/>
        <w:shd w:val="clear" w:color="auto"/>
        <w:rPr>
          <w:rFonts w:hint="eastAsia"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rPr>
          <w:rFonts w:hint="eastAsia" w:ascii="宋体" w:hAnsi="宋体" w:cs="宋体"/>
          <w:color w:val="auto"/>
          <w:highlight w:val="none"/>
        </w:rPr>
      </w:pPr>
      <w:r>
        <w:rPr>
          <w:rFonts w:hint="eastAsia" w:ascii="宋体" w:hAnsi="宋体" w:cs="宋体"/>
          <w:bCs/>
          <w:color w:val="auto"/>
          <w:highlight w:val="none"/>
        </w:rPr>
        <w:t xml:space="preserve">                               </w:t>
      </w:r>
      <w:r/>
    </w:p>
    <w:p>
      <w:pPr>
        <w:jc w:val="right"/>
        <w:spacing w:line="360" w:lineRule="auto"/>
        <w:shd w:val="clear" w:color="auto"/>
        <w:rPr>
          <w:rFonts w:hint="eastAsia" w:ascii="宋体" w:hAnsi="宋体" w:cs="宋体"/>
          <w:color w:val="auto"/>
          <w:highlight w:val="none"/>
        </w:rPr>
      </w:pPr>
      <w:r>
        <w:rPr>
          <w:rFonts w:hint="eastAsia" w:ascii="宋体" w:hAnsi="宋体" w:cs="宋体"/>
          <w:bCs/>
          <w:color w:val="auto"/>
          <w:highlight w:val="none"/>
        </w:rPr>
        <w:t xml:space="preserve">供应商名称（公章）：</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                               </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                               日期：______年    月    日</w:t>
      </w:r>
      <w:r/>
    </w:p>
    <w:p>
      <w:pPr>
        <w:jc w:val="center"/>
        <w:spacing w:line="360" w:lineRule="auto"/>
        <w:shd w:val="clear" w:color="auto"/>
        <w:rPr>
          <w:rFonts w:hint="eastAsia" w:ascii="宋体" w:hAnsi="宋体" w:cs="宋体"/>
          <w:b/>
          <w:bCs/>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hd w:val="clear" w:color="auto"/>
        <w:widowControl/>
        <w:rPr>
          <w:rFonts w:hint="eastAsia" w:ascii="黑体" w:hAnsi="宋体" w:eastAsia="黑体"/>
          <w:b/>
          <w:bCs/>
          <w:color w:val="auto"/>
          <w:sz w:val="32"/>
          <w:szCs w:val="44"/>
          <w:highlight w:val="none"/>
          <w:lang w:val="zh-CN" w:bidi="ar"/>
        </w:rPr>
      </w:pPr>
      <w:r>
        <w:rPr>
          <w:rFonts w:hint="eastAsia" w:ascii="黑体" w:hAnsi="宋体" w:eastAsia="黑体"/>
          <w:b/>
          <w:bCs/>
          <w:color w:val="auto"/>
          <w:sz w:val="32"/>
          <w:szCs w:val="44"/>
          <w:highlight w:val="none"/>
          <w:lang w:val="zh-CN" w:bidi="ar"/>
        </w:rPr>
        <w:t xml:space="preserve">南京市政府采购供应商信用记录表暨信用承诺书</w:t>
      </w:r>
      <w:r/>
    </w:p>
    <w:p>
      <w:pPr>
        <w:ind w:firstLine="420"/>
        <w:spacing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ascii="宋体" w:hAnsi="宋体" w:cs="宋体"/>
          <w:color w:val="auto"/>
          <w:sz w:val="22"/>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jc w:val="center"/>
        <w:spacing w:line="360" w:lineRule="auto"/>
        <w:shd w:val="clear" w:color="auto"/>
        <w:rPr>
          <w:rFonts w:hint="eastAsia" w:ascii="宋体" w:hAnsi="宋体" w:cs="宋体"/>
          <w:b/>
          <w:color w:val="auto"/>
          <w:highlight w:val="none"/>
        </w:rPr>
        <w:outlineLvl w:val="1"/>
      </w:pPr>
      <w:r>
        <w:rPr>
          <w:rFonts w:hint="eastAsia" w:ascii="宋体" w:hAnsi="宋体" w:cs="宋体"/>
          <w:b/>
          <w:color w:val="auto"/>
          <w:highlight w:val="none"/>
        </w:rPr>
        <w:br w:type="page" w:clear="all"/>
      </w:r>
      <w:r>
        <w:rPr>
          <w:rFonts w:hint="eastAsia" w:ascii="宋体" w:hAnsi="宋体" w:cs="宋体"/>
          <w:b/>
          <w:color w:val="auto"/>
          <w:highlight w:val="none"/>
        </w:rPr>
        <w:t xml:space="preserve">磋商响应函</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致：江苏弘业国际技术工程有限公司</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法定代表人姓名（签字或盖章）：         联系电话：</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04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778"/>
        <w:ind w:firstLine="643"/>
        <w:jc w:val="center"/>
        <w:spacing w:before="0" w:after="0" w:line="85" w:lineRule="atLeast"/>
        <w:shd w:val="clear" w:color="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br w:type="page" w:clear="all"/>
      </w:r>
      <w:bookmarkStart w:id="51" w:name="_Toc638"/>
      <w:r>
        <w:rPr>
          <w:rFonts w:hint="eastAsia" w:ascii="宋体" w:hAnsi="宋体" w:eastAsia="宋体" w:cs="宋体"/>
          <w:b/>
          <w:color w:val="auto"/>
          <w:sz w:val="21"/>
          <w:szCs w:val="22"/>
          <w:highlight w:val="none"/>
        </w:rPr>
        <w:t xml:space="preserve">法定代表人身份证明书</w:t>
      </w:r>
      <w:bookmarkEnd w:id="51"/>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 </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兹证明</w:t>
      </w:r>
      <w:r>
        <w:rPr>
          <w:rFonts w:hint="eastAsia" w:ascii="仿宋" w:hAnsi="仿宋" w:eastAsia="仿宋" w:cs="仿宋"/>
          <w:b/>
          <w:color w:val="auto"/>
          <w:sz w:val="22"/>
          <w:szCs w:val="21"/>
          <w:highlight w:val="none"/>
          <w:u w:val="single"/>
        </w:rPr>
        <w:t xml:space="preserve">×××（）姓名</w:t>
      </w:r>
      <w:r>
        <w:rPr>
          <w:rFonts w:hint="eastAsia" w:ascii="仿宋" w:hAnsi="仿宋" w:eastAsia="仿宋" w:cs="仿宋"/>
          <w:color w:val="auto"/>
          <w:sz w:val="24"/>
          <w:szCs w:val="21"/>
          <w:highlight w:val="none"/>
        </w:rPr>
        <w:t xml:space="preserve">同志，性别</w:t>
      </w:r>
      <w:r>
        <w:rPr>
          <w:rFonts w:hint="eastAsia" w:ascii="仿宋" w:hAnsi="仿宋" w:eastAsia="仿宋" w:cs="仿宋"/>
          <w:b/>
          <w:color w:val="auto"/>
          <w:sz w:val="22"/>
          <w:szCs w:val="21"/>
          <w:highlight w:val="none"/>
          <w:u w:val="single"/>
        </w:rPr>
        <w:t xml:space="preserve">×××</w:t>
      </w:r>
      <w:r>
        <w:rPr>
          <w:rFonts w:hint="eastAsia" w:ascii="仿宋" w:hAnsi="仿宋" w:eastAsia="仿宋" w:cs="仿宋"/>
          <w:color w:val="auto"/>
          <w:sz w:val="24"/>
          <w:szCs w:val="21"/>
          <w:highlight w:val="none"/>
        </w:rPr>
        <w:t xml:space="preserve">，居民身份证号</w:t>
      </w:r>
      <w:r>
        <w:rPr>
          <w:rFonts w:hint="eastAsia" w:ascii="仿宋" w:hAnsi="仿宋" w:eastAsia="仿宋" w:cs="仿宋"/>
          <w:b/>
          <w:color w:val="auto"/>
          <w:sz w:val="22"/>
          <w:szCs w:val="21"/>
          <w:highlight w:val="none"/>
          <w:u w:val="single"/>
        </w:rPr>
        <w:t xml:space="preserve">×××</w:t>
      </w:r>
      <w:r>
        <w:rPr>
          <w:rFonts w:hint="eastAsia" w:ascii="仿宋" w:hAnsi="仿宋" w:eastAsia="仿宋" w:cs="仿宋"/>
          <w:color w:val="auto"/>
          <w:sz w:val="24"/>
          <w:szCs w:val="21"/>
          <w:highlight w:val="none"/>
        </w:rPr>
        <w:t xml:space="preserve">，在我单位任</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职务，系我单位主要负责人即法定代表人。</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 </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单位地址：</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 </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电话：</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 </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单位全称： </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  </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公章： </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                               </w:t>
      </w:r>
      <w:r/>
    </w:p>
    <w:p>
      <w:pPr>
        <w:ind w:firstLine="560"/>
        <w:jc w:val="right"/>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  年月日</w:t>
      </w:r>
      <w:r/>
    </w:p>
    <w:p>
      <w:pPr>
        <w:ind w:firstLine="643"/>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rPr>
        <w:t xml:space="preserve"> </w:t>
      </w:r>
      <w:r/>
    </w:p>
    <w:p>
      <w:pPr>
        <w:ind w:firstLine="643"/>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rPr>
        <w:t xml:space="preserve"> </w:t>
      </w:r>
      <w:r/>
    </w:p>
    <w:p>
      <w:pPr>
        <w:ind w:firstLine="643"/>
        <w:spacing w:line="85" w:lineRule="atLeast"/>
        <w:shd w:val="clear" w:color="auto"/>
        <w:rPr>
          <w:rFonts w:hint="eastAsia" w:ascii="仿宋" w:hAnsi="仿宋" w:eastAsia="仿宋" w:cs="仿宋"/>
          <w:color w:val="auto"/>
          <w:sz w:val="1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0"/>
          <w:highlight w:val="none"/>
        </w:rPr>
        <w:t xml:space="preserve">附：法定代表人居民身份证复印件</w:t>
      </w:r>
      <w:r/>
    </w:p>
    <w:p>
      <w:pPr>
        <w:ind w:firstLine="560"/>
        <w:spacing w:line="85" w:lineRule="atLeast"/>
        <w:shd w:val="clear" w:color="auto"/>
        <w:rPr>
          <w:rFonts w:hint="eastAsia" w:ascii="仿宋" w:hAnsi="仿宋" w:eastAsia="仿宋" w:cs="仿宋"/>
          <w:color w:val="auto"/>
          <w:sz w:val="1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0"/>
          <w:highlight w:val="none"/>
          <w:u w:val="single"/>
        </w:rPr>
        <w:t xml:space="preserve">注：1.“法定代表人”直接参加投标响应活动的仅需填写本身份证明</w:t>
      </w:r>
      <w:r>
        <w:rPr>
          <w:rFonts w:hint="eastAsia" w:ascii="仿宋" w:hAnsi="仿宋" w:eastAsia="仿宋" w:cs="仿宋"/>
          <w:color w:val="auto"/>
          <w:sz w:val="22"/>
          <w:szCs w:val="20"/>
          <w:highlight w:val="none"/>
        </w:rPr>
        <w:t xml:space="preserve">。</w:t>
      </w:r>
      <w:r/>
    </w:p>
    <w:p>
      <w:pPr>
        <w:ind w:firstLine="562"/>
        <w:spacing w:line="85" w:lineRule="atLeast"/>
        <w:shd w:val="clear" w:color="auto"/>
        <w:rPr>
          <w:rFonts w:hint="eastAsia" w:ascii="仿宋" w:hAnsi="仿宋" w:eastAsia="仿宋" w:cs="仿宋"/>
          <w:color w:val="auto"/>
          <w:sz w:val="1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szCs w:val="20"/>
          <w:highlight w:val="none"/>
          <w:u w:val="single"/>
        </w:rPr>
        <w:t xml:space="preserve">2.投标人属于非法人组织的，按照法律、行政法规规定能够对外代表其从事民事活动的主要负责人，视同法定代表人。</w:t>
      </w:r>
      <w:r/>
    </w:p>
    <w:p>
      <w:pPr>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0"/>
          <w:szCs w:val="21"/>
          <w:highlight w:val="none"/>
        </w:rPr>
        <w:br w:type="page" w:clear="all"/>
      </w:r>
      <w:r/>
    </w:p>
    <w:p>
      <w:pPr>
        <w:pStyle w:val="778"/>
        <w:ind w:firstLine="643"/>
        <w:jc w:val="center"/>
        <w:spacing w:before="0" w:after="0" w:line="85" w:lineRule="atLeast"/>
        <w:shd w:val="clear" w:color="auto"/>
        <w:rPr>
          <w:rFonts w:hint="eastAsia" w:ascii="宋体" w:hAnsi="宋体" w:eastAsia="宋体" w:cs="宋体"/>
          <w:b/>
          <w:color w:val="auto"/>
          <w:sz w:val="21"/>
          <w:szCs w:val="22"/>
          <w:highlight w:val="none"/>
        </w:rPr>
        <w:pBdr>
          <w:top w:val="none" w:color="000000" w:sz="0" w:space="0"/>
          <w:left w:val="none" w:color="000000" w:sz="0" w:space="0"/>
          <w:bottom w:val="none" w:color="000000" w:sz="0" w:space="0"/>
          <w:right w:val="none" w:color="000000" w:sz="0" w:space="0"/>
        </w:pBdr>
      </w:pPr>
      <w:r/>
      <w:bookmarkStart w:id="52" w:name="_Toc11682"/>
      <w:r>
        <w:rPr>
          <w:rFonts w:hint="eastAsia" w:ascii="宋体" w:hAnsi="宋体" w:eastAsia="宋体" w:cs="宋体"/>
          <w:b/>
          <w:color w:val="auto"/>
          <w:sz w:val="21"/>
          <w:szCs w:val="22"/>
          <w:highlight w:val="none"/>
        </w:rPr>
        <w:t xml:space="preserve">法定代表人授权委托书</w:t>
      </w:r>
      <w:bookmarkEnd w:id="52"/>
      <w:r/>
      <w:r/>
    </w:p>
    <w:p>
      <w:pPr>
        <w:ind w:right="420"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本授权书声明：</w:t>
      </w:r>
      <w:r>
        <w:rPr>
          <w:rFonts w:hint="eastAsia" w:ascii="仿宋" w:hAnsi="仿宋" w:eastAsia="仿宋" w:cs="仿宋"/>
          <w:b/>
          <w:color w:val="auto"/>
          <w:sz w:val="22"/>
          <w:szCs w:val="21"/>
          <w:highlight w:val="none"/>
          <w:u w:val="single"/>
        </w:rPr>
        <w:t xml:space="preserve">×××（投标人名称）</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法定代表人</w:t>
      </w:r>
      <w:r>
        <w:rPr>
          <w:rFonts w:hint="eastAsia" w:ascii="仿宋" w:hAnsi="仿宋" w:eastAsia="仿宋" w:cs="仿宋"/>
          <w:b/>
          <w:color w:val="auto"/>
          <w:sz w:val="22"/>
          <w:szCs w:val="21"/>
          <w:highlight w:val="none"/>
          <w:u w:val="single"/>
        </w:rPr>
        <w:t xml:space="preserve">×××（姓名） </w:t>
      </w:r>
      <w:r>
        <w:rPr>
          <w:rFonts w:hint="eastAsia" w:ascii="仿宋" w:hAnsi="仿宋" w:eastAsia="仿宋" w:cs="仿宋"/>
          <w:color w:val="auto"/>
          <w:sz w:val="24"/>
          <w:szCs w:val="21"/>
          <w:highlight w:val="none"/>
        </w:rPr>
        <w:t xml:space="preserve">授权</w:t>
      </w:r>
      <w:r>
        <w:rPr>
          <w:rFonts w:hint="eastAsia" w:ascii="仿宋" w:hAnsi="仿宋" w:eastAsia="仿宋" w:cs="仿宋"/>
          <w:b/>
          <w:color w:val="auto"/>
          <w:sz w:val="22"/>
          <w:szCs w:val="21"/>
          <w:highlight w:val="none"/>
          <w:u w:val="single"/>
        </w:rPr>
        <w:t xml:space="preserve">×××（委托代理人的姓名、身份证号）</w:t>
      </w:r>
      <w:r>
        <w:rPr>
          <w:rFonts w:hint="eastAsia" w:ascii="仿宋" w:hAnsi="仿宋" w:eastAsia="仿宋" w:cs="仿宋"/>
          <w:color w:val="auto"/>
          <w:sz w:val="24"/>
          <w:szCs w:val="21"/>
          <w:highlight w:val="none"/>
        </w:rPr>
        <w:t xml:space="preserve">为我方就</w:t>
      </w:r>
      <w:r>
        <w:rPr>
          <w:rFonts w:hint="eastAsia" w:ascii="仿宋" w:hAnsi="仿宋" w:eastAsia="仿宋" w:cs="仿宋"/>
          <w:b/>
          <w:color w:val="auto"/>
          <w:sz w:val="22"/>
          <w:szCs w:val="21"/>
          <w:highlight w:val="none"/>
          <w:u w:val="single"/>
        </w:rPr>
        <w:t xml:space="preserve">××××（代理机构）代理的××××（项目编号）</w:t>
      </w:r>
      <w:r>
        <w:rPr>
          <w:rFonts w:hint="eastAsia" w:ascii="仿宋" w:hAnsi="仿宋" w:eastAsia="仿宋" w:cs="仿宋"/>
          <w:color w:val="auto"/>
          <w:sz w:val="24"/>
          <w:szCs w:val="21"/>
          <w:highlight w:val="none"/>
        </w:rPr>
        <w:t xml:space="preserve">项目的投标活动的合法代理人，以本公司名义全权处理一切与该项目投标有关的事务（含合同签订）。</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本授权书于</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年</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月</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日签字生效，特此声明。</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委托代理人身份证号码：</w:t>
      </w:r>
      <w:r>
        <w:rPr>
          <w:rFonts w:hint="eastAsia" w:ascii="仿宋" w:hAnsi="仿宋" w:eastAsia="仿宋" w:cs="仿宋"/>
          <w:color w:val="auto"/>
          <w:sz w:val="24"/>
          <w:szCs w:val="21"/>
          <w:highlight w:val="none"/>
          <w:u w:val="single"/>
        </w:rPr>
        <w:t xml:space="preserve">                        </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委托代理人联系电话：（手机）</w:t>
      </w:r>
      <w:r>
        <w:rPr>
          <w:rFonts w:hint="eastAsia" w:ascii="仿宋" w:hAnsi="仿宋" w:eastAsia="仿宋" w:cs="仿宋"/>
          <w:color w:val="auto"/>
          <w:sz w:val="24"/>
          <w:szCs w:val="21"/>
          <w:highlight w:val="none"/>
          <w:u w:val="single"/>
        </w:rPr>
        <w:t xml:space="preserve">                        </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 </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法定代表人签字或盖章：</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 </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投标人名称（公章）：</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日期：</w:t>
      </w:r>
      <w:r/>
    </w:p>
    <w:p>
      <w:pPr>
        <w:ind w:firstLine="560"/>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 </w:t>
      </w:r>
      <w:r/>
    </w:p>
    <w:p>
      <w:pPr>
        <w:ind w:firstLine="643"/>
        <w:spacing w:line="85" w:lineRule="atLeast"/>
        <w:shd w:val="clear" w:color="auto"/>
        <w:rPr>
          <w:rFonts w:hint="eastAsia" w:ascii="仿宋" w:hAnsi="仿宋" w:eastAsia="仿宋" w:cs="仿宋"/>
          <w:color w:val="auto"/>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rPr>
        <w:t xml:space="preserve">附：委托代理人居民身份证复印件</w:t>
      </w:r>
      <w:r/>
    </w:p>
    <w:p>
      <w:pPr>
        <w:pStyle w:val="777"/>
        <w:ind w:firstLine="562"/>
        <w:spacing w:before="260" w:after="260" w:line="85" w:lineRule="atLeast"/>
        <w:shd w:val="clear" w:color="auto"/>
        <w:rPr>
          <w:rFonts w:hint="eastAsia" w:ascii="仿宋" w:hAnsi="仿宋" w:eastAsia="仿宋" w:cs="仿宋"/>
          <w:color w:val="auto"/>
          <w:sz w:val="28"/>
          <w:szCs w:val="20"/>
          <w:highlight w:val="none"/>
        </w:rPr>
        <w:pBdr>
          <w:top w:val="none" w:color="000000" w:sz="0" w:space="0"/>
          <w:left w:val="none" w:color="000000" w:sz="0" w:space="0"/>
          <w:bottom w:val="none" w:color="000000" w:sz="0" w:space="0"/>
          <w:right w:val="none" w:color="000000" w:sz="0" w:space="0"/>
        </w:pBdr>
      </w:pPr>
      <w:r/>
      <w:bookmarkStart w:id="53" w:name="_Toc12159"/>
      <w:r>
        <w:rPr>
          <w:rFonts w:hint="eastAsia" w:ascii="仿宋" w:hAnsi="仿宋" w:eastAsia="仿宋" w:cs="仿宋"/>
          <w:b/>
          <w:color w:val="auto"/>
          <w:sz w:val="22"/>
          <w:szCs w:val="20"/>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仿宋" w:hAnsi="仿宋" w:eastAsia="仿宋" w:cs="仿宋"/>
          <w:b/>
          <w:color w:val="auto"/>
          <w:sz w:val="22"/>
          <w:szCs w:val="20"/>
          <w:highlight w:val="none"/>
        </w:rPr>
        <w:t xml:space="preserve">。</w:t>
      </w:r>
      <w:bookmarkEnd w:id="53"/>
      <w:r/>
      <w:r/>
    </w:p>
    <w:p>
      <w:pPr>
        <w:ind w:firstLine="420"/>
        <w:spacing w:line="360" w:lineRule="auto"/>
        <w:shd w:val="clear" w:color="auto"/>
        <w:rPr>
          <w:rFonts w:hint="eastAsia" w:ascii="仿宋" w:hAnsi="仿宋" w:eastAsia="仿宋" w:cs="仿宋"/>
          <w:bCs/>
          <w:color w:val="auto"/>
          <w:sz w:val="2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Cs/>
          <w:color w:val="auto"/>
          <w:sz w:val="20"/>
          <w:szCs w:val="21"/>
          <w:highlight w:val="none"/>
        </w:rPr>
      </w:r>
      <w:r/>
    </w:p>
    <w:p>
      <w:pPr>
        <w:numPr>
          <w:ilvl w:val="0"/>
          <w:numId w:val="7"/>
        </w:numPr>
        <w:jc w:val="center"/>
        <w:spacing w:line="360" w:lineRule="auto"/>
        <w:shd w:val="clear" w:color="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符合性审查响应对照表</w:t>
      </w:r>
      <w:r/>
    </w:p>
    <w:tbl>
      <w:tblPr>
        <w:tblStyle w:val="724"/>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w:t>
            </w:r>
            <w:r/>
          </w:p>
        </w:tc>
        <w:tc>
          <w:tcPr>
            <w:tcW w:w="1943" w:type="dxa"/>
            <w:vAlign w:val="center"/>
            <w:textDirection w:val="lrTb"/>
            <w:noWrap w:val="false"/>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06" w:type="dxa"/>
            <w:vAlign w:val="center"/>
            <w:textDirection w:val="lrTb"/>
            <w:noWrap w:val="false"/>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before="312" w:after="312" w:line="360" w:lineRule="auto"/>
        <w:shd w:val="clear" w:color="auto"/>
        <w:rPr>
          <w:rFonts w:hint="eastAsia" w:ascii="宋体" w:hAnsi="宋体" w:cs="宋体"/>
          <w:b/>
          <w:bCs/>
          <w:color w:val="auto"/>
          <w:highlight w:val="none"/>
        </w:rPr>
        <w:outlineLvl w:val="1"/>
      </w:pPr>
      <w:r>
        <w:rPr>
          <w:rFonts w:hint="eastAsia" w:ascii="宋体" w:hAnsi="宋体" w:cs="宋体"/>
          <w:b/>
          <w:bCs/>
          <w:color w:val="auto"/>
          <w:highlight w:val="none"/>
        </w:rPr>
        <w:t xml:space="preserve">中小企业声明函</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其他未列明行业</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shd w:val="clear" w:color="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pStyle w:val="1000"/>
        <w:jc w:val="center"/>
        <w:spacing w:before="300" w:after="300" w:line="360" w:lineRule="auto"/>
        <w:shd w:val="clear" w:color="auto"/>
        <w:widowControl/>
        <w:rPr>
          <w:rFonts w:hint="eastAsia" w:ascii="宋体" w:hAnsi="宋体" w:cs="宋体"/>
          <w:color w:val="auto"/>
          <w:sz w:val="21"/>
          <w:szCs w:val="21"/>
          <w:highlight w:val="none"/>
        </w:rPr>
      </w:pPr>
      <w:r/>
      <w:bookmarkStart w:id="54" w:name="_Toc109304977"/>
      <w:r/>
      <w:bookmarkStart w:id="55" w:name="_Toc26487"/>
      <w:r>
        <w:rPr>
          <w:rFonts w:hint="eastAsia" w:ascii="宋体" w:hAnsi="宋体" w:cs="宋体"/>
          <w:bCs w:val="0"/>
          <w:color w:val="auto"/>
          <w:sz w:val="21"/>
          <w:szCs w:val="21"/>
          <w:highlight w:val="none"/>
        </w:rPr>
        <w:t xml:space="preserve">中小微企业划型标准</w:t>
      </w:r>
      <w:bookmarkEnd w:id="54"/>
      <w:r>
        <w:rPr>
          <w:rFonts w:hint="eastAsia" w:ascii="宋体" w:hAnsi="宋体" w:cs="宋体"/>
          <w:bCs w:val="0"/>
          <w:color w:val="auto"/>
          <w:sz w:val="21"/>
          <w:szCs w:val="21"/>
          <w:highlight w:val="none"/>
        </w:rPr>
        <w:t xml:space="preserve"> </w:t>
      </w:r>
      <w:bookmarkEnd w:id="55"/>
      <w:r/>
      <w:r/>
    </w:p>
    <w:p>
      <w:pPr>
        <w:pStyle w:val="1028"/>
        <w:ind w:firstLine="420"/>
        <w:spacing w:before="300" w:after="452"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中小微企业划型标准如下：</w:t>
      </w:r>
      <w:r/>
    </w:p>
    <w:tbl>
      <w:tblPr>
        <w:tblStyle w:val="72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8"/>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8"/>
              <w:jc w:val="center"/>
              <w:spacing w:line="360" w:lineRule="auto"/>
              <w:shd w:val="clear" w:color="auto"/>
              <w:widowControl/>
              <w:rPr>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X＜10</w:t>
            </w:r>
            <w:r/>
          </w:p>
        </w:tc>
      </w:tr>
    </w:tbl>
    <w:p>
      <w:pPr>
        <w:pStyle w:val="1028"/>
        <w:ind w:firstLine="420"/>
        <w:spacing w:before="300" w:after="452" w:line="360" w:lineRule="auto"/>
        <w:shd w:val="clear" w:color="auto"/>
        <w:widowControl/>
        <w:rPr>
          <w:rStyle w:val="1031"/>
          <w:rFonts w:hint="eastAsia" w:ascii="宋体" w:hAnsi="宋体" w:cs="宋体"/>
          <w:color w:val="auto"/>
          <w:sz w:val="21"/>
          <w:szCs w:val="21"/>
          <w:highlight w:val="none"/>
        </w:rPr>
      </w:pPr>
      <w:r>
        <w:rPr>
          <w:rStyle w:val="1031"/>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shd w:val="clear" w:color="auto"/>
        <w:rPr>
          <w:rFonts w:hint="eastAsia" w:ascii="宋体" w:hAnsi="宋体" w:cs="宋体"/>
          <w:color w:val="auto"/>
          <w:highlight w:val="none"/>
        </w:rPr>
        <w:outlineLvl w:val="1"/>
      </w:pPr>
      <w:r>
        <w:rPr>
          <w:rStyle w:val="1031"/>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shd w:val="clear" w:color="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shd w:val="clear" w:color="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shd w:val="clear" w:color="auto"/>
        <w:tabs>
          <w:tab w:val="left" w:pos="4860" w:leader="none"/>
        </w:tabs>
        <w:rPr>
          <w:rFonts w:hint="eastAsia" w:ascii="宋体" w:hAnsi="宋体" w:cs="宋体"/>
          <w:color w:val="auto"/>
          <w:szCs w:val="21"/>
          <w:highlight w:val="none"/>
        </w:rPr>
        <w:outlineLvl w:val="0"/>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shd w:val="clear" w:color="auto"/>
        <w:tabs>
          <w:tab w:val="left" w:pos="4860" w:leader="none"/>
        </w:tabs>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                              日  期：</w:t>
      </w:r>
      <w:r/>
    </w:p>
    <w:p>
      <w:pPr>
        <w:jc w:val="center"/>
        <w:spacing w:line="360" w:lineRule="auto"/>
        <w:shd w:val="clear" w:color="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四、磋商响应报价表</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    </w:t>
      </w:r>
      <w:r/>
    </w:p>
    <w:p>
      <w:pPr>
        <w:pStyle w:val="1069"/>
        <w:spacing w:line="360" w:lineRule="auto"/>
        <w:shd w:val="clear" w:color="auto"/>
        <w:rPr>
          <w:rFonts w:ascii="仿宋_GB2312" w:eastAsia="仿宋_GB2312"/>
          <w:color w:val="auto"/>
          <w:szCs w:val="20"/>
          <w:highlight w:val="none"/>
        </w:rPr>
      </w:pPr>
      <w:r/>
      <w:bookmarkStart w:id="56" w:name="_Toc109304978"/>
      <w:r>
        <w:rPr>
          <w:rFonts w:hint="eastAsia" w:ascii="仿宋_GB2312" w:eastAsia="仿宋_GB2312"/>
          <w:color w:val="auto"/>
          <w:szCs w:val="20"/>
          <w:highlight w:val="none"/>
        </w:rPr>
        <w:t xml:space="preserve">项目编号：</w:t>
      </w:r>
      <w:r/>
    </w:p>
    <w:p>
      <w:pPr>
        <w:pStyle w:val="1069"/>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24"/>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8"/>
              <w:jc w:val="both"/>
              <w:shd w:val="clear" w:color="auto"/>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8"/>
              <w:jc w:val="both"/>
              <w:spacing w:line="0" w:lineRule="atLeast"/>
              <w:shd w:val="clear" w:color="auto"/>
              <w:rPr>
                <w:color w:val="auto"/>
                <w:highlight w:val="none"/>
              </w:rPr>
            </w:pPr>
            <w:r>
              <w:rPr>
                <w:rFonts w:hint="eastAsia"/>
                <w:color w:val="auto"/>
                <w:highlight w:val="none"/>
              </w:rPr>
              <w:t xml:space="preserve">小写：                 （人民币：元）</w:t>
            </w:r>
            <w:r/>
          </w:p>
        </w:tc>
      </w:tr>
    </w:tbl>
    <w:p>
      <w:pPr>
        <w:pStyle w:val="1069"/>
        <w:spacing w:line="360" w:lineRule="auto"/>
        <w:shd w:val="clear" w:color="auto"/>
        <w:rPr>
          <w:color w:val="auto"/>
          <w:highlight w:val="none"/>
        </w:rPr>
      </w:pPr>
      <w:r>
        <w:rPr>
          <w:color w:val="auto"/>
          <w:highlight w:val="none"/>
        </w:rPr>
      </w:r>
      <w:r/>
    </w:p>
    <w:p>
      <w:pPr>
        <w:pStyle w:val="1069"/>
        <w:spacing w:line="360" w:lineRule="auto"/>
        <w:shd w:val="clear" w:color="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071"/>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71"/>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center"/>
        <w:spacing w:line="360" w:lineRule="auto"/>
        <w:shd w:val="clear" w:color="auto"/>
        <w:rPr>
          <w:rFonts w:hint="eastAsia" w:ascii="宋体" w:hAnsi="宋体" w:eastAsia="宋体" w:cs="宋体"/>
          <w:b/>
          <w:bCs/>
          <w:color w:val="auto"/>
          <w:sz w:val="32"/>
          <w:szCs w:val="32"/>
          <w:highlight w:val="none"/>
        </w:rPr>
        <w:outlineLvl w:val="0"/>
      </w:pPr>
      <w:r>
        <w:rPr>
          <w:rFonts w:hint="eastAsia" w:ascii="宋体" w:hAnsi="宋体" w:cs="宋体"/>
          <w:color w:val="auto"/>
          <w:highlight w:val="none"/>
        </w:rPr>
        <w:br w:type="page" w:clear="all"/>
      </w:r>
      <w:r>
        <w:rPr>
          <w:rFonts w:hint="eastAsia" w:ascii="宋体" w:hAnsi="宋体" w:cs="宋体"/>
          <w:color w:val="auto"/>
          <w:highlight w:val="none"/>
        </w:rPr>
        <w:br w:type="page" w:clear="all"/>
      </w:r>
      <w:bookmarkStart w:id="57" w:name="_Toc1335"/>
      <w:r>
        <w:rPr>
          <w:rFonts w:hint="eastAsia" w:ascii="宋体" w:hAnsi="宋体" w:cs="宋体"/>
          <w:b/>
          <w:bCs/>
          <w:color w:val="auto"/>
          <w:sz w:val="32"/>
          <w:szCs w:val="32"/>
          <w:highlight w:val="none"/>
          <w:lang w:val="en-US" w:eastAsia="zh-CN"/>
        </w:rPr>
        <w:t xml:space="preserve">1、分项</w:t>
      </w:r>
      <w:r>
        <w:rPr>
          <w:rFonts w:hint="eastAsia" w:ascii="宋体" w:hAnsi="宋体" w:eastAsia="宋体" w:cs="宋体"/>
          <w:b/>
          <w:bCs/>
          <w:color w:val="auto"/>
          <w:sz w:val="32"/>
          <w:szCs w:val="32"/>
          <w:highlight w:val="none"/>
        </w:rPr>
        <w:t xml:space="preserve">报价表</w:t>
      </w:r>
      <w:bookmarkEnd w:id="57"/>
      <w:r/>
      <w:r/>
    </w:p>
    <w:p>
      <w:pPr>
        <w:pStyle w:val="1017"/>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 </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项目编号：    </w:t>
      </w:r>
      <w:r>
        <w:rPr>
          <w:rFonts w:hint="eastAsia" w:ascii="宋体" w:hAnsi="宋体" w:cs="宋体"/>
          <w:color w:val="auto"/>
          <w:highlight w:val="none"/>
        </w:rPr>
        <w:t xml:space="preserve">   </w:t>
      </w:r>
      <w:r/>
    </w:p>
    <w:p>
      <w:pPr>
        <w:spacing w:line="360" w:lineRule="auto"/>
        <w:shd w:val="clear" w:color="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分包号（如有）：</w:t>
      </w:r>
      <w:r/>
    </w:p>
    <w:tbl>
      <w:tblPr>
        <w:tblStyle w:val="724"/>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22"/>
        <w:gridCol w:w="2022"/>
        <w:gridCol w:w="1271"/>
        <w:gridCol w:w="1760"/>
        <w:gridCol w:w="1454"/>
      </w:tblGrid>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44"/>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44"/>
              <w:jc w:val="center"/>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44"/>
              <w:jc w:val="center"/>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44"/>
              <w:jc w:val="center"/>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44"/>
              <w:jc w:val="center"/>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总价</w:t>
            </w:r>
            <w:r/>
          </w:p>
        </w:tc>
      </w:tr>
      <w:tr>
        <w:trPr>
          <w:tblCellSpacing w:w="0" w:type="dxa"/>
          <w:trHeight w:val="92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44"/>
              <w:jc w:val="both"/>
              <w:keepLines w:val="0"/>
              <w:keepNext w:val="0"/>
              <w:spacing w:before="0" w:beforeAutospacing="0" w:after="0" w:afterAutospacing="0"/>
              <w:shd w:val="clear" w:color="auto"/>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92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44"/>
              <w:jc w:val="both"/>
              <w:keepLines w:val="0"/>
              <w:keepNext w:val="0"/>
              <w:spacing w:before="0" w:beforeAutospacing="0" w:after="0" w:afterAutospacing="0"/>
              <w:shd w:val="clear" w:color="auto"/>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92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44"/>
              <w:jc w:val="both"/>
              <w:keepLines w:val="0"/>
              <w:keepNext w:val="0"/>
              <w:spacing w:before="0" w:beforeAutospacing="0" w:after="0" w:afterAutospacing="0"/>
              <w:shd w:val="clear" w:color="auto"/>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44"/>
              <w:jc w:val="both"/>
              <w:keepLines w:val="0"/>
              <w:keepNext w:val="0"/>
              <w:spacing w:before="0" w:beforeAutospacing="0" w:after="0" w:afterAutospacing="0"/>
              <w:shd w:val="clear" w:color="auto"/>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44"/>
              <w:jc w:val="both"/>
              <w:keepLines w:val="0"/>
              <w:keepNext w:val="0"/>
              <w:spacing w:before="0" w:beforeAutospacing="0" w:after="0" w:afterAutospacing="0"/>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bl>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     </w:t>
      </w:r>
      <w:r/>
    </w:p>
    <w:p>
      <w:pPr>
        <w:spacing w:line="360" w:lineRule="auto"/>
        <w:shd w:val="clear" w:color="auto"/>
        <w:rPr>
          <w:rFonts w:ascii="宋体" w:hAnsi="宋体" w:cs="宋体"/>
          <w:color w:val="auto"/>
          <w:szCs w:val="21"/>
          <w:highlight w:val="none"/>
        </w:rPr>
      </w:pPr>
      <w:r>
        <w:rPr>
          <w:rFonts w:hint="eastAsia" w:ascii="宋体" w:hAnsi="宋体" w:cs="宋体"/>
          <w:color w:val="auto"/>
          <w:highlight w:val="none"/>
        </w:rPr>
        <w:t xml:space="preserve">                                                 </w:t>
      </w:r>
      <w:r/>
    </w:p>
    <w:p>
      <w:pPr>
        <w:jc w:val="both"/>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单位名称：</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（加盖CA电子公章）                 </w:t>
      </w:r>
      <w:r/>
    </w:p>
    <w:p>
      <w:pPr>
        <w:jc w:val="both"/>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法定代表人（或授权代表）：</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              </w:t>
      </w:r>
      <w:r/>
    </w:p>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注：行数不够，可自行添加。</w:t>
      </w:r>
      <w:r/>
    </w:p>
    <w:p>
      <w:pPr>
        <w:shd w:val="clear" w:color="auto"/>
        <w:rPr>
          <w:rFonts w:ascii="宋体" w:hAnsi="宋体" w:cs="宋体"/>
          <w:color w:val="auto"/>
          <w:highlight w:val="none"/>
        </w:rPr>
      </w:pPr>
      <w:r>
        <w:rPr>
          <w:rFonts w:ascii="宋体" w:hAnsi="宋体" w:cs="宋体"/>
          <w:color w:val="auto"/>
          <w:highlight w:val="none"/>
        </w:rPr>
      </w:r>
      <w:r/>
    </w:p>
    <w:p>
      <w:pPr>
        <w:pStyle w:val="1000"/>
        <w:jc w:val="center"/>
        <w:spacing w:line="360" w:lineRule="auto"/>
        <w:shd w:val="clear" w:color="auto"/>
        <w:rPr>
          <w:rFonts w:hint="eastAsia" w:ascii="宋体" w:hAnsi="宋体" w:cs="宋体"/>
          <w:bCs w:val="0"/>
          <w:color w:val="auto"/>
          <w:highlight w:val="none"/>
          <w:lang w:val="en-US" w:eastAsia="zh-CN"/>
        </w:rPr>
        <w:outlineLvl w:val="0"/>
      </w:pPr>
      <w:r>
        <w:rPr>
          <w:rFonts w:hint="eastAsia" w:ascii="宋体" w:hAnsi="宋体" w:cs="宋体"/>
          <w:bCs w:val="0"/>
          <w:color w:val="auto"/>
          <w:highlight w:val="none"/>
          <w:lang w:val="en-US" w:eastAsia="zh-CN"/>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bCs w:val="0"/>
          <w:color w:val="auto"/>
          <w:highlight w:val="none"/>
        </w:rPr>
      </w:pPr>
      <w:r>
        <w:rPr>
          <w:rFonts w:hint="eastAsia" w:ascii="宋体" w:hAnsi="宋体" w:cs="宋体"/>
          <w:bCs w:val="0"/>
          <w:color w:val="auto"/>
          <w:highlight w:val="none"/>
        </w:rPr>
        <w:br w:type="page" w:clear="all"/>
      </w:r>
      <w:r/>
    </w:p>
    <w:p>
      <w:pPr>
        <w:pStyle w:val="1000"/>
        <w:jc w:val="center"/>
        <w:spacing w:line="360" w:lineRule="auto"/>
        <w:shd w:val="clear" w:color="auto"/>
        <w:rPr>
          <w:rFonts w:hint="eastAsia" w:ascii="宋体" w:hAnsi="宋体" w:cs="宋体"/>
          <w:bCs w:val="0"/>
          <w:color w:val="auto"/>
          <w:highlight w:val="none"/>
        </w:rPr>
        <w:outlineLvl w:val="0"/>
      </w:pPr>
      <w:r/>
      <w:bookmarkStart w:id="58" w:name="_Toc28819"/>
      <w:r>
        <w:rPr>
          <w:rFonts w:hint="eastAsia" w:ascii="宋体" w:hAnsi="宋体" w:cs="宋体"/>
          <w:bCs w:val="0"/>
          <w:color w:val="auto"/>
          <w:highlight w:val="none"/>
        </w:rPr>
        <w:t xml:space="preserve">五、技术参数响应及偏离表</w:t>
      </w:r>
      <w:bookmarkEnd w:id="56"/>
      <w:r/>
      <w:bookmarkEnd w:id="58"/>
      <w:r/>
      <w:r/>
    </w:p>
    <w:tbl>
      <w:tblPr>
        <w:tblStyle w:val="724"/>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948"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00"/>
        <w:jc w:val="center"/>
        <w:spacing w:line="360" w:lineRule="auto"/>
        <w:shd w:val="clear" w:color="auto"/>
        <w:rPr>
          <w:rFonts w:hint="eastAsia" w:ascii="宋体" w:hAnsi="宋体" w:cs="宋体"/>
          <w:bCs w:val="0"/>
          <w:color w:val="auto"/>
          <w:highlight w:val="none"/>
        </w:rPr>
        <w:outlineLvl w:val="0"/>
      </w:pPr>
      <w:r/>
      <w:bookmarkStart w:id="59" w:name="_Hlt26955054"/>
      <w:r/>
      <w:bookmarkEnd w:id="59"/>
      <w:r/>
      <w:bookmarkStart w:id="60" w:name="_Toc109304979"/>
      <w:r>
        <w:rPr>
          <w:rFonts w:hint="eastAsia" w:ascii="宋体" w:hAnsi="宋体" w:cs="宋体"/>
          <w:bCs w:val="0"/>
          <w:color w:val="auto"/>
          <w:highlight w:val="none"/>
        </w:rPr>
        <w:br w:type="page" w:clear="all"/>
      </w:r>
      <w:bookmarkStart w:id="61" w:name="_Toc17700"/>
      <w:r>
        <w:rPr>
          <w:rFonts w:hint="eastAsia" w:ascii="宋体" w:hAnsi="宋体" w:cs="宋体"/>
          <w:bCs w:val="0"/>
          <w:color w:val="auto"/>
          <w:highlight w:val="none"/>
        </w:rPr>
        <w:t xml:space="preserve">六、商务条款响应及偏离表</w:t>
      </w:r>
      <w:bookmarkEnd w:id="60"/>
      <w:r/>
      <w:bookmarkEnd w:id="61"/>
      <w:r/>
      <w:r/>
    </w:p>
    <w:tbl>
      <w:tblPr>
        <w:tblStyle w:val="724"/>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1633"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W w:w="2496"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W w:w="1833"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57"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W w:w="1633" w:type="dxa"/>
            <w:textDirection w:val="lrTb"/>
            <w:noWrap w:val="false"/>
          </w:tcPr>
          <w:p>
            <w:pPr>
              <w:shd w:val="clear" w:color="auto"/>
              <w:rPr>
                <w:color w:val="auto"/>
                <w:highlight w:val="none"/>
              </w:rPr>
            </w:pPr>
            <w:r>
              <w:rPr>
                <w:color w:val="auto"/>
                <w:highlight w:val="none"/>
              </w:rPr>
            </w:r>
            <w:r/>
          </w:p>
        </w:tc>
        <w:tc>
          <w:tcPr>
            <w:tcW w:w="2496"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833" w:type="dxa"/>
            <w:textDirection w:val="lrTb"/>
            <w:noWrap w:val="false"/>
          </w:tcPr>
          <w:p>
            <w:pPr>
              <w:ind w:left="43"/>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557" w:type="dxa"/>
            <w:textDirection w:val="lrTb"/>
            <w:noWrap w:val="false"/>
          </w:tcPr>
          <w:p>
            <w:pPr>
              <w:ind w:left="43"/>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W w:w="1633" w:type="dxa"/>
            <w:textDirection w:val="lrTb"/>
            <w:noWrap w:val="false"/>
          </w:tcPr>
          <w:p>
            <w:pPr>
              <w:shd w:val="clear" w:color="auto"/>
              <w:rPr>
                <w:color w:val="auto"/>
                <w:highlight w:val="none"/>
              </w:rPr>
            </w:pPr>
            <w:r>
              <w:rPr>
                <w:color w:val="auto"/>
                <w:highlight w:val="none"/>
              </w:rPr>
            </w:r>
            <w:r/>
          </w:p>
        </w:tc>
        <w:tc>
          <w:tcPr>
            <w:tcW w:w="2496" w:type="dxa"/>
            <w:textDirection w:val="lrTb"/>
            <w:noWrap w:val="false"/>
          </w:tcPr>
          <w:p>
            <w:pP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833" w:type="dxa"/>
            <w:textDirection w:val="lrTb"/>
            <w:noWrap w:val="false"/>
          </w:tcPr>
          <w:p>
            <w:pPr>
              <w:ind w:left="43"/>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557" w:type="dxa"/>
            <w:textDirection w:val="lrTb"/>
            <w:noWrap w:val="false"/>
          </w:tcPr>
          <w:p>
            <w:pPr>
              <w:ind w:left="43"/>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W w:w="1633" w:type="dxa"/>
            <w:textDirection w:val="lrTb"/>
            <w:noWrap w:val="false"/>
          </w:tcPr>
          <w:p>
            <w:pPr>
              <w:shd w:val="clear" w:color="auto"/>
              <w:rPr>
                <w:color w:val="auto"/>
                <w:highlight w:val="none"/>
              </w:rPr>
            </w:pPr>
            <w:r>
              <w:rPr>
                <w:color w:val="auto"/>
                <w:highlight w:val="none"/>
              </w:rPr>
            </w:r>
            <w:r/>
          </w:p>
        </w:tc>
        <w:tc>
          <w:tcPr>
            <w:tcW w:w="2496" w:type="dxa"/>
            <w:textDirection w:val="lrTb"/>
            <w:noWrap w:val="false"/>
          </w:tcPr>
          <w:p>
            <w:pP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833" w:type="dxa"/>
            <w:textDirection w:val="lrTb"/>
            <w:noWrap w:val="false"/>
          </w:tcPr>
          <w:p>
            <w:pPr>
              <w:ind w:left="43"/>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557" w:type="dxa"/>
            <w:textDirection w:val="lrTb"/>
            <w:noWrap w:val="false"/>
          </w:tcPr>
          <w:p>
            <w:pPr>
              <w:ind w:left="43"/>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W w:w="1633" w:type="dxa"/>
            <w:textDirection w:val="lrTb"/>
            <w:noWrap w:val="false"/>
          </w:tcPr>
          <w:p>
            <w:pPr>
              <w:shd w:val="clear" w:color="auto"/>
              <w:rPr>
                <w:color w:val="auto"/>
                <w:highlight w:val="none"/>
              </w:rPr>
            </w:pPr>
            <w:r>
              <w:rPr>
                <w:color w:val="auto"/>
                <w:highlight w:val="none"/>
              </w:rPr>
            </w:r>
            <w:r/>
          </w:p>
        </w:tc>
        <w:tc>
          <w:tcPr>
            <w:tcW w:w="2496" w:type="dxa"/>
            <w:textDirection w:val="lrTb"/>
            <w:noWrap w:val="false"/>
          </w:tcPr>
          <w:p>
            <w:pP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833"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557"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1633" w:type="dxa"/>
            <w:textDirection w:val="lrTb"/>
            <w:noWrap w:val="false"/>
          </w:tcPr>
          <w:p>
            <w:pPr>
              <w:shd w:val="clear" w:color="auto"/>
              <w:rPr>
                <w:color w:val="auto"/>
                <w:highlight w:val="none"/>
              </w:rPr>
            </w:pPr>
            <w:r>
              <w:rPr>
                <w:color w:val="auto"/>
                <w:highlight w:val="none"/>
              </w:rPr>
            </w:r>
            <w:r/>
          </w:p>
        </w:tc>
        <w:tc>
          <w:tcPr>
            <w:tcW w:w="2496" w:type="dxa"/>
            <w:textDirection w:val="lrTb"/>
            <w:noWrap w:val="false"/>
          </w:tcPr>
          <w:p>
            <w:pPr>
              <w:shd w:val="clear" w:color="auto"/>
              <w:rPr>
                <w:color w:val="auto"/>
                <w:highlight w:val="none"/>
              </w:rPr>
            </w:pPr>
            <w:r>
              <w:rPr>
                <w:color w:val="auto"/>
                <w:highlight w:val="none"/>
              </w:rPr>
            </w:r>
            <w:r/>
          </w:p>
        </w:tc>
        <w:tc>
          <w:tcPr>
            <w:tcW w:w="1833"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557" w:type="dxa"/>
            <w:textDirection w:val="lrTb"/>
            <w:noWrap w:val="false"/>
          </w:tcPr>
          <w:p>
            <w:pPr>
              <w:jc w:val="center"/>
              <w:spacing w:before="156"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shd w:val="clear" w:color="auto"/>
        <w:rPr>
          <w:rFonts w:hint="eastAsia" w:ascii="宋体" w:hAnsi="宋体" w:cs="宋体"/>
          <w:color w:val="auto"/>
          <w:szCs w:val="21"/>
          <w:highlight w:val="none"/>
        </w:rPr>
      </w:pPr>
      <w:r/>
      <w:bookmarkStart w:id="62" w:name="_Hlt26671343"/>
      <w:r/>
      <w:bookmarkEnd w:id="62"/>
      <w:r/>
      <w:bookmarkStart w:id="63" w:name="_Hlt26671372"/>
      <w:r/>
      <w:bookmarkEnd w:id="63"/>
      <w:r/>
      <w:bookmarkStart w:id="64" w:name="_Hlt26609391"/>
      <w:r/>
      <w:bookmarkEnd w:id="64"/>
      <w:r/>
      <w:bookmarkStart w:id="65" w:name="_Hlt26955056"/>
      <w:r/>
      <w:bookmarkEnd w:id="65"/>
      <w:r/>
      <w:bookmarkStart w:id="66" w:name="_Hlt26782999"/>
      <w:r/>
      <w:bookmarkEnd w:id="66"/>
      <w:r/>
      <w:bookmarkStart w:id="67" w:name="_Hlt24879081"/>
      <w:r/>
      <w:bookmarkEnd w:id="67"/>
      <w:r/>
      <w:bookmarkStart w:id="68" w:name="_Hlt26580838"/>
      <w:r/>
      <w:bookmarkEnd w:id="68"/>
      <w:r/>
      <w:bookmarkStart w:id="69" w:name="_Hlt26955064"/>
      <w:r/>
      <w:bookmarkEnd w:id="69"/>
      <w:r>
        <w:rPr>
          <w:rFonts w:hint="eastAsia" w:ascii="宋体" w:hAnsi="宋体" w:cs="宋体"/>
          <w:color w:val="auto"/>
          <w:szCs w:val="21"/>
          <w:highlight w:val="none"/>
        </w:rPr>
        <w:t xml:space="preserve">单位名称：（加盖CA电子公章）                 </w:t>
      </w:r>
      <w:r/>
    </w:p>
    <w:p>
      <w:pPr>
        <w:shd w:val="clear" w:color="auto"/>
        <w:rPr>
          <w:rFonts w:hint="eastAsia" w:ascii="宋体" w:hAnsi="宋体" w:cs="宋体"/>
          <w:b/>
          <w:color w:val="auto"/>
          <w:sz w:val="32"/>
          <w:szCs w:val="32"/>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p>
    <w:p>
      <w:pPr>
        <w:pStyle w:val="799"/>
        <w:jc w:val="left"/>
        <w:spacing w:before="34"/>
        <w:shd w:val="clear" w:color="auto"/>
        <w:tabs>
          <w:tab w:val="left" w:pos="4717" w:leader="none"/>
        </w:tabs>
        <w:rPr>
          <w:color w:val="auto"/>
          <w:highlight w:val="none"/>
        </w:rPr>
      </w:pPr>
      <w:r>
        <w:rPr>
          <w:color w:val="auto"/>
          <w:highlight w:val="none"/>
        </w:rPr>
      </w:r>
      <w:r/>
    </w:p>
    <w:p>
      <w:pPr>
        <w:pStyle w:val="799"/>
        <w:ind w:left="677"/>
        <w:jc w:val="left"/>
        <w:spacing w:before="34"/>
        <w:shd w:val="clear" w:color="auto"/>
        <w:tabs>
          <w:tab w:val="left" w:pos="4717" w:leader="none"/>
        </w:tabs>
        <w:rPr>
          <w:color w:val="auto"/>
          <w:highlight w:val="none"/>
        </w:rPr>
      </w:pPr>
      <w:r>
        <w:rPr>
          <w:color w:val="auto"/>
          <w:highlight w:val="none"/>
        </w:rPr>
      </w:r>
      <w:r/>
    </w:p>
    <w:p>
      <w:pPr>
        <w:shd w:val="clear" w:color="auto"/>
        <w:rPr>
          <w:rFonts w:hint="eastAsia" w:ascii="宋体" w:hAnsi="宋体" w:cs="宋体"/>
          <w:b/>
          <w:color w:val="auto"/>
          <w:sz w:val="32"/>
          <w:szCs w:val="32"/>
          <w:highlight w:val="none"/>
          <w:lang w:val="en-US" w:eastAsia="zh-CN"/>
        </w:rPr>
      </w:pPr>
      <w:r/>
      <w:bookmarkStart w:id="70" w:name="附件八、供应商类似业绩情况表"/>
      <w:r/>
      <w:bookmarkEnd w:id="70"/>
      <w:r>
        <w:rPr>
          <w:rFonts w:hint="eastAsia" w:ascii="宋体" w:hAnsi="宋体" w:cs="宋体"/>
          <w:b/>
          <w:color w:val="auto"/>
          <w:sz w:val="32"/>
          <w:szCs w:val="32"/>
          <w:highlight w:val="none"/>
          <w:lang w:val="en-US" w:eastAsia="zh-CN"/>
        </w:rPr>
        <w:br w:type="page" w:clear="all"/>
      </w:r>
      <w:r/>
    </w:p>
    <w:p>
      <w:pPr>
        <w:jc w:val="center"/>
        <w:spacing w:line="360" w:lineRule="auto"/>
        <w:shd w:val="clear" w:color="auto"/>
        <w:widowControl/>
        <w:rPr>
          <w:rFonts w:hint="eastAsia" w:ascii="宋体" w:hAnsi="宋体" w:cs="宋体"/>
          <w:b/>
          <w:color w:val="auto"/>
          <w:sz w:val="32"/>
          <w:szCs w:val="32"/>
          <w:highlight w:val="none"/>
        </w:rPr>
        <w:outlineLvl w:val="0"/>
      </w:pPr>
      <w:r/>
      <w:bookmarkStart w:id="71" w:name="_Toc15366"/>
      <w:r>
        <w:rPr>
          <w:rFonts w:hint="eastAsia" w:ascii="宋体" w:hAnsi="宋体" w:cs="宋体"/>
          <w:b/>
          <w:color w:val="auto"/>
          <w:sz w:val="32"/>
          <w:szCs w:val="32"/>
          <w:highlight w:val="none"/>
          <w:lang w:val="en-US" w:eastAsia="zh-CN"/>
        </w:rPr>
        <w:t xml:space="preserve">七</w:t>
      </w:r>
      <w:r>
        <w:rPr>
          <w:rFonts w:hint="eastAsia" w:ascii="宋体" w:hAnsi="宋体" w:cs="宋体"/>
          <w:b/>
          <w:color w:val="auto"/>
          <w:sz w:val="32"/>
          <w:szCs w:val="32"/>
          <w:highlight w:val="none"/>
        </w:rPr>
        <w:t xml:space="preserve">、拟参与本项目人员一览表</w:t>
      </w:r>
      <w:bookmarkEnd w:id="71"/>
      <w:r/>
      <w:r/>
    </w:p>
    <w:p>
      <w:pPr>
        <w:pStyle w:val="799"/>
        <w:jc w:val="left"/>
        <w:shd w:val="clear" w:color="auto"/>
        <w:tabs>
          <w:tab w:val="left" w:pos="5711" w:leader="none"/>
        </w:tabs>
        <w:rPr>
          <w:color w:val="auto"/>
          <w:highlight w:val="none"/>
        </w:rPr>
      </w:pPr>
      <w:r>
        <w:rPr>
          <w:color w:val="auto"/>
          <w:highlight w:val="none"/>
        </w:rPr>
      </w:r>
      <w:r/>
    </w:p>
    <w:p>
      <w:pPr>
        <w:pStyle w:val="799"/>
        <w:jc w:val="left"/>
        <w:shd w:val="clear" w:color="auto"/>
        <w:tabs>
          <w:tab w:val="left" w:pos="5711" w:leader="none"/>
        </w:tabs>
        <w:rPr>
          <w:color w:val="auto"/>
          <w:highlight w:val="none"/>
        </w:rPr>
        <w:outlineLvl w:val="1"/>
      </w:pPr>
      <w:r>
        <w:rPr>
          <w:color w:val="auto"/>
          <w:highlight w:val="none"/>
        </w:rPr>
        <w:t xml:space="preserve">项目名称：</w:t>
      </w:r>
      <w:r>
        <w:rPr>
          <w:color w:val="auto"/>
          <w:highlight w:val="none"/>
        </w:rPr>
        <w:tab/>
      </w:r>
      <w:r>
        <w:rPr>
          <w:color w:val="auto"/>
          <w:highlight w:val="none"/>
        </w:rPr>
        <w:t xml:space="preserve">项目编号：</w:t>
      </w:r>
      <w:r/>
    </w:p>
    <w:p>
      <w:pPr>
        <w:spacing w:before="1"/>
        <w:shd w:val="clear" w:color="auto"/>
        <w:rPr>
          <w:rFonts w:ascii="宋体" w:hAnsi="宋体" w:cs="宋体"/>
          <w:color w:val="auto"/>
          <w:sz w:val="3"/>
          <w:szCs w:val="3"/>
          <w:highlight w:val="none"/>
        </w:rPr>
      </w:pPr>
      <w:r>
        <w:rPr>
          <w:rFonts w:ascii="宋体" w:hAnsi="宋体" w:cs="宋体"/>
          <w:color w:val="auto"/>
          <w:sz w:val="3"/>
          <w:szCs w:val="3"/>
          <w:highlight w:val="none"/>
        </w:rPr>
      </w:r>
      <w:r/>
    </w:p>
    <w:tbl>
      <w:tblPr>
        <w:tblStyle w:val="724"/>
        <w:tblW w:w="8318" w:type="dxa"/>
        <w:jc w:val="center"/>
        <w:tblLayout w:type="autofit"/>
        <w:tblCellMar>
          <w:left w:w="0" w:type="dxa"/>
          <w:top w:w="0" w:type="dxa"/>
          <w:right w:w="0" w:type="dxa"/>
          <w:bottom w:w="0" w:type="dxa"/>
        </w:tblCellMar>
        <w:tblLook w:val="04A0" w:firstRow="1" w:lastRow="0" w:firstColumn="1" w:lastColumn="0" w:noHBand="0" w:noVBand="1"/>
      </w:tblPr>
      <w:tblGrid>
        <w:gridCol w:w="386"/>
        <w:gridCol w:w="386"/>
        <w:gridCol w:w="388"/>
        <w:gridCol w:w="388"/>
        <w:gridCol w:w="863"/>
        <w:gridCol w:w="1339"/>
        <w:gridCol w:w="706"/>
        <w:gridCol w:w="1814"/>
        <w:gridCol w:w="1657"/>
        <w:gridCol w:w="391"/>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40"/>
              <w:ind w:left="0" w:right="0" w:firstLine="0"/>
              <w:jc w:val="center"/>
              <w:shd w:val="clear" w:color="auto"/>
              <w:rPr>
                <w:b/>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40"/>
              <w:ind w:left="0" w:right="0" w:firstLine="0"/>
              <w:jc w:val="center"/>
              <w:shd w:val="clear" w:color="auto"/>
              <w:rPr>
                <w:b/>
                <w:color w:val="auto"/>
                <w:szCs w:val="21"/>
                <w:highlight w:val="none"/>
              </w:rPr>
            </w:pPr>
            <w:r>
              <w:rPr>
                <w:b/>
                <w:bCs/>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40"/>
              <w:ind w:left="0" w:right="0" w:firstLine="0"/>
              <w:jc w:val="center"/>
              <w:shd w:val="clear" w:color="auto"/>
              <w:rPr>
                <w:b/>
                <w:color w:val="auto"/>
                <w:szCs w:val="21"/>
                <w:highlight w:val="none"/>
              </w:rPr>
            </w:pPr>
            <w:r>
              <w:rPr>
                <w:b/>
                <w:bCs/>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40"/>
              <w:ind w:left="0" w:right="0" w:firstLine="0"/>
              <w:jc w:val="center"/>
              <w:shd w:val="clear" w:color="auto"/>
              <w:rPr>
                <w:b/>
                <w:color w:val="auto"/>
                <w:szCs w:val="21"/>
                <w:highlight w:val="none"/>
              </w:rPr>
            </w:pPr>
            <w:r>
              <w:rPr>
                <w:b/>
                <w:bCs/>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40"/>
              <w:ind w:left="0" w:right="0" w:firstLine="0"/>
              <w:jc w:val="center"/>
              <w:shd w:val="clear" w:color="auto"/>
              <w:rPr>
                <w:b/>
                <w:color w:val="auto"/>
                <w:szCs w:val="21"/>
                <w:highlight w:val="none"/>
              </w:rPr>
            </w:pPr>
            <w:r>
              <w:rPr>
                <w:b/>
                <w:bCs/>
                <w:color w:val="auto"/>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40"/>
              <w:ind w:left="0" w:right="0" w:firstLine="0"/>
              <w:jc w:val="center"/>
              <w:spacing w:before="112" w:line="240" w:lineRule="auto"/>
              <w:shd w:val="clear" w:color="auto"/>
              <w:rPr>
                <w:b/>
                <w:color w:val="auto"/>
                <w:szCs w:val="21"/>
                <w:highlight w:val="none"/>
              </w:rPr>
            </w:pPr>
            <w:r>
              <w:rPr>
                <w:b/>
                <w:bCs/>
                <w:color w:val="auto"/>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40"/>
              <w:ind w:left="0" w:right="0" w:firstLine="0"/>
              <w:jc w:val="center"/>
              <w:shd w:val="clear" w:color="auto"/>
              <w:rPr>
                <w:b/>
                <w:color w:val="auto"/>
                <w:szCs w:val="21"/>
                <w:highlight w:val="none"/>
              </w:rPr>
            </w:pPr>
            <w:r>
              <w:rPr>
                <w:b/>
                <w:bCs/>
                <w:color w:val="auto"/>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40"/>
              <w:ind w:left="0" w:right="0" w:firstLine="0"/>
              <w:jc w:val="center"/>
              <w:spacing w:before="112" w:line="240" w:lineRule="auto"/>
              <w:shd w:val="clear" w:color="auto"/>
              <w:rPr>
                <w:b/>
                <w:color w:val="auto"/>
                <w:szCs w:val="21"/>
                <w:highlight w:val="none"/>
              </w:rPr>
            </w:pPr>
            <w:r>
              <w:rPr>
                <w:b/>
                <w:bCs/>
                <w:color w:val="auto"/>
                <w:szCs w:val="21"/>
                <w:highlight w:val="none"/>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40"/>
              <w:ind w:left="0" w:right="0" w:firstLine="0"/>
              <w:jc w:val="center"/>
              <w:shd w:val="clear" w:color="auto"/>
              <w:rPr>
                <w:b/>
                <w:color w:val="auto"/>
                <w:szCs w:val="21"/>
                <w:highlight w:val="none"/>
              </w:rPr>
            </w:pPr>
            <w:r>
              <w:rPr>
                <w:b/>
                <w:bCs/>
                <w:color w:val="auto"/>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040"/>
              <w:ind w:left="0" w:right="0" w:firstLine="0"/>
              <w:jc w:val="center"/>
              <w:shd w:val="clear" w:color="auto"/>
              <w:rPr>
                <w:b/>
                <w:color w:val="auto"/>
                <w:szCs w:val="21"/>
                <w:highlight w:val="none"/>
              </w:rPr>
            </w:pPr>
            <w:r>
              <w:rPr>
                <w:b/>
                <w:bCs/>
                <w:color w:val="auto"/>
                <w:szCs w:val="21"/>
                <w:highlight w:val="none"/>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firstLine="0"/>
              <w:jc w:val="center"/>
              <w:shd w:val="clear" w:color="auto"/>
              <w:rPr>
                <w:color w:val="auto"/>
                <w:highlight w:val="none"/>
              </w:rPr>
            </w:pPr>
            <w:r>
              <w:rPr>
                <w:color w:val="auto"/>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firstLine="0"/>
              <w:jc w:val="center"/>
              <w:shd w:val="clear" w:color="auto"/>
              <w:rPr>
                <w:color w:val="auto"/>
                <w:highlight w:val="none"/>
              </w:rPr>
            </w:pPr>
            <w:r>
              <w:rPr>
                <w:color w:val="auto"/>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firstLine="0"/>
              <w:jc w:val="center"/>
              <w:shd w:val="clear" w:color="auto"/>
              <w:rPr>
                <w:color w:val="auto"/>
                <w:highlight w:val="none"/>
              </w:rPr>
            </w:pPr>
            <w:r>
              <w:rPr>
                <w:color w:val="auto"/>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firstLine="0"/>
              <w:jc w:val="center"/>
              <w:shd w:val="clear" w:color="auto"/>
              <w:rPr>
                <w:color w:val="auto"/>
                <w:highlight w:val="none"/>
              </w:rPr>
            </w:pPr>
            <w:r>
              <w:rPr>
                <w:color w:val="auto"/>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firstLine="0"/>
              <w:jc w:val="center"/>
              <w:shd w:val="clear" w:color="auto"/>
              <w:rPr>
                <w:color w:val="auto"/>
                <w:highlight w:val="none"/>
              </w:rPr>
            </w:pPr>
            <w:r>
              <w:rPr>
                <w:color w:val="auto"/>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firstLine="0"/>
              <w:jc w:val="center"/>
              <w:shd w:val="clear" w:color="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firstLine="0"/>
              <w:jc w:val="center"/>
              <w:shd w:val="clear" w:color="auto"/>
              <w:rPr>
                <w:color w:val="auto"/>
                <w:highlight w:val="none"/>
              </w:rPr>
            </w:pPr>
            <w:r>
              <w:rPr>
                <w:color w:val="auto"/>
                <w:highlight w:val="none"/>
              </w:rPr>
            </w:r>
            <w:r/>
          </w:p>
        </w:tc>
      </w:tr>
    </w:tbl>
    <w:p>
      <w:pPr>
        <w:spacing w:before="2"/>
        <w:shd w:val="clear" w:color="auto"/>
        <w:rPr>
          <w:rFonts w:ascii="宋体" w:hAnsi="宋体" w:cs="宋体"/>
          <w:color w:val="auto"/>
          <w:sz w:val="23"/>
          <w:szCs w:val="23"/>
          <w:highlight w:val="none"/>
        </w:rPr>
      </w:pPr>
      <w:r>
        <w:rPr>
          <w:rFonts w:ascii="宋体" w:hAnsi="宋体" w:cs="宋体"/>
          <w:color w:val="auto"/>
          <w:sz w:val="23"/>
          <w:szCs w:val="23"/>
          <w:highlight w:val="none"/>
        </w:rPr>
      </w:r>
      <w:r/>
    </w:p>
    <w:p>
      <w:pPr>
        <w:pStyle w:val="799"/>
        <w:jc w:val="left"/>
        <w:spacing w:before="34" w:line="360" w:lineRule="auto"/>
        <w:shd w:val="clear" w:color="auto"/>
        <w:tabs>
          <w:tab w:val="left" w:pos="4717" w:leader="none"/>
        </w:tabs>
        <w:rPr>
          <w:rFonts w:ascii="Times New Roman" w:hAnsi="Times New Roman" w:eastAsia="Times New Roman"/>
          <w:color w:val="auto"/>
          <w:sz w:val="11"/>
          <w:szCs w:val="11"/>
          <w:highlight w:val="none"/>
        </w:rPr>
        <w:outlineLvl w:val="1"/>
      </w:pPr>
      <w:r>
        <w:rPr>
          <w:rFonts w:hint="eastAsia" w:ascii="Times New Roman" w:hAnsi="Times New Roman" w:eastAsia="宋体" w:cs="Times New Roman"/>
          <w:color w:val="auto"/>
          <w:sz w:val="21"/>
          <w:szCs w:val="22"/>
          <w:highlight w:val="none"/>
          <w:lang w:val="en-US" w:eastAsia="zh-CN" w:bidi="ar-SA"/>
        </w:rPr>
        <w:t xml:space="preserve">供应商（盖CA电子公章）:</w:t>
      </w:r>
      <w:r/>
    </w:p>
    <w:p>
      <w:pPr>
        <w:jc w:val="left"/>
        <w:spacing w:line="360" w:lineRule="auto"/>
        <w:shd w:val="clear" w:color="auto"/>
        <w:widowControl/>
        <w:rPr>
          <w:rFonts w:hint="eastAsia"/>
          <w:color w:val="auto"/>
          <w:highlight w:val="none"/>
        </w:rPr>
      </w:pPr>
      <w:r>
        <w:rPr>
          <w:rFonts w:hint="eastAsia"/>
          <w:color w:val="auto"/>
          <w:highlight w:val="none"/>
        </w:rPr>
        <w:t xml:space="preserve">法定代表人（或授权代表）</w:t>
      </w:r>
      <w:r>
        <w:rPr>
          <w:rFonts w:hint="eastAsia" w:ascii="Times New Roman" w:hAnsi="Times New Roman" w:eastAsia="宋体" w:cs="Times New Roman"/>
          <w:color w:val="auto"/>
          <w:sz w:val="21"/>
          <w:szCs w:val="22"/>
          <w:highlight w:val="none"/>
          <w:lang w:val="en-US" w:eastAsia="zh-CN" w:bidi="ar-SA"/>
        </w:rPr>
        <w:t xml:space="preserve">：</w:t>
      </w:r>
      <w:r>
        <w:rPr>
          <w:rFonts w:hint="eastAsia"/>
          <w:color w:val="auto"/>
          <w:highlight w:val="none"/>
        </w:rPr>
        <w:t xml:space="preserve">（签字或盖章）   </w:t>
      </w:r>
      <w:r/>
    </w:p>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shd w:val="clear" w:color="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hd w:val="clear" w:color="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br w:type="page" w:clear="all"/>
      </w:r>
      <w:r/>
    </w:p>
    <w:p>
      <w:pPr>
        <w:jc w:val="center"/>
        <w:shd w:val="clear" w:color="auto"/>
        <w:rPr>
          <w:rFonts w:hint="eastAsia" w:ascii="宋体" w:hAnsi="宋体" w:cs="宋体"/>
          <w:b/>
          <w:bCs/>
          <w:color w:val="auto"/>
          <w:sz w:val="32"/>
          <w:szCs w:val="32"/>
          <w:highlight w:val="none"/>
        </w:rPr>
        <w:outlineLvl w:val="0"/>
      </w:pPr>
      <w:r>
        <w:rPr>
          <w:rFonts w:hint="eastAsia" w:ascii="宋体" w:hAnsi="宋体" w:cs="宋体"/>
          <w:b/>
          <w:color w:val="auto"/>
          <w:sz w:val="32"/>
          <w:szCs w:val="32"/>
          <w:highlight w:val="none"/>
          <w:lang w:val="en-US" w:eastAsia="zh-CN"/>
        </w:rPr>
        <w:t xml:space="preserve">八</w:t>
      </w:r>
      <w:r>
        <w:rPr>
          <w:rFonts w:hint="eastAsia" w:ascii="宋体" w:hAnsi="宋体" w:cs="宋体"/>
          <w:b/>
          <w:color w:val="auto"/>
          <w:sz w:val="32"/>
          <w:szCs w:val="32"/>
          <w:highlight w:val="none"/>
        </w:rPr>
        <w:t xml:space="preserve">、供应商类似业绩情况表</w:t>
      </w:r>
      <w:r/>
    </w:p>
    <w:p>
      <w:pPr>
        <w:spacing w:before="4"/>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before="5"/>
        <w:shd w:val="clear" w:color="auto"/>
        <w:rPr>
          <w:rFonts w:hint="eastAsia" w:ascii="宋体" w:hAnsi="宋体" w:cs="宋体"/>
          <w:b/>
          <w:bCs/>
          <w:color w:val="auto"/>
          <w:sz w:val="8"/>
          <w:szCs w:val="8"/>
          <w:highlight w:val="none"/>
        </w:rPr>
      </w:pPr>
      <w:r>
        <w:rPr>
          <w:rFonts w:hint="eastAsia" w:ascii="宋体" w:hAnsi="宋体" w:cs="宋体"/>
          <w:b/>
          <w:bCs/>
          <w:color w:val="auto"/>
          <w:sz w:val="8"/>
          <w:szCs w:val="8"/>
          <w:highlight w:val="none"/>
        </w:rPr>
      </w:r>
      <w:r/>
    </w:p>
    <w:tbl>
      <w:tblPr>
        <w:tblStyle w:val="724"/>
        <w:tblW w:w="8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98"/>
        <w:gridCol w:w="2375"/>
        <w:gridCol w:w="2375"/>
        <w:gridCol w:w="2375"/>
      </w:tblGrid>
      <w:tr>
        <w:trPr>
          <w:jc w:val="center"/>
          <w:trHeight w:val="0"/>
          <w:tblHeader/>
        </w:trPr>
        <w:tc>
          <w:tcPr>
            <w:tcW w:w="0" w:type="auto"/>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W w:w="0" w:type="auto"/>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项目名称</w:t>
            </w:r>
            <w:r/>
          </w:p>
        </w:tc>
        <w:tc>
          <w:tcPr>
            <w:tcW w:w="0" w:type="auto"/>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采购单位</w:t>
            </w:r>
            <w:r/>
          </w:p>
        </w:tc>
        <w:tc>
          <w:tcPr>
            <w:tcW w:w="2375" w:type="dxa"/>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合同金额</w:t>
            </w:r>
            <w:r/>
          </w:p>
        </w:tc>
      </w:tr>
      <w:tr>
        <w:trPr>
          <w:jc w:val="center"/>
          <w:trHeight w:val="0"/>
        </w:trPr>
        <w:tc>
          <w:tcPr>
            <w:tcW w:w="0" w:type="auto"/>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0" w:type="auto"/>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0" w:type="auto"/>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375" w:type="dxa"/>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tcW w:w="0" w:type="auto"/>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0" w:type="auto"/>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0" w:type="auto"/>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375" w:type="dxa"/>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tcW w:w="0" w:type="auto"/>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0" w:type="auto"/>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0" w:type="auto"/>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375" w:type="dxa"/>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0"/>
        </w:trPr>
        <w:tc>
          <w:tcPr>
            <w:tcW w:w="1198" w:type="dxa"/>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375" w:type="dxa"/>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375" w:type="dxa"/>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375" w:type="dxa"/>
            <w:vAlign w:val="center"/>
            <w:textDirection w:val="lrTb"/>
            <w:noWrap w:val="false"/>
          </w:tcPr>
          <w:p>
            <w:pPr>
              <w:pStyle w:val="1068"/>
              <w:ind w:left="0" w:right="0" w:firstLine="0"/>
              <w:jc w:val="center"/>
              <w:keepLines w:val="0"/>
              <w:keepNext w:val="0"/>
              <w:pageBreakBefore w:val="0"/>
              <w:spacing w:beforeAutospacing="0" w:afterAutospacing="0" w:line="240" w:lineRule="auto"/>
              <w:shd w:val="clear" w:color="auto"/>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spacing w:before="1"/>
        <w:shd w:val="clear" w:color="auto"/>
        <w:rPr>
          <w:rFonts w:hint="eastAsia" w:ascii="宋体" w:hAnsi="宋体" w:cs="宋体"/>
          <w:b/>
          <w:bCs/>
          <w:color w:val="auto"/>
          <w:sz w:val="23"/>
          <w:szCs w:val="23"/>
          <w:highlight w:val="none"/>
        </w:rPr>
      </w:pPr>
      <w:r>
        <w:rPr>
          <w:rFonts w:hint="eastAsia" w:ascii="宋体" w:hAnsi="宋体" w:cs="宋体"/>
          <w:b/>
          <w:bCs/>
          <w:color w:val="auto"/>
          <w:sz w:val="23"/>
          <w:szCs w:val="23"/>
          <w:highlight w:val="none"/>
        </w:rPr>
      </w:r>
      <w:r/>
    </w:p>
    <w:p>
      <w:pPr>
        <w:pStyle w:val="799"/>
        <w:jc w:val="left"/>
        <w:spacing w:before="34" w:line="360" w:lineRule="auto"/>
        <w:shd w:val="clear" w:color="auto"/>
        <w:tabs>
          <w:tab w:val="left" w:pos="4717" w:leader="none"/>
        </w:tabs>
        <w:rPr>
          <w:rFonts w:ascii="Times New Roman" w:hAnsi="Times New Roman" w:eastAsia="Times New Roman"/>
          <w:color w:val="auto"/>
          <w:sz w:val="11"/>
          <w:szCs w:val="11"/>
          <w:highlight w:val="none"/>
        </w:rPr>
        <w:outlineLvl w:val="1"/>
      </w:pPr>
      <w:r/>
      <w:bookmarkStart w:id="72" w:name="_Toc8603"/>
      <w:r>
        <w:rPr>
          <w:rFonts w:hint="eastAsia" w:ascii="Times New Roman" w:hAnsi="Times New Roman" w:eastAsia="宋体" w:cs="Times New Roman"/>
          <w:color w:val="auto"/>
          <w:sz w:val="21"/>
          <w:szCs w:val="22"/>
          <w:highlight w:val="none"/>
          <w:lang w:val="en-US" w:eastAsia="zh-CN" w:bidi="ar-SA"/>
        </w:rPr>
        <w:t xml:space="preserve">供应商（盖CA电子公章）:</w:t>
      </w:r>
      <w:r/>
    </w:p>
    <w:p>
      <w:pPr>
        <w:jc w:val="left"/>
        <w:spacing w:line="360" w:lineRule="auto"/>
        <w:shd w:val="clear" w:color="auto"/>
        <w:widowControl/>
        <w:rPr>
          <w:rFonts w:hint="eastAsia"/>
          <w:color w:val="auto"/>
          <w:highlight w:val="none"/>
        </w:rPr>
      </w:pPr>
      <w:r>
        <w:rPr>
          <w:rFonts w:hint="eastAsia"/>
          <w:color w:val="auto"/>
          <w:highlight w:val="none"/>
        </w:rPr>
        <w:t xml:space="preserve">法定代表人（或授权代表）</w:t>
      </w:r>
      <w:r>
        <w:rPr>
          <w:rFonts w:hint="eastAsia" w:ascii="Times New Roman" w:hAnsi="Times New Roman" w:eastAsia="宋体" w:cs="Times New Roman"/>
          <w:color w:val="auto"/>
          <w:sz w:val="21"/>
          <w:szCs w:val="22"/>
          <w:highlight w:val="none"/>
          <w:lang w:val="en-US" w:eastAsia="zh-CN" w:bidi="ar-SA"/>
        </w:rPr>
        <w:t xml:space="preserve">：</w:t>
      </w:r>
      <w:r>
        <w:rPr>
          <w:rFonts w:hint="eastAsia"/>
          <w:color w:val="auto"/>
          <w:highlight w:val="none"/>
        </w:rPr>
        <w:t xml:space="preserve">（签字或盖章）   </w:t>
      </w:r>
      <w:r/>
    </w:p>
    <w:p>
      <w:pPr>
        <w:jc w:val="left"/>
        <w:spacing w:line="360" w:lineRule="auto"/>
        <w:shd w:val="clear" w:color="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shd w:val="clear" w:color="auto"/>
        <w:rPr>
          <w:rFonts w:hint="default" w:ascii="Times New Roman" w:hAnsi="Times New Roman" w:eastAsia="方正仿宋_GB2312" w:cs="Times New Roman"/>
          <w:b/>
          <w:bCs w:val="0"/>
          <w:color w:val="auto"/>
          <w:sz w:val="44"/>
          <w:szCs w:val="44"/>
          <w:highlight w:val="none"/>
        </w:rPr>
      </w:pPr>
      <w:r>
        <w:rPr>
          <w:rFonts w:hint="default" w:ascii="Times New Roman" w:hAnsi="Times New Roman" w:eastAsia="方正仿宋_GB2312" w:cs="Times New Roman"/>
          <w:b/>
          <w:bCs w:val="0"/>
          <w:color w:val="auto"/>
          <w:sz w:val="44"/>
          <w:szCs w:val="44"/>
          <w:highlight w:val="none"/>
        </w:rPr>
        <w:br w:type="page" w:clear="all"/>
      </w:r>
      <w:r/>
    </w:p>
    <w:p>
      <w:pPr>
        <w:ind w:firstLine="0"/>
        <w:jc w:val="center"/>
        <w:keepLines w:val="0"/>
        <w:keepNext w:val="0"/>
        <w:pageBreakBefore w:val="0"/>
        <w:spacing w:beforeAutospacing="0" w:after="361" w:afterAutospacing="0" w:line="500" w:lineRule="exact"/>
        <w:shd w:val="clear" w:color="auto"/>
        <w:widowControl w:val="off"/>
        <w:rPr>
          <w:rFonts w:hint="default" w:ascii="Times New Roman" w:hAnsi="Times New Roman" w:eastAsia="方正仿宋_GB2312" w:cs="Times New Roman"/>
          <w:b/>
          <w:bCs w:val="0"/>
          <w:color w:val="auto"/>
          <w:sz w:val="44"/>
          <w:szCs w:val="44"/>
          <w:highlight w:val="none"/>
        </w:rPr>
        <w:outlineLvl w:val="0"/>
      </w:pPr>
      <w:r>
        <w:rPr>
          <w:rFonts w:hint="default" w:ascii="Times New Roman" w:hAnsi="Times New Roman" w:eastAsia="方正仿宋_GB2312" w:cs="Times New Roman"/>
          <w:b/>
          <w:bCs w:val="0"/>
          <w:color w:val="auto"/>
          <w:sz w:val="44"/>
          <w:szCs w:val="44"/>
          <w:highlight w:val="none"/>
        </w:rPr>
        <w:t xml:space="preserve">第七</w:t>
      </w:r>
      <w:r>
        <w:rPr>
          <w:rFonts w:hint="default" w:ascii="Times New Roman" w:hAnsi="Times New Roman" w:eastAsia="方正仿宋_GB2312" w:cs="Times New Roman"/>
          <w:b/>
          <w:bCs w:val="0"/>
          <w:color w:val="auto"/>
          <w:sz w:val="44"/>
          <w:szCs w:val="44"/>
          <w:highlight w:val="none"/>
          <w:lang w:val="en-US" w:eastAsia="zh-CN"/>
        </w:rPr>
        <w:t xml:space="preserve">部分</w:t>
      </w:r>
      <w:r>
        <w:rPr>
          <w:rFonts w:hint="default" w:ascii="Times New Roman" w:hAnsi="Times New Roman" w:eastAsia="方正仿宋_GB2312" w:cs="Times New Roman"/>
          <w:b/>
          <w:bCs w:val="0"/>
          <w:color w:val="auto"/>
          <w:sz w:val="44"/>
          <w:szCs w:val="44"/>
          <w:highlight w:val="none"/>
        </w:rPr>
        <w:t xml:space="preserve">：特别提醒</w:t>
      </w:r>
      <w:bookmarkEnd w:id="72"/>
      <w:r/>
      <w:r/>
    </w:p>
    <w:p>
      <w:pPr>
        <w:ind w:firstLine="0"/>
        <w:jc w:val="center"/>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bCs w:val="0"/>
          <w:color w:val="auto"/>
          <w:sz w:val="24"/>
          <w:szCs w:val="24"/>
          <w:highlight w:val="none"/>
        </w:rPr>
        <w:outlineLvl w:val="0"/>
      </w:pPr>
      <w:r/>
      <w:bookmarkStart w:id="73" w:name="_Toc1076"/>
      <w:r>
        <w:rPr>
          <w:rFonts w:hint="default" w:ascii="Times New Roman" w:hAnsi="Times New Roman" w:eastAsia="方正仿宋_GB2312" w:cs="Times New Roman"/>
          <w:b/>
          <w:bCs w:val="0"/>
          <w:color w:val="auto"/>
          <w:sz w:val="24"/>
          <w:szCs w:val="24"/>
          <w:highlight w:val="none"/>
        </w:rPr>
        <w:t xml:space="preserve">（有关围标串标情形的判定）</w:t>
      </w:r>
      <w:bookmarkEnd w:id="73"/>
      <w:r/>
      <w:r/>
    </w:p>
    <w:p>
      <w:pPr>
        <w:ind w:firstLine="480"/>
        <w:jc w:val="both"/>
        <w:spacing w:beforeAutospacing="0" w:afterAutospacing="0" w:line="500" w:lineRule="exact"/>
        <w:shd w:val="clear" w:color="auto"/>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ind w:firstLine="480"/>
        <w:jc w:val="both"/>
        <w:spacing w:beforeAutospacing="0" w:afterAutospacing="0" w:line="500" w:lineRule="exact"/>
        <w:shd w:val="clear" w:color="auto"/>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各投标人：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评标委员会将对投标人提交的投标/响应文件进行评审，在评审过程中如发现投标人存在以下情形：</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1.投标人之间协商投标报价、技术方案等投标文件的实质性内容；</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2.属于同一集团、协会、商会等组织成员的投标人按照该组织要求协同参加投标；</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3.投标人之间事先约定由某一特定投标人中标；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4.投标人之间商定部分投标人放弃参加投标或者放弃中标；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5.投标人之间为谋取中标或者排斥特定投标人而采取的其他联合行动。</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6.不同投标人的投标文件由同一单位或者个人编制；</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7.不同投标人委托同一单位或者个人办理投标事宜；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8.不同投标人的投标文件载明的项目管理成员或者联系人员为同一人；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9.不同投标人的投标文件异常一致或者投标报价呈规律性差异； </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10.不同投标人的投标文件相互混装；</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11.不同投标人的投标保证金从同一单位或者个人的账户转出。</w:t>
      </w:r>
      <w:r/>
    </w:p>
    <w:p>
      <w:pPr>
        <w:ind w:firstLine="48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750"/>
        <w:shd w:val="clear" w:color="auto"/>
        <w:rPr>
          <w:rFonts w:hint="eastAsia"/>
          <w:color w:val="auto"/>
          <w:highlight w:val="none"/>
        </w:rPr>
      </w:pPr>
      <w:r>
        <w:rPr>
          <w:rFonts w:hint="default" w:ascii="Times New Roman" w:hAnsi="Times New Roman" w:eastAsia="方正仿宋_GB2312" w:cs="Times New Roman"/>
          <w:color w:val="auto"/>
          <w:sz w:val="24"/>
          <w:szCs w:val="24"/>
          <w:highlight w:val="none"/>
        </w:rPr>
        <w:t xml:space="preserve">将被判定为存在围标串标情形，相关投标文件均将被否决。</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方正黑体_GBK">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Courier New">
    <w:panose1 w:val="020703090202050204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w:fldChar w:fldCharType="begin"/>
    </w:r>
    <w:r>
      <w:instrText xml:space="preserve">PAGE   \* MERGEFORMAT</w:instrText>
    </w:r>
    <w:r>
      <w:fldChar w:fldCharType="separate"/>
    </w:r>
    <w:r>
      <w:rPr>
        <w:lang w:val="zh-CN"/>
      </w:rPr>
      <w:t xml:space="preserve">33</w:t>
    </w:r>
    <w:r>
      <w:fldChar w:fldCharType="end"/>
    </w:r>
    <w:r/>
  </w:p>
  <w:p>
    <w:pPr>
      <w:pStyle w:val="10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w:fldChar w:fldCharType="begin"/>
    </w:r>
    <w:r>
      <w:instrText xml:space="preserve">PAGE   \* MERGEFORMAT</w:instrText>
    </w:r>
    <w:r>
      <w:fldChar w:fldCharType="separate"/>
    </w:r>
    <w:r>
      <w:rPr>
        <w:lang w:val="zh-CN"/>
      </w:rPr>
      <w:t xml:space="preserve">52</w:t>
    </w:r>
    <w:r>
      <w:fldChar w:fldCharType="end"/>
    </w:r>
    <w:r/>
  </w:p>
  <w:p>
    <w:pPr>
      <w:pStyle w:val="10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39"/>
        <w:ind w:left="480"/>
      </w:pPr>
      <w:r>
        <w:rPr>
          <w:rStyle w:val="749"/>
        </w:rPr>
        <w:footnoteRef/>
      </w:r>
      <w:r>
        <w:t xml:space="preserve"> </w:t>
      </w:r>
      <w:r>
        <w:rPr>
          <w:rFonts w:hint="eastAsia"/>
          <w:szCs w:val="18"/>
        </w:rPr>
        <w:t xml:space="preserve">本合同内容条款在正式签署前可具体补充细化，仅作参考，最终合同以采购人法务审查通过的版本为准</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both"/>
      <w:rPr>
        <w:szCs w:val="22"/>
      </w:rPr>
    </w:pPr>
    <w:r/>
    <w:bookmarkStart w:id="74" w:name="_Hlk69393955"/>
    <w:r/>
    <w:bookmarkStart w:id="75" w:name="_Hlk69393956"/>
    <w:r>
      <w:t xml:space="preserve">               </w:t>
    </w:r>
    <w:bookmarkEnd w:id="74"/>
    <w:r/>
    <w:bookmarkEnd w:id="75"/>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4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83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4">
    <w:name w:val="Heading 1"/>
    <w:basedOn w:val="713"/>
    <w:next w:val="713"/>
    <w:link w:val="1070"/>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uiPriority w:val="9"/>
    <w:unhideWhenUsed/>
    <w:qFormat/>
    <w:pPr>
      <w:keepLines/>
      <w:keepNext/>
      <w:spacing w:before="320" w:after="200"/>
      <w:outlineLvl w:val="5"/>
    </w:pPr>
    <w:rPr>
      <w:rFonts w:ascii="Arial" w:hAnsi="Arial" w:eastAsia="Arial" w:cs="Arial"/>
      <w:b/>
      <w:bCs/>
      <w:sz w:val="22"/>
    </w:rPr>
  </w:style>
  <w:style w:type="paragraph" w:styleId="720">
    <w:name w:val="Heading 7"/>
    <w:basedOn w:val="713"/>
    <w:next w:val="713"/>
    <w:uiPriority w:val="9"/>
    <w:unhideWhenUsed/>
    <w:qFormat/>
    <w:pPr>
      <w:keepLines/>
      <w:keepNext/>
      <w:spacing w:before="320" w:after="200"/>
      <w:outlineLvl w:val="6"/>
    </w:pPr>
    <w:rPr>
      <w:rFonts w:ascii="Arial" w:hAnsi="Arial" w:eastAsia="Arial" w:cs="Arial"/>
      <w:b/>
      <w:bCs/>
      <w:i/>
      <w:iCs/>
      <w:sz w:val="22"/>
    </w:rPr>
  </w:style>
  <w:style w:type="paragraph" w:styleId="721">
    <w:name w:val="Heading 8"/>
    <w:basedOn w:val="713"/>
    <w:next w:val="713"/>
    <w:uiPriority w:val="9"/>
    <w:unhideWhenUsed/>
    <w:qFormat/>
    <w:pPr>
      <w:keepLines/>
      <w:keepNext/>
      <w:spacing w:before="320" w:after="200"/>
      <w:outlineLvl w:val="7"/>
    </w:pPr>
    <w:rPr>
      <w:rFonts w:ascii="Arial" w:hAnsi="Arial" w:eastAsia="Arial" w:cs="Arial"/>
      <w:i/>
      <w:iCs/>
      <w:sz w:val="22"/>
    </w:rPr>
  </w:style>
  <w:style w:type="paragraph" w:styleId="722">
    <w:name w:val="Heading 9"/>
    <w:basedOn w:val="713"/>
    <w:next w:val="713"/>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toc 7"/>
    <w:basedOn w:val="713"/>
    <w:next w:val="713"/>
    <w:uiPriority w:val="39"/>
    <w:unhideWhenUsed/>
    <w:qFormat/>
    <w:pPr>
      <w:ind w:left="1701"/>
      <w:spacing w:after="57"/>
    </w:pPr>
  </w:style>
  <w:style w:type="paragraph" w:styleId="726">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annotation text"/>
    <w:basedOn w:val="713"/>
    <w:uiPriority w:val="99"/>
    <w:semiHidden/>
    <w:unhideWhenUsed/>
    <w:qFormat/>
    <w:pPr>
      <w:jc w:val="left"/>
    </w:pPr>
  </w:style>
  <w:style w:type="paragraph" w:styleId="728">
    <w:name w:val="Body Text"/>
    <w:basedOn w:val="713"/>
    <w:next w:val="729"/>
    <w:uiPriority w:val="0"/>
    <w:qFormat/>
    <w:pPr>
      <w:spacing w:after="120"/>
    </w:pPr>
    <w:rPr>
      <w:rFonts w:eastAsia="Times New Roman"/>
    </w:rPr>
  </w:style>
  <w:style w:type="paragraph" w:styleId="729"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730">
    <w:name w:val="toc 5"/>
    <w:basedOn w:val="713"/>
    <w:next w:val="713"/>
    <w:uiPriority w:val="39"/>
    <w:unhideWhenUsed/>
    <w:qFormat/>
    <w:pPr>
      <w:ind w:left="1134"/>
      <w:spacing w:after="57"/>
    </w:pPr>
  </w:style>
  <w:style w:type="paragraph" w:styleId="731">
    <w:name w:val="toc 3"/>
    <w:basedOn w:val="713"/>
    <w:next w:val="713"/>
    <w:uiPriority w:val="39"/>
    <w:unhideWhenUsed/>
    <w:qFormat/>
    <w:pPr>
      <w:ind w:left="567"/>
      <w:spacing w:after="57"/>
    </w:pPr>
  </w:style>
  <w:style w:type="paragraph" w:styleId="732">
    <w:name w:val="toc 8"/>
    <w:basedOn w:val="713"/>
    <w:next w:val="713"/>
    <w:uiPriority w:val="39"/>
    <w:unhideWhenUsed/>
    <w:qFormat/>
    <w:pPr>
      <w:ind w:left="1984"/>
      <w:spacing w:after="57"/>
    </w:pPr>
  </w:style>
  <w:style w:type="paragraph" w:styleId="733">
    <w:name w:val="endnote text"/>
    <w:basedOn w:val="713"/>
    <w:uiPriority w:val="99"/>
    <w:semiHidden/>
    <w:unhideWhenUsed/>
    <w:qFormat/>
    <w:rPr>
      <w:sz w:val="20"/>
    </w:rPr>
  </w:style>
  <w:style w:type="paragraph" w:styleId="734">
    <w:name w:val="Footer"/>
    <w:basedOn w:val="713"/>
    <w:uiPriority w:val="99"/>
    <w:unhideWhenUsed/>
    <w:qFormat/>
    <w:pPr>
      <w:tabs>
        <w:tab w:val="center" w:pos="7143" w:leader="none"/>
        <w:tab w:val="right" w:pos="14287" w:leader="none"/>
      </w:tabs>
    </w:pPr>
  </w:style>
  <w:style w:type="paragraph" w:styleId="735">
    <w:name w:val="Header"/>
    <w:basedOn w:val="713"/>
    <w:uiPriority w:val="99"/>
    <w:unhideWhenUsed/>
    <w:qFormat/>
    <w:pPr>
      <w:tabs>
        <w:tab w:val="center" w:pos="7143" w:leader="none"/>
        <w:tab w:val="right" w:pos="14287" w:leader="none"/>
      </w:tabs>
    </w:pPr>
  </w:style>
  <w:style w:type="paragraph" w:styleId="736">
    <w:name w:val="toc 1"/>
    <w:basedOn w:val="713"/>
    <w:next w:val="713"/>
    <w:uiPriority w:val="39"/>
    <w:unhideWhenUsed/>
    <w:qFormat/>
    <w:pPr>
      <w:spacing w:after="57"/>
    </w:pPr>
  </w:style>
  <w:style w:type="paragraph" w:styleId="737">
    <w:name w:val="toc 4"/>
    <w:basedOn w:val="713"/>
    <w:next w:val="713"/>
    <w:uiPriority w:val="39"/>
    <w:unhideWhenUsed/>
    <w:qFormat/>
    <w:pPr>
      <w:ind w:left="850"/>
      <w:spacing w:after="57"/>
    </w:pPr>
  </w:style>
  <w:style w:type="paragraph" w:styleId="738">
    <w:name w:val="Subtitle"/>
    <w:basedOn w:val="713"/>
    <w:next w:val="713"/>
    <w:uiPriority w:val="11"/>
    <w:qFormat/>
    <w:pPr>
      <w:spacing w:before="200" w:after="200"/>
    </w:pPr>
    <w:rPr>
      <w:sz w:val="24"/>
      <w:szCs w:val="24"/>
    </w:rPr>
  </w:style>
  <w:style w:type="paragraph" w:styleId="739">
    <w:name w:val="footnote text"/>
    <w:basedOn w:val="713"/>
    <w:uiPriority w:val="99"/>
    <w:semiHidden/>
    <w:unhideWhenUsed/>
    <w:qFormat/>
    <w:pPr>
      <w:spacing w:after="40"/>
    </w:pPr>
    <w:rPr>
      <w:sz w:val="18"/>
    </w:rPr>
  </w:style>
  <w:style w:type="paragraph" w:styleId="740">
    <w:name w:val="toc 6"/>
    <w:basedOn w:val="713"/>
    <w:next w:val="713"/>
    <w:uiPriority w:val="39"/>
    <w:unhideWhenUsed/>
    <w:qFormat/>
    <w:pPr>
      <w:ind w:left="1417"/>
      <w:spacing w:after="57"/>
    </w:pPr>
  </w:style>
  <w:style w:type="paragraph" w:styleId="741">
    <w:name w:val="table of figures"/>
    <w:basedOn w:val="713"/>
    <w:next w:val="713"/>
    <w:uiPriority w:val="99"/>
    <w:unhideWhenUsed/>
    <w:qFormat/>
  </w:style>
  <w:style w:type="paragraph" w:styleId="742">
    <w:name w:val="toc 2"/>
    <w:basedOn w:val="713"/>
    <w:next w:val="713"/>
    <w:uiPriority w:val="39"/>
    <w:unhideWhenUsed/>
    <w:qFormat/>
    <w:pPr>
      <w:ind w:left="283"/>
      <w:spacing w:after="57"/>
    </w:pPr>
  </w:style>
  <w:style w:type="paragraph" w:styleId="743">
    <w:name w:val="toc 9"/>
    <w:basedOn w:val="713"/>
    <w:next w:val="713"/>
    <w:uiPriority w:val="39"/>
    <w:unhideWhenUsed/>
    <w:qFormat/>
    <w:pPr>
      <w:ind w:left="2268"/>
      <w:spacing w:after="57"/>
    </w:pPr>
  </w:style>
  <w:style w:type="paragraph" w:styleId="744">
    <w:name w:val="Normal (Web)"/>
    <w:basedOn w:val="713"/>
    <w:uiPriority w:val="99"/>
    <w:semiHidden/>
    <w:unhideWhenUsed/>
    <w:qFormat/>
    <w:pPr>
      <w:ind w:left="0" w:right="0"/>
      <w:jc w:val="left"/>
      <w:spacing w:before="0" w:beforeAutospacing="1" w:after="0" w:afterAutospacing="1"/>
    </w:pPr>
    <w:rPr>
      <w:sz w:val="24"/>
      <w:lang w:val="en-US" w:eastAsia="zh-CN" w:bidi="ar"/>
    </w:rPr>
  </w:style>
  <w:style w:type="paragraph" w:styleId="745">
    <w:name w:val="Title"/>
    <w:basedOn w:val="713"/>
    <w:next w:val="713"/>
    <w:uiPriority w:val="10"/>
    <w:qFormat/>
    <w:pPr>
      <w:contextualSpacing/>
      <w:spacing w:before="300" w:after="200"/>
    </w:pPr>
    <w:rPr>
      <w:sz w:val="48"/>
      <w:szCs w:val="48"/>
    </w:r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basedOn w:val="723"/>
    <w:uiPriority w:val="99"/>
    <w:unhideWhenUsed/>
    <w:qFormat/>
    <w:rPr>
      <w:vertAlign w:val="superscript"/>
    </w:rPr>
  </w:style>
  <w:style w:type="paragraph" w:styleId="750" w:customStyle="1">
    <w:name w:val="正文文本1"/>
    <w:basedOn w:val="751"/>
    <w:next w:val="713"/>
    <w:uiPriority w:val="0"/>
    <w:qFormat/>
    <w:pPr>
      <w:spacing w:after="120"/>
    </w:pPr>
    <w:rPr>
      <w:rFonts w:ascii="Times New Roman" w:hAnsi="Times New Roman"/>
      <w:lang w:eastAsia="en-US"/>
    </w:rPr>
  </w:style>
  <w:style w:type="paragraph" w:styleId="751" w:customStyle="1">
    <w:name w:val="正文1"/>
    <w:basedOn w:val="713"/>
    <w:next w:val="750"/>
    <w:uiPriority w:val="0"/>
    <w:qFormat/>
    <w:pPr>
      <w:jc w:val="left"/>
      <w:spacing w:line="360" w:lineRule="atLeast"/>
    </w:pPr>
    <w:rPr>
      <w:rFonts w:ascii="宋体" w:hAnsi="Calibri"/>
      <w:sz w:val="24"/>
      <w:szCs w:val="20"/>
    </w:rPr>
  </w:style>
  <w:style w:type="table" w:styleId="752" w:customStyle="1">
    <w:name w:val="Plain Table 1"/>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7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7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3"/>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basedOn w:val="7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5 Dark"/>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6 Colorful"/>
    <w:basedOn w:val="7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7 Colorful"/>
    <w:basedOn w:val="7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List Table 1 Light"/>
    <w:basedOn w:val="7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2"/>
    <w:basedOn w:val="7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3"/>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5 Dark"/>
    <w:basedOn w:val="7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6 Colorful"/>
    <w:basedOn w:val="7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List Table 7 Colorful"/>
    <w:basedOn w:val="7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1" w:customStyle="1">
    <w:name w:val="TOC Heading"/>
    <w:uiPriority w:val="39"/>
    <w:unhideWhenUsed/>
    <w:qFormat/>
    <w:rPr>
      <w:rFonts w:hint="default" w:ascii="Times New Roman" w:hAnsi="Times New Roman" w:eastAsia="宋体" w:cs="Times New Roman"/>
    </w:rPr>
  </w:style>
  <w:style w:type="paragraph" w:styleId="772">
    <w:name w:val="List Paragraph"/>
    <w:basedOn w:val="713"/>
    <w:uiPriority w:val="34"/>
    <w:qFormat/>
    <w:pPr>
      <w:contextualSpacing/>
      <w:ind w:left="720"/>
    </w:pPr>
  </w:style>
  <w:style w:type="paragraph" w:styleId="773">
    <w:name w:val="No Spacing"/>
    <w:uiPriority w:val="1"/>
    <w:qFormat/>
    <w:rPr>
      <w:rFonts w:hint="default" w:ascii="Times New Roman" w:hAnsi="Times New Roman" w:eastAsia="宋体" w:cs="Times New Roman"/>
      <w:lang w:val="en-US" w:eastAsia="zh-CN" w:bidi="ar-SA"/>
    </w:rPr>
  </w:style>
  <w:style w:type="paragraph" w:styleId="774">
    <w:name w:val="Quote"/>
    <w:basedOn w:val="713"/>
    <w:next w:val="713"/>
    <w:uiPriority w:val="29"/>
    <w:qFormat/>
    <w:pPr>
      <w:ind w:left="720" w:right="720"/>
    </w:pPr>
    <w:rPr>
      <w:i/>
    </w:rPr>
  </w:style>
  <w:style w:type="paragraph" w:styleId="775">
    <w:name w:val="Intense Quote"/>
    <w:basedOn w:val="713"/>
    <w:next w:val="7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6" w:customStyle="1">
    <w:name w:val="标题 111"/>
    <w:basedOn w:val="713"/>
    <w:next w:val="713"/>
    <w:link w:val="788"/>
    <w:uiPriority w:val="9"/>
    <w:qFormat/>
    <w:pPr>
      <w:keepLines/>
      <w:keepNext/>
      <w:spacing w:before="480" w:after="200"/>
      <w:outlineLvl w:val="0"/>
    </w:pPr>
    <w:rPr>
      <w:rFonts w:ascii="Arial" w:hAnsi="Arial" w:eastAsia="Arial" w:cs="Arial"/>
      <w:sz w:val="40"/>
      <w:szCs w:val="40"/>
    </w:rPr>
  </w:style>
  <w:style w:type="paragraph" w:styleId="777" w:customStyle="1">
    <w:name w:val="标题 211"/>
    <w:basedOn w:val="713"/>
    <w:next w:val="713"/>
    <w:link w:val="789"/>
    <w:uiPriority w:val="9"/>
    <w:qFormat/>
    <w:pPr>
      <w:keepLines/>
      <w:keepNext/>
      <w:spacing w:before="360" w:after="200"/>
      <w:outlineLvl w:val="1"/>
    </w:pPr>
    <w:rPr>
      <w:rFonts w:ascii="Arial" w:hAnsi="Arial" w:eastAsia="Arial" w:cs="Arial"/>
      <w:sz w:val="34"/>
    </w:rPr>
  </w:style>
  <w:style w:type="paragraph" w:styleId="778" w:customStyle="1">
    <w:name w:val="标题 312"/>
    <w:basedOn w:val="713"/>
    <w:next w:val="779"/>
    <w:link w:val="790"/>
    <w:uiPriority w:val="9"/>
    <w:qFormat/>
    <w:pPr>
      <w:keepLines/>
      <w:keepNext/>
      <w:spacing w:before="320" w:after="200"/>
      <w:outlineLvl w:val="2"/>
    </w:pPr>
    <w:rPr>
      <w:rFonts w:ascii="Arial" w:hAnsi="Arial" w:eastAsia="Arial" w:cs="Arial"/>
      <w:sz w:val="30"/>
      <w:szCs w:val="30"/>
    </w:rPr>
  </w:style>
  <w:style w:type="paragraph" w:styleId="779" w:customStyle="1">
    <w:name w:val="正文缩进11"/>
    <w:basedOn w:val="713"/>
    <w:uiPriority w:val="0"/>
    <w:qFormat/>
    <w:pPr>
      <w:ind w:firstLine="482"/>
      <w:spacing w:line="360" w:lineRule="atLeast"/>
    </w:pPr>
    <w:rPr>
      <w:sz w:val="24"/>
      <w:szCs w:val="20"/>
    </w:rPr>
  </w:style>
  <w:style w:type="paragraph" w:styleId="780" w:customStyle="1">
    <w:name w:val="标题 411"/>
    <w:basedOn w:val="713"/>
    <w:next w:val="713"/>
    <w:link w:val="791"/>
    <w:uiPriority w:val="9"/>
    <w:qFormat/>
    <w:pPr>
      <w:keepLines/>
      <w:keepNext/>
      <w:spacing w:before="320" w:after="200"/>
      <w:outlineLvl w:val="3"/>
    </w:pPr>
    <w:rPr>
      <w:rFonts w:ascii="Arial" w:hAnsi="Arial" w:eastAsia="Arial" w:cs="Arial"/>
      <w:b/>
      <w:bCs/>
      <w:sz w:val="26"/>
      <w:szCs w:val="26"/>
    </w:rPr>
  </w:style>
  <w:style w:type="paragraph" w:styleId="781" w:customStyle="1">
    <w:name w:val="标题 51"/>
    <w:basedOn w:val="713"/>
    <w:next w:val="713"/>
    <w:link w:val="792"/>
    <w:uiPriority w:val="9"/>
    <w:qFormat/>
    <w:pPr>
      <w:keepLines/>
      <w:keepNext/>
      <w:spacing w:before="320" w:after="200"/>
      <w:outlineLvl w:val="4"/>
    </w:pPr>
    <w:rPr>
      <w:rFonts w:ascii="Arial" w:hAnsi="Arial" w:eastAsia="Arial" w:cs="Arial"/>
      <w:b/>
      <w:bCs/>
      <w:sz w:val="24"/>
      <w:szCs w:val="24"/>
    </w:rPr>
  </w:style>
  <w:style w:type="paragraph" w:styleId="782" w:customStyle="1">
    <w:name w:val="标题 61"/>
    <w:basedOn w:val="713"/>
    <w:next w:val="713"/>
    <w:link w:val="793"/>
    <w:uiPriority w:val="9"/>
    <w:qFormat/>
    <w:pPr>
      <w:keepLines/>
      <w:keepNext/>
      <w:spacing w:before="320" w:after="200"/>
      <w:outlineLvl w:val="5"/>
    </w:pPr>
    <w:rPr>
      <w:rFonts w:ascii="Arial" w:hAnsi="Arial" w:eastAsia="Arial" w:cs="Arial"/>
      <w:b/>
      <w:bCs/>
      <w:sz w:val="22"/>
    </w:rPr>
  </w:style>
  <w:style w:type="paragraph" w:styleId="783" w:customStyle="1">
    <w:name w:val="标题 71"/>
    <w:basedOn w:val="713"/>
    <w:next w:val="713"/>
    <w:link w:val="794"/>
    <w:uiPriority w:val="9"/>
    <w:qFormat/>
    <w:pPr>
      <w:keepLines/>
      <w:keepNext/>
      <w:spacing w:before="320" w:after="200"/>
      <w:outlineLvl w:val="6"/>
    </w:pPr>
    <w:rPr>
      <w:rFonts w:ascii="Arial" w:hAnsi="Arial" w:eastAsia="Arial" w:cs="Arial"/>
      <w:b/>
      <w:bCs/>
      <w:i/>
      <w:iCs/>
      <w:sz w:val="22"/>
    </w:rPr>
  </w:style>
  <w:style w:type="paragraph" w:styleId="784" w:customStyle="1">
    <w:name w:val="标题 81"/>
    <w:basedOn w:val="713"/>
    <w:next w:val="713"/>
    <w:link w:val="795"/>
    <w:uiPriority w:val="9"/>
    <w:qFormat/>
    <w:pPr>
      <w:keepLines/>
      <w:keepNext/>
      <w:spacing w:before="320" w:after="200"/>
      <w:outlineLvl w:val="7"/>
    </w:pPr>
    <w:rPr>
      <w:rFonts w:ascii="Arial" w:hAnsi="Arial" w:eastAsia="Arial" w:cs="Arial"/>
      <w:i/>
      <w:iCs/>
      <w:sz w:val="22"/>
    </w:rPr>
  </w:style>
  <w:style w:type="paragraph" w:styleId="785" w:customStyle="1">
    <w:name w:val="标题 91"/>
    <w:basedOn w:val="713"/>
    <w:next w:val="713"/>
    <w:link w:val="796"/>
    <w:uiPriority w:val="9"/>
    <w:qFormat/>
    <w:pPr>
      <w:keepLines/>
      <w:keepNext/>
      <w:spacing w:before="320" w:after="200"/>
      <w:outlineLvl w:val="8"/>
    </w:pPr>
    <w:rPr>
      <w:rFonts w:ascii="Arial" w:hAnsi="Arial" w:eastAsia="Arial" w:cs="Arial"/>
      <w:i/>
      <w:iCs/>
      <w:szCs w:val="21"/>
    </w:rPr>
  </w:style>
  <w:style w:type="character" w:styleId="786" w:customStyle="1">
    <w:name w:val="默认段落字体11"/>
    <w:uiPriority w:val="1"/>
    <w:unhideWhenUsed/>
    <w:qFormat/>
  </w:style>
  <w:style w:type="table" w:styleId="787" w:customStyle="1">
    <w:name w:val="普通表格11"/>
    <w:uiPriority w:val="99"/>
    <w:unhideWhenUsed/>
    <w:qFormat/>
    <w:tblPr>
      <w:tblCellMar>
        <w:left w:w="0" w:type="dxa"/>
        <w:top w:w="0" w:type="dxa"/>
        <w:right w:w="0" w:type="dxa"/>
        <w:bottom w:w="0" w:type="dxa"/>
      </w:tblCellMar>
    </w:tblPr>
  </w:style>
  <w:style w:type="character" w:styleId="788" w:customStyle="1">
    <w:name w:val="标题 1 字符"/>
    <w:link w:val="776"/>
    <w:uiPriority w:val="9"/>
    <w:qFormat/>
    <w:rPr>
      <w:rFonts w:ascii="Arial" w:hAnsi="Arial" w:eastAsia="Arial" w:cs="Arial"/>
      <w:sz w:val="40"/>
      <w:szCs w:val="40"/>
    </w:rPr>
  </w:style>
  <w:style w:type="character" w:styleId="789" w:customStyle="1">
    <w:name w:val="标题 2 字符"/>
    <w:link w:val="777"/>
    <w:uiPriority w:val="9"/>
    <w:qFormat/>
    <w:rPr>
      <w:rFonts w:ascii="Arial" w:hAnsi="Arial" w:eastAsia="Arial" w:cs="Arial"/>
      <w:sz w:val="34"/>
    </w:rPr>
  </w:style>
  <w:style w:type="character" w:styleId="790" w:customStyle="1">
    <w:name w:val="标题 3 字符"/>
    <w:link w:val="778"/>
    <w:uiPriority w:val="9"/>
    <w:qFormat/>
    <w:rPr>
      <w:rFonts w:ascii="Arial" w:hAnsi="Arial" w:eastAsia="Arial" w:cs="Arial"/>
      <w:sz w:val="30"/>
      <w:szCs w:val="30"/>
    </w:rPr>
  </w:style>
  <w:style w:type="character" w:styleId="791" w:customStyle="1">
    <w:name w:val="标题 4 字符"/>
    <w:link w:val="780"/>
    <w:uiPriority w:val="9"/>
    <w:qFormat/>
    <w:rPr>
      <w:rFonts w:ascii="Arial" w:hAnsi="Arial" w:eastAsia="Arial" w:cs="Arial"/>
      <w:b/>
      <w:bCs/>
      <w:sz w:val="26"/>
      <w:szCs w:val="26"/>
    </w:rPr>
  </w:style>
  <w:style w:type="character" w:styleId="792" w:customStyle="1">
    <w:name w:val="标题 5 字符"/>
    <w:link w:val="781"/>
    <w:uiPriority w:val="9"/>
    <w:qFormat/>
    <w:rPr>
      <w:rFonts w:ascii="Arial" w:hAnsi="Arial" w:eastAsia="Arial" w:cs="Arial"/>
      <w:b/>
      <w:bCs/>
      <w:sz w:val="24"/>
      <w:szCs w:val="24"/>
    </w:rPr>
  </w:style>
  <w:style w:type="character" w:styleId="793" w:customStyle="1">
    <w:name w:val="标题 6 字符"/>
    <w:link w:val="782"/>
    <w:uiPriority w:val="9"/>
    <w:qFormat/>
    <w:rPr>
      <w:rFonts w:ascii="Arial" w:hAnsi="Arial" w:eastAsia="Arial" w:cs="Arial"/>
      <w:b/>
      <w:bCs/>
      <w:sz w:val="22"/>
      <w:szCs w:val="22"/>
    </w:rPr>
  </w:style>
  <w:style w:type="character" w:styleId="794" w:customStyle="1">
    <w:name w:val="标题 7 字符"/>
    <w:link w:val="783"/>
    <w:uiPriority w:val="9"/>
    <w:qFormat/>
    <w:rPr>
      <w:rFonts w:ascii="Arial" w:hAnsi="Arial" w:eastAsia="Arial" w:cs="Arial"/>
      <w:b/>
      <w:bCs/>
      <w:i/>
      <w:iCs/>
      <w:sz w:val="22"/>
      <w:szCs w:val="22"/>
    </w:rPr>
  </w:style>
  <w:style w:type="character" w:styleId="795" w:customStyle="1">
    <w:name w:val="标题 8 字符"/>
    <w:link w:val="784"/>
    <w:uiPriority w:val="9"/>
    <w:qFormat/>
    <w:rPr>
      <w:rFonts w:ascii="Arial" w:hAnsi="Arial" w:eastAsia="Arial" w:cs="Arial"/>
      <w:i/>
      <w:iCs/>
      <w:sz w:val="22"/>
      <w:szCs w:val="22"/>
    </w:rPr>
  </w:style>
  <w:style w:type="character" w:styleId="796" w:customStyle="1">
    <w:name w:val="标题 9 字符"/>
    <w:link w:val="785"/>
    <w:uiPriority w:val="9"/>
    <w:qFormat/>
    <w:rPr>
      <w:rFonts w:ascii="Arial" w:hAnsi="Arial" w:eastAsia="Arial" w:cs="Arial"/>
      <w:i/>
      <w:iCs/>
      <w:sz w:val="21"/>
      <w:szCs w:val="21"/>
    </w:rPr>
  </w:style>
  <w:style w:type="paragraph" w:styleId="797" w:customStyle="1">
    <w:name w:val="目录 71"/>
    <w:basedOn w:val="713"/>
    <w:next w:val="713"/>
    <w:uiPriority w:val="39"/>
    <w:unhideWhenUsed/>
    <w:qFormat/>
    <w:pPr>
      <w:ind w:left="1701"/>
      <w:spacing w:after="57"/>
    </w:pPr>
  </w:style>
  <w:style w:type="paragraph" w:styleId="798" w:customStyle="1">
    <w:name w:val="题注1"/>
    <w:basedOn w:val="713"/>
    <w:next w:val="713"/>
    <w:uiPriority w:val="35"/>
    <w:qFormat/>
    <w:pPr>
      <w:spacing w:line="276" w:lineRule="auto"/>
    </w:pPr>
    <w:rPr>
      <w:b/>
      <w:bCs/>
      <w:color w:val="4f81bd"/>
      <w:sz w:val="18"/>
      <w:szCs w:val="18"/>
    </w:rPr>
  </w:style>
  <w:style w:type="paragraph" w:styleId="799" w:customStyle="1">
    <w:name w:val="正文文本12"/>
    <w:basedOn w:val="713"/>
    <w:uiPriority w:val="0"/>
    <w:qFormat/>
    <w:rPr>
      <w:rFonts w:ascii="楷体_GB2312" w:hAnsi="Arial" w:eastAsia="楷体_GB2312"/>
      <w:sz w:val="28"/>
      <w:szCs w:val="28"/>
    </w:rPr>
  </w:style>
  <w:style w:type="paragraph" w:styleId="800" w:customStyle="1">
    <w:name w:val="正文文本 211"/>
    <w:basedOn w:val="713"/>
    <w:uiPriority w:val="0"/>
    <w:qFormat/>
    <w:pPr>
      <w:spacing w:after="120" w:line="480" w:lineRule="auto"/>
    </w:pPr>
  </w:style>
  <w:style w:type="paragraph" w:styleId="801" w:customStyle="1">
    <w:name w:val="正文文本缩进11"/>
    <w:basedOn w:val="713"/>
    <w:next w:val="802"/>
    <w:uiPriority w:val="99"/>
    <w:unhideWhenUsed/>
    <w:qFormat/>
    <w:pPr>
      <w:ind w:left="420"/>
      <w:spacing w:after="120"/>
    </w:pPr>
  </w:style>
  <w:style w:type="paragraph" w:styleId="802" w:customStyle="1">
    <w:name w:val="寄信人地址11"/>
    <w:basedOn w:val="713"/>
    <w:uiPriority w:val="99"/>
    <w:unhideWhenUsed/>
    <w:qFormat/>
    <w:rPr>
      <w:rFonts w:ascii="Arial" w:hAnsi="Arial"/>
    </w:rPr>
  </w:style>
  <w:style w:type="paragraph" w:styleId="803" w:customStyle="1">
    <w:name w:val="索引 41"/>
    <w:basedOn w:val="713"/>
    <w:next w:val="713"/>
    <w:uiPriority w:val="0"/>
    <w:qFormat/>
    <w:pPr>
      <w:ind w:left="600"/>
    </w:pPr>
    <w:rPr>
      <w:rFonts w:ascii="Calibri" w:hAnsi="Calibri" w:eastAsia="Times New Roman"/>
      <w:sz w:val="24"/>
    </w:rPr>
  </w:style>
  <w:style w:type="paragraph" w:styleId="804" w:customStyle="1">
    <w:name w:val="目录 51"/>
    <w:basedOn w:val="713"/>
    <w:next w:val="713"/>
    <w:uiPriority w:val="39"/>
    <w:unhideWhenUsed/>
    <w:qFormat/>
    <w:pPr>
      <w:ind w:left="1134"/>
      <w:spacing w:after="57"/>
    </w:pPr>
  </w:style>
  <w:style w:type="paragraph" w:styleId="805" w:customStyle="1">
    <w:name w:val="目录 31"/>
    <w:basedOn w:val="713"/>
    <w:next w:val="713"/>
    <w:uiPriority w:val="39"/>
    <w:unhideWhenUsed/>
    <w:qFormat/>
    <w:pPr>
      <w:ind w:left="567"/>
      <w:spacing w:after="57"/>
    </w:pPr>
  </w:style>
  <w:style w:type="paragraph" w:styleId="806" w:customStyle="1">
    <w:name w:val="纯文本11"/>
    <w:basedOn w:val="713"/>
    <w:uiPriority w:val="0"/>
    <w:qFormat/>
    <w:rPr>
      <w:rFonts w:ascii="宋体" w:hAnsi="Courier New"/>
      <w:sz w:val="20"/>
      <w:szCs w:val="21"/>
    </w:rPr>
  </w:style>
  <w:style w:type="paragraph" w:styleId="807" w:customStyle="1">
    <w:name w:val="目录 81"/>
    <w:basedOn w:val="713"/>
    <w:next w:val="713"/>
    <w:uiPriority w:val="39"/>
    <w:unhideWhenUsed/>
    <w:qFormat/>
    <w:pPr>
      <w:ind w:left="1984"/>
      <w:spacing w:after="57"/>
    </w:pPr>
  </w:style>
  <w:style w:type="paragraph" w:styleId="808" w:customStyle="1">
    <w:name w:val="正文文本缩进 21"/>
    <w:basedOn w:val="713"/>
    <w:uiPriority w:val="99"/>
    <w:qFormat/>
    <w:pPr>
      <w:ind w:firstLine="562"/>
      <w:spacing w:line="480" w:lineRule="exact"/>
    </w:pPr>
    <w:rPr>
      <w:rFonts w:ascii="楷体_GB2312" w:eastAsia="楷体_GB2312"/>
      <w:b/>
      <w:bCs/>
      <w:sz w:val="28"/>
      <w:szCs w:val="24"/>
    </w:rPr>
  </w:style>
  <w:style w:type="paragraph" w:styleId="809" w:customStyle="1">
    <w:name w:val="尾注文本1"/>
    <w:basedOn w:val="713"/>
    <w:link w:val="810"/>
    <w:uiPriority w:val="99"/>
    <w:unhideWhenUsed/>
    <w:qFormat/>
    <w:rPr>
      <w:sz w:val="20"/>
    </w:rPr>
  </w:style>
  <w:style w:type="character" w:styleId="810" w:customStyle="1">
    <w:name w:val="尾注文本 字符"/>
    <w:link w:val="809"/>
    <w:uiPriority w:val="99"/>
    <w:qFormat/>
    <w:rPr>
      <w:sz w:val="20"/>
    </w:rPr>
  </w:style>
  <w:style w:type="paragraph" w:styleId="811" w:customStyle="1">
    <w:name w:val="批注框文本11"/>
    <w:basedOn w:val="713"/>
    <w:link w:val="812"/>
    <w:uiPriority w:val="99"/>
    <w:unhideWhenUsed/>
    <w:qFormat/>
    <w:rPr>
      <w:sz w:val="18"/>
      <w:szCs w:val="18"/>
    </w:rPr>
  </w:style>
  <w:style w:type="character" w:styleId="812" w:customStyle="1">
    <w:name w:val="批注框文本 字符"/>
    <w:link w:val="811"/>
    <w:uiPriority w:val="99"/>
    <w:semiHidden/>
    <w:qFormat/>
    <w:rPr>
      <w:sz w:val="18"/>
      <w:szCs w:val="18"/>
    </w:rPr>
  </w:style>
  <w:style w:type="paragraph" w:styleId="813" w:customStyle="1">
    <w:name w:val="页脚11"/>
    <w:basedOn w:val="713"/>
    <w:link w:val="814"/>
    <w:uiPriority w:val="99"/>
    <w:unhideWhenUsed/>
    <w:qFormat/>
    <w:pPr>
      <w:tabs>
        <w:tab w:val="center" w:pos="7143" w:leader="none"/>
        <w:tab w:val="right" w:pos="14287" w:leader="none"/>
      </w:tabs>
    </w:pPr>
  </w:style>
  <w:style w:type="character" w:styleId="814" w:customStyle="1">
    <w:name w:val="页脚 字符"/>
    <w:link w:val="813"/>
    <w:uiPriority w:val="99"/>
    <w:qFormat/>
  </w:style>
  <w:style w:type="paragraph" w:styleId="815" w:customStyle="1">
    <w:name w:val="页眉11"/>
    <w:basedOn w:val="713"/>
    <w:link w:val="816"/>
    <w:uiPriority w:val="99"/>
    <w:unhideWhenUsed/>
    <w:qFormat/>
    <w:pPr>
      <w:tabs>
        <w:tab w:val="center" w:pos="7143" w:leader="none"/>
        <w:tab w:val="right" w:pos="14287" w:leader="none"/>
      </w:tabs>
    </w:pPr>
  </w:style>
  <w:style w:type="character" w:styleId="816" w:customStyle="1">
    <w:name w:val="页眉 字符"/>
    <w:link w:val="815"/>
    <w:uiPriority w:val="99"/>
    <w:qFormat/>
  </w:style>
  <w:style w:type="paragraph" w:styleId="817" w:customStyle="1">
    <w:name w:val="目录 111"/>
    <w:basedOn w:val="713"/>
    <w:next w:val="713"/>
    <w:uiPriority w:val="39"/>
    <w:unhideWhenUsed/>
    <w:qFormat/>
    <w:pPr>
      <w:spacing w:after="57"/>
    </w:pPr>
  </w:style>
  <w:style w:type="paragraph" w:styleId="818" w:customStyle="1">
    <w:name w:val="目录 41"/>
    <w:basedOn w:val="713"/>
    <w:next w:val="713"/>
    <w:uiPriority w:val="39"/>
    <w:unhideWhenUsed/>
    <w:qFormat/>
    <w:pPr>
      <w:ind w:left="850"/>
      <w:spacing w:after="57"/>
    </w:pPr>
  </w:style>
  <w:style w:type="paragraph" w:styleId="819" w:customStyle="1">
    <w:name w:val="副标题1"/>
    <w:basedOn w:val="713"/>
    <w:next w:val="713"/>
    <w:link w:val="820"/>
    <w:uiPriority w:val="11"/>
    <w:qFormat/>
    <w:pPr>
      <w:spacing w:before="200" w:after="200"/>
    </w:pPr>
    <w:rPr>
      <w:sz w:val="24"/>
      <w:szCs w:val="24"/>
    </w:rPr>
  </w:style>
  <w:style w:type="character" w:styleId="820" w:customStyle="1">
    <w:name w:val="副标题 字符"/>
    <w:link w:val="819"/>
    <w:uiPriority w:val="11"/>
    <w:qFormat/>
    <w:rPr>
      <w:sz w:val="24"/>
      <w:szCs w:val="24"/>
    </w:rPr>
  </w:style>
  <w:style w:type="paragraph" w:styleId="821" w:customStyle="1">
    <w:name w:val="脚注文本1"/>
    <w:basedOn w:val="713"/>
    <w:link w:val="822"/>
    <w:uiPriority w:val="0"/>
    <w:unhideWhenUsed/>
    <w:qFormat/>
    <w:pPr>
      <w:spacing w:after="40"/>
    </w:pPr>
    <w:rPr>
      <w:sz w:val="18"/>
    </w:rPr>
  </w:style>
  <w:style w:type="character" w:styleId="822" w:customStyle="1">
    <w:name w:val="脚注文本 字符"/>
    <w:link w:val="821"/>
    <w:uiPriority w:val="0"/>
    <w:qFormat/>
    <w:rPr>
      <w:sz w:val="18"/>
    </w:rPr>
  </w:style>
  <w:style w:type="paragraph" w:styleId="823" w:customStyle="1">
    <w:name w:val="目录 61"/>
    <w:basedOn w:val="713"/>
    <w:next w:val="713"/>
    <w:uiPriority w:val="39"/>
    <w:unhideWhenUsed/>
    <w:qFormat/>
    <w:pPr>
      <w:ind w:left="1417"/>
      <w:spacing w:after="57"/>
    </w:pPr>
  </w:style>
  <w:style w:type="paragraph" w:styleId="824" w:customStyle="1">
    <w:name w:val="图表目录1"/>
    <w:basedOn w:val="713"/>
    <w:next w:val="713"/>
    <w:uiPriority w:val="99"/>
    <w:unhideWhenUsed/>
    <w:qFormat/>
  </w:style>
  <w:style w:type="paragraph" w:styleId="825" w:customStyle="1">
    <w:name w:val="目录 211"/>
    <w:basedOn w:val="713"/>
    <w:next w:val="713"/>
    <w:uiPriority w:val="39"/>
    <w:unhideWhenUsed/>
    <w:qFormat/>
    <w:pPr>
      <w:ind w:left="283"/>
      <w:spacing w:after="57"/>
    </w:pPr>
  </w:style>
  <w:style w:type="paragraph" w:styleId="826" w:customStyle="1">
    <w:name w:val="目录 91"/>
    <w:basedOn w:val="713"/>
    <w:next w:val="713"/>
    <w:uiPriority w:val="39"/>
    <w:unhideWhenUsed/>
    <w:qFormat/>
    <w:pPr>
      <w:ind w:left="2268"/>
      <w:spacing w:after="57"/>
    </w:pPr>
  </w:style>
  <w:style w:type="paragraph" w:styleId="827" w:customStyle="1">
    <w:name w:val="信息标题1"/>
    <w:basedOn w:val="71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28" w:customStyle="1">
    <w:name w:val="普通(网站)11"/>
    <w:basedOn w:val="713"/>
    <w:uiPriority w:val="0"/>
    <w:qFormat/>
    <w:pPr>
      <w:jc w:val="left"/>
      <w:spacing w:before="100" w:beforeAutospacing="1" w:after="100" w:afterAutospacing="1"/>
      <w:widowControl/>
    </w:pPr>
    <w:rPr>
      <w:rFonts w:ascii="Verdana" w:hAnsi="Verdana" w:cs="Verdana"/>
      <w:sz w:val="24"/>
      <w:szCs w:val="24"/>
    </w:rPr>
  </w:style>
  <w:style w:type="paragraph" w:styleId="829" w:customStyle="1">
    <w:name w:val="标题1"/>
    <w:basedOn w:val="713"/>
    <w:next w:val="713"/>
    <w:link w:val="830"/>
    <w:uiPriority w:val="10"/>
    <w:qFormat/>
    <w:pPr>
      <w:contextualSpacing/>
      <w:spacing w:before="300" w:after="200"/>
    </w:pPr>
    <w:rPr>
      <w:sz w:val="48"/>
      <w:szCs w:val="48"/>
    </w:rPr>
  </w:style>
  <w:style w:type="character" w:styleId="830" w:customStyle="1">
    <w:name w:val="标题 字符"/>
    <w:link w:val="829"/>
    <w:uiPriority w:val="10"/>
    <w:qFormat/>
    <w:rPr>
      <w:sz w:val="48"/>
      <w:szCs w:val="48"/>
    </w:rPr>
  </w:style>
  <w:style w:type="paragraph" w:styleId="831" w:customStyle="1">
    <w:name w:val="正文首行缩进 211"/>
    <w:basedOn w:val="801"/>
    <w:next w:val="713"/>
    <w:uiPriority w:val="99"/>
    <w:unhideWhenUsed/>
    <w:qFormat/>
    <w:pPr>
      <w:ind w:firstLine="420"/>
    </w:pPr>
  </w:style>
  <w:style w:type="table" w:styleId="832" w:customStyle="1">
    <w:name w:val="网格型1"/>
    <w:uiPriority w:val="59"/>
    <w:qFormat/>
    <w:tblPr>
      <w:tblCellMar>
        <w:left w:w="0" w:type="dxa"/>
        <w:top w:w="0" w:type="dxa"/>
        <w:right w:w="0" w:type="dxa"/>
        <w:bottom w:w="0" w:type="dxa"/>
      </w:tblCellMar>
    </w:tblPr>
  </w:style>
  <w:style w:type="character" w:styleId="833" w:customStyle="1">
    <w:name w:val="尾注引用1"/>
    <w:uiPriority w:val="99"/>
    <w:unhideWhenUsed/>
    <w:qFormat/>
    <w:rPr>
      <w:vertAlign w:val="superscript"/>
    </w:rPr>
  </w:style>
  <w:style w:type="character" w:styleId="834" w:customStyle="1">
    <w:name w:val="超链接1"/>
    <w:uiPriority w:val="99"/>
    <w:unhideWhenUsed/>
    <w:qFormat/>
    <w:rPr>
      <w:color w:val="0000ff"/>
      <w:u w:val="single"/>
    </w:rPr>
  </w:style>
  <w:style w:type="character" w:styleId="835" w:customStyle="1">
    <w:name w:val="脚注引用1"/>
    <w:uiPriority w:val="0"/>
    <w:unhideWhenUsed/>
    <w:qFormat/>
    <w:rPr>
      <w:vertAlign w:val="superscript"/>
    </w:rPr>
  </w:style>
  <w:style w:type="paragraph" w:styleId="836" w:customStyle="1">
    <w:name w:val="标题 311"/>
    <w:basedOn w:val="713"/>
    <w:next w:val="713"/>
    <w:uiPriority w:val="0"/>
    <w:qFormat/>
    <w:pPr>
      <w:keepLines/>
      <w:keepNext/>
      <w:spacing w:before="260" w:after="260" w:line="416" w:lineRule="auto"/>
      <w:outlineLvl w:val="2"/>
    </w:pPr>
    <w:rPr>
      <w:b/>
      <w:sz w:val="32"/>
      <w:szCs w:val="20"/>
    </w:rPr>
  </w:style>
  <w:style w:type="paragraph" w:styleId="837" w:customStyle="1">
    <w:name w:val="TOC 标题1"/>
    <w:uiPriority w:val="39"/>
    <w:unhideWhenUsed/>
    <w:qFormat/>
    <w:rPr>
      <w:rFonts w:hint="default" w:ascii="Times New Roman" w:hAnsi="Times New Roman" w:eastAsia="宋体" w:cs="Times New Roman"/>
      <w:lang w:val="en-US" w:eastAsia="zh-CN" w:bidi="ar-SA"/>
    </w:rPr>
  </w:style>
  <w:style w:type="paragraph" w:styleId="838" w:customStyle="1">
    <w:name w:val="文本块1"/>
    <w:basedOn w:val="713"/>
    <w:uiPriority w:val="99"/>
    <w:unhideWhenUsed/>
    <w:qFormat/>
    <w:pPr>
      <w:ind w:left="1440" w:right="1440"/>
      <w:spacing w:after="120"/>
    </w:pPr>
  </w:style>
  <w:style w:type="paragraph" w:styleId="839" w:customStyle="1">
    <w:name w:val="ListBullet21"/>
    <w:basedOn w:val="713"/>
    <w:uiPriority w:val="0"/>
    <w:qFormat/>
    <w:pPr>
      <w:numPr>
        <w:ilvl w:val="0"/>
        <w:numId w:val="1"/>
      </w:numPr>
    </w:pPr>
  </w:style>
  <w:style w:type="paragraph" w:styleId="840" w:customStyle="1">
    <w:name w:val="正文（缩进）"/>
    <w:basedOn w:val="713"/>
    <w:next w:val="841"/>
    <w:uiPriority w:val="0"/>
    <w:qFormat/>
    <w:pPr>
      <w:ind w:firstLine="480"/>
    </w:pPr>
  </w:style>
  <w:style w:type="paragraph" w:styleId="841" w:customStyle="1">
    <w:name w:val="Char Char Char Char Char Char Char Char Char"/>
    <w:basedOn w:val="713"/>
    <w:next w:val="842"/>
    <w:uiPriority w:val="99"/>
    <w:qFormat/>
    <w:pPr>
      <w:ind w:left="360" w:firstLine="5784"/>
    </w:pPr>
  </w:style>
  <w:style w:type="paragraph" w:styleId="842" w:customStyle="1">
    <w:name w:val="正文文本 21"/>
    <w:basedOn w:val="713"/>
    <w:next w:val="843"/>
    <w:uiPriority w:val="99"/>
    <w:qFormat/>
    <w:pPr>
      <w:ind w:left="720" w:firstLine="5680"/>
      <w:widowControl/>
    </w:pPr>
  </w:style>
  <w:style w:type="paragraph" w:styleId="843" w:customStyle="1">
    <w:name w:val="默认段落字体 Para Char Char Char Char Char Char Char"/>
    <w:basedOn w:val="713"/>
    <w:next w:val="844"/>
    <w:uiPriority w:val="99"/>
    <w:qFormat/>
    <w:pPr>
      <w:ind w:firstLine="200"/>
    </w:pPr>
    <w:rPr>
      <w:rFonts w:cs="Arial"/>
    </w:rPr>
  </w:style>
  <w:style w:type="paragraph" w:styleId="844" w:customStyle="1">
    <w:name w:val="样式 首行缩进:  2 字符"/>
    <w:basedOn w:val="713"/>
    <w:next w:val="845"/>
    <w:uiPriority w:val="99"/>
    <w:qFormat/>
    <w:pPr>
      <w:ind w:left="480" w:firstLine="5856"/>
      <w:spacing w:line="360" w:lineRule="auto"/>
    </w:pPr>
  </w:style>
  <w:style w:type="paragraph" w:styleId="845" w:customStyle="1">
    <w:name w:val="样式 段后: 0.25 行"/>
    <w:basedOn w:val="713"/>
    <w:next w:val="846"/>
    <w:uiPriority w:val="99"/>
    <w:qFormat/>
    <w:pPr>
      <w:ind w:left="420" w:firstLine="5796"/>
      <w:spacing w:line="300" w:lineRule="auto"/>
      <w:widowControl/>
    </w:pPr>
  </w:style>
  <w:style w:type="paragraph" w:styleId="846" w:customStyle="1">
    <w:name w:val="正文 New New New New New New New New New New New New New New"/>
    <w:next w:val="826"/>
    <w:uiPriority w:val="99"/>
    <w:qFormat/>
    <w:pPr>
      <w:ind w:firstLine="2048"/>
      <w:jc w:val="both"/>
      <w:widowControl w:val="off"/>
    </w:pPr>
    <w:rPr>
      <w:rFonts w:hint="default" w:ascii="Calibri" w:hAnsi="Calibri" w:eastAsia="宋体" w:cs="Times New Roman"/>
      <w:lang w:val="en-US" w:eastAsia="zh-CN" w:bidi="ar-SA"/>
    </w:rPr>
  </w:style>
  <w:style w:type="character" w:styleId="847" w:customStyle="1">
    <w:name w:val="Heading 1 Char"/>
    <w:uiPriority w:val="9"/>
    <w:qFormat/>
    <w:rPr>
      <w:rFonts w:ascii="Arial" w:hAnsi="Arial" w:eastAsia="Arial" w:cs="Arial"/>
      <w:sz w:val="40"/>
      <w:szCs w:val="40"/>
    </w:rPr>
  </w:style>
  <w:style w:type="character" w:styleId="848" w:customStyle="1">
    <w:name w:val="Heading 2 Char"/>
    <w:uiPriority w:val="9"/>
    <w:qFormat/>
    <w:rPr>
      <w:rFonts w:ascii="Arial" w:hAnsi="Arial" w:eastAsia="Arial" w:cs="Arial"/>
      <w:sz w:val="34"/>
    </w:rPr>
  </w:style>
  <w:style w:type="character" w:styleId="849" w:customStyle="1">
    <w:name w:val="Heading 3 Char"/>
    <w:uiPriority w:val="9"/>
    <w:qFormat/>
    <w:rPr>
      <w:rFonts w:ascii="Arial" w:hAnsi="Arial" w:eastAsia="Arial" w:cs="Arial"/>
      <w:sz w:val="30"/>
      <w:szCs w:val="30"/>
    </w:rPr>
  </w:style>
  <w:style w:type="character" w:styleId="850" w:customStyle="1">
    <w:name w:val="Heading 4 Char"/>
    <w:uiPriority w:val="9"/>
    <w:qFormat/>
    <w:rPr>
      <w:rFonts w:ascii="Arial" w:hAnsi="Arial" w:eastAsia="Arial" w:cs="Arial"/>
      <w:b/>
      <w:bCs/>
      <w:sz w:val="26"/>
      <w:szCs w:val="26"/>
    </w:rPr>
  </w:style>
  <w:style w:type="character" w:styleId="851" w:customStyle="1">
    <w:name w:val="Heading 5 Char"/>
    <w:uiPriority w:val="9"/>
    <w:qFormat/>
    <w:rPr>
      <w:rFonts w:ascii="Arial" w:hAnsi="Arial" w:eastAsia="Arial" w:cs="Arial"/>
      <w:b/>
      <w:bCs/>
      <w:sz w:val="24"/>
      <w:szCs w:val="24"/>
    </w:rPr>
  </w:style>
  <w:style w:type="character" w:styleId="852" w:customStyle="1">
    <w:name w:val="Heading 6 Char"/>
    <w:uiPriority w:val="9"/>
    <w:qFormat/>
    <w:rPr>
      <w:rFonts w:ascii="Arial" w:hAnsi="Arial" w:eastAsia="Arial" w:cs="Arial"/>
      <w:b/>
      <w:bCs/>
      <w:sz w:val="22"/>
      <w:szCs w:val="22"/>
    </w:rPr>
  </w:style>
  <w:style w:type="character" w:styleId="853" w:customStyle="1">
    <w:name w:val="Heading 7 Char"/>
    <w:uiPriority w:val="9"/>
    <w:qFormat/>
    <w:rPr>
      <w:rFonts w:ascii="Arial" w:hAnsi="Arial" w:eastAsia="Arial" w:cs="Arial"/>
      <w:b/>
      <w:bCs/>
      <w:i/>
      <w:iCs/>
      <w:sz w:val="22"/>
      <w:szCs w:val="22"/>
    </w:rPr>
  </w:style>
  <w:style w:type="character" w:styleId="854" w:customStyle="1">
    <w:name w:val="Heading 8 Char"/>
    <w:uiPriority w:val="9"/>
    <w:qFormat/>
    <w:rPr>
      <w:rFonts w:ascii="Arial" w:hAnsi="Arial" w:eastAsia="Arial" w:cs="Arial"/>
      <w:i/>
      <w:iCs/>
      <w:sz w:val="22"/>
      <w:szCs w:val="22"/>
    </w:rPr>
  </w:style>
  <w:style w:type="character" w:styleId="855" w:customStyle="1">
    <w:name w:val="Heading 9 Char"/>
    <w:uiPriority w:val="9"/>
    <w:qFormat/>
    <w:rPr>
      <w:rFonts w:ascii="Arial" w:hAnsi="Arial" w:eastAsia="Arial" w:cs="Arial"/>
      <w:i/>
      <w:iCs/>
      <w:sz w:val="21"/>
      <w:szCs w:val="21"/>
    </w:rPr>
  </w:style>
  <w:style w:type="character" w:styleId="856" w:customStyle="1">
    <w:name w:val="Title Char"/>
    <w:uiPriority w:val="10"/>
    <w:qFormat/>
    <w:rPr>
      <w:sz w:val="48"/>
      <w:szCs w:val="48"/>
    </w:rPr>
  </w:style>
  <w:style w:type="character" w:styleId="857" w:customStyle="1">
    <w:name w:val="Subtitle Char"/>
    <w:uiPriority w:val="11"/>
    <w:qFormat/>
    <w:rPr>
      <w:sz w:val="24"/>
      <w:szCs w:val="24"/>
    </w:rPr>
  </w:style>
  <w:style w:type="character" w:styleId="858" w:customStyle="1">
    <w:name w:val="Quote Char"/>
    <w:uiPriority w:val="29"/>
    <w:qFormat/>
    <w:rPr>
      <w:i/>
    </w:rPr>
  </w:style>
  <w:style w:type="character" w:styleId="859" w:customStyle="1">
    <w:name w:val="Intense Quote Char"/>
    <w:uiPriority w:val="30"/>
    <w:qFormat/>
    <w:rPr>
      <w:i/>
    </w:rPr>
  </w:style>
  <w:style w:type="character" w:styleId="860" w:customStyle="1">
    <w:name w:val="Header Char"/>
    <w:uiPriority w:val="99"/>
    <w:qFormat/>
  </w:style>
  <w:style w:type="character" w:styleId="861" w:customStyle="1">
    <w:name w:val="Caption Char"/>
    <w:uiPriority w:val="99"/>
    <w:qFormat/>
  </w:style>
  <w:style w:type="table" w:styleId="862" w:customStyle="1">
    <w:name w:val="无格式表格 11"/>
    <w:basedOn w:val="787"/>
    <w:uiPriority w:val="59"/>
    <w:qFormat/>
    <w:tblPr/>
  </w:style>
  <w:style w:type="table" w:styleId="863" w:customStyle="1">
    <w:name w:val="无格式表格 21"/>
    <w:basedOn w:val="787"/>
    <w:uiPriority w:val="59"/>
    <w:qFormat/>
    <w:tblPr/>
  </w:style>
  <w:style w:type="table" w:styleId="864" w:customStyle="1">
    <w:name w:val="无格式表格 31"/>
    <w:basedOn w:val="787"/>
    <w:uiPriority w:val="99"/>
    <w:qFormat/>
    <w:tblPr/>
  </w:style>
  <w:style w:type="table" w:styleId="865" w:customStyle="1">
    <w:name w:val="无格式表格 41"/>
    <w:basedOn w:val="787"/>
    <w:uiPriority w:val="99"/>
    <w:qFormat/>
    <w:tblPr/>
  </w:style>
  <w:style w:type="table" w:styleId="866" w:customStyle="1">
    <w:name w:val="无格式表格 51"/>
    <w:basedOn w:val="787"/>
    <w:uiPriority w:val="99"/>
    <w:qFormat/>
    <w:tblPr/>
  </w:style>
  <w:style w:type="table" w:styleId="867" w:customStyle="1">
    <w:name w:val="网格表 1 浅色1"/>
    <w:basedOn w:val="787"/>
    <w:uiPriority w:val="99"/>
    <w:qFormat/>
    <w:tblPr/>
  </w:style>
  <w:style w:type="table" w:styleId="868" w:customStyle="1">
    <w:name w:val="网格表 21"/>
    <w:basedOn w:val="787"/>
    <w:uiPriority w:val="99"/>
    <w:qFormat/>
    <w:tblPr/>
  </w:style>
  <w:style w:type="table" w:styleId="869" w:customStyle="1">
    <w:name w:val="网格表 31"/>
    <w:basedOn w:val="787"/>
    <w:uiPriority w:val="99"/>
    <w:qFormat/>
    <w:tblPr/>
  </w:style>
  <w:style w:type="table" w:styleId="870" w:customStyle="1">
    <w:name w:val="网格表 41"/>
    <w:basedOn w:val="787"/>
    <w:uiPriority w:val="59"/>
    <w:qFormat/>
    <w:tblPr/>
  </w:style>
  <w:style w:type="table" w:styleId="871" w:customStyle="1">
    <w:name w:val="网格表 5 深色1"/>
    <w:basedOn w:val="787"/>
    <w:uiPriority w:val="99"/>
    <w:qFormat/>
    <w:tblPr/>
  </w:style>
  <w:style w:type="table" w:styleId="872" w:customStyle="1">
    <w:name w:val="网格表 6 彩色1"/>
    <w:basedOn w:val="787"/>
    <w:uiPriority w:val="99"/>
    <w:qFormat/>
    <w:tblPr/>
  </w:style>
  <w:style w:type="table" w:styleId="873" w:customStyle="1">
    <w:name w:val="网格表 7 彩色1"/>
    <w:basedOn w:val="787"/>
    <w:uiPriority w:val="99"/>
    <w:qFormat/>
    <w:tblPr/>
  </w:style>
  <w:style w:type="table" w:styleId="874" w:customStyle="1">
    <w:name w:val="清单表 1 浅色1"/>
    <w:basedOn w:val="787"/>
    <w:uiPriority w:val="99"/>
    <w:qFormat/>
    <w:tblPr/>
  </w:style>
  <w:style w:type="table" w:styleId="875" w:customStyle="1">
    <w:name w:val="清单表 21"/>
    <w:basedOn w:val="787"/>
    <w:uiPriority w:val="99"/>
    <w:qFormat/>
    <w:tblPr/>
  </w:style>
  <w:style w:type="table" w:styleId="876" w:customStyle="1">
    <w:name w:val="清单表 31"/>
    <w:basedOn w:val="787"/>
    <w:uiPriority w:val="99"/>
    <w:qFormat/>
    <w:tblPr/>
  </w:style>
  <w:style w:type="table" w:styleId="877" w:customStyle="1">
    <w:name w:val="清单表 41"/>
    <w:basedOn w:val="787"/>
    <w:uiPriority w:val="99"/>
    <w:qFormat/>
    <w:tblPr/>
  </w:style>
  <w:style w:type="table" w:styleId="878" w:customStyle="1">
    <w:name w:val="清单表 5 深色1"/>
    <w:basedOn w:val="787"/>
    <w:uiPriority w:val="99"/>
    <w:qFormat/>
    <w:tblPr/>
  </w:style>
  <w:style w:type="table" w:styleId="879" w:customStyle="1">
    <w:name w:val="清单表 6 彩色1"/>
    <w:basedOn w:val="787"/>
    <w:uiPriority w:val="99"/>
    <w:qFormat/>
    <w:tblPr/>
  </w:style>
  <w:style w:type="table" w:styleId="880" w:customStyle="1">
    <w:name w:val="清单表 7 彩色1"/>
    <w:basedOn w:val="787"/>
    <w:uiPriority w:val="99"/>
    <w:qFormat/>
    <w:tblPr/>
  </w:style>
  <w:style w:type="character" w:styleId="881" w:customStyle="1">
    <w:name w:val="Footnote Text Char"/>
    <w:uiPriority w:val="99"/>
    <w:qFormat/>
    <w:rPr>
      <w:sz w:val="18"/>
    </w:rPr>
  </w:style>
  <w:style w:type="character" w:styleId="882" w:customStyle="1">
    <w:name w:val="Endnote Text Char"/>
    <w:uiPriority w:val="99"/>
    <w:qFormat/>
    <w:rPr>
      <w:sz w:val="20"/>
    </w:rPr>
  </w:style>
  <w:style w:type="paragraph" w:styleId="883" w:customStyle="1">
    <w:name w:val="TOC 标题111"/>
    <w:uiPriority w:val="39"/>
    <w:unhideWhenUsed/>
    <w:qFormat/>
    <w:rPr>
      <w:rFonts w:hint="default" w:ascii="Times New Roman" w:hAnsi="Times New Roman" w:eastAsia="宋体" w:cs="Times New Roman"/>
      <w:lang w:val="en-US" w:eastAsia="zh-CN" w:bidi="ar-SA"/>
    </w:rPr>
  </w:style>
  <w:style w:type="paragraph" w:styleId="884" w:customStyle="1">
    <w:name w:val="列表段落1"/>
    <w:basedOn w:val="713"/>
    <w:uiPriority w:val="34"/>
    <w:qFormat/>
    <w:pPr>
      <w:contextualSpacing/>
      <w:ind w:left="720"/>
    </w:pPr>
  </w:style>
  <w:style w:type="paragraph" w:styleId="885" w:customStyle="1">
    <w:name w:val="无间隔1"/>
    <w:uiPriority w:val="1"/>
    <w:qFormat/>
    <w:rPr>
      <w:rFonts w:hint="default" w:ascii="Times New Roman" w:hAnsi="Times New Roman" w:eastAsia="宋体" w:cs="Times New Roman"/>
      <w:lang w:val="en-US" w:eastAsia="zh-CN" w:bidi="ar-SA"/>
    </w:rPr>
  </w:style>
  <w:style w:type="paragraph" w:styleId="886" w:customStyle="1">
    <w:name w:val="引用1"/>
    <w:basedOn w:val="713"/>
    <w:next w:val="713"/>
    <w:link w:val="887"/>
    <w:uiPriority w:val="29"/>
    <w:qFormat/>
    <w:pPr>
      <w:ind w:left="720" w:right="720"/>
    </w:pPr>
    <w:rPr>
      <w:i/>
    </w:rPr>
  </w:style>
  <w:style w:type="character" w:styleId="887" w:customStyle="1">
    <w:name w:val="引用 字符"/>
    <w:link w:val="886"/>
    <w:uiPriority w:val="29"/>
    <w:qFormat/>
    <w:rPr>
      <w:i/>
    </w:rPr>
  </w:style>
  <w:style w:type="paragraph" w:styleId="888" w:customStyle="1">
    <w:name w:val="明显引用1"/>
    <w:basedOn w:val="713"/>
    <w:next w:val="713"/>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字符"/>
    <w:link w:val="888"/>
    <w:uiPriority w:val="30"/>
    <w:qFormat/>
    <w:rPr>
      <w:i/>
    </w:rPr>
  </w:style>
  <w:style w:type="character" w:styleId="890" w:customStyle="1">
    <w:name w:val="Footer Char"/>
    <w:uiPriority w:val="99"/>
    <w:qFormat/>
  </w:style>
  <w:style w:type="table" w:styleId="891" w:customStyle="1">
    <w:name w:val="Table Grid Light"/>
    <w:uiPriority w:val="59"/>
    <w:qFormat/>
    <w:tblPr>
      <w:tblCellMar>
        <w:left w:w="0" w:type="dxa"/>
        <w:top w:w="0" w:type="dxa"/>
        <w:right w:w="0" w:type="dxa"/>
        <w:bottom w:w="0" w:type="dxa"/>
      </w:tblCellMar>
    </w:tblPr>
  </w:style>
  <w:style w:type="table" w:styleId="892" w:customStyle="1">
    <w:name w:val="Grid Table 1 Light - Accent 1"/>
    <w:uiPriority w:val="99"/>
    <w:qFormat/>
    <w:tblPr>
      <w:tblCellMar>
        <w:left w:w="0" w:type="dxa"/>
        <w:top w:w="0" w:type="dxa"/>
        <w:right w:w="0" w:type="dxa"/>
        <w:bottom w:w="0" w:type="dxa"/>
      </w:tblCellMar>
    </w:tblPr>
  </w:style>
  <w:style w:type="table" w:styleId="893" w:customStyle="1">
    <w:name w:val="Grid Table 1 Light - Accent 2"/>
    <w:uiPriority w:val="99"/>
    <w:qFormat/>
    <w:tblPr>
      <w:tblCellMar>
        <w:left w:w="0" w:type="dxa"/>
        <w:top w:w="0" w:type="dxa"/>
        <w:right w:w="0" w:type="dxa"/>
        <w:bottom w:w="0" w:type="dxa"/>
      </w:tblCellMar>
    </w:tblPr>
  </w:style>
  <w:style w:type="table" w:styleId="894" w:customStyle="1">
    <w:name w:val="Grid Table 1 Light - Accent 3"/>
    <w:uiPriority w:val="99"/>
    <w:qFormat/>
    <w:tblPr>
      <w:tblCellMar>
        <w:left w:w="0" w:type="dxa"/>
        <w:top w:w="0" w:type="dxa"/>
        <w:right w:w="0" w:type="dxa"/>
        <w:bottom w:w="0" w:type="dxa"/>
      </w:tblCellMar>
    </w:tblPr>
  </w:style>
  <w:style w:type="table" w:styleId="895" w:customStyle="1">
    <w:name w:val="Grid Table 1 Light - Accent 4"/>
    <w:uiPriority w:val="99"/>
    <w:qFormat/>
    <w:tblPr>
      <w:tblCellMar>
        <w:left w:w="0" w:type="dxa"/>
        <w:top w:w="0" w:type="dxa"/>
        <w:right w:w="0" w:type="dxa"/>
        <w:bottom w:w="0" w:type="dxa"/>
      </w:tblCellMar>
    </w:tblPr>
  </w:style>
  <w:style w:type="table" w:styleId="896" w:customStyle="1">
    <w:name w:val="Grid Table 1 Light - Accent 5"/>
    <w:uiPriority w:val="99"/>
    <w:qFormat/>
    <w:tblPr>
      <w:tblCellMar>
        <w:left w:w="0" w:type="dxa"/>
        <w:top w:w="0" w:type="dxa"/>
        <w:right w:w="0" w:type="dxa"/>
        <w:bottom w:w="0" w:type="dxa"/>
      </w:tblCellMar>
    </w:tblPr>
  </w:style>
  <w:style w:type="table" w:styleId="897" w:customStyle="1">
    <w:name w:val="Grid Table 1 Light - Accent 6"/>
    <w:uiPriority w:val="99"/>
    <w:qFormat/>
    <w:tblPr>
      <w:tblCellMar>
        <w:left w:w="0" w:type="dxa"/>
        <w:top w:w="0" w:type="dxa"/>
        <w:right w:w="0" w:type="dxa"/>
        <w:bottom w:w="0" w:type="dxa"/>
      </w:tblCellMar>
    </w:tblPr>
  </w:style>
  <w:style w:type="table" w:styleId="898" w:customStyle="1">
    <w:name w:val="Grid Table 2 - Accent 1"/>
    <w:uiPriority w:val="99"/>
    <w:qFormat/>
    <w:tblPr>
      <w:tblCellMar>
        <w:left w:w="0" w:type="dxa"/>
        <w:top w:w="0" w:type="dxa"/>
        <w:right w:w="0" w:type="dxa"/>
        <w:bottom w:w="0" w:type="dxa"/>
      </w:tblCellMar>
    </w:tblPr>
  </w:style>
  <w:style w:type="table" w:styleId="899" w:customStyle="1">
    <w:name w:val="Grid Table 2 - Accent 2"/>
    <w:uiPriority w:val="99"/>
    <w:qFormat/>
    <w:tblPr>
      <w:tblCellMar>
        <w:left w:w="0" w:type="dxa"/>
        <w:top w:w="0" w:type="dxa"/>
        <w:right w:w="0" w:type="dxa"/>
        <w:bottom w:w="0" w:type="dxa"/>
      </w:tblCellMar>
    </w:tblPr>
  </w:style>
  <w:style w:type="table" w:styleId="900" w:customStyle="1">
    <w:name w:val="Grid Table 2 - Accent 3"/>
    <w:uiPriority w:val="99"/>
    <w:qFormat/>
    <w:tblPr>
      <w:tblCellMar>
        <w:left w:w="0" w:type="dxa"/>
        <w:top w:w="0" w:type="dxa"/>
        <w:right w:w="0" w:type="dxa"/>
        <w:bottom w:w="0" w:type="dxa"/>
      </w:tblCellMar>
    </w:tblPr>
  </w:style>
  <w:style w:type="table" w:styleId="901" w:customStyle="1">
    <w:name w:val="Grid Table 2 - Accent 4"/>
    <w:uiPriority w:val="99"/>
    <w:qFormat/>
    <w:tblPr>
      <w:tblCellMar>
        <w:left w:w="0" w:type="dxa"/>
        <w:top w:w="0" w:type="dxa"/>
        <w:right w:w="0" w:type="dxa"/>
        <w:bottom w:w="0" w:type="dxa"/>
      </w:tblCellMar>
    </w:tblPr>
  </w:style>
  <w:style w:type="table" w:styleId="902" w:customStyle="1">
    <w:name w:val="Grid Table 2 - Accent 5"/>
    <w:uiPriority w:val="99"/>
    <w:qFormat/>
    <w:tblPr>
      <w:tblCellMar>
        <w:left w:w="0" w:type="dxa"/>
        <w:top w:w="0" w:type="dxa"/>
        <w:right w:w="0" w:type="dxa"/>
        <w:bottom w:w="0" w:type="dxa"/>
      </w:tblCellMar>
    </w:tblPr>
  </w:style>
  <w:style w:type="table" w:styleId="903" w:customStyle="1">
    <w:name w:val="Grid Table 2 - Accent 6"/>
    <w:uiPriority w:val="99"/>
    <w:qFormat/>
    <w:tblPr>
      <w:tblCellMar>
        <w:left w:w="0" w:type="dxa"/>
        <w:top w:w="0" w:type="dxa"/>
        <w:right w:w="0" w:type="dxa"/>
        <w:bottom w:w="0" w:type="dxa"/>
      </w:tblCellMar>
    </w:tblPr>
  </w:style>
  <w:style w:type="table" w:styleId="904" w:customStyle="1">
    <w:name w:val="Grid Table 3 - Accent 1"/>
    <w:uiPriority w:val="99"/>
    <w:qFormat/>
    <w:tblPr>
      <w:tblCellMar>
        <w:left w:w="0" w:type="dxa"/>
        <w:top w:w="0" w:type="dxa"/>
        <w:right w:w="0" w:type="dxa"/>
        <w:bottom w:w="0" w:type="dxa"/>
      </w:tblCellMar>
    </w:tblPr>
  </w:style>
  <w:style w:type="table" w:styleId="905" w:customStyle="1">
    <w:name w:val="Grid Table 3 - Accent 2"/>
    <w:uiPriority w:val="99"/>
    <w:qFormat/>
    <w:tblPr>
      <w:tblCellMar>
        <w:left w:w="0" w:type="dxa"/>
        <w:top w:w="0" w:type="dxa"/>
        <w:right w:w="0" w:type="dxa"/>
        <w:bottom w:w="0" w:type="dxa"/>
      </w:tblCellMar>
    </w:tblPr>
  </w:style>
  <w:style w:type="table" w:styleId="906" w:customStyle="1">
    <w:name w:val="Grid Table 3 - Accent 3"/>
    <w:uiPriority w:val="99"/>
    <w:qFormat/>
    <w:tblPr>
      <w:tblCellMar>
        <w:left w:w="0" w:type="dxa"/>
        <w:top w:w="0" w:type="dxa"/>
        <w:right w:w="0" w:type="dxa"/>
        <w:bottom w:w="0" w:type="dxa"/>
      </w:tblCellMar>
    </w:tblPr>
  </w:style>
  <w:style w:type="table" w:styleId="907" w:customStyle="1">
    <w:name w:val="Grid Table 3 - Accent 4"/>
    <w:uiPriority w:val="99"/>
    <w:qFormat/>
    <w:tblPr>
      <w:tblCellMar>
        <w:left w:w="0" w:type="dxa"/>
        <w:top w:w="0" w:type="dxa"/>
        <w:right w:w="0" w:type="dxa"/>
        <w:bottom w:w="0" w:type="dxa"/>
      </w:tblCellMar>
    </w:tblPr>
  </w:style>
  <w:style w:type="table" w:styleId="908" w:customStyle="1">
    <w:name w:val="Grid Table 3 - Accent 5"/>
    <w:uiPriority w:val="99"/>
    <w:qFormat/>
    <w:tblPr>
      <w:tblCellMar>
        <w:left w:w="0" w:type="dxa"/>
        <w:top w:w="0" w:type="dxa"/>
        <w:right w:w="0" w:type="dxa"/>
        <w:bottom w:w="0" w:type="dxa"/>
      </w:tblCellMar>
    </w:tblPr>
  </w:style>
  <w:style w:type="table" w:styleId="909" w:customStyle="1">
    <w:name w:val="Grid Table 3 - Accent 6"/>
    <w:uiPriority w:val="99"/>
    <w:qFormat/>
    <w:tblPr>
      <w:tblCellMar>
        <w:left w:w="0" w:type="dxa"/>
        <w:top w:w="0" w:type="dxa"/>
        <w:right w:w="0" w:type="dxa"/>
        <w:bottom w:w="0" w:type="dxa"/>
      </w:tblCellMar>
    </w:tblPr>
  </w:style>
  <w:style w:type="table" w:styleId="910" w:customStyle="1">
    <w:name w:val="Grid Table 4 - Accent 1"/>
    <w:uiPriority w:val="59"/>
    <w:qFormat/>
    <w:tblPr>
      <w:tblCellMar>
        <w:left w:w="0" w:type="dxa"/>
        <w:top w:w="0" w:type="dxa"/>
        <w:right w:w="0" w:type="dxa"/>
        <w:bottom w:w="0" w:type="dxa"/>
      </w:tblCellMar>
    </w:tblPr>
  </w:style>
  <w:style w:type="table" w:styleId="911" w:customStyle="1">
    <w:name w:val="Grid Table 4 - Accent 2"/>
    <w:uiPriority w:val="59"/>
    <w:qFormat/>
    <w:tblPr>
      <w:tblCellMar>
        <w:left w:w="0" w:type="dxa"/>
        <w:top w:w="0" w:type="dxa"/>
        <w:right w:w="0" w:type="dxa"/>
        <w:bottom w:w="0" w:type="dxa"/>
      </w:tblCellMar>
    </w:tblPr>
  </w:style>
  <w:style w:type="table" w:styleId="912" w:customStyle="1">
    <w:name w:val="Grid Table 4 - Accent 3"/>
    <w:uiPriority w:val="59"/>
    <w:qFormat/>
    <w:tblPr>
      <w:tblCellMar>
        <w:left w:w="0" w:type="dxa"/>
        <w:top w:w="0" w:type="dxa"/>
        <w:right w:w="0" w:type="dxa"/>
        <w:bottom w:w="0" w:type="dxa"/>
      </w:tblCellMar>
    </w:tblPr>
  </w:style>
  <w:style w:type="table" w:styleId="913" w:customStyle="1">
    <w:name w:val="Grid Table 4 - Accent 4"/>
    <w:uiPriority w:val="59"/>
    <w:qFormat/>
    <w:tblPr>
      <w:tblCellMar>
        <w:left w:w="0" w:type="dxa"/>
        <w:top w:w="0" w:type="dxa"/>
        <w:right w:w="0" w:type="dxa"/>
        <w:bottom w:w="0" w:type="dxa"/>
      </w:tblCellMar>
    </w:tblPr>
  </w:style>
  <w:style w:type="table" w:styleId="914" w:customStyle="1">
    <w:name w:val="Grid Table 4 - Accent 5"/>
    <w:uiPriority w:val="59"/>
    <w:qFormat/>
    <w:tblPr>
      <w:tblCellMar>
        <w:left w:w="0" w:type="dxa"/>
        <w:top w:w="0" w:type="dxa"/>
        <w:right w:w="0" w:type="dxa"/>
        <w:bottom w:w="0" w:type="dxa"/>
      </w:tblCellMar>
    </w:tblPr>
  </w:style>
  <w:style w:type="table" w:styleId="915" w:customStyle="1">
    <w:name w:val="Grid Table 4 - Accent 6"/>
    <w:uiPriority w:val="59"/>
    <w:qFormat/>
    <w:tblPr>
      <w:tblCellMar>
        <w:left w:w="0" w:type="dxa"/>
        <w:top w:w="0" w:type="dxa"/>
        <w:right w:w="0" w:type="dxa"/>
        <w:bottom w:w="0" w:type="dxa"/>
      </w:tblCellMar>
    </w:tblPr>
  </w:style>
  <w:style w:type="table" w:styleId="916" w:customStyle="1">
    <w:name w:val="Grid Table 5 Dark- Accent 1"/>
    <w:uiPriority w:val="99"/>
    <w:qFormat/>
    <w:tblPr>
      <w:tblCellMar>
        <w:left w:w="0" w:type="dxa"/>
        <w:top w:w="0" w:type="dxa"/>
        <w:right w:w="0" w:type="dxa"/>
        <w:bottom w:w="0" w:type="dxa"/>
      </w:tblCellMar>
    </w:tblPr>
  </w:style>
  <w:style w:type="table" w:styleId="917" w:customStyle="1">
    <w:name w:val="Grid Table 5 Dark - Accent 2"/>
    <w:uiPriority w:val="99"/>
    <w:qFormat/>
    <w:tblPr>
      <w:tblCellMar>
        <w:left w:w="0" w:type="dxa"/>
        <w:top w:w="0" w:type="dxa"/>
        <w:right w:w="0" w:type="dxa"/>
        <w:bottom w:w="0" w:type="dxa"/>
      </w:tblCellMar>
    </w:tblPr>
  </w:style>
  <w:style w:type="table" w:styleId="918" w:customStyle="1">
    <w:name w:val="Grid Table 5 Dark - Accent 3"/>
    <w:uiPriority w:val="99"/>
    <w:qFormat/>
    <w:tblPr>
      <w:tblCellMar>
        <w:left w:w="0" w:type="dxa"/>
        <w:top w:w="0" w:type="dxa"/>
        <w:right w:w="0" w:type="dxa"/>
        <w:bottom w:w="0" w:type="dxa"/>
      </w:tblCellMar>
    </w:tblPr>
  </w:style>
  <w:style w:type="table" w:styleId="919" w:customStyle="1">
    <w:name w:val="Grid Table 5 Dark- Accent 4"/>
    <w:uiPriority w:val="99"/>
    <w:qFormat/>
    <w:tblPr>
      <w:tblCellMar>
        <w:left w:w="0" w:type="dxa"/>
        <w:top w:w="0" w:type="dxa"/>
        <w:right w:w="0" w:type="dxa"/>
        <w:bottom w:w="0" w:type="dxa"/>
      </w:tblCellMar>
    </w:tblPr>
  </w:style>
  <w:style w:type="table" w:styleId="920" w:customStyle="1">
    <w:name w:val="Grid Table 5 Dark - Accent 5"/>
    <w:uiPriority w:val="99"/>
    <w:qFormat/>
    <w:tblPr>
      <w:tblCellMar>
        <w:left w:w="0" w:type="dxa"/>
        <w:top w:w="0" w:type="dxa"/>
        <w:right w:w="0" w:type="dxa"/>
        <w:bottom w:w="0" w:type="dxa"/>
      </w:tblCellMar>
    </w:tblPr>
  </w:style>
  <w:style w:type="table" w:styleId="921" w:customStyle="1">
    <w:name w:val="Grid Table 5 Dark - Accent 6"/>
    <w:uiPriority w:val="99"/>
    <w:qFormat/>
    <w:tblPr>
      <w:tblCellMar>
        <w:left w:w="0" w:type="dxa"/>
        <w:top w:w="0" w:type="dxa"/>
        <w:right w:w="0" w:type="dxa"/>
        <w:bottom w:w="0" w:type="dxa"/>
      </w:tblCellMar>
    </w:tblPr>
  </w:style>
  <w:style w:type="table" w:styleId="922" w:customStyle="1">
    <w:name w:val="Grid Table 6 Colorful - Accent 1"/>
    <w:uiPriority w:val="99"/>
    <w:qFormat/>
    <w:tblPr>
      <w:tblCellMar>
        <w:left w:w="0" w:type="dxa"/>
        <w:top w:w="0" w:type="dxa"/>
        <w:right w:w="0" w:type="dxa"/>
        <w:bottom w:w="0" w:type="dxa"/>
      </w:tblCellMar>
    </w:tblPr>
  </w:style>
  <w:style w:type="table" w:styleId="923" w:customStyle="1">
    <w:name w:val="Grid Table 6 Colorful - Accent 2"/>
    <w:uiPriority w:val="99"/>
    <w:qFormat/>
    <w:tblPr>
      <w:tblCellMar>
        <w:left w:w="0" w:type="dxa"/>
        <w:top w:w="0" w:type="dxa"/>
        <w:right w:w="0" w:type="dxa"/>
        <w:bottom w:w="0" w:type="dxa"/>
      </w:tblCellMar>
    </w:tblPr>
  </w:style>
  <w:style w:type="table" w:styleId="924" w:customStyle="1">
    <w:name w:val="Grid Table 6 Colorful - Accent 3"/>
    <w:uiPriority w:val="99"/>
    <w:qFormat/>
    <w:tblPr>
      <w:tblCellMar>
        <w:left w:w="0" w:type="dxa"/>
        <w:top w:w="0" w:type="dxa"/>
        <w:right w:w="0" w:type="dxa"/>
        <w:bottom w:w="0" w:type="dxa"/>
      </w:tblCellMar>
    </w:tblPr>
  </w:style>
  <w:style w:type="table" w:styleId="925" w:customStyle="1">
    <w:name w:val="Grid Table 6 Colorful - Accent 4"/>
    <w:uiPriority w:val="99"/>
    <w:qFormat/>
    <w:tblPr>
      <w:tblCellMar>
        <w:left w:w="0" w:type="dxa"/>
        <w:top w:w="0" w:type="dxa"/>
        <w:right w:w="0" w:type="dxa"/>
        <w:bottom w:w="0" w:type="dxa"/>
      </w:tblCellMar>
    </w:tblPr>
  </w:style>
  <w:style w:type="table" w:styleId="926" w:customStyle="1">
    <w:name w:val="Grid Table 6 Colorful - Accent 5"/>
    <w:uiPriority w:val="99"/>
    <w:qFormat/>
    <w:tblPr>
      <w:tblCellMar>
        <w:left w:w="0" w:type="dxa"/>
        <w:top w:w="0" w:type="dxa"/>
        <w:right w:w="0" w:type="dxa"/>
        <w:bottom w:w="0" w:type="dxa"/>
      </w:tblCellMar>
    </w:tblPr>
  </w:style>
  <w:style w:type="table" w:styleId="927" w:customStyle="1">
    <w:name w:val="Grid Table 6 Colorful - Accent 6"/>
    <w:uiPriority w:val="99"/>
    <w:qFormat/>
    <w:tblPr>
      <w:tblCellMar>
        <w:left w:w="0" w:type="dxa"/>
        <w:top w:w="0" w:type="dxa"/>
        <w:right w:w="0" w:type="dxa"/>
        <w:bottom w:w="0" w:type="dxa"/>
      </w:tblCellMar>
    </w:tblPr>
  </w:style>
  <w:style w:type="table" w:styleId="928" w:customStyle="1">
    <w:name w:val="Grid Table 7 Colorful - Accent 1"/>
    <w:uiPriority w:val="99"/>
    <w:qFormat/>
    <w:tblPr>
      <w:tblCellMar>
        <w:left w:w="0" w:type="dxa"/>
        <w:top w:w="0" w:type="dxa"/>
        <w:right w:w="0" w:type="dxa"/>
        <w:bottom w:w="0" w:type="dxa"/>
      </w:tblCellMar>
    </w:tblPr>
  </w:style>
  <w:style w:type="table" w:styleId="929" w:customStyle="1">
    <w:name w:val="Grid Table 7 Colorful - Accent 2"/>
    <w:uiPriority w:val="99"/>
    <w:qFormat/>
    <w:tblPr>
      <w:tblCellMar>
        <w:left w:w="0" w:type="dxa"/>
        <w:top w:w="0" w:type="dxa"/>
        <w:right w:w="0" w:type="dxa"/>
        <w:bottom w:w="0" w:type="dxa"/>
      </w:tblCellMar>
    </w:tblPr>
  </w:style>
  <w:style w:type="table" w:styleId="930" w:customStyle="1">
    <w:name w:val="Grid Table 7 Colorful - Accent 3"/>
    <w:uiPriority w:val="99"/>
    <w:qFormat/>
    <w:tblPr>
      <w:tblCellMar>
        <w:left w:w="0" w:type="dxa"/>
        <w:top w:w="0" w:type="dxa"/>
        <w:right w:w="0" w:type="dxa"/>
        <w:bottom w:w="0" w:type="dxa"/>
      </w:tblCellMar>
    </w:tblPr>
  </w:style>
  <w:style w:type="table" w:styleId="931" w:customStyle="1">
    <w:name w:val="Grid Table 7 Colorful - Accent 4"/>
    <w:uiPriority w:val="99"/>
    <w:qFormat/>
    <w:tblPr>
      <w:tblCellMar>
        <w:left w:w="0" w:type="dxa"/>
        <w:top w:w="0" w:type="dxa"/>
        <w:right w:w="0" w:type="dxa"/>
        <w:bottom w:w="0" w:type="dxa"/>
      </w:tblCellMar>
    </w:tblPr>
  </w:style>
  <w:style w:type="table" w:styleId="932" w:customStyle="1">
    <w:name w:val="Grid Table 7 Colorful - Accent 5"/>
    <w:uiPriority w:val="99"/>
    <w:qFormat/>
    <w:tblPr>
      <w:tblCellMar>
        <w:left w:w="0" w:type="dxa"/>
        <w:top w:w="0" w:type="dxa"/>
        <w:right w:w="0" w:type="dxa"/>
        <w:bottom w:w="0" w:type="dxa"/>
      </w:tblCellMar>
    </w:tblPr>
  </w:style>
  <w:style w:type="table" w:styleId="933" w:customStyle="1">
    <w:name w:val="Grid Table 7 Colorful - Accent 6"/>
    <w:uiPriority w:val="99"/>
    <w:qFormat/>
    <w:tblPr>
      <w:tblCellMar>
        <w:left w:w="0" w:type="dxa"/>
        <w:top w:w="0" w:type="dxa"/>
        <w:right w:w="0" w:type="dxa"/>
        <w:bottom w:w="0" w:type="dxa"/>
      </w:tblCellMar>
    </w:tblPr>
  </w:style>
  <w:style w:type="table" w:styleId="934" w:customStyle="1">
    <w:name w:val="List Table 1 Light - Accent 1"/>
    <w:uiPriority w:val="99"/>
    <w:qFormat/>
    <w:tblPr>
      <w:tblCellMar>
        <w:left w:w="0" w:type="dxa"/>
        <w:top w:w="0" w:type="dxa"/>
        <w:right w:w="0" w:type="dxa"/>
        <w:bottom w:w="0" w:type="dxa"/>
      </w:tblCellMar>
    </w:tblPr>
  </w:style>
  <w:style w:type="table" w:styleId="935" w:customStyle="1">
    <w:name w:val="List Table 1 Light - Accent 2"/>
    <w:uiPriority w:val="99"/>
    <w:qFormat/>
    <w:tblPr>
      <w:tblCellMar>
        <w:left w:w="0" w:type="dxa"/>
        <w:top w:w="0" w:type="dxa"/>
        <w:right w:w="0" w:type="dxa"/>
        <w:bottom w:w="0" w:type="dxa"/>
      </w:tblCellMar>
    </w:tblPr>
  </w:style>
  <w:style w:type="table" w:styleId="936" w:customStyle="1">
    <w:name w:val="List Table 1 Light - Accent 3"/>
    <w:uiPriority w:val="99"/>
    <w:qFormat/>
    <w:tblPr>
      <w:tblCellMar>
        <w:left w:w="0" w:type="dxa"/>
        <w:top w:w="0" w:type="dxa"/>
        <w:right w:w="0" w:type="dxa"/>
        <w:bottom w:w="0" w:type="dxa"/>
      </w:tblCellMar>
    </w:tblPr>
  </w:style>
  <w:style w:type="table" w:styleId="937" w:customStyle="1">
    <w:name w:val="List Table 1 Light - Accent 4"/>
    <w:uiPriority w:val="99"/>
    <w:qFormat/>
    <w:tblPr>
      <w:tblCellMar>
        <w:left w:w="0" w:type="dxa"/>
        <w:top w:w="0" w:type="dxa"/>
        <w:right w:w="0" w:type="dxa"/>
        <w:bottom w:w="0" w:type="dxa"/>
      </w:tblCellMar>
    </w:tblPr>
  </w:style>
  <w:style w:type="table" w:styleId="938" w:customStyle="1">
    <w:name w:val="List Table 1 Light - Accent 5"/>
    <w:uiPriority w:val="99"/>
    <w:qFormat/>
    <w:tblPr>
      <w:tblCellMar>
        <w:left w:w="0" w:type="dxa"/>
        <w:top w:w="0" w:type="dxa"/>
        <w:right w:w="0" w:type="dxa"/>
        <w:bottom w:w="0" w:type="dxa"/>
      </w:tblCellMar>
    </w:tblPr>
  </w:style>
  <w:style w:type="table" w:styleId="939" w:customStyle="1">
    <w:name w:val="List Table 1 Light - Accent 6"/>
    <w:uiPriority w:val="99"/>
    <w:qFormat/>
    <w:tblPr>
      <w:tblCellMar>
        <w:left w:w="0" w:type="dxa"/>
        <w:top w:w="0" w:type="dxa"/>
        <w:right w:w="0" w:type="dxa"/>
        <w:bottom w:w="0" w:type="dxa"/>
      </w:tblCellMar>
    </w:tblPr>
  </w:style>
  <w:style w:type="table" w:styleId="940" w:customStyle="1">
    <w:name w:val="List Table 2 - Accent 1"/>
    <w:uiPriority w:val="99"/>
    <w:qFormat/>
    <w:tblPr>
      <w:tblCellMar>
        <w:left w:w="0" w:type="dxa"/>
        <w:top w:w="0" w:type="dxa"/>
        <w:right w:w="0" w:type="dxa"/>
        <w:bottom w:w="0" w:type="dxa"/>
      </w:tblCellMar>
    </w:tblPr>
  </w:style>
  <w:style w:type="table" w:styleId="941" w:customStyle="1">
    <w:name w:val="List Table 2 - Accent 2"/>
    <w:uiPriority w:val="99"/>
    <w:qFormat/>
    <w:tblPr>
      <w:tblCellMar>
        <w:left w:w="0" w:type="dxa"/>
        <w:top w:w="0" w:type="dxa"/>
        <w:right w:w="0" w:type="dxa"/>
        <w:bottom w:w="0" w:type="dxa"/>
      </w:tblCellMar>
    </w:tblPr>
  </w:style>
  <w:style w:type="table" w:styleId="942" w:customStyle="1">
    <w:name w:val="List Table 2 - Accent 3"/>
    <w:uiPriority w:val="99"/>
    <w:qFormat/>
    <w:tblPr>
      <w:tblCellMar>
        <w:left w:w="0" w:type="dxa"/>
        <w:top w:w="0" w:type="dxa"/>
        <w:right w:w="0" w:type="dxa"/>
        <w:bottom w:w="0" w:type="dxa"/>
      </w:tblCellMar>
    </w:tblPr>
  </w:style>
  <w:style w:type="table" w:styleId="943" w:customStyle="1">
    <w:name w:val="List Table 2 - Accent 4"/>
    <w:uiPriority w:val="99"/>
    <w:qFormat/>
    <w:tblPr>
      <w:tblCellMar>
        <w:left w:w="0" w:type="dxa"/>
        <w:top w:w="0" w:type="dxa"/>
        <w:right w:w="0" w:type="dxa"/>
        <w:bottom w:w="0" w:type="dxa"/>
      </w:tblCellMar>
    </w:tblPr>
  </w:style>
  <w:style w:type="table" w:styleId="944" w:customStyle="1">
    <w:name w:val="List Table 2 - Accent 5"/>
    <w:uiPriority w:val="99"/>
    <w:qFormat/>
    <w:tblPr>
      <w:tblCellMar>
        <w:left w:w="0" w:type="dxa"/>
        <w:top w:w="0" w:type="dxa"/>
        <w:right w:w="0" w:type="dxa"/>
        <w:bottom w:w="0" w:type="dxa"/>
      </w:tblCellMar>
    </w:tblPr>
  </w:style>
  <w:style w:type="table" w:styleId="945" w:customStyle="1">
    <w:name w:val="List Table 2 - Accent 6"/>
    <w:uiPriority w:val="99"/>
    <w:qFormat/>
    <w:tblPr>
      <w:tblCellMar>
        <w:left w:w="0" w:type="dxa"/>
        <w:top w:w="0" w:type="dxa"/>
        <w:right w:w="0" w:type="dxa"/>
        <w:bottom w:w="0" w:type="dxa"/>
      </w:tblCellMar>
    </w:tblPr>
  </w:style>
  <w:style w:type="table" w:styleId="946" w:customStyle="1">
    <w:name w:val="List Table 3 - Accent 1"/>
    <w:uiPriority w:val="99"/>
    <w:qFormat/>
    <w:tblPr>
      <w:tblCellMar>
        <w:left w:w="0" w:type="dxa"/>
        <w:top w:w="0" w:type="dxa"/>
        <w:right w:w="0" w:type="dxa"/>
        <w:bottom w:w="0" w:type="dxa"/>
      </w:tblCellMar>
    </w:tblPr>
  </w:style>
  <w:style w:type="table" w:styleId="947" w:customStyle="1">
    <w:name w:val="List Table 3 - Accent 2"/>
    <w:uiPriority w:val="99"/>
    <w:qFormat/>
    <w:tblPr>
      <w:tblCellMar>
        <w:left w:w="0" w:type="dxa"/>
        <w:top w:w="0" w:type="dxa"/>
        <w:right w:w="0" w:type="dxa"/>
        <w:bottom w:w="0" w:type="dxa"/>
      </w:tblCellMar>
    </w:tblPr>
  </w:style>
  <w:style w:type="table" w:styleId="948" w:customStyle="1">
    <w:name w:val="List Table 3 - Accent 3"/>
    <w:uiPriority w:val="99"/>
    <w:qFormat/>
    <w:tblPr>
      <w:tblCellMar>
        <w:left w:w="0" w:type="dxa"/>
        <w:top w:w="0" w:type="dxa"/>
        <w:right w:w="0" w:type="dxa"/>
        <w:bottom w:w="0" w:type="dxa"/>
      </w:tblCellMar>
    </w:tblPr>
  </w:style>
  <w:style w:type="table" w:styleId="949" w:customStyle="1">
    <w:name w:val="List Table 3 - Accent 4"/>
    <w:uiPriority w:val="99"/>
    <w:qFormat/>
    <w:tblPr>
      <w:tblCellMar>
        <w:left w:w="0" w:type="dxa"/>
        <w:top w:w="0" w:type="dxa"/>
        <w:right w:w="0" w:type="dxa"/>
        <w:bottom w:w="0" w:type="dxa"/>
      </w:tblCellMar>
    </w:tblPr>
  </w:style>
  <w:style w:type="table" w:styleId="950" w:customStyle="1">
    <w:name w:val="List Table 3 - Accent 5"/>
    <w:uiPriority w:val="99"/>
    <w:qFormat/>
    <w:tblPr>
      <w:tblCellMar>
        <w:left w:w="0" w:type="dxa"/>
        <w:top w:w="0" w:type="dxa"/>
        <w:right w:w="0" w:type="dxa"/>
        <w:bottom w:w="0" w:type="dxa"/>
      </w:tblCellMar>
    </w:tblPr>
  </w:style>
  <w:style w:type="table" w:styleId="951" w:customStyle="1">
    <w:name w:val="List Table 3 - Accent 6"/>
    <w:uiPriority w:val="99"/>
    <w:qFormat/>
    <w:tblPr>
      <w:tblCellMar>
        <w:left w:w="0" w:type="dxa"/>
        <w:top w:w="0" w:type="dxa"/>
        <w:right w:w="0" w:type="dxa"/>
        <w:bottom w:w="0" w:type="dxa"/>
      </w:tblCellMar>
    </w:tblPr>
  </w:style>
  <w:style w:type="table" w:styleId="952" w:customStyle="1">
    <w:name w:val="List Table 4 - Accent 1"/>
    <w:uiPriority w:val="99"/>
    <w:qFormat/>
    <w:tblPr>
      <w:tblCellMar>
        <w:left w:w="0" w:type="dxa"/>
        <w:top w:w="0" w:type="dxa"/>
        <w:right w:w="0" w:type="dxa"/>
        <w:bottom w:w="0" w:type="dxa"/>
      </w:tblCellMar>
    </w:tblPr>
  </w:style>
  <w:style w:type="table" w:styleId="953" w:customStyle="1">
    <w:name w:val="List Table 4 - Accent 2"/>
    <w:uiPriority w:val="99"/>
    <w:qFormat/>
    <w:tblPr>
      <w:tblCellMar>
        <w:left w:w="0" w:type="dxa"/>
        <w:top w:w="0" w:type="dxa"/>
        <w:right w:w="0" w:type="dxa"/>
        <w:bottom w:w="0" w:type="dxa"/>
      </w:tblCellMar>
    </w:tblPr>
  </w:style>
  <w:style w:type="table" w:styleId="954" w:customStyle="1">
    <w:name w:val="List Table 4 - Accent 3"/>
    <w:uiPriority w:val="99"/>
    <w:qFormat/>
    <w:tblPr>
      <w:tblCellMar>
        <w:left w:w="0" w:type="dxa"/>
        <w:top w:w="0" w:type="dxa"/>
        <w:right w:w="0" w:type="dxa"/>
        <w:bottom w:w="0" w:type="dxa"/>
      </w:tblCellMar>
    </w:tblPr>
  </w:style>
  <w:style w:type="table" w:styleId="955" w:customStyle="1">
    <w:name w:val="List Table 4 - Accent 4"/>
    <w:uiPriority w:val="99"/>
    <w:qFormat/>
    <w:tblPr>
      <w:tblCellMar>
        <w:left w:w="0" w:type="dxa"/>
        <w:top w:w="0" w:type="dxa"/>
        <w:right w:w="0" w:type="dxa"/>
        <w:bottom w:w="0" w:type="dxa"/>
      </w:tblCellMar>
    </w:tblPr>
  </w:style>
  <w:style w:type="table" w:styleId="956" w:customStyle="1">
    <w:name w:val="List Table 4 - Accent 5"/>
    <w:uiPriority w:val="99"/>
    <w:qFormat/>
    <w:tblPr>
      <w:tblCellMar>
        <w:left w:w="0" w:type="dxa"/>
        <w:top w:w="0" w:type="dxa"/>
        <w:right w:w="0" w:type="dxa"/>
        <w:bottom w:w="0" w:type="dxa"/>
      </w:tblCellMar>
    </w:tblPr>
  </w:style>
  <w:style w:type="table" w:styleId="957" w:customStyle="1">
    <w:name w:val="List Table 4 - Accent 6"/>
    <w:uiPriority w:val="99"/>
    <w:qFormat/>
    <w:tblPr>
      <w:tblCellMar>
        <w:left w:w="0" w:type="dxa"/>
        <w:top w:w="0" w:type="dxa"/>
        <w:right w:w="0" w:type="dxa"/>
        <w:bottom w:w="0" w:type="dxa"/>
      </w:tblCellMar>
    </w:tblPr>
  </w:style>
  <w:style w:type="table" w:styleId="958" w:customStyle="1">
    <w:name w:val="List Table 5 Dark - Accent 1"/>
    <w:uiPriority w:val="99"/>
    <w:qFormat/>
    <w:tblPr>
      <w:tblCellMar>
        <w:left w:w="0" w:type="dxa"/>
        <w:top w:w="0" w:type="dxa"/>
        <w:right w:w="0" w:type="dxa"/>
        <w:bottom w:w="0" w:type="dxa"/>
      </w:tblCellMar>
    </w:tblPr>
  </w:style>
  <w:style w:type="table" w:styleId="959" w:customStyle="1">
    <w:name w:val="List Table 5 Dark - Accent 2"/>
    <w:uiPriority w:val="99"/>
    <w:qFormat/>
    <w:tblPr>
      <w:tblCellMar>
        <w:left w:w="0" w:type="dxa"/>
        <w:top w:w="0" w:type="dxa"/>
        <w:right w:w="0" w:type="dxa"/>
        <w:bottom w:w="0" w:type="dxa"/>
      </w:tblCellMar>
    </w:tblPr>
  </w:style>
  <w:style w:type="table" w:styleId="960" w:customStyle="1">
    <w:name w:val="List Table 5 Dark - Accent 3"/>
    <w:uiPriority w:val="99"/>
    <w:qFormat/>
    <w:tblPr>
      <w:tblCellMar>
        <w:left w:w="0" w:type="dxa"/>
        <w:top w:w="0" w:type="dxa"/>
        <w:right w:w="0" w:type="dxa"/>
        <w:bottom w:w="0" w:type="dxa"/>
      </w:tblCellMar>
    </w:tblPr>
  </w:style>
  <w:style w:type="table" w:styleId="961" w:customStyle="1">
    <w:name w:val="List Table 5 Dark - Accent 4"/>
    <w:uiPriority w:val="99"/>
    <w:qFormat/>
    <w:tblPr>
      <w:tblCellMar>
        <w:left w:w="0" w:type="dxa"/>
        <w:top w:w="0" w:type="dxa"/>
        <w:right w:w="0" w:type="dxa"/>
        <w:bottom w:w="0" w:type="dxa"/>
      </w:tblCellMar>
    </w:tblPr>
  </w:style>
  <w:style w:type="table" w:styleId="962" w:customStyle="1">
    <w:name w:val="List Table 5 Dark - Accent 5"/>
    <w:uiPriority w:val="99"/>
    <w:qFormat/>
    <w:tblPr>
      <w:tblCellMar>
        <w:left w:w="0" w:type="dxa"/>
        <w:top w:w="0" w:type="dxa"/>
        <w:right w:w="0" w:type="dxa"/>
        <w:bottom w:w="0" w:type="dxa"/>
      </w:tblCellMar>
    </w:tblPr>
  </w:style>
  <w:style w:type="table" w:styleId="963" w:customStyle="1">
    <w:name w:val="List Table 5 Dark - Accent 6"/>
    <w:uiPriority w:val="99"/>
    <w:qFormat/>
    <w:tblPr>
      <w:tblCellMar>
        <w:left w:w="0" w:type="dxa"/>
        <w:top w:w="0" w:type="dxa"/>
        <w:right w:w="0" w:type="dxa"/>
        <w:bottom w:w="0" w:type="dxa"/>
      </w:tblCellMar>
    </w:tblPr>
  </w:style>
  <w:style w:type="table" w:styleId="964" w:customStyle="1">
    <w:name w:val="List Table 6 Colorful - Accent 1"/>
    <w:uiPriority w:val="99"/>
    <w:qFormat/>
    <w:tblPr>
      <w:tblCellMar>
        <w:left w:w="0" w:type="dxa"/>
        <w:top w:w="0" w:type="dxa"/>
        <w:right w:w="0" w:type="dxa"/>
        <w:bottom w:w="0" w:type="dxa"/>
      </w:tblCellMar>
    </w:tblPr>
  </w:style>
  <w:style w:type="table" w:styleId="965" w:customStyle="1">
    <w:name w:val="List Table 6 Colorful - Accent 2"/>
    <w:uiPriority w:val="99"/>
    <w:qFormat/>
    <w:tblPr>
      <w:tblCellMar>
        <w:left w:w="0" w:type="dxa"/>
        <w:top w:w="0" w:type="dxa"/>
        <w:right w:w="0" w:type="dxa"/>
        <w:bottom w:w="0" w:type="dxa"/>
      </w:tblCellMar>
    </w:tblPr>
  </w:style>
  <w:style w:type="table" w:styleId="966" w:customStyle="1">
    <w:name w:val="List Table 6 Colorful - Accent 3"/>
    <w:uiPriority w:val="99"/>
    <w:qFormat/>
    <w:tblPr>
      <w:tblCellMar>
        <w:left w:w="0" w:type="dxa"/>
        <w:top w:w="0" w:type="dxa"/>
        <w:right w:w="0" w:type="dxa"/>
        <w:bottom w:w="0" w:type="dxa"/>
      </w:tblCellMar>
    </w:tblPr>
  </w:style>
  <w:style w:type="table" w:styleId="967" w:customStyle="1">
    <w:name w:val="List Table 6 Colorful - Accent 4"/>
    <w:uiPriority w:val="99"/>
    <w:qFormat/>
    <w:tblPr>
      <w:tblCellMar>
        <w:left w:w="0" w:type="dxa"/>
        <w:top w:w="0" w:type="dxa"/>
        <w:right w:w="0" w:type="dxa"/>
        <w:bottom w:w="0" w:type="dxa"/>
      </w:tblCellMar>
    </w:tblPr>
  </w:style>
  <w:style w:type="table" w:styleId="968" w:customStyle="1">
    <w:name w:val="List Table 6 Colorful - Accent 5"/>
    <w:uiPriority w:val="99"/>
    <w:qFormat/>
    <w:tblPr>
      <w:tblCellMar>
        <w:left w:w="0" w:type="dxa"/>
        <w:top w:w="0" w:type="dxa"/>
        <w:right w:w="0" w:type="dxa"/>
        <w:bottom w:w="0" w:type="dxa"/>
      </w:tblCellMar>
    </w:tblPr>
  </w:style>
  <w:style w:type="table" w:styleId="969" w:customStyle="1">
    <w:name w:val="List Table 6 Colorful - Accent 6"/>
    <w:uiPriority w:val="99"/>
    <w:qFormat/>
    <w:tblPr>
      <w:tblCellMar>
        <w:left w:w="0" w:type="dxa"/>
        <w:top w:w="0" w:type="dxa"/>
        <w:right w:w="0" w:type="dxa"/>
        <w:bottom w:w="0" w:type="dxa"/>
      </w:tblCellMar>
    </w:tblPr>
  </w:style>
  <w:style w:type="table" w:styleId="970" w:customStyle="1">
    <w:name w:val="List Table 7 Colorful - Accent 1"/>
    <w:uiPriority w:val="99"/>
    <w:qFormat/>
    <w:tblPr>
      <w:tblCellMar>
        <w:left w:w="0" w:type="dxa"/>
        <w:top w:w="0" w:type="dxa"/>
        <w:right w:w="0" w:type="dxa"/>
        <w:bottom w:w="0" w:type="dxa"/>
      </w:tblCellMar>
    </w:tblPr>
  </w:style>
  <w:style w:type="table" w:styleId="971" w:customStyle="1">
    <w:name w:val="List Table 7 Colorful - Accent 2"/>
    <w:uiPriority w:val="99"/>
    <w:qFormat/>
    <w:tblPr>
      <w:tblCellMar>
        <w:left w:w="0" w:type="dxa"/>
        <w:top w:w="0" w:type="dxa"/>
        <w:right w:w="0" w:type="dxa"/>
        <w:bottom w:w="0" w:type="dxa"/>
      </w:tblCellMar>
    </w:tblPr>
  </w:style>
  <w:style w:type="table" w:styleId="972" w:customStyle="1">
    <w:name w:val="List Table 7 Colorful - Accent 3"/>
    <w:uiPriority w:val="99"/>
    <w:qFormat/>
    <w:tblPr>
      <w:tblCellMar>
        <w:left w:w="0" w:type="dxa"/>
        <w:top w:w="0" w:type="dxa"/>
        <w:right w:w="0" w:type="dxa"/>
        <w:bottom w:w="0" w:type="dxa"/>
      </w:tblCellMar>
    </w:tblPr>
  </w:style>
  <w:style w:type="table" w:styleId="973" w:customStyle="1">
    <w:name w:val="List Table 7 Colorful - Accent 4"/>
    <w:uiPriority w:val="99"/>
    <w:qFormat/>
    <w:tblPr>
      <w:tblCellMar>
        <w:left w:w="0" w:type="dxa"/>
        <w:top w:w="0" w:type="dxa"/>
        <w:right w:w="0" w:type="dxa"/>
        <w:bottom w:w="0" w:type="dxa"/>
      </w:tblCellMar>
    </w:tblPr>
  </w:style>
  <w:style w:type="table" w:styleId="974" w:customStyle="1">
    <w:name w:val="List Table 7 Colorful - Accent 5"/>
    <w:uiPriority w:val="99"/>
    <w:qFormat/>
    <w:tblPr>
      <w:tblCellMar>
        <w:left w:w="0" w:type="dxa"/>
        <w:top w:w="0" w:type="dxa"/>
        <w:right w:w="0" w:type="dxa"/>
        <w:bottom w:w="0" w:type="dxa"/>
      </w:tblCellMar>
    </w:tblPr>
  </w:style>
  <w:style w:type="table" w:styleId="975" w:customStyle="1">
    <w:name w:val="List Table 7 Colorful - Accent 6"/>
    <w:uiPriority w:val="99"/>
    <w:qFormat/>
    <w:tblPr>
      <w:tblCellMar>
        <w:left w:w="0" w:type="dxa"/>
        <w:top w:w="0" w:type="dxa"/>
        <w:right w:w="0" w:type="dxa"/>
        <w:bottom w:w="0" w:type="dxa"/>
      </w:tblCellMar>
    </w:tblPr>
  </w:style>
  <w:style w:type="table" w:styleId="976" w:customStyle="1">
    <w:name w:val="Lined - Accent"/>
    <w:uiPriority w:val="99"/>
    <w:qFormat/>
    <w:rPr>
      <w:color w:val="404040"/>
    </w:rPr>
    <w:tblPr>
      <w:tblCellMar>
        <w:left w:w="0" w:type="dxa"/>
        <w:top w:w="0" w:type="dxa"/>
        <w:right w:w="0" w:type="dxa"/>
        <w:bottom w:w="0" w:type="dxa"/>
      </w:tblCellMar>
    </w:tblPr>
  </w:style>
  <w:style w:type="table" w:styleId="977" w:customStyle="1">
    <w:name w:val="Lined - Accent 1"/>
    <w:uiPriority w:val="99"/>
    <w:qFormat/>
    <w:rPr>
      <w:color w:val="404040"/>
    </w:rPr>
    <w:tblPr>
      <w:tblCellMar>
        <w:left w:w="0" w:type="dxa"/>
        <w:top w:w="0" w:type="dxa"/>
        <w:right w:w="0" w:type="dxa"/>
        <w:bottom w:w="0" w:type="dxa"/>
      </w:tblCellMar>
    </w:tblPr>
  </w:style>
  <w:style w:type="table" w:styleId="978" w:customStyle="1">
    <w:name w:val="Lined - Accent 2"/>
    <w:uiPriority w:val="99"/>
    <w:qFormat/>
    <w:rPr>
      <w:color w:val="404040"/>
    </w:rPr>
    <w:tblPr>
      <w:tblCellMar>
        <w:left w:w="0" w:type="dxa"/>
        <w:top w:w="0" w:type="dxa"/>
        <w:right w:w="0" w:type="dxa"/>
        <w:bottom w:w="0" w:type="dxa"/>
      </w:tblCellMar>
    </w:tblPr>
  </w:style>
  <w:style w:type="table" w:styleId="979" w:customStyle="1">
    <w:name w:val="Lined - Accent 3"/>
    <w:uiPriority w:val="99"/>
    <w:qFormat/>
    <w:rPr>
      <w:color w:val="404040"/>
    </w:rPr>
    <w:tblPr>
      <w:tblCellMar>
        <w:left w:w="0" w:type="dxa"/>
        <w:top w:w="0" w:type="dxa"/>
        <w:right w:w="0" w:type="dxa"/>
        <w:bottom w:w="0" w:type="dxa"/>
      </w:tblCellMar>
    </w:tblPr>
  </w:style>
  <w:style w:type="table" w:styleId="980" w:customStyle="1">
    <w:name w:val="Lined - Accent 4"/>
    <w:uiPriority w:val="99"/>
    <w:qFormat/>
    <w:rPr>
      <w:color w:val="404040"/>
    </w:rPr>
    <w:tblPr>
      <w:tblCellMar>
        <w:left w:w="0" w:type="dxa"/>
        <w:top w:w="0" w:type="dxa"/>
        <w:right w:w="0" w:type="dxa"/>
        <w:bottom w:w="0" w:type="dxa"/>
      </w:tblCellMar>
    </w:tblPr>
  </w:style>
  <w:style w:type="table" w:styleId="981" w:customStyle="1">
    <w:name w:val="Lined - Accent 5"/>
    <w:uiPriority w:val="99"/>
    <w:qFormat/>
    <w:rPr>
      <w:color w:val="404040"/>
    </w:rPr>
    <w:tblPr>
      <w:tblCellMar>
        <w:left w:w="0" w:type="dxa"/>
        <w:top w:w="0" w:type="dxa"/>
        <w:right w:w="0" w:type="dxa"/>
        <w:bottom w:w="0" w:type="dxa"/>
      </w:tblCellMar>
    </w:tblPr>
  </w:style>
  <w:style w:type="table" w:styleId="982" w:customStyle="1">
    <w:name w:val="Lined - Accent 6"/>
    <w:uiPriority w:val="99"/>
    <w:qFormat/>
    <w:rPr>
      <w:color w:val="404040"/>
    </w:rPr>
    <w:tblPr>
      <w:tblCellMar>
        <w:left w:w="0" w:type="dxa"/>
        <w:top w:w="0" w:type="dxa"/>
        <w:right w:w="0" w:type="dxa"/>
        <w:bottom w:w="0" w:type="dxa"/>
      </w:tblCellMar>
    </w:tblPr>
  </w:style>
  <w:style w:type="table" w:styleId="983" w:customStyle="1">
    <w:name w:val="Bordered &amp; Lined - Accent"/>
    <w:uiPriority w:val="99"/>
    <w:qFormat/>
    <w:rPr>
      <w:color w:val="404040"/>
    </w:rPr>
    <w:tblPr>
      <w:tblCellMar>
        <w:left w:w="0" w:type="dxa"/>
        <w:top w:w="0" w:type="dxa"/>
        <w:right w:w="0" w:type="dxa"/>
        <w:bottom w:w="0" w:type="dxa"/>
      </w:tblCellMar>
    </w:tblPr>
  </w:style>
  <w:style w:type="table" w:styleId="984" w:customStyle="1">
    <w:name w:val="Bordered &amp; Lined - Accent 1"/>
    <w:uiPriority w:val="99"/>
    <w:qFormat/>
    <w:rPr>
      <w:color w:val="404040"/>
    </w:rPr>
    <w:tblPr>
      <w:tblCellMar>
        <w:left w:w="0" w:type="dxa"/>
        <w:top w:w="0" w:type="dxa"/>
        <w:right w:w="0" w:type="dxa"/>
        <w:bottom w:w="0" w:type="dxa"/>
      </w:tblCellMar>
    </w:tblPr>
  </w:style>
  <w:style w:type="table" w:styleId="985" w:customStyle="1">
    <w:name w:val="Bordered &amp; Lined - Accent 2"/>
    <w:uiPriority w:val="99"/>
    <w:qFormat/>
    <w:rPr>
      <w:color w:val="404040"/>
    </w:rPr>
    <w:tblPr>
      <w:tblCellMar>
        <w:left w:w="0" w:type="dxa"/>
        <w:top w:w="0" w:type="dxa"/>
        <w:right w:w="0" w:type="dxa"/>
        <w:bottom w:w="0" w:type="dxa"/>
      </w:tblCellMar>
    </w:tblPr>
  </w:style>
  <w:style w:type="table" w:styleId="986" w:customStyle="1">
    <w:name w:val="Bordered &amp; Lined - Accent 3"/>
    <w:uiPriority w:val="99"/>
    <w:qFormat/>
    <w:rPr>
      <w:color w:val="404040"/>
    </w:rPr>
    <w:tblPr>
      <w:tblCellMar>
        <w:left w:w="0" w:type="dxa"/>
        <w:top w:w="0" w:type="dxa"/>
        <w:right w:w="0" w:type="dxa"/>
        <w:bottom w:w="0" w:type="dxa"/>
      </w:tblCellMar>
    </w:tblPr>
  </w:style>
  <w:style w:type="table" w:styleId="987" w:customStyle="1">
    <w:name w:val="Bordered &amp; Lined - Accent 4"/>
    <w:uiPriority w:val="99"/>
    <w:qFormat/>
    <w:rPr>
      <w:color w:val="404040"/>
    </w:rPr>
    <w:tblPr>
      <w:tblCellMar>
        <w:left w:w="0" w:type="dxa"/>
        <w:top w:w="0" w:type="dxa"/>
        <w:right w:w="0" w:type="dxa"/>
        <w:bottom w:w="0" w:type="dxa"/>
      </w:tblCellMar>
    </w:tblPr>
  </w:style>
  <w:style w:type="table" w:styleId="988" w:customStyle="1">
    <w:name w:val="Bordered &amp; Lined - Accent 5"/>
    <w:uiPriority w:val="99"/>
    <w:qFormat/>
    <w:rPr>
      <w:color w:val="404040"/>
    </w:rPr>
    <w:tblPr>
      <w:tblCellMar>
        <w:left w:w="0" w:type="dxa"/>
        <w:top w:w="0" w:type="dxa"/>
        <w:right w:w="0" w:type="dxa"/>
        <w:bottom w:w="0" w:type="dxa"/>
      </w:tblCellMar>
    </w:tblPr>
  </w:style>
  <w:style w:type="table" w:styleId="989" w:customStyle="1">
    <w:name w:val="Bordered &amp; Lined - Accent 6"/>
    <w:uiPriority w:val="99"/>
    <w:qFormat/>
    <w:rPr>
      <w:color w:val="404040"/>
    </w:rPr>
    <w:tblPr>
      <w:tblCellMar>
        <w:left w:w="0" w:type="dxa"/>
        <w:top w:w="0" w:type="dxa"/>
        <w:right w:w="0" w:type="dxa"/>
        <w:bottom w:w="0" w:type="dxa"/>
      </w:tblCellMar>
    </w:tblPr>
  </w:style>
  <w:style w:type="table" w:styleId="990" w:customStyle="1">
    <w:name w:val="Bordered"/>
    <w:uiPriority w:val="99"/>
    <w:qFormat/>
    <w:tblPr>
      <w:tblCellMar>
        <w:left w:w="0" w:type="dxa"/>
        <w:top w:w="0" w:type="dxa"/>
        <w:right w:w="0" w:type="dxa"/>
        <w:bottom w:w="0" w:type="dxa"/>
      </w:tblCellMar>
    </w:tblPr>
  </w:style>
  <w:style w:type="table" w:styleId="991" w:customStyle="1">
    <w:name w:val="Bordered - Accent 1"/>
    <w:uiPriority w:val="99"/>
    <w:qFormat/>
    <w:tblPr>
      <w:tblCellMar>
        <w:left w:w="0" w:type="dxa"/>
        <w:top w:w="0" w:type="dxa"/>
        <w:right w:w="0" w:type="dxa"/>
        <w:bottom w:w="0" w:type="dxa"/>
      </w:tblCellMar>
    </w:tblPr>
  </w:style>
  <w:style w:type="table" w:styleId="992" w:customStyle="1">
    <w:name w:val="Bordered - Accent 2"/>
    <w:uiPriority w:val="99"/>
    <w:qFormat/>
    <w:tblPr>
      <w:tblCellMar>
        <w:left w:w="0" w:type="dxa"/>
        <w:top w:w="0" w:type="dxa"/>
        <w:right w:w="0" w:type="dxa"/>
        <w:bottom w:w="0" w:type="dxa"/>
      </w:tblCellMar>
    </w:tblPr>
  </w:style>
  <w:style w:type="table" w:styleId="993" w:customStyle="1">
    <w:name w:val="Bordered - Accent 3"/>
    <w:uiPriority w:val="99"/>
    <w:qFormat/>
    <w:tblPr>
      <w:tblCellMar>
        <w:left w:w="0" w:type="dxa"/>
        <w:top w:w="0" w:type="dxa"/>
        <w:right w:w="0" w:type="dxa"/>
        <w:bottom w:w="0" w:type="dxa"/>
      </w:tblCellMar>
    </w:tblPr>
  </w:style>
  <w:style w:type="table" w:styleId="994" w:customStyle="1">
    <w:name w:val="Bordered - Accent 4"/>
    <w:uiPriority w:val="99"/>
    <w:qFormat/>
    <w:tblPr>
      <w:tblCellMar>
        <w:left w:w="0" w:type="dxa"/>
        <w:top w:w="0" w:type="dxa"/>
        <w:right w:w="0" w:type="dxa"/>
        <w:bottom w:w="0" w:type="dxa"/>
      </w:tblCellMar>
    </w:tblPr>
  </w:style>
  <w:style w:type="table" w:styleId="995" w:customStyle="1">
    <w:name w:val="Bordered - Accent 5"/>
    <w:uiPriority w:val="99"/>
    <w:qFormat/>
    <w:tblPr>
      <w:tblCellMar>
        <w:left w:w="0" w:type="dxa"/>
        <w:top w:w="0" w:type="dxa"/>
        <w:right w:w="0" w:type="dxa"/>
        <w:bottom w:w="0" w:type="dxa"/>
      </w:tblCellMar>
    </w:tblPr>
  </w:style>
  <w:style w:type="table" w:styleId="996" w:customStyle="1">
    <w:name w:val="Bordered - Accent 6"/>
    <w:uiPriority w:val="99"/>
    <w:qFormat/>
    <w:tblPr>
      <w:tblCellMar>
        <w:left w:w="0" w:type="dxa"/>
        <w:top w:w="0" w:type="dxa"/>
        <w:right w:w="0" w:type="dxa"/>
        <w:bottom w:w="0" w:type="dxa"/>
      </w:tblCellMar>
    </w:tblPr>
  </w:style>
  <w:style w:type="paragraph" w:styleId="997" w:customStyle="1">
    <w:name w:val="TOC 标题11"/>
    <w:uiPriority w:val="39"/>
    <w:unhideWhenUsed/>
    <w:qFormat/>
    <w:rPr>
      <w:rFonts w:hint="default" w:ascii="Times New Roman" w:hAnsi="Times New Roman" w:eastAsia="宋体" w:cs="Times New Roman"/>
      <w:lang w:val="en-US" w:eastAsia="zh-CN" w:bidi="ar-SA"/>
    </w:rPr>
  </w:style>
  <w:style w:type="paragraph" w:styleId="998" w:customStyle="1">
    <w:name w:val="标题 11"/>
    <w:basedOn w:val="713"/>
    <w:next w:val="713"/>
    <w:link w:val="999"/>
    <w:uiPriority w:val="0"/>
    <w:qFormat/>
    <w:pPr>
      <w:keepLines/>
      <w:keepNext/>
      <w:spacing w:before="340" w:after="330" w:line="578" w:lineRule="auto"/>
      <w:outlineLvl w:val="0"/>
    </w:pPr>
    <w:rPr>
      <w:rFonts w:ascii="Calibri" w:hAnsi="Calibri"/>
      <w:b/>
      <w:bCs/>
      <w:sz w:val="44"/>
      <w:szCs w:val="44"/>
    </w:rPr>
  </w:style>
  <w:style w:type="character" w:styleId="999" w:customStyle="1">
    <w:name w:val="标题 1 Char"/>
    <w:link w:val="998"/>
    <w:uiPriority w:val="0"/>
    <w:qFormat/>
    <w:rPr>
      <w:rFonts w:ascii="Calibri" w:hAnsi="Calibri" w:eastAsia="宋体" w:cs="Times New Roman"/>
      <w:b/>
      <w:bCs/>
      <w:sz w:val="44"/>
      <w:szCs w:val="44"/>
    </w:rPr>
  </w:style>
  <w:style w:type="paragraph" w:styleId="1000" w:customStyle="1">
    <w:name w:val="标题 21"/>
    <w:basedOn w:val="713"/>
    <w:next w:val="1001"/>
    <w:link w:val="1002"/>
    <w:uiPriority w:val="0"/>
    <w:qFormat/>
    <w:pPr>
      <w:keepLines/>
      <w:keepNext/>
      <w:spacing w:before="260" w:after="260" w:line="416" w:lineRule="auto"/>
      <w:outlineLvl w:val="1"/>
    </w:pPr>
    <w:rPr>
      <w:rFonts w:ascii="Cambria" w:hAnsi="Cambria"/>
      <w:b/>
      <w:bCs/>
      <w:sz w:val="32"/>
      <w:szCs w:val="32"/>
    </w:rPr>
  </w:style>
  <w:style w:type="paragraph" w:styleId="1001" w:customStyle="1">
    <w:name w:val="正文缩进1"/>
    <w:basedOn w:val="713"/>
    <w:uiPriority w:val="0"/>
    <w:qFormat/>
    <w:pPr>
      <w:ind w:firstLine="420"/>
    </w:pPr>
    <w:rPr>
      <w:rFonts w:ascii="Calibri" w:hAnsi="Calibri"/>
    </w:rPr>
  </w:style>
  <w:style w:type="character" w:styleId="1002" w:customStyle="1">
    <w:name w:val="标题 2 Char"/>
    <w:link w:val="1000"/>
    <w:uiPriority w:val="0"/>
    <w:qFormat/>
    <w:rPr>
      <w:rFonts w:ascii="Cambria" w:hAnsi="Cambria" w:eastAsia="宋体" w:cs="Times New Roman"/>
      <w:b/>
      <w:bCs/>
      <w:sz w:val="32"/>
      <w:szCs w:val="32"/>
    </w:rPr>
  </w:style>
  <w:style w:type="paragraph" w:styleId="1003" w:customStyle="1">
    <w:name w:val="标题 31"/>
    <w:basedOn w:val="713"/>
    <w:next w:val="713"/>
    <w:link w:val="1004"/>
    <w:uiPriority w:val="0"/>
    <w:qFormat/>
    <w:pPr>
      <w:keepLines/>
      <w:keepNext/>
      <w:spacing w:before="260" w:after="260" w:line="416" w:lineRule="auto"/>
      <w:outlineLvl w:val="2"/>
    </w:pPr>
    <w:rPr>
      <w:rFonts w:ascii="Calibri" w:hAnsi="Calibri"/>
      <w:b/>
      <w:bCs/>
      <w:sz w:val="32"/>
      <w:szCs w:val="32"/>
    </w:rPr>
  </w:style>
  <w:style w:type="character" w:styleId="1004" w:customStyle="1">
    <w:name w:val="标题 3 Char"/>
    <w:link w:val="1003"/>
    <w:uiPriority w:val="0"/>
    <w:qFormat/>
    <w:rPr>
      <w:rFonts w:ascii="Calibri" w:hAnsi="Calibri" w:eastAsia="宋体" w:cs="Times New Roman"/>
      <w:b/>
      <w:bCs/>
      <w:sz w:val="32"/>
      <w:szCs w:val="32"/>
    </w:rPr>
  </w:style>
  <w:style w:type="paragraph" w:styleId="1005" w:customStyle="1">
    <w:name w:val="标题 41"/>
    <w:basedOn w:val="713"/>
    <w:next w:val="1001"/>
    <w:link w:val="1006"/>
    <w:uiPriority w:val="0"/>
    <w:qFormat/>
    <w:pPr>
      <w:spacing w:before="280" w:after="290" w:line="377" w:lineRule="auto"/>
      <w:outlineLvl w:val="3"/>
    </w:pPr>
    <w:rPr>
      <w:rFonts w:ascii="Arial" w:hAnsi="Arial" w:eastAsia="黑体"/>
      <w:b/>
      <w:bCs/>
      <w:sz w:val="28"/>
      <w:szCs w:val="28"/>
    </w:rPr>
  </w:style>
  <w:style w:type="character" w:styleId="1006" w:customStyle="1">
    <w:name w:val="标题 4 Char"/>
    <w:link w:val="1005"/>
    <w:uiPriority w:val="0"/>
    <w:qFormat/>
    <w:rPr>
      <w:rFonts w:ascii="Arial" w:hAnsi="Arial" w:eastAsia="黑体" w:cs="Times New Roman"/>
      <w:b/>
      <w:bCs/>
      <w:sz w:val="28"/>
      <w:szCs w:val="28"/>
    </w:rPr>
  </w:style>
  <w:style w:type="character" w:styleId="1007" w:customStyle="1">
    <w:name w:val="默认段落字体1"/>
    <w:uiPriority w:val="0"/>
    <w:qFormat/>
    <w:rPr>
      <w:rFonts w:ascii="Times New Roman" w:hAnsi="Times New Roman" w:eastAsia="宋体" w:cs="Times New Roman"/>
    </w:rPr>
  </w:style>
  <w:style w:type="table" w:styleId="1008" w:customStyle="1">
    <w:name w:val="普通表格1"/>
    <w:uiPriority w:val="0"/>
    <w:qFormat/>
    <w:tblPr>
      <w:tblCellMar>
        <w:left w:w="0" w:type="dxa"/>
        <w:top w:w="0" w:type="dxa"/>
        <w:right w:w="0" w:type="dxa"/>
        <w:bottom w:w="0" w:type="dxa"/>
      </w:tblCellMar>
    </w:tblPr>
  </w:style>
  <w:style w:type="paragraph" w:styleId="1009" w:customStyle="1">
    <w:name w:val="文档结构图1"/>
    <w:basedOn w:val="713"/>
    <w:link w:val="1010"/>
    <w:uiPriority w:val="0"/>
    <w:qFormat/>
    <w:rPr>
      <w:rFonts w:ascii="宋体"/>
      <w:sz w:val="18"/>
      <w:szCs w:val="18"/>
    </w:rPr>
  </w:style>
  <w:style w:type="character" w:styleId="1010" w:customStyle="1">
    <w:name w:val="文档结构图 Char"/>
    <w:link w:val="1009"/>
    <w:uiPriority w:val="0"/>
    <w:qFormat/>
    <w:rPr>
      <w:rFonts w:ascii="宋体" w:hAnsi="Times New Roman" w:eastAsia="宋体" w:cs="Times New Roman"/>
      <w:sz w:val="18"/>
      <w:szCs w:val="18"/>
    </w:rPr>
  </w:style>
  <w:style w:type="paragraph" w:styleId="1011" w:customStyle="1">
    <w:name w:val="引文目录标题1"/>
    <w:basedOn w:val="713"/>
    <w:next w:val="713"/>
    <w:uiPriority w:val="0"/>
    <w:qFormat/>
    <w:pPr>
      <w:spacing w:before="120"/>
    </w:pPr>
    <w:rPr>
      <w:rFonts w:ascii="Cambria" w:hAnsi="Cambria"/>
      <w:sz w:val="24"/>
    </w:rPr>
  </w:style>
  <w:style w:type="paragraph" w:styleId="1012" w:customStyle="1">
    <w:name w:val="批注文字1"/>
    <w:basedOn w:val="713"/>
    <w:uiPriority w:val="0"/>
    <w:qFormat/>
    <w:pPr>
      <w:jc w:val="left"/>
    </w:pPr>
  </w:style>
  <w:style w:type="paragraph" w:styleId="1013" w:customStyle="1">
    <w:name w:val="正文文本11"/>
    <w:basedOn w:val="713"/>
    <w:next w:val="713"/>
    <w:uiPriority w:val="0"/>
    <w:qFormat/>
    <w:rPr>
      <w:rFonts w:ascii="楷体_GB2312" w:hAnsi="Arial" w:eastAsia="楷体_GB2312"/>
      <w:sz w:val="28"/>
      <w:szCs w:val="28"/>
    </w:rPr>
  </w:style>
  <w:style w:type="paragraph" w:styleId="1014" w:customStyle="1">
    <w:name w:val="正文文本缩进1"/>
    <w:basedOn w:val="713"/>
    <w:next w:val="713"/>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15" w:customStyle="1">
    <w:name w:val="纯文本1"/>
    <w:basedOn w:val="713"/>
    <w:link w:val="1016"/>
    <w:uiPriority w:val="0"/>
    <w:qFormat/>
    <w:rPr>
      <w:rFonts w:ascii="宋体" w:hAnsi="Courier New"/>
      <w:sz w:val="20"/>
      <w:szCs w:val="20"/>
    </w:rPr>
  </w:style>
  <w:style w:type="character" w:styleId="1016" w:customStyle="1">
    <w:name w:val="纯文本 Char"/>
    <w:link w:val="1015"/>
    <w:uiPriority w:val="0"/>
    <w:qFormat/>
    <w:rPr>
      <w:rFonts w:ascii="宋体" w:hAnsi="Courier New" w:eastAsia="宋体" w:cs="Times New Roman"/>
    </w:rPr>
  </w:style>
  <w:style w:type="paragraph" w:styleId="1017" w:customStyle="1">
    <w:name w:val="日期1"/>
    <w:basedOn w:val="713"/>
    <w:next w:val="713"/>
    <w:link w:val="1018"/>
    <w:uiPriority w:val="0"/>
    <w:qFormat/>
    <w:rPr>
      <w:sz w:val="24"/>
      <w:szCs w:val="20"/>
    </w:rPr>
  </w:style>
  <w:style w:type="character" w:styleId="1018" w:customStyle="1">
    <w:name w:val="日期 Char"/>
    <w:link w:val="1017"/>
    <w:uiPriority w:val="0"/>
    <w:qFormat/>
    <w:rPr>
      <w:rFonts w:ascii="Times New Roman" w:hAnsi="Times New Roman" w:eastAsia="宋体" w:cs="Times New Roman"/>
      <w:sz w:val="24"/>
    </w:rPr>
  </w:style>
  <w:style w:type="paragraph" w:styleId="1019" w:customStyle="1">
    <w:name w:val="批注框文本1"/>
    <w:basedOn w:val="713"/>
    <w:link w:val="1020"/>
    <w:uiPriority w:val="0"/>
    <w:qFormat/>
    <w:rPr>
      <w:sz w:val="18"/>
      <w:szCs w:val="18"/>
    </w:rPr>
  </w:style>
  <w:style w:type="character" w:styleId="1020" w:customStyle="1">
    <w:name w:val="批注框文本 Char"/>
    <w:link w:val="1019"/>
    <w:uiPriority w:val="0"/>
    <w:qFormat/>
    <w:rPr>
      <w:rFonts w:ascii="Times New Roman" w:hAnsi="Times New Roman" w:eastAsia="宋体" w:cs="Times New Roman"/>
      <w:sz w:val="18"/>
      <w:szCs w:val="18"/>
    </w:rPr>
  </w:style>
  <w:style w:type="paragraph" w:styleId="1021" w:customStyle="1">
    <w:name w:val="页脚1"/>
    <w:basedOn w:val="713"/>
    <w:link w:val="1022"/>
    <w:uiPriority w:val="0"/>
    <w:qFormat/>
    <w:pPr>
      <w:jc w:val="left"/>
      <w:tabs>
        <w:tab w:val="center" w:pos="4153" w:leader="none"/>
        <w:tab w:val="right" w:pos="8306" w:leader="none"/>
      </w:tabs>
    </w:pPr>
    <w:rPr>
      <w:sz w:val="18"/>
      <w:szCs w:val="18"/>
    </w:rPr>
  </w:style>
  <w:style w:type="character" w:styleId="1022" w:customStyle="1">
    <w:name w:val="页脚 Char"/>
    <w:link w:val="1021"/>
    <w:uiPriority w:val="0"/>
    <w:qFormat/>
    <w:rPr>
      <w:rFonts w:ascii="Times New Roman" w:hAnsi="Times New Roman" w:eastAsia="宋体" w:cs="Times New Roman"/>
      <w:sz w:val="18"/>
      <w:szCs w:val="18"/>
    </w:rPr>
  </w:style>
  <w:style w:type="paragraph" w:styleId="1023" w:customStyle="1">
    <w:name w:val="寄信人地址1"/>
    <w:basedOn w:val="713"/>
    <w:uiPriority w:val="0"/>
    <w:qFormat/>
    <w:rPr>
      <w:rFonts w:ascii="Arial" w:hAnsi="Arial"/>
    </w:rPr>
  </w:style>
  <w:style w:type="paragraph" w:styleId="1024" w:customStyle="1">
    <w:name w:val="页眉1"/>
    <w:basedOn w:val="713"/>
    <w:link w:val="1025"/>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页眉 Char"/>
    <w:link w:val="1024"/>
    <w:uiPriority w:val="0"/>
    <w:qFormat/>
    <w:rPr>
      <w:rFonts w:ascii="Times New Roman" w:hAnsi="Times New Roman" w:eastAsia="宋体" w:cs="Times New Roman"/>
      <w:sz w:val="18"/>
      <w:szCs w:val="18"/>
    </w:rPr>
  </w:style>
  <w:style w:type="paragraph" w:styleId="1026" w:customStyle="1">
    <w:name w:val="目录 11"/>
    <w:basedOn w:val="713"/>
    <w:next w:val="713"/>
    <w:uiPriority w:val="0"/>
    <w:qFormat/>
    <w:rPr>
      <w:rFonts w:ascii="Calibri" w:hAnsi="Calibri"/>
    </w:rPr>
  </w:style>
  <w:style w:type="paragraph" w:styleId="1027" w:customStyle="1">
    <w:name w:val="目录 21"/>
    <w:basedOn w:val="713"/>
    <w:next w:val="713"/>
    <w:uiPriority w:val="0"/>
    <w:qFormat/>
    <w:pPr>
      <w:ind w:left="420"/>
    </w:pPr>
  </w:style>
  <w:style w:type="paragraph" w:styleId="1028" w:customStyle="1">
    <w:name w:val="普通(网站)1"/>
    <w:basedOn w:val="713"/>
    <w:uiPriority w:val="0"/>
    <w:qFormat/>
    <w:pPr>
      <w:jc w:val="left"/>
    </w:pPr>
    <w:rPr>
      <w:rFonts w:ascii="Calibri" w:hAnsi="Calibri"/>
      <w:sz w:val="24"/>
      <w:szCs w:val="24"/>
    </w:rPr>
  </w:style>
  <w:style w:type="paragraph" w:styleId="1029" w:customStyle="1">
    <w:name w:val="正文首行缩进1"/>
    <w:basedOn w:val="1013"/>
    <w:next w:val="713"/>
    <w:uiPriority w:val="0"/>
    <w:qFormat/>
    <w:pPr>
      <w:ind w:firstLine="420"/>
    </w:pPr>
  </w:style>
  <w:style w:type="paragraph" w:styleId="1030" w:customStyle="1">
    <w:name w:val="正文首行缩进 21"/>
    <w:basedOn w:val="1014"/>
    <w:next w:val="1029"/>
    <w:uiPriority w:val="0"/>
    <w:qFormat/>
    <w:pPr>
      <w:ind w:firstLine="420"/>
    </w:pPr>
    <w:rPr>
      <w:rFonts w:ascii="Times New Roman" w:cs="宋体"/>
      <w:szCs w:val="21"/>
    </w:rPr>
  </w:style>
  <w:style w:type="character" w:styleId="1031" w:customStyle="1">
    <w:name w:val="要点1"/>
    <w:uiPriority w:val="0"/>
    <w:qFormat/>
    <w:rPr>
      <w:rFonts w:ascii="Times New Roman" w:hAnsi="Times New Roman" w:eastAsia="宋体" w:cs="Times New Roman"/>
      <w:b/>
    </w:rPr>
  </w:style>
  <w:style w:type="paragraph" w:styleId="1032" w:customStyle="1">
    <w:name w:val="列出段落1"/>
    <w:basedOn w:val="713"/>
    <w:uiPriority w:val="0"/>
    <w:qFormat/>
    <w:pPr>
      <w:ind w:firstLine="420"/>
    </w:pPr>
  </w:style>
  <w:style w:type="paragraph" w:styleId="1033" w:customStyle="1">
    <w:name w:val="普通正文"/>
    <w:basedOn w:val="751"/>
    <w:uiPriority w:val="0"/>
    <w:qFormat/>
    <w:pPr>
      <w:ind w:firstLine="480"/>
      <w:spacing w:before="120" w:after="120" w:line="360" w:lineRule="auto"/>
    </w:pPr>
    <w:rPr>
      <w:rFonts w:ascii="Arial" w:hAnsi="Arial"/>
      <w:szCs w:val="24"/>
    </w:rPr>
  </w:style>
  <w:style w:type="paragraph" w:styleId="1034" w:customStyle="1">
    <w:name w:val="一级条标题"/>
    <w:basedOn w:val="1035"/>
    <w:next w:val="1037"/>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35" w:customStyle="1">
    <w:name w:val="章标题"/>
    <w:next w:val="103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36" w:customStyle="1">
    <w:name w:val="正文11"/>
    <w:next w:val="75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7" w:customStyle="1">
    <w:name w:val="段"/>
    <w:basedOn w:val="751"/>
    <w:next w:val="1036"/>
    <w:uiPriority w:val="0"/>
    <w:qFormat/>
    <w:pPr>
      <w:ind w:firstLine="200"/>
      <w:widowControl/>
    </w:pPr>
    <w:rPr>
      <w:rFonts w:hAnsi="Times New Roman"/>
      <w:sz w:val="20"/>
    </w:rPr>
  </w:style>
  <w:style w:type="paragraph" w:styleId="1038" w:customStyle="1">
    <w:name w:val="UserStyle_52"/>
    <w:basedOn w:val="713"/>
    <w:uiPriority w:val="0"/>
    <w:qFormat/>
    <w:pPr>
      <w:spacing w:line="240" w:lineRule="exact"/>
    </w:pPr>
    <w:rPr>
      <w:rFonts w:ascii="宋体" w:hAnsi="宋体"/>
      <w:lang w:val="zh-TW" w:eastAsia="zh-TW" w:bidi="zh-TW"/>
    </w:rPr>
  </w:style>
  <w:style w:type="character" w:styleId="1039" w:customStyle="1">
    <w:name w:val="HtmlCite1"/>
    <w:uiPriority w:val="0"/>
    <w:qFormat/>
    <w:rPr>
      <w:rFonts w:ascii="Times New Roman" w:hAnsi="Times New Roman" w:eastAsia="宋体" w:cs="Times New Roman"/>
    </w:rPr>
  </w:style>
  <w:style w:type="paragraph" w:styleId="1040" w:customStyle="1">
    <w:name w:val="Table Paragraph"/>
    <w:basedOn w:val="713"/>
    <w:uiPriority w:val="0"/>
    <w:qFormat/>
    <w:rPr>
      <w:rFonts w:ascii="宋体" w:hAnsi="宋体" w:cs="宋体"/>
      <w:sz w:val="22"/>
      <w:lang w:val="zh-CN" w:bidi="zh-CN"/>
    </w:rPr>
  </w:style>
  <w:style w:type="paragraph" w:styleId="1041" w:customStyle="1">
    <w:name w:val="ListBullet211"/>
    <w:basedOn w:val="713"/>
    <w:uiPriority w:val="0"/>
    <w:qFormat/>
    <w:pPr>
      <w:numPr>
        <w:ilvl w:val="0"/>
        <w:numId w:val="2"/>
      </w:numPr>
    </w:pPr>
  </w:style>
  <w:style w:type="paragraph" w:styleId="1042" w:customStyle="1">
    <w:name w:val="Char"/>
    <w:basedOn w:val="713"/>
    <w:uiPriority w:val="0"/>
    <w:qFormat/>
    <w:pPr>
      <w:ind w:firstLine="200"/>
      <w:tabs>
        <w:tab w:val="left" w:pos="360" w:leader="none"/>
      </w:tabs>
    </w:pPr>
    <w:rPr>
      <w:sz w:val="28"/>
      <w:szCs w:val="30"/>
    </w:rPr>
  </w:style>
  <w:style w:type="character" w:styleId="1043" w:customStyle="1">
    <w:name w:val="页脚 Char1"/>
    <w:uiPriority w:val="0"/>
    <w:qFormat/>
    <w:rPr>
      <w:rFonts w:ascii="Times New Roman" w:hAnsi="Times New Roman" w:eastAsia="宋体" w:cs="Times New Roman"/>
      <w:sz w:val="18"/>
      <w:szCs w:val="18"/>
    </w:rPr>
  </w:style>
  <w:style w:type="character" w:styleId="1044" w:customStyle="1">
    <w:name w:val="日期 Char1"/>
    <w:uiPriority w:val="0"/>
    <w:qFormat/>
    <w:rPr>
      <w:rFonts w:ascii="Times New Roman" w:hAnsi="Times New Roman" w:eastAsia="宋体" w:cs="Times New Roman"/>
    </w:rPr>
  </w:style>
  <w:style w:type="character" w:styleId="1045" w:customStyle="1">
    <w:name w:val="纯文本 Char1"/>
    <w:uiPriority w:val="0"/>
    <w:qFormat/>
    <w:rPr>
      <w:rFonts w:ascii="宋体" w:hAnsi="Courier New" w:eastAsia="宋体" w:cs="Courier New"/>
      <w:szCs w:val="21"/>
    </w:rPr>
  </w:style>
  <w:style w:type="character" w:styleId="1046" w:customStyle="1">
    <w:name w:val="页眉 Char1"/>
    <w:uiPriority w:val="0"/>
    <w:qFormat/>
    <w:rPr>
      <w:rFonts w:ascii="Times New Roman" w:hAnsi="Times New Roman" w:eastAsia="宋体" w:cs="Times New Roman"/>
      <w:sz w:val="18"/>
      <w:szCs w:val="18"/>
    </w:rPr>
  </w:style>
  <w:style w:type="paragraph" w:styleId="1047" w:customStyle="1">
    <w:name w:val="无间隔1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48" w:customStyle="1">
    <w:name w:val="正文空2格  1."/>
    <w:basedOn w:val="713"/>
    <w:uiPriority w:val="0"/>
    <w:qFormat/>
    <w:pPr>
      <w:ind w:firstLine="480"/>
    </w:pPr>
    <w:rPr>
      <w:rFonts w:cs="宋体"/>
      <w:sz w:val="28"/>
      <w:szCs w:val="20"/>
    </w:rPr>
  </w:style>
  <w:style w:type="paragraph" w:styleId="1049"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050" w:customStyle="1">
    <w:name w:val="标题 1 Char Char Char"/>
    <w:uiPriority w:val="0"/>
    <w:qFormat/>
    <w:rPr>
      <w:rFonts w:eastAsia="宋体"/>
      <w:b/>
      <w:bCs/>
      <w:sz w:val="44"/>
      <w:szCs w:val="44"/>
      <w:lang w:val="en-US" w:eastAsia="zh-CN" w:bidi="ar-SA"/>
    </w:rPr>
  </w:style>
  <w:style w:type="paragraph" w:styleId="1051"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52"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53" w:customStyle="1">
    <w:name w:val="正文_0_0"/>
    <w:basedOn w:val="1054"/>
    <w:uiPriority w:val="0"/>
    <w:qFormat/>
    <w:rPr>
      <w:szCs w:val="21"/>
    </w:rPr>
  </w:style>
  <w:style w:type="paragraph" w:styleId="105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5" w:customStyle="1">
    <w:name w:val="Normal_20"/>
    <w:link w:val="1056"/>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056" w:customStyle="1">
    <w:name w:val="Normal_20 Char"/>
    <w:link w:val="1055"/>
    <w:uiPriority w:val="0"/>
    <w:qFormat/>
    <w:rPr>
      <w:rFonts w:ascii="Times New Roman" w:hAnsi="Times New Roman" w:eastAsia="Calibri" w:cs="Times New Roman"/>
      <w:sz w:val="22"/>
      <w:szCs w:val="22"/>
      <w:lang w:val="en-US" w:eastAsia="en-US" w:bidi="ar-SA"/>
    </w:rPr>
  </w:style>
  <w:style w:type="paragraph" w:styleId="1057" w:customStyle="1">
    <w:name w:val="Body text|1"/>
    <w:basedOn w:val="713"/>
    <w:uiPriority w:val="0"/>
    <w:qFormat/>
    <w:pPr>
      <w:spacing w:after="220"/>
    </w:pPr>
    <w:rPr>
      <w:rFonts w:ascii="宋体" w:hAnsi="宋体" w:cs="宋体"/>
      <w:sz w:val="22"/>
      <w:lang w:val="zh-TW" w:eastAsia="zh-TW" w:bidi="zh-TW"/>
    </w:rPr>
  </w:style>
  <w:style w:type="character" w:styleId="1058" w:customStyle="1">
    <w:name w:val="font21"/>
    <w:uiPriority w:val="0"/>
    <w:qFormat/>
    <w:rPr>
      <w:rFonts w:hint="eastAsia" w:ascii="宋体" w:hAnsi="宋体" w:eastAsia="宋体" w:cs="宋体"/>
      <w:color w:val="000000"/>
      <w:sz w:val="20"/>
      <w:szCs w:val="20"/>
      <w:u w:val="none"/>
    </w:rPr>
  </w:style>
  <w:style w:type="character" w:styleId="1059" w:customStyle="1">
    <w:name w:val="font31"/>
    <w:uiPriority w:val="0"/>
    <w:qFormat/>
    <w:rPr>
      <w:rFonts w:ascii="Times New Roman" w:hAnsi="Times New Roman" w:cs="Times New Roman"/>
      <w:color w:val="000000"/>
      <w:sz w:val="20"/>
      <w:szCs w:val="20"/>
      <w:u w:val="none"/>
    </w:rPr>
  </w:style>
  <w:style w:type="paragraph" w:styleId="1060" w:customStyle="1">
    <w:name w:val="Style1"/>
    <w:basedOn w:val="713"/>
    <w:uiPriority w:val="0"/>
    <w:qFormat/>
    <w:pPr>
      <w:spacing w:after="120"/>
      <w:widowControl/>
      <w:tabs>
        <w:tab w:val="left" w:pos="-720" w:leader="none"/>
      </w:tabs>
    </w:pPr>
    <w:rPr>
      <w:rFonts w:ascii="Calibri" w:hAnsi="Calibri"/>
      <w:spacing w:val="-3"/>
      <w:sz w:val="24"/>
      <w:szCs w:val="20"/>
      <w:lang w:val="en-AU" w:eastAsia="en-US"/>
    </w:rPr>
  </w:style>
  <w:style w:type="paragraph" w:styleId="1061" w:customStyle="1">
    <w:name w:val="Normal_0_0"/>
    <w:uiPriority w:val="0"/>
    <w:qFormat/>
    <w:pPr>
      <w:jc w:val="both"/>
      <w:widowControl w:val="off"/>
    </w:pPr>
    <w:rPr>
      <w:rFonts w:hint="default" w:ascii="Calibri" w:hAnsi="宋体" w:eastAsia="宋体" w:cs="Times New Roman"/>
      <w:lang w:val="en-US" w:eastAsia="zh-CN" w:bidi="ar-SA"/>
    </w:rPr>
  </w:style>
  <w:style w:type="paragraph" w:styleId="1062" w:customStyle="1">
    <w:name w:val="正文_1"/>
    <w:uiPriority w:val="0"/>
    <w:qFormat/>
    <w:pPr>
      <w:jc w:val="both"/>
      <w:widowControl w:val="off"/>
    </w:pPr>
    <w:rPr>
      <w:rFonts w:hint="default" w:ascii="Calibri" w:hAnsi="Calibri" w:eastAsia="宋体" w:cs="Times New Roman"/>
      <w:sz w:val="21"/>
      <w:szCs w:val="24"/>
      <w:lang w:val="en-US" w:eastAsia="zh-CN" w:bidi="ar-SA"/>
    </w:rPr>
  </w:style>
  <w:style w:type="paragraph" w:styleId="1063" w:customStyle="1">
    <w:name w:val="样式 标题 2 + Times New Roman 四号 非加粗 段前: 5 磅 段后: 0 磅 行距: 固定值 20..."/>
    <w:basedOn w:val="777"/>
    <w:uiPriority w:val="0"/>
    <w:qFormat/>
    <w:pPr>
      <w:spacing w:before="100" w:after="0" w:line="400" w:lineRule="exact"/>
    </w:pPr>
    <w:rPr>
      <w:rFonts w:ascii="Times New Roman" w:hAnsi="Times New Roman" w:eastAsia="黑体" w:cs="Times New Roman"/>
      <w:sz w:val="28"/>
      <w:szCs w:val="20"/>
    </w:rPr>
  </w:style>
  <w:style w:type="paragraph" w:styleId="1064" w:customStyle="1">
    <w:name w:val="首行缩进"/>
    <w:basedOn w:val="713"/>
    <w:uiPriority w:val="99"/>
    <w:qFormat/>
    <w:pPr>
      <w:ind w:firstLine="480"/>
    </w:pPr>
    <w:rPr>
      <w:lang w:val="zh-CN"/>
    </w:rPr>
  </w:style>
  <w:style w:type="paragraph" w:styleId="1065"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067" w:customStyle="1">
    <w:name w:val="正文文本缩进 2_0"/>
    <w:basedOn w:val="1066"/>
    <w:uiPriority w:val="0"/>
    <w:qFormat/>
    <w:pPr>
      <w:ind w:firstLine="525"/>
      <w:spacing w:line="420" w:lineRule="exact"/>
    </w:pPr>
    <w:rPr>
      <w:rFonts w:asciiTheme="minorHAnsi" w:hAnsiTheme="minorHAnsi" w:eastAsiaTheme="minorEastAsia" w:cstheme="minorBidi"/>
      <w:szCs w:val="22"/>
      <w14:ligatures w14:val="standardContextual"/>
    </w:rPr>
  </w:style>
  <w:style w:type="paragraph" w:styleId="106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9" w:customStyle="1">
    <w:name w:val="Normal_9_0"/>
    <w:uiPriority w:val="0"/>
    <w:qFormat/>
    <w:rPr>
      <w:rFonts w:ascii="Times New Roman" w:hAnsi="Times New Roman" w:eastAsia="Times New Roman" w:cs="Times New Roman"/>
      <w:sz w:val="24"/>
      <w:szCs w:val="24"/>
      <w:lang w:val="en-US" w:eastAsia="zh-CN" w:bidi="ar-SA"/>
    </w:rPr>
  </w:style>
  <w:style w:type="character" w:styleId="1070" w:customStyle="1">
    <w:name w:val="标题 1 Char1"/>
    <w:link w:val="714"/>
    <w:uiPriority w:val="9"/>
    <w:qFormat/>
    <w:rPr>
      <w:rFonts w:ascii="Arial" w:hAnsi="Arial" w:eastAsia="Arial" w:cs="Arial"/>
      <w:sz w:val="40"/>
      <w:szCs w:val="40"/>
    </w:rPr>
  </w:style>
  <w:style w:type="paragraph" w:styleId="1071" w:customStyle="1">
    <w:name w:val="正文_4_0_0"/>
    <w:uiPriority w:val="0"/>
    <w:qFormat/>
    <w:pPr>
      <w:jc w:val="both"/>
      <w:widowControl w:val="off"/>
    </w:pPr>
    <w:rPr>
      <w:rFonts w:ascii="Times New Roman" w:hAnsi="Times New Roman" w:eastAsia="宋体" w:cs="Times New Roman"/>
      <w:sz w:val="21"/>
      <w:lang w:val="en-US" w:eastAsia="zh-CN" w:bidi="ar-SA"/>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方头大</dc:creator>
  <cp:lastModifiedBy>苗健</cp:lastModifiedBy>
  <cp:revision>13</cp:revision>
  <dcterms:created xsi:type="dcterms:W3CDTF">2024-06-07T09:23:00Z</dcterms:created>
  <dcterms:modified xsi:type="dcterms:W3CDTF">2026-07-31T07:16:44Z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936DD58094C049E9BEC90176192F7A14_13</vt:lpwstr>
  </property>
  <property fmtid="{D5CDD505-2E9C-101B-9397-08002B2CF9AE}" pid="4" name="KSOTemplateDocerSaveRecord">
    <vt:lpwstr>eyJoZGlkIjoiYzQyMzdkOTA4NGFjNTcxZjM5YWQ3NWUxNmJiYmMzN2MiLCJ1c2VySWQiOiIzMTg5MzgxNzEifQ==</vt:lpwstr>
  </property>
</Properties>
</file>