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r>
      <w:r/>
    </w:p>
    <w:p>
      <w:pPr>
        <w:ind w:firstLine="160"/>
        <w:spacing w:line="360" w:lineRule="auto"/>
        <w:rPr>
          <w:rFonts w:hint="eastAsia"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r>
      <w:r/>
    </w:p>
    <w:p>
      <w:pPr>
        <w:ind w:firstLine="160"/>
        <w:spacing w:line="360" w:lineRule="auto"/>
        <w:rPr>
          <w:rFonts w:hint="eastAsia"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r>
      <w:r/>
    </w:p>
    <w:p>
      <w:pPr>
        <w:ind w:firstLine="160"/>
        <w:spacing w:line="360" w:lineRule="auto"/>
        <w:rPr>
          <w:rFonts w:hint="eastAsia"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竞争性磋商文件示范文本</w:t>
      </w:r>
      <w:r/>
    </w:p>
    <w:p>
      <w:pPr>
        <w:jc w:val="center"/>
        <w:spacing w:line="360" w:lineRule="auto"/>
        <w:rPr>
          <w:rFonts w:ascii="宋体" w:hAnsi="宋体"/>
          <w:b/>
          <w:bCs/>
          <w:color w:val="auto"/>
          <w:sz w:val="60"/>
          <w:szCs w:val="60"/>
          <w:highlight w:val="none"/>
        </w:rPr>
      </w:pPr>
      <w:r>
        <w:rPr>
          <w:rFonts w:hint="eastAsia" w:ascii="方正仿宋_GBK" w:hAnsi="方正仿宋_GBK" w:eastAsia="方正仿宋_GBK" w:cs="方正仿宋_GBK"/>
          <w:b/>
          <w:bCs/>
          <w:color w:val="auto"/>
          <w:sz w:val="60"/>
          <w:szCs w:val="60"/>
          <w:highlight w:val="none"/>
        </w:rPr>
        <w:t xml:space="preserve">（试行）（2022年版）</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pStyle w:val="924"/>
        <w:ind w:firstLine="1205"/>
        <w:rPr>
          <w:rFonts w:hAnsi="宋体"/>
          <w:b/>
          <w:bCs/>
          <w:color w:val="auto"/>
          <w:sz w:val="60"/>
          <w:szCs w:val="60"/>
          <w:highlight w:val="none"/>
        </w:rPr>
      </w:pPr>
      <w:r>
        <w:rPr>
          <w:rFonts w:hAnsi="宋体"/>
          <w:b/>
          <w:bCs/>
          <w:color w:val="auto"/>
          <w:sz w:val="60"/>
          <w:szCs w:val="60"/>
          <w:highlight w:val="none"/>
        </w:rPr>
      </w:r>
      <w:r/>
    </w:p>
    <w:p>
      <w:pPr>
        <w:rPr>
          <w:rFonts w:ascii="宋体" w:hAnsi="宋体"/>
          <w:b/>
          <w:bCs/>
          <w:color w:val="auto"/>
          <w:sz w:val="60"/>
          <w:szCs w:val="60"/>
          <w:highlight w:val="none"/>
        </w:rPr>
      </w:pPr>
      <w:r>
        <w:rPr>
          <w:rFonts w:ascii="宋体" w:hAnsi="宋体"/>
          <w:b/>
          <w:bCs/>
          <w:color w:val="auto"/>
          <w:sz w:val="60"/>
          <w:szCs w:val="60"/>
          <w:highlight w:val="none"/>
        </w:rPr>
      </w:r>
      <w:r/>
    </w:p>
    <w:p>
      <w:pPr>
        <w:jc w:val="left"/>
        <w:spacing w:line="360" w:lineRule="auto"/>
        <w:tabs>
          <w:tab w:val="left" w:pos="5064" w:leader="none"/>
        </w:tabs>
        <w:rPr>
          <w:rFonts w:hint="eastAsia" w:ascii="Times New Roman" w:hAnsi="Times New Roman" w:eastAsia="宋体" w:cs="Times New Roman"/>
          <w:bCs/>
          <w:color w:val="auto"/>
          <w:sz w:val="36"/>
          <w:szCs w:val="36"/>
          <w:highlight w:val="none"/>
          <w:lang w:eastAsia="zh-CN"/>
        </w:rPr>
      </w:pPr>
      <w:r>
        <w:rPr>
          <w:rFonts w:hint="eastAsia" w:ascii="Times New Roman" w:hAnsi="Times New Roman" w:eastAsia="宋体" w:cs="Times New Roman"/>
          <w:bCs/>
          <w:color w:val="auto"/>
          <w:sz w:val="36"/>
          <w:szCs w:val="36"/>
          <w:highlight w:val="none"/>
          <w:lang w:eastAsia="zh-CN"/>
        </w:rPr>
        <w:t xml:space="preserve">项目名称：天目湖镇2026年度生活污水维修项目</w:t>
      </w:r>
      <w:r/>
    </w:p>
    <w:p>
      <w:pPr>
        <w:jc w:val="left"/>
        <w:spacing w:line="360" w:lineRule="auto"/>
        <w:tabs>
          <w:tab w:val="left" w:pos="5064" w:leader="none"/>
        </w:tabs>
        <w:rPr>
          <w:rFonts w:hint="eastAsia" w:ascii="Times New Roman" w:hAnsi="Times New Roman" w:eastAsia="宋体" w:cs="Times New Roman"/>
          <w:bCs/>
          <w:color w:val="auto"/>
          <w:sz w:val="36"/>
          <w:szCs w:val="36"/>
          <w:highlight w:val="none"/>
          <w:lang w:eastAsia="zh-CN"/>
        </w:rPr>
      </w:pPr>
      <w:r>
        <w:rPr>
          <w:rFonts w:hint="eastAsia" w:ascii="Times New Roman" w:hAnsi="Times New Roman" w:eastAsia="宋体" w:cs="Times New Roman"/>
          <w:bCs/>
          <w:color w:val="auto"/>
          <w:sz w:val="36"/>
          <w:szCs w:val="36"/>
          <w:highlight w:val="none"/>
          <w:lang w:eastAsia="zh-CN"/>
        </w:rPr>
        <w:t xml:space="preserve">项目编号：JSZC-320481-LCGL-C2026-0018</w:t>
      </w:r>
      <w:r/>
    </w:p>
    <w:p>
      <w:pPr>
        <w:jc w:val="left"/>
        <w:spacing w:line="360" w:lineRule="auto"/>
        <w:tabs>
          <w:tab w:val="left" w:pos="3240" w:leader="none"/>
          <w:tab w:val="left" w:pos="3420" w:leader="none"/>
        </w:tabs>
        <w:rPr>
          <w:rFonts w:hint="eastAsia" w:ascii="Times New Roman" w:hAnsi="Times New Roman" w:eastAsia="宋体" w:cs="Times New Roman"/>
          <w:bCs/>
          <w:color w:val="auto"/>
          <w:sz w:val="36"/>
          <w:szCs w:val="36"/>
          <w:highlight w:val="none"/>
          <w:lang w:eastAsia="zh-CN"/>
        </w:rPr>
      </w:pPr>
      <w:r>
        <w:rPr>
          <w:rFonts w:ascii="Times New Roman" w:hAnsi="Times New Roman" w:eastAsia="宋体" w:cs="Times New Roman"/>
          <w:bCs/>
          <w:color w:val="auto"/>
          <w:sz w:val="36"/>
          <w:szCs w:val="36"/>
          <w:highlight w:val="none"/>
        </w:rPr>
        <w:t xml:space="preserve">采 购 人：</w:t>
      </w:r>
      <w:r>
        <w:rPr>
          <w:rFonts w:hint="eastAsia" w:ascii="Times New Roman" w:hAnsi="Times New Roman" w:eastAsia="宋体" w:cs="Times New Roman"/>
          <w:bCs/>
          <w:color w:val="auto"/>
          <w:sz w:val="36"/>
          <w:szCs w:val="36"/>
          <w:highlight w:val="none"/>
          <w:lang w:eastAsia="zh-CN"/>
        </w:rPr>
        <w:t xml:space="preserve">溧阳市天目湖镇人民政府</w:t>
      </w:r>
      <w:r/>
    </w:p>
    <w:p>
      <w:pPr>
        <w:jc w:val="left"/>
        <w:spacing w:line="360" w:lineRule="auto"/>
        <w:tabs>
          <w:tab w:val="left" w:pos="3240" w:leader="none"/>
          <w:tab w:val="left" w:pos="3420" w:leader="none"/>
        </w:tabs>
        <w:rPr>
          <w:rFonts w:ascii="Times New Roman" w:hAnsi="Times New Roman" w:eastAsia="宋体" w:cs="Times New Roman"/>
          <w:bCs/>
          <w:color w:val="auto"/>
          <w:sz w:val="36"/>
          <w:szCs w:val="36"/>
          <w:highlight w:val="none"/>
        </w:rPr>
      </w:pPr>
      <w:r>
        <w:rPr>
          <w:rFonts w:ascii="Times New Roman" w:hAnsi="Times New Roman" w:eastAsia="宋体" w:cs="Times New Roman"/>
          <w:bCs/>
          <w:color w:val="auto"/>
          <w:sz w:val="36"/>
          <w:szCs w:val="36"/>
          <w:highlight w:val="none"/>
        </w:rPr>
        <w:t xml:space="preserve">采购代理机构：江苏立诚建设项目管理咨询有限公司</w:t>
      </w:r>
      <w:r/>
    </w:p>
    <w:p>
      <w:pPr>
        <w:ind w:left="0" w:firstLine="0"/>
        <w:jc w:val="both"/>
        <w:keepLines w:val="0"/>
        <w:keepNext w:val="0"/>
        <w:pageBreakBefore w:val="0"/>
        <w:spacing w:line="360" w:lineRule="auto"/>
        <w:widowControl w:val="off"/>
        <w:tabs>
          <w:tab w:val="left" w:pos="3240" w:leader="none"/>
          <w:tab w:val="left" w:pos="3420" w:leader="none"/>
        </w:tabs>
        <w:rPr>
          <w:bCs/>
          <w:color w:val="auto"/>
          <w:sz w:val="36"/>
          <w:szCs w:val="36"/>
          <w:highlight w:val="none"/>
        </w:rPr>
      </w:pPr>
      <w:r>
        <w:rPr>
          <w:bCs/>
          <w:color w:val="auto"/>
          <w:sz w:val="36"/>
          <w:szCs w:val="36"/>
          <w:highlight w:val="none"/>
        </w:rPr>
      </w:r>
      <w:r/>
    </w:p>
    <w:p>
      <w:pPr>
        <w:jc w:val="left"/>
        <w:widowControl/>
        <w:rPr>
          <w:color w:val="auto"/>
          <w:sz w:val="24"/>
          <w:highlight w:val="none"/>
        </w:rPr>
      </w:pPr>
      <w:r>
        <w:rPr>
          <w:b/>
          <w:bCs/>
          <w:color w:val="auto"/>
          <w:sz w:val="44"/>
          <w:highlight w:val="none"/>
        </w:rPr>
        <w:br w:type="page" w:clear="all"/>
      </w:r>
      <w:r/>
    </w:p>
    <w:p>
      <w:pPr>
        <w:pStyle w:val="1158"/>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04818924"/>
      <w:r/>
      <w:bookmarkStart w:id="1" w:name="_Toc28383"/>
      <w:r/>
      <w:bookmarkStart w:id="2" w:name="_Toc2165"/>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bookmarkEnd w:id="1"/>
      <w:r/>
      <w:bookmarkEnd w:id="2"/>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11"/>
        <w:tabs>
          <w:tab w:val="right" w:pos="8163" w:leader="dot"/>
        </w:tabs>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rPr>
          <w:rFonts w:ascii="Times New Roman" w:hAnsi="Times New Roman"/>
          <w:color w:val="auto"/>
          <w:highlight w:val="none"/>
        </w:rPr>
        <w:fldChar w:fldCharType="begin"/>
      </w:r>
      <w:r>
        <w:rPr>
          <w:rFonts w:ascii="Times New Roman" w:hAnsi="Times New Roman"/>
          <w:highlight w:val="none"/>
        </w:rPr>
        <w:instrText xml:space="preserve"> HYPERLINK \l _Toc10725 </w:instrText>
      </w:r>
      <w:r>
        <w:rPr>
          <w:rFonts w:ascii="Times New Roman" w:hAnsi="Times New Roman"/>
          <w:highlight w:val="none"/>
        </w:rPr>
        <w:fldChar w:fldCharType="separate"/>
      </w:r>
      <w:r>
        <w:rPr>
          <w:szCs w:val="36"/>
          <w:highlight w:val="none"/>
        </w:rPr>
        <w:t xml:space="preserve">第一章   采购邀请</w:t>
      </w:r>
      <w:r>
        <w:tab/>
      </w:r>
      <w:r>
        <w:fldChar w:fldCharType="begin"/>
      </w:r>
      <w:r>
        <w:instrText xml:space="preserve"> PAGEREF _Toc10725 \h </w:instrText>
      </w:r>
      <w:r>
        <w:fldChar w:fldCharType="separate"/>
      </w:r>
      <w:r>
        <w:t xml:space="preserve">1</w:t>
      </w:r>
      <w:r>
        <w:fldChar w:fldCharType="end"/>
      </w:r>
      <w:r>
        <w:rPr>
          <w:rFonts w:ascii="Times New Roman" w:hAnsi="Times New Roman"/>
          <w:color w:val="auto"/>
          <w:highlight w:val="none"/>
        </w:rPr>
        <w:fldChar w:fldCharType="end"/>
      </w:r>
      <w:r/>
    </w:p>
    <w:p>
      <w:pPr>
        <w:pStyle w:val="911"/>
        <w:tabs>
          <w:tab w:val="right" w:pos="8163" w:leader="dot"/>
        </w:tabs>
      </w:pPr>
      <w:r>
        <w:rPr>
          <w:rFonts w:ascii="Times New Roman" w:hAnsi="Times New Roman"/>
          <w:color w:val="auto"/>
          <w:highlight w:val="none"/>
        </w:rPr>
        <w:fldChar w:fldCharType="begin"/>
      </w:r>
      <w:r>
        <w:rPr>
          <w:rFonts w:ascii="Times New Roman" w:hAnsi="Times New Roman"/>
          <w:highlight w:val="none"/>
        </w:rPr>
        <w:instrText xml:space="preserve"> HYPERLINK \l _Toc29071 </w:instrText>
      </w:r>
      <w:r>
        <w:rPr>
          <w:rFonts w:ascii="Times New Roman" w:hAnsi="Times New Roman"/>
          <w:highlight w:val="none"/>
        </w:rPr>
        <w:fldChar w:fldCharType="separate"/>
      </w:r>
      <w:r>
        <w:rPr>
          <w:szCs w:val="36"/>
          <w:highlight w:val="none"/>
        </w:rPr>
        <w:t xml:space="preserve">第二章   供应商须知</w:t>
      </w:r>
      <w:r>
        <w:tab/>
      </w:r>
      <w:r>
        <w:fldChar w:fldCharType="begin"/>
      </w:r>
      <w:r>
        <w:instrText xml:space="preserve"> PAGEREF _Toc29071 \h </w:instrText>
      </w:r>
      <w:r>
        <w:fldChar w:fldCharType="separate"/>
      </w:r>
      <w:r>
        <w:t xml:space="preserve">5</w:t>
      </w:r>
      <w:r>
        <w:fldChar w:fldCharType="end"/>
      </w:r>
      <w:r>
        <w:rPr>
          <w:rFonts w:ascii="Times New Roman" w:hAnsi="Times New Roman"/>
          <w:color w:val="auto"/>
          <w:highlight w:val="none"/>
        </w:rPr>
        <w:fldChar w:fldCharType="end"/>
      </w:r>
      <w:r/>
    </w:p>
    <w:p>
      <w:pPr>
        <w:pStyle w:val="911"/>
        <w:tabs>
          <w:tab w:val="right" w:pos="8163" w:leader="dot"/>
        </w:tabs>
      </w:pPr>
      <w:r>
        <w:rPr>
          <w:rFonts w:ascii="Times New Roman" w:hAnsi="Times New Roman"/>
          <w:color w:val="auto"/>
          <w:highlight w:val="none"/>
        </w:rPr>
        <w:fldChar w:fldCharType="begin"/>
      </w:r>
      <w:r>
        <w:rPr>
          <w:rFonts w:ascii="Times New Roman" w:hAnsi="Times New Roman"/>
          <w:highlight w:val="none"/>
        </w:rPr>
        <w:instrText xml:space="preserve"> HYPERLINK \l _Toc6353 </w:instrText>
      </w:r>
      <w:r>
        <w:rPr>
          <w:rFonts w:ascii="Times New Roman" w:hAnsi="Times New Roman"/>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tab/>
      </w:r>
      <w:r>
        <w:fldChar w:fldCharType="begin"/>
      </w:r>
      <w:r>
        <w:instrText xml:space="preserve"> PAGEREF _Toc6353 \h </w:instrText>
      </w:r>
      <w:r>
        <w:fldChar w:fldCharType="separate"/>
      </w:r>
      <w:r>
        <w:t xml:space="preserve">16</w:t>
      </w:r>
      <w:r>
        <w:fldChar w:fldCharType="end"/>
      </w:r>
      <w:r>
        <w:rPr>
          <w:rFonts w:ascii="Times New Roman" w:hAnsi="Times New Roman"/>
          <w:color w:val="auto"/>
          <w:highlight w:val="none"/>
        </w:rPr>
        <w:fldChar w:fldCharType="end"/>
      </w:r>
      <w:r/>
    </w:p>
    <w:p>
      <w:pPr>
        <w:pStyle w:val="911"/>
        <w:tabs>
          <w:tab w:val="right" w:pos="8163" w:leader="dot"/>
        </w:tabs>
      </w:pPr>
      <w:r>
        <w:rPr>
          <w:rFonts w:ascii="Times New Roman" w:hAnsi="Times New Roman"/>
          <w:color w:val="auto"/>
          <w:highlight w:val="none"/>
        </w:rPr>
        <w:fldChar w:fldCharType="begin"/>
      </w:r>
      <w:r>
        <w:rPr>
          <w:rFonts w:ascii="Times New Roman" w:hAnsi="Times New Roman"/>
          <w:highlight w:val="none"/>
        </w:rPr>
        <w:instrText xml:space="preserve"> HYPERLINK \l _Toc25021 </w:instrText>
      </w:r>
      <w:r>
        <w:rPr>
          <w:rFonts w:ascii="Times New Roman" w:hAnsi="Times New Roman"/>
          <w:highlight w:val="none"/>
        </w:rPr>
        <w:fldChar w:fldCharType="separate"/>
      </w:r>
      <w:r>
        <w:rPr>
          <w:rFonts w:hint="eastAsia"/>
          <w:szCs w:val="36"/>
        </w:rPr>
        <w:t xml:space="preserve">第四章 </w:t>
      </w:r>
      <w:r>
        <w:rPr>
          <w:szCs w:val="36"/>
          <w:highlight w:val="none"/>
        </w:rPr>
        <w:t xml:space="preserve">  采购需求</w:t>
      </w:r>
      <w:r>
        <w:tab/>
      </w:r>
      <w:r>
        <w:fldChar w:fldCharType="begin"/>
      </w:r>
      <w:r>
        <w:instrText xml:space="preserve"> PAGEREF _Toc25021 \h </w:instrText>
      </w:r>
      <w:r>
        <w:fldChar w:fldCharType="separate"/>
      </w:r>
      <w:r>
        <w:t xml:space="preserve">31</w:t>
      </w:r>
      <w:r>
        <w:fldChar w:fldCharType="end"/>
      </w:r>
      <w:r>
        <w:rPr>
          <w:rFonts w:ascii="Times New Roman" w:hAnsi="Times New Roman"/>
          <w:color w:val="auto"/>
          <w:highlight w:val="none"/>
        </w:rPr>
        <w:fldChar w:fldCharType="end"/>
      </w:r>
      <w:r/>
    </w:p>
    <w:p>
      <w:pPr>
        <w:pStyle w:val="911"/>
        <w:tabs>
          <w:tab w:val="right" w:pos="8163" w:leader="dot"/>
        </w:tabs>
      </w:pPr>
      <w:r>
        <w:rPr>
          <w:rFonts w:ascii="Times New Roman" w:hAnsi="Times New Roman"/>
          <w:color w:val="auto"/>
          <w:highlight w:val="none"/>
        </w:rPr>
        <w:fldChar w:fldCharType="begin"/>
      </w:r>
      <w:r>
        <w:rPr>
          <w:rFonts w:ascii="Times New Roman" w:hAnsi="Times New Roman"/>
          <w:highlight w:val="none"/>
        </w:rPr>
        <w:instrText xml:space="preserve"> HYPERLINK \l _Toc24213 </w:instrText>
      </w:r>
      <w:r>
        <w:rPr>
          <w:rFonts w:ascii="Times New Roman" w:hAnsi="Times New Roman"/>
          <w:highlight w:val="none"/>
        </w:rPr>
        <w:fldChar w:fldCharType="separate"/>
      </w:r>
      <w:r>
        <w:rPr>
          <w:rFonts w:hint="eastAsia"/>
          <w:szCs w:val="36"/>
        </w:rPr>
        <w:t xml:space="preserve">第五章 </w:t>
      </w:r>
      <w:r>
        <w:rPr>
          <w:szCs w:val="36"/>
          <w:highlight w:val="none"/>
        </w:rPr>
        <w:t xml:space="preserve">  合同</w:t>
      </w:r>
      <w:r>
        <w:rPr>
          <w:rFonts w:hint="eastAsia"/>
          <w:szCs w:val="36"/>
          <w:highlight w:val="none"/>
        </w:rPr>
        <w:t xml:space="preserve">主要</w:t>
      </w:r>
      <w:r>
        <w:rPr>
          <w:szCs w:val="36"/>
          <w:highlight w:val="none"/>
        </w:rPr>
        <w:t xml:space="preserve">条款</w:t>
      </w:r>
      <w:r>
        <w:tab/>
      </w:r>
      <w:r>
        <w:fldChar w:fldCharType="begin"/>
      </w:r>
      <w:r>
        <w:instrText xml:space="preserve"> PAGEREF _Toc24213 \h </w:instrText>
      </w:r>
      <w:r>
        <w:fldChar w:fldCharType="separate"/>
      </w:r>
      <w:r>
        <w:t xml:space="preserve">35</w:t>
      </w:r>
      <w:r>
        <w:fldChar w:fldCharType="end"/>
      </w:r>
      <w:r>
        <w:rPr>
          <w:rFonts w:ascii="Times New Roman" w:hAnsi="Times New Roman"/>
          <w:color w:val="auto"/>
          <w:highlight w:val="none"/>
        </w:rPr>
        <w:fldChar w:fldCharType="end"/>
      </w:r>
      <w:r/>
    </w:p>
    <w:p>
      <w:pPr>
        <w:pStyle w:val="911"/>
        <w:tabs>
          <w:tab w:val="right" w:pos="8163" w:leader="dot"/>
        </w:tabs>
      </w:pPr>
      <w:r>
        <w:rPr>
          <w:rFonts w:ascii="Times New Roman" w:hAnsi="Times New Roman"/>
          <w:color w:val="auto"/>
          <w:highlight w:val="none"/>
        </w:rPr>
        <w:fldChar w:fldCharType="begin"/>
      </w:r>
      <w:r>
        <w:rPr>
          <w:rFonts w:ascii="Times New Roman" w:hAnsi="Times New Roman"/>
          <w:highlight w:val="none"/>
        </w:rPr>
        <w:instrText xml:space="preserve"> HYPERLINK \l _Toc1621 </w:instrText>
      </w:r>
      <w:r>
        <w:rPr>
          <w:rFonts w:ascii="Times New Roman" w:hAnsi="Times New Roman"/>
          <w:highlight w:val="none"/>
        </w:rPr>
        <w:fldChar w:fldCharType="separate"/>
      </w:r>
      <w:r>
        <w:rPr>
          <w:szCs w:val="36"/>
          <w:highlight w:val="none"/>
        </w:rPr>
        <w:t xml:space="preserve">第六章   响应文件格式</w:t>
      </w:r>
      <w:r>
        <w:tab/>
      </w:r>
      <w:r>
        <w:fldChar w:fldCharType="begin"/>
      </w:r>
      <w:r>
        <w:instrText xml:space="preserve"> PAGEREF _Toc1621 \h </w:instrText>
      </w:r>
      <w:r>
        <w:fldChar w:fldCharType="separate"/>
      </w:r>
      <w:r>
        <w:t xml:space="preserve">44</w:t>
      </w:r>
      <w:r>
        <w:fldChar w:fldCharType="end"/>
      </w:r>
      <w:r>
        <w:rPr>
          <w:rFonts w:ascii="Times New Roman" w:hAnsi="Times New Roman"/>
          <w:color w:val="auto"/>
          <w:highlight w:val="none"/>
        </w:rPr>
        <w:fldChar w:fldCharType="end"/>
      </w:r>
      <w:r/>
    </w:p>
    <w:p>
      <w:pPr>
        <w:pStyle w:val="1124"/>
        <w:spacing w:line="360" w:lineRule="auto"/>
        <w:rPr>
          <w:rFonts w:ascii="Times New Roman" w:hAnsi="Times New Roman"/>
          <w:b w:val="0"/>
          <w:color w:val="auto"/>
          <w:highlight w:val="none"/>
        </w:rPr>
      </w:pPr>
      <w:r>
        <w:rPr>
          <w:rFonts w:ascii="Times New Roman" w:hAnsi="Times New Roman"/>
          <w:color w:val="auto"/>
          <w:highlight w:val="none"/>
        </w:rPr>
        <w:fldChar w:fldCharType="end"/>
      </w:r>
      <w:r/>
    </w:p>
    <w:p>
      <w:pPr>
        <w:jc w:val="left"/>
        <w:spacing w:line="360" w:lineRule="auto"/>
        <w:rPr>
          <w:b/>
          <w:color w:val="auto"/>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5" w:h="16840" w:orient="portrait"/>
          <w:pgMar w:top="1440" w:right="1871" w:bottom="1440" w:left="1871" w:header="850" w:footer="850" w:gutter="0"/>
          <w:pgNumType w:start="1"/>
          <w:cols w:num="1" w:sep="0" w:space="1701" w:equalWidth="1"/>
          <w:docGrid w:linePitch="360"/>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3" w:name="_Toc10725"/>
      <w:r>
        <w:rPr>
          <w:b/>
          <w:color w:val="auto"/>
          <w:sz w:val="36"/>
          <w:szCs w:val="36"/>
          <w:highlight w:val="none"/>
        </w:rPr>
        <w:t xml:space="preserve">第一章   采购邀请</w:t>
      </w:r>
      <w:bookmarkEnd w:id="3"/>
      <w:r/>
      <w:bookmarkStart w:id="4" w:name="_Toc28359079"/>
      <w:r/>
      <w:bookmarkStart w:id="5" w:name="_Toc35393621"/>
      <w:r/>
      <w:bookmarkStart w:id="6" w:name="_Toc28359002"/>
      <w:r/>
      <w:bookmarkStart w:id="7" w:name="_Toc35393790"/>
      <w:r/>
      <w:bookmarkStart w:id="8" w:name="_Hlk24379207"/>
      <w:r/>
      <w:r/>
    </w:p>
    <w:p>
      <w:pPr>
        <w:ind w:firstLine="480"/>
        <w:spacing w:line="360" w:lineRule="auto"/>
        <w:rPr>
          <w:color w:val="auto"/>
          <w:sz w:val="24"/>
          <w:highlight w:val="none"/>
        </w:rPr>
      </w:pPr>
      <w:r>
        <w:rPr>
          <w:color w:val="auto"/>
          <w:sz w:val="24"/>
          <w:highlight w:val="none"/>
        </w:rPr>
      </w:r>
      <w:r/>
    </w:p>
    <w:p>
      <w:pPr>
        <w:pStyle w:val="1074"/>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4"/>
      <w:r/>
      <w:bookmarkEnd w:id="5"/>
      <w:r/>
      <w:bookmarkEnd w:id="6"/>
      <w:r/>
      <w:bookmarkEnd w:id="7"/>
      <w:r/>
      <w:bookmarkEnd w:id="8"/>
      <w:r/>
    </w:p>
    <w:p>
      <w:pPr>
        <w:ind w:firstLine="480"/>
        <w:spacing w:line="360" w:lineRule="auto"/>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rPr>
        <w:t xml:space="preserve">1.项目编号：JSZC-320481-LCGL-C2026-0018</w:t>
      </w:r>
      <w:r/>
    </w:p>
    <w:p>
      <w:pPr>
        <w:ind w:firstLine="480"/>
        <w:spacing w:line="360" w:lineRule="auto"/>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rPr>
        <w:t xml:space="preserve">2.项目名称：</w:t>
      </w:r>
      <w:r>
        <w:rPr>
          <w:rFonts w:hint="eastAsia" w:ascii="Times New Roman" w:hAnsi="Times New Roman" w:eastAsia="宋体" w:cs="Times New Roman"/>
          <w:color w:val="auto"/>
          <w:sz w:val="24"/>
          <w:highlight w:val="none"/>
          <w:lang w:eastAsia="zh-CN"/>
        </w:rPr>
        <w:t xml:space="preserve">天目湖镇2026年度生活污水维修项目</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3.采购方式：竞争性磋商</w:t>
      </w:r>
      <w:r/>
    </w:p>
    <w:p>
      <w:pPr>
        <w:ind w:firstLine="480"/>
        <w:spacing w:line="360" w:lineRule="auto"/>
        <w:rPr>
          <w:rFonts w:hint="default" w:ascii="Times New Roman" w:hAnsi="Times New Roman" w:eastAsia="宋体" w:cs="Times New Roman"/>
          <w:color w:val="auto"/>
          <w:sz w:val="24"/>
          <w:highlight w:val="none"/>
          <w:lang w:val="en-US" w:eastAsia="zh-CN"/>
        </w:rPr>
      </w:pPr>
      <w:r>
        <w:rPr>
          <w:rFonts w:ascii="Times New Roman" w:hAnsi="Times New Roman" w:eastAsia="宋体" w:cs="Times New Roman"/>
          <w:color w:val="auto"/>
          <w:sz w:val="24"/>
          <w:highlight w:val="none"/>
        </w:rPr>
        <w:t xml:space="preserve">4.项目预算金额：</w:t>
      </w:r>
      <w:r>
        <w:rPr>
          <w:rFonts w:hint="eastAsia" w:ascii="Times New Roman" w:hAnsi="Times New Roman" w:eastAsia="宋体" w:cs="Times New Roman"/>
          <w:color w:val="auto"/>
          <w:sz w:val="24"/>
          <w:highlight w:val="none"/>
          <w:lang w:val="en-US" w:eastAsia="zh-CN"/>
        </w:rPr>
        <w:t xml:space="preserve">180</w:t>
      </w:r>
      <w:r>
        <w:rPr>
          <w:rFonts w:ascii="Times New Roman" w:hAnsi="Times New Roman" w:eastAsia="宋体" w:cs="Times New Roman"/>
          <w:color w:val="auto"/>
          <w:sz w:val="24"/>
          <w:highlight w:val="none"/>
        </w:rPr>
        <w:t xml:space="preserve">万元、</w:t>
      </w:r>
      <w:r>
        <w:rPr>
          <w:rFonts w:hint="eastAsia" w:ascii="Times New Roman" w:hAnsi="Times New Roman" w:eastAsia="宋体" w:cs="Times New Roman"/>
          <w:b/>
          <w:bCs/>
          <w:color w:val="auto"/>
          <w:sz w:val="24"/>
          <w:highlight w:val="none"/>
          <w:lang w:val="en-US" w:eastAsia="zh-CN"/>
        </w:rPr>
        <w:t xml:space="preserve">控制下浮率：10%</w:t>
      </w:r>
      <w:r/>
    </w:p>
    <w:p>
      <w:pPr>
        <w:ind w:firstLine="480"/>
        <w:spacing w:line="360" w:lineRule="auto"/>
        <w:rPr>
          <w:rFonts w:hint="default" w:ascii="Times New Roman" w:hAnsi="Times New Roman" w:eastAsia="宋体" w:cs="Times New Roman"/>
          <w:color w:val="auto"/>
          <w:sz w:val="24"/>
          <w:highlight w:val="none"/>
          <w:lang w:val="en-US" w:eastAsia="zh-CN"/>
        </w:rPr>
      </w:pPr>
      <w:r>
        <w:rPr>
          <w:rFonts w:ascii="Times New Roman" w:hAnsi="Times New Roman" w:eastAsia="宋体" w:cs="Times New Roman"/>
          <w:color w:val="auto"/>
          <w:sz w:val="24"/>
          <w:highlight w:val="none"/>
        </w:rPr>
        <w:t xml:space="preserve">5.采购需求：</w:t>
      </w:r>
      <w:r>
        <w:rPr>
          <w:rFonts w:hint="eastAsia" w:ascii="Times New Roman" w:hAnsi="Times New Roman" w:eastAsia="宋体" w:cs="Times New Roman"/>
          <w:color w:val="auto"/>
          <w:sz w:val="24"/>
          <w:highlight w:val="none"/>
          <w:lang w:val="en-US" w:eastAsia="zh-CN"/>
        </w:rPr>
        <w:t xml:space="preserve">针对天目湖镇辖区内自然村农村生活污水管网，及时维修出现问题的管网、处理设施、泵站等。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6.合同履行期限：1年。</w:t>
      </w:r>
      <w:r/>
    </w:p>
    <w:p>
      <w:pPr>
        <w:ind w:firstLine="480"/>
        <w:spacing w:line="360" w:lineRule="auto"/>
        <w:rPr>
          <w:color w:val="auto"/>
          <w:sz w:val="24"/>
          <w:highlight w:val="none"/>
        </w:rPr>
      </w:pPr>
      <w:r>
        <w:rPr>
          <w:rFonts w:ascii="Times New Roman" w:hAnsi="Times New Roman" w:eastAsia="宋体" w:cs="Times New Roman"/>
          <w:color w:val="auto"/>
          <w:sz w:val="24"/>
          <w:highlight w:val="none"/>
        </w:rPr>
        <w:t xml:space="preserve">7.本项目是否接受联合体：否。</w:t>
      </w:r>
      <w:r/>
    </w:p>
    <w:p>
      <w:pPr>
        <w:pStyle w:val="1074"/>
        <w:jc w:val="left"/>
        <w:spacing w:before="0" w:line="360" w:lineRule="auto"/>
        <w:rPr>
          <w:rFonts w:ascii="Times New Roman" w:hAnsi="Times New Roman" w:eastAsia="宋体"/>
          <w:color w:val="auto"/>
          <w:sz w:val="24"/>
          <w:szCs w:val="24"/>
          <w:highlight w:val="none"/>
        </w:rPr>
      </w:pPr>
      <w:r/>
      <w:bookmarkStart w:id="9" w:name="_Toc35393791"/>
      <w:r/>
      <w:bookmarkStart w:id="10" w:name="_Toc28359080"/>
      <w:r/>
      <w:bookmarkStart w:id="11" w:name="_Toc28359003"/>
      <w:r/>
      <w:bookmarkStart w:id="12" w:name="_Toc35393622"/>
      <w:r>
        <w:rPr>
          <w:rFonts w:ascii="Times New Roman" w:hAnsi="Times New Roman" w:eastAsia="宋体"/>
          <w:color w:val="auto"/>
          <w:sz w:val="24"/>
          <w:szCs w:val="24"/>
          <w:highlight w:val="none"/>
        </w:rPr>
        <w:t xml:space="preserve">二、申请人的资格要求（须同时满足）</w:t>
      </w:r>
      <w:bookmarkEnd w:id="9"/>
      <w:r/>
      <w:bookmarkEnd w:id="10"/>
      <w:r/>
      <w:bookmarkEnd w:id="11"/>
      <w:r/>
      <w:bookmarkEnd w:id="12"/>
      <w:r/>
      <w:r/>
    </w:p>
    <w:p>
      <w:pPr>
        <w:ind w:firstLine="480"/>
        <w:spacing w:line="360" w:lineRule="auto"/>
        <w:rPr>
          <w:rFonts w:hint="eastAsia"/>
          <w:color w:val="auto"/>
          <w:sz w:val="24"/>
          <w:highlight w:val="none"/>
        </w:rPr>
      </w:pPr>
      <w:r/>
      <w:bookmarkStart w:id="13" w:name="_Toc28359004"/>
      <w:r/>
      <w:bookmarkStart w:id="14" w:name="_Toc28359081"/>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w:t>
      </w:r>
      <w:r>
        <w:rPr>
          <w:rFonts w:hint="eastAsia"/>
          <w:color w:val="auto"/>
          <w:sz w:val="24"/>
          <w:highlight w:val="none"/>
          <w:lang w:val="en-US" w:eastAsia="zh-CN"/>
        </w:rPr>
        <w:t xml:space="preserve">、</w:t>
      </w:r>
      <w:r>
        <w:rPr>
          <w:rFonts w:hint="eastAsia"/>
          <w:color w:val="auto"/>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auto"/>
          <w:sz w:val="24"/>
          <w:highlight w:val="none"/>
        </w:rPr>
      </w:pPr>
      <w:r>
        <w:rPr>
          <w:color w:val="auto"/>
          <w:sz w:val="24"/>
          <w:highlight w:val="none"/>
        </w:rPr>
        <w:t xml:space="preserve">2.落实政府采购政策需满足的资格要求：</w:t>
      </w:r>
      <w:r>
        <w:rPr>
          <w:rFonts w:hint="eastAsia"/>
          <w:b/>
          <w:bCs/>
          <w:color w:val="auto"/>
          <w:sz w:val="24"/>
          <w:highlight w:val="none"/>
        </w:rPr>
        <w:t xml:space="preserve">本项目专门面向中小企业采购，即承担的工程全部由符合政策的中小企业承接。监狱企业和残疾人福利性单位视同小微企业</w:t>
      </w:r>
      <w:r>
        <w:rPr>
          <w:color w:val="auto"/>
          <w:sz w:val="24"/>
          <w:highlight w:val="none"/>
          <w:lang w:bidi="ar"/>
        </w:rPr>
        <w:t xml:space="preserve">。</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color w:val="auto"/>
          <w:sz w:val="24"/>
          <w:highlight w:val="none"/>
        </w:rPr>
      </w:pPr>
      <w:r>
        <w:rPr>
          <w:color w:val="auto"/>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 本项目是否属于政府购买服务：</w:t>
      </w:r>
      <w:r>
        <w:rPr>
          <w:rFonts w:hint="eastAsia"/>
          <w:color w:val="auto"/>
          <w:sz w:val="24"/>
          <w:highlight w:val="none"/>
        </w:rPr>
        <w:t xml:space="preserve">否</w:t>
      </w:r>
      <w:r>
        <w:rPr>
          <w:color w:val="auto"/>
          <w:sz w:val="24"/>
          <w:highlight w:val="none"/>
        </w:rPr>
        <w:t xml:space="preserve">；</w:t>
      </w:r>
      <w:r/>
    </w:p>
    <w:p>
      <w:pPr>
        <w:pStyle w:val="924"/>
        <w:ind w:firstLine="480"/>
        <w:spacing w:line="360" w:lineRule="auto"/>
        <w:rPr>
          <w:rFonts w:hint="eastAsia" w:ascii="Times New Roman" w:hAnsi="Times New Roman" w:eastAsia="宋体" w:cs="Times New Roman"/>
          <w:b/>
          <w:bCs/>
          <w:color w:val="auto"/>
          <w:sz w:val="24"/>
          <w:szCs w:val="24"/>
          <w:highlight w:val="none"/>
        </w:rPr>
      </w:pPr>
      <w:r>
        <w:rPr>
          <w:color w:val="auto"/>
          <w:sz w:val="24"/>
          <w:highlight w:val="none"/>
        </w:rPr>
        <w:t xml:space="preserve">3.3其他特定资格要求：</w:t>
      </w:r>
      <w:bookmarkEnd w:id="13"/>
      <w:r/>
      <w:bookmarkEnd w:id="14"/>
      <w:r>
        <w:rPr>
          <w:rFonts w:hint="eastAsia" w:ascii="Times New Roman" w:hAnsi="Times New Roman" w:eastAsia="宋体" w:cs="Times New Roman"/>
          <w:b/>
          <w:bCs/>
          <w:color w:val="auto"/>
          <w:sz w:val="24"/>
          <w:szCs w:val="24"/>
          <w:highlight w:val="none"/>
        </w:rPr>
        <w:t xml:space="preserve">（1）供应商具有有效期内的</w:t>
      </w:r>
      <w:r>
        <w:rPr>
          <w:rFonts w:hint="eastAsia" w:ascii="Times New Roman" w:hAnsi="Times New Roman" w:eastAsia="宋体" w:cs="Times New Roman"/>
          <w:b/>
          <w:bCs/>
          <w:color w:val="auto"/>
          <w:sz w:val="24"/>
          <w:szCs w:val="24"/>
          <w:highlight w:val="none"/>
          <w:lang w:eastAsia="zh-CN"/>
        </w:rPr>
        <w:t xml:space="preserve">市政公用工程施工总承包叁级（含）以上资质</w:t>
      </w:r>
      <w:r>
        <w:rPr>
          <w:rFonts w:hint="eastAsia" w:ascii="Times New Roman" w:hAnsi="Times New Roman" w:eastAsia="宋体" w:cs="Times New Roman"/>
          <w:b/>
          <w:bCs/>
          <w:color w:val="auto"/>
          <w:sz w:val="24"/>
          <w:szCs w:val="24"/>
          <w:highlight w:val="none"/>
        </w:rPr>
        <w:t xml:space="preserve">；</w:t>
      </w:r>
      <w:r/>
    </w:p>
    <w:p>
      <w:pPr>
        <w:ind w:firstLine="480"/>
        <w:jc w:val="both"/>
        <w:spacing w:line="360" w:lineRule="auto"/>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（2）拟派项目负责人需具有有效期内的市政公用工程贰级（含）以上注册建造师执业证书并具有有效期内的安全生产考核合格证书（B证）；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（3）供应商须具有建设行政主管部门颁发的且在有效期内的安全生产许可证；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（4）拟派项目负责人无在建工程，以“无在建承诺书”为准（格式自拟）</w:t>
      </w:r>
      <w:r>
        <w:rPr>
          <w:rFonts w:ascii="Times New Roman" w:hAnsi="Times New Roman" w:eastAsia="宋体" w:cs="Times New Roman"/>
          <w:b/>
          <w:color w:val="auto"/>
          <w:sz w:val="24"/>
          <w:highlight w:val="none"/>
        </w:rPr>
        <w:t xml:space="preserve">。</w:t>
      </w:r>
      <w:r/>
    </w:p>
    <w:p>
      <w:pPr>
        <w:pStyle w:val="1074"/>
        <w:jc w:val="left"/>
        <w:spacing w:before="0" w:line="360" w:lineRule="auto"/>
        <w:widowControl/>
        <w:rPr>
          <w:rFonts w:hint="eastAsia" w:ascii="Times New Roman" w:hAnsi="Times New Roman" w:eastAsia="宋体"/>
          <w:color w:val="auto"/>
          <w:sz w:val="24"/>
          <w:szCs w:val="24"/>
          <w:highlight w:val="none"/>
        </w:rPr>
      </w:pPr>
      <w:r/>
      <w:bookmarkStart w:id="15" w:name="_Toc35393792"/>
      <w:r/>
      <w:bookmarkStart w:id="16" w:name="_Toc35393623"/>
      <w:r>
        <w:rPr>
          <w:rFonts w:ascii="Times New Roman" w:hAnsi="Times New Roman" w:eastAsia="宋体"/>
          <w:color w:val="auto"/>
          <w:sz w:val="24"/>
          <w:szCs w:val="24"/>
          <w:highlight w:val="none"/>
        </w:rPr>
        <w:t xml:space="preserve">三、获取</w:t>
      </w:r>
      <w:bookmarkEnd w:id="15"/>
      <w:r/>
      <w:bookmarkEnd w:id="16"/>
      <w:r>
        <w:rPr>
          <w:rFonts w:hint="eastAsia" w:ascii="Times New Roman" w:hAnsi="Times New Roman" w:eastAsia="宋体"/>
          <w:color w:val="auto"/>
          <w:sz w:val="24"/>
          <w:szCs w:val="24"/>
          <w:highlight w:val="none"/>
        </w:rPr>
        <w:t xml:space="preserve">竞争性磋商文件</w:t>
      </w:r>
      <w:r/>
    </w:p>
    <w:p>
      <w:pPr>
        <w:ind w:firstLine="480"/>
        <w:spacing w:line="360" w:lineRule="auto"/>
        <w:rPr>
          <w:color w:val="auto"/>
          <w:sz w:val="24"/>
          <w:highlight w:val="none"/>
        </w:rPr>
      </w:pPr>
      <w:r>
        <w:rPr>
          <w:color w:val="auto"/>
          <w:sz w:val="24"/>
          <w:highlight w:val="none"/>
          <w:lang w:bidi="ar"/>
        </w:rPr>
        <w:t xml:space="preserve">1.时间：</w:t>
      </w:r>
      <w:r>
        <w:rPr>
          <w:rFonts w:hint="eastAsia"/>
          <w:color w:val="auto"/>
          <w:sz w:val="24"/>
          <w:highlight w:val="none"/>
          <w:lang w:val="en-US" w:eastAsia="zh-CN" w:bidi="ar"/>
        </w:rPr>
        <w:t xml:space="preserve">磋商</w:t>
      </w:r>
      <w:r>
        <w:rPr>
          <w:rFonts w:hint="default" w:ascii="Times New Roman" w:hAnsi="Times New Roman" w:eastAsia="宋体" w:cs="Times New Roman"/>
          <w:color w:val="auto"/>
          <w:sz w:val="24"/>
          <w:szCs w:val="24"/>
          <w:highlight w:val="none"/>
        </w:rPr>
        <w:t xml:space="preserve">公告发布之日起</w:t>
      </w:r>
      <w:r>
        <w:rPr>
          <w:rFonts w:hint="eastAsia"/>
          <w:color w:val="auto"/>
          <w:sz w:val="24"/>
          <w:highlight w:val="none"/>
          <w:lang w:val="en-US" w:eastAsia="zh-CN" w:bidi="ar"/>
        </w:rPr>
        <w:t xml:space="preserve">5个工作日</w:t>
      </w:r>
      <w:r>
        <w:rPr>
          <w:color w:val="auto"/>
          <w:sz w:val="24"/>
          <w:highlight w:val="none"/>
          <w:lang w:bidi="ar"/>
        </w:rPr>
        <w:t xml:space="preserve">。</w:t>
      </w:r>
      <w:r/>
    </w:p>
    <w:p>
      <w:pPr>
        <w:ind w:firstLine="480"/>
        <w:spacing w:line="360" w:lineRule="auto"/>
        <w:rPr>
          <w:rFonts w:hint="eastAsia" w:eastAsia="宋体"/>
          <w:color w:val="auto"/>
          <w:sz w:val="24"/>
          <w:highlight w:val="none"/>
        </w:rPr>
      </w:pPr>
      <w:r>
        <w:rPr>
          <w:color w:val="auto"/>
          <w:sz w:val="24"/>
          <w:highlight w:val="none"/>
          <w:lang w:bidi="ar"/>
        </w:rPr>
        <w:t xml:space="preserve">2.地点：</w:t>
      </w:r>
      <w:r>
        <w:rPr>
          <w:rFonts w:hint="eastAsia"/>
          <w:color w:val="auto"/>
          <w:sz w:val="24"/>
          <w:highlight w:val="none"/>
          <w:lang w:eastAsia="zh-CN" w:bidi="ar"/>
        </w:rPr>
        <w:t xml:space="preserve">“苏采云”</w:t>
      </w:r>
      <w:r/>
    </w:p>
    <w:p>
      <w:pPr>
        <w:ind w:firstLine="480"/>
        <w:jc w:val="left"/>
        <w:spacing w:line="360" w:lineRule="auto"/>
        <w:widowControl/>
        <w:rPr>
          <w:color w:val="auto"/>
          <w:sz w:val="24"/>
          <w:highlight w:val="none"/>
        </w:rPr>
      </w:pPr>
      <w:r>
        <w:rPr>
          <w:color w:val="auto"/>
          <w:sz w:val="24"/>
          <w:highlight w:val="none"/>
          <w:lang w:bidi="ar"/>
        </w:rPr>
        <w:t xml:space="preserve">3.方式：</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完成注册并办理CA证书后登录“</w:t>
      </w:r>
      <w:r>
        <w:rPr>
          <w:rFonts w:hint="eastAsia"/>
          <w:color w:val="auto"/>
          <w:sz w:val="24"/>
          <w:highlight w:val="none"/>
          <w:lang w:bidi="ar"/>
        </w:rPr>
        <w:t xml:space="preserve">苏采云</w:t>
      </w:r>
      <w:r>
        <w:rPr>
          <w:rFonts w:hint="eastAsia" w:ascii="宋体" w:hAnsi="宋体" w:cs="宋体"/>
          <w:color w:val="auto"/>
          <w:sz w:val="24"/>
          <w:highlight w:val="none"/>
        </w:rPr>
        <w:t xml:space="preserve">” 系统，在线自行下载本项目竞争性磋商文件</w:t>
      </w:r>
      <w:r>
        <w:rPr>
          <w:color w:val="auto"/>
          <w:sz w:val="24"/>
          <w:highlight w:val="none"/>
          <w:lang w:bidi="ar"/>
        </w:rPr>
        <w:t xml:space="preserve">。</w:t>
      </w:r>
      <w:r/>
    </w:p>
    <w:p>
      <w:pPr>
        <w:ind w:firstLine="480"/>
        <w:jc w:val="left"/>
        <w:spacing w:line="360" w:lineRule="auto"/>
        <w:widowControl/>
        <w:rPr>
          <w:color w:val="auto"/>
          <w:sz w:val="24"/>
          <w:highlight w:val="none"/>
        </w:rPr>
      </w:pPr>
      <w:r>
        <w:rPr>
          <w:color w:val="auto"/>
          <w:sz w:val="24"/>
          <w:highlight w:val="none"/>
          <w:lang w:bidi="ar"/>
        </w:rPr>
        <w:t xml:space="preserve">4.售价：0元。</w:t>
      </w:r>
      <w:r/>
    </w:p>
    <w:p>
      <w:pPr>
        <w:pStyle w:val="1074"/>
        <w:jc w:val="left"/>
        <w:spacing w:before="0" w:line="360" w:lineRule="auto"/>
        <w:widowControl/>
        <w:rPr>
          <w:rFonts w:ascii="Times New Roman" w:hAnsi="Times New Roman" w:eastAsia="宋体"/>
          <w:color w:val="auto"/>
          <w:sz w:val="24"/>
          <w:szCs w:val="24"/>
          <w:highlight w:val="none"/>
        </w:rPr>
      </w:pPr>
      <w:r/>
      <w:bookmarkStart w:id="17" w:name="_Toc28359082"/>
      <w:r/>
      <w:bookmarkStart w:id="18" w:name="_Toc35393624"/>
      <w:r/>
      <w:bookmarkStart w:id="19" w:name="_Toc35393793"/>
      <w:r/>
      <w:bookmarkStart w:id="20" w:name="_Toc28359005"/>
      <w:r>
        <w:rPr>
          <w:rFonts w:ascii="Times New Roman" w:hAnsi="Times New Roman" w:eastAsia="宋体"/>
          <w:color w:val="auto"/>
          <w:sz w:val="24"/>
          <w:szCs w:val="24"/>
          <w:highlight w:val="none"/>
        </w:rPr>
        <w:t xml:space="preserve">四、</w:t>
      </w:r>
      <w:bookmarkEnd w:id="17"/>
      <w:r/>
      <w:bookmarkEnd w:id="18"/>
      <w:r/>
      <w:bookmarkEnd w:id="19"/>
      <w:r/>
      <w:bookmarkEnd w:id="20"/>
      <w:r>
        <w:rPr>
          <w:rFonts w:ascii="Times New Roman" w:hAnsi="Times New Roman" w:eastAsia="宋体"/>
          <w:color w:val="auto"/>
          <w:sz w:val="24"/>
          <w:szCs w:val="24"/>
          <w:highlight w:val="none"/>
        </w:rPr>
        <w:t xml:space="preserve">响应文件提交</w:t>
      </w:r>
      <w:r/>
    </w:p>
    <w:p>
      <w:pPr>
        <w:ind w:firstLine="480"/>
        <w:spacing w:line="360" w:lineRule="auto"/>
        <w:rPr>
          <w:bCs/>
          <w:color w:val="auto"/>
          <w:sz w:val="24"/>
          <w:highlight w:val="none"/>
          <w:u w:val="single"/>
        </w:rPr>
      </w:pPr>
      <w:r>
        <w:rPr>
          <w:color w:val="auto"/>
          <w:sz w:val="24"/>
          <w:highlight w:val="none"/>
          <w:lang w:bidi="ar"/>
        </w:rPr>
        <w:t xml:space="preserve">截止时间：</w:t>
      </w:r>
      <w:r>
        <w:rPr>
          <w:rFonts w:hint="eastAsia"/>
          <w:color w:val="auto"/>
          <w:sz w:val="24"/>
          <w:highlight w:val="none"/>
          <w:lang w:bidi="ar"/>
        </w:rPr>
        <w:t xml:space="preserve">202</w:t>
      </w:r>
      <w:r>
        <w:rPr>
          <w:rFonts w:hint="eastAsia"/>
          <w:color w:val="auto"/>
          <w:sz w:val="24"/>
          <w:highlight w:val="none"/>
          <w:lang w:val="en-US" w:eastAsia="zh-CN" w:bidi="ar"/>
        </w:rPr>
        <w:t xml:space="preserve">6</w:t>
      </w:r>
      <w:r>
        <w:rPr>
          <w:rFonts w:hint="eastAsia"/>
          <w:color w:val="auto"/>
          <w:sz w:val="24"/>
          <w:highlight w:val="none"/>
        </w:rPr>
        <w:t xml:space="preserve">年</w:t>
      </w:r>
      <w:r>
        <w:rPr>
          <w:rFonts w:hint="eastAsia"/>
          <w:color w:val="auto"/>
          <w:sz w:val="24"/>
          <w:highlight w:val="none"/>
          <w:lang w:val="en-US" w:eastAsia="zh-CN"/>
        </w:rPr>
        <w:t xml:space="preserve">8</w:t>
      </w:r>
      <w:r>
        <w:rPr>
          <w:rFonts w:hint="eastAsia"/>
          <w:color w:val="auto"/>
          <w:sz w:val="24"/>
          <w:highlight w:val="none"/>
        </w:rPr>
        <w:t xml:space="preserve">月</w:t>
      </w:r>
      <w:r>
        <w:rPr>
          <w:rFonts w:hint="eastAsia"/>
          <w:color w:val="auto"/>
          <w:sz w:val="24"/>
          <w:highlight w:val="none"/>
          <w:lang w:val="en-US" w:eastAsia="zh-CN"/>
        </w:rPr>
        <w:t xml:space="preserve">14</w:t>
      </w:r>
      <w:r>
        <w:rPr>
          <w:rFonts w:hint="eastAsia"/>
          <w:color w:val="auto"/>
          <w:sz w:val="24"/>
          <w:highlight w:val="none"/>
        </w:rPr>
        <w:t xml:space="preserve">日</w:t>
      </w:r>
      <w:r>
        <w:rPr>
          <w:rFonts w:hint="eastAsia"/>
          <w:color w:val="auto"/>
          <w:sz w:val="24"/>
          <w:highlight w:val="none"/>
          <w:lang w:val="en-US" w:eastAsia="zh-CN"/>
        </w:rPr>
        <w:t xml:space="preserve">09</w:t>
      </w:r>
      <w:r>
        <w:rPr>
          <w:rFonts w:hint="eastAsia"/>
          <w:color w:val="auto"/>
          <w:sz w:val="24"/>
          <w:highlight w:val="none"/>
        </w:rPr>
        <w:t xml:space="preserve">时</w:t>
      </w:r>
      <w:r>
        <w:rPr>
          <w:rFonts w:hint="eastAsia"/>
          <w:color w:val="auto"/>
          <w:sz w:val="24"/>
          <w:highlight w:val="none"/>
          <w:lang w:val="en-US" w:eastAsia="zh-CN"/>
        </w:rPr>
        <w:t xml:space="preserve">3</w:t>
      </w:r>
      <w:r>
        <w:rPr>
          <w:rFonts w:hint="eastAsia"/>
          <w:color w:val="auto"/>
          <w:sz w:val="24"/>
          <w:highlight w:val="none"/>
        </w:rPr>
        <w:t xml:space="preserve">0分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地点：</w:t>
      </w:r>
      <w:r>
        <w:rPr>
          <w:rFonts w:hint="eastAsia" w:ascii="宋体" w:hAnsi="宋体" w:cs="宋体"/>
          <w:color w:val="auto"/>
          <w:sz w:val="24"/>
          <w:highlight w:val="none"/>
        </w:rPr>
        <w:t xml:space="preserve">本项目采用不见面交易方式，无需到现场提交，供应商登录“苏采云”供应商端，通过系统在线提交电子响应文件</w:t>
      </w:r>
      <w:r>
        <w:rPr>
          <w:color w:val="auto"/>
          <w:sz w:val="24"/>
          <w:highlight w:val="none"/>
          <w:lang w:val="zh-TW" w:bidi="ar"/>
        </w:rPr>
        <w:t xml:space="preserve">。</w:t>
      </w:r>
      <w:r/>
    </w:p>
    <w:p>
      <w:pPr>
        <w:ind w:firstLine="480"/>
        <w:spacing w:line="360" w:lineRule="auto"/>
        <w:rPr>
          <w:color w:val="auto"/>
          <w:sz w:val="24"/>
          <w:highlight w:val="none"/>
        </w:rPr>
      </w:pPr>
      <w:r>
        <w:rPr>
          <w:color w:val="auto"/>
          <w:sz w:val="24"/>
          <w:highlight w:val="none"/>
        </w:rPr>
      </w:r>
      <w:r/>
    </w:p>
    <w:p>
      <w:pPr>
        <w:pStyle w:val="1074"/>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五、开启</w:t>
      </w:r>
      <w:r/>
    </w:p>
    <w:p>
      <w:pPr>
        <w:ind w:firstLine="480"/>
        <w:spacing w:line="360" w:lineRule="auto"/>
        <w:rPr>
          <w:bCs/>
          <w:color w:val="auto"/>
          <w:sz w:val="24"/>
          <w:highlight w:val="none"/>
          <w:u w:val="single"/>
        </w:rPr>
      </w:pPr>
      <w:r>
        <w:rPr>
          <w:color w:val="auto"/>
          <w:sz w:val="24"/>
          <w:highlight w:val="none"/>
          <w:lang w:bidi="ar"/>
        </w:rPr>
        <w:t xml:space="preserve">时间：</w:t>
      </w:r>
      <w:r>
        <w:rPr>
          <w:rFonts w:hint="eastAsia"/>
          <w:color w:val="auto"/>
          <w:sz w:val="24"/>
          <w:highlight w:val="none"/>
          <w:lang w:bidi="ar"/>
        </w:rPr>
        <w:t xml:space="preserve">202</w:t>
      </w:r>
      <w:r>
        <w:rPr>
          <w:rFonts w:hint="eastAsia"/>
          <w:color w:val="auto"/>
          <w:sz w:val="24"/>
          <w:highlight w:val="none"/>
          <w:lang w:val="en-US" w:eastAsia="zh-CN" w:bidi="ar"/>
        </w:rPr>
        <w:t xml:space="preserve">6</w:t>
      </w:r>
      <w:r>
        <w:rPr>
          <w:rFonts w:hint="eastAsia"/>
          <w:color w:val="auto"/>
          <w:sz w:val="24"/>
          <w:highlight w:val="none"/>
          <w:lang w:bidi="ar"/>
        </w:rPr>
        <w:t xml:space="preserve">年</w:t>
      </w:r>
      <w:r>
        <w:rPr>
          <w:rFonts w:hint="eastAsia"/>
          <w:color w:val="auto"/>
          <w:sz w:val="24"/>
          <w:highlight w:val="none"/>
          <w:lang w:val="en-US" w:eastAsia="zh-CN" w:bidi="ar"/>
        </w:rPr>
        <w:t xml:space="preserve">8</w:t>
      </w:r>
      <w:r>
        <w:rPr>
          <w:rFonts w:hint="eastAsia"/>
          <w:color w:val="auto"/>
          <w:sz w:val="24"/>
          <w:highlight w:val="none"/>
          <w:lang w:bidi="ar"/>
        </w:rPr>
        <w:t xml:space="preserve">月</w:t>
      </w:r>
      <w:r>
        <w:rPr>
          <w:rFonts w:hint="eastAsia"/>
          <w:color w:val="auto"/>
          <w:sz w:val="24"/>
          <w:highlight w:val="none"/>
          <w:lang w:val="en-US" w:eastAsia="zh-CN" w:bidi="ar"/>
        </w:rPr>
        <w:t xml:space="preserve">14</w:t>
      </w:r>
      <w:r>
        <w:rPr>
          <w:rFonts w:hint="eastAsia"/>
          <w:color w:val="auto"/>
          <w:sz w:val="24"/>
          <w:highlight w:val="none"/>
          <w:lang w:bidi="ar"/>
        </w:rPr>
        <w:t xml:space="preserve">日</w:t>
      </w:r>
      <w:r>
        <w:rPr>
          <w:rFonts w:hint="eastAsia"/>
          <w:color w:val="auto"/>
          <w:sz w:val="24"/>
          <w:highlight w:val="none"/>
          <w:lang w:val="en-US" w:eastAsia="zh-CN" w:bidi="ar"/>
        </w:rPr>
        <w:t xml:space="preserve">09</w:t>
      </w:r>
      <w:r>
        <w:rPr>
          <w:rFonts w:hint="eastAsia"/>
          <w:color w:val="auto"/>
          <w:sz w:val="24"/>
          <w:highlight w:val="none"/>
          <w:lang w:bidi="ar"/>
        </w:rPr>
        <w:t xml:space="preserve">时</w:t>
      </w:r>
      <w:r>
        <w:rPr>
          <w:rFonts w:hint="eastAsia"/>
          <w:color w:val="auto"/>
          <w:sz w:val="24"/>
          <w:highlight w:val="none"/>
          <w:lang w:val="en-US" w:eastAsia="zh-CN" w:bidi="ar"/>
        </w:rPr>
        <w:t xml:space="preserve">3</w:t>
      </w:r>
      <w:r>
        <w:rPr>
          <w:rFonts w:hint="eastAsia"/>
          <w:color w:val="auto"/>
          <w:sz w:val="24"/>
          <w:highlight w:val="none"/>
          <w:lang w:bidi="ar"/>
        </w:rPr>
        <w:t xml:space="preserve">0分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地点：</w:t>
      </w:r>
      <w:r>
        <w:rPr>
          <w:rFonts w:hint="eastAsia" w:ascii="宋体" w:hAnsi="宋体" w:cs="宋体"/>
          <w:color w:val="auto"/>
          <w:sz w:val="24"/>
          <w:highlight w:val="none"/>
        </w:rPr>
        <w:t xml:space="preserve">本项目采用不见面交易方式，</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登录“</w:t>
      </w:r>
      <w:r>
        <w:rPr>
          <w:rFonts w:hint="eastAsia"/>
          <w:color w:val="auto"/>
          <w:sz w:val="24"/>
          <w:highlight w:val="none"/>
          <w:lang w:bidi="ar"/>
        </w:rPr>
        <w:t xml:space="preserve">苏采云</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端，通过系统在线解密电子响应文件</w:t>
      </w:r>
      <w:r>
        <w:rPr>
          <w:color w:val="auto"/>
          <w:sz w:val="24"/>
          <w:highlight w:val="none"/>
          <w:lang w:val="zh-TW" w:bidi="ar"/>
        </w:rPr>
        <w:t xml:space="preserve">。</w:t>
      </w:r>
      <w:r/>
    </w:p>
    <w:p>
      <w:pPr>
        <w:pStyle w:val="1074"/>
        <w:jc w:val="left"/>
        <w:spacing w:before="0" w:line="360" w:lineRule="auto"/>
        <w:rPr>
          <w:rFonts w:ascii="Times New Roman" w:hAnsi="Times New Roman" w:eastAsia="宋体"/>
          <w:color w:val="auto"/>
          <w:sz w:val="24"/>
          <w:szCs w:val="24"/>
          <w:highlight w:val="none"/>
        </w:rPr>
      </w:pPr>
      <w:r/>
      <w:bookmarkStart w:id="21" w:name="_Toc35393794"/>
      <w:r/>
      <w:bookmarkStart w:id="22" w:name="_Toc28359007"/>
      <w:r/>
      <w:bookmarkStart w:id="23" w:name="_Toc28359084"/>
      <w:r/>
      <w:bookmarkStart w:id="24" w:name="_Toc35393625"/>
      <w:r>
        <w:rPr>
          <w:rFonts w:ascii="Times New Roman" w:hAnsi="Times New Roman" w:eastAsia="宋体"/>
          <w:color w:val="auto"/>
          <w:sz w:val="24"/>
          <w:szCs w:val="24"/>
          <w:highlight w:val="none"/>
        </w:rPr>
        <w:t xml:space="preserve">六、公告期限</w:t>
      </w:r>
      <w:bookmarkEnd w:id="21"/>
      <w:r/>
      <w:bookmarkEnd w:id="22"/>
      <w:r/>
      <w:bookmarkEnd w:id="23"/>
      <w:r/>
      <w:bookmarkEnd w:id="24"/>
      <w:r/>
      <w:r/>
    </w:p>
    <w:p>
      <w:pPr>
        <w:ind w:firstLine="480"/>
        <w:spacing w:line="360" w:lineRule="auto"/>
        <w:rPr>
          <w:color w:val="auto"/>
          <w:sz w:val="24"/>
          <w:highlight w:val="none"/>
        </w:rPr>
      </w:pPr>
      <w:r>
        <w:rPr>
          <w:color w:val="auto"/>
          <w:sz w:val="24"/>
          <w:highlight w:val="none"/>
        </w:rPr>
        <w:t xml:space="preserve">自本公告发布之日起3个工作日。</w:t>
      </w:r>
      <w:r/>
    </w:p>
    <w:p>
      <w:pPr>
        <w:pStyle w:val="1074"/>
        <w:jc w:val="left"/>
        <w:spacing w:before="0" w:line="360" w:lineRule="auto"/>
        <w:rPr>
          <w:rFonts w:ascii="Times New Roman" w:hAnsi="Times New Roman" w:eastAsia="宋体"/>
          <w:color w:val="auto"/>
          <w:sz w:val="24"/>
          <w:szCs w:val="24"/>
          <w:highlight w:val="none"/>
        </w:rPr>
      </w:pPr>
      <w:r/>
      <w:bookmarkStart w:id="25" w:name="_Toc35393795"/>
      <w:r/>
      <w:bookmarkStart w:id="26" w:name="_Toc35393626"/>
      <w:r>
        <w:rPr>
          <w:rFonts w:ascii="Times New Roman" w:hAnsi="Times New Roman" w:eastAsia="宋体"/>
          <w:color w:val="auto"/>
          <w:sz w:val="24"/>
          <w:szCs w:val="24"/>
          <w:highlight w:val="none"/>
        </w:rPr>
        <w:t xml:space="preserve">七、其他补充事宜</w:t>
      </w:r>
      <w:bookmarkEnd w:id="25"/>
      <w:r/>
      <w:bookmarkEnd w:id="26"/>
      <w:r/>
      <w:r/>
    </w:p>
    <w:p>
      <w:pPr>
        <w:ind w:firstLine="480"/>
        <w:spacing w:line="360" w:lineRule="auto"/>
        <w:rPr>
          <w:color w:val="auto"/>
          <w:sz w:val="24"/>
          <w:highlight w:val="none"/>
        </w:rPr>
      </w:pPr>
      <w:r>
        <w:rPr>
          <w:color w:val="auto"/>
          <w:sz w:val="24"/>
          <w:highlight w:val="none"/>
        </w:rPr>
        <w:t xml:space="preserve">1.本项目需要落实的政府采购政策：</w:t>
      </w:r>
      <w:r>
        <w:rPr>
          <w:rFonts w:hint="eastAsia"/>
          <w:b/>
          <w:bCs/>
          <w:color w:val="auto"/>
          <w:sz w:val="24"/>
          <w:highlight w:val="none"/>
          <w:lang w:val="en-US" w:eastAsia="zh-CN"/>
        </w:rPr>
        <w:t xml:space="preserve">扶持</w:t>
      </w:r>
      <w:r>
        <w:rPr>
          <w:rFonts w:hint="eastAsia"/>
          <w:b/>
          <w:bCs/>
          <w:color w:val="auto"/>
          <w:sz w:val="24"/>
          <w:highlight w:val="none"/>
        </w:rPr>
        <w:t xml:space="preserve">中小企业</w:t>
      </w:r>
      <w:r>
        <w:rPr>
          <w:rFonts w:hint="eastAsia"/>
          <w:b/>
          <w:bCs/>
          <w:color w:val="auto"/>
          <w:sz w:val="24"/>
          <w:highlight w:val="none"/>
          <w:lang w:eastAsia="zh-CN"/>
        </w:rPr>
        <w:t xml:space="preserve">、</w:t>
      </w:r>
      <w:r>
        <w:rPr>
          <w:rFonts w:hint="eastAsia"/>
          <w:b/>
          <w:bCs/>
          <w:color w:val="auto"/>
          <w:sz w:val="24"/>
          <w:highlight w:val="none"/>
        </w:rPr>
        <w:t xml:space="preserve">监狱企业</w:t>
      </w:r>
      <w:r>
        <w:rPr>
          <w:rFonts w:hint="eastAsia"/>
          <w:b/>
          <w:bCs/>
          <w:color w:val="auto"/>
          <w:sz w:val="24"/>
          <w:highlight w:val="none"/>
          <w:lang w:eastAsia="zh-CN"/>
        </w:rPr>
        <w:t xml:space="preserve">、</w:t>
      </w:r>
      <w:r>
        <w:rPr>
          <w:rFonts w:hint="eastAsia"/>
          <w:b/>
          <w:bCs/>
          <w:color w:val="auto"/>
          <w:sz w:val="24"/>
          <w:highlight w:val="none"/>
        </w:rPr>
        <w:t xml:space="preserve">残疾人福利性单位</w:t>
      </w:r>
      <w:r>
        <w:rPr>
          <w:color w:val="auto"/>
          <w:sz w:val="24"/>
          <w:highlight w:val="none"/>
          <w:lang w:bidi="ar"/>
        </w:rPr>
        <w:t xml:space="preserve">。</w:t>
      </w:r>
      <w:r/>
    </w:p>
    <w:p>
      <w:pPr>
        <w:ind w:firstLine="480"/>
        <w:jc w:val="left"/>
        <w:spacing w:line="360" w:lineRule="auto"/>
        <w:widowControl/>
        <w:rPr>
          <w:rFonts w:hint="eastAsia"/>
          <w:color w:val="auto"/>
          <w:sz w:val="24"/>
          <w:highlight w:val="none"/>
        </w:rPr>
      </w:pPr>
      <w:r>
        <w:rPr>
          <w:rFonts w:hint="eastAsia" w:ascii="Times New Roman"/>
          <w:color w:val="auto"/>
          <w:sz w:val="24"/>
          <w:highlight w:val="none"/>
          <w:lang w:val="zh-TW" w:bidi="ar"/>
        </w:rPr>
        <w:t xml:space="preserve">2.本项目采用不见面交易方式，请</w:t>
      </w: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认真学习常州市政府采购网发布的相关操作手册，办理CA认证证书、进行“苏采云”系统注册绑定，并认真核实数字认证证书情况确认是否符合本项目电子化采购流程要求。</w:t>
      </w:r>
      <w:r/>
    </w:p>
    <w:p>
      <w:pPr>
        <w:ind w:firstLine="480"/>
        <w:jc w:val="left"/>
        <w:spacing w:line="360" w:lineRule="auto"/>
        <w:widowControl/>
        <w:rPr>
          <w:rFonts w:hint="eastAsia"/>
          <w:color w:val="auto"/>
          <w:sz w:val="24"/>
          <w:highlight w:val="none"/>
        </w:rPr>
      </w:pPr>
      <w:r>
        <w:rPr>
          <w:rFonts w:hint="eastAsia" w:ascii="Times New Roman"/>
          <w:color w:val="auto"/>
          <w:sz w:val="24"/>
          <w:highlight w:val="none"/>
          <w:lang w:val="zh-TW" w:bidi="ar"/>
        </w:rPr>
        <w:t xml:space="preserve">技术支持服务热线   0519-85588210</w:t>
      </w:r>
      <w:r/>
    </w:p>
    <w:p>
      <w:pPr>
        <w:ind w:firstLine="480"/>
        <w:jc w:val="left"/>
        <w:spacing w:line="360" w:lineRule="auto"/>
        <w:widowControl/>
        <w:rPr>
          <w:rFonts w:hint="eastAsia"/>
          <w:color w:val="auto"/>
          <w:sz w:val="24"/>
          <w:highlight w:val="none"/>
        </w:rPr>
      </w:pPr>
      <w:r>
        <w:rPr>
          <w:rFonts w:hint="eastAsia" w:ascii="Times New Roman"/>
          <w:color w:val="auto"/>
          <w:sz w:val="24"/>
          <w:highlight w:val="none"/>
          <w:lang w:val="zh-TW" w:bidi="ar"/>
        </w:rPr>
        <w:t xml:space="preserve">CA认证证书办理（可邮寄）联系电话   0519-85588120</w:t>
      </w:r>
      <w:r/>
    </w:p>
    <w:p>
      <w:pPr>
        <w:ind w:firstLine="480"/>
        <w:jc w:val="left"/>
        <w:spacing w:line="360" w:lineRule="auto"/>
        <w:widowControl/>
        <w:rPr>
          <w:rFonts w:hint="eastAsia"/>
          <w:color w:val="auto"/>
          <w:sz w:val="24"/>
          <w:highlight w:val="none"/>
        </w:rPr>
      </w:pPr>
      <w:r>
        <w:rPr>
          <w:rFonts w:hint="eastAsia" w:ascii="Times New Roman"/>
          <w:color w:val="auto"/>
          <w:sz w:val="24"/>
          <w:highlight w:val="none"/>
          <w:lang w:val="zh-TW" w:bidi="ar"/>
        </w:rPr>
        <w:t xml:space="preserve">2.1办理CA认证证书</w:t>
      </w:r>
      <w:r/>
    </w:p>
    <w:p>
      <w:pPr>
        <w:ind w:firstLine="480"/>
        <w:jc w:val="left"/>
        <w:spacing w:line="360" w:lineRule="auto"/>
        <w:widowControl/>
        <w:rPr>
          <w:rFonts w:hint="eastAsia"/>
          <w:color w:val="auto"/>
          <w:sz w:val="24"/>
          <w:highlight w:val="none"/>
        </w:rPr>
      </w:pP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登录常州市政府采购网“下载中心”下载并查阅 “江苏省政府采购数字证书CA及电子签章办理指南”，按照程序要求办理。</w:t>
      </w:r>
      <w:r/>
    </w:p>
    <w:p>
      <w:pPr>
        <w:ind w:firstLine="480"/>
        <w:jc w:val="left"/>
        <w:spacing w:line="360" w:lineRule="auto"/>
        <w:widowControl/>
        <w:rPr>
          <w:rFonts w:hint="eastAsia"/>
          <w:color w:val="auto"/>
          <w:sz w:val="24"/>
          <w:highlight w:val="none"/>
        </w:rPr>
      </w:pPr>
      <w:r>
        <w:rPr>
          <w:rFonts w:hint="eastAsia" w:ascii="Times New Roman"/>
          <w:color w:val="auto"/>
          <w:sz w:val="24"/>
          <w:highlight w:val="none"/>
          <w:lang w:val="zh-TW" w:bidi="ar"/>
        </w:rPr>
        <w:t xml:space="preserve">2.2注册</w:t>
      </w:r>
      <w:r/>
    </w:p>
    <w:p>
      <w:pPr>
        <w:ind w:firstLine="480"/>
        <w:jc w:val="left"/>
        <w:spacing w:line="360" w:lineRule="auto"/>
        <w:widowControl/>
        <w:rPr>
          <w:rFonts w:hint="eastAsia"/>
          <w:color w:val="auto"/>
          <w:sz w:val="24"/>
          <w:highlight w:val="none"/>
        </w:rPr>
      </w:pP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登录常州市政府采购网“下载中心”-““苏采云”系统</w:t>
      </w: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操作手册”下载相关操作手册、操作视频等，查阅后进行自助注册。</w:t>
      </w:r>
      <w:r/>
    </w:p>
    <w:p>
      <w:pPr>
        <w:ind w:firstLine="480"/>
        <w:jc w:val="left"/>
        <w:spacing w:line="360" w:lineRule="auto"/>
        <w:widowControl/>
        <w:rPr>
          <w:rFonts w:hint="eastAsia"/>
          <w:color w:val="auto"/>
          <w:sz w:val="24"/>
          <w:highlight w:val="none"/>
        </w:rPr>
      </w:pPr>
      <w:r>
        <w:rPr>
          <w:rFonts w:hint="eastAsia" w:ascii="Times New Roman"/>
          <w:color w:val="auto"/>
          <w:sz w:val="24"/>
          <w:highlight w:val="none"/>
          <w:lang w:val="zh-TW" w:bidi="ar"/>
        </w:rPr>
        <w:t xml:space="preserve">2.3控件、客户端下载</w:t>
      </w:r>
      <w:r/>
    </w:p>
    <w:p>
      <w:pPr>
        <w:ind w:firstLine="480"/>
        <w:jc w:val="left"/>
        <w:spacing w:line="360" w:lineRule="auto"/>
        <w:widowControl/>
        <w:rPr>
          <w:rFonts w:hint="eastAsia"/>
          <w:color w:val="auto"/>
          <w:sz w:val="24"/>
          <w:highlight w:val="none"/>
        </w:rPr>
      </w:pP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登录常州市政府采购网“下载中心”-“政府采购管理交易系统（苏采云）CA及签章控件驱动”下载相关控件和客户端。</w:t>
      </w:r>
      <w:r/>
    </w:p>
    <w:p>
      <w:pPr>
        <w:ind w:firstLine="480"/>
        <w:jc w:val="left"/>
        <w:spacing w:line="360" w:lineRule="auto"/>
        <w:widowControl/>
        <w:rPr>
          <w:rFonts w:hint="eastAsia"/>
          <w:color w:val="auto"/>
          <w:sz w:val="24"/>
          <w:highlight w:val="none"/>
        </w:rPr>
      </w:pPr>
      <w:r>
        <w:rPr>
          <w:rFonts w:hint="eastAsia" w:ascii="Times New Roman"/>
          <w:color w:val="auto"/>
          <w:sz w:val="24"/>
          <w:highlight w:val="none"/>
          <w:lang w:val="zh-TW" w:bidi="ar"/>
        </w:rPr>
        <w:t xml:space="preserve">2.4获取电子磋商文件</w:t>
      </w:r>
      <w:r/>
    </w:p>
    <w:p>
      <w:pPr>
        <w:ind w:firstLine="480"/>
        <w:jc w:val="left"/>
        <w:spacing w:line="360" w:lineRule="auto"/>
        <w:widowControl/>
        <w:rPr>
          <w:rFonts w:hint="eastAsia"/>
          <w:color w:val="auto"/>
          <w:sz w:val="24"/>
          <w:highlight w:val="none"/>
        </w:rPr>
      </w:pP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持CA数字认证证书登录“苏采云”获取电子磋商文件。未在规定期限内通过“苏采云”获取磋商文件的响应无效。</w:t>
      </w:r>
      <w:r/>
    </w:p>
    <w:p>
      <w:pPr>
        <w:ind w:firstLine="480"/>
        <w:jc w:val="left"/>
        <w:spacing w:line="360" w:lineRule="auto"/>
        <w:widowControl/>
        <w:rPr>
          <w:rFonts w:hint="eastAsia"/>
          <w:color w:val="auto"/>
          <w:sz w:val="24"/>
          <w:highlight w:val="none"/>
        </w:rPr>
      </w:pPr>
      <w:r>
        <w:rPr>
          <w:rFonts w:hint="eastAsia" w:ascii="Times New Roman"/>
          <w:color w:val="auto"/>
          <w:sz w:val="24"/>
          <w:highlight w:val="none"/>
          <w:lang w:val="zh-TW" w:bidi="ar"/>
        </w:rPr>
        <w:t xml:space="preserve">2.5编制电子响应文件</w:t>
      </w:r>
      <w:r/>
    </w:p>
    <w:p>
      <w:pPr>
        <w:ind w:firstLine="480"/>
        <w:jc w:val="left"/>
        <w:spacing w:line="360" w:lineRule="auto"/>
        <w:widowControl/>
        <w:rPr>
          <w:rFonts w:hint="eastAsia"/>
          <w:color w:val="auto"/>
          <w:sz w:val="24"/>
          <w:highlight w:val="none"/>
        </w:rPr>
      </w:pP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应使用电子响应文件制作客户端编制电子响应文件并进行线上响应，</w:t>
      </w: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color w:val="auto"/>
          <w:sz w:val="24"/>
          <w:highlight w:val="none"/>
        </w:rPr>
      </w:pPr>
      <w:r>
        <w:rPr>
          <w:rFonts w:hint="eastAsia" w:ascii="Times New Roman"/>
          <w:color w:val="auto"/>
          <w:sz w:val="24"/>
          <w:highlight w:val="none"/>
          <w:lang w:val="zh-TW" w:bidi="ar"/>
        </w:rPr>
        <w:t xml:space="preserve">2.6提交电子响应文件</w:t>
      </w:r>
      <w:r/>
    </w:p>
    <w:p>
      <w:pPr>
        <w:ind w:firstLine="480"/>
        <w:jc w:val="left"/>
        <w:spacing w:line="360" w:lineRule="auto"/>
        <w:widowControl/>
        <w:rPr>
          <w:rFonts w:hint="eastAsia"/>
          <w:color w:val="auto"/>
          <w:sz w:val="24"/>
          <w:highlight w:val="none"/>
        </w:rPr>
      </w:pP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应于响应截止时间前在“苏采云”提交电子响应文件，上传电子响应文件过程中请保持与互联网的连接畅通。</w:t>
      </w:r>
      <w:r/>
    </w:p>
    <w:p>
      <w:pPr>
        <w:ind w:firstLine="480"/>
        <w:jc w:val="left"/>
        <w:spacing w:line="360" w:lineRule="auto"/>
        <w:widowControl/>
        <w:rPr>
          <w:rFonts w:hint="eastAsia"/>
          <w:color w:val="auto"/>
          <w:sz w:val="24"/>
          <w:highlight w:val="none"/>
        </w:rPr>
      </w:pPr>
      <w:r>
        <w:rPr>
          <w:rFonts w:hint="eastAsia" w:ascii="Times New Roman"/>
          <w:color w:val="auto"/>
          <w:sz w:val="24"/>
          <w:highlight w:val="none"/>
          <w:lang w:val="zh-TW" w:bidi="ar"/>
        </w:rPr>
        <w:t xml:space="preserve">2.7电子开标</w:t>
      </w:r>
      <w:r/>
    </w:p>
    <w:p>
      <w:pPr>
        <w:ind w:firstLine="480"/>
        <w:jc w:val="left"/>
        <w:spacing w:line="360" w:lineRule="auto"/>
        <w:widowControl/>
        <w:rPr>
          <w:rFonts w:hint="eastAsia"/>
          <w:color w:val="auto"/>
          <w:sz w:val="24"/>
          <w:highlight w:val="none"/>
        </w:rPr>
      </w:pP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使用CA认证证书登录“苏采云”进行电子化不见面开标。</w:t>
      </w:r>
      <w:r/>
    </w:p>
    <w:p>
      <w:pPr>
        <w:ind w:firstLine="480"/>
        <w:jc w:val="left"/>
        <w:spacing w:line="360" w:lineRule="auto"/>
        <w:widowControl/>
        <w:rPr>
          <w:rFonts w:hint="eastAsia"/>
          <w:color w:val="auto"/>
          <w:sz w:val="24"/>
          <w:highlight w:val="none"/>
        </w:rPr>
      </w:pPr>
      <w:r>
        <w:rPr>
          <w:rFonts w:hint="eastAsia" w:ascii="Times New Roman"/>
          <w:color w:val="auto"/>
          <w:sz w:val="24"/>
          <w:highlight w:val="none"/>
          <w:lang w:val="zh-TW" w:bidi="ar"/>
        </w:rPr>
        <w:t xml:space="preserve">2.8注意事项</w:t>
      </w:r>
      <w:r/>
    </w:p>
    <w:p>
      <w:pPr>
        <w:ind w:firstLine="480"/>
        <w:jc w:val="left"/>
        <w:spacing w:line="360" w:lineRule="auto"/>
        <w:widowControl/>
        <w:rPr>
          <w:rFonts w:hint="eastAsia"/>
          <w:color w:val="auto"/>
          <w:sz w:val="24"/>
          <w:highlight w:val="none"/>
        </w:rPr>
      </w:pP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自行承担。</w:t>
      </w:r>
      <w:r/>
    </w:p>
    <w:p>
      <w:pPr>
        <w:ind w:firstLine="480"/>
        <w:jc w:val="left"/>
        <w:spacing w:line="360" w:lineRule="auto"/>
        <w:widowControl/>
        <w:rPr>
          <w:rFonts w:hint="eastAsia"/>
          <w:color w:val="auto"/>
          <w:sz w:val="24"/>
          <w:highlight w:val="none"/>
        </w:rPr>
      </w:pPr>
      <w:r>
        <w:rPr>
          <w:rFonts w:hint="eastAsia" w:ascii="Times New Roman"/>
          <w:color w:val="auto"/>
          <w:sz w:val="24"/>
          <w:highlight w:val="none"/>
          <w:lang w:val="zh-TW" w:bidi="ar"/>
        </w:rPr>
        <w:t xml:space="preserve">3.关于常州市中小企业政府采购信用融资：</w:t>
      </w:r>
      <w:r/>
    </w:p>
    <w:p>
      <w:pPr>
        <w:ind w:firstLine="480"/>
        <w:jc w:val="left"/>
        <w:spacing w:line="360" w:lineRule="auto"/>
        <w:widowControl/>
        <w:rPr>
          <w:color w:val="auto"/>
          <w:sz w:val="24"/>
          <w:highlight w:val="none"/>
        </w:rPr>
      </w:pPr>
      <w:r>
        <w:rPr>
          <w:rFonts w:hint="eastAsia" w:ascii="Times New Roman"/>
          <w:color w:val="auto"/>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w:t>
      </w:r>
      <w:r>
        <w:rPr>
          <w:rFonts w:hint="eastAsia" w:ascii="Times New Roman" w:eastAsia="宋体"/>
          <w:color w:val="auto"/>
          <w:sz w:val="24"/>
          <w:highlight w:val="none"/>
          <w:lang w:val="zh-TW" w:eastAsia="zh-CN" w:bidi="ar"/>
        </w:rPr>
        <w:t xml:space="preserve">供应商</w:t>
      </w:r>
      <w:r>
        <w:rPr>
          <w:rFonts w:hint="eastAsia" w:ascii="Times New Roman"/>
          <w:color w:val="auto"/>
          <w:sz w:val="24"/>
          <w:highlight w:val="none"/>
          <w:lang w:val="zh-TW" w:bidi="ar"/>
        </w:rPr>
        <w:t xml:space="preserve">提供相应额度贷款的融资模式。申请条件及操作流程等事项详见该文件相关内容或者常州市政府采购网--政采融资平台栏目</w:t>
      </w:r>
      <w:r>
        <w:rPr>
          <w:rFonts w:hint="eastAsia"/>
          <w:color w:val="auto"/>
          <w:sz w:val="24"/>
          <w:highlight w:val="none"/>
          <w:lang w:val="zh-TW" w:bidi="ar"/>
        </w:rPr>
        <w:t xml:space="preserve">。</w:t>
      </w:r>
      <w:r/>
    </w:p>
    <w:p>
      <w:pPr>
        <w:pStyle w:val="1074"/>
        <w:jc w:val="left"/>
        <w:spacing w:before="0" w:line="360" w:lineRule="auto"/>
        <w:rPr>
          <w:rFonts w:ascii="Times New Roman" w:hAnsi="Times New Roman" w:eastAsia="宋体"/>
          <w:color w:val="auto"/>
          <w:sz w:val="24"/>
          <w:szCs w:val="24"/>
          <w:highlight w:val="none"/>
        </w:rPr>
      </w:pPr>
      <w:r/>
      <w:bookmarkStart w:id="27" w:name="_Toc35393627"/>
      <w:r/>
      <w:bookmarkStart w:id="28" w:name="_Toc28359085"/>
      <w:r/>
      <w:bookmarkStart w:id="29" w:name="_Toc35393796"/>
      <w:r/>
      <w:bookmarkStart w:id="30" w:name="_Toc28359008"/>
      <w:r>
        <w:rPr>
          <w:rFonts w:ascii="Times New Roman" w:hAnsi="Times New Roman" w:eastAsia="宋体"/>
          <w:color w:val="auto"/>
          <w:sz w:val="24"/>
          <w:szCs w:val="24"/>
          <w:highlight w:val="none"/>
        </w:rPr>
        <w:t xml:space="preserve">八、对本项目提出询问，请按以下方式联系。</w:t>
      </w:r>
      <w:bookmarkEnd w:id="27"/>
      <w:r/>
      <w:bookmarkEnd w:id="28"/>
      <w:r/>
      <w:bookmarkEnd w:id="29"/>
      <w:r/>
      <w:bookmarkEnd w:id="30"/>
      <w:r/>
      <w:r/>
    </w:p>
    <w:p>
      <w:pPr>
        <w:jc w:val="left"/>
        <w:spacing w:line="360" w:lineRule="auto"/>
        <w:widowControl/>
        <w:rPr>
          <w:b/>
          <w:color w:val="auto"/>
          <w:sz w:val="24"/>
          <w:highlight w:val="none"/>
        </w:rPr>
      </w:pPr>
      <w:r>
        <w:rPr>
          <w:color w:val="auto"/>
          <w:sz w:val="24"/>
          <w:highlight w:val="none"/>
        </w:rPr>
        <w:t xml:space="preserve">　　　</w:t>
      </w:r>
      <w:r>
        <w:rPr>
          <w:b/>
          <w:color w:val="auto"/>
          <w:sz w:val="24"/>
          <w:highlight w:val="none"/>
        </w:rPr>
        <w:t xml:space="preserve">1.采购人信息</w:t>
      </w:r>
      <w:r/>
    </w:p>
    <w:p>
      <w:pPr>
        <w:ind w:left="1079" w:hanging="300"/>
        <w:jc w:val="left"/>
        <w:spacing w:line="360" w:lineRule="auto"/>
        <w:rPr>
          <w:rFonts w:hint="eastAsia" w:eastAsia="宋体"/>
          <w:color w:val="auto"/>
          <w:sz w:val="24"/>
          <w:highlight w:val="none"/>
        </w:rPr>
      </w:pPr>
      <w:r/>
      <w:bookmarkStart w:id="31" w:name="_Toc28359086"/>
      <w:r/>
      <w:bookmarkStart w:id="32" w:name="_Toc28359009"/>
      <w:r>
        <w:rPr>
          <w:color w:val="auto"/>
          <w:sz w:val="24"/>
          <w:highlight w:val="none"/>
        </w:rPr>
        <w:t xml:space="preserve">名    称：</w:t>
      </w:r>
      <w:r>
        <w:rPr>
          <w:rFonts w:hint="eastAsia"/>
          <w:color w:val="auto"/>
          <w:sz w:val="24"/>
          <w:highlight w:val="none"/>
          <w:lang w:eastAsia="zh-CN"/>
        </w:rPr>
        <w:t xml:space="preserve">溧阳市天目湖镇人民政府</w:t>
      </w:r>
      <w:r/>
    </w:p>
    <w:p>
      <w:pPr>
        <w:ind w:left="1079" w:hanging="300"/>
        <w:jc w:val="left"/>
        <w:spacing w:line="360" w:lineRule="auto"/>
        <w:rPr>
          <w:rFonts w:hint="eastAsia" w:eastAsia="宋体"/>
          <w:color w:val="auto"/>
          <w:sz w:val="24"/>
          <w:highlight w:val="none"/>
        </w:rPr>
      </w:pPr>
      <w:r>
        <w:rPr>
          <w:color w:val="auto"/>
          <w:sz w:val="24"/>
          <w:highlight w:val="none"/>
        </w:rPr>
        <w:t xml:space="preserve">地    址：</w:t>
      </w:r>
      <w:r>
        <w:rPr>
          <w:rFonts w:hint="eastAsia"/>
          <w:color w:val="auto"/>
          <w:sz w:val="24"/>
          <w:highlight w:val="none"/>
          <w:lang w:eastAsia="zh-CN"/>
        </w:rPr>
        <w:t xml:space="preserve">江苏省常州市溧阳市天目湖镇协和路8号</w:t>
      </w:r>
      <w:r/>
    </w:p>
    <w:p>
      <w:pPr>
        <w:ind w:left="1076" w:hanging="297"/>
        <w:jc w:val="left"/>
        <w:spacing w:line="360" w:lineRule="auto"/>
        <w:rPr>
          <w:rFonts w:hint="eastAsia"/>
          <w:color w:val="auto"/>
          <w:sz w:val="24"/>
          <w:highlight w:val="none"/>
        </w:rPr>
      </w:pPr>
      <w:r>
        <w:rPr>
          <w:color w:val="auto"/>
          <w:sz w:val="24"/>
          <w:highlight w:val="none"/>
        </w:rPr>
        <w:t xml:space="preserve">联系方式：</w:t>
      </w:r>
      <w:r>
        <w:rPr>
          <w:rFonts w:hint="eastAsia"/>
          <w:color w:val="auto"/>
          <w:sz w:val="24"/>
          <w:highlight w:val="none"/>
          <w:lang w:val="en-US" w:eastAsia="zh-CN"/>
        </w:rPr>
        <w:t xml:space="preserve">王女士  0519-87985258 </w:t>
      </w:r>
      <w:r/>
    </w:p>
    <w:p>
      <w:pPr>
        <w:ind w:left="1078" w:hanging="299"/>
        <w:jc w:val="left"/>
        <w:spacing w:line="360" w:lineRule="auto"/>
        <w:rPr>
          <w:b/>
          <w:color w:val="auto"/>
          <w:sz w:val="24"/>
          <w:highlight w:val="none"/>
        </w:rPr>
      </w:pPr>
      <w:r>
        <w:rPr>
          <w:b/>
          <w:color w:val="auto"/>
          <w:sz w:val="24"/>
          <w:highlight w:val="none"/>
        </w:rPr>
        <w:t xml:space="preserve">2.采购代理机构信息</w:t>
      </w:r>
      <w:bookmarkEnd w:id="31"/>
      <w:r/>
      <w:bookmarkEnd w:id="32"/>
      <w:r/>
      <w:r/>
    </w:p>
    <w:p>
      <w:pPr>
        <w:ind w:left="1076" w:hanging="297"/>
        <w:jc w:val="left"/>
        <w:spacing w:line="360" w:lineRule="auto"/>
        <w:rPr>
          <w:color w:val="auto"/>
          <w:sz w:val="24"/>
          <w:highlight w:val="none"/>
        </w:rPr>
      </w:pPr>
      <w:r/>
      <w:bookmarkStart w:id="33" w:name="_Toc28359010"/>
      <w:r/>
      <w:bookmarkStart w:id="34" w:name="_Toc28359087"/>
      <w:r>
        <w:rPr>
          <w:color w:val="auto"/>
          <w:sz w:val="24"/>
          <w:highlight w:val="none"/>
        </w:rPr>
        <w:t xml:space="preserve">名    称：</w:t>
      </w:r>
      <w:r>
        <w:rPr>
          <w:rFonts w:hint="eastAsia" w:ascii="宋体" w:hAnsi="宋体"/>
          <w:color w:val="auto"/>
          <w:sz w:val="24"/>
          <w:highlight w:val="none"/>
        </w:rPr>
        <w:t xml:space="preserve">江苏立诚建设项目管理咨询有限公司</w:t>
      </w:r>
      <w:r/>
    </w:p>
    <w:p>
      <w:pPr>
        <w:ind w:left="1076" w:hanging="297"/>
        <w:jc w:val="left"/>
        <w:spacing w:line="360" w:lineRule="auto"/>
        <w:rPr>
          <w:rFonts w:hint="eastAsia" w:eastAsia="宋体"/>
          <w:color w:val="auto"/>
          <w:sz w:val="24"/>
          <w:highlight w:val="none"/>
        </w:rPr>
      </w:pPr>
      <w:r>
        <w:rPr>
          <w:color w:val="auto"/>
          <w:sz w:val="24"/>
          <w:highlight w:val="none"/>
        </w:rPr>
        <w:t xml:space="preserve">地    址：</w:t>
      </w:r>
      <w:r>
        <w:rPr>
          <w:rFonts w:hint="eastAsia" w:ascii="宋体" w:hAnsi="宋体"/>
          <w:color w:val="auto"/>
          <w:sz w:val="24"/>
          <w:highlight w:val="none"/>
          <w:lang w:eastAsia="zh-CN"/>
        </w:rPr>
        <w:t xml:space="preserve">江苏省溧阳市古县街道奥体大道3001号贝桥嘉苑36幢101室2层-2</w:t>
      </w:r>
      <w:r/>
    </w:p>
    <w:p>
      <w:pPr>
        <w:ind w:left="1076" w:hanging="297"/>
        <w:jc w:val="left"/>
        <w:spacing w:line="360" w:lineRule="auto"/>
        <w:rPr>
          <w:color w:val="auto"/>
          <w:sz w:val="24"/>
          <w:highlight w:val="none"/>
          <w:u w:val="single"/>
        </w:rPr>
      </w:pPr>
      <w:r>
        <w:rPr>
          <w:color w:val="auto"/>
          <w:sz w:val="24"/>
          <w:highlight w:val="none"/>
        </w:rPr>
        <w:t xml:space="preserve">联系方式：</w:t>
      </w:r>
      <w:r>
        <w:rPr>
          <w:rFonts w:hint="eastAsia"/>
          <w:color w:val="auto"/>
          <w:sz w:val="24"/>
          <w:highlight w:val="none"/>
          <w:lang w:val="en-US" w:eastAsia="zh-CN"/>
        </w:rPr>
        <w:t xml:space="preserve">丁女士  </w:t>
      </w:r>
      <w:r>
        <w:rPr>
          <w:rFonts w:hint="eastAsia" w:ascii="宋体" w:hAnsi="宋体"/>
          <w:color w:val="auto"/>
          <w:sz w:val="24"/>
          <w:highlight w:val="none"/>
        </w:rPr>
        <w:t xml:space="preserve">0519-87925608</w:t>
      </w:r>
      <w:r/>
    </w:p>
    <w:p>
      <w:pPr>
        <w:ind w:left="1078" w:hanging="299"/>
        <w:spacing w:line="360" w:lineRule="auto"/>
        <w:rPr>
          <w:b/>
          <w:color w:val="auto"/>
          <w:sz w:val="24"/>
          <w:highlight w:val="none"/>
          <w:u w:val="single"/>
        </w:rPr>
      </w:pPr>
      <w:r>
        <w:rPr>
          <w:b/>
          <w:color w:val="auto"/>
          <w:sz w:val="24"/>
          <w:highlight w:val="none"/>
        </w:rPr>
        <w:t xml:space="preserve">3.项目联系方式</w:t>
      </w:r>
      <w:bookmarkEnd w:id="33"/>
      <w:r/>
      <w:bookmarkEnd w:id="34"/>
      <w:r/>
      <w:r/>
    </w:p>
    <w:p>
      <w:pPr>
        <w:pStyle w:val="1111"/>
        <w:ind w:left="1076" w:hanging="297"/>
        <w:spacing w:line="360" w:lineRule="auto"/>
        <w:rPr>
          <w:rFonts w:ascii="Times New Roman" w:hAnsi="Times New Roman"/>
          <w:color w:val="auto"/>
          <w:sz w:val="24"/>
          <w:highlight w:val="none"/>
          <w:u w:val="single"/>
        </w:rPr>
      </w:pPr>
      <w:r>
        <w:rPr>
          <w:rFonts w:ascii="Times New Roman" w:hAnsi="Times New Roman"/>
          <w:color w:val="auto"/>
          <w:sz w:val="24"/>
          <w:szCs w:val="24"/>
          <w:highlight w:val="none"/>
        </w:rPr>
        <w:t xml:space="preserve">项目联系人：</w:t>
      </w:r>
      <w:r>
        <w:rPr>
          <w:rFonts w:hint="eastAsia" w:hAnsi="宋体"/>
          <w:color w:val="auto"/>
          <w:sz w:val="24"/>
          <w:highlight w:val="none"/>
          <w:lang w:eastAsia="zh-CN"/>
        </w:rPr>
        <w:t xml:space="preserve">丁</w:t>
      </w:r>
      <w:r>
        <w:rPr>
          <w:rFonts w:hAnsi="宋体"/>
          <w:color w:val="auto"/>
          <w:sz w:val="24"/>
          <w:highlight w:val="none"/>
        </w:rPr>
        <w:t xml:space="preserve">女士</w:t>
      </w:r>
      <w:r/>
    </w:p>
    <w:p>
      <w:pPr>
        <w:pStyle w:val="1111"/>
        <w:ind w:left="1076" w:hanging="297"/>
        <w:spacing w:line="360" w:lineRule="auto"/>
        <w:rPr>
          <w:rFonts w:ascii="Times New Roman" w:hAnsi="Times New Roman"/>
          <w:color w:val="auto"/>
          <w:sz w:val="24"/>
          <w:szCs w:val="24"/>
          <w:highlight w:val="none"/>
        </w:rPr>
      </w:pPr>
      <w:r>
        <w:rPr>
          <w:rFonts w:ascii="Times New Roman" w:hAnsi="Times New Roman"/>
          <w:color w:val="auto"/>
          <w:sz w:val="24"/>
          <w:highlight w:val="none"/>
        </w:rPr>
        <w:t xml:space="preserve">电      话：</w:t>
      </w:r>
      <w:r>
        <w:rPr>
          <w:rFonts w:hAnsi="宋体"/>
          <w:color w:val="auto"/>
          <w:sz w:val="24"/>
          <w:highlight w:val="none"/>
        </w:rPr>
        <w:t xml:space="preserve">0519-87925608</w:t>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bookmarkStart w:id="35" w:name="_Toc353873938"/>
      <w:r/>
      <w:bookmarkStart w:id="36" w:name="_Toc353825548"/>
      <w:r/>
      <w:bookmarkStart w:id="37" w:name="_Toc265228423"/>
      <w:r/>
      <w:bookmarkStart w:id="38" w:name="_Toc305158854"/>
      <w:r/>
      <w:bookmarkStart w:id="39" w:name="_Toc127161488"/>
      <w:r/>
      <w:bookmarkStart w:id="40" w:name="_Toc150774783"/>
      <w:r/>
      <w:bookmarkStart w:id="41" w:name="_Toc512937850"/>
      <w:r/>
      <w:bookmarkStart w:id="42" w:name="_Toc226965856"/>
      <w:r/>
      <w:bookmarkStart w:id="43" w:name="_Toc127151777"/>
      <w:r/>
      <w:bookmarkStart w:id="44" w:name="_Toc305158928"/>
      <w:r/>
      <w:bookmarkStart w:id="45" w:name="_Toc195842950"/>
      <w:r/>
      <w:bookmarkStart w:id="46" w:name="_Toc264969275"/>
      <w:r>
        <w:rPr>
          <w:b/>
          <w:color w:val="auto"/>
          <w:sz w:val="36"/>
          <w:szCs w:val="36"/>
          <w:highlight w:val="none"/>
        </w:rPr>
        <w:br w:type="page" w:clear="all"/>
      </w:r>
      <w:bookmarkStart w:id="47" w:name="_Toc29071"/>
      <w:r>
        <w:rPr>
          <w:b/>
          <w:color w:val="auto"/>
          <w:sz w:val="36"/>
          <w:szCs w:val="36"/>
          <w:highlight w:val="none"/>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074"/>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48" w:name="_Toc150774724"/>
      <w:r/>
      <w:bookmarkStart w:id="49" w:name="_Toc164229214"/>
      <w:r/>
      <w:bookmarkStart w:id="50" w:name="_Toc149720812"/>
      <w:r/>
      <w:bookmarkStart w:id="51" w:name="_Toc226337215"/>
      <w:r/>
      <w:bookmarkStart w:id="52" w:name="_Toc164608788"/>
      <w:r/>
      <w:bookmarkStart w:id="53" w:name="_Toc226965792"/>
      <w:r/>
      <w:bookmarkStart w:id="54" w:name="_Toc142311021"/>
      <w:r/>
      <w:bookmarkStart w:id="55" w:name="_Toc150509270"/>
      <w:r/>
      <w:bookmarkStart w:id="56" w:name="_Toc151193761"/>
      <w:r/>
      <w:bookmarkStart w:id="57" w:name="_Toc164351613"/>
      <w:r/>
      <w:bookmarkStart w:id="58" w:name="_Toc127151720"/>
      <w:r/>
      <w:bookmarkStart w:id="59" w:name="_Toc150774619"/>
      <w:r/>
      <w:bookmarkStart w:id="60" w:name="_Toc226309763"/>
      <w:r/>
      <w:bookmarkStart w:id="61" w:name="_Toc151190146"/>
      <w:r/>
      <w:bookmarkStart w:id="62" w:name="_Toc195842884"/>
      <w:r/>
      <w:bookmarkStart w:id="63" w:name="_Toc151193617"/>
      <w:r/>
      <w:bookmarkStart w:id="64" w:name="_Toc127161433"/>
      <w:r/>
      <w:bookmarkStart w:id="65" w:name="_Toc164229360"/>
      <w:r/>
      <w:bookmarkStart w:id="66" w:name="_Toc151193833"/>
      <w:r/>
      <w:bookmarkStart w:id="67" w:name="_Toc151193907"/>
      <w:r/>
      <w:bookmarkStart w:id="68" w:name="_Toc520356144"/>
      <w:r/>
      <w:bookmarkStart w:id="69" w:name="_Toc150480757"/>
      <w:r/>
      <w:bookmarkStart w:id="70" w:name="_Toc164608633"/>
      <w:r/>
      <w:bookmarkStart w:id="71" w:name="_Toc151193689"/>
      <w:r/>
      <w:bookmarkStart w:id="72" w:name="_Toc127151519"/>
      <w:r/>
      <w:bookmarkStart w:id="73" w:name="_Toc226965709"/>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w:t>
      </w:r>
      <w:r/>
    </w:p>
    <w:tbl>
      <w:tblPr>
        <w:tblStyle w:val="899"/>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trHeight w:val="567" w:hRule="exact"/>
        </w:trPr>
        <w:tc>
          <w:tcPr>
            <w:tcW w:w="988" w:type="dxa"/>
            <w:vAlign w:val="center"/>
            <w:textDirection w:val="lrTb"/>
            <w:noWrap w:val="false"/>
          </w:tcPr>
          <w:p>
            <w:pPr>
              <w:pStyle w:val="111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u w:val="single"/>
              </w:rPr>
            </w:pPr>
            <w:r>
              <w:rPr>
                <w:color w:val="auto"/>
                <w:sz w:val="24"/>
                <w:highlight w:val="none"/>
              </w:rPr>
              <w:t xml:space="preserve">项目属性：</w:t>
            </w:r>
            <w:r>
              <w:rPr>
                <w:rFonts w:hint="eastAsia"/>
                <w:color w:val="auto"/>
                <w:sz w:val="24"/>
                <w:highlight w:val="none"/>
              </w:rPr>
              <w:t xml:space="preserve">工程</w:t>
            </w:r>
            <w:r/>
          </w:p>
        </w:tc>
      </w:tr>
      <w:tr>
        <w:trPr>
          <w:trHeight w:val="567" w:hRule="exact"/>
        </w:trPr>
        <w:tc>
          <w:tcPr>
            <w:tcW w:w="988" w:type="dxa"/>
            <w:vAlign w:val="center"/>
            <w:textDirection w:val="lrTb"/>
            <w:noWrap w:val="false"/>
          </w:tcPr>
          <w:p>
            <w:pPr>
              <w:pStyle w:val="111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253"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是否属于科研仪器设备采购项目：否</w:t>
            </w:r>
            <w:r/>
          </w:p>
        </w:tc>
      </w:tr>
      <w:tr>
        <w:trPr>
          <w:trHeight w:val="567" w:hRule="exact"/>
        </w:trPr>
        <w:tc>
          <w:tcPr>
            <w:tcW w:w="988" w:type="dxa"/>
            <w:vAlign w:val="center"/>
            <w:vMerge w:val="restart"/>
            <w:textDirection w:val="lrTb"/>
            <w:noWrap w:val="false"/>
          </w:tcPr>
          <w:p>
            <w:pPr>
              <w:pStyle w:val="111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color w:val="auto"/>
                <w:sz w:val="24"/>
                <w:highlight w:val="none"/>
              </w:rPr>
              <w:t xml:space="preserve">不组织</w:t>
            </w:r>
            <w:r/>
          </w:p>
        </w:tc>
      </w:tr>
      <w:tr>
        <w:trPr>
          <w:trHeight w:val="567" w:hRule="exact"/>
        </w:trPr>
        <w:tc>
          <w:tcPr>
            <w:tcW w:w="988" w:type="dxa"/>
            <w:vAlign w:val="center"/>
            <w:vMerge w:val="continue"/>
            <w:textDirection w:val="lrTb"/>
            <w:noWrap w:val="false"/>
          </w:tcPr>
          <w:p>
            <w:pPr>
              <w:pStyle w:val="1111"/>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7253" w:type="dxa"/>
            <w:vAlign w:val="center"/>
            <w:textDirection w:val="lrTb"/>
            <w:noWrap w:val="false"/>
          </w:tcPr>
          <w:p>
            <w:pPr>
              <w:jc w:val="left"/>
              <w:rPr>
                <w:color w:val="auto"/>
                <w:sz w:val="24"/>
                <w:highlight w:val="none"/>
              </w:rPr>
            </w:pPr>
            <w:r>
              <w:rPr>
                <w:color w:val="auto"/>
                <w:sz w:val="24"/>
                <w:highlight w:val="none"/>
              </w:rPr>
              <w:t xml:space="preserve">不召开</w:t>
            </w:r>
            <w:r/>
          </w:p>
        </w:tc>
      </w:tr>
      <w:tr>
        <w:trPr>
          <w:trHeight w:val="567" w:hRule="exact"/>
        </w:trPr>
        <w:tc>
          <w:tcPr>
            <w:tcW w:w="988" w:type="dxa"/>
            <w:vAlign w:val="center"/>
            <w:textDirection w:val="lrTb"/>
            <w:noWrap w:val="false"/>
          </w:tcPr>
          <w:p>
            <w:pPr>
              <w:pStyle w:val="111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4.2.5</w:t>
            </w:r>
            <w:r/>
          </w:p>
        </w:tc>
        <w:tc>
          <w:tcPr>
            <w:tcW w:w="1701" w:type="dxa"/>
            <w:vAlign w:val="center"/>
            <w:textDirection w:val="lrTb"/>
            <w:noWrap w:val="false"/>
          </w:tcPr>
          <w:p>
            <w:pPr>
              <w:jc w:val="center"/>
              <w:rPr>
                <w:b/>
                <w:color w:val="auto"/>
                <w:sz w:val="24"/>
                <w:highlight w:val="none"/>
              </w:rPr>
            </w:pPr>
            <w:r>
              <w:rPr>
                <w:b/>
                <w:color w:val="auto"/>
                <w:sz w:val="24"/>
                <w:highlight w:val="none"/>
              </w:rPr>
              <w:t xml:space="preserve">标的所属行业</w:t>
            </w:r>
            <w:r/>
          </w:p>
        </w:tc>
        <w:tc>
          <w:tcPr>
            <w:tcW w:w="7253" w:type="dxa"/>
            <w:vAlign w:val="center"/>
            <w:textDirection w:val="lrTb"/>
            <w:noWrap w:val="false"/>
          </w:tcPr>
          <w:p>
            <w:pPr>
              <w:jc w:val="left"/>
              <w:rPr>
                <w:b/>
                <w:color w:val="auto"/>
                <w:sz w:val="24"/>
                <w:highlight w:val="none"/>
              </w:rPr>
            </w:pPr>
            <w:r>
              <w:rPr>
                <w:b/>
                <w:color w:val="auto"/>
                <w:sz w:val="24"/>
                <w:highlight w:val="none"/>
              </w:rPr>
              <w:t xml:space="preserve">本项目采购标的对应的中小企业划分标准所属行业：</w:t>
            </w:r>
            <w:r>
              <w:rPr>
                <w:rFonts w:hint="eastAsia"/>
                <w:b/>
                <w:color w:val="auto"/>
                <w:sz w:val="24"/>
                <w:highlight w:val="none"/>
              </w:rPr>
              <w:t xml:space="preserve"> 建筑业 </w:t>
            </w:r>
            <w:r/>
          </w:p>
        </w:tc>
      </w:tr>
      <w:tr>
        <w:trPr>
          <w:trHeight w:val="567" w:hRule="exact"/>
        </w:trPr>
        <w:tc>
          <w:tcPr>
            <w:tcW w:w="988" w:type="dxa"/>
            <w:vAlign w:val="center"/>
            <w:textDirection w:val="lrTb"/>
            <w:noWrap w:val="false"/>
          </w:tcPr>
          <w:p>
            <w:pPr>
              <w:pStyle w:val="111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7253" w:type="dxa"/>
            <w:vAlign w:val="center"/>
            <w:textDirection w:val="lrTb"/>
            <w:noWrap w:val="false"/>
          </w:tcPr>
          <w:p>
            <w:pPr>
              <w:jc w:val="left"/>
              <w:rPr>
                <w:rFonts w:hint="default" w:eastAsia="宋体"/>
                <w:color w:val="auto"/>
                <w:sz w:val="24"/>
                <w:highlight w:val="none"/>
                <w:lang w:val="en-US" w:eastAsia="zh-CN"/>
              </w:rPr>
            </w:pPr>
            <w:r>
              <w:rPr>
                <w:color w:val="auto"/>
                <w:sz w:val="24"/>
                <w:highlight w:val="none"/>
              </w:rPr>
              <w:t xml:space="preserve">报价的特殊规定：</w:t>
            </w:r>
            <w:r>
              <w:rPr>
                <w:rFonts w:hint="eastAsia" w:ascii="Times New Roman" w:hAnsi="Times New Roman" w:eastAsia="宋体" w:cs="Times New Roman"/>
                <w:color w:val="auto"/>
                <w:sz w:val="24"/>
                <w:highlight w:val="none"/>
                <w:lang w:val="en-US" w:eastAsia="zh-CN"/>
              </w:rPr>
              <w:t xml:space="preserve">有，报下浮率（即优惠率）</w:t>
            </w:r>
            <w:r/>
          </w:p>
        </w:tc>
      </w:tr>
      <w:tr>
        <w:trPr>
          <w:trHeight w:val="567" w:hRule="exact"/>
        </w:trPr>
        <w:tc>
          <w:tcPr>
            <w:tcW w:w="988" w:type="dxa"/>
            <w:vAlign w:val="center"/>
            <w:textDirection w:val="lrTb"/>
            <w:noWrap w:val="false"/>
          </w:tcPr>
          <w:p>
            <w:pPr>
              <w:pStyle w:val="111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trHeight w:val="670" w:hRule="exact"/>
        </w:trPr>
        <w:tc>
          <w:tcPr>
            <w:tcW w:w="988" w:type="dxa"/>
            <w:vAlign w:val="center"/>
            <w:textDirection w:val="lrTb"/>
            <w:noWrap w:val="false"/>
          </w:tcPr>
          <w:p>
            <w:pPr>
              <w:pStyle w:val="1111"/>
              <w:jc w:val="center"/>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11.2</w:t>
            </w:r>
            <w:r/>
          </w:p>
        </w:tc>
        <w:tc>
          <w:tcPr>
            <w:shd w:val="clear" w:color="auto" w:fill="auto"/>
            <w:tcW w:w="1701" w:type="dxa"/>
            <w:vAlign w:val="center"/>
            <w:textDirection w:val="lrTb"/>
            <w:noWrap w:val="false"/>
          </w:tcPr>
          <w:p>
            <w:pPr>
              <w:jc w:val="center"/>
              <w:rPr>
                <w:rFonts w:hint="default"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履约保证金</w:t>
            </w:r>
            <w:r/>
          </w:p>
        </w:tc>
        <w:tc>
          <w:tcPr>
            <w:shd w:val="clear" w:color="auto" w:fill="auto"/>
            <w:tcW w:w="7253" w:type="dxa"/>
            <w:vAlign w:val="center"/>
            <w:textDirection w:val="lrTb"/>
            <w:noWrap w:val="false"/>
          </w:tcPr>
          <w:p>
            <w:pPr>
              <w:jc w:val="left"/>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无</w:t>
            </w:r>
            <w:r/>
          </w:p>
        </w:tc>
      </w:tr>
      <w:tr>
        <w:trPr>
          <w:trHeight w:val="567" w:hRule="exact"/>
        </w:trPr>
        <w:tc>
          <w:tcPr>
            <w:tcW w:w="988" w:type="dxa"/>
            <w:vAlign w:val="center"/>
            <w:textDirection w:val="lrTb"/>
            <w:noWrap w:val="false"/>
          </w:tcPr>
          <w:p>
            <w:pPr>
              <w:pStyle w:val="111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trHeight w:val="567" w:hRule="exact"/>
        </w:trPr>
        <w:tc>
          <w:tcPr>
            <w:tcW w:w="988" w:type="dxa"/>
            <w:vAlign w:val="center"/>
            <w:textDirection w:val="lrTb"/>
            <w:noWrap w:val="false"/>
          </w:tcPr>
          <w:p>
            <w:pPr>
              <w:pStyle w:val="111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rPr>
                <w:color w:val="auto"/>
                <w:sz w:val="24"/>
                <w:highlight w:val="none"/>
                <w:u w:val="single"/>
              </w:rPr>
            </w:pPr>
            <w:r>
              <w:rPr>
                <w:color w:val="auto"/>
                <w:sz w:val="24"/>
                <w:highlight w:val="none"/>
              </w:rPr>
              <w:t xml:space="preserve">本项目是否允许分包：不允许</w:t>
            </w:r>
            <w:r/>
          </w:p>
        </w:tc>
      </w:tr>
      <w:tr>
        <w:trPr>
          <w:trHeight w:val="567" w:hRule="exact"/>
        </w:trPr>
        <w:tc>
          <w:tcPr>
            <w:tcW w:w="988" w:type="dxa"/>
            <w:vAlign w:val="center"/>
            <w:textDirection w:val="lrTb"/>
            <w:noWrap w:val="false"/>
          </w:tcPr>
          <w:p>
            <w:pPr>
              <w:pStyle w:val="111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trHeight w:val="1657" w:hRule="exact"/>
        </w:trPr>
        <w:tc>
          <w:tcPr>
            <w:tcW w:w="988" w:type="dxa"/>
            <w:vAlign w:val="center"/>
            <w:textDirection w:val="lrTb"/>
            <w:noWrap w:val="false"/>
          </w:tcPr>
          <w:p>
            <w:pPr>
              <w:pStyle w:val="111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ascii="宋体" w:hAnsi="宋体"/>
                <w:color w:val="auto"/>
                <w:sz w:val="24"/>
                <w:highlight w:val="none"/>
              </w:rPr>
              <w:t xml:space="preserve">江苏立诚建设项目管理咨询有限公司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ascii="宋体" w:hAnsi="宋体"/>
                <w:color w:val="auto"/>
                <w:sz w:val="24"/>
                <w:highlight w:val="none"/>
              </w:rPr>
              <w:t xml:space="preserve">0519-87925608</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ascii="宋体" w:hAnsi="宋体"/>
                <w:color w:val="auto"/>
                <w:sz w:val="24"/>
                <w:highlight w:val="none"/>
                <w:lang w:eastAsia="zh-CN"/>
              </w:rPr>
              <w:t xml:space="preserve">江苏省溧阳市古县街道奥体大道3001号贝桥嘉苑36幢101室2层-2</w:t>
            </w:r>
            <w:r>
              <w:rPr>
                <w:color w:val="auto"/>
                <w:sz w:val="24"/>
                <w:highlight w:val="none"/>
              </w:rPr>
              <w:t xml:space="preserve">。</w:t>
            </w:r>
            <w:r/>
          </w:p>
        </w:tc>
      </w:tr>
      <w:tr>
        <w:trPr>
          <w:trHeight w:val="1757" w:hRule="exact"/>
        </w:trPr>
        <w:tc>
          <w:tcPr>
            <w:tcW w:w="988" w:type="dxa"/>
            <w:vAlign w:val="center"/>
            <w:textDirection w:val="lrTb"/>
            <w:noWrap w:val="false"/>
          </w:tcPr>
          <w:p>
            <w:pPr>
              <w:pStyle w:val="111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rFonts w:eastAsia="宋体"/>
                <w:color w:val="auto"/>
                <w:sz w:val="24"/>
                <w:highlight w:val="none"/>
              </w:rPr>
            </w:pPr>
            <w:r>
              <w:rPr>
                <w:color w:val="auto"/>
                <w:sz w:val="24"/>
                <w:highlight w:val="none"/>
              </w:rPr>
              <w:t xml:space="preserve">代理费</w:t>
            </w:r>
            <w:r>
              <w:rPr>
                <w:rFonts w:hint="eastAsia"/>
                <w:color w:val="auto"/>
                <w:sz w:val="24"/>
                <w:highlight w:val="none"/>
                <w:lang w:val="en-US" w:eastAsia="zh-CN"/>
              </w:rPr>
              <w:t xml:space="preserve">及造价咨询费</w:t>
            </w:r>
            <w:r/>
          </w:p>
        </w:tc>
        <w:tc>
          <w:tcPr>
            <w:tcW w:w="7253" w:type="dxa"/>
            <w:vAlign w:val="center"/>
            <w:textDirection w:val="lrTb"/>
            <w:noWrap w:val="false"/>
          </w:tcPr>
          <w:p>
            <w:pPr>
              <w:jc w:val="left"/>
              <w:rPr>
                <w:rFonts w:hint="eastAsia" w:eastAsia="宋体"/>
                <w:color w:val="auto"/>
                <w:sz w:val="24"/>
                <w:highlight w:val="none"/>
                <w:lang w:eastAsia="zh-CN"/>
              </w:rPr>
            </w:pPr>
            <w:r>
              <w:rPr>
                <w:color w:val="auto"/>
                <w:sz w:val="24"/>
                <w:highlight w:val="none"/>
              </w:rPr>
              <w:t xml:space="preserve">收费对象：</w:t>
            </w:r>
            <w:r>
              <w:rPr>
                <w:rFonts w:hint="eastAsia"/>
                <w:color w:val="auto"/>
                <w:sz w:val="24"/>
                <w:highlight w:val="none"/>
                <w:lang w:val="en-US" w:eastAsia="zh-CN"/>
              </w:rPr>
              <w:t xml:space="preserve">采购人</w:t>
            </w:r>
            <w:r/>
          </w:p>
          <w:p>
            <w:pPr>
              <w:jc w:val="left"/>
              <w:rPr>
                <w:rFonts w:eastAsia="宋体"/>
                <w:color w:val="auto"/>
                <w:sz w:val="24"/>
                <w:highlight w:val="none"/>
                <w:u w:val="single"/>
              </w:rPr>
            </w:pPr>
            <w:r>
              <w:rPr>
                <w:color w:val="auto"/>
                <w:sz w:val="24"/>
                <w:highlight w:val="none"/>
              </w:rPr>
              <w:t xml:space="preserve">收费</w:t>
            </w:r>
            <w:r>
              <w:rPr>
                <w:rFonts w:hint="eastAsia" w:ascii="Times New Roman" w:hAnsi="Times New Roman" w:eastAsia="宋体" w:cs="Times New Roman"/>
                <w:color w:val="auto"/>
                <w:sz w:val="24"/>
                <w:highlight w:val="none"/>
                <w:lang w:eastAsia="zh-CN"/>
              </w:rPr>
              <w:t xml:space="preserve">标准：</w:t>
            </w:r>
            <w:r>
              <w:rPr>
                <w:rFonts w:hint="eastAsia" w:ascii="Times New Roman" w:hAnsi="Times New Roman" w:eastAsia="宋体" w:cs="Times New Roman"/>
                <w:color w:val="auto"/>
                <w:sz w:val="24"/>
                <w:highlight w:val="none"/>
                <w:lang w:val="en-US" w:eastAsia="zh-CN"/>
              </w:rPr>
              <w:t xml:space="preserve">代理</w:t>
            </w:r>
            <w:r>
              <w:rPr>
                <w:rFonts w:hint="eastAsia" w:ascii="Times New Roman" w:hAnsi="Times New Roman" w:eastAsia="宋体" w:cs="Times New Roman"/>
                <w:color w:val="auto"/>
                <w:sz w:val="24"/>
                <w:highlight w:val="none"/>
                <w:lang w:eastAsia="zh-CN"/>
              </w:rPr>
              <w:t xml:space="preserve">服务费按照《</w:t>
            </w:r>
            <w:r>
              <w:rPr>
                <w:rFonts w:hint="eastAsia" w:ascii="Times New Roman" w:hAnsi="Times New Roman" w:eastAsia="宋体" w:cs="Times New Roman"/>
                <w:color w:val="auto"/>
                <w:sz w:val="24"/>
                <w:highlight w:val="none"/>
                <w:lang w:val="en-US" w:eastAsia="zh-CN"/>
              </w:rPr>
              <w:t xml:space="preserve">天目湖镇人民政府收费标准</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lang w:val="en-US" w:eastAsia="zh-CN"/>
              </w:rPr>
              <w:t xml:space="preserve">收取。</w:t>
            </w:r>
            <w:r/>
          </w:p>
          <w:p>
            <w:pPr>
              <w:jc w:val="left"/>
              <w:rPr>
                <w:color w:val="auto"/>
                <w:sz w:val="24"/>
                <w:highlight w:val="none"/>
              </w:rPr>
            </w:pPr>
            <w:r>
              <w:rPr>
                <w:color w:val="auto"/>
                <w:sz w:val="24"/>
                <w:highlight w:val="none"/>
              </w:rPr>
              <w:t xml:space="preserve">缴纳时间：</w:t>
            </w:r>
            <w:r>
              <w:rPr>
                <w:rFonts w:hint="eastAsia"/>
                <w:color w:val="auto"/>
                <w:sz w:val="24"/>
                <w:highlight w:val="none"/>
                <w:lang w:val="en-US" w:eastAsia="zh-CN"/>
              </w:rPr>
              <w:t xml:space="preserve">代理服务结束后</w:t>
            </w:r>
            <w:r>
              <w:rPr>
                <w:color w:val="auto"/>
                <w:sz w:val="24"/>
                <w:highlight w:val="none"/>
              </w:rPr>
              <w:t xml:space="preserve">。</w:t>
            </w:r>
            <w:r/>
          </w:p>
        </w:tc>
      </w:tr>
    </w:tbl>
    <w:p>
      <w:pPr>
        <w:jc w:val="both"/>
        <w:spacing w:line="360" w:lineRule="auto"/>
        <w:tabs>
          <w:tab w:val="left" w:pos="5580" w:leader="none"/>
        </w:tabs>
        <w:rPr>
          <w:color w:val="auto"/>
          <w:sz w:val="24"/>
          <w:highlight w:val="none"/>
        </w:rPr>
        <w:sectPr>
          <w:footerReference w:type="default" r:id="rId16"/>
          <w:footerReference w:type="first" r:id="rId17"/>
          <w:footnotePr/>
          <w:endnotePr/>
          <w:type w:val="nextPage"/>
          <w:pgSz w:w="11905" w:h="16840" w:orient="portrait"/>
          <w:pgMar w:top="1440" w:right="1304" w:bottom="1440" w:left="1304" w:header="850" w:footer="850" w:gutter="0"/>
          <w:pgNumType w:start="1"/>
          <w:cols w:num="1" w:sep="0" w:space="1701" w:equalWidth="1"/>
          <w:docGrid w:linePitch="360"/>
        </w:sectPr>
      </w:pPr>
      <w:r>
        <w:rPr>
          <w:color w:val="auto"/>
          <w:sz w:val="24"/>
          <w:highlight w:val="none"/>
        </w:rPr>
      </w:r>
      <w:r/>
    </w:p>
    <w:p>
      <w:pPr>
        <w:jc w:val="center"/>
        <w:spacing w:before="240" w:after="240"/>
        <w:rPr>
          <w:b/>
          <w:color w:val="auto"/>
          <w:sz w:val="28"/>
          <w:szCs w:val="28"/>
          <w:highlight w:val="none"/>
        </w:rPr>
      </w:pPr>
      <w:r>
        <w:rPr>
          <w:b/>
          <w:color w:val="auto"/>
          <w:sz w:val="28"/>
          <w:szCs w:val="28"/>
          <w:highlight w:val="none"/>
        </w:rPr>
        <w:t xml:space="preserve">供应商须知</w:t>
      </w:r>
      <w:r/>
    </w:p>
    <w:p>
      <w:pPr>
        <w:pStyle w:val="1074"/>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74" w:name="_Toc520356143"/>
      <w:r/>
      <w:bookmarkStart w:id="75" w:name="_Toc127151518"/>
      <w:r>
        <w:rPr>
          <w:rFonts w:ascii="Times New Roman" w:hAnsi="Times New Roman" w:eastAsia="宋体"/>
          <w:color w:val="auto"/>
          <w:sz w:val="28"/>
          <w:highlight w:val="none"/>
        </w:rPr>
        <w:tab/>
      </w:r>
      <w:bookmarkStart w:id="76" w:name="_Toc305158786"/>
      <w:r/>
      <w:bookmarkStart w:id="77" w:name="_Toc151193760"/>
      <w:r/>
      <w:bookmarkStart w:id="78" w:name="_Toc151193906"/>
      <w:r/>
      <w:bookmarkStart w:id="79" w:name="_Toc151190145"/>
      <w:r/>
      <w:bookmarkStart w:id="80" w:name="_Toc151193832"/>
      <w:r/>
      <w:bookmarkStart w:id="81" w:name="_Toc142311020"/>
      <w:r/>
      <w:bookmarkStart w:id="82" w:name="_Toc150774618"/>
      <w:r/>
      <w:bookmarkStart w:id="83" w:name="_Toc265228356"/>
      <w:r/>
      <w:bookmarkStart w:id="84" w:name="_Toc195842883"/>
      <w:r/>
      <w:bookmarkStart w:id="85" w:name="_Toc264969208"/>
      <w:r/>
      <w:bookmarkStart w:id="86" w:name="_Toc150480756"/>
      <w:r/>
      <w:bookmarkStart w:id="87" w:name="_Toc226965791"/>
      <w:r/>
      <w:bookmarkStart w:id="88" w:name="_Toc226309762"/>
      <w:r/>
      <w:bookmarkStart w:id="89" w:name="_Toc151193616"/>
      <w:r/>
      <w:bookmarkStart w:id="90" w:name="_Toc151193688"/>
      <w:r/>
      <w:bookmarkStart w:id="91" w:name="_Toc150774723"/>
      <w:r/>
      <w:bookmarkStart w:id="92" w:name="_Toc226337214"/>
      <w:r/>
      <w:bookmarkStart w:id="93" w:name="_Toc150509269"/>
      <w:r/>
      <w:bookmarkStart w:id="94" w:name="_Toc305158860"/>
      <w:r/>
      <w:bookmarkStart w:id="95" w:name="_Toc226965708"/>
      <w:r>
        <w:rPr>
          <w:rFonts w:ascii="Times New Roman" w:hAnsi="Times New Roman" w:eastAsia="宋体"/>
          <w:color w:val="auto"/>
          <w:sz w:val="28"/>
          <w:highlight w:val="none"/>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96" w:name="_Toc305158787"/>
      <w:r/>
      <w:bookmarkStart w:id="97" w:name="_Toc265228357"/>
      <w:r/>
      <w:bookmarkStart w:id="98" w:name="_Toc264969209"/>
      <w:r/>
      <w:bookmarkStart w:id="99" w:name="_Toc305158861"/>
      <w:r>
        <w:rPr>
          <w:color w:val="auto"/>
          <w:sz w:val="24"/>
          <w:highlight w:val="none"/>
        </w:rPr>
        <w:t xml:space="preserve">采购人、采购代理机构、供应商</w:t>
      </w:r>
      <w:bookmarkEnd w:id="96"/>
      <w:r/>
      <w:bookmarkEnd w:id="97"/>
      <w:r/>
      <w:bookmarkEnd w:id="98"/>
      <w:r/>
      <w:bookmarkEnd w:id="99"/>
      <w:r>
        <w:rPr>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100" w:name="_Toc149720813"/>
      <w:r/>
      <w:bookmarkStart w:id="101" w:name="_Toc127151520"/>
      <w:r/>
      <w:bookmarkStart w:id="102" w:name="_Toc226309764"/>
      <w:r/>
      <w:bookmarkStart w:id="103" w:name="_Toc142311022"/>
      <w:r/>
      <w:bookmarkStart w:id="104" w:name="_Toc150774620"/>
      <w:r/>
      <w:bookmarkStart w:id="105" w:name="_Toc265228358"/>
      <w:r/>
      <w:bookmarkStart w:id="106" w:name="_Toc164229215"/>
      <w:r/>
      <w:bookmarkStart w:id="107" w:name="_Toc151193834"/>
      <w:r/>
      <w:bookmarkStart w:id="108" w:name="_Toc226337216"/>
      <w:r/>
      <w:bookmarkStart w:id="109" w:name="_Toc151190147"/>
      <w:r/>
      <w:bookmarkStart w:id="110" w:name="_Toc164229361"/>
      <w:r/>
      <w:bookmarkStart w:id="111" w:name="_Toc226965793"/>
      <w:r/>
      <w:bookmarkStart w:id="112" w:name="_Toc150480758"/>
      <w:r/>
      <w:bookmarkStart w:id="113" w:name="_Toc151193618"/>
      <w:r/>
      <w:bookmarkStart w:id="114" w:name="_Toc305158862"/>
      <w:r/>
      <w:bookmarkStart w:id="115" w:name="_Toc151193762"/>
      <w:r/>
      <w:bookmarkStart w:id="116" w:name="_Toc151193690"/>
      <w:r/>
      <w:bookmarkStart w:id="117" w:name="_Toc305158788"/>
      <w:r/>
      <w:bookmarkStart w:id="118" w:name="_Toc127151721"/>
      <w:r/>
      <w:bookmarkStart w:id="119" w:name="_Toc164608789"/>
      <w:r/>
      <w:bookmarkStart w:id="120" w:name="_Toc127161434"/>
      <w:r/>
      <w:bookmarkStart w:id="121" w:name="_Toc151193908"/>
      <w:r/>
      <w:bookmarkStart w:id="122" w:name="_Toc164608634"/>
      <w:r/>
      <w:bookmarkStart w:id="123" w:name="_Toc226965710"/>
      <w:r/>
      <w:bookmarkStart w:id="124" w:name="_Toc195842885"/>
      <w:r/>
      <w:bookmarkStart w:id="125" w:name="_Toc150774725"/>
      <w:r/>
      <w:bookmarkStart w:id="126" w:name="_Toc150509271"/>
      <w:r/>
      <w:bookmarkStart w:id="127" w:name="_Toc264969210"/>
      <w:r/>
      <w:bookmarkStart w:id="128" w:name="_Toc164351614"/>
      <w:r>
        <w:rPr>
          <w:color w:val="auto"/>
          <w:sz w:val="24"/>
          <w:highlight w:val="none"/>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若《供应商须知资料表》中规定了组织现场考察、召开磋商前答疑会，则供应商应按要求在规定的时间和地点参加。</w:t>
      </w:r>
      <w:bookmarkStart w:id="129" w:name="_Toc305158790"/>
      <w:r/>
      <w:bookmarkStart w:id="130" w:name="_Toc151193836"/>
      <w:r/>
      <w:bookmarkStart w:id="131" w:name="_Toc195842887"/>
      <w:r/>
      <w:bookmarkStart w:id="132" w:name="_Toc151193764"/>
      <w:r/>
      <w:bookmarkStart w:id="133" w:name="_Toc151193692"/>
      <w:r/>
      <w:bookmarkStart w:id="134" w:name="_Toc305158864"/>
      <w:r/>
      <w:bookmarkStart w:id="135" w:name="_Toc151193620"/>
      <w:r/>
      <w:bookmarkStart w:id="136" w:name="_Toc150480760"/>
      <w:r/>
      <w:bookmarkStart w:id="137" w:name="_Toc226965712"/>
      <w:r/>
      <w:bookmarkStart w:id="138" w:name="_Toc226965795"/>
      <w:r/>
      <w:bookmarkStart w:id="139" w:name="_Toc150774622"/>
      <w:r/>
      <w:bookmarkStart w:id="140" w:name="_Toc520356146"/>
      <w:r/>
      <w:bookmarkStart w:id="141" w:name="_Toc264969212"/>
      <w:r/>
      <w:bookmarkStart w:id="142" w:name="_Toc150509273"/>
      <w:r/>
      <w:bookmarkStart w:id="143" w:name="_Toc142311024"/>
      <w:r/>
      <w:bookmarkStart w:id="144" w:name="_Toc150774727"/>
      <w:r/>
      <w:bookmarkStart w:id="145" w:name="_Toc151190149"/>
      <w:r/>
      <w:bookmarkStart w:id="146" w:name="_Toc226337218"/>
      <w:r/>
      <w:bookmarkStart w:id="147" w:name="_Toc127151522"/>
      <w:r/>
      <w:bookmarkStart w:id="148" w:name="_Toc151193910"/>
      <w:r/>
      <w:bookmarkStart w:id="149" w:name="_Toc226309766"/>
      <w:r/>
      <w:bookmarkStart w:id="150" w:name="_Toc265228360"/>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pStyle w:val="924"/>
        <w:ind w:firstLine="480"/>
        <w:rPr>
          <w:color w:val="auto"/>
          <w:highlight w:val="none"/>
        </w:rPr>
      </w:pPr>
      <w:r>
        <w:rPr>
          <w:rFonts w:hint="eastAsia"/>
          <w:color w:val="auto"/>
          <w:highlight w:val="none"/>
        </w:rPr>
        <w:t xml:space="preserve">     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vanish/>
          <w:color w:val="auto"/>
          <w:sz w:val="24"/>
          <w:highlight w:val="none"/>
        </w:rPr>
      </w:pPr>
      <w:r>
        <w:rPr>
          <w:color w:val="auto"/>
          <w:sz w:val="24"/>
          <w:highlight w:val="none"/>
        </w:rPr>
        <w:t xml:space="preserve">中小企业定义：</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35"/>
        <w:spacing w:line="360" w:lineRule="auto"/>
        <w:tabs>
          <w:tab w:val="left" w:pos="1980" w:leader="none"/>
        </w:tabs>
        <w:rPr>
          <w:color w:val="auto"/>
          <w:sz w:val="24"/>
          <w:highlight w:val="none"/>
        </w:rPr>
      </w:pPr>
      <w:r>
        <w:rPr>
          <w:color w:val="auto"/>
          <w:sz w:val="24"/>
          <w:highlight w:val="none"/>
        </w:rPr>
        <w:t xml:space="preserve">供应商提供的货物、工程或者服务符合下列情形的，享受中小企业扶持政策：在工程采购项目中，工程由中小企业承建，即工程施工单位为中小企业；</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auto"/>
          <w:sz w:val="24"/>
          <w:highlight w:val="none"/>
        </w:rPr>
      </w:pPr>
      <w:r>
        <w:rPr>
          <w:color w:val="auto"/>
          <w:sz w:val="24"/>
          <w:highlight w:val="none"/>
        </w:rPr>
        <w:t xml:space="preserve">残疾人福利单位定义：享受政府采购支持政策的残疾人福利性单位应当同时满足以下条件：</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本项目是否专门面向中小企业预留采购份额见第一章《采购邀请》。</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采购标的对应的中小企业划分标准所属行业见《供应商须知资料表》。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ind w:left="1080"/>
        <w:spacing w:line="360" w:lineRule="auto"/>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ind w:left="1050"/>
        <w:spacing w:line="360" w:lineRule="auto"/>
        <w:tabs>
          <w:tab w:val="left" w:pos="2014" w:leader="none"/>
        </w:tabs>
        <w:rPr>
          <w:color w:val="auto"/>
          <w:sz w:val="24"/>
          <w:highlight w:val="none"/>
        </w:rPr>
      </w:pPr>
      <w:r>
        <w:rPr>
          <w:rFonts w:hint="eastAsia"/>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ind w:left="1050"/>
        <w:spacing w:line="360" w:lineRule="auto"/>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信息安全产品</w:t>
      </w:r>
      <w:r/>
    </w:p>
    <w:p>
      <w:pPr>
        <w:ind w:left="1050"/>
        <w:spacing w:line="360" w:lineRule="auto"/>
        <w:tabs>
          <w:tab w:val="left" w:pos="2014" w:leader="none"/>
        </w:tabs>
        <w:rPr>
          <w:rFonts w:hint="eastAsia"/>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绿色采购政策</w:t>
      </w:r>
      <w:r/>
    </w:p>
    <w:p>
      <w:pPr>
        <w:numPr>
          <w:ilvl w:val="2"/>
          <w:numId w:val="8"/>
        </w:numPr>
        <w:spacing w:line="360" w:lineRule="auto"/>
        <w:tabs>
          <w:tab w:val="left" w:pos="2014" w:leader="none"/>
        </w:tabs>
        <w:rPr>
          <w:rFonts w:hint="eastAsia"/>
          <w:color w:val="auto"/>
          <w:sz w:val="24"/>
          <w:highlight w:val="none"/>
        </w:rPr>
      </w:pPr>
      <w:r>
        <w:rPr>
          <w:rFonts w:hint="eastAsia"/>
          <w:color w:val="auto"/>
          <w:sz w:val="24"/>
          <w:highlight w:val="none"/>
        </w:rPr>
        <w:t xml:space="preserve">绿色数据中心政策 </w:t>
      </w:r>
      <w:r/>
    </w:p>
    <w:p>
      <w:pPr>
        <w:ind w:left="1080"/>
        <w:spacing w:line="360" w:lineRule="auto"/>
        <w:tabs>
          <w:tab w:val="left" w:pos="2014" w:leader="none"/>
        </w:tabs>
        <w:rPr>
          <w:rFonts w:hint="eastAsia"/>
          <w:color w:val="auto"/>
          <w:sz w:val="24"/>
          <w:highlight w:val="none"/>
        </w:rPr>
      </w:pPr>
      <w:r>
        <w:rPr>
          <w:rFonts w:hint="eastAsia"/>
          <w:color w:val="auto"/>
          <w:sz w:val="24"/>
          <w:highlight w:val="none"/>
        </w:rPr>
        <w:t xml:space="preserve">本项目不适用。</w:t>
      </w:r>
      <w:r/>
    </w:p>
    <w:p>
      <w:pPr>
        <w:numPr>
          <w:ilvl w:val="2"/>
          <w:numId w:val="8"/>
        </w:numPr>
        <w:spacing w:line="360" w:lineRule="auto"/>
        <w:tabs>
          <w:tab w:val="left" w:pos="2014" w:leader="none"/>
        </w:tabs>
        <w:rPr>
          <w:rFonts w:hint="eastAsia"/>
          <w:color w:val="auto"/>
          <w:sz w:val="24"/>
          <w:highlight w:val="none"/>
        </w:rPr>
      </w:pPr>
      <w:r>
        <w:rPr>
          <w:rFonts w:hint="eastAsia"/>
          <w:color w:val="auto"/>
          <w:sz w:val="24"/>
          <w:highlight w:val="none"/>
        </w:rPr>
        <w:t xml:space="preserve">推广应用绿色建材</w:t>
      </w:r>
      <w:r/>
    </w:p>
    <w:p>
      <w:pPr>
        <w:ind w:left="1080"/>
        <w:spacing w:line="360" w:lineRule="auto"/>
        <w:tabs>
          <w:tab w:val="left" w:pos="2014" w:leader="none"/>
        </w:tabs>
        <w:rPr>
          <w:rFonts w:hint="eastAsia"/>
          <w:color w:val="auto"/>
          <w:sz w:val="24"/>
          <w:highlight w:val="none"/>
        </w:rPr>
      </w:pPr>
      <w:r>
        <w:rPr>
          <w:rFonts w:hint="eastAsia"/>
          <w:color w:val="auto"/>
          <w:sz w:val="24"/>
          <w:highlight w:val="none"/>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p>
    <w:p>
      <w:pPr>
        <w:numPr>
          <w:ilvl w:val="2"/>
          <w:numId w:val="8"/>
        </w:numPr>
        <w:spacing w:line="360" w:lineRule="auto"/>
        <w:tabs>
          <w:tab w:val="left" w:pos="2014" w:leader="none"/>
        </w:tabs>
        <w:rPr>
          <w:rFonts w:hint="eastAsia"/>
          <w:color w:val="auto"/>
          <w:sz w:val="24"/>
          <w:highlight w:val="none"/>
        </w:rPr>
      </w:pPr>
      <w:r>
        <w:rPr>
          <w:rFonts w:hint="eastAsia"/>
          <w:color w:val="auto"/>
          <w:sz w:val="24"/>
          <w:highlight w:val="none"/>
        </w:rPr>
        <w:t xml:space="preserve">优先使用低挥发性有机化合物产品</w:t>
      </w:r>
      <w:r/>
    </w:p>
    <w:p>
      <w:pPr>
        <w:ind w:left="1050"/>
        <w:spacing w:line="360" w:lineRule="auto"/>
        <w:tabs>
          <w:tab w:val="left" w:pos="2014" w:leader="none"/>
        </w:tabs>
        <w:rPr>
          <w:color w:val="auto"/>
          <w:sz w:val="24"/>
          <w:highlight w:val="none"/>
        </w:rPr>
      </w:pPr>
      <w:r>
        <w:rPr>
          <w:rFonts w:hint="eastAsia"/>
          <w:color w:val="auto"/>
          <w:sz w:val="24"/>
          <w:highlight w:val="none"/>
        </w:rPr>
        <w:t xml:space="preserve">本项目落实挥发性有机化合物（VOCs）治理要求，若本项目中涉及涂料、胶黏剂、油墨、清洗剂等挥发性有机物产品的，属于强制性标准的，投标人应当提供符合国家和江苏省相关VOCs 含量限制标准的产品。</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51" w:name="_1.8_计量单位"/>
      <w:r/>
      <w:bookmarkEnd w:id="151"/>
      <w:r/>
      <w:r/>
    </w:p>
    <w:p>
      <w:pPr>
        <w:pStyle w:val="107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竞争性磋商文件</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
    </w:p>
    <w:p>
      <w:pPr>
        <w:numPr>
          <w:ilvl w:val="0"/>
          <w:numId w:val="8"/>
        </w:numPr>
        <w:ind w:left="357" w:hanging="357"/>
        <w:spacing w:line="360" w:lineRule="auto"/>
        <w:tabs>
          <w:tab w:val="left" w:pos="360" w:leader="none"/>
        </w:tabs>
        <w:rPr>
          <w:color w:val="auto"/>
          <w:sz w:val="24"/>
          <w:highlight w:val="none"/>
        </w:rPr>
        <w:outlineLvl w:val="1"/>
      </w:pPr>
      <w:r/>
      <w:bookmarkStart w:id="152" w:name="_Toc305158791"/>
      <w:r/>
      <w:bookmarkStart w:id="153" w:name="_Toc264969213"/>
      <w:r/>
      <w:bookmarkStart w:id="154" w:name="_Toc150774728"/>
      <w:r/>
      <w:bookmarkStart w:id="155" w:name="_Toc127151523"/>
      <w:r/>
      <w:bookmarkStart w:id="156" w:name="_Toc226337219"/>
      <w:r/>
      <w:bookmarkStart w:id="157" w:name="_Toc151193765"/>
      <w:r/>
      <w:bookmarkStart w:id="158" w:name="_Toc151193911"/>
      <w:r/>
      <w:bookmarkStart w:id="159" w:name="_Toc142311025"/>
      <w:r/>
      <w:bookmarkStart w:id="160" w:name="_Toc150509274"/>
      <w:r/>
      <w:bookmarkStart w:id="161" w:name="_Toc226309767"/>
      <w:r/>
      <w:bookmarkStart w:id="162" w:name="_Toc164351617"/>
      <w:r/>
      <w:bookmarkStart w:id="163" w:name="_Toc164229218"/>
      <w:r/>
      <w:bookmarkStart w:id="164" w:name="_Toc226965713"/>
      <w:r/>
      <w:bookmarkStart w:id="165" w:name="_Toc150774623"/>
      <w:r/>
      <w:bookmarkStart w:id="166" w:name="_Toc151190150"/>
      <w:r/>
      <w:bookmarkStart w:id="167" w:name="_Toc150480761"/>
      <w:r/>
      <w:bookmarkStart w:id="168" w:name="_Toc151193621"/>
      <w:r/>
      <w:bookmarkStart w:id="169" w:name="_Toc127151724"/>
      <w:r/>
      <w:bookmarkStart w:id="170" w:name="_Toc520356147"/>
      <w:r/>
      <w:bookmarkStart w:id="171" w:name="_Toc151193693"/>
      <w:r/>
      <w:bookmarkStart w:id="172" w:name="_Toc127161437"/>
      <w:r/>
      <w:bookmarkStart w:id="173" w:name="_Toc195842888"/>
      <w:r/>
      <w:bookmarkStart w:id="174" w:name="_Toc151193837"/>
      <w:r/>
      <w:bookmarkStart w:id="175" w:name="_Toc226965796"/>
      <w:r/>
      <w:bookmarkStart w:id="176" w:name="_Toc164608637"/>
      <w:r/>
      <w:bookmarkStart w:id="177" w:name="_Toc164229364"/>
      <w:r/>
      <w:bookmarkStart w:id="178" w:name="_Toc149720816"/>
      <w:r/>
      <w:bookmarkStart w:id="179" w:name="_Toc164608792"/>
      <w:r/>
      <w:bookmarkStart w:id="180" w:name="_Toc305158865"/>
      <w:r/>
      <w:bookmarkStart w:id="181" w:name="_Toc265228361"/>
      <w:r>
        <w:rPr>
          <w:color w:val="auto"/>
          <w:sz w:val="24"/>
          <w:highlight w:val="none"/>
        </w:rPr>
        <w:t xml:space="preserve">竞争性磋商文件构</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评审</w:t>
      </w:r>
      <w:r>
        <w:rPr>
          <w:rFonts w:hint="eastAsia"/>
          <w:color w:val="auto"/>
          <w:sz w:val="24"/>
          <w:highlight w:val="none"/>
        </w:rPr>
        <w:t xml:space="preserve">程序、评审</w:t>
      </w:r>
      <w:r>
        <w:rPr>
          <w:color w:val="auto"/>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磋商文件</w:t>
      </w:r>
      <w:r>
        <w:rPr>
          <w:color w:val="auto"/>
          <w:sz w:val="24"/>
          <w:highlight w:val="none"/>
        </w:rPr>
        <w:t xml:space="preserve">的</w:t>
      </w:r>
      <w:r>
        <w:rPr>
          <w:rFonts w:hint="eastAsia"/>
          <w:color w:val="auto"/>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highlight w:val="none"/>
        </w:rPr>
        <w:t xml:space="preserve">5</w:t>
      </w:r>
      <w:r>
        <w:rPr>
          <w:color w:val="auto"/>
          <w:sz w:val="24"/>
          <w:highlight w:val="none"/>
        </w:rPr>
        <w:t xml:space="preserve">日前</w:t>
      </w:r>
      <w:r>
        <w:rPr>
          <w:rFonts w:hint="eastAsia"/>
          <w:color w:val="auto"/>
          <w:sz w:val="24"/>
          <w:highlight w:val="none"/>
        </w:rPr>
        <w:t xml:space="preserve">，</w:t>
      </w:r>
      <w:r>
        <w:rPr>
          <w:color w:val="auto"/>
          <w:sz w:val="24"/>
          <w:highlight w:val="none"/>
        </w:rPr>
        <w:t xml:space="preserve">以更正公告形式通知所有获取</w:t>
      </w:r>
      <w:r>
        <w:rPr>
          <w:rFonts w:hint="eastAsia"/>
          <w:color w:val="auto"/>
          <w:sz w:val="24"/>
          <w:highlight w:val="none"/>
        </w:rPr>
        <w:t xml:space="preserve">磋商</w:t>
      </w:r>
      <w:r>
        <w:rPr>
          <w:color w:val="auto"/>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82" w:name="_Toc516367020"/>
      <w:r/>
      <w:bookmarkStart w:id="183" w:name="_Toc226965716"/>
      <w:r/>
      <w:bookmarkStart w:id="184" w:name="_Toc226309770"/>
      <w:r/>
      <w:bookmarkStart w:id="185" w:name="_Toc151193840"/>
      <w:r/>
      <w:bookmarkStart w:id="186" w:name="_Toc151193768"/>
      <w:r/>
      <w:bookmarkStart w:id="187" w:name="_Toc127151526"/>
      <w:r/>
      <w:bookmarkStart w:id="188" w:name="_Toc226337222"/>
      <w:r/>
      <w:bookmarkStart w:id="189" w:name="_Toc264969216"/>
      <w:r/>
      <w:bookmarkStart w:id="190" w:name="_Toc265228364"/>
      <w:r/>
      <w:bookmarkStart w:id="191" w:name="_Toc305158868"/>
      <w:r/>
      <w:bookmarkStart w:id="192" w:name="_Toc151193914"/>
      <w:r/>
      <w:bookmarkStart w:id="193" w:name="_Toc151190153"/>
      <w:r/>
      <w:bookmarkStart w:id="194" w:name="_Toc150509277"/>
      <w:r/>
      <w:bookmarkStart w:id="195" w:name="_Toc150774731"/>
      <w:r/>
      <w:bookmarkStart w:id="196" w:name="_Toc305158794"/>
      <w:r/>
      <w:bookmarkStart w:id="197" w:name="_Toc150774626"/>
      <w:r/>
      <w:bookmarkStart w:id="198" w:name="_Toc520356150"/>
      <w:r/>
      <w:bookmarkStart w:id="199" w:name="_Toc151193696"/>
      <w:r/>
      <w:bookmarkStart w:id="200" w:name="_Toc151193624"/>
      <w:r/>
      <w:bookmarkStart w:id="201" w:name="_Toc142311028"/>
      <w:r/>
      <w:bookmarkStart w:id="202" w:name="_Toc150480764"/>
      <w:r/>
      <w:bookmarkStart w:id="203" w:name="_Toc195842891"/>
      <w:r/>
      <w:bookmarkStart w:id="204" w:name="_Toc226965799"/>
      <w:r/>
      <w:r/>
    </w:p>
    <w:p>
      <w:pPr>
        <w:pStyle w:val="107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响应文件</w:t>
      </w:r>
      <w:bookmarkEnd w:id="182"/>
      <w:r>
        <w:rPr>
          <w:rFonts w:ascii="Times New Roman" w:hAnsi="Times New Roman" w:eastAsia="宋体"/>
          <w:color w:val="auto"/>
          <w:sz w:val="28"/>
          <w:highlight w:val="none"/>
        </w:rPr>
        <w:t xml:space="preserve">的编制</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
    </w:p>
    <w:p>
      <w:pPr>
        <w:numPr>
          <w:ilvl w:val="0"/>
          <w:numId w:val="8"/>
        </w:numPr>
        <w:ind w:left="357" w:hanging="357"/>
        <w:spacing w:line="360" w:lineRule="auto"/>
        <w:tabs>
          <w:tab w:val="left" w:pos="360" w:leader="none"/>
        </w:tabs>
        <w:rPr>
          <w:color w:val="auto"/>
          <w:sz w:val="24"/>
          <w:highlight w:val="none"/>
        </w:rPr>
        <w:outlineLvl w:val="1"/>
      </w:pPr>
      <w:r/>
      <w:bookmarkStart w:id="205" w:name="_Toc151193769"/>
      <w:r/>
      <w:bookmarkStart w:id="206" w:name="_Toc195842892"/>
      <w:r/>
      <w:bookmarkStart w:id="207" w:name="_Toc151193841"/>
      <w:r/>
      <w:bookmarkStart w:id="208" w:name="_Toc142311029"/>
      <w:r/>
      <w:bookmarkStart w:id="209" w:name="_Toc150480765"/>
      <w:r/>
      <w:bookmarkStart w:id="210" w:name="_Toc127151527"/>
      <w:r/>
      <w:bookmarkStart w:id="211" w:name="_Toc164351621"/>
      <w:r/>
      <w:bookmarkStart w:id="212" w:name="_Toc164229368"/>
      <w:r/>
      <w:bookmarkStart w:id="213" w:name="_Toc149720820"/>
      <w:r/>
      <w:bookmarkStart w:id="214" w:name="_Toc265228365"/>
      <w:r/>
      <w:bookmarkStart w:id="215" w:name="_Toc164608796"/>
      <w:r/>
      <w:bookmarkStart w:id="216" w:name="_Toc516367021"/>
      <w:r/>
      <w:bookmarkStart w:id="217" w:name="_Toc151190154"/>
      <w:r/>
      <w:bookmarkStart w:id="218" w:name="_Toc305158795"/>
      <w:r/>
      <w:bookmarkStart w:id="219" w:name="_Toc151193697"/>
      <w:r/>
      <w:bookmarkStart w:id="220" w:name="_Toc127161441"/>
      <w:r/>
      <w:bookmarkStart w:id="221" w:name="_Toc150774627"/>
      <w:r/>
      <w:bookmarkStart w:id="222" w:name="_Toc305158869"/>
      <w:r/>
      <w:bookmarkStart w:id="223" w:name="_Toc164229222"/>
      <w:r/>
      <w:bookmarkStart w:id="224" w:name="_Toc520356151"/>
      <w:r/>
      <w:bookmarkStart w:id="225" w:name="_Toc127151728"/>
      <w:r/>
      <w:bookmarkStart w:id="226" w:name="_Toc150774732"/>
      <w:r/>
      <w:bookmarkStart w:id="227" w:name="_Toc226309771"/>
      <w:r/>
      <w:bookmarkStart w:id="228" w:name="_Toc164608641"/>
      <w:r/>
      <w:bookmarkStart w:id="229" w:name="_Toc226337223"/>
      <w:r/>
      <w:bookmarkStart w:id="230" w:name="_Toc264969217"/>
      <w:r/>
      <w:bookmarkStart w:id="231" w:name="_Toc151193915"/>
      <w:r/>
      <w:bookmarkStart w:id="232" w:name="_Toc226965800"/>
      <w:r/>
      <w:bookmarkStart w:id="233" w:name="_Toc151193625"/>
      <w:r/>
      <w:bookmarkStart w:id="234" w:name="_Toc150509278"/>
      <w:r/>
      <w:bookmarkStart w:id="235" w:name="_Toc226965717"/>
      <w:r>
        <w:rPr>
          <w:color w:val="auto"/>
          <w:sz w:val="24"/>
          <w:highlight w:val="none"/>
        </w:rPr>
        <w:t xml:space="preserve">响应范围、竞争性磋商文件中计量单位的使用</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auto"/>
          <w:sz w:val="24"/>
          <w:highlight w:val="none"/>
        </w:rPr>
        <w:outlineLvl w:val="1"/>
      </w:pPr>
      <w:r/>
      <w:bookmarkStart w:id="236" w:name="_Ref467306676"/>
      <w:r/>
      <w:bookmarkStart w:id="237" w:name="_Ref467306195"/>
      <w:r/>
      <w:bookmarkStart w:id="238" w:name="_Toc516367022"/>
      <w:r/>
      <w:bookmarkStart w:id="239" w:name="_Toc127161442"/>
      <w:r/>
      <w:bookmarkStart w:id="240" w:name="_Toc164351622"/>
      <w:r/>
      <w:bookmarkStart w:id="241" w:name="_Toc151193842"/>
      <w:r/>
      <w:bookmarkStart w:id="242" w:name="_Toc520356152"/>
      <w:r/>
      <w:bookmarkStart w:id="243" w:name="_Toc150480766"/>
      <w:r/>
      <w:bookmarkStart w:id="244" w:name="_Toc164229369"/>
      <w:r/>
      <w:bookmarkStart w:id="245" w:name="_Toc305158796"/>
      <w:r/>
      <w:bookmarkStart w:id="246" w:name="_Toc195842893"/>
      <w:r/>
      <w:bookmarkStart w:id="247" w:name="_Toc151193626"/>
      <w:r/>
      <w:bookmarkStart w:id="248" w:name="_Toc151193770"/>
      <w:r/>
      <w:bookmarkStart w:id="249" w:name="_Toc151190155"/>
      <w:r/>
      <w:bookmarkStart w:id="250" w:name="_Toc142311030"/>
      <w:r/>
      <w:bookmarkStart w:id="251" w:name="_Toc226309772"/>
      <w:r/>
      <w:bookmarkStart w:id="252" w:name="_Toc149720821"/>
      <w:r/>
      <w:bookmarkStart w:id="253" w:name="_Toc164608797"/>
      <w:r/>
      <w:bookmarkStart w:id="254" w:name="_Toc150509279"/>
      <w:r/>
      <w:bookmarkStart w:id="255" w:name="_Toc226965801"/>
      <w:r/>
      <w:bookmarkStart w:id="256" w:name="_Toc151193916"/>
      <w:r/>
      <w:bookmarkStart w:id="257" w:name="_Toc127151528"/>
      <w:r/>
      <w:bookmarkStart w:id="258" w:name="_Toc127151729"/>
      <w:r/>
      <w:bookmarkStart w:id="259" w:name="_Toc305158870"/>
      <w:r/>
      <w:bookmarkStart w:id="260" w:name="_Toc151193698"/>
      <w:r/>
      <w:bookmarkStart w:id="261" w:name="_Toc150774733"/>
      <w:r/>
      <w:bookmarkStart w:id="262" w:name="_Toc164608642"/>
      <w:r/>
      <w:bookmarkStart w:id="263" w:name="_Toc264969218"/>
      <w:r/>
      <w:bookmarkStart w:id="264" w:name="_Toc226337224"/>
      <w:r/>
      <w:bookmarkStart w:id="265" w:name="_Toc226965718"/>
      <w:r/>
      <w:bookmarkStart w:id="266" w:name="_Toc265228366"/>
      <w:r/>
      <w:bookmarkStart w:id="267" w:name="_Toc164229223"/>
      <w:r/>
      <w:bookmarkStart w:id="268" w:name="_Toc150774628"/>
      <w:r>
        <w:rPr>
          <w:color w:val="auto"/>
          <w:sz w:val="24"/>
          <w:highlight w:val="none"/>
        </w:rPr>
        <w:t xml:space="preserve">响应文件</w:t>
      </w:r>
      <w:bookmarkEnd w:id="236"/>
      <w:r/>
      <w:bookmarkEnd w:id="237"/>
      <w:r/>
      <w:bookmarkEnd w:id="238"/>
      <w:r>
        <w:rPr>
          <w:color w:val="auto"/>
          <w:sz w:val="24"/>
          <w:highlight w:val="none"/>
        </w:rPr>
        <w:t xml:space="preserve">构成</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69" w:name="_Ref467052588"/>
      <w:r>
        <w:rPr>
          <w:color w:val="auto"/>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auto"/>
          <w:highlight w:val="none"/>
        </w:rPr>
      </w:pPr>
      <w:r>
        <w:rPr>
          <w:color w:val="auto"/>
          <w:sz w:val="24"/>
          <w:highlight w:val="none"/>
        </w:rPr>
        <w:t xml:space="preserve">供应商认为应附的其他材料。</w:t>
      </w:r>
      <w:bookmarkEnd w:id="269"/>
      <w:r/>
      <w:r/>
    </w:p>
    <w:p>
      <w:pPr>
        <w:numPr>
          <w:ilvl w:val="0"/>
          <w:numId w:val="8"/>
        </w:numPr>
        <w:ind w:left="357" w:hanging="357"/>
        <w:spacing w:line="360" w:lineRule="auto"/>
        <w:tabs>
          <w:tab w:val="left" w:pos="360" w:leader="none"/>
        </w:tabs>
        <w:rPr>
          <w:color w:val="auto"/>
          <w:sz w:val="24"/>
          <w:highlight w:val="none"/>
        </w:rPr>
        <w:outlineLvl w:val="1"/>
      </w:pPr>
      <w:r/>
      <w:bookmarkStart w:id="270" w:name="_Toc150480768"/>
      <w:r/>
      <w:bookmarkStart w:id="271" w:name="_Toc151193700"/>
      <w:r/>
      <w:bookmarkStart w:id="272" w:name="_Toc127151731"/>
      <w:r/>
      <w:bookmarkStart w:id="273" w:name="_Toc164608644"/>
      <w:r/>
      <w:bookmarkStart w:id="274" w:name="_Toc151193628"/>
      <w:r/>
      <w:bookmarkStart w:id="275" w:name="_Toc164229225"/>
      <w:r/>
      <w:bookmarkStart w:id="276" w:name="_Toc142311032"/>
      <w:r/>
      <w:bookmarkStart w:id="277" w:name="_Toc151193772"/>
      <w:r/>
      <w:bookmarkStart w:id="278" w:name="_Toc151193844"/>
      <w:r/>
      <w:bookmarkStart w:id="279" w:name="_Toc151190157"/>
      <w:r/>
      <w:bookmarkStart w:id="280" w:name="_Toc127151530"/>
      <w:r/>
      <w:bookmarkStart w:id="281" w:name="_Toc164229371"/>
      <w:r/>
      <w:bookmarkStart w:id="282" w:name="_Toc164608799"/>
      <w:r/>
      <w:bookmarkStart w:id="283" w:name="_Toc195842895"/>
      <w:r/>
      <w:bookmarkStart w:id="284" w:name="_Toc151193918"/>
      <w:r/>
      <w:bookmarkStart w:id="285" w:name="_Toc150774630"/>
      <w:r/>
      <w:bookmarkStart w:id="286" w:name="_Toc164351624"/>
      <w:r/>
      <w:bookmarkStart w:id="287" w:name="_Toc150509281"/>
      <w:r/>
      <w:bookmarkStart w:id="288" w:name="_Toc150774735"/>
      <w:r/>
      <w:bookmarkStart w:id="289" w:name="_Toc149720823"/>
      <w:r/>
      <w:bookmarkStart w:id="290" w:name="_Toc127161444"/>
      <w:r/>
      <w:bookmarkStart w:id="291" w:name="_Toc520356155"/>
      <w:r>
        <w:rPr>
          <w:color w:val="auto"/>
          <w:sz w:val="24"/>
          <w:highlight w:val="none"/>
        </w:rPr>
        <w:t xml:space="preserve">报价</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所有响应均以人民币报价。</w:t>
      </w:r>
      <w:r/>
    </w:p>
    <w:p>
      <w:pPr>
        <w:numPr>
          <w:ilvl w:val="1"/>
          <w:numId w:val="8"/>
        </w:numPr>
        <w:spacing w:line="360" w:lineRule="auto"/>
        <w:tabs>
          <w:tab w:val="left" w:pos="1080"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w:t>
      </w:r>
      <w:r>
        <w:rPr>
          <w:rFonts w:hint="eastAsia"/>
          <w:color w:val="auto"/>
          <w:sz w:val="24"/>
          <w:highlight w:val="none"/>
        </w:rPr>
        <w:t xml:space="preserve">供应商的报价应包括但不限于下列内容，《供应商须知资料表》中有特殊规定的，从其规定。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auto"/>
          <w:sz w:val="24"/>
          <w:highlight w:val="none"/>
        </w:rPr>
      </w:pPr>
      <w:r>
        <w:rPr>
          <w:color w:val="auto"/>
          <w:sz w:val="24"/>
          <w:highlight w:val="none"/>
        </w:rPr>
        <w:t xml:space="preserve">按照竞争性磋商文件要求完成本项</w:t>
      </w:r>
      <w:r>
        <w:rPr>
          <w:rFonts w:hint="eastAsia"/>
          <w:color w:val="auto"/>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供应商不能提供任何有选择性或可调整的最终报价（竞争性磋商文件另有规定的除外），否则其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磋商保证金</w:t>
      </w:r>
      <w:r/>
    </w:p>
    <w:p>
      <w:pPr>
        <w:ind w:firstLine="360"/>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292" w:name="_Toc127151533"/>
      <w:r/>
      <w:bookmarkStart w:id="293" w:name="_Toc150774633"/>
      <w:r/>
      <w:bookmarkStart w:id="294" w:name="_Toc226965723"/>
      <w:r/>
      <w:bookmarkStart w:id="295" w:name="_Toc151190160"/>
      <w:r/>
      <w:bookmarkStart w:id="296" w:name="_Toc151193921"/>
      <w:r/>
      <w:bookmarkStart w:id="297" w:name="_Toc164229374"/>
      <w:r/>
      <w:bookmarkStart w:id="298" w:name="_Toc127161447"/>
      <w:r/>
      <w:bookmarkStart w:id="299" w:name="_Toc264969223"/>
      <w:r/>
      <w:bookmarkStart w:id="300" w:name="_Toc520356158"/>
      <w:r/>
      <w:bookmarkStart w:id="301" w:name="_Toc164608802"/>
      <w:r/>
      <w:bookmarkStart w:id="302" w:name="_Toc305158801"/>
      <w:r/>
      <w:bookmarkStart w:id="303" w:name="_Toc305158875"/>
      <w:r/>
      <w:bookmarkStart w:id="304" w:name="_Toc151193631"/>
      <w:r/>
      <w:bookmarkStart w:id="305" w:name="_Toc142311035"/>
      <w:r/>
      <w:bookmarkStart w:id="306" w:name="_Toc151193847"/>
      <w:r/>
      <w:bookmarkStart w:id="307" w:name="_Toc164608647"/>
      <w:r/>
      <w:bookmarkStart w:id="308" w:name="_Toc265228371"/>
      <w:r/>
      <w:bookmarkStart w:id="309" w:name="_Toc150480771"/>
      <w:r/>
      <w:bookmarkStart w:id="310" w:name="_Toc164229228"/>
      <w:r/>
      <w:bookmarkStart w:id="311" w:name="_Toc164351627"/>
      <w:r/>
      <w:bookmarkStart w:id="312" w:name="_Toc226965806"/>
      <w:r/>
      <w:bookmarkStart w:id="313" w:name="_Toc127151734"/>
      <w:r/>
      <w:bookmarkStart w:id="314" w:name="_Toc149720826"/>
      <w:r/>
      <w:bookmarkStart w:id="315" w:name="_Toc226337229"/>
      <w:r/>
      <w:bookmarkStart w:id="316" w:name="_Toc195842898"/>
      <w:r/>
      <w:bookmarkStart w:id="317" w:name="_Toc150774738"/>
      <w:r/>
      <w:bookmarkStart w:id="318" w:name="_Toc150509284"/>
      <w:r/>
      <w:bookmarkStart w:id="319" w:name="_Toc151193703"/>
      <w:r/>
      <w:bookmarkStart w:id="320" w:name="_Toc151193775"/>
      <w:r/>
      <w:bookmarkStart w:id="321" w:name="_Toc226309777"/>
      <w:r>
        <w:rPr>
          <w:color w:val="auto"/>
          <w:sz w:val="24"/>
          <w:highlight w:val="none"/>
        </w:rPr>
        <w:t xml:space="preserve">响应文件的签署</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color w:val="auto"/>
          <w:sz w:val="24"/>
          <w:highlight w:val="none"/>
        </w:rPr>
        <w:t xml:space="preserve">、盖章</w:t>
      </w:r>
      <w:r/>
    </w:p>
    <w:p>
      <w:pPr>
        <w:numPr>
          <w:ilvl w:val="1"/>
          <w:numId w:val="8"/>
        </w:numPr>
        <w:spacing w:line="360" w:lineRule="auto"/>
        <w:tabs>
          <w:tab w:val="left" w:pos="1080" w:leader="none"/>
        </w:tabs>
        <w:rPr>
          <w:color w:val="auto"/>
          <w:sz w:val="24"/>
          <w:highlight w:val="none"/>
        </w:rPr>
      </w:pPr>
      <w:r/>
      <w:bookmarkStart w:id="322" w:name="_Toc305158802"/>
      <w:r/>
      <w:bookmarkStart w:id="323" w:name="_Toc151193848"/>
      <w:r/>
      <w:bookmarkStart w:id="324" w:name="_Toc150480772"/>
      <w:r/>
      <w:bookmarkStart w:id="325" w:name="_Toc520356159"/>
      <w:r/>
      <w:bookmarkStart w:id="326" w:name="_Toc226337230"/>
      <w:r/>
      <w:bookmarkStart w:id="327" w:name="_Toc151193922"/>
      <w:r/>
      <w:bookmarkStart w:id="328" w:name="_Toc264969224"/>
      <w:r/>
      <w:bookmarkStart w:id="329" w:name="_Toc151190161"/>
      <w:r/>
      <w:bookmarkStart w:id="330" w:name="_Toc150509285"/>
      <w:r/>
      <w:bookmarkStart w:id="331" w:name="_Toc151193776"/>
      <w:r/>
      <w:bookmarkStart w:id="332" w:name="_Toc151193632"/>
      <w:r/>
      <w:bookmarkStart w:id="333" w:name="_Toc226965724"/>
      <w:r/>
      <w:bookmarkStart w:id="334" w:name="_Toc265228372"/>
      <w:r/>
      <w:bookmarkStart w:id="335" w:name="_Toc195842899"/>
      <w:r/>
      <w:bookmarkStart w:id="336" w:name="_Toc127151534"/>
      <w:r/>
      <w:bookmarkStart w:id="337" w:name="_Toc226965807"/>
      <w:r/>
      <w:bookmarkStart w:id="338" w:name="_Toc142311036"/>
      <w:r/>
      <w:bookmarkStart w:id="339" w:name="_Toc151193704"/>
      <w:r/>
      <w:bookmarkStart w:id="340" w:name="_Toc305158876"/>
      <w:r/>
      <w:bookmarkStart w:id="341" w:name="_Toc226309778"/>
      <w:r/>
      <w:bookmarkStart w:id="342" w:name="_Toc150774634"/>
      <w:r/>
      <w:bookmarkStart w:id="343" w:name="_Toc150774739"/>
      <w:r>
        <w:rPr>
          <w:color w:val="auto"/>
          <w:sz w:val="24"/>
          <w:highlight w:val="none"/>
        </w:rPr>
        <w:t xml:space="preserve">竞争性磋商文件要求签字的内容（如授权委托书等），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竞争性磋商文件要求盖章的内容，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07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numPr>
          <w:ilvl w:val="0"/>
          <w:numId w:val="8"/>
        </w:numPr>
        <w:ind w:left="357" w:hanging="357"/>
        <w:spacing w:line="360" w:lineRule="auto"/>
        <w:tabs>
          <w:tab w:val="left" w:pos="360" w:leader="none"/>
        </w:tabs>
        <w:rPr>
          <w:color w:val="auto"/>
          <w:sz w:val="24"/>
          <w:highlight w:val="none"/>
        </w:rPr>
        <w:outlineLvl w:val="1"/>
      </w:pPr>
      <w:r/>
      <w:bookmarkStart w:id="344" w:name="_Toc151193923"/>
      <w:r/>
      <w:bookmarkStart w:id="345" w:name="_Toc149720828"/>
      <w:r/>
      <w:bookmarkStart w:id="346" w:name="_Toc164229376"/>
      <w:r/>
      <w:bookmarkStart w:id="347" w:name="_Toc150774740"/>
      <w:r/>
      <w:bookmarkStart w:id="348" w:name="_Toc151193849"/>
      <w:r/>
      <w:bookmarkStart w:id="349" w:name="_Toc265228373"/>
      <w:r/>
      <w:bookmarkStart w:id="350" w:name="_Toc150509286"/>
      <w:r/>
      <w:bookmarkStart w:id="351" w:name="_Toc127151535"/>
      <w:r/>
      <w:bookmarkStart w:id="352" w:name="_Toc127151736"/>
      <w:r/>
      <w:bookmarkStart w:id="353" w:name="_Toc164229230"/>
      <w:r/>
      <w:bookmarkStart w:id="354" w:name="_Toc151193633"/>
      <w:r/>
      <w:bookmarkStart w:id="355" w:name="_Toc127161449"/>
      <w:r/>
      <w:bookmarkStart w:id="356" w:name="_Toc226309779"/>
      <w:r/>
      <w:bookmarkStart w:id="357" w:name="_Toc150774635"/>
      <w:r/>
      <w:bookmarkStart w:id="358" w:name="_Toc305158803"/>
      <w:r/>
      <w:bookmarkStart w:id="359" w:name="_Toc264969225"/>
      <w:r/>
      <w:bookmarkStart w:id="360" w:name="_Toc151190162"/>
      <w:r/>
      <w:bookmarkStart w:id="361" w:name="_Toc151193705"/>
      <w:r/>
      <w:bookmarkStart w:id="362" w:name="_Toc142311037"/>
      <w:r/>
      <w:bookmarkStart w:id="363" w:name="_Toc305158877"/>
      <w:r/>
      <w:bookmarkStart w:id="364" w:name="_Toc226965725"/>
      <w:r/>
      <w:bookmarkStart w:id="365" w:name="_Toc226337231"/>
      <w:r/>
      <w:bookmarkStart w:id="366" w:name="_Toc520356160"/>
      <w:r/>
      <w:bookmarkStart w:id="367" w:name="_Toc150480773"/>
      <w:r/>
      <w:bookmarkStart w:id="368" w:name="_Toc195842900"/>
      <w:r/>
      <w:bookmarkStart w:id="369" w:name="_Toc164608649"/>
      <w:r/>
      <w:bookmarkStart w:id="370" w:name="_Toc164608804"/>
      <w:r/>
      <w:bookmarkStart w:id="371" w:name="_Toc226965808"/>
      <w:r/>
      <w:bookmarkStart w:id="372" w:name="_Toc164351629"/>
      <w:r/>
      <w:bookmarkStart w:id="373" w:name="_Toc151193777"/>
      <w:r>
        <w:rPr>
          <w:color w:val="auto"/>
          <w:sz w:val="24"/>
          <w:highlight w:val="none"/>
        </w:rPr>
        <w:t xml:space="preserve">响应文件的</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eastAsia="zh-CN"/>
        </w:rPr>
        <w:t xml:space="preserve">“苏采云”</w:t>
      </w:r>
      <w:r>
        <w:rPr>
          <w:rFonts w:hint="eastAsia"/>
          <w:color w:val="auto"/>
          <w:sz w:val="24"/>
          <w:highlight w:val="none"/>
          <w:lang w:val="en-US" w:eastAsia="zh-CN"/>
        </w:rPr>
        <w:t xml:space="preserve">平台</w:t>
      </w:r>
      <w:r>
        <w:rPr>
          <w:color w:val="auto"/>
          <w:sz w:val="24"/>
          <w:highlight w:val="none"/>
        </w:rPr>
        <w:t xml:space="preserve">。供应商根据竞争性磋商文件及</w:t>
      </w:r>
      <w:r>
        <w:rPr>
          <w:rFonts w:hint="eastAsia"/>
          <w:color w:val="auto"/>
          <w:sz w:val="24"/>
          <w:highlight w:val="none"/>
          <w:lang w:eastAsia="zh-CN"/>
        </w:rPr>
        <w:t xml:space="preserve">“苏采云”</w:t>
      </w:r>
      <w:r>
        <w:rPr>
          <w:color w:val="auto"/>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auto"/>
          <w:sz w:val="24"/>
          <w:highlight w:val="none"/>
        </w:rPr>
        <w:outlineLvl w:val="1"/>
      </w:pPr>
      <w:r/>
      <w:bookmarkStart w:id="374" w:name="_Toc305158804"/>
      <w:r/>
      <w:bookmarkStart w:id="375" w:name="_Toc151193778"/>
      <w:r/>
      <w:bookmarkStart w:id="376" w:name="_Toc226965726"/>
      <w:r/>
      <w:bookmarkStart w:id="377" w:name="_Toc127151737"/>
      <w:r/>
      <w:bookmarkStart w:id="378" w:name="_Toc164608805"/>
      <w:r/>
      <w:bookmarkStart w:id="379" w:name="_Toc142311038"/>
      <w:r/>
      <w:bookmarkStart w:id="380" w:name="_Toc226337232"/>
      <w:r/>
      <w:bookmarkStart w:id="381" w:name="_Toc151193634"/>
      <w:r/>
      <w:bookmarkStart w:id="382" w:name="_Toc164229377"/>
      <w:r/>
      <w:bookmarkStart w:id="383" w:name="_Toc164229231"/>
      <w:r/>
      <w:bookmarkStart w:id="384" w:name="_Toc226965809"/>
      <w:r/>
      <w:bookmarkStart w:id="385" w:name="_Toc151193924"/>
      <w:r/>
      <w:bookmarkStart w:id="386" w:name="_Toc265228374"/>
      <w:r/>
      <w:bookmarkStart w:id="387" w:name="_Toc226309780"/>
      <w:r/>
      <w:bookmarkStart w:id="388" w:name="_Toc195842901"/>
      <w:r/>
      <w:bookmarkStart w:id="389" w:name="_Toc164608650"/>
      <w:r/>
      <w:bookmarkStart w:id="390" w:name="_Toc151193706"/>
      <w:r/>
      <w:bookmarkStart w:id="391" w:name="_Toc127151536"/>
      <w:r/>
      <w:bookmarkStart w:id="392" w:name="_Toc150774636"/>
      <w:r/>
      <w:bookmarkStart w:id="393" w:name="_Toc150480774"/>
      <w:r/>
      <w:bookmarkStart w:id="394" w:name="_Toc305158878"/>
      <w:r/>
      <w:bookmarkStart w:id="395" w:name="_Toc164351630"/>
      <w:r/>
      <w:bookmarkStart w:id="396" w:name="_Toc149720829"/>
      <w:r/>
      <w:bookmarkStart w:id="397" w:name="_Toc127161450"/>
      <w:r/>
      <w:bookmarkStart w:id="398" w:name="_Toc150509287"/>
      <w:r/>
      <w:bookmarkStart w:id="399" w:name="_Toc151190163"/>
      <w:r/>
      <w:bookmarkStart w:id="400" w:name="_Toc520356161"/>
      <w:r/>
      <w:bookmarkStart w:id="401" w:name="_Toc150774741"/>
      <w:r/>
      <w:bookmarkStart w:id="402" w:name="_Toc264969226"/>
      <w:r/>
      <w:bookmarkStart w:id="403" w:name="_Toc151193850"/>
      <w:r>
        <w:rPr>
          <w:color w:val="auto"/>
          <w:sz w:val="24"/>
          <w:highlight w:val="none"/>
        </w:rPr>
        <w:t xml:space="preserve">响应文件截止</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供应商应在竞争性磋商文件要求提交响应文件截止时间前，将电子响应文件提交至</w:t>
      </w:r>
      <w:r>
        <w:rPr>
          <w:rFonts w:hint="eastAsia"/>
          <w:color w:val="auto"/>
          <w:sz w:val="24"/>
          <w:highlight w:val="none"/>
          <w:lang w:eastAsia="zh-CN"/>
        </w:rPr>
        <w:t xml:space="preserve">“苏采云”</w:t>
      </w:r>
      <w:r>
        <w:rPr>
          <w:rFonts w:hint="eastAsia"/>
          <w:color w:val="auto"/>
          <w:sz w:val="24"/>
          <w:highlight w:val="none"/>
          <w:lang w:val="en-US" w:eastAsia="zh-CN"/>
        </w:rPr>
        <w:t xml:space="preserve">平台</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04" w:name="_Toc305158805"/>
      <w:r/>
      <w:bookmarkStart w:id="405" w:name="_Toc305158879"/>
      <w:r/>
      <w:bookmarkStart w:id="406" w:name="_Toc142311039"/>
      <w:r/>
      <w:bookmarkStart w:id="407" w:name="_Toc127151738"/>
      <w:r/>
      <w:bookmarkStart w:id="408" w:name="_Toc149720830"/>
      <w:r/>
      <w:bookmarkStart w:id="409" w:name="_Toc226965810"/>
      <w:r/>
      <w:bookmarkStart w:id="410" w:name="_Toc164229232"/>
      <w:r/>
      <w:bookmarkStart w:id="411" w:name="_Toc226309781"/>
      <w:r/>
      <w:bookmarkStart w:id="412" w:name="_Toc150509288"/>
      <w:r/>
      <w:bookmarkStart w:id="413" w:name="_Toc151193925"/>
      <w:r/>
      <w:bookmarkStart w:id="414" w:name="_Toc151193635"/>
      <w:r/>
      <w:bookmarkStart w:id="415" w:name="_Toc150774637"/>
      <w:r/>
      <w:bookmarkStart w:id="416" w:name="_Toc151193851"/>
      <w:r/>
      <w:bookmarkStart w:id="417" w:name="_Toc226337233"/>
      <w:r/>
      <w:bookmarkStart w:id="418" w:name="_Toc164351631"/>
      <w:r/>
      <w:bookmarkStart w:id="419" w:name="_Toc164608806"/>
      <w:r/>
      <w:bookmarkStart w:id="420" w:name="_Toc127151537"/>
      <w:r/>
      <w:bookmarkStart w:id="421" w:name="_Toc195842902"/>
      <w:r/>
      <w:bookmarkStart w:id="422" w:name="_Toc151190164"/>
      <w:r/>
      <w:bookmarkStart w:id="423" w:name="_Toc151193779"/>
      <w:r/>
      <w:bookmarkStart w:id="424" w:name="_Toc150774742"/>
      <w:r/>
      <w:bookmarkStart w:id="425" w:name="_Toc226965727"/>
      <w:r/>
      <w:bookmarkStart w:id="426" w:name="_Toc264969227"/>
      <w:r/>
      <w:bookmarkStart w:id="427" w:name="_Toc150480775"/>
      <w:r/>
      <w:bookmarkStart w:id="428" w:name="_Toc164608651"/>
      <w:r/>
      <w:bookmarkStart w:id="429" w:name="_Toc127161451"/>
      <w:r/>
      <w:bookmarkStart w:id="430" w:name="_Toc164229378"/>
      <w:r/>
      <w:bookmarkStart w:id="431" w:name="_Toc520356162"/>
      <w:r/>
      <w:bookmarkStart w:id="432" w:name="_Toc265228375"/>
      <w:r/>
      <w:bookmarkStart w:id="433" w:name="_Toc151193707"/>
      <w:r>
        <w:rPr>
          <w:color w:val="auto"/>
          <w:sz w:val="24"/>
          <w:highlight w:val="none"/>
        </w:rPr>
        <w:t xml:space="preserve">响应文件的修改与撤回</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提交响应文件截止时间前，供应商可以通过电子交易平台对所提交的响应文件进行补充、修改或者撤回。磋商保证金</w:t>
      </w:r>
      <w:r>
        <w:rPr>
          <w:rFonts w:hint="eastAsia"/>
          <w:color w:val="auto"/>
          <w:sz w:val="24"/>
          <w:highlight w:val="none"/>
        </w:rPr>
        <w:t xml:space="preserve">的</w:t>
      </w:r>
      <w:r>
        <w:rPr>
          <w:color w:val="auto"/>
          <w:sz w:val="24"/>
          <w:highlight w:val="none"/>
        </w:rPr>
        <w:t xml:space="preserve">补充、修改或者撤回</w:t>
      </w:r>
      <w:r>
        <w:rPr>
          <w:rFonts w:hint="eastAsia"/>
          <w:color w:val="auto"/>
          <w:sz w:val="24"/>
          <w:highlight w:val="none"/>
        </w:rPr>
        <w:t xml:space="preserve">无需</w:t>
      </w:r>
      <w:r>
        <w:rPr>
          <w:color w:val="auto"/>
          <w:sz w:val="24"/>
          <w:highlight w:val="none"/>
        </w:rPr>
        <w:t xml:space="preserve">通过电子交易平台</w:t>
      </w:r>
      <w:r>
        <w:rPr>
          <w:rFonts w:hint="eastAsia"/>
          <w:color w:val="auto"/>
          <w:sz w:val="24"/>
          <w:highlight w:val="none"/>
        </w:rPr>
        <w:t xml:space="preserve">，</w:t>
      </w:r>
      <w:r>
        <w:rPr>
          <w:color w:val="auto"/>
          <w:sz w:val="24"/>
          <w:highlight w:val="none"/>
        </w:rPr>
        <w:t xml:space="preserve">但应</w:t>
      </w:r>
      <w:r>
        <w:rPr>
          <w:rFonts w:hint="eastAsia"/>
          <w:color w:val="auto"/>
          <w:sz w:val="24"/>
          <w:highlight w:val="none"/>
        </w:rPr>
        <w:t xml:space="preserve">就其</w:t>
      </w:r>
      <w:r>
        <w:rPr>
          <w:color w:val="auto"/>
          <w:sz w:val="24"/>
          <w:highlight w:val="none"/>
        </w:rPr>
        <w:t xml:space="preserve">补充、修改或者撤回</w:t>
      </w:r>
      <w:r>
        <w:rPr>
          <w:rFonts w:hint="eastAsia"/>
          <w:color w:val="auto"/>
          <w:sz w:val="24"/>
          <w:highlight w:val="none"/>
        </w:rPr>
        <w:t xml:space="preserve">通知</w:t>
      </w:r>
      <w:r>
        <w:rPr>
          <w:color w:val="auto"/>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auto"/>
          <w:sz w:val="24"/>
          <w:highlight w:val="none"/>
        </w:rPr>
      </w:pPr>
      <w:r>
        <w:rPr>
          <w:color w:val="auto"/>
          <w:sz w:val="24"/>
          <w:highlight w:val="none"/>
        </w:rPr>
      </w:r>
      <w:r/>
    </w:p>
    <w:p>
      <w:pPr>
        <w:pStyle w:val="1074"/>
        <w:spacing w:before="0" w:line="360" w:lineRule="auto"/>
        <w:rPr>
          <w:rFonts w:ascii="Times New Roman" w:hAnsi="Times New Roman" w:eastAsia="宋体"/>
          <w:color w:val="auto"/>
          <w:sz w:val="28"/>
          <w:highlight w:val="none"/>
        </w:rPr>
      </w:pPr>
      <w:r/>
      <w:bookmarkStart w:id="434" w:name="_Toc226309782"/>
      <w:r/>
      <w:bookmarkStart w:id="435" w:name="_Toc150774743"/>
      <w:r/>
      <w:bookmarkStart w:id="436" w:name="_Toc151193708"/>
      <w:r/>
      <w:bookmarkStart w:id="437" w:name="_Toc150774638"/>
      <w:r/>
      <w:bookmarkStart w:id="438" w:name="_Toc305158806"/>
      <w:r/>
      <w:bookmarkStart w:id="439" w:name="_Toc264969228"/>
      <w:r/>
      <w:bookmarkStart w:id="440" w:name="_Toc150509289"/>
      <w:r/>
      <w:bookmarkStart w:id="441" w:name="_Toc226337234"/>
      <w:r/>
      <w:bookmarkStart w:id="442" w:name="_Toc226965728"/>
      <w:r/>
      <w:bookmarkStart w:id="443" w:name="_Toc127151538"/>
      <w:r/>
      <w:bookmarkStart w:id="444" w:name="_Toc151190165"/>
      <w:r/>
      <w:bookmarkStart w:id="445" w:name="_Toc151193636"/>
      <w:r/>
      <w:bookmarkStart w:id="446" w:name="_Toc265228376"/>
      <w:r/>
      <w:bookmarkStart w:id="447" w:name="_Toc195842903"/>
      <w:r/>
      <w:bookmarkStart w:id="448" w:name="_Toc151193852"/>
      <w:r/>
      <w:bookmarkStart w:id="449" w:name="_Toc151193780"/>
      <w:r/>
      <w:bookmarkStart w:id="450" w:name="_Toc150480776"/>
      <w:r/>
      <w:bookmarkStart w:id="451" w:name="_Toc151193926"/>
      <w:r/>
      <w:bookmarkStart w:id="452" w:name="_Toc520356163"/>
      <w:r/>
      <w:bookmarkStart w:id="453" w:name="_Toc142311040"/>
      <w:r/>
      <w:bookmarkStart w:id="454" w:name="_Toc226965811"/>
      <w:r/>
      <w:bookmarkStart w:id="455" w:name="_Toc305158880"/>
      <w:r>
        <w:rPr>
          <w:rFonts w:ascii="Times New Roman" w:hAnsi="Times New Roman" w:eastAsia="宋体"/>
          <w:color w:val="auto"/>
          <w:sz w:val="28"/>
          <w:highlight w:val="none"/>
        </w:rPr>
        <w:t xml:space="preserve">五   </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ascii="Times New Roman" w:hAnsi="Times New Roman" w:eastAsia="宋体"/>
          <w:color w:val="auto"/>
          <w:sz w:val="28"/>
          <w:highlight w:val="none"/>
        </w:rPr>
        <w:t xml:space="preserve">评审</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eastAsia="zh-CN"/>
        </w:rPr>
        <w:t xml:space="preserve">“苏采云”</w:t>
      </w:r>
      <w:r>
        <w:rPr>
          <w:rFonts w:hint="eastAsia"/>
          <w:color w:val="auto"/>
          <w:sz w:val="24"/>
          <w:highlight w:val="none"/>
        </w:rPr>
        <w:t xml:space="preserve">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bookmarkStart w:id="456" w:name="_Toc520356165"/>
      <w:r>
        <w:rPr>
          <w:color w:val="auto"/>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lang w:eastAsia="zh-CN" w:bidi="ar"/>
        </w:rPr>
        <w:t xml:space="preserve">“苏采云”</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bookmarkEnd w:id="456"/>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bookmarkStart w:id="457"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457"/>
      <w:r/>
      <w:bookmarkStart w:id="458" w:name="_Toc520356169"/>
      <w:r/>
      <w:r/>
    </w:p>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74"/>
        <w:spacing w:before="0" w:line="360" w:lineRule="auto"/>
        <w:rPr>
          <w:rFonts w:ascii="Times New Roman" w:hAnsi="Times New Roman" w:eastAsia="宋体"/>
          <w:color w:val="auto"/>
          <w:sz w:val="28"/>
          <w:highlight w:val="none"/>
        </w:rPr>
      </w:pPr>
      <w:r/>
      <w:bookmarkStart w:id="459" w:name="_Toc264969235"/>
      <w:r/>
      <w:bookmarkStart w:id="460" w:name="_Toc150774750"/>
      <w:r/>
      <w:bookmarkStart w:id="461" w:name="_Toc226309789"/>
      <w:r/>
      <w:bookmarkStart w:id="462" w:name="_Toc226337241"/>
      <w:r/>
      <w:bookmarkStart w:id="463" w:name="_Toc226965735"/>
      <w:r/>
      <w:bookmarkStart w:id="464" w:name="_Toc150480783"/>
      <w:r/>
      <w:bookmarkStart w:id="465" w:name="_Toc195842910"/>
      <w:r/>
      <w:bookmarkStart w:id="466" w:name="_Toc151190172"/>
      <w:r/>
      <w:bookmarkStart w:id="467" w:name="_Toc142311047"/>
      <w:r/>
      <w:bookmarkStart w:id="468" w:name="_Toc305158813"/>
      <w:r/>
      <w:bookmarkStart w:id="469" w:name="_Toc151193643"/>
      <w:r/>
      <w:bookmarkStart w:id="470" w:name="_Toc150774645"/>
      <w:r/>
      <w:bookmarkStart w:id="471" w:name="_Toc151193933"/>
      <w:r/>
      <w:bookmarkStart w:id="472" w:name="_Toc265228383"/>
      <w:r/>
      <w:bookmarkStart w:id="473" w:name="_Toc305158887"/>
      <w:r/>
      <w:bookmarkStart w:id="474" w:name="_Toc151193715"/>
      <w:r/>
      <w:bookmarkStart w:id="475" w:name="_Toc151193859"/>
      <w:r/>
      <w:bookmarkStart w:id="476" w:name="_Toc226965818"/>
      <w:r/>
      <w:bookmarkStart w:id="477" w:name="_Toc151193787"/>
      <w:r/>
      <w:bookmarkStart w:id="478" w:name="_Toc127151545"/>
      <w:r/>
      <w:bookmarkStart w:id="479" w:name="_Toc150509296"/>
      <w:r>
        <w:rPr>
          <w:rFonts w:ascii="Times New Roman" w:hAnsi="Times New Roman" w:eastAsia="宋体"/>
          <w:color w:val="auto"/>
          <w:sz w:val="28"/>
          <w:highlight w:val="none"/>
        </w:rPr>
        <w:t xml:space="preserve">六   </w:t>
      </w:r>
      <w:bookmarkEnd w:id="458"/>
      <w:r>
        <w:rPr>
          <w:rFonts w:ascii="Times New Roman" w:hAnsi="Times New Roman" w:eastAsia="宋体"/>
          <w:color w:val="auto"/>
          <w:sz w:val="28"/>
          <w:highlight w:val="none"/>
        </w:rPr>
        <w:t xml:space="preserve">确定</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color w:val="auto"/>
          <w:sz w:val="24"/>
          <w:highlight w:val="none"/>
        </w:rPr>
        <w:outlineLvl w:val="1"/>
      </w:pPr>
      <w:r/>
      <w:bookmarkStart w:id="480" w:name="_Toc305158889"/>
      <w:r/>
      <w:bookmarkStart w:id="481" w:name="_Toc226965737"/>
      <w:r/>
      <w:bookmarkStart w:id="482" w:name="_Toc127161461"/>
      <w:r/>
      <w:bookmarkStart w:id="483" w:name="_Toc164229388"/>
      <w:r/>
      <w:bookmarkStart w:id="484" w:name="_Toc150774647"/>
      <w:r/>
      <w:bookmarkStart w:id="485" w:name="_Toc164229242"/>
      <w:r/>
      <w:bookmarkStart w:id="486" w:name="_Toc226337243"/>
      <w:r/>
      <w:bookmarkStart w:id="487" w:name="_Toc127151547"/>
      <w:r/>
      <w:bookmarkStart w:id="488" w:name="_Toc164608816"/>
      <w:r/>
      <w:bookmarkStart w:id="489" w:name="_Toc142311049"/>
      <w:r/>
      <w:bookmarkStart w:id="490" w:name="_Toc151193717"/>
      <w:r/>
      <w:bookmarkStart w:id="491" w:name="_Toc305158815"/>
      <w:r/>
      <w:bookmarkStart w:id="492" w:name="_Toc195842912"/>
      <w:r/>
      <w:bookmarkStart w:id="493" w:name="_Toc265228385"/>
      <w:r/>
      <w:bookmarkStart w:id="494" w:name="_Toc164608661"/>
      <w:r/>
      <w:bookmarkStart w:id="495" w:name="_Toc127151748"/>
      <w:r/>
      <w:bookmarkStart w:id="496" w:name="_Toc151193789"/>
      <w:r/>
      <w:bookmarkStart w:id="497" w:name="_Toc150774752"/>
      <w:r/>
      <w:bookmarkStart w:id="498" w:name="_Toc150480785"/>
      <w:r/>
      <w:bookmarkStart w:id="499" w:name="_Toc226309791"/>
      <w:r/>
      <w:bookmarkStart w:id="500" w:name="_Toc151190174"/>
      <w:r/>
      <w:bookmarkStart w:id="501" w:name="_Toc264969237"/>
      <w:r/>
      <w:bookmarkStart w:id="502" w:name="_Toc151193861"/>
      <w:r/>
      <w:bookmarkStart w:id="503" w:name="_Toc151193645"/>
      <w:r/>
      <w:bookmarkStart w:id="504" w:name="_Toc164351641"/>
      <w:r/>
      <w:bookmarkStart w:id="505" w:name="_Toc149720840"/>
      <w:r/>
      <w:bookmarkStart w:id="506" w:name="_Toc151193935"/>
      <w:r/>
      <w:bookmarkStart w:id="507" w:name="_Toc150509298"/>
      <w:r/>
      <w:bookmarkStart w:id="508" w:name="_Toc226965820"/>
      <w:r>
        <w:rPr>
          <w:color w:val="auto"/>
          <w:sz w:val="24"/>
          <w:highlight w:val="none"/>
        </w:rPr>
        <w:t xml:space="preserve">确定成交供应商</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8"/>
        </w:numPr>
        <w:ind w:left="357" w:hanging="357"/>
        <w:spacing w:line="360" w:lineRule="auto"/>
        <w:tabs>
          <w:tab w:val="left" w:pos="360" w:leader="none"/>
        </w:tabs>
        <w:rPr>
          <w:color w:val="auto"/>
          <w:sz w:val="24"/>
          <w:highlight w:val="none"/>
        </w:rPr>
        <w:outlineLvl w:val="1"/>
      </w:pPr>
      <w:r/>
      <w:bookmarkStart w:id="509" w:name="_Toc305158817"/>
      <w:r/>
      <w:bookmarkStart w:id="510" w:name="_Toc305158891"/>
      <w:r/>
      <w:bookmarkStart w:id="511" w:name="_Toc151193719"/>
      <w:r/>
      <w:bookmarkStart w:id="512" w:name="_Toc164608818"/>
      <w:r/>
      <w:bookmarkStart w:id="513" w:name="_Toc164351643"/>
      <w:r/>
      <w:bookmarkStart w:id="514" w:name="_Toc226309793"/>
      <w:r/>
      <w:bookmarkStart w:id="515" w:name="_Toc164608663"/>
      <w:r/>
      <w:bookmarkStart w:id="516" w:name="_Toc150509300"/>
      <w:r/>
      <w:bookmarkStart w:id="517" w:name="_Toc195842914"/>
      <w:r/>
      <w:bookmarkStart w:id="518" w:name="_Toc127151750"/>
      <w:r/>
      <w:bookmarkStart w:id="519" w:name="_Toc151193937"/>
      <w:r/>
      <w:bookmarkStart w:id="520" w:name="_Toc226965739"/>
      <w:r/>
      <w:bookmarkStart w:id="521" w:name="_Toc164229390"/>
      <w:r/>
      <w:bookmarkStart w:id="522" w:name="_Toc151193791"/>
      <w:r/>
      <w:bookmarkStart w:id="523" w:name="_Toc127151549"/>
      <w:r/>
      <w:bookmarkStart w:id="524" w:name="_Toc142311051"/>
      <w:r/>
      <w:bookmarkStart w:id="525" w:name="_Toc265228387"/>
      <w:r/>
      <w:bookmarkStart w:id="526" w:name="_Toc151193647"/>
      <w:r/>
      <w:bookmarkStart w:id="527" w:name="_Toc150774754"/>
      <w:r/>
      <w:bookmarkStart w:id="528" w:name="_Toc150774649"/>
      <w:r/>
      <w:bookmarkStart w:id="529" w:name="_Toc151190176"/>
      <w:r/>
      <w:bookmarkStart w:id="530" w:name="_Toc226337245"/>
      <w:r/>
      <w:bookmarkStart w:id="531" w:name="_Toc226965822"/>
      <w:r/>
      <w:bookmarkStart w:id="532" w:name="_Toc150480787"/>
      <w:r/>
      <w:bookmarkStart w:id="533" w:name="_Toc149720842"/>
      <w:r/>
      <w:bookmarkStart w:id="534" w:name="_Toc127161463"/>
      <w:r/>
      <w:bookmarkStart w:id="535" w:name="_Toc164229244"/>
      <w:r/>
      <w:bookmarkStart w:id="536" w:name="_Toc264969239"/>
      <w:r/>
      <w:bookmarkStart w:id="537" w:name="_Toc151193863"/>
      <w:r/>
      <w:bookmarkStart w:id="538" w:name="_Ref467306425"/>
      <w:r/>
      <w:bookmarkStart w:id="539" w:name="_Toc520356176"/>
      <w:r/>
      <w:bookmarkStart w:id="540" w:name="_Ref467307090"/>
      <w:r>
        <w:rPr>
          <w:color w:val="auto"/>
          <w:sz w:val="24"/>
          <w:highlight w:val="none"/>
        </w:rPr>
        <w:t xml:space="preserve">成交公告与成交通知书</w:t>
      </w:r>
      <w:bookmarkEnd w:id="509"/>
      <w:r/>
      <w:bookmarkEnd w:id="510"/>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采购人或采购代理机构将在成交供应商确定后2个工作日内，在</w:t>
      </w:r>
      <w:r>
        <w:rPr>
          <w:rFonts w:hint="eastAsia"/>
          <w:color w:val="auto"/>
          <w:sz w:val="24"/>
          <w:highlight w:val="none"/>
        </w:rPr>
        <w:t xml:space="preserve">常州市政府采购网</w:t>
      </w:r>
      <w:r>
        <w:rPr>
          <w:color w:val="auto"/>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highlight w:val="none"/>
        </w:rPr>
      </w:pPr>
      <w:r>
        <w:rPr>
          <w:color w:val="auto"/>
          <w:sz w:val="24"/>
          <w:highlight w:val="none"/>
        </w:rPr>
        <w:t xml:space="preserve">因情况变化，不再符合规定的竞争性磋商采购方式适用情形的；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rFonts w:hint="eastAsia"/>
          <w:color w:val="auto"/>
          <w:sz w:val="24"/>
          <w:highlight w:val="none"/>
        </w:rPr>
      </w:pP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0"/>
          <w:numId w:val="8"/>
        </w:numPr>
        <w:ind w:left="357" w:hanging="357"/>
        <w:spacing w:line="360" w:lineRule="auto"/>
        <w:tabs>
          <w:tab w:val="left" w:pos="360" w:leader="none"/>
        </w:tabs>
        <w:rPr>
          <w:color w:val="auto"/>
          <w:sz w:val="24"/>
          <w:highlight w:val="none"/>
        </w:rPr>
        <w:outlineLvl w:val="1"/>
      </w:pPr>
      <w:r/>
      <w:bookmarkStart w:id="541" w:name="_Toc151193792"/>
      <w:r/>
      <w:bookmarkStart w:id="542" w:name="_Toc305158818"/>
      <w:r/>
      <w:bookmarkStart w:id="543" w:name="_Toc305158892"/>
      <w:r/>
      <w:bookmarkStart w:id="544" w:name="_Toc151193720"/>
      <w:r/>
      <w:bookmarkStart w:id="545" w:name="_Toc226337246"/>
      <w:r/>
      <w:bookmarkStart w:id="546" w:name="_Toc264969240"/>
      <w:r/>
      <w:bookmarkStart w:id="547" w:name="_Toc151190177"/>
      <w:r/>
      <w:bookmarkStart w:id="548" w:name="_Ref467306377"/>
      <w:r/>
      <w:bookmarkStart w:id="549" w:name="_Toc195842915"/>
      <w:r/>
      <w:bookmarkStart w:id="550" w:name="_Toc520356175"/>
      <w:r/>
      <w:bookmarkStart w:id="551" w:name="_Toc164608819"/>
      <w:r/>
      <w:bookmarkStart w:id="552" w:name="_Toc150509301"/>
      <w:r/>
      <w:bookmarkStart w:id="553" w:name="_Toc127151751"/>
      <w:r/>
      <w:bookmarkStart w:id="554" w:name="_Ref467307204"/>
      <w:r/>
      <w:bookmarkStart w:id="555" w:name="_Toc151193648"/>
      <w:r/>
      <w:bookmarkStart w:id="556" w:name="_Toc142311052"/>
      <w:r/>
      <w:bookmarkStart w:id="557" w:name="_Toc164229391"/>
      <w:r/>
      <w:bookmarkStart w:id="558" w:name="_Toc226309794"/>
      <w:r/>
      <w:bookmarkStart w:id="559" w:name="_Toc151193864"/>
      <w:r/>
      <w:bookmarkStart w:id="560" w:name="_Toc164229245"/>
      <w:r/>
      <w:bookmarkStart w:id="561" w:name="_Toc127161464"/>
      <w:r/>
      <w:bookmarkStart w:id="562" w:name="_Toc164608664"/>
      <w:r/>
      <w:bookmarkStart w:id="563" w:name="_Toc226965823"/>
      <w:r/>
      <w:bookmarkStart w:id="564" w:name="_Toc151193938"/>
      <w:r/>
      <w:bookmarkStart w:id="565" w:name="_Toc150480788"/>
      <w:r/>
      <w:bookmarkStart w:id="566" w:name="_Toc226965740"/>
      <w:r/>
      <w:bookmarkStart w:id="567" w:name="_Toc149720843"/>
      <w:r/>
      <w:bookmarkStart w:id="568" w:name="_Ref467306978"/>
      <w:r/>
      <w:bookmarkStart w:id="569" w:name="_Toc265228388"/>
      <w:r/>
      <w:bookmarkStart w:id="570" w:name="_Toc150774650"/>
      <w:r/>
      <w:bookmarkStart w:id="571" w:name="_Ref467307062"/>
      <w:r/>
      <w:bookmarkStart w:id="572" w:name="_Toc164351644"/>
      <w:r/>
      <w:bookmarkStart w:id="573" w:name="_Toc150774755"/>
      <w:r/>
      <w:bookmarkStart w:id="574" w:name="_Toc127151550"/>
      <w:r>
        <w:rPr>
          <w:color w:val="auto"/>
          <w:sz w:val="24"/>
          <w:highlight w:val="none"/>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w:t>
      </w:r>
      <w:r>
        <w:rPr>
          <w:rFonts w:hint="eastAsia"/>
          <w:color w:val="auto"/>
          <w:sz w:val="24"/>
          <w:highlight w:val="none"/>
        </w:rPr>
        <w:t xml:space="preserve">是</w:t>
      </w:r>
      <w:r>
        <w:rPr>
          <w:color w:val="auto"/>
          <w:sz w:val="24"/>
          <w:highlight w:val="none"/>
        </w:rPr>
        <w:t xml:space="preserve">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bookmarkEnd w:id="538"/>
      <w:r/>
      <w:bookmarkEnd w:id="539"/>
      <w:r/>
      <w:bookmarkEnd w:id="540"/>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b/>
          <w:color w:val="auto"/>
          <w:sz w:val="24"/>
          <w:highlight w:val="none"/>
        </w:rPr>
        <w:t xml:space="preserve">磋商文件</w:t>
      </w:r>
      <w:r>
        <w:rPr>
          <w:rFonts w:hint="eastAsia" w:ascii="宋体" w:hAnsi="宋体"/>
          <w:b/>
          <w:color w:val="auto"/>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152"/>
          <w:color w:val="auto"/>
          <w:highlight w:val="none"/>
        </w:rPr>
        <w:t xml:space="preserve">http://gk</w:t>
      </w:r>
      <w:bookmarkStart w:id="575" w:name="_Hlt100654014"/>
      <w:r>
        <w:rPr>
          <w:rStyle w:val="1152"/>
          <w:color w:val="auto"/>
          <w:highlight w:val="none"/>
        </w:rPr>
        <w:t xml:space="preserve">s</w:t>
      </w:r>
      <w:bookmarkEnd w:id="575"/>
      <w:r>
        <w:rPr>
          <w:rStyle w:val="1152"/>
          <w:color w:val="auto"/>
          <w:highlight w:val="none"/>
        </w:rPr>
        <w:t xml:space="preserve">.m</w:t>
      </w:r>
      <w:bookmarkStart w:id="576" w:name="_Hlt100653994"/>
      <w:r/>
      <w:bookmarkStart w:id="577" w:name="_Hlt100653993"/>
      <w:r>
        <w:rPr>
          <w:rStyle w:val="1152"/>
          <w:color w:val="auto"/>
          <w:highlight w:val="none"/>
        </w:rPr>
        <w:t xml:space="preserve">o</w:t>
      </w:r>
      <w:bookmarkEnd w:id="576"/>
      <w:r/>
      <w:bookmarkEnd w:id="577"/>
      <w:r/>
      <w:bookmarkStart w:id="578" w:name="_Hlt101169156"/>
      <w:r>
        <w:rPr>
          <w:rStyle w:val="1152"/>
          <w:color w:val="auto"/>
          <w:highlight w:val="none"/>
        </w:rPr>
        <w:t xml:space="preserve">f</w:t>
      </w:r>
      <w:bookmarkEnd w:id="578"/>
      <w:r>
        <w:rPr>
          <w:rStyle w:val="1152"/>
          <w:color w:val="auto"/>
          <w:highlight w:val="none"/>
        </w:rPr>
        <w:t xml:space="preserve">.gov.cn/ztztz/zhengfucaigouguanli/201802/t20180201_2804589.htm</w:t>
      </w:r>
      <w:r>
        <w:rPr>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sectPr>
          <w:footerReference w:type="even" r:id="rId18"/>
          <w:footnotePr/>
          <w:endnotePr/>
          <w:type w:val="nextPage"/>
          <w:pgSz w:w="11905" w:h="16840" w:orient="portrait"/>
          <w:pgMar w:top="1440" w:right="1304" w:bottom="1440" w:left="1304" w:header="850" w:footer="850" w:gutter="0"/>
          <w:cols w:num="1" w:sep="0" w:space="1701" w:equalWidth="1"/>
          <w:docGrid w:linePitch="360"/>
        </w:sectPr>
      </w:pPr>
      <w:r/>
      <w:bookmarkStart w:id="579" w:name="_Toc305158822"/>
      <w:r/>
      <w:bookmarkStart w:id="580" w:name="_Toc226965827"/>
      <w:r/>
      <w:bookmarkStart w:id="581" w:name="_Toc353873934"/>
      <w:r/>
      <w:bookmarkStart w:id="582" w:name="_Toc264969244"/>
      <w:r/>
      <w:bookmarkStart w:id="583" w:name="_Toc150774759"/>
      <w:r/>
      <w:bookmarkStart w:id="584" w:name="_Toc127151554"/>
      <w:r/>
      <w:bookmarkStart w:id="585" w:name="_Toc265228392"/>
      <w:r/>
      <w:bookmarkStart w:id="586" w:name="_Toc150480792"/>
      <w:r/>
      <w:bookmarkStart w:id="587" w:name="_Toc305158896"/>
      <w:r/>
      <w:bookmarkStart w:id="588" w:name="_Toc353873664"/>
      <w:r/>
      <w:bookmarkStart w:id="589" w:name="_Toc142311056"/>
      <w:r/>
      <w:bookmarkStart w:id="590" w:name="_Toc353825544"/>
      <w:r/>
      <w:bookmarkStart w:id="591" w:name="_Toc226337250"/>
      <w:r/>
      <w:r/>
    </w:p>
    <w:p>
      <w:pPr>
        <w:jc w:val="center"/>
        <w:spacing w:line="360" w:lineRule="auto"/>
        <w:rPr>
          <w:b/>
          <w:color w:val="auto"/>
          <w:sz w:val="36"/>
          <w:szCs w:val="36"/>
          <w:highlight w:val="none"/>
        </w:rPr>
        <w:outlineLvl w:val="0"/>
      </w:pPr>
      <w:r/>
      <w:bookmarkStart w:id="592" w:name="_Toc6353"/>
      <w:r>
        <w:rPr>
          <w:b/>
          <w:color w:val="auto"/>
          <w:sz w:val="36"/>
          <w:szCs w:val="36"/>
          <w:highlight w:val="none"/>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92"/>
      <w:r/>
      <w:bookmarkStart w:id="593" w:name="_Toc487900382"/>
      <w:r/>
      <w:r/>
    </w:p>
    <w:p>
      <w:pPr>
        <w:pStyle w:val="1074"/>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593"/>
      <w:r/>
      <w:r/>
    </w:p>
    <w:p>
      <w:pPr>
        <w:numPr>
          <w:ilvl w:val="0"/>
          <w:numId w:val="10"/>
        </w:numPr>
        <w:spacing w:line="360" w:lineRule="auto"/>
        <w:tabs>
          <w:tab w:val="left" w:pos="360" w:leader="none"/>
        </w:tabs>
        <w:rPr>
          <w:color w:val="auto"/>
          <w:sz w:val="24"/>
          <w:highlight w:val="none"/>
        </w:rPr>
        <w:outlineLvl w:val="1"/>
      </w:pPr>
      <w:r/>
      <w:bookmarkStart w:id="594" w:name="_Toc265228379"/>
      <w:r/>
      <w:bookmarkStart w:id="595" w:name="_Toc226309785"/>
      <w:r/>
      <w:bookmarkStart w:id="596" w:name="_Toc151193929"/>
      <w:r/>
      <w:bookmarkStart w:id="597" w:name="_Toc150480779"/>
      <w:r/>
      <w:bookmarkStart w:id="598" w:name="_Toc164351635"/>
      <w:r/>
      <w:bookmarkStart w:id="599" w:name="_Toc151193711"/>
      <w:r/>
      <w:bookmarkStart w:id="600" w:name="_Toc164608655"/>
      <w:r/>
      <w:bookmarkStart w:id="601" w:name="_Toc127161455"/>
      <w:r/>
      <w:bookmarkStart w:id="602" w:name="_Toc150774641"/>
      <w:r/>
      <w:bookmarkStart w:id="603" w:name="_Toc150774746"/>
      <w:r/>
      <w:bookmarkStart w:id="604" w:name="_Toc195842906"/>
      <w:r/>
      <w:bookmarkStart w:id="605" w:name="_Toc151193855"/>
      <w:r/>
      <w:bookmarkStart w:id="606" w:name="_Toc142311043"/>
      <w:r/>
      <w:bookmarkStart w:id="607" w:name="_Toc305158809"/>
      <w:r/>
      <w:bookmarkStart w:id="608" w:name="_Toc151190168"/>
      <w:r/>
      <w:bookmarkStart w:id="609" w:name="_Toc305158883"/>
      <w:r/>
      <w:bookmarkStart w:id="610" w:name="_Toc127151742"/>
      <w:r/>
      <w:bookmarkStart w:id="611" w:name="_Toc150509292"/>
      <w:r/>
      <w:bookmarkStart w:id="612" w:name="_Toc151193783"/>
      <w:r/>
      <w:bookmarkStart w:id="613" w:name="_Toc164608810"/>
      <w:r/>
      <w:bookmarkStart w:id="614" w:name="_Toc264969231"/>
      <w:r/>
      <w:bookmarkStart w:id="615" w:name="_Toc151193639"/>
      <w:r/>
      <w:bookmarkStart w:id="616" w:name="_Toc127151541"/>
      <w:r/>
      <w:bookmarkStart w:id="617" w:name="_Toc226965814"/>
      <w:r/>
      <w:bookmarkStart w:id="618" w:name="_Toc164229236"/>
      <w:r/>
      <w:bookmarkStart w:id="619" w:name="_Toc226965731"/>
      <w:r/>
      <w:bookmarkStart w:id="620" w:name="_Toc226337237"/>
      <w:r/>
      <w:bookmarkStart w:id="621" w:name="_Toc149720834"/>
      <w:r/>
      <w:bookmarkStart w:id="622" w:name="_Toc164229382"/>
      <w:r/>
      <w:bookmarkStart w:id="623" w:name="_Toc353873941"/>
      <w:r/>
      <w:bookmarkStart w:id="624" w:name="_Toc353825551"/>
      <w:r/>
      <w:bookmarkStart w:id="625" w:name="_Toc353873665"/>
      <w:r/>
      <w:bookmarkStart w:id="626" w:name="_Toc305158897"/>
      <w:r/>
      <w:bookmarkStart w:id="627" w:name="_Toc353825545"/>
      <w:r/>
      <w:bookmarkStart w:id="628" w:name="_Toc265228393"/>
      <w:r/>
      <w:bookmarkStart w:id="629" w:name="_Toc226965828"/>
      <w:r/>
      <w:bookmarkStart w:id="630" w:name="_Toc353873935"/>
      <w:r/>
      <w:bookmarkStart w:id="631" w:name="_Toc142311057"/>
      <w:r/>
      <w:bookmarkStart w:id="632" w:name="_Toc150480793"/>
      <w:r/>
      <w:bookmarkStart w:id="633" w:name="_Toc264969245"/>
      <w:r/>
      <w:bookmarkStart w:id="634" w:name="_Toc150774760"/>
      <w:r/>
      <w:bookmarkStart w:id="635" w:name="_Toc226337251"/>
      <w:r/>
      <w:bookmarkStart w:id="636" w:name="_Toc305158823"/>
      <w:r/>
      <w:bookmarkStart w:id="637" w:name="_Toc195842920"/>
      <w:r/>
      <w:bookmarkStart w:id="638" w:name="_Toc127151555"/>
      <w:r>
        <w:rPr>
          <w:color w:val="auto"/>
          <w:sz w:val="24"/>
          <w:highlight w:val="none"/>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color w:val="auto"/>
          <w:sz w:val="24"/>
          <w:highlight w:val="none"/>
        </w:rPr>
        <w:t xml:space="preserve">资格性检查和符合性审查</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89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2472"/>
        <w:gridCol w:w="4577"/>
        <w:gridCol w:w="1662"/>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bookmarkStart w:id="639" w:name="_Hlt487972895"/>
            <w:r/>
            <w:bookmarkEnd w:id="639"/>
            <w:r>
              <w:rPr>
                <w:rFonts w:hint="eastAsia" w:ascii="宋体" w:hAnsi="宋体" w:eastAsia="宋体" w:cs="宋体"/>
                <w:b/>
                <w:color w:val="auto"/>
                <w:sz w:val="24"/>
                <w:highlight w:val="none"/>
              </w:rPr>
              <w:t xml:space="preserve">序号</w:t>
            </w:r>
            <w:r/>
          </w:p>
        </w:tc>
        <w:tc>
          <w:tcPr>
            <w:tcW w:w="2435"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审查因素</w:t>
            </w:r>
            <w:r/>
          </w:p>
        </w:tc>
        <w:tc>
          <w:tcPr>
            <w:tcW w:w="4508"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1-1</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能力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auto"/>
                <w:sz w:val="24"/>
                <w:highlight w:val="none"/>
              </w:rPr>
              <w:t xml:space="preserve">。</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具有良好的商业信誉和健全的财务会计制度；须</w:t>
            </w:r>
            <w:r>
              <w:rPr>
                <w:rFonts w:hint="eastAsia" w:ascii="宋体" w:hAnsi="宋体" w:eastAsia="宋体" w:cs="宋体"/>
                <w:color w:val="auto"/>
                <w:sz w:val="24"/>
                <w:highlight w:val="none"/>
              </w:rPr>
              <w:t xml:space="preserve">提供</w:t>
            </w:r>
            <w:r>
              <w:rPr>
                <w:rFonts w:hint="eastAsia" w:ascii="宋体" w:hAnsi="宋体" w:cs="宋体"/>
                <w:color w:val="auto"/>
                <w:sz w:val="24"/>
                <w:highlight w:val="none"/>
                <w:lang w:val="en-US" w:eastAsia="zh-CN"/>
              </w:rPr>
              <w:t xml:space="preserve">2025</w:t>
            </w:r>
            <w:r>
              <w:rPr>
                <w:rFonts w:hint="eastAsia" w:ascii="宋体" w:hAnsi="宋体" w:eastAsia="宋体" w:cs="宋体"/>
                <w:color w:val="auto"/>
                <w:sz w:val="24"/>
                <w:highlight w:val="none"/>
                <w:lang w:val="en-US" w:eastAsia="zh-CN"/>
              </w:rPr>
              <w:t xml:space="preserve">年度</w:t>
            </w:r>
            <w:r>
              <w:rPr>
                <w:rFonts w:hint="eastAsia" w:ascii="宋体" w:hAnsi="宋体" w:eastAsia="宋体" w:cs="宋体"/>
                <w:color w:val="auto"/>
                <w:sz w:val="24"/>
                <w:highlight w:val="none"/>
              </w:rPr>
              <w:t xml:space="preserve">的财务</w:t>
            </w:r>
            <w:r>
              <w:rPr>
                <w:rFonts w:hint="eastAsia" w:ascii="宋体" w:hAnsi="宋体" w:eastAsia="宋体" w:cs="宋体"/>
                <w:color w:val="auto"/>
                <w:sz w:val="24"/>
                <w:highlight w:val="none"/>
                <w:lang w:val="en-US" w:eastAsia="zh-CN"/>
              </w:rPr>
              <w:t xml:space="preserve">状况报告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内容至少须包含</w:t>
            </w:r>
            <w:r>
              <w:rPr>
                <w:rFonts w:hint="eastAsia" w:ascii="宋体" w:hAnsi="宋体" w:eastAsia="宋体" w:cs="宋体"/>
                <w:color w:val="auto"/>
                <w:sz w:val="24"/>
                <w:highlight w:val="none"/>
                <w:lang w:eastAsia="zh-CN"/>
              </w:rPr>
              <w:t xml:space="preserve">资产负债表和利润表；</w:t>
            </w:r>
            <w:r>
              <w:rPr>
                <w:rFonts w:hint="eastAsia" w:ascii="宋体" w:hAnsi="宋体" w:eastAsia="宋体" w:cs="宋体"/>
                <w:color w:val="auto"/>
                <w:sz w:val="24"/>
                <w:highlight w:val="none"/>
              </w:rPr>
              <w:t xml:space="preserve">成立时间至提交投标文件截止时间不足一年的</w:t>
            </w:r>
            <w:r>
              <w:rPr>
                <w:rFonts w:hint="eastAsia" w:ascii="宋体" w:hAnsi="宋体" w:eastAsia="宋体" w:cs="宋体"/>
                <w:color w:val="auto"/>
                <w:sz w:val="24"/>
                <w:highlight w:val="none"/>
                <w:lang w:val="en-US" w:eastAsia="zh-CN"/>
              </w:rPr>
              <w:t xml:space="preserve">无需提供。</w:t>
            </w:r>
            <w:r/>
          </w:p>
          <w:p>
            <w:pPr>
              <w:spacing w:line="360" w:lineRule="auto"/>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具有履行合同所必需的设备和专业技术能力；须提供</w:t>
            </w:r>
            <w:r>
              <w:rPr>
                <w:rFonts w:hint="eastAsia" w:ascii="宋体" w:hAnsi="宋体" w:eastAsia="宋体" w:cs="宋体"/>
                <w:color w:val="auto"/>
                <w:sz w:val="24"/>
                <w:highlight w:val="none"/>
              </w:rPr>
              <w:t xml:space="preserve">《供应商资格声明函》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格式见《投标文件格式》</w:t>
            </w:r>
            <w:r>
              <w:rPr>
                <w:rFonts w:hint="eastAsia" w:ascii="宋体" w:hAnsi="宋体" w:eastAsia="宋体" w:cs="宋体"/>
                <w:color w:val="auto"/>
                <w:sz w:val="24"/>
                <w:highlight w:val="none"/>
                <w:lang w:val="en-US" w:eastAsia="zh-CN"/>
              </w:rPr>
              <w:t xml:space="preserve">。</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（4）有依法缴纳税收和社会保障资金的良好记录；须</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近期</w:t>
            </w:r>
            <w:r>
              <w:rPr>
                <w:rFonts w:hint="eastAsia" w:ascii="宋体" w:hAnsi="宋体" w:eastAsia="宋体" w:cs="宋体"/>
                <w:color w:val="auto"/>
                <w:sz w:val="24"/>
                <w:highlight w:val="none"/>
              </w:rPr>
              <w:t xml:space="preserve">依法缴纳税收</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社会保障资金的</w:t>
            </w:r>
            <w:r>
              <w:rPr>
                <w:rFonts w:hint="eastAsia" w:ascii="宋体" w:hAnsi="宋体" w:eastAsia="宋体" w:cs="宋体"/>
                <w:color w:val="auto"/>
                <w:sz w:val="24"/>
                <w:highlight w:val="none"/>
                <w:lang w:val="en-US" w:eastAsia="zh-CN"/>
              </w:rPr>
              <w:t xml:space="preserve">相关</w:t>
            </w:r>
            <w:r>
              <w:rPr>
                <w:rFonts w:hint="eastAsia" w:ascii="宋体" w:hAnsi="宋体" w:eastAsia="宋体" w:cs="宋体"/>
                <w:color w:val="auto"/>
                <w:sz w:val="24"/>
                <w:highlight w:val="none"/>
              </w:rPr>
              <w:t xml:space="preserve">材料，</w:t>
            </w:r>
            <w:r>
              <w:rPr>
                <w:rFonts w:hint="eastAsia" w:ascii="宋体" w:hAnsi="宋体" w:eastAsia="宋体" w:cs="宋体"/>
                <w:color w:val="auto"/>
                <w:sz w:val="24"/>
                <w:highlight w:val="none"/>
                <w:lang w:val="en-US" w:eastAsia="zh-CN"/>
              </w:rPr>
              <w:t xml:space="preserve">相关材料应是：</w:t>
            </w:r>
            <w:r>
              <w:rPr>
                <w:rFonts w:hint="eastAsia" w:ascii="宋体" w:hAnsi="宋体" w:eastAsia="宋体" w:cs="宋体"/>
                <w:color w:val="auto"/>
                <w:sz w:val="24"/>
                <w:highlight w:val="none"/>
              </w:rPr>
              <w:t xml:space="preserve">相关主管部门</w:t>
            </w:r>
            <w:r>
              <w:rPr>
                <w:rFonts w:hint="eastAsia" w:ascii="宋体" w:hAnsi="宋体" w:eastAsia="宋体" w:cs="宋体"/>
                <w:color w:val="auto"/>
                <w:sz w:val="24"/>
                <w:highlight w:val="none"/>
                <w:lang w:val="en-US" w:eastAsia="zh-CN"/>
              </w:rPr>
              <w:t xml:space="preserve">出具的</w:t>
            </w:r>
            <w:r>
              <w:rPr>
                <w:rFonts w:hint="eastAsia" w:ascii="宋体" w:hAnsi="宋体" w:eastAsia="宋体" w:cs="宋体"/>
                <w:color w:val="auto"/>
                <w:sz w:val="24"/>
                <w:highlight w:val="none"/>
              </w:rPr>
              <w:t xml:space="preserve">证明</w:t>
            </w:r>
            <w:r>
              <w:rPr>
                <w:rFonts w:hint="eastAsia" w:ascii="宋体" w:hAnsi="宋体" w:eastAsia="宋体" w:cs="宋体"/>
                <w:color w:val="auto"/>
                <w:sz w:val="24"/>
                <w:highlight w:val="none"/>
                <w:lang w:val="en-US" w:eastAsia="zh-CN"/>
              </w:rPr>
              <w:t xml:space="preserve">材料</w:t>
            </w:r>
            <w:r>
              <w:rPr>
                <w:rFonts w:hint="eastAsia" w:ascii="宋体" w:hAnsi="宋体" w:eastAsia="宋体" w:cs="宋体"/>
                <w:color w:val="auto"/>
                <w:sz w:val="24"/>
                <w:highlight w:val="none"/>
              </w:rPr>
              <w:t xml:space="preserve">或银行代扣证明</w:t>
            </w:r>
            <w:r>
              <w:rPr>
                <w:rFonts w:hint="eastAsia" w:ascii="宋体" w:hAnsi="宋体" w:eastAsia="宋体" w:cs="宋体"/>
                <w:color w:val="auto"/>
                <w:sz w:val="24"/>
                <w:highlight w:val="none"/>
                <w:lang w:val="en-US" w:eastAsia="zh-CN"/>
              </w:rPr>
              <w:t xml:space="preserve">或缴纳流水明细</w:t>
            </w:r>
            <w:r>
              <w:rPr>
                <w:rFonts w:hint="eastAsia" w:ascii="宋体" w:hAnsi="宋体" w:eastAsia="宋体" w:cs="宋体"/>
                <w:color w:val="auto"/>
                <w:sz w:val="24"/>
                <w:highlight w:val="none"/>
              </w:rPr>
              <w:t xml:space="preserve">。投标人依法享受缓缴、免缴税收、社会保障资金的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相关主管部门出具的</w:t>
            </w:r>
            <w:r>
              <w:rPr>
                <w:rFonts w:hint="eastAsia" w:ascii="宋体" w:hAnsi="宋体" w:eastAsia="宋体" w:cs="宋体"/>
                <w:color w:val="auto"/>
                <w:sz w:val="24"/>
                <w:highlight w:val="none"/>
              </w:rPr>
              <w:t xml:space="preserve">证明</w:t>
            </w:r>
            <w:r>
              <w:rPr>
                <w:rFonts w:hint="eastAsia" w:ascii="宋体" w:hAnsi="宋体" w:eastAsia="宋体" w:cs="宋体"/>
                <w:color w:val="auto"/>
                <w:sz w:val="24"/>
                <w:highlight w:val="none"/>
                <w:lang w:val="en-US" w:eastAsia="zh-CN"/>
              </w:rPr>
              <w:t xml:space="preserve">材料</w:t>
            </w:r>
            <w:r>
              <w:rPr>
                <w:rFonts w:hint="eastAsia" w:ascii="宋体" w:hAnsi="宋体" w:eastAsia="宋体" w:cs="宋体"/>
                <w:color w:val="auto"/>
                <w:sz w:val="24"/>
                <w:highlight w:val="none"/>
              </w:rPr>
              <w:t xml:space="preserve">。</w:t>
            </w:r>
            <w:r/>
          </w:p>
          <w:p>
            <w:pPr>
              <w:spacing w:line="360" w:lineRule="auto"/>
              <w:tabs>
                <w:tab w:val="left" w:pos="108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)参加政府采购活动前三年内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在经营活动中没有重大违</w:t>
            </w:r>
            <w:r>
              <w:rPr>
                <w:rFonts w:hint="eastAsia" w:ascii="宋体" w:hAnsi="宋体" w:eastAsia="宋体" w:cs="宋体"/>
                <w:color w:val="auto"/>
                <w:sz w:val="24"/>
                <w:highlight w:val="none"/>
                <w:lang w:val="en-US" w:eastAsia="zh-CN"/>
              </w:rPr>
              <w:t xml:space="preserve">法记录；须提供</w:t>
            </w:r>
            <w:r>
              <w:rPr>
                <w:rFonts w:hint="eastAsia" w:ascii="宋体" w:hAnsi="宋体" w:eastAsia="宋体" w:cs="宋体"/>
                <w:color w:val="auto"/>
                <w:sz w:val="24"/>
                <w:highlight w:val="none"/>
              </w:rPr>
              <w:t xml:space="preserve">《供应商资格声明函》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格式见《投标文件格式》</w:t>
            </w:r>
            <w:r>
              <w:rPr>
                <w:rFonts w:hint="eastAsia" w:ascii="宋体" w:hAnsi="宋体" w:eastAsia="宋体" w:cs="宋体"/>
                <w:color w:val="auto"/>
                <w:sz w:val="24"/>
                <w:highlight w:val="none"/>
                <w:lang w:val="en-US" w:eastAsia="zh-CN"/>
              </w:rPr>
              <w:t xml:space="preserve">。</w:t>
            </w:r>
            <w:r/>
          </w:p>
        </w:tc>
        <w:tc>
          <w:tcPr>
            <w:tcW w:w="1637" w:type="dxa"/>
            <w:vAlign w:val="center"/>
            <w:textDirection w:val="lrTb"/>
            <w:noWrap w:val="false"/>
          </w:tcPr>
          <w:p>
            <w:pPr>
              <w:jc w:val="center"/>
              <w:tabs>
                <w:tab w:val="left" w:pos="1080" w:leader="none"/>
              </w:tabs>
              <w:rPr>
                <w:rFonts w:hint="default" w:ascii="宋体" w:hAnsi="宋体" w:eastAsia="宋体" w:cs="宋体"/>
                <w:b/>
                <w:color w:val="auto"/>
                <w:sz w:val="24"/>
                <w:highlight w:val="none"/>
                <w:lang w:val="en-US" w:eastAsia="zh-CN"/>
              </w:rPr>
            </w:pPr>
            <w:r>
              <w:rPr>
                <w:rFonts w:hint="eastAsia" w:ascii="宋体" w:hAnsi="宋体" w:eastAsia="宋体" w:cs="宋体"/>
                <w:color w:val="auto"/>
                <w:sz w:val="24"/>
                <w:highlight w:val="none"/>
                <w:lang w:val="en-US" w:eastAsia="zh-CN"/>
              </w:rPr>
              <w:t xml:space="preserve">须提供相应证明材料。</w:t>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投标截止时间以后、资格审查阶段采购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的实际查询</w:t>
            </w:r>
            <w:r>
              <w:rPr>
                <w:rFonts w:hint="eastAsia" w:ascii="宋体" w:hAnsi="宋体" w:eastAsia="宋体" w:cs="宋体"/>
                <w:color w:val="auto"/>
                <w:sz w:val="24"/>
                <w:highlight w:val="none"/>
                <w:lang w:val="en-US" w:eastAsia="zh-CN"/>
              </w:rPr>
              <w:t xml:space="preserve">结果</w:t>
            </w:r>
            <w:r>
              <w:rPr>
                <w:rFonts w:hint="eastAsia" w:ascii="宋体" w:hAnsi="宋体" w:eastAsia="宋体" w:cs="宋体"/>
                <w:color w:val="auto"/>
                <w:sz w:val="24"/>
                <w:highlight w:val="none"/>
              </w:rPr>
              <w:t xml:space="preserve">；</w:t>
            </w:r>
            <w:r/>
          </w:p>
          <w:p>
            <w:pPr>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查询结果网页打印页作为查询记录和证据，与其他</w:t>
            </w:r>
            <w:r>
              <w:rPr>
                <w:rFonts w:hint="eastAsia" w:ascii="宋体" w:hAnsi="宋体" w:eastAsia="宋体" w:cs="宋体"/>
                <w:color w:val="auto"/>
                <w:sz w:val="24"/>
                <w:highlight w:val="none"/>
                <w:lang w:val="en-US" w:eastAsia="zh-CN"/>
              </w:rPr>
              <w:t xml:space="preserve">资料</w:t>
            </w:r>
            <w:r>
              <w:rPr>
                <w:rFonts w:hint="eastAsia" w:ascii="宋体" w:hAnsi="宋体" w:eastAsia="宋体" w:cs="宋体"/>
                <w:color w:val="auto"/>
                <w:sz w:val="24"/>
                <w:highlight w:val="none"/>
              </w:rPr>
              <w:t xml:space="preserve">一并保存；</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无须供应商提供，由采购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查询。</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4"/>
                <w:highlight w:val="none"/>
                <w:lang w:val="en-US" w:eastAsia="zh-CN"/>
              </w:rPr>
              <w:t xml:space="preserve">1-3</w:t>
            </w:r>
            <w:r/>
          </w:p>
        </w:tc>
        <w:tc>
          <w:tcPr>
            <w:tcW w:w="2435" w:type="dxa"/>
            <w:vAlign w:val="center"/>
            <w:textDirection w:val="lrTb"/>
            <w:noWrap w:val="false"/>
          </w:tcPr>
          <w:p>
            <w:pPr>
              <w:spacing w:line="360" w:lineRule="auto"/>
              <w:tabs>
                <w:tab w:val="left" w:pos="1080" w:leader="none"/>
              </w:tabs>
              <w:rPr>
                <w:rFonts w:hint="default" w:ascii="宋体" w:hAnsi="宋体" w:eastAsia="宋体" w:cs="宋体"/>
                <w:color w:val="auto"/>
                <w:sz w:val="24"/>
                <w:highlight w:val="none"/>
                <w:lang w:val="en-US" w:eastAsia="zh-CN"/>
              </w:rPr>
            </w:pPr>
            <w:r>
              <w:rPr>
                <w:rFonts w:hint="eastAsia" w:ascii="Times New Roman" w:hAnsi="Times New Roman" w:eastAsia="宋体" w:cs="Times New Roman"/>
                <w:color w:val="auto"/>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须提供</w:t>
            </w:r>
            <w:r>
              <w:rPr>
                <w:rFonts w:hint="eastAsia" w:ascii="宋体" w:hAnsi="宋体" w:eastAsia="宋体" w:cs="宋体"/>
                <w:color w:val="auto"/>
                <w:sz w:val="24"/>
                <w:highlight w:val="none"/>
              </w:rPr>
              <w:t xml:space="preserve">《供应商资格声明函》</w:t>
            </w:r>
            <w:r>
              <w:rPr>
                <w:rFonts w:hint="eastAsia" w:ascii="宋体" w:hAnsi="宋体" w:eastAsia="宋体" w:cs="宋体"/>
                <w:color w:val="auto"/>
                <w:sz w:val="24"/>
                <w:highlight w:val="none"/>
                <w:lang w:val="en-US" w:eastAsia="zh-CN"/>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243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w:t>
            </w:r>
            <w:r/>
          </w:p>
        </w:tc>
        <w:tc>
          <w:tcPr>
            <w:tcW w:w="2435"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不接受</w:t>
            </w:r>
            <w:r>
              <w:rPr>
                <w:rFonts w:hint="eastAsia" w:ascii="宋体" w:hAnsi="宋体" w:eastAsia="宋体" w:cs="宋体"/>
                <w:color w:val="auto"/>
                <w:sz w:val="24"/>
                <w:highlight w:val="none"/>
              </w:rPr>
              <w:t xml:space="preserve">分支机构参与投标</w:t>
            </w:r>
            <w:r/>
          </w:p>
        </w:tc>
        <w:tc>
          <w:tcPr>
            <w:tcW w:w="4508"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c>
          <w:tcPr>
            <w:tcW w:w="1637" w:type="dxa"/>
            <w:vAlign w:val="center"/>
            <w:vMerge w:val="restart"/>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w:t>
            </w:r>
            <w:r/>
          </w:p>
        </w:tc>
        <w:tc>
          <w:tcPr>
            <w:tcW w:w="2435"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不属于</w:t>
            </w:r>
            <w:r>
              <w:rPr>
                <w:rFonts w:hint="eastAsia" w:ascii="宋体" w:hAnsi="宋体" w:eastAsia="宋体" w:cs="宋体"/>
                <w:color w:val="auto"/>
                <w:sz w:val="24"/>
                <w:highlight w:val="none"/>
              </w:rPr>
              <w:t xml:space="preserve">政府购买服务</w:t>
            </w:r>
            <w:r/>
          </w:p>
        </w:tc>
        <w:tc>
          <w:tcPr>
            <w:tcW w:w="4508"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3-3</w:t>
            </w:r>
            <w:r/>
          </w:p>
        </w:tc>
        <w:tc>
          <w:tcPr>
            <w:tcW w:w="243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其他特定资格要求</w:t>
            </w:r>
            <w:r/>
          </w:p>
        </w:tc>
        <w:tc>
          <w:tcPr>
            <w:tcW w:w="4508" w:type="dxa"/>
            <w:vAlign w:val="center"/>
            <w:textDirection w:val="lrTb"/>
            <w:noWrap w:val="false"/>
          </w:tcPr>
          <w:p>
            <w:pPr>
              <w:pStyle w:val="924"/>
              <w:ind w:firstLine="480"/>
              <w:rPr>
                <w:rFonts w:hint="eastAsia"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 xml:space="preserve">（1）供应商具有有效期内的</w:t>
            </w:r>
            <w:r>
              <w:rPr>
                <w:rFonts w:hint="eastAsia" w:ascii="Times New Roman" w:cs="Times New Roman"/>
                <w:b/>
                <w:bCs/>
                <w:color w:val="auto"/>
                <w:szCs w:val="24"/>
                <w:highlight w:val="none"/>
                <w:lang w:eastAsia="zh-CN"/>
              </w:rPr>
              <w:t xml:space="preserve">市政公用工程施工总承包</w:t>
            </w:r>
            <w:r>
              <w:rPr>
                <w:rFonts w:hint="eastAsia" w:ascii="Times New Roman" w:hAnsi="Times New Roman" w:eastAsia="宋体" w:cs="Times New Roman"/>
                <w:b/>
                <w:bCs/>
                <w:color w:val="auto"/>
                <w:szCs w:val="24"/>
                <w:highlight w:val="none"/>
                <w:lang w:eastAsia="zh-CN"/>
              </w:rPr>
              <w:t xml:space="preserve">叁级（含）以上资质</w:t>
            </w:r>
            <w:r>
              <w:rPr>
                <w:rFonts w:hint="eastAsia" w:ascii="Times New Roman" w:hAnsi="Times New Roman" w:eastAsia="宋体" w:cs="Times New Roman"/>
                <w:b/>
                <w:bCs/>
                <w:color w:val="auto"/>
                <w:szCs w:val="24"/>
                <w:highlight w:val="none"/>
              </w:rPr>
              <w:t xml:space="preserve">；</w:t>
            </w:r>
            <w:r/>
          </w:p>
          <w:p>
            <w:pPr>
              <w:ind w:firstLine="480"/>
              <w:jc w:val="both"/>
              <w:spacing w:line="360" w:lineRule="auto"/>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（2）</w:t>
            </w:r>
            <w:r>
              <w:rPr>
                <w:rFonts w:hint="eastAsia" w:cs="Times New Roman"/>
                <w:b/>
                <w:bCs/>
                <w:color w:val="auto"/>
                <w:sz w:val="24"/>
                <w:szCs w:val="24"/>
                <w:highlight w:val="none"/>
                <w:lang w:val="en-US" w:eastAsia="zh-CN" w:bidi="ar-SA"/>
              </w:rPr>
              <w:t xml:space="preserve">拟派</w:t>
            </w:r>
            <w:r>
              <w:rPr>
                <w:rFonts w:hint="eastAsia" w:ascii="Times New Roman" w:hAnsi="Times New Roman" w:eastAsia="宋体" w:cs="Times New Roman"/>
                <w:b/>
                <w:bCs/>
                <w:color w:val="auto"/>
                <w:sz w:val="24"/>
                <w:szCs w:val="24"/>
                <w:highlight w:val="none"/>
                <w:lang w:val="en-US" w:eastAsia="zh-CN" w:bidi="ar-SA"/>
              </w:rPr>
              <w:t xml:space="preserve">项目负责人需具有有效期内的</w:t>
            </w:r>
            <w:r>
              <w:rPr>
                <w:rFonts w:hint="eastAsia" w:cs="Times New Roman"/>
                <w:b/>
                <w:bCs/>
                <w:color w:val="auto"/>
                <w:sz w:val="24"/>
                <w:szCs w:val="24"/>
                <w:highlight w:val="none"/>
                <w:lang w:val="en-US" w:eastAsia="zh-CN" w:bidi="ar-SA"/>
              </w:rPr>
              <w:t xml:space="preserve">市政公用工程</w:t>
            </w:r>
            <w:r>
              <w:rPr>
                <w:rFonts w:hint="eastAsia" w:ascii="Times New Roman" w:hAnsi="Times New Roman" w:eastAsia="宋体" w:cs="Times New Roman"/>
                <w:b/>
                <w:bCs/>
                <w:color w:val="auto"/>
                <w:sz w:val="24"/>
                <w:szCs w:val="24"/>
                <w:highlight w:val="none"/>
                <w:lang w:val="en-US" w:eastAsia="zh-CN" w:bidi="ar-SA"/>
              </w:rPr>
              <w:t xml:space="preserve">贰级（含）以上注册建造师执业证书并具有有效期内的</w:t>
            </w:r>
            <w:r>
              <w:rPr>
                <w:rFonts w:hint="eastAsia" w:cs="Times New Roman"/>
                <w:b/>
                <w:bCs/>
                <w:color w:val="auto"/>
                <w:sz w:val="24"/>
                <w:szCs w:val="24"/>
                <w:highlight w:val="none"/>
                <w:lang w:val="en-US" w:eastAsia="zh-CN" w:bidi="ar-SA"/>
              </w:rPr>
              <w:t xml:space="preserve">安全生产考核合格证书</w:t>
            </w:r>
            <w:r>
              <w:rPr>
                <w:rFonts w:hint="eastAsia" w:ascii="Times New Roman" w:hAnsi="Times New Roman" w:eastAsia="宋体" w:cs="Times New Roman"/>
                <w:b/>
                <w:bCs/>
                <w:color w:val="auto"/>
                <w:sz w:val="24"/>
                <w:szCs w:val="24"/>
                <w:highlight w:val="none"/>
                <w:lang w:val="en-US" w:eastAsia="zh-CN" w:bidi="ar-SA"/>
              </w:rPr>
              <w:t xml:space="preserve">（B证）；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（3）供应商须具有建设行政主管部门颁发的且在有效期内的安全生产许可证；</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宋体"/>
                <w:color w:val="auto"/>
                <w:sz w:val="24"/>
                <w:highlight w:val="none"/>
                <w:lang w:val="en-US" w:eastAsia="zh-CN"/>
              </w:rPr>
            </w:pPr>
            <w:r>
              <w:rPr>
                <w:rFonts w:hint="eastAsia" w:ascii="Times New Roman" w:hAnsi="Times New Roman" w:eastAsia="宋体" w:cs="Times New Roman"/>
                <w:b/>
                <w:bCs/>
                <w:color w:val="auto"/>
                <w:sz w:val="24"/>
                <w:szCs w:val="24"/>
                <w:highlight w:val="none"/>
                <w:lang w:val="en-US" w:eastAsia="zh-CN" w:bidi="ar-SA"/>
              </w:rPr>
              <w:t xml:space="preserve">（4）拟派项目负责人无在建工程，以“无在建承诺书”为准（格式</w:t>
            </w:r>
            <w:r>
              <w:rPr>
                <w:rFonts w:hint="eastAsia" w:cs="Times New Roman"/>
                <w:b/>
                <w:bCs/>
                <w:color w:val="auto"/>
                <w:sz w:val="24"/>
                <w:szCs w:val="24"/>
                <w:highlight w:val="none"/>
                <w:lang w:val="en-US" w:eastAsia="zh-CN" w:bidi="ar-SA"/>
              </w:rPr>
              <w:t xml:space="preserve">自拟</w:t>
            </w:r>
            <w:r>
              <w:rPr>
                <w:rFonts w:hint="eastAsia" w:ascii="Times New Roman" w:hAnsi="Times New Roman" w:eastAsia="宋体" w:cs="Times New Roman"/>
                <w:b/>
                <w:bCs/>
                <w:color w:val="auto"/>
                <w:sz w:val="24"/>
                <w:szCs w:val="24"/>
                <w:highlight w:val="none"/>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w:t>
            </w:r>
            <w:r/>
          </w:p>
        </w:tc>
        <w:tc>
          <w:tcPr>
            <w:tcW w:w="1637"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须提供相应证明材料。</w:t>
            </w:r>
            <w:r/>
          </w:p>
        </w:tc>
      </w:tr>
    </w:tbl>
    <w:p>
      <w:pPr>
        <w:jc w:val="left"/>
        <w:widowControl/>
        <w:rPr>
          <w:color w:val="auto"/>
          <w:sz w:val="24"/>
          <w:highlight w:val="none"/>
        </w:rPr>
      </w:pPr>
      <w:r>
        <w:rPr>
          <w:color w:val="auto"/>
          <w:sz w:val="24"/>
          <w:highlight w:val="none"/>
        </w:rPr>
        <w:br w:type="page" w:clear="all"/>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89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820"/>
        <w:gridCol w:w="6758"/>
      </w:tblGrid>
      <w:tr>
        <w:trPr>
          <w:jc w:val="center"/>
          <w:trHeight w:val="300"/>
        </w:trPr>
        <w:tc>
          <w:tcPr>
            <w:tcW w:w="84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792"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6656"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792" w:type="dxa"/>
            <w:vAlign w:val="center"/>
            <w:textDirection w:val="lrTb"/>
            <w:noWrap w:val="false"/>
          </w:tcPr>
          <w:p>
            <w:pPr>
              <w:jc w:val="left"/>
              <w:widowControl/>
              <w:rPr>
                <w:color w:val="auto"/>
                <w:sz w:val="24"/>
                <w:highlight w:val="none"/>
              </w:rPr>
            </w:pPr>
            <w:r>
              <w:rPr>
                <w:rFonts w:hint="eastAsia"/>
                <w:color w:val="auto"/>
                <w:sz w:val="24"/>
                <w:highlight w:val="none"/>
              </w:rPr>
              <w:t xml:space="preserve">响应函、法定代表人资格证明书和政府采购供应商信用承诺书</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响应函、法定代表人资格证明书和政府采购供应商信用承诺书</w:t>
            </w:r>
            <w:r>
              <w:rPr>
                <w:color w:val="auto"/>
                <w:sz w:val="24"/>
                <w:highlight w:val="none"/>
              </w:rPr>
              <w:t xml:space="preserve">；</w:t>
            </w:r>
            <w:r/>
          </w:p>
        </w:tc>
      </w:tr>
      <w:tr>
        <w:trPr>
          <w:jc w:val="center"/>
          <w:trHeight w:val="685"/>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6656" w:type="dxa"/>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92"/>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超过磋商文件中规定的项目预算金额</w:t>
            </w:r>
            <w:r>
              <w:rPr>
                <w:rFonts w:hint="eastAsia"/>
                <w:color w:val="auto"/>
                <w:sz w:val="24"/>
                <w:highlight w:val="none"/>
                <w:lang w:eastAsia="zh-CN"/>
              </w:rPr>
              <w:t xml:space="preserve">、</w:t>
            </w:r>
            <w:r>
              <w:rPr>
                <w:rFonts w:hint="eastAsia"/>
                <w:color w:val="auto"/>
                <w:sz w:val="24"/>
                <w:highlight w:val="none"/>
                <w:lang w:val="en-US" w:eastAsia="zh-CN"/>
              </w:rPr>
              <w:t xml:space="preserve">投标下浮率未低于控制下浮率</w:t>
            </w:r>
            <w:r>
              <w:rPr>
                <w:color w:val="auto"/>
                <w:sz w:val="24"/>
                <w:highlight w:val="none"/>
              </w:rPr>
              <w:t xml:space="preserve">；</w:t>
            </w:r>
            <w:r/>
          </w:p>
        </w:tc>
      </w:tr>
      <w:tr>
        <w:trPr>
          <w:jc w:val="center"/>
          <w:trHeight w:val="685"/>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未出现可选择性或可调整的报价（磋商文件另有规定的除外）</w:t>
            </w:r>
            <w:r>
              <w:rPr>
                <w:color w:val="auto"/>
                <w:sz w:val="24"/>
                <w:highlight w:val="none"/>
              </w:rPr>
              <w:t xml:space="preserve">；</w:t>
            </w:r>
            <w:r/>
          </w:p>
        </w:tc>
      </w:tr>
      <w:tr>
        <w:trPr>
          <w:jc w:val="center"/>
          <w:trHeight w:val="685"/>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792"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6656" w:type="dxa"/>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磋商文件</w:t>
            </w:r>
            <w:r>
              <w:rPr>
                <w:rFonts w:hint="eastAsia"/>
                <w:color w:val="auto"/>
                <w:sz w:val="24"/>
                <w:highlight w:val="none"/>
              </w:rPr>
              <w:t xml:space="preserve">要求提供；</w:t>
            </w:r>
            <w:r/>
          </w:p>
        </w:tc>
      </w:tr>
      <w:tr>
        <w:trPr>
          <w:jc w:val="center"/>
          <w:trHeight w:val="685"/>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792" w:type="dxa"/>
            <w:vAlign w:val="center"/>
            <w:textDirection w:val="lrTb"/>
            <w:noWrap w:val="false"/>
          </w:tcPr>
          <w:p>
            <w:pPr>
              <w:jc w:val="left"/>
              <w:widowControl/>
              <w:rPr>
                <w:rFonts w:hint="eastAsia"/>
                <w:color w:val="auto"/>
                <w:sz w:val="24"/>
                <w:highlight w:val="none"/>
              </w:rPr>
            </w:pPr>
            <w:r>
              <w:rPr>
                <w:color w:val="auto"/>
                <w:sz w:val="24"/>
                <w:highlight w:val="none"/>
              </w:rPr>
              <w:t xml:space="preserve">★号条款响应</w:t>
            </w:r>
            <w:r>
              <w:rPr>
                <w:rFonts w:hint="eastAsia"/>
                <w:color w:val="auto"/>
                <w:sz w:val="24"/>
                <w:highlight w:val="none"/>
              </w:rPr>
              <w:t xml:space="preserve">（如有）</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响应文件满足磋商文件第</w:t>
            </w:r>
            <w:r>
              <w:rPr>
                <w:rFonts w:hint="eastAsia"/>
                <w:color w:val="auto"/>
                <w:sz w:val="24"/>
                <w:highlight w:val="none"/>
              </w:rPr>
              <w:t xml:space="preserve">四</w:t>
            </w:r>
            <w:r>
              <w:rPr>
                <w:color w:val="auto"/>
                <w:sz w:val="24"/>
                <w:highlight w:val="none"/>
              </w:rPr>
              <w:t xml:space="preserve">章《采购需求》中★号条款要求的；</w:t>
            </w:r>
            <w:r/>
          </w:p>
        </w:tc>
      </w:tr>
      <w:tr>
        <w:trPr>
          <w:jc w:val="center"/>
          <w:trHeight w:val="1029"/>
        </w:trPr>
        <w:tc>
          <w:tcPr>
            <w:tcW w:w="840" w:type="dxa"/>
            <w:vAlign w:val="center"/>
            <w:textDirection w:val="lrTb"/>
            <w:noWrap w:val="false"/>
          </w:tcPr>
          <w:p>
            <w:pPr>
              <w:jc w:val="center"/>
              <w:widowControl/>
              <w:rPr>
                <w:rFonts w:hint="eastAsia"/>
                <w:color w:val="auto"/>
                <w:sz w:val="24"/>
                <w:highlight w:val="none"/>
              </w:rPr>
            </w:pPr>
            <w:r>
              <w:rPr>
                <w:rFonts w:hint="eastAsia"/>
                <w:color w:val="auto"/>
                <w:sz w:val="24"/>
                <w:highlight w:val="none"/>
              </w:rPr>
              <w:t xml:space="preserve">9</w:t>
            </w:r>
            <w:r/>
          </w:p>
        </w:tc>
        <w:tc>
          <w:tcPr>
            <w:tcW w:w="1792" w:type="dxa"/>
            <w:vAlign w:val="center"/>
            <w:textDirection w:val="lrTb"/>
            <w:noWrap w:val="false"/>
          </w:tcPr>
          <w:p>
            <w:pPr>
              <w:jc w:val="left"/>
              <w:widowControl/>
              <w:rPr>
                <w:rFonts w:ascii="Segoe UI Symbol" w:hAnsi="Segoe UI Symbol" w:cs="Segoe UI Symbol"/>
                <w:color w:val="auto"/>
                <w:sz w:val="24"/>
                <w:highlight w:val="none"/>
              </w:rPr>
            </w:pPr>
            <w:r>
              <w:rPr>
                <w:color w:val="auto"/>
                <w:sz w:val="24"/>
                <w:highlight w:val="none"/>
              </w:rPr>
              <w:t xml:space="preserve">报价合理性</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报价合理，或</w:t>
            </w:r>
            <w:r>
              <w:rPr>
                <w:rFonts w:hint="eastAsia"/>
                <w:color w:val="auto"/>
                <w:sz w:val="24"/>
                <w:highlight w:val="none"/>
              </w:rPr>
              <w:t xml:space="preserve">供应商的报价明显低于其他通过符合性审查供应商的报价，</w:t>
            </w:r>
            <w:r>
              <w:rPr>
                <w:color w:val="auto"/>
                <w:sz w:val="24"/>
                <w:highlight w:val="none"/>
              </w:rPr>
              <w:t xml:space="preserve">有可能影响</w:t>
            </w:r>
            <w:r>
              <w:rPr>
                <w:rFonts w:hint="eastAsia"/>
                <w:color w:val="auto"/>
                <w:sz w:val="24"/>
                <w:highlight w:val="none"/>
              </w:rPr>
              <w:t xml:space="preserve">工程</w:t>
            </w:r>
            <w:r>
              <w:rPr>
                <w:color w:val="auto"/>
                <w:sz w:val="24"/>
                <w:highlight w:val="none"/>
              </w:rPr>
              <w:t xml:space="preserve">质量或者不能诚信履约的</w:t>
            </w:r>
            <w:r>
              <w:rPr>
                <w:rFonts w:hint="eastAsia"/>
                <w:color w:val="auto"/>
                <w:sz w:val="24"/>
                <w:highlight w:val="none"/>
              </w:rPr>
              <w:t xml:space="preserve">，能够应磋商小组要求在规定时间内证明其报价合理性的</w:t>
            </w:r>
            <w:r>
              <w:rPr>
                <w:color w:val="auto"/>
                <w:sz w:val="24"/>
                <w:highlight w:val="none"/>
              </w:rPr>
              <w:t xml:space="preserve">；</w:t>
            </w:r>
            <w:r/>
          </w:p>
        </w:tc>
      </w:tr>
      <w:tr>
        <w:trPr>
          <w:jc w:val="center"/>
          <w:trHeight w:val="688"/>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10</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6656"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，或响应文件报价出现前后不一致</w:t>
            </w:r>
            <w:r>
              <w:rPr>
                <w:rFonts w:hint="eastAsia"/>
                <w:color w:val="auto"/>
                <w:sz w:val="24"/>
                <w:highlight w:val="none"/>
              </w:rPr>
              <w:t xml:space="preserve">时</w:t>
            </w:r>
            <w:r>
              <w:rPr>
                <w:color w:val="auto"/>
                <w:sz w:val="24"/>
                <w:highlight w:val="none"/>
              </w:rPr>
              <w:t xml:space="preserve">，供应商对修正后的报价予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11</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12</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串通响应</w:t>
            </w:r>
            <w:r/>
          </w:p>
        </w:tc>
        <w:tc>
          <w:tcPr>
            <w:tcW w:w="6656" w:type="dxa"/>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13</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14</w:t>
            </w:r>
            <w:r/>
          </w:p>
        </w:tc>
        <w:tc>
          <w:tcPr>
            <w:tcW w:w="1792" w:type="dxa"/>
            <w:vAlign w:val="center"/>
            <w:textDirection w:val="lrTb"/>
            <w:noWrap w:val="false"/>
          </w:tcPr>
          <w:p>
            <w:pPr>
              <w:jc w:val="left"/>
              <w:widowControl/>
              <w:rPr>
                <w:color w:val="auto"/>
                <w:sz w:val="24"/>
                <w:highlight w:val="none"/>
              </w:rPr>
            </w:pPr>
            <w:r>
              <w:rPr>
                <w:rFonts w:hint="eastAsia"/>
                <w:b/>
                <w:bCs/>
                <w:color w:val="auto"/>
                <w:sz w:val="24"/>
                <w:highlight w:val="none"/>
                <w:lang w:val="en-US" w:eastAsia="zh-CN"/>
              </w:rPr>
              <w:t xml:space="preserve">工程量清单（</w:t>
            </w:r>
            <w:r>
              <w:rPr>
                <w:rFonts w:hint="eastAsia" w:ascii="Times New Roman" w:eastAsia="宋体"/>
                <w:b/>
                <w:bCs/>
                <w:color w:val="auto"/>
                <w:sz w:val="24"/>
                <w:highlight w:val="none"/>
                <w:lang w:val="en-US" w:eastAsia="zh-CN"/>
              </w:rPr>
              <w:t xml:space="preserve">分项报价表</w:t>
            </w:r>
            <w:r>
              <w:rPr>
                <w:rFonts w:hint="eastAsia"/>
                <w:b/>
                <w:bCs/>
                <w:color w:val="auto"/>
                <w:sz w:val="24"/>
                <w:highlight w:val="none"/>
                <w:lang w:val="en-US" w:eastAsia="zh-CN"/>
              </w:rPr>
              <w:t xml:space="preserve">）（如有）</w:t>
            </w:r>
            <w:r/>
          </w:p>
        </w:tc>
        <w:tc>
          <w:tcPr>
            <w:tcW w:w="6656" w:type="dxa"/>
            <w:vAlign w:val="center"/>
            <w:textDirection w:val="lrTb"/>
            <w:noWrap w:val="false"/>
          </w:tcPr>
          <w:p>
            <w:pPr>
              <w:jc w:val="left"/>
              <w:widowControl/>
              <w:rPr>
                <w:color w:val="auto"/>
                <w:sz w:val="24"/>
                <w:highlight w:val="none"/>
              </w:rPr>
            </w:pPr>
            <w:r>
              <w:rPr>
                <w:rFonts w:hint="eastAsia"/>
                <w:b/>
                <w:bCs/>
                <w:color w:val="auto"/>
                <w:sz w:val="24"/>
                <w:highlight w:val="none"/>
                <w:lang w:val="en-US" w:eastAsia="zh-CN"/>
              </w:rPr>
              <w:t xml:space="preserve">提供了</w:t>
            </w:r>
            <w:r>
              <w:rPr>
                <w:rFonts w:hint="eastAsia" w:ascii="Times New Roman" w:eastAsia="宋体"/>
                <w:b/>
                <w:bCs/>
                <w:color w:val="auto"/>
                <w:sz w:val="24"/>
                <w:highlight w:val="none"/>
                <w:lang w:val="en-US" w:eastAsia="zh-CN"/>
              </w:rPr>
              <w:t xml:space="preserve">工程量清单（分项报价表）</w:t>
            </w:r>
            <w:r>
              <w:rPr>
                <w:rFonts w:hint="eastAsia"/>
                <w:b/>
                <w:bCs/>
                <w:color w:val="auto"/>
                <w:sz w:val="24"/>
                <w:highlight w:val="none"/>
                <w:lang w:val="en-US" w:eastAsia="zh-CN"/>
              </w:rPr>
              <w:t xml:space="preserve">，且</w:t>
            </w:r>
            <w:r>
              <w:rPr>
                <w:rFonts w:hint="eastAsia"/>
                <w:b/>
                <w:bCs/>
                <w:color w:val="auto"/>
                <w:sz w:val="24"/>
                <w:highlight w:val="none"/>
              </w:rPr>
              <w:t xml:space="preserve">未擅自修改</w:t>
            </w:r>
            <w:r>
              <w:rPr>
                <w:rFonts w:hint="eastAsia" w:ascii="Times New Roman" w:eastAsia="宋体"/>
                <w:b/>
                <w:bCs/>
                <w:color w:val="auto"/>
                <w:sz w:val="24"/>
                <w:highlight w:val="none"/>
                <w:lang w:val="en-US" w:eastAsia="zh-CN"/>
              </w:rPr>
              <w:t xml:space="preserve">工程量清单（分项报价表）</w:t>
            </w:r>
            <w:r>
              <w:rPr>
                <w:rFonts w:hint="eastAsia"/>
                <w:b/>
                <w:bCs/>
                <w:color w:val="auto"/>
                <w:sz w:val="24"/>
                <w:highlight w:val="none"/>
                <w:lang w:val="en-US" w:eastAsia="zh-CN"/>
              </w:rPr>
              <w:t xml:space="preserve">中的</w:t>
            </w:r>
            <w:r>
              <w:rPr>
                <w:rFonts w:hint="eastAsia"/>
                <w:b/>
                <w:bCs/>
                <w:color w:val="auto"/>
                <w:sz w:val="24"/>
                <w:highlight w:val="none"/>
              </w:rPr>
              <w:t xml:space="preserve">项目名称、计量单位、工程数量或运算定义等</w:t>
            </w:r>
            <w:r>
              <w:rPr>
                <w:rFonts w:hint="eastAsia" w:hAnsi="宋体"/>
                <w:b/>
                <w:bCs/>
                <w:color w:val="auto"/>
                <w:highlight w:val="none"/>
              </w:rPr>
              <w:t xml:space="preserve">；</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15</w:t>
            </w:r>
            <w:r/>
          </w:p>
        </w:tc>
        <w:tc>
          <w:tcPr>
            <w:tcW w:w="1792" w:type="dxa"/>
            <w:vAlign w:val="center"/>
            <w:textDirection w:val="lrTb"/>
            <w:noWrap w:val="false"/>
          </w:tcPr>
          <w:p>
            <w:pPr>
              <w:jc w:val="left"/>
              <w:widowControl/>
              <w:rPr>
                <w:b/>
                <w:bCs/>
                <w:color w:val="auto"/>
                <w:sz w:val="24"/>
                <w:highlight w:val="none"/>
              </w:rPr>
            </w:pPr>
            <w:r>
              <w:rPr>
                <w:rFonts w:hint="eastAsia"/>
                <w:b/>
                <w:bCs/>
                <w:color w:val="auto"/>
                <w:sz w:val="24"/>
                <w:highlight w:val="none"/>
              </w:rPr>
              <w:t xml:space="preserve">不可竞争费</w:t>
            </w:r>
            <w:r>
              <w:rPr>
                <w:rFonts w:hint="eastAsia" w:ascii="Times New Roman" w:eastAsia="宋体"/>
                <w:b/>
                <w:bCs/>
                <w:color w:val="auto"/>
                <w:sz w:val="24"/>
                <w:highlight w:val="none"/>
                <w:lang w:val="en-US" w:eastAsia="zh-CN"/>
              </w:rPr>
              <w:t xml:space="preserve">（如有）</w:t>
            </w:r>
            <w:r/>
          </w:p>
        </w:tc>
        <w:tc>
          <w:tcPr>
            <w:tcW w:w="6656" w:type="dxa"/>
            <w:vAlign w:val="center"/>
            <w:textDirection w:val="lrTb"/>
            <w:noWrap w:val="false"/>
          </w:tcPr>
          <w:p>
            <w:pPr>
              <w:jc w:val="left"/>
              <w:widowControl/>
              <w:rPr>
                <w:rFonts w:hint="eastAsia"/>
                <w:b/>
                <w:bCs/>
                <w:color w:val="auto"/>
                <w:sz w:val="24"/>
                <w:highlight w:val="none"/>
              </w:rPr>
            </w:pPr>
            <w:r>
              <w:rPr>
                <w:rFonts w:hint="eastAsia"/>
                <w:b/>
                <w:bCs/>
                <w:color w:val="auto"/>
                <w:sz w:val="24"/>
                <w:highlight w:val="none"/>
              </w:rPr>
              <w:t xml:space="preserve">未擅自改动暂列金额或</w:t>
            </w:r>
            <w:r>
              <w:rPr>
                <w:rFonts w:hint="eastAsia" w:ascii="宋体" w:hAnsi="宋体"/>
                <w:b/>
                <w:bCs/>
                <w:color w:val="auto"/>
                <w:sz w:val="24"/>
                <w:highlight w:val="none"/>
              </w:rPr>
              <w:t xml:space="preserve">暂估价或</w:t>
            </w:r>
            <w:r>
              <w:rPr>
                <w:rFonts w:hint="eastAsia" w:ascii="宋体" w:hAnsi="宋体"/>
                <w:b/>
                <w:bCs/>
                <w:color w:val="auto"/>
                <w:sz w:val="24"/>
                <w:highlight w:val="none"/>
                <w:lang w:val="en-US" w:eastAsia="zh-CN"/>
              </w:rPr>
              <w:t xml:space="preserve">不可竞争费或</w:t>
            </w:r>
            <w:r>
              <w:rPr>
                <w:rFonts w:hint="eastAsia"/>
                <w:b/>
                <w:bCs/>
                <w:color w:val="auto"/>
                <w:sz w:val="24"/>
                <w:highlight w:val="none"/>
              </w:rPr>
              <w:t xml:space="preserve">其他不可竞争费率</w:t>
            </w:r>
            <w:r>
              <w:rPr>
                <w:rFonts w:hint="eastAsia" w:ascii="宋体" w:hAnsi="宋体"/>
                <w:b/>
                <w:bCs/>
                <w:color w:val="auto"/>
                <w:sz w:val="24"/>
                <w:highlight w:val="none"/>
              </w:rPr>
              <w:t xml:space="preserve">的</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16</w:t>
            </w:r>
            <w:r/>
          </w:p>
        </w:tc>
        <w:tc>
          <w:tcPr>
            <w:tcW w:w="1792" w:type="dxa"/>
            <w:vAlign w:val="center"/>
            <w:textDirection w:val="lrTb"/>
            <w:noWrap w:val="false"/>
          </w:tcPr>
          <w:p>
            <w:pPr>
              <w:jc w:val="left"/>
              <w:widowControl/>
              <w:rPr>
                <w:b/>
                <w:bCs/>
                <w:color w:val="auto"/>
                <w:sz w:val="24"/>
                <w:highlight w:val="none"/>
              </w:rPr>
            </w:pPr>
            <w:r>
              <w:rPr>
                <w:rFonts w:hint="eastAsia"/>
                <w:b/>
                <w:bCs/>
                <w:color w:val="auto"/>
                <w:sz w:val="24"/>
                <w:highlight w:val="none"/>
              </w:rPr>
              <w:t xml:space="preserve">最终报价</w:t>
            </w:r>
            <w:r/>
          </w:p>
        </w:tc>
        <w:tc>
          <w:tcPr>
            <w:tcW w:w="6656" w:type="dxa"/>
            <w:vAlign w:val="center"/>
            <w:textDirection w:val="lrTb"/>
            <w:noWrap w:val="false"/>
          </w:tcPr>
          <w:p>
            <w:pPr>
              <w:spacing w:line="360" w:lineRule="auto"/>
              <w:rPr>
                <w:rFonts w:hint="eastAsia"/>
                <w:b/>
                <w:bCs/>
                <w:color w:val="auto"/>
                <w:sz w:val="24"/>
                <w:highlight w:val="none"/>
              </w:rPr>
            </w:pPr>
            <w:r>
              <w:rPr>
                <w:rFonts w:hint="eastAsia" w:ascii="宋体" w:hAnsi="宋体"/>
                <w:b/>
                <w:bCs/>
                <w:color w:val="auto"/>
                <w:sz w:val="24"/>
                <w:highlight w:val="none"/>
              </w:rPr>
              <w:t xml:space="preserve">供应商最终报价未高于首次报价的</w:t>
            </w:r>
            <w:r>
              <w:rPr>
                <w:rFonts w:hint="eastAsia" w:eastAsia="宋体"/>
                <w:b/>
                <w:bCs/>
                <w:color w:val="auto"/>
                <w:sz w:val="24"/>
                <w:highlight w:val="none"/>
                <w:lang w:eastAsia="zh-CN"/>
              </w:rPr>
              <w:t xml:space="preserve">（</w:t>
            </w:r>
            <w:r>
              <w:rPr>
                <w:rFonts w:hint="eastAsia" w:ascii="Times New Roman" w:eastAsia="宋体"/>
                <w:b/>
                <w:bCs/>
                <w:color w:val="auto"/>
                <w:sz w:val="24"/>
                <w:highlight w:val="none"/>
                <w:lang w:val="en-US" w:eastAsia="zh-CN"/>
              </w:rPr>
              <w:t xml:space="preserve">即最终投标下浮率未低于首次投标下浮率的</w:t>
            </w:r>
            <w:r>
              <w:rPr>
                <w:rFonts w:hint="eastAsia" w:eastAsia="宋体"/>
                <w:b/>
                <w:bCs/>
                <w:color w:val="auto"/>
                <w:sz w:val="24"/>
                <w:highlight w:val="none"/>
                <w:lang w:eastAsia="zh-CN"/>
              </w:rPr>
              <w:t xml:space="preserve">）</w:t>
            </w:r>
            <w:r>
              <w:rPr>
                <w:rFonts w:hint="eastAsia" w:ascii="宋体" w:hAnsi="宋体"/>
                <w:b/>
                <w:bCs/>
                <w:color w:val="auto"/>
                <w:sz w:val="24"/>
                <w:highlight w:val="none"/>
              </w:rPr>
              <w:t xml:space="preserve">；</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17</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bl>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0"/>
        </w:numPr>
        <w:ind w:left="1077" w:hanging="720"/>
        <w:spacing w:line="360" w:lineRule="auto"/>
        <w:tabs>
          <w:tab w:val="left" w:pos="1080" w:leader="none"/>
        </w:tabs>
        <w:rPr>
          <w:rFonts w:hint="eastAsia"/>
          <w:color w:val="auto"/>
          <w:sz w:val="24"/>
          <w:highlight w:val="none"/>
        </w:rPr>
      </w:pPr>
      <w:r>
        <w:rPr>
          <w:rFonts w:hint="eastAsia"/>
          <w:color w:val="auto"/>
          <w:sz w:val="24"/>
          <w:highlight w:val="none"/>
          <w:lang w:eastAsia="zh-CN"/>
        </w:rPr>
        <w:t xml:space="preserve">磋商小组</w:t>
      </w:r>
      <w:r>
        <w:rPr>
          <w:rFonts w:hint="eastAsia"/>
          <w:color w:val="auto"/>
          <w:sz w:val="24"/>
          <w:highlight w:val="none"/>
        </w:rPr>
        <w:t xml:space="preserve">启动异常低价</w:t>
      </w:r>
      <w:r>
        <w:rPr>
          <w:rFonts w:hint="eastAsia"/>
          <w:color w:val="auto"/>
          <w:sz w:val="24"/>
          <w:highlight w:val="none"/>
          <w:lang w:val="en-US" w:eastAsia="zh-CN"/>
        </w:rPr>
        <w:t xml:space="preserve">投标</w:t>
      </w:r>
      <w:r>
        <w:rPr>
          <w:rFonts w:hint="eastAsia"/>
          <w:color w:val="auto"/>
          <w:sz w:val="24"/>
          <w:highlight w:val="none"/>
        </w:rPr>
        <w:t xml:space="preserve">审查的情形和具体要求，包括：</w:t>
      </w:r>
      <w:r/>
    </w:p>
    <w:p>
      <w:pPr>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2.2.1评审中出现下列情形之一的，磋商小组应当启动异常低价响应审查程序：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2.2.1.1响应报价低于全部通过符合性审查供应商响应报价平均值</w:t>
      </w:r>
      <w:r>
        <w:rPr>
          <w:rFonts w:hint="eastAsia" w:ascii="宋体" w:hAnsi="宋体" w:cs="宋体"/>
          <w:b/>
          <w:bCs/>
          <w:i w:val="0"/>
          <w:iCs w:val="0"/>
          <w:caps w:val="0"/>
          <w:color w:val="auto"/>
          <w:spacing w:val="0"/>
          <w:sz w:val="24"/>
          <w:szCs w:val="24"/>
          <w:highlight w:val="none"/>
          <w:shd w:val="clear" w:color="auto" w:fill="ffffff"/>
          <w:lang w:val="en-US" w:eastAsia="zh-CN" w:bidi="ar"/>
        </w:rPr>
        <w:t xml:space="preserve">65</w:t>
      </w: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%的，即响应报价&lt;全部通过符合性审查供应商响应报价平均值×</w:t>
      </w:r>
      <w:r>
        <w:rPr>
          <w:rFonts w:hint="eastAsia" w:ascii="宋体" w:hAnsi="宋体" w:cs="宋体"/>
          <w:b/>
          <w:bCs/>
          <w:i w:val="0"/>
          <w:iCs w:val="0"/>
          <w:caps w:val="0"/>
          <w:color w:val="auto"/>
          <w:spacing w:val="0"/>
          <w:sz w:val="24"/>
          <w:szCs w:val="24"/>
          <w:highlight w:val="none"/>
          <w:shd w:val="clear" w:color="auto" w:fill="ffffff"/>
          <w:lang w:val="en-US" w:eastAsia="zh-CN" w:bidi="ar"/>
        </w:rPr>
        <w:t xml:space="preserve">65%</w:t>
      </w: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2.2.1.2响应报价低于通过符合性审查的次低报价供应商响应报价</w:t>
      </w:r>
      <w:r>
        <w:rPr>
          <w:rFonts w:hint="eastAsia" w:ascii="宋体" w:hAnsi="宋体" w:cs="宋体"/>
          <w:b/>
          <w:bCs/>
          <w:i w:val="0"/>
          <w:iCs w:val="0"/>
          <w:caps w:val="0"/>
          <w:color w:val="auto"/>
          <w:spacing w:val="0"/>
          <w:sz w:val="24"/>
          <w:szCs w:val="24"/>
          <w:highlight w:val="none"/>
          <w:shd w:val="clear" w:color="auto" w:fill="ffffff"/>
          <w:lang w:val="en-US" w:eastAsia="zh-CN" w:bidi="ar"/>
        </w:rPr>
        <w:t xml:space="preserve">65%</w:t>
      </w: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的，即响应报价&lt;通过符合性审查的次低报价供应商响应报价×</w:t>
      </w:r>
      <w:r>
        <w:rPr>
          <w:rFonts w:hint="eastAsia" w:ascii="宋体" w:hAnsi="宋体" w:cs="宋体"/>
          <w:b/>
          <w:bCs/>
          <w:i w:val="0"/>
          <w:iCs w:val="0"/>
          <w:caps w:val="0"/>
          <w:color w:val="auto"/>
          <w:spacing w:val="0"/>
          <w:sz w:val="24"/>
          <w:szCs w:val="24"/>
          <w:highlight w:val="none"/>
          <w:shd w:val="clear" w:color="auto" w:fill="ffffff"/>
          <w:lang w:val="en-US" w:eastAsia="zh-CN" w:bidi="ar"/>
        </w:rPr>
        <w:t xml:space="preserve">65%</w:t>
      </w: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2.2.1.3响应报价低于采购项目最高限价</w:t>
      </w:r>
      <w:r>
        <w:rPr>
          <w:rFonts w:hint="eastAsia" w:ascii="宋体" w:hAnsi="宋体" w:cs="宋体"/>
          <w:b/>
          <w:bCs/>
          <w:i w:val="0"/>
          <w:iCs w:val="0"/>
          <w:caps w:val="0"/>
          <w:color w:val="auto"/>
          <w:spacing w:val="0"/>
          <w:sz w:val="24"/>
          <w:szCs w:val="24"/>
          <w:highlight w:val="none"/>
          <w:shd w:val="clear" w:color="auto" w:fill="ffffff"/>
          <w:lang w:val="en-US" w:eastAsia="zh-CN" w:bidi="ar"/>
        </w:rPr>
        <w:t xml:space="preserve">65%</w:t>
      </w: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的，即响应报价&lt;采购项目最高限价×</w:t>
      </w:r>
      <w:r>
        <w:rPr>
          <w:rFonts w:hint="eastAsia" w:ascii="宋体" w:hAnsi="宋体" w:cs="宋体"/>
          <w:b/>
          <w:bCs/>
          <w:i w:val="0"/>
          <w:iCs w:val="0"/>
          <w:caps w:val="0"/>
          <w:color w:val="auto"/>
          <w:spacing w:val="0"/>
          <w:sz w:val="24"/>
          <w:szCs w:val="24"/>
          <w:highlight w:val="none"/>
          <w:shd w:val="clear" w:color="auto" w:fill="ffffff"/>
          <w:lang w:val="en-US" w:eastAsia="zh-CN" w:bidi="ar"/>
        </w:rPr>
        <w:t xml:space="preserve">65%</w:t>
      </w: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2.2.1.4磋商小组基于专业判断，认为供应商报价过低，有可能影响服务质量或者不能诚信履约的其他情形。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2.2.2磋商小组启动异常低价响应审查后，属于前述第2.2.1.1项至第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 </w:t>
      </w:r>
      <w:r/>
    </w:p>
    <w:p>
      <w:pPr>
        <w:numPr>
          <w:ilvl w:val="0"/>
          <w:numId w:val="0"/>
        </w:numPr>
        <w:ind w:left="0" w:firstLine="480"/>
        <w:keepLines w:val="0"/>
        <w:keepNext w:val="0"/>
        <w:pageBreakBefore w:val="0"/>
        <w:spacing w:line="360" w:lineRule="auto"/>
        <w:widowControl w:val="off"/>
        <w:tabs>
          <w:tab w:val="left" w:pos="1080" w:leader="none"/>
        </w:tabs>
        <w:rPr>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2.2.5异常低价响应审查的启动原因、审查意见和审查结果应当在评审报告中记录，并随供应商提供的相关书面说明及证明材料，以及磋商小组有关互联网浏览、查询历史一并归档。</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w:t>
      </w:r>
      <w:r>
        <w:rPr>
          <w:rFonts w:hint="eastAsia"/>
          <w:color w:val="auto"/>
          <w:sz w:val="24"/>
          <w:highlight w:val="none"/>
          <w:lang w:eastAsia="zh-CN"/>
        </w:rPr>
        <w:t xml:space="preserve">“苏采云”</w:t>
      </w:r>
      <w:r>
        <w:rPr>
          <w:rFonts w:hint="eastAsia"/>
          <w:color w:val="auto"/>
          <w:sz w:val="24"/>
          <w:highlight w:val="none"/>
        </w:rPr>
        <w:t xml:space="preserve">系统</w:t>
      </w:r>
      <w:r>
        <w:rPr>
          <w:color w:val="auto"/>
          <w:sz w:val="24"/>
          <w:highlight w:val="none"/>
        </w:rPr>
        <w:t xml:space="preserve">以书面形式同时通知所有参加磋商的供应商。</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color w:val="auto"/>
          <w:highlight w:val="none"/>
        </w:rPr>
      </w:pPr>
      <w:r>
        <w:rPr>
          <w:rFonts w:hint="eastAsia"/>
          <w:color w:val="auto"/>
          <w:sz w:val="24"/>
          <w:highlight w:val="none"/>
          <w:lang w:val="en-US" w:eastAsia="zh-CN"/>
        </w:rPr>
        <w:t xml:space="preserve">2.6.1</w:t>
      </w: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会将</w:t>
      </w:r>
      <w:r>
        <w:rPr>
          <w:rFonts w:hint="eastAsia"/>
          <w:color w:val="auto"/>
          <w:sz w:val="24"/>
          <w:highlight w:val="none"/>
        </w:rPr>
        <w:t xml:space="preserve">通过</w:t>
      </w:r>
      <w:r>
        <w:rPr>
          <w:rFonts w:hint="eastAsia"/>
          <w:color w:val="auto"/>
          <w:sz w:val="24"/>
          <w:highlight w:val="none"/>
          <w:lang w:eastAsia="zh-CN"/>
        </w:rPr>
        <w:t xml:space="preserve">“苏采云”</w:t>
      </w:r>
      <w:r>
        <w:rPr>
          <w:rFonts w:hint="eastAsia"/>
          <w:color w:val="auto"/>
          <w:sz w:val="24"/>
          <w:highlight w:val="none"/>
        </w:rPr>
        <w:t xml:space="preserve">系统</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0"/>
        </w:numPr>
        <w:ind w:left="1077" w:hanging="720"/>
        <w:spacing w:line="360" w:lineRule="auto"/>
        <w:tabs>
          <w:tab w:val="left" w:pos="1080" w:leader="none"/>
          <w:tab w:val="left" w:pos="1872" w:leader="none"/>
        </w:tabs>
        <w:rPr>
          <w:rFonts w:hint="eastAsia"/>
          <w:b/>
          <w:color w:val="auto"/>
          <w:sz w:val="24"/>
          <w:highlight w:val="none"/>
        </w:rPr>
      </w:pPr>
      <w:r>
        <w:rPr>
          <w:rFonts w:hint="eastAsia"/>
          <w:b/>
          <w:color w:val="auto"/>
          <w:sz w:val="24"/>
          <w:highlight w:val="none"/>
          <w:lang w:eastAsia="zh-CN"/>
        </w:rPr>
        <w:t xml:space="preserve">本项目采用</w:t>
      </w:r>
      <w:r>
        <w:rPr>
          <w:rFonts w:hint="eastAsia"/>
          <w:b/>
          <w:color w:val="auto"/>
          <w:sz w:val="24"/>
          <w:highlight w:val="none"/>
          <w:lang w:val="en-US" w:eastAsia="zh-CN"/>
        </w:rPr>
        <w:t xml:space="preserve">2次报价。</w:t>
      </w:r>
      <w:r>
        <w:rPr>
          <w:b/>
          <w:color w:val="auto"/>
          <w:sz w:val="24"/>
          <w:highlight w:val="none"/>
        </w:rPr>
        <w:t xml:space="preserve">磋商结束后，磋商小组将要求所有实质性响应的供应商在规定时间内</w:t>
      </w:r>
      <w:r>
        <w:rPr>
          <w:rFonts w:hint="eastAsia"/>
          <w:b/>
          <w:color w:val="auto"/>
          <w:sz w:val="24"/>
          <w:highlight w:val="none"/>
        </w:rPr>
        <w:t xml:space="preserve">通过</w:t>
      </w:r>
      <w:r>
        <w:rPr>
          <w:rFonts w:hint="eastAsia"/>
          <w:b/>
          <w:color w:val="auto"/>
          <w:sz w:val="24"/>
          <w:highlight w:val="none"/>
          <w:lang w:eastAsia="zh-CN"/>
        </w:rPr>
        <w:t xml:space="preserve">“苏采云”</w:t>
      </w:r>
      <w:r>
        <w:rPr>
          <w:rFonts w:hint="eastAsia"/>
          <w:b/>
          <w:color w:val="auto"/>
          <w:sz w:val="24"/>
          <w:highlight w:val="none"/>
        </w:rPr>
        <w:t xml:space="preserve">系统</w:t>
      </w:r>
      <w:r>
        <w:rPr>
          <w:b/>
          <w:color w:val="auto"/>
          <w:sz w:val="24"/>
          <w:highlight w:val="none"/>
        </w:rPr>
        <w:t xml:space="preserve">提交最</w:t>
      </w:r>
      <w:r>
        <w:rPr>
          <w:rFonts w:hint="eastAsia"/>
          <w:b/>
          <w:color w:val="auto"/>
          <w:sz w:val="24"/>
          <w:highlight w:val="none"/>
        </w:rPr>
        <w:t xml:space="preserve">终</w:t>
      </w:r>
      <w:r>
        <w:rPr>
          <w:b/>
          <w:color w:val="auto"/>
          <w:sz w:val="24"/>
          <w:highlight w:val="none"/>
        </w:rPr>
        <w:t xml:space="preserve">报价</w:t>
      </w:r>
      <w:r>
        <w:rPr>
          <w:rFonts w:hint="eastAsia"/>
          <w:b/>
          <w:color w:val="auto"/>
          <w:sz w:val="24"/>
          <w:highlight w:val="none"/>
        </w:rPr>
        <w:t xml:space="preserve">。最终报价不得高于首次报价</w:t>
      </w:r>
      <w:r>
        <w:rPr>
          <w:rFonts w:hint="eastAsia"/>
          <w:b/>
          <w:color w:val="auto"/>
          <w:sz w:val="24"/>
          <w:highlight w:val="none"/>
          <w:lang w:eastAsia="zh-CN"/>
        </w:rPr>
        <w:t xml:space="preserve">（</w:t>
      </w:r>
      <w:r>
        <w:rPr>
          <w:rFonts w:hint="eastAsia"/>
          <w:b/>
          <w:color w:val="auto"/>
          <w:sz w:val="24"/>
          <w:highlight w:val="none"/>
          <w:lang w:val="en-US" w:eastAsia="zh-CN"/>
        </w:rPr>
        <w:t xml:space="preserve">即最终投标下浮率不得低于首次投标下浮率</w:t>
      </w:r>
      <w:r>
        <w:rPr>
          <w:rFonts w:hint="eastAsia"/>
          <w:b/>
          <w:color w:val="auto"/>
          <w:sz w:val="24"/>
          <w:highlight w:val="none"/>
          <w:lang w:eastAsia="zh-CN"/>
        </w:rPr>
        <w:t xml:space="preserve">）</w:t>
      </w:r>
      <w:r>
        <w:rPr>
          <w:rFonts w:hint="eastAsia"/>
          <w:b/>
          <w:color w:val="auto"/>
          <w:sz w:val="24"/>
          <w:highlight w:val="none"/>
        </w:rPr>
        <w:t xml:space="preserve">。</w:t>
      </w:r>
      <w:r/>
    </w:p>
    <w:p>
      <w:pPr>
        <w:numPr>
          <w:ilvl w:val="1"/>
          <w:numId w:val="10"/>
        </w:numPr>
        <w:ind w:left="1077" w:hanging="720"/>
        <w:spacing w:line="360" w:lineRule="auto"/>
        <w:tabs>
          <w:tab w:val="left" w:pos="1080" w:leader="none"/>
          <w:tab w:val="left" w:pos="1872" w:leader="none"/>
        </w:tabs>
        <w:rPr>
          <w:b/>
          <w:color w:val="auto"/>
          <w:sz w:val="24"/>
          <w:highlight w:val="none"/>
        </w:rPr>
      </w:pPr>
      <w:r>
        <w:rPr>
          <w:rFonts w:hint="eastAsia"/>
          <w:b/>
          <w:color w:val="auto"/>
          <w:sz w:val="24"/>
          <w:highlight w:val="none"/>
        </w:rPr>
        <w:t xml:space="preserve">成交供应</w:t>
      </w:r>
      <w:r>
        <w:rPr>
          <w:rFonts w:hint="eastAsia" w:ascii="Times New Roman" w:hAnsi="Times New Roman" w:cs="Times New Roman"/>
          <w:b/>
          <w:color w:val="auto"/>
          <w:sz w:val="24"/>
          <w:highlight w:val="none"/>
        </w:rPr>
        <w:t xml:space="preserve">商的最终报价即为成交价</w:t>
      </w:r>
      <w:r>
        <w:rPr>
          <w:rFonts w:hint="eastAsia" w:cs="Times New Roman"/>
          <w:b/>
          <w:color w:val="auto"/>
          <w:sz w:val="24"/>
          <w:highlight w:val="none"/>
          <w:lang w:eastAsia="zh-CN"/>
        </w:rPr>
        <w:t xml:space="preserve">（</w:t>
      </w:r>
      <w:r>
        <w:rPr>
          <w:rFonts w:hint="eastAsia" w:cs="Times New Roman"/>
          <w:b/>
          <w:color w:val="auto"/>
          <w:sz w:val="24"/>
          <w:highlight w:val="none"/>
          <w:lang w:val="en-US" w:eastAsia="zh-CN"/>
        </w:rPr>
        <w:t xml:space="preserve">即最终投标下浮率为成交下浮率</w:t>
      </w:r>
      <w:r>
        <w:rPr>
          <w:rFonts w:hint="eastAsia" w:cs="Times New Roman"/>
          <w:b/>
          <w:color w:val="auto"/>
          <w:sz w:val="24"/>
          <w:highlight w:val="none"/>
          <w:lang w:eastAsia="zh-CN"/>
        </w:rPr>
        <w:t xml:space="preserve">）</w:t>
      </w:r>
      <w:r>
        <w:rPr>
          <w:rFonts w:hint="eastAsia" w:ascii="Times New Roman" w:hAnsi="Times New Roman" w:cs="Times New Roman"/>
          <w:b/>
          <w:color w:val="auto"/>
          <w:sz w:val="24"/>
          <w:highlight w:val="none"/>
        </w:rPr>
        <w:t xml:space="preserve">。</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竞争性磋商文件对于报价修正是否另有规定：无，按下述3.2.2-3.2.5项规定修正。</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2"/>
          <w:numId w:val="10"/>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落实政府采购政策的价格调整：</w:t>
      </w:r>
      <w:r>
        <w:rPr>
          <w:rFonts w:hint="eastAsia"/>
          <w:color w:val="auto"/>
          <w:sz w:val="24"/>
          <w:highlight w:val="none"/>
        </w:rPr>
        <w:t xml:space="preserve">/</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如供应商的最终报价超过竞争性磋商文件中规定的项目/采购包预算金额或者项目/采购包最高限价的；</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r/>
    </w:p>
    <w:p>
      <w:pPr>
        <w:numPr>
          <w:ilvl w:val="1"/>
          <w:numId w:val="0"/>
        </w:numPr>
        <w:ind w:left="1077" w:hanging="720"/>
        <w:spacing w:line="360" w:lineRule="auto"/>
        <w:tabs>
          <w:tab w:val="left" w:pos="1080" w:leader="none"/>
        </w:tabs>
        <w:rPr>
          <w:color w:val="auto"/>
          <w:highlight w:val="none"/>
        </w:rPr>
      </w:pPr>
      <w:r>
        <w:rPr>
          <w:rFonts w:hint="default" w:ascii="Times New Roman" w:hAnsi="Times New Roman" w:eastAsia="宋体" w:cs="Times New Roman"/>
          <w:b w:val="0"/>
          <w:color w:val="auto"/>
          <w:sz w:val="24"/>
          <w:szCs w:val="24"/>
          <w:highlight w:val="none"/>
          <w:lang w:val="en-US" w:eastAsia="zh-CN" w:bidi="ar-SA"/>
        </w:rPr>
        <w:t xml:space="preserve">4.7</w:t>
      </w:r>
      <w:r>
        <w:rPr>
          <w:rFonts w:hint="eastAsia" w:cs="Times New Roman"/>
          <w:b w:val="0"/>
          <w:color w:val="auto"/>
          <w:sz w:val="24"/>
          <w:szCs w:val="24"/>
          <w:highlight w:val="none"/>
          <w:lang w:val="en-US" w:eastAsia="zh-CN" w:bidi="ar-SA"/>
        </w:rPr>
        <w:t xml:space="preserve">    </w:t>
      </w:r>
      <w:r>
        <w:rPr>
          <w:rFonts w:hint="eastAsia"/>
          <w:b/>
          <w:color w:val="auto"/>
          <w:sz w:val="24"/>
          <w:highlight w:val="none"/>
        </w:rPr>
        <w:t xml:space="preserve">最终报价高于首次报价的</w:t>
      </w:r>
      <w:r>
        <w:rPr>
          <w:rFonts w:hint="eastAsia"/>
          <w:b/>
          <w:color w:val="auto"/>
          <w:sz w:val="24"/>
          <w:highlight w:val="none"/>
          <w:lang w:eastAsia="zh-CN"/>
        </w:rPr>
        <w:t xml:space="preserve">（</w:t>
      </w:r>
      <w:r>
        <w:rPr>
          <w:rFonts w:hint="eastAsia"/>
          <w:b/>
          <w:color w:val="auto"/>
          <w:sz w:val="24"/>
          <w:highlight w:val="none"/>
          <w:lang w:val="en-US" w:eastAsia="zh-CN"/>
        </w:rPr>
        <w:t xml:space="preserve">即最终投标下浮率低于首次投标下浮率的</w:t>
      </w:r>
      <w:r>
        <w:rPr>
          <w:rFonts w:hint="eastAsia"/>
          <w:b/>
          <w:color w:val="auto"/>
          <w:sz w:val="24"/>
          <w:highlight w:val="none"/>
          <w:lang w:eastAsia="zh-CN"/>
        </w:rPr>
        <w:t xml:space="preserve">）</w:t>
      </w:r>
      <w:r>
        <w:rPr>
          <w:rFonts w:hint="eastAsia"/>
          <w:b/>
          <w:color w:val="auto"/>
          <w:sz w:val="24"/>
          <w:highlight w:val="none"/>
        </w:rPr>
        <w:t xml:space="preserve">。</w:t>
      </w:r>
      <w:bookmarkEnd w:id="623"/>
      <w:r/>
      <w:bookmarkEnd w:id="624"/>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确定</w:t>
      </w:r>
      <w:bookmarkStart w:id="640" w:name="_Toc151193788"/>
      <w:r/>
      <w:bookmarkStart w:id="641" w:name="_Toc305158814"/>
      <w:r/>
      <w:bookmarkStart w:id="642" w:name="_Toc127161460"/>
      <w:r/>
      <w:bookmarkStart w:id="643" w:name="_Toc127151546"/>
      <w:r/>
      <w:bookmarkStart w:id="644" w:name="_Toc164351640"/>
      <w:r/>
      <w:bookmarkStart w:id="645" w:name="_Toc195842911"/>
      <w:r/>
      <w:bookmarkStart w:id="646" w:name="_Toc226337242"/>
      <w:r/>
      <w:bookmarkStart w:id="647" w:name="_Toc226965736"/>
      <w:r/>
      <w:bookmarkStart w:id="648" w:name="_Toc150774646"/>
      <w:r/>
      <w:bookmarkStart w:id="649" w:name="_Toc151193644"/>
      <w:r/>
      <w:bookmarkStart w:id="650" w:name="_Toc305158888"/>
      <w:r/>
      <w:bookmarkStart w:id="651" w:name="_Toc226965819"/>
      <w:r/>
      <w:bookmarkStart w:id="652" w:name="_Toc164608815"/>
      <w:r/>
      <w:bookmarkStart w:id="653" w:name="_Toc520356170"/>
      <w:r/>
      <w:bookmarkStart w:id="654" w:name="_Toc151190173"/>
      <w:r/>
      <w:bookmarkStart w:id="655" w:name="_Toc127151747"/>
      <w:r/>
      <w:bookmarkStart w:id="656" w:name="_Toc150774751"/>
      <w:r/>
      <w:bookmarkStart w:id="657" w:name="_Toc150480784"/>
      <w:r/>
      <w:bookmarkStart w:id="658" w:name="_Toc226309790"/>
      <w:r/>
      <w:bookmarkStart w:id="659" w:name="_Toc164229387"/>
      <w:r/>
      <w:bookmarkStart w:id="660" w:name="_Toc164229241"/>
      <w:r/>
      <w:bookmarkStart w:id="661" w:name="_Toc142311048"/>
      <w:r/>
      <w:bookmarkStart w:id="662" w:name="_Toc151193716"/>
      <w:r/>
      <w:bookmarkStart w:id="663" w:name="_Toc151193860"/>
      <w:r/>
      <w:bookmarkStart w:id="664" w:name="_Toc149720839"/>
      <w:r/>
      <w:bookmarkStart w:id="665" w:name="_Toc164608660"/>
      <w:r/>
      <w:bookmarkStart w:id="666" w:name="_Toc151193934"/>
      <w:r/>
      <w:bookmarkStart w:id="667" w:name="_Ref467307010"/>
      <w:r/>
      <w:bookmarkStart w:id="668" w:name="_Toc264969236"/>
      <w:r/>
      <w:bookmarkStart w:id="669" w:name="_Toc150509297"/>
      <w:r/>
      <w:bookmarkStart w:id="670" w:name="_Toc265228384"/>
      <w:r>
        <w:rPr>
          <w:color w:val="auto"/>
          <w:sz w:val="24"/>
          <w:highlight w:val="none"/>
        </w:rPr>
        <w:t xml:space="preserve">成交候选人名单</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numPr>
          <w:ilvl w:val="1"/>
          <w:numId w:val="10"/>
        </w:numPr>
        <w:ind w:left="1077" w:hanging="720"/>
        <w:spacing w:line="360" w:lineRule="auto"/>
        <w:tabs>
          <w:tab w:val="left" w:pos="1080" w:leader="none"/>
          <w:tab w:val="left" w:pos="1872" w:leader="none"/>
        </w:tabs>
        <w:rPr>
          <w:color w:val="auto"/>
          <w:sz w:val="24"/>
          <w:highlight w:val="none"/>
        </w:rPr>
      </w:pPr>
      <w:r>
        <w:rPr>
          <w:rFonts w:hint="eastAsia" w:ascii="宋体" w:hAnsi="宋体" w:eastAsia="宋体" w:cs="宋体"/>
          <w:color w:val="auto"/>
          <w:sz w:val="24"/>
          <w:highlight w:val="none"/>
          <w:lang w:val="en-US" w:eastAsia="zh-CN"/>
        </w:rPr>
        <w:t xml:space="preserve">磋商小组按评审后最终综合得分由高到低顺序排列名次，并推荐排名前3的为成交候选供应商。如得分相同的，按投标报价由低到高顺序推荐；如得分、报价均相同的并列。</w:t>
      </w:r>
      <w:r>
        <w:rPr>
          <w:color w:val="auto"/>
          <w:sz w:val="24"/>
          <w:highlight w:val="none"/>
        </w:rPr>
        <w:t xml:space="preserve">评分分值计算保留小数点后两位，第三位四舍五入。 </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0"/>
        </w:numPr>
        <w:ind w:left="1077" w:hanging="720"/>
        <w:jc w:val="left"/>
        <w:spacing w:line="360" w:lineRule="auto"/>
        <w:widowControl/>
        <w:tabs>
          <w:tab w:val="left" w:pos="1080" w:leader="none"/>
          <w:tab w:val="left" w:pos="1872" w:leader="none"/>
        </w:tabs>
        <w:rPr>
          <w:b/>
          <w:color w:val="auto"/>
          <w:sz w:val="24"/>
          <w:highlight w:val="none"/>
        </w:rPr>
      </w:pPr>
      <w:r>
        <w:rPr>
          <w:color w:val="auto"/>
          <w:sz w:val="24"/>
          <w:highlight w:val="none"/>
        </w:rPr>
        <w:t xml:space="preserve">磋商小组在评审过程中发现供应商有行贿、提供虚假材料或者串通等违法行为时，有向采购人、采购代理机构或者有关部门报告的职责。</w:t>
      </w:r>
      <w:r>
        <w:rPr>
          <w:b/>
          <w:color w:val="auto"/>
          <w:sz w:val="24"/>
          <w:highlight w:val="none"/>
        </w:rPr>
        <w:br w:type="page" w:clear="all"/>
      </w:r>
      <w:r/>
    </w:p>
    <w:p>
      <w:pPr>
        <w:pStyle w:val="1074"/>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二、评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p>
      <w:pPr>
        <w:spacing w:line="360" w:lineRule="auto"/>
        <w:tabs>
          <w:tab w:val="left" w:pos="360" w:leader="none"/>
          <w:tab w:val="left" w:pos="900" w:leader="none"/>
          <w:tab w:val="left" w:pos="1080" w:leader="none"/>
          <w:tab w:val="left" w:pos="2014" w:leader="none"/>
        </w:tabs>
        <w:rPr>
          <w:color w:val="auto"/>
          <w:sz w:val="24"/>
          <w:highlight w:val="none"/>
        </w:rPr>
      </w:pPr>
      <w:r>
        <w:rPr>
          <w:color w:val="auto"/>
          <w:sz w:val="24"/>
          <w:highlight w:val="none"/>
        </w:rPr>
      </w:r>
      <w:r/>
    </w:p>
    <w:tbl>
      <w:tblPr>
        <w:tblStyle w:val="899"/>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评分标准</w:t>
            </w:r>
            <w:r/>
          </w:p>
        </w:tc>
        <w:tc>
          <w:tcPr>
            <w:tcW w:w="2440" w:type="dxa"/>
            <w:vAlign w:val="center"/>
            <w:textDirection w:val="lrTb"/>
            <w:noWrap w:val="false"/>
          </w:tcPr>
          <w:p>
            <w:pPr>
              <w:jc w:val="center"/>
              <w:spacing w:before="0"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w:t>
            </w:r>
            <w:r/>
          </w:p>
        </w:tc>
        <w:tc>
          <w:tcPr>
            <w:tcW w:w="913" w:type="dxa"/>
            <w:vAlign w:val="center"/>
            <w:textDirection w:val="lrTb"/>
            <w:noWrap w:val="false"/>
          </w:tcPr>
          <w:p>
            <w:pPr>
              <w:ind w:firstLine="28"/>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397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价格分得分＝（评标基准价/最终报价）×分值。</w:t>
            </w:r>
            <w:r/>
          </w:p>
        </w:tc>
        <w:tc>
          <w:tcPr>
            <w:tcW w:w="2440" w:type="dxa"/>
            <w:vAlign w:val="center"/>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此处最终报价指经过报价修正，及因落实政府采购政策进行价格调整后的最终报价，详见第四章《评标方法和评标标准》3。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58</w:t>
            </w:r>
            <w:r/>
          </w:p>
        </w:tc>
        <w:tc>
          <w:tcPr>
            <w:tcW w:w="397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施工工艺</w:t>
            </w:r>
            <w:r>
              <w:rPr>
                <w:rFonts w:hint="eastAsia" w:ascii="宋体" w:hAnsi="宋体" w:eastAsia="宋体" w:cs="宋体"/>
                <w:color w:val="auto"/>
                <w:sz w:val="24"/>
                <w:szCs w:val="24"/>
                <w:highlight w:val="none"/>
                <w:lang w:val="en-US" w:eastAsia="zh-CN"/>
              </w:rPr>
              <w:t xml:space="preserve">及重难点分析方案</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12</w:t>
            </w:r>
            <w:r/>
          </w:p>
        </w:tc>
        <w:tc>
          <w:tcPr>
            <w:tcW w:w="3978" w:type="dxa"/>
            <w:vAlign w:val="center"/>
            <w:textDirection w:val="lrTb"/>
            <w:noWrap w:val="false"/>
          </w:tcPr>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结合项目需求和实际情况，</w:t>
            </w:r>
            <w:r>
              <w:rPr>
                <w:rFonts w:hint="eastAsia" w:ascii="宋体" w:hAnsi="宋体" w:eastAsia="宋体" w:cs="宋体"/>
                <w:color w:val="auto"/>
                <w:sz w:val="24"/>
                <w:szCs w:val="24"/>
                <w:highlight w:val="none"/>
              </w:rPr>
              <w:t xml:space="preserve">施工工艺</w:t>
            </w:r>
            <w:r>
              <w:rPr>
                <w:rFonts w:hint="eastAsia" w:ascii="宋体" w:hAnsi="宋体" w:eastAsia="宋体" w:cs="宋体"/>
                <w:color w:val="auto"/>
                <w:sz w:val="24"/>
                <w:szCs w:val="24"/>
                <w:highlight w:val="none"/>
                <w:lang w:val="en-US" w:eastAsia="zh-CN"/>
              </w:rPr>
              <w:t xml:space="preserve">及重难点分析方案，包括：</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①供应商应确定主要分部（分项）工程和主要分部（分项）工程的施工工艺或施工方法；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②本项目施工</w:t>
            </w:r>
            <w:r>
              <w:rPr>
                <w:rFonts w:hint="eastAsia" w:ascii="宋体" w:hAnsi="宋体" w:eastAsia="宋体" w:cs="宋体"/>
                <w:color w:val="auto"/>
                <w:sz w:val="24"/>
                <w:szCs w:val="24"/>
                <w:highlight w:val="none"/>
                <w:lang w:val="en-US" w:eastAsia="zh-CN"/>
              </w:rPr>
              <w:t xml:space="preserve">重</w:t>
            </w:r>
            <w:r>
              <w:rPr>
                <w:rFonts w:hint="eastAsia" w:ascii="宋体" w:hAnsi="宋体" w:eastAsia="宋体" w:cs="宋体"/>
                <w:color w:val="auto"/>
                <w:sz w:val="24"/>
                <w:szCs w:val="24"/>
                <w:highlight w:val="none"/>
              </w:rPr>
              <w:t xml:space="preserve">难点</w:t>
            </w:r>
            <w:r>
              <w:rPr>
                <w:rFonts w:hint="eastAsia" w:ascii="宋体" w:hAnsi="宋体" w:eastAsia="宋体" w:cs="宋体"/>
                <w:color w:val="auto"/>
                <w:sz w:val="24"/>
                <w:szCs w:val="24"/>
                <w:highlight w:val="none"/>
                <w:lang w:val="en-US" w:eastAsia="zh-CN"/>
              </w:rPr>
              <w:t xml:space="preserve">及相应的</w:t>
            </w:r>
            <w:r>
              <w:rPr>
                <w:rFonts w:hint="eastAsia" w:ascii="宋体" w:hAnsi="宋体" w:eastAsia="宋体" w:cs="宋体"/>
                <w:color w:val="auto"/>
                <w:sz w:val="24"/>
                <w:szCs w:val="24"/>
                <w:highlight w:val="none"/>
              </w:rPr>
              <w:t xml:space="preserve">解决措施</w:t>
            </w:r>
            <w:r>
              <w:rPr>
                <w:rFonts w:hint="eastAsia" w:ascii="宋体" w:hAnsi="宋体" w:eastAsia="宋体" w:cs="宋体"/>
                <w:color w:val="auto"/>
                <w:sz w:val="24"/>
                <w:szCs w:val="24"/>
                <w:highlight w:val="none"/>
                <w:lang w:eastAsia="zh-CN"/>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Times New Roman" w:hAnsi="Times New Roman" w:eastAsia="宋体" w:cs="Times New Roman"/>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hAnsi="Times New Roman" w:eastAsia="宋体" w:cs="Times New Roman"/>
                <w:color w:val="auto"/>
                <w:sz w:val="24"/>
                <w:highlight w:val="none"/>
                <w:lang w:val="en-US" w:eastAsia="zh-CN"/>
              </w:rPr>
              <w:t xml:space="preserve">仅有框架或标题</w:t>
            </w:r>
            <w:r>
              <w:rPr>
                <w:rFonts w:hint="eastAsia" w:ascii="Times New Roman" w:hAnsi="Times New Roman" w:eastAsia="宋体" w:cs="Times New Roman"/>
                <w:color w:val="auto"/>
                <w:sz w:val="24"/>
                <w:highlight w:val="none"/>
              </w:rPr>
              <w:t xml:space="preserve">的任意一种情形）</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440" w:type="dxa"/>
            <w:vAlign w:val="center"/>
            <w:vMerge w:val="restart"/>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1184"/>
        </w:trPr>
        <w:tc>
          <w:tcPr>
            <w:tcW w:w="835"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资源配置计划</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10</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结合项目需求和实际情况，提供资源配置计划，包括：</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①主要分部（分项）施工技术交底计划，主要材料检验、进场复检计划；</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②现场生产临时设施布置计划；</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③资金使用及保障计划；</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④施工的用工工种及用工数量计划，施工人员岗前培训计划；</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⑤施工所需主要材料的进场时间计划以及所需的施工机具设备的种类、数量、使用部位及进出场时间</w:t>
            </w:r>
            <w:r/>
          </w:p>
          <w:p>
            <w:pPr>
              <w:jc w:val="left"/>
              <w:spacing w:line="360" w:lineRule="auto"/>
              <w:widowControl/>
              <w:rPr>
                <w:rFonts w:hint="eastAsia" w:ascii="宋体" w:hAnsi="宋体" w:eastAsia="宋体" w:cs="宋体"/>
                <w:color w:val="auto"/>
                <w:sz w:val="24"/>
                <w:szCs w:val="24"/>
                <w:highlight w:val="none"/>
              </w:rPr>
            </w:pPr>
            <w:r>
              <w:rPr>
                <w:rFonts w:hint="eastAsia" w:ascii="Times New Roman" w:hAnsi="Times New Roman" w:eastAsia="宋体" w:cs="Times New Roman"/>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hAnsi="Times New Roman" w:eastAsia="宋体" w:cs="Times New Roman"/>
                <w:color w:val="auto"/>
                <w:sz w:val="24"/>
                <w:highlight w:val="none"/>
                <w:lang w:val="en-US" w:eastAsia="zh-CN"/>
              </w:rPr>
              <w:t xml:space="preserve">仅有框架或标题</w:t>
            </w:r>
            <w:r>
              <w:rPr>
                <w:rFonts w:hint="eastAsia" w:ascii="Times New Roman" w:hAnsi="Times New Roman" w:eastAsia="宋体" w:cs="Times New Roman"/>
                <w:color w:val="auto"/>
                <w:sz w:val="24"/>
                <w:highlight w:val="none"/>
              </w:rPr>
              <w:t xml:space="preserve">的任意一种情形）</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质量保证措施</w:t>
            </w:r>
            <w:r/>
          </w:p>
        </w:tc>
        <w:tc>
          <w:tcPr>
            <w:tcW w:w="913" w:type="dxa"/>
            <w:vAlign w:val="center"/>
            <w:textDirection w:val="lrTb"/>
            <w:noWrap w:val="false"/>
          </w:tcPr>
          <w:p>
            <w:pPr>
              <w:ind w:firstLine="28"/>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结合项目需求和实际情况，提供质量保证措施，包括：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①项目质量目标；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②项目质量管理的组织机构以及分工、职责和管理制度；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③技术保障和资源保障措施；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④质量全过程检查制度及质量事故的处理规定。</w:t>
            </w:r>
            <w:r/>
          </w:p>
          <w:p>
            <w:pPr>
              <w:jc w:val="left"/>
              <w:spacing w:line="360" w:lineRule="auto"/>
              <w:widowControl/>
              <w:rPr>
                <w:rFonts w:hint="eastAsia" w:ascii="宋体" w:hAnsi="宋体" w:eastAsia="宋体" w:cs="宋体"/>
                <w:color w:val="auto"/>
                <w:sz w:val="24"/>
                <w:szCs w:val="24"/>
                <w:highlight w:val="none"/>
              </w:rPr>
            </w:pPr>
            <w:r>
              <w:rPr>
                <w:rFonts w:hint="eastAsia" w:ascii="Times New Roman" w:hAnsi="Times New Roman" w:eastAsia="宋体" w:cs="Times New Roman"/>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hAnsi="Times New Roman" w:eastAsia="宋体" w:cs="Times New Roman"/>
                <w:color w:val="auto"/>
                <w:sz w:val="24"/>
                <w:highlight w:val="none"/>
                <w:lang w:val="en-US" w:eastAsia="zh-CN"/>
              </w:rPr>
              <w:t xml:space="preserve">仅有框架或标题</w:t>
            </w:r>
            <w:r>
              <w:rPr>
                <w:rFonts w:hint="eastAsia" w:ascii="Times New Roman" w:hAnsi="Times New Roman" w:eastAsia="宋体" w:cs="Times New Roman"/>
                <w:color w:val="auto"/>
                <w:sz w:val="24"/>
                <w:highlight w:val="none"/>
              </w:rPr>
              <w:t xml:space="preserve">的任意一种情形）</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安全保证措施</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12</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结合项目需求和实际情况，提供安全保证措施，包括：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①项目重要危险源分析以及项目安全管理目标；</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②安全生产管理制度和职工安全教育培训制度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安全管理组织机构以及分工、职责；</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③施工安全、消防安全、安保安全的保证措施；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④现场安全检查制度及安全事故的处理规定</w:t>
            </w:r>
            <w:r>
              <w:rPr>
                <w:rFonts w:hint="eastAsia" w:ascii="宋体" w:hAnsi="宋体" w:eastAsia="宋体" w:cs="宋体"/>
                <w:color w:val="auto"/>
                <w:sz w:val="24"/>
                <w:szCs w:val="24"/>
                <w:highlight w:val="none"/>
                <w:lang w:eastAsia="zh-CN"/>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Times New Roman" w:hAnsi="Times New Roman" w:eastAsia="宋体" w:cs="Times New Roman"/>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hAnsi="Times New Roman" w:eastAsia="宋体" w:cs="Times New Roman"/>
                <w:color w:val="auto"/>
                <w:sz w:val="24"/>
                <w:highlight w:val="none"/>
                <w:lang w:val="en-US" w:eastAsia="zh-CN"/>
              </w:rPr>
              <w:t xml:space="preserve">仅有框架或标题</w:t>
            </w:r>
            <w:r>
              <w:rPr>
                <w:rFonts w:hint="eastAsia" w:ascii="Times New Roman" w:hAnsi="Times New Roman" w:eastAsia="宋体" w:cs="Times New Roman"/>
                <w:color w:val="auto"/>
                <w:sz w:val="24"/>
                <w:highlight w:val="none"/>
              </w:rPr>
              <w:t xml:space="preserve">的任意一种情形）</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环保文明措施</w:t>
            </w:r>
            <w:r/>
          </w:p>
        </w:tc>
        <w:tc>
          <w:tcPr>
            <w:tcW w:w="913"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结合项目需求和实际情况，提供环保文明措施，包括：</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①项目文明施工与环境管理目标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项目文明施工与环境管理的组织机构及分工、职责；</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②项目文明施工与环境保护方面的资源配置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项目文明施工与现场环境保护的控制措施；项目文明施工与现场环境检查制度及环境事故的处理规定。 </w:t>
            </w:r>
            <w:r/>
          </w:p>
          <w:p>
            <w:pPr>
              <w:jc w:val="left"/>
              <w:spacing w:line="360" w:lineRule="auto"/>
              <w:widowControl/>
              <w:rPr>
                <w:rFonts w:hint="eastAsia" w:ascii="宋体" w:hAnsi="宋体" w:eastAsia="宋体" w:cs="宋体"/>
                <w:color w:val="auto"/>
                <w:sz w:val="24"/>
                <w:szCs w:val="24"/>
                <w:highlight w:val="none"/>
              </w:rPr>
            </w:pPr>
            <w:r>
              <w:rPr>
                <w:rFonts w:hint="eastAsia" w:ascii="Times New Roman" w:hAnsi="Times New Roman" w:eastAsia="宋体" w:cs="Times New Roman"/>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hAnsi="Times New Roman" w:eastAsia="宋体" w:cs="Times New Roman"/>
                <w:color w:val="auto"/>
                <w:sz w:val="24"/>
                <w:highlight w:val="none"/>
                <w:lang w:val="en-US" w:eastAsia="zh-CN"/>
              </w:rPr>
              <w:t xml:space="preserve">仅有框架或标题</w:t>
            </w:r>
            <w:r>
              <w:rPr>
                <w:rFonts w:hint="eastAsia" w:ascii="Times New Roman" w:hAnsi="Times New Roman" w:eastAsia="宋体" w:cs="Times New Roman"/>
                <w:color w:val="auto"/>
                <w:sz w:val="24"/>
                <w:highlight w:val="none"/>
              </w:rPr>
              <w:t xml:space="preserve">的任意一种情形）</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06"/>
        </w:trPr>
        <w:tc>
          <w:tcPr>
            <w:tcW w:w="835"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2.6</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strike w:val="0"/>
                <w:color w:val="auto"/>
                <w:sz w:val="24"/>
                <w:szCs w:val="24"/>
                <w:highlight w:val="none"/>
              </w:rPr>
              <w:t xml:space="preserve">应急预案</w:t>
            </w:r>
            <w:r/>
          </w:p>
        </w:tc>
        <w:tc>
          <w:tcPr>
            <w:tcW w:w="913"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p>
        </w:tc>
        <w:tc>
          <w:tcPr>
            <w:tcW w:w="3978" w:type="dxa"/>
            <w:vAlign w:val="center"/>
            <w:textDirection w:val="lrTb"/>
            <w:noWrap w:val="false"/>
          </w:tcPr>
          <w:p>
            <w:pPr>
              <w:numPr>
                <w:ilvl w:val="0"/>
                <w:numId w:val="0"/>
              </w:numPr>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结合项目需求和实际情况，提供</w:t>
            </w:r>
            <w:r>
              <w:rPr>
                <w:rFonts w:hint="eastAsia" w:ascii="宋体" w:hAnsi="宋体" w:eastAsia="宋体" w:cs="宋体"/>
                <w:strike w:val="0"/>
                <w:color w:val="auto"/>
                <w:sz w:val="24"/>
                <w:szCs w:val="24"/>
                <w:highlight w:val="none"/>
              </w:rPr>
              <w:t xml:space="preserve">应急预案</w:t>
            </w:r>
            <w:r>
              <w:rPr>
                <w:rFonts w:hint="eastAsia" w:ascii="宋体" w:hAnsi="宋体" w:eastAsia="宋体" w:cs="宋体"/>
                <w:strike w:val="0"/>
                <w:color w:val="auto"/>
                <w:sz w:val="24"/>
                <w:szCs w:val="24"/>
                <w:highlight w:val="none"/>
                <w:lang w:val="en-US" w:eastAsia="zh-CN"/>
              </w:rPr>
              <w:t xml:space="preserve">，包括：</w:t>
            </w:r>
            <w:r/>
          </w:p>
          <w:p>
            <w:pPr>
              <w:numPr>
                <w:ilvl w:val="0"/>
                <w:numId w:val="0"/>
              </w:numPr>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①天气、交通状况、季节、安全、赶工的应急处理方案；</w:t>
            </w:r>
            <w:r/>
          </w:p>
          <w:p>
            <w:pPr>
              <w:numPr>
                <w:ilvl w:val="0"/>
                <w:numId w:val="0"/>
              </w:numPr>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②突发事件的应急响应预案、处理措施。</w:t>
            </w:r>
            <w:r/>
          </w:p>
          <w:p>
            <w:pPr>
              <w:jc w:val="left"/>
              <w:spacing w:line="360" w:lineRule="auto"/>
              <w:widowControl/>
              <w:rPr>
                <w:rFonts w:hint="eastAsia" w:ascii="宋体" w:hAnsi="宋体" w:eastAsia="宋体" w:cs="宋体"/>
                <w:color w:val="auto"/>
                <w:sz w:val="24"/>
                <w:szCs w:val="24"/>
                <w:highlight w:val="none"/>
              </w:rPr>
            </w:pPr>
            <w:r>
              <w:rPr>
                <w:rFonts w:hint="eastAsia" w:ascii="Times New Roman" w:hAnsi="Times New Roman" w:eastAsia="宋体" w:cs="Times New Roman"/>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hAnsi="Times New Roman" w:eastAsia="宋体" w:cs="Times New Roman"/>
                <w:color w:val="auto"/>
                <w:sz w:val="24"/>
                <w:highlight w:val="none"/>
                <w:lang w:val="en-US" w:eastAsia="zh-CN"/>
              </w:rPr>
              <w:t xml:space="preserve">仅有框架或标题</w:t>
            </w:r>
            <w:r>
              <w:rPr>
                <w:rFonts w:hint="eastAsia" w:ascii="Times New Roman" w:hAnsi="Times New Roman" w:eastAsia="宋体" w:cs="Times New Roman"/>
                <w:color w:val="auto"/>
                <w:sz w:val="24"/>
                <w:highlight w:val="none"/>
              </w:rPr>
              <w:t xml:space="preserve">的任意一种情形）</w:t>
            </w:r>
            <w:r>
              <w:rPr>
                <w:rFonts w:hint="eastAsia" w:ascii="宋体" w:hAnsi="宋体" w:eastAsia="宋体" w:cs="宋体"/>
                <w:strike w:val="0"/>
                <w:color w:val="auto"/>
                <w:sz w:val="24"/>
                <w:szCs w:val="24"/>
                <w:highlight w:val="none"/>
              </w:rPr>
              <w:t xml:space="preserve">的得</w:t>
            </w:r>
            <w:r>
              <w:rPr>
                <w:rFonts w:hint="eastAsia" w:ascii="宋体" w:hAnsi="宋体" w:eastAsia="宋体" w:cs="宋体"/>
                <w:strike w:val="0"/>
                <w:color w:val="auto"/>
                <w:sz w:val="24"/>
                <w:szCs w:val="24"/>
                <w:highlight w:val="none"/>
                <w:lang w:val="en-US" w:eastAsia="zh-CN"/>
              </w:rPr>
              <w:t xml:space="preserve">8</w:t>
            </w:r>
            <w:r>
              <w:rPr>
                <w:rFonts w:hint="eastAsia" w:ascii="宋体" w:hAnsi="宋体" w:eastAsia="宋体" w:cs="宋体"/>
                <w:strike w:val="0"/>
                <w:color w:val="auto"/>
                <w:sz w:val="24"/>
                <w:szCs w:val="24"/>
                <w:highlight w:val="none"/>
              </w:rPr>
              <w:t xml:space="preserve">分，每缺少一项内容扣</w:t>
            </w:r>
            <w:r>
              <w:rPr>
                <w:rFonts w:hint="eastAsia" w:ascii="宋体" w:hAnsi="宋体" w:eastAsia="宋体" w:cs="宋体"/>
                <w:strike w:val="0"/>
                <w:color w:val="auto"/>
                <w:sz w:val="24"/>
                <w:szCs w:val="24"/>
                <w:highlight w:val="none"/>
                <w:lang w:val="en-US" w:eastAsia="zh-CN"/>
              </w:rPr>
              <w:t xml:space="preserve">4</w:t>
            </w:r>
            <w:r>
              <w:rPr>
                <w:rFonts w:hint="eastAsia" w:ascii="宋体" w:hAnsi="宋体" w:eastAsia="宋体" w:cs="宋体"/>
                <w:strike w:val="0"/>
                <w:color w:val="auto"/>
                <w:sz w:val="24"/>
                <w:szCs w:val="24"/>
                <w:highlight w:val="none"/>
              </w:rPr>
              <w:t xml:space="preserve">分，扣完为止；每存在一处缺陷扣</w:t>
            </w:r>
            <w:r>
              <w:rPr>
                <w:rFonts w:hint="eastAsia" w:ascii="宋体" w:hAnsi="宋体" w:eastAsia="宋体" w:cs="宋体"/>
                <w:strike w:val="0"/>
                <w:color w:val="auto"/>
                <w:sz w:val="24"/>
                <w:szCs w:val="24"/>
                <w:highlight w:val="none"/>
                <w:lang w:val="en-US" w:eastAsia="zh-CN"/>
              </w:rPr>
              <w:t xml:space="preserve">0.5</w:t>
            </w:r>
            <w:r>
              <w:rPr>
                <w:rFonts w:hint="eastAsia" w:ascii="宋体" w:hAnsi="宋体" w:eastAsia="宋体" w:cs="宋体"/>
                <w:strike w:val="0"/>
                <w:color w:val="auto"/>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客观分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32</w:t>
            </w:r>
            <w:r/>
          </w:p>
        </w:tc>
        <w:tc>
          <w:tcPr>
            <w:tcW w:w="397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629"/>
        </w:trPr>
        <w:tc>
          <w:tcPr>
            <w:shd w:val="clear" w:color="auto" w:fill="auto"/>
            <w:tcW w:w="835"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w:t>
            </w:r>
            <w:r/>
          </w:p>
        </w:tc>
        <w:tc>
          <w:tcPr>
            <w:shd w:val="clear" w:color="auto" w:fill="auto"/>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类似业绩</w:t>
            </w:r>
            <w:r/>
          </w:p>
        </w:tc>
        <w:tc>
          <w:tcPr>
            <w:shd w:val="clear" w:color="auto" w:fill="auto"/>
            <w:tcW w:w="913" w:type="dxa"/>
            <w:vAlign w:val="center"/>
            <w:textDirection w:val="lrTb"/>
            <w:noWrap w:val="false"/>
          </w:tcPr>
          <w:p>
            <w:pPr>
              <w:ind w:firstLine="28"/>
              <w:jc w:val="cente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highlight w:val="none"/>
                <w:lang w:val="en-US" w:eastAsia="zh-CN"/>
              </w:rPr>
              <w:t xml:space="preserve">20</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供应商自202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年1月1日以来</w:t>
            </w:r>
            <w:r>
              <w:rPr>
                <w:rFonts w:hint="eastAsia" w:ascii="宋体" w:hAnsi="宋体" w:eastAsia="宋体" w:cs="宋体"/>
                <w:color w:val="auto"/>
                <w:sz w:val="24"/>
                <w:highlight w:val="none"/>
                <w:lang w:eastAsia="zh-CN"/>
              </w:rPr>
              <w:t xml:space="preserve">承担过类似业绩的</w:t>
            </w:r>
            <w:r>
              <w:rPr>
                <w:rFonts w:hint="eastAsia" w:ascii="宋体" w:hAnsi="宋体" w:eastAsia="宋体" w:cs="宋体"/>
                <w:color w:val="auto"/>
                <w:sz w:val="24"/>
                <w:highlight w:val="none"/>
              </w:rPr>
              <w:t xml:space="preserve">，有1个得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分，本项最高</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分。</w:t>
            </w:r>
            <w:r/>
          </w:p>
        </w:tc>
        <w:tc>
          <w:tcPr>
            <w:shd w:val="clear" w:color="auto" w:fill="auto"/>
            <w:tcW w:w="2440" w:type="dxa"/>
            <w:vAlign w:val="center"/>
            <w:textDirection w:val="lrTb"/>
            <w:noWrap w:val="false"/>
          </w:tcPr>
          <w:p>
            <w:pPr>
              <w:ind w:left="-38"/>
              <w:spacing w:line="360" w:lineRule="auto"/>
              <w:rPr>
                <w:rFonts w:ascii="Times New Roman" w:hAnsi="Times New Roman" w:eastAsia="宋体" w:cs="Times New Roman"/>
                <w:color w:val="auto"/>
                <w:highlight w:val="none"/>
              </w:rPr>
            </w:pPr>
            <w:r>
              <w:rPr>
                <w:rFonts w:hint="eastAsia" w:ascii="宋体" w:hAnsi="宋体" w:eastAsia="宋体" w:cs="宋体"/>
                <w:b/>
                <w:color w:val="auto"/>
                <w:sz w:val="24"/>
                <w:highlight w:val="none"/>
              </w:rPr>
              <w:t xml:space="preserve">须提供合同</w:t>
            </w:r>
            <w:r>
              <w:rPr>
                <w:rFonts w:hint="eastAsia" w:ascii="宋体" w:hAnsi="宋体" w:eastAsia="宋体" w:cs="宋体"/>
                <w:b/>
                <w:color w:val="auto"/>
                <w:sz w:val="24"/>
                <w:highlight w:val="none"/>
                <w:lang w:val="en-US" w:eastAsia="zh-CN"/>
              </w:rPr>
              <w:t xml:space="preserve">及</w:t>
            </w:r>
            <w:r>
              <w:rPr>
                <w:rFonts w:hint="eastAsia" w:ascii="宋体" w:hAnsi="宋体" w:eastAsia="宋体" w:cs="宋体"/>
                <w:b/>
                <w:color w:val="auto"/>
                <w:sz w:val="24"/>
                <w:highlight w:val="none"/>
              </w:rPr>
              <w:t xml:space="preserve">合同价款部分发票，时间以</w:t>
            </w:r>
            <w:r>
              <w:rPr>
                <w:rFonts w:hint="eastAsia" w:ascii="宋体" w:hAnsi="宋体" w:eastAsia="宋体" w:cs="宋体"/>
                <w:b/>
                <w:color w:val="auto"/>
                <w:sz w:val="24"/>
                <w:highlight w:val="none"/>
                <w:lang w:val="en-US" w:eastAsia="zh-CN"/>
              </w:rPr>
              <w:t xml:space="preserve">合同签订时间</w:t>
            </w:r>
            <w:r>
              <w:rPr>
                <w:rFonts w:hint="eastAsia" w:ascii="宋体" w:hAnsi="宋体" w:eastAsia="宋体" w:cs="宋体"/>
                <w:b/>
                <w:color w:val="auto"/>
                <w:sz w:val="24"/>
                <w:highlight w:val="none"/>
              </w:rPr>
              <w:t xml:space="preserve">为准，不提供不得分。</w:t>
            </w:r>
            <w:r/>
          </w:p>
        </w:tc>
      </w:tr>
      <w:tr>
        <w:trPr>
          <w:trHeight w:val="1629"/>
        </w:trPr>
        <w:tc>
          <w:tcPr>
            <w:shd w:val="clear" w:color="auto" w:fill="auto"/>
            <w:tcW w:w="835"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3.2</w:t>
            </w:r>
            <w:r/>
          </w:p>
        </w:tc>
        <w:tc>
          <w:tcPr>
            <w:shd w:val="clear" w:color="auto" w:fill="auto"/>
            <w:tcW w:w="1462"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项目组成员</w:t>
            </w:r>
            <w:r>
              <w:rPr>
                <w:rFonts w:hint="eastAsia" w:ascii="宋体" w:hAnsi="宋体" w:cs="宋体"/>
                <w:color w:val="auto"/>
                <w:sz w:val="24"/>
                <w:highlight w:val="none"/>
                <w:lang w:val="en-US" w:eastAsia="zh-CN"/>
              </w:rPr>
              <w:t xml:space="preserve">1</w:t>
            </w:r>
            <w:r/>
          </w:p>
        </w:tc>
        <w:tc>
          <w:tcPr>
            <w:shd w:val="clear" w:color="auto" w:fill="auto"/>
            <w:tcW w:w="913" w:type="dxa"/>
            <w:vAlign w:val="center"/>
            <w:textDirection w:val="lrTb"/>
            <w:noWrap w:val="false"/>
          </w:tcPr>
          <w:p>
            <w:pPr>
              <w:ind w:firstLine="28"/>
              <w:jc w:val="center"/>
              <w:spacing w:line="360" w:lineRule="auto"/>
              <w:rPr>
                <w:rFonts w:hint="eastAsia"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highlight w:val="none"/>
                <w:lang w:val="en-US" w:eastAsia="zh-CN"/>
              </w:rPr>
              <w:t xml:space="preserve">6</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拟派项目负责人中</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建设工程类中级及以上职称证书的得6分，</w:t>
            </w:r>
            <w:r>
              <w:rPr>
                <w:rFonts w:hint="eastAsia" w:ascii="宋体" w:hAnsi="宋体" w:eastAsia="宋体" w:cs="宋体"/>
                <w:color w:val="auto"/>
                <w:sz w:val="24"/>
                <w:szCs w:val="24"/>
                <w:highlight w:val="none"/>
                <w:lang w:eastAsia="zh-CN"/>
              </w:rPr>
              <w:t xml:space="preserve">本项最高</w:t>
            </w:r>
            <w:r>
              <w:rPr>
                <w:rFonts w:hint="eastAsia" w:ascii="宋体" w:hAnsi="宋体" w:eastAsia="宋体" w:cs="宋体"/>
                <w:color w:val="auto"/>
                <w:sz w:val="24"/>
                <w:szCs w:val="24"/>
                <w:highlight w:val="none"/>
                <w:lang w:val="en-US" w:eastAsia="zh-CN"/>
              </w:rPr>
              <w:t xml:space="preserve">6分。</w:t>
            </w:r>
            <w:r/>
          </w:p>
        </w:tc>
        <w:tc>
          <w:tcPr>
            <w:shd w:val="clear" w:color="auto" w:fill="auto"/>
            <w:tcW w:w="2440" w:type="dxa"/>
            <w:vAlign w:val="center"/>
            <w:vMerge w:val="restart"/>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rPr>
            </w:pPr>
            <w:r>
              <w:rPr>
                <w:rFonts w:hint="eastAsia" w:ascii="Times New Roman" w:hAnsi="Times New Roman" w:eastAsia="宋体" w:cs="Times New Roman"/>
                <w:b/>
                <w:bCs/>
                <w:color w:val="auto"/>
                <w:sz w:val="24"/>
                <w:highlight w:val="none"/>
              </w:rPr>
              <w:t xml:space="preserve">上述人员均须提供相应证书及供应商为其缴纳的近期</w:t>
            </w:r>
            <w:r>
              <w:rPr>
                <w:rFonts w:hint="eastAsia" w:ascii="Times New Roman" w:hAnsi="Times New Roman" w:eastAsia="宋体" w:cs="Times New Roman"/>
                <w:b/>
                <w:bCs/>
                <w:color w:val="auto"/>
                <w:sz w:val="24"/>
                <w:highlight w:val="none"/>
                <w:lang w:val="en-US" w:eastAsia="zh-CN"/>
              </w:rPr>
              <w:t xml:space="preserve">养老保险</w:t>
            </w:r>
            <w:r>
              <w:rPr>
                <w:rFonts w:hint="eastAsia" w:ascii="Times New Roman" w:hAnsi="Times New Roman" w:eastAsia="宋体" w:cs="Times New Roman"/>
                <w:b/>
                <w:bCs/>
                <w:color w:val="auto"/>
                <w:sz w:val="24"/>
                <w:highlight w:val="none"/>
              </w:rPr>
              <w:t xml:space="preserve">证明；如为退休人员，须提供退休证明及返聘合同；不提供不得分。</w:t>
            </w:r>
            <w:r/>
          </w:p>
        </w:tc>
      </w:tr>
      <w:tr>
        <w:trPr>
          <w:trHeight w:val="1629"/>
        </w:trPr>
        <w:tc>
          <w:tcPr>
            <w:shd w:val="clear" w:color="auto" w:fill="auto"/>
            <w:tcW w:w="835"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3.3</w:t>
            </w:r>
            <w:r/>
          </w:p>
        </w:tc>
        <w:tc>
          <w:tcPr>
            <w:shd w:val="clear" w:color="auto" w:fill="auto"/>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项目组成员</w:t>
            </w:r>
            <w:r>
              <w:rPr>
                <w:rFonts w:hint="eastAsia" w:ascii="宋体" w:hAnsi="宋体" w:cs="宋体"/>
                <w:color w:val="auto"/>
                <w:sz w:val="24"/>
                <w:highlight w:val="none"/>
                <w:lang w:val="en-US" w:eastAsia="zh-CN"/>
              </w:rPr>
              <w:t xml:space="preserve">2</w:t>
            </w:r>
            <w:r/>
          </w:p>
        </w:tc>
        <w:tc>
          <w:tcPr>
            <w:shd w:val="clear" w:color="auto" w:fill="auto"/>
            <w:tcW w:w="913" w:type="dxa"/>
            <w:vAlign w:val="center"/>
            <w:textDirection w:val="lrTb"/>
            <w:noWrap w:val="false"/>
          </w:tcPr>
          <w:p>
            <w:pPr>
              <w:ind w:firstLine="28"/>
              <w:jc w:val="center"/>
              <w:spacing w:line="360" w:lineRule="auto"/>
              <w:rPr>
                <w:rFonts w:hint="eastAsia" w:ascii="Times New Roman" w:hAnsi="Times New Roman" w:eastAsia="宋体" w:cs="Times New Roman"/>
                <w:color w:val="auto"/>
                <w:highlight w:val="none"/>
                <w:lang w:val="en-US" w:eastAsia="zh-CN"/>
              </w:rPr>
            </w:pPr>
            <w:r>
              <w:rPr>
                <w:rFonts w:hint="eastAsia" w:ascii="宋体" w:hAnsi="宋体" w:eastAsia="宋体" w:cs="宋体"/>
                <w:color w:val="auto"/>
                <w:sz w:val="24"/>
                <w:highlight w:val="none"/>
                <w:lang w:val="en-US" w:eastAsia="zh-CN"/>
              </w:rPr>
              <w:t xml:space="preserve">6</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除项目负责人外，拟派人员中</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建设工程类中级及以上职称证书的得6分，</w:t>
            </w:r>
            <w:r>
              <w:rPr>
                <w:rFonts w:hint="eastAsia" w:ascii="宋体" w:hAnsi="宋体" w:eastAsia="宋体" w:cs="宋体"/>
                <w:color w:val="auto"/>
                <w:sz w:val="24"/>
                <w:szCs w:val="24"/>
                <w:highlight w:val="none"/>
                <w:lang w:eastAsia="zh-CN"/>
              </w:rPr>
              <w:t xml:space="preserve">本项最高</w:t>
            </w:r>
            <w:r>
              <w:rPr>
                <w:rFonts w:hint="eastAsia" w:ascii="宋体" w:hAnsi="宋体" w:eastAsia="宋体" w:cs="宋体"/>
                <w:color w:val="auto"/>
                <w:sz w:val="24"/>
                <w:szCs w:val="24"/>
                <w:highlight w:val="none"/>
                <w:lang w:val="en-US" w:eastAsia="zh-CN"/>
              </w:rPr>
              <w:t xml:space="preserve">6分。</w:t>
            </w:r>
            <w:r/>
          </w:p>
        </w:tc>
        <w:tc>
          <w:tcPr>
            <w:shd w:val="clear" w:color="auto" w:fill="auto"/>
            <w:tcW w:w="2440"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gridSpan w:val="2"/>
            <w:tcW w:w="2297"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gridSpan w:val="2"/>
            <w:tcW w:w="641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ascii="宋体" w:hAnsi="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w:t>
      </w:r>
      <w:r>
        <w:rPr>
          <w:rFonts w:hint="eastAsia" w:ascii="宋体" w:hAnsi="宋体"/>
          <w:b/>
          <w:bCs/>
          <w:color w:val="auto"/>
          <w:sz w:val="24"/>
          <w:highlight w:val="none"/>
        </w:rPr>
        <w:t xml:space="preserve">1、证明材料由投标</w:t>
      </w:r>
      <w:r>
        <w:rPr>
          <w:rFonts w:hint="eastAsia" w:ascii="宋体" w:hAnsi="宋体"/>
          <w:b/>
          <w:bCs/>
          <w:color w:val="auto"/>
          <w:sz w:val="24"/>
          <w:highlight w:val="none"/>
          <w:lang w:eastAsia="zh-CN"/>
        </w:rPr>
        <w:t xml:space="preserve">供应商</w:t>
      </w:r>
      <w:r>
        <w:rPr>
          <w:rFonts w:hint="eastAsia" w:ascii="宋体" w:hAnsi="宋体"/>
          <w:b/>
          <w:bCs/>
          <w:color w:val="auto"/>
          <w:sz w:val="24"/>
          <w:highlight w:val="none"/>
        </w:rPr>
        <w:t xml:space="preserve">自行提供，磋商小组根据投标</w:t>
      </w:r>
      <w:r>
        <w:rPr>
          <w:rFonts w:hint="eastAsia" w:ascii="宋体" w:hAnsi="宋体"/>
          <w:b/>
          <w:bCs/>
          <w:color w:val="auto"/>
          <w:sz w:val="24"/>
          <w:highlight w:val="none"/>
          <w:lang w:eastAsia="zh-CN"/>
        </w:rPr>
        <w:t xml:space="preserve">供应商</w:t>
      </w:r>
      <w:r>
        <w:rPr>
          <w:rFonts w:hint="eastAsia" w:ascii="宋体" w:hAnsi="宋体"/>
          <w:b/>
          <w:bCs/>
          <w:color w:val="auto"/>
          <w:sz w:val="24"/>
          <w:highlight w:val="none"/>
        </w:rPr>
        <w:t xml:space="preserve">提供的相关证明材料进行评审，相关证明材料的全面性、有效性、完整性、真实性由投标</w:t>
      </w:r>
      <w:r>
        <w:rPr>
          <w:rFonts w:hint="eastAsia" w:ascii="宋体" w:hAnsi="宋体"/>
          <w:b/>
          <w:bCs/>
          <w:color w:val="auto"/>
          <w:sz w:val="24"/>
          <w:highlight w:val="none"/>
          <w:lang w:eastAsia="zh-CN"/>
        </w:rPr>
        <w:t xml:space="preserve">供应商</w:t>
      </w:r>
      <w:r>
        <w:rPr>
          <w:rFonts w:hint="eastAsia" w:ascii="宋体" w:hAnsi="宋体"/>
          <w:b/>
          <w:bCs/>
          <w:color w:val="auto"/>
          <w:sz w:val="24"/>
          <w:highlight w:val="none"/>
        </w:rPr>
        <w:t xml:space="preserve">自行负责。</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2、以上所需资料均应真实、有效，如发现投标</w:t>
      </w:r>
      <w:r>
        <w:rPr>
          <w:rFonts w:hint="eastAsia" w:ascii="宋体" w:hAnsi="宋体"/>
          <w:b/>
          <w:bCs/>
          <w:color w:val="auto"/>
          <w:sz w:val="24"/>
          <w:highlight w:val="none"/>
          <w:lang w:eastAsia="zh-CN"/>
        </w:rPr>
        <w:t xml:space="preserve">供应商</w:t>
      </w:r>
      <w:r>
        <w:rPr>
          <w:rFonts w:hint="eastAsia" w:ascii="宋体" w:hAnsi="宋体"/>
          <w:b/>
          <w:bCs/>
          <w:color w:val="auto"/>
          <w:sz w:val="24"/>
          <w:highlight w:val="none"/>
        </w:rPr>
        <w:t xml:space="preserve">涉嫌资料造假等，采购人将有权取消其成交资格，并保留进一步追究其法律责任的权利。</w:t>
      </w:r>
      <w:r/>
    </w:p>
    <w:p>
      <w:pPr>
        <w:ind w:firstLine="482"/>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jc w:val="left"/>
        <w:widowControl/>
        <w:rPr>
          <w:b/>
          <w:color w:val="auto"/>
          <w:sz w:val="36"/>
          <w:szCs w:val="36"/>
          <w:highlight w:val="none"/>
        </w:rPr>
      </w:pPr>
      <w:r>
        <w:rPr>
          <w:b/>
          <w:color w:val="auto"/>
          <w:sz w:val="36"/>
          <w:szCs w:val="36"/>
          <w:highlight w:val="none"/>
        </w:rPr>
      </w:r>
      <w:r/>
    </w:p>
    <w:p>
      <w:pPr>
        <w:numPr>
          <w:ilvl w:val="0"/>
          <w:numId w:val="11"/>
        </w:numPr>
        <w:jc w:val="center"/>
        <w:spacing w:line="360" w:lineRule="auto"/>
        <w:rPr>
          <w:b/>
          <w:color w:val="auto"/>
          <w:sz w:val="36"/>
          <w:szCs w:val="36"/>
          <w:highlight w:val="none"/>
        </w:rPr>
        <w:outlineLvl w:val="0"/>
      </w:pPr>
      <w:r>
        <w:rPr>
          <w:b/>
          <w:color w:val="auto"/>
          <w:sz w:val="36"/>
          <w:szCs w:val="36"/>
          <w:highlight w:val="none"/>
        </w:rPr>
        <w:br w:type="page" w:clear="all"/>
      </w:r>
      <w:r>
        <w:rPr>
          <w:b/>
          <w:color w:val="auto"/>
          <w:sz w:val="36"/>
          <w:szCs w:val="36"/>
          <w:highlight w:val="none"/>
        </w:rPr>
        <w:t xml:space="preserve">  </w:t>
      </w:r>
      <w:bookmarkStart w:id="671" w:name="_Toc25021"/>
      <w:r>
        <w:rPr>
          <w:b/>
          <w:color w:val="auto"/>
          <w:sz w:val="36"/>
          <w:szCs w:val="36"/>
          <w:highlight w:val="none"/>
        </w:rPr>
        <w:t xml:space="preserve">采购需求</w:t>
      </w:r>
      <w:bookmarkEnd w:id="671"/>
      <w:r/>
      <w:r/>
    </w:p>
    <w:p>
      <w:pPr>
        <w:numPr>
          <w:ilvl w:val="0"/>
          <w:numId w:val="0"/>
        </w:numPr>
        <w:contextualSpacing/>
        <w:jc w:val="both"/>
        <w:keepLines w:val="0"/>
        <w:keepNext w:val="0"/>
        <w:pageBreakBefore w:val="0"/>
        <w:spacing w:after="0" w:line="360" w:lineRule="auto"/>
        <w:widowControl w:val="off"/>
        <w:rPr>
          <w:rFonts w:hint="default" w:ascii="Times New Roman" w:hAnsi="Times New Roman" w:eastAsia="宋体" w:cs="Times New Roman"/>
          <w:b/>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t xml:space="preserve">一、</w:t>
      </w:r>
      <w:r>
        <w:rPr>
          <w:rFonts w:hint="default" w:ascii="Times New Roman" w:hAnsi="Times New Roman" w:eastAsia="宋体" w:cs="Times New Roman"/>
          <w:b/>
          <w:color w:val="auto"/>
          <w:sz w:val="24"/>
          <w:szCs w:val="24"/>
          <w:highlight w:val="none"/>
          <w:lang w:val="en-US" w:eastAsia="zh-CN" w:bidi="ar-SA"/>
        </w:rPr>
        <w:t xml:space="preserve">采购标的</w:t>
      </w:r>
      <w:r/>
    </w:p>
    <w:p>
      <w:pPr>
        <w:contextualSpacing/>
        <w:ind w:lef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针对天目湖镇辖区内自然村农村生活污水管网，及时维修出现问题的管网、处理设施、泵站等。</w:t>
      </w:r>
      <w:r/>
    </w:p>
    <w:p>
      <w:pPr>
        <w:numPr>
          <w:ilvl w:val="0"/>
          <w:numId w:val="0"/>
        </w:numPr>
        <w:contextualSpacing/>
        <w:ind w:left="0" w:firstLine="482"/>
        <w:jc w:val="both"/>
        <w:keepLines w:val="0"/>
        <w:keepNext w:val="0"/>
        <w:pageBreakBefore w:val="0"/>
        <w:spacing w:after="0" w:line="360" w:lineRule="auto"/>
        <w:widowControl w:val="off"/>
        <w:rPr>
          <w:rFonts w:hint="default" w:ascii="Times New Roman" w:hAnsi="Times New Roman" w:eastAsia="宋体" w:cs="Times New Roman"/>
          <w:b/>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t xml:space="preserve">二、</w:t>
      </w:r>
      <w:r>
        <w:rPr>
          <w:rFonts w:hint="default" w:ascii="Times New Roman" w:hAnsi="Times New Roman" w:eastAsia="宋体" w:cs="Times New Roman"/>
          <w:b/>
          <w:color w:val="auto"/>
          <w:sz w:val="24"/>
          <w:szCs w:val="24"/>
          <w:highlight w:val="none"/>
          <w:lang w:val="en-US" w:eastAsia="zh-CN" w:bidi="ar-SA"/>
        </w:rPr>
        <w:t xml:space="preserve">商务要求</w:t>
      </w:r>
      <w:r/>
    </w:p>
    <w:p>
      <w:pPr>
        <w:contextualSpacing/>
        <w:ind w:left="0" w:firstLine="480"/>
        <w:jc w:val="both"/>
        <w:keepLines w:val="0"/>
        <w:keepNext w:val="0"/>
        <w:pageBreakBefore w:val="0"/>
        <w:spacing w:line="360" w:lineRule="auto"/>
        <w:widowControl w:val="off"/>
        <w:rPr>
          <w:rFonts w:hint="eastAsia" w:ascii="宋体" w:hAnsi="宋体" w:eastAsia="宋体" w:cs="宋体"/>
          <w:i/>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工期</w:t>
      </w:r>
      <w:r>
        <w:rPr>
          <w:rFonts w:hint="eastAsia" w:ascii="宋体" w:hAnsi="宋体" w:eastAsia="宋体" w:cs="宋体"/>
          <w:color w:val="auto"/>
          <w:sz w:val="24"/>
          <w:highlight w:val="none"/>
        </w:rPr>
        <w:t xml:space="preserve">和地点</w:t>
      </w:r>
      <w:r/>
    </w:p>
    <w:p>
      <w:pPr>
        <w:contextualSpacing/>
        <w:ind w:left="0"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工期</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实施过程中，</w:t>
      </w:r>
      <w:r>
        <w:rPr>
          <w:rFonts w:hint="eastAsia" w:ascii="宋体" w:hAnsi="宋体" w:eastAsia="宋体" w:cs="宋体"/>
          <w:b w:val="0"/>
          <w:bCs w:val="0"/>
          <w:color w:val="auto"/>
          <w:sz w:val="24"/>
          <w:szCs w:val="24"/>
          <w:highlight w:val="none"/>
          <w:lang w:val="en-US" w:eastAsia="zh-CN"/>
        </w:rPr>
        <w:t xml:space="preserve">成交供应商接到采购人维修通知后半小时内应当响应，</w:t>
      </w:r>
      <w:r>
        <w:rPr>
          <w:rFonts w:hint="eastAsia" w:ascii="宋体" w:hAnsi="宋体" w:cs="宋体"/>
          <w:b w:val="0"/>
          <w:bCs w:val="0"/>
          <w:color w:val="auto"/>
          <w:sz w:val="24"/>
          <w:szCs w:val="24"/>
          <w:highlight w:val="none"/>
          <w:lang w:val="en-US" w:eastAsia="zh-CN"/>
        </w:rPr>
        <w:t xml:space="preserve">4小时内到达指定地点进行维修</w:t>
      </w:r>
      <w:r>
        <w:rPr>
          <w:rFonts w:hint="eastAsia" w:ascii="宋体" w:hAnsi="宋体" w:eastAsia="宋体" w:cs="宋体"/>
          <w:color w:val="auto"/>
          <w:sz w:val="24"/>
          <w:highlight w:val="none"/>
          <w:lang w:eastAsia="zh-CN"/>
        </w:rPr>
        <w:t xml:space="preserve">）。</w:t>
      </w:r>
      <w:r/>
    </w:p>
    <w:p>
      <w:pPr>
        <w:contextualSpacing/>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地点：采购人指定地点。</w:t>
      </w:r>
      <w:r/>
    </w:p>
    <w:p>
      <w:pPr>
        <w:contextualSpacing/>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付款条件</w:t>
      </w:r>
      <w:r/>
    </w:p>
    <w:p>
      <w:pPr>
        <w:contextualSpacing/>
        <w:ind w:left="0" w:firstLine="480"/>
        <w:jc w:val="both"/>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rPr>
        <w:t xml:space="preserve">. 付款</w:t>
      </w:r>
      <w:r>
        <w:rPr>
          <w:rFonts w:hint="eastAsia" w:ascii="宋体" w:hAnsi="宋体" w:eastAsia="宋体" w:cs="宋体"/>
          <w:color w:val="auto"/>
          <w:sz w:val="24"/>
          <w:highlight w:val="none"/>
          <w:lang w:val="en-US" w:eastAsia="zh-CN"/>
        </w:rPr>
        <w:t xml:space="preserve">方式：</w:t>
      </w:r>
      <w:r/>
    </w:p>
    <w:p>
      <w:pPr>
        <w:contextualSpacing/>
        <w:ind w:left="0" w:firstLine="482"/>
        <w:jc w:val="both"/>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1）合同期满六个月，支付至已完成工程量（需经监理、跟踪审计、采购人审核）的60%且不超过暂估结算价的60%；</w:t>
      </w:r>
      <w:r/>
    </w:p>
    <w:p>
      <w:pPr>
        <w:contextualSpacing/>
        <w:ind w:left="0" w:firstLine="482"/>
        <w:jc w:val="both"/>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合同期满且项目竣工验收合格后付至已完成工程量（需经监理、跟踪审计、采购人审核）的80%且不超过暂估结算价的80%；</w:t>
      </w:r>
      <w:r/>
    </w:p>
    <w:p>
      <w:pPr>
        <w:contextualSpacing/>
        <w:ind w:left="0" w:firstLine="482"/>
        <w:jc w:val="both"/>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经审计审定后付至最终结算价的97%；</w:t>
      </w:r>
      <w:r/>
    </w:p>
    <w:p>
      <w:pPr>
        <w:contextualSpacing/>
        <w:ind w:left="0" w:firstLine="482"/>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最终结算价的3%作为质保金，在最后一个单项工程质保期满后付清。</w:t>
      </w:r>
      <w:r/>
    </w:p>
    <w:p>
      <w:pPr>
        <w:contextualSpacing/>
        <w:ind w:left="0" w:firstLine="480"/>
        <w:jc w:val="both"/>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支付时，乙方应当向甲方开具相应价款发票，甲方收到发票后支付相应费用。</w:t>
      </w:r>
      <w:r/>
    </w:p>
    <w:p>
      <w:pPr>
        <w:contextualSpacing/>
        <w:ind w:lef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2）付款方式：银行转账；</w:t>
      </w:r>
      <w:r/>
    </w:p>
    <w:p>
      <w:pPr>
        <w:contextualSpacing/>
        <w:ind w:lef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3）根据国家现行税法对乙方征收的与本合同有关的一切税费均由乙方承担；</w:t>
      </w:r>
      <w:r/>
    </w:p>
    <w:p>
      <w:pPr>
        <w:contextualSpacing/>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default" w:ascii="Segoe UI Symbol" w:hAnsi="Segoe UI Symbol" w:eastAsia="宋体" w:cs="Segoe UI Symbol"/>
          <w:b/>
          <w:bCs/>
          <w:color w:val="auto"/>
          <w:sz w:val="24"/>
          <w:szCs w:val="22"/>
          <w:highlight w:val="none"/>
          <w:lang w:val="en-US" w:eastAsia="zh-CN" w:bidi="ar-SA"/>
        </w:rPr>
        <w:t xml:space="preserve">★</w:t>
      </w:r>
      <w:r>
        <w:rPr>
          <w:rFonts w:hint="eastAsia" w:ascii="宋体" w:hAnsi="宋体" w:eastAsia="宋体" w:cs="宋体"/>
          <w:color w:val="auto"/>
          <w:sz w:val="24"/>
          <w:highlight w:val="none"/>
          <w:lang w:val="en-US" w:eastAsia="zh-CN"/>
        </w:rPr>
        <w:t xml:space="preserve">3.质量要求：合格</w:t>
      </w:r>
      <w:r/>
    </w:p>
    <w:p>
      <w:pPr>
        <w:ind w:firstLine="480"/>
        <w:pageBreakBefore w:val="0"/>
        <w:spacing w:line="44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b/>
          <w:bCs/>
          <w:color w:val="auto"/>
          <w:sz w:val="24"/>
          <w:highlight w:val="none"/>
          <w:u w:val="none"/>
          <w:lang w:val="en-US" w:eastAsia="zh-CN"/>
        </w:rPr>
        <w:t xml:space="preserve">质保期：</w:t>
      </w:r>
      <w:r>
        <w:rPr>
          <w:rFonts w:hint="eastAsia" w:ascii="宋体" w:hAnsi="宋体" w:eastAsia="宋体" w:cs="Times New Roman"/>
          <w:b/>
          <w:bCs/>
          <w:color w:val="auto"/>
          <w:sz w:val="24"/>
          <w:highlight w:val="none"/>
          <w:u w:val="none"/>
          <w:lang w:val="en-US" w:eastAsia="zh-CN"/>
        </w:rPr>
        <w:t xml:space="preserve">本项目中每个单项工程质保期为2年；</w:t>
      </w:r>
      <w:r>
        <w:rPr>
          <w:rFonts w:ascii="宋体" w:hAnsi="宋体" w:eastAsia="宋体" w:cs="Times New Roman"/>
          <w:b/>
          <w:bCs/>
          <w:color w:val="auto"/>
          <w:sz w:val="24"/>
          <w:highlight w:val="none"/>
          <w:u w:val="none"/>
        </w:rPr>
        <w:t xml:space="preserve">质量保修期</w:t>
      </w:r>
      <w:r>
        <w:rPr>
          <w:rFonts w:hint="eastAsia" w:ascii="宋体" w:hAnsi="宋体" w:eastAsia="宋体" w:cs="Times New Roman"/>
          <w:b/>
          <w:bCs/>
          <w:color w:val="auto"/>
          <w:sz w:val="24"/>
          <w:highlight w:val="none"/>
          <w:u w:val="none"/>
          <w:lang w:val="en-US" w:eastAsia="zh-CN"/>
        </w:rPr>
        <w:t xml:space="preserve">自单项工程竣工验收合格之日起计算</w:t>
      </w:r>
      <w:r>
        <w:rPr>
          <w:rFonts w:hint="eastAsia" w:ascii="宋体" w:hAnsi="宋体" w:eastAsia="宋体" w:cs="Times New Roman"/>
          <w:b/>
          <w:bCs/>
          <w:color w:val="auto"/>
          <w:sz w:val="24"/>
          <w:highlight w:val="none"/>
          <w:u w:val="none"/>
        </w:rPr>
        <w:t xml:space="preserve">。</w:t>
      </w:r>
      <w:r/>
    </w:p>
    <w:p>
      <w:pPr>
        <w:numPr>
          <w:ilvl w:val="0"/>
          <w:numId w:val="0"/>
        </w:numPr>
        <w:ind w:left="420" w:firstLine="420"/>
        <w:jc w:val="both"/>
        <w:spacing w:after="12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三、技术要求</w:t>
      </w:r>
      <w:r/>
    </w:p>
    <w:p>
      <w:pPr>
        <w:numPr>
          <w:ilvl w:val="0"/>
          <w:numId w:val="0"/>
        </w:numPr>
        <w:spacing w:line="360" w:lineRule="auto"/>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lang w:val="en-US" w:eastAsia="zh-CN"/>
        </w:rPr>
        <w:t xml:space="preserve">一</w:t>
      </w: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lang w:val="en-US" w:eastAsia="zh-CN"/>
        </w:rPr>
        <w:t xml:space="preserve">施工</w:t>
      </w:r>
      <w:r>
        <w:rPr>
          <w:rFonts w:hint="eastAsia" w:ascii="Times New Roman" w:hAnsi="Times New Roman" w:eastAsia="宋体" w:cs="Times New Roman"/>
          <w:b/>
          <w:color w:val="auto"/>
          <w:sz w:val="24"/>
          <w:szCs w:val="24"/>
          <w:highlight w:val="none"/>
          <w:lang w:eastAsia="zh-CN"/>
        </w:rPr>
        <w:t xml:space="preserve">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1、在合同期间，采购人有权根据维修任务量大小、质量维修情况的及时性、特殊情况来进行相应调整，成交供应商必须无条件接受。</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2、在合同期间，采购人认为维修材料需要更换的，成交供应商须无条件接受更换。</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3、施工现场需要放置警示措施的，应放置警示措施；如由于成交供应商原因在施工过程中造成办公区域、行人发生损害的，由成交供应商自行负责。</w:t>
      </w:r>
      <w:r/>
    </w:p>
    <w:p>
      <w:pPr>
        <w:ind w:firstLine="480"/>
        <w:jc w:val="both"/>
        <w:spacing w:line="360" w:lineRule="auto"/>
        <w:rPr>
          <w:rFonts w:hint="eastAsia" w:ascii="宋体" w:hAnsi="宋体" w:eastAsia="宋体" w:cs="Times New Roman"/>
          <w:b/>
          <w:bCs/>
          <w:color w:val="auto"/>
          <w:sz w:val="24"/>
          <w:szCs w:val="22"/>
          <w:highlight w:val="none"/>
          <w:lang w:val="en-US" w:eastAsia="zh-CN" w:bidi="ar-SA"/>
        </w:rPr>
      </w:pPr>
      <w:r>
        <w:rPr>
          <w:rFonts w:hint="default" w:ascii="Segoe UI Symbol" w:hAnsi="Segoe UI Symbol" w:eastAsia="宋体" w:cs="Segoe UI Symbol"/>
          <w:b/>
          <w:bCs/>
          <w:color w:val="auto"/>
          <w:sz w:val="24"/>
          <w:szCs w:val="22"/>
          <w:highlight w:val="none"/>
          <w:lang w:val="en-US" w:eastAsia="zh-CN" w:bidi="ar-SA"/>
        </w:rPr>
        <w:t xml:space="preserve">★</w:t>
      </w:r>
      <w:r>
        <w:rPr>
          <w:rFonts w:hint="eastAsia" w:ascii="宋体" w:hAnsi="宋体" w:eastAsia="宋体" w:cs="Times New Roman"/>
          <w:b/>
          <w:bCs/>
          <w:color w:val="auto"/>
          <w:sz w:val="24"/>
          <w:szCs w:val="22"/>
          <w:highlight w:val="none"/>
          <w:lang w:val="en-US" w:eastAsia="zh-CN" w:bidi="ar-SA"/>
        </w:rPr>
        <w:t xml:space="preserve">4、供应商必须为本项目配备专职安全生产管理人员一名，须在响应文件中出具其有效期内的安全生产知识考核合格证书，否则作无效响应处理。</w:t>
      </w:r>
      <w:r/>
    </w:p>
    <w:p>
      <w:pPr>
        <w:ind w:firstLine="480"/>
        <w:jc w:val="both"/>
        <w:spacing w:line="360" w:lineRule="auto"/>
        <w:rPr>
          <w:rFonts w:hint="default" w:ascii="宋体" w:hAnsi="宋体" w:eastAsia="宋体" w:cs="Times New Roman"/>
          <w:b/>
          <w:bCs/>
          <w:color w:val="auto"/>
          <w:sz w:val="24"/>
          <w:szCs w:val="22"/>
          <w:highlight w:val="none"/>
          <w:lang w:val="en-US" w:eastAsia="zh-CN" w:bidi="ar-SA"/>
        </w:rPr>
      </w:pPr>
      <w:r>
        <w:rPr>
          <w:rFonts w:hint="default" w:ascii="Segoe UI Symbol" w:hAnsi="Segoe UI Symbol" w:eastAsia="宋体" w:cs="Segoe UI Symbol"/>
          <w:b/>
          <w:bCs/>
          <w:color w:val="auto"/>
          <w:sz w:val="24"/>
          <w:szCs w:val="22"/>
          <w:highlight w:val="none"/>
          <w:lang w:val="en-US" w:eastAsia="zh-CN" w:bidi="ar-SA"/>
        </w:rPr>
        <w:t xml:space="preserve">★</w:t>
      </w:r>
      <w:r>
        <w:rPr>
          <w:rFonts w:hint="eastAsia" w:ascii="宋体" w:hAnsi="宋体" w:eastAsia="宋体" w:cs="Times New Roman"/>
          <w:b/>
          <w:bCs/>
          <w:color w:val="auto"/>
          <w:sz w:val="24"/>
          <w:szCs w:val="22"/>
          <w:highlight w:val="none"/>
          <w:lang w:val="en-US" w:eastAsia="zh-CN" w:bidi="ar-SA"/>
        </w:rPr>
        <w:t xml:space="preserve">5、供应商</w:t>
      </w:r>
      <w:r>
        <w:rPr>
          <w:rFonts w:hint="eastAsia" w:ascii="宋体" w:hAnsi="宋体" w:cs="Times New Roman"/>
          <w:b/>
          <w:bCs/>
          <w:color w:val="auto"/>
          <w:sz w:val="24"/>
          <w:szCs w:val="22"/>
          <w:highlight w:val="none"/>
          <w:lang w:val="en-US" w:eastAsia="zh-CN" w:bidi="ar-SA"/>
        </w:rPr>
        <w:t xml:space="preserve">投标时须承诺</w:t>
      </w:r>
      <w:r>
        <w:rPr>
          <w:rFonts w:hint="eastAsia" w:ascii="宋体" w:hAnsi="宋体" w:eastAsia="宋体" w:cs="Times New Roman"/>
          <w:b/>
          <w:bCs/>
          <w:color w:val="auto"/>
          <w:sz w:val="24"/>
          <w:szCs w:val="22"/>
          <w:highlight w:val="none"/>
          <w:lang w:val="en-US" w:eastAsia="zh-CN" w:bidi="ar-SA"/>
        </w:rPr>
        <w:t xml:space="preserve">一旦接到维修任务，能在规定时间内快速响应并到达指定地点</w:t>
      </w:r>
      <w:r>
        <w:rPr>
          <w:rFonts w:hint="eastAsia" w:ascii="宋体" w:hAnsi="宋体" w:cs="Times New Roman"/>
          <w:b/>
          <w:bCs/>
          <w:color w:val="auto"/>
          <w:sz w:val="24"/>
          <w:szCs w:val="22"/>
          <w:highlight w:val="none"/>
          <w:lang w:val="en-US" w:eastAsia="zh-CN" w:bidi="ar-SA"/>
        </w:rPr>
        <w:t xml:space="preserve">保质保量</w:t>
      </w:r>
      <w:r>
        <w:rPr>
          <w:rFonts w:hint="eastAsia" w:ascii="宋体" w:hAnsi="宋体" w:eastAsia="宋体" w:cs="Times New Roman"/>
          <w:b/>
          <w:bCs/>
          <w:color w:val="auto"/>
          <w:sz w:val="24"/>
          <w:szCs w:val="22"/>
          <w:highlight w:val="none"/>
          <w:lang w:val="en-US" w:eastAsia="zh-CN" w:bidi="ar-SA"/>
        </w:rPr>
        <w:t xml:space="preserve">完成维修任务</w:t>
      </w:r>
      <w:r>
        <w:rPr>
          <w:rFonts w:hint="eastAsia" w:ascii="宋体" w:hAnsi="宋体" w:cs="Times New Roman"/>
          <w:b/>
          <w:bCs/>
          <w:color w:val="auto"/>
          <w:sz w:val="24"/>
          <w:szCs w:val="22"/>
          <w:highlight w:val="none"/>
          <w:lang w:val="en-US" w:eastAsia="zh-CN" w:bidi="ar-SA"/>
        </w:rPr>
        <w:t xml:space="preserve">；服务期内，如发生各类突发情况、紧急事件及临时性应急工作任务，成交供应商需无条件服从采购人调度安排，保持通讯24小时畅通，做到随叫随到、及时响应、快速处置，全力配合采购人完成应急处置、隐患整改、善后处理等相关工作，不得无故推诿、拖延、拒不到岗。</w:t>
      </w:r>
      <w:r>
        <w:rPr>
          <w:rFonts w:hint="eastAsia" w:ascii="宋体" w:hAnsi="宋体" w:eastAsia="宋体" w:cs="Times New Roman"/>
          <w:b/>
          <w:bCs/>
          <w:color w:val="auto"/>
          <w:sz w:val="24"/>
          <w:highlight w:val="none"/>
          <w:lang w:val="en-US" w:eastAsia="zh-CN"/>
        </w:rPr>
        <w:t xml:space="preserve">供应商投标时</w:t>
      </w:r>
      <w:r>
        <w:rPr>
          <w:rFonts w:hint="default" w:ascii="宋体" w:hAnsi="宋体" w:eastAsia="宋体" w:cs="Times New Roman"/>
          <w:b/>
          <w:bCs/>
          <w:color w:val="auto"/>
          <w:sz w:val="24"/>
          <w:highlight w:val="none"/>
          <w:lang w:val="en-US" w:eastAsia="zh-CN"/>
        </w:rPr>
        <w:t xml:space="preserve">须提供承诺书（格式自拟），否则作无效</w:t>
      </w:r>
      <w:r>
        <w:rPr>
          <w:rFonts w:hint="eastAsia" w:ascii="宋体" w:hAnsi="宋体" w:eastAsia="宋体" w:cs="Times New Roman"/>
          <w:b/>
          <w:bCs/>
          <w:color w:val="auto"/>
          <w:sz w:val="24"/>
          <w:highlight w:val="none"/>
          <w:lang w:val="en-US" w:eastAsia="zh-CN"/>
        </w:rPr>
        <w:t xml:space="preserve">响应</w:t>
      </w:r>
      <w:r>
        <w:rPr>
          <w:rFonts w:hint="default" w:ascii="宋体" w:hAnsi="宋体" w:eastAsia="宋体" w:cs="Times New Roman"/>
          <w:b/>
          <w:bCs/>
          <w:color w:val="auto"/>
          <w:sz w:val="24"/>
          <w:highlight w:val="none"/>
          <w:lang w:val="en-US" w:eastAsia="zh-CN"/>
        </w:rPr>
        <w:t xml:space="preserve">文件处理。</w:t>
      </w:r>
      <w:r/>
    </w:p>
    <w:p>
      <w:pPr>
        <w:numPr>
          <w:ilvl w:val="0"/>
          <w:numId w:val="0"/>
        </w:numPr>
        <w:spacing w:line="360" w:lineRule="auto"/>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lang w:val="en-US" w:eastAsia="zh-CN"/>
        </w:rPr>
        <w:t xml:space="preserve">二</w:t>
      </w:r>
      <w:r>
        <w:rPr>
          <w:rFonts w:hint="eastAsia" w:ascii="Times New Roman" w:hAnsi="Times New Roman" w:eastAsia="宋体" w:cs="Times New Roman"/>
          <w:b/>
          <w:color w:val="auto"/>
          <w:sz w:val="24"/>
          <w:szCs w:val="24"/>
          <w:highlight w:val="none"/>
          <w:lang w:eastAsia="zh-CN"/>
        </w:rPr>
        <w:t xml:space="preserve">）维修时限要求：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、采购人发出的派单成交供应商必须按要求</w:t>
      </w:r>
      <w:r>
        <w:rPr>
          <w:rFonts w:hint="eastAsia" w:ascii="宋体" w:hAnsi="宋体" w:cs="宋体"/>
          <w:b w:val="0"/>
          <w:bCs w:val="0"/>
          <w:color w:val="auto"/>
          <w:sz w:val="24"/>
          <w:szCs w:val="24"/>
          <w:highlight w:val="none"/>
          <w:lang w:val="en-US" w:eastAsia="zh-CN"/>
        </w:rPr>
        <w:t xml:space="preserve">在规定时间内</w:t>
      </w:r>
      <w:r>
        <w:rPr>
          <w:rFonts w:hint="eastAsia" w:ascii="宋体" w:hAnsi="宋体" w:eastAsia="宋体" w:cs="宋体"/>
          <w:b w:val="0"/>
          <w:bCs w:val="0"/>
          <w:color w:val="auto"/>
          <w:sz w:val="24"/>
          <w:szCs w:val="24"/>
          <w:highlight w:val="none"/>
          <w:lang w:val="en-US" w:eastAsia="zh-CN"/>
        </w:rPr>
        <w:t xml:space="preserve">全面执行，否则按 500 元/次向采购人支付违约金。在接到采购人通知后半小时内响应，4小时内需上门进行维修</w:t>
      </w:r>
      <w:r>
        <w:rPr>
          <w:rFonts w:hint="eastAsia" w:ascii="宋体" w:hAnsi="宋体" w:cs="宋体"/>
          <w:b w:val="0"/>
          <w:bCs w:val="0"/>
          <w:color w:val="auto"/>
          <w:sz w:val="24"/>
          <w:szCs w:val="24"/>
          <w:highlight w:val="none"/>
          <w:lang w:val="en-US" w:eastAsia="zh-CN"/>
        </w:rPr>
        <w:t xml:space="preserve">并在采购人要求的时间内完成维修任务，达到交付使用水平</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由于成交供应商原因，在接到采购人维修通知后未按规定时间响应或未在规定时间内到达指定地点，每延误一次罚500元；</w:t>
      </w:r>
      <w:r>
        <w:rPr>
          <w:rFonts w:hint="eastAsia" w:ascii="宋体" w:hAnsi="宋体" w:eastAsia="宋体" w:cs="宋体"/>
          <w:b w:val="0"/>
          <w:bCs w:val="0"/>
          <w:color w:val="auto"/>
          <w:sz w:val="24"/>
          <w:szCs w:val="24"/>
          <w:highlight w:val="none"/>
          <w:lang w:val="en-US" w:eastAsia="zh-CN"/>
        </w:rPr>
        <w:t xml:space="preserve">由于成交供应商原因</w:t>
      </w:r>
      <w:r>
        <w:rPr>
          <w:rFonts w:hint="eastAsia" w:ascii="宋体" w:hAnsi="宋体" w:cs="宋体"/>
          <w:b w:val="0"/>
          <w:bCs w:val="0"/>
          <w:color w:val="auto"/>
          <w:sz w:val="24"/>
          <w:szCs w:val="24"/>
          <w:highlight w:val="none"/>
          <w:lang w:val="en-US" w:eastAsia="zh-CN"/>
        </w:rPr>
        <w:t xml:space="preserve">导致</w:t>
      </w:r>
      <w:r>
        <w:rPr>
          <w:rFonts w:ascii="宋体" w:hAnsi="宋体" w:eastAsia="宋体" w:cs="宋体"/>
          <w:color w:val="auto"/>
          <w:sz w:val="24"/>
          <w:szCs w:val="24"/>
          <w:highlight w:val="none"/>
        </w:rPr>
        <w:t xml:space="preserve">维修工作延误交付</w:t>
      </w:r>
      <w:r>
        <w:rPr>
          <w:rFonts w:hint="eastAsia" w:ascii="宋体" w:hAnsi="宋体" w:eastAsia="宋体" w:cs="宋体"/>
          <w:b w:val="0"/>
          <w:bCs w:val="0"/>
          <w:color w:val="auto"/>
          <w:sz w:val="24"/>
          <w:szCs w:val="24"/>
          <w:highlight w:val="none"/>
          <w:lang w:val="en-US" w:eastAsia="zh-CN"/>
        </w:rPr>
        <w:t xml:space="preserve">，每延误 24 小时罚 500 元/天。如果成交供应商在服务过程连续三次未在派单要求时间内完成，采购人有权解除合同，并</w:t>
      </w:r>
      <w:r>
        <w:rPr>
          <w:rFonts w:hint="eastAsia" w:ascii="宋体" w:hAnsi="宋体" w:cs="宋体"/>
          <w:b w:val="0"/>
          <w:bCs w:val="0"/>
          <w:color w:val="auto"/>
          <w:sz w:val="24"/>
          <w:szCs w:val="24"/>
          <w:highlight w:val="none"/>
          <w:lang w:val="en-US" w:eastAsia="zh-CN"/>
        </w:rPr>
        <w:t xml:space="preserve">要求</w:t>
      </w:r>
      <w:r>
        <w:rPr>
          <w:rFonts w:hint="eastAsia" w:ascii="宋体" w:hAnsi="宋体" w:eastAsia="宋体" w:cs="宋体"/>
          <w:b w:val="0"/>
          <w:bCs w:val="0"/>
          <w:color w:val="auto"/>
          <w:sz w:val="24"/>
          <w:szCs w:val="24"/>
          <w:highlight w:val="none"/>
          <w:lang w:val="en-US" w:eastAsia="zh-CN"/>
        </w:rPr>
        <w:t xml:space="preserve">成交供应商应支付</w:t>
      </w:r>
      <w:r>
        <w:rPr>
          <w:rFonts w:hint="eastAsia" w:ascii="宋体" w:hAnsi="宋体" w:cs="宋体"/>
          <w:b w:val="0"/>
          <w:bCs w:val="0"/>
          <w:color w:val="auto"/>
          <w:sz w:val="24"/>
          <w:szCs w:val="24"/>
          <w:highlight w:val="none"/>
          <w:lang w:val="en-US" w:eastAsia="zh-CN"/>
        </w:rPr>
        <w:t xml:space="preserve">相应</w:t>
      </w:r>
      <w:r>
        <w:rPr>
          <w:rFonts w:hint="eastAsia" w:ascii="宋体" w:hAnsi="宋体" w:eastAsia="宋体" w:cs="宋体"/>
          <w:b w:val="0"/>
          <w:bCs w:val="0"/>
          <w:color w:val="auto"/>
          <w:sz w:val="24"/>
          <w:szCs w:val="24"/>
          <w:highlight w:val="none"/>
          <w:lang w:val="en-US" w:eastAsia="zh-CN"/>
        </w:rPr>
        <w:t xml:space="preserve">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、若</w:t>
      </w:r>
      <w:r>
        <w:rPr>
          <w:rFonts w:hint="eastAsia" w:ascii="宋体" w:hAnsi="宋体" w:cs="宋体"/>
          <w:b w:val="0"/>
          <w:bCs w:val="0"/>
          <w:color w:val="auto"/>
          <w:sz w:val="24"/>
          <w:szCs w:val="24"/>
          <w:highlight w:val="none"/>
          <w:lang w:val="en-US" w:eastAsia="zh-CN"/>
        </w:rPr>
        <w:t xml:space="preserve">因</w:t>
      </w:r>
      <w:r>
        <w:rPr>
          <w:rFonts w:hint="eastAsia" w:ascii="宋体" w:hAnsi="宋体" w:eastAsia="宋体" w:cs="宋体"/>
          <w:b w:val="0"/>
          <w:bCs w:val="0"/>
          <w:color w:val="auto"/>
          <w:sz w:val="24"/>
          <w:szCs w:val="24"/>
          <w:highlight w:val="none"/>
          <w:lang w:val="en-US" w:eastAsia="zh-CN"/>
        </w:rPr>
        <w:t xml:space="preserve">施工造成的维修质量问题，采购人应书面通知成交供应商并约定时间进行整改。成交供应商未按</w:t>
      </w:r>
      <w:r>
        <w:rPr>
          <w:rFonts w:hint="eastAsia" w:ascii="宋体" w:hAnsi="宋体" w:cs="宋体"/>
          <w:b w:val="0"/>
          <w:bCs w:val="0"/>
          <w:color w:val="auto"/>
          <w:sz w:val="24"/>
          <w:szCs w:val="24"/>
          <w:highlight w:val="none"/>
          <w:lang w:val="en-US" w:eastAsia="zh-CN"/>
        </w:rPr>
        <w:t xml:space="preserve">规定</w:t>
      </w:r>
      <w:r>
        <w:rPr>
          <w:rFonts w:hint="eastAsia" w:ascii="宋体" w:hAnsi="宋体" w:eastAsia="宋体" w:cs="宋体"/>
          <w:b w:val="0"/>
          <w:bCs w:val="0"/>
          <w:color w:val="auto"/>
          <w:sz w:val="24"/>
          <w:szCs w:val="24"/>
          <w:highlight w:val="none"/>
          <w:lang w:val="en-US" w:eastAsia="zh-CN"/>
        </w:rPr>
        <w:t xml:space="preserve">时间及时</w:t>
      </w:r>
      <w:r>
        <w:rPr>
          <w:rFonts w:hint="eastAsia" w:ascii="宋体" w:hAnsi="宋体" w:cs="宋体"/>
          <w:b w:val="0"/>
          <w:bCs w:val="0"/>
          <w:color w:val="auto"/>
          <w:sz w:val="24"/>
          <w:szCs w:val="24"/>
          <w:highlight w:val="none"/>
          <w:lang w:val="en-US" w:eastAsia="zh-CN"/>
        </w:rPr>
        <w:t xml:space="preserve">整改</w:t>
      </w:r>
      <w:r>
        <w:rPr>
          <w:rFonts w:hint="eastAsia" w:ascii="宋体" w:hAnsi="宋体" w:eastAsia="宋体" w:cs="宋体"/>
          <w:b w:val="0"/>
          <w:bCs w:val="0"/>
          <w:color w:val="auto"/>
          <w:sz w:val="24"/>
          <w:szCs w:val="24"/>
          <w:highlight w:val="none"/>
          <w:lang w:val="en-US" w:eastAsia="zh-CN"/>
        </w:rPr>
        <w:t xml:space="preserve">，采购人有权</w:t>
      </w:r>
      <w:r>
        <w:rPr>
          <w:rFonts w:hint="eastAsia" w:ascii="宋体" w:hAnsi="宋体" w:cs="宋体"/>
          <w:b w:val="0"/>
          <w:bCs w:val="0"/>
          <w:color w:val="auto"/>
          <w:sz w:val="24"/>
          <w:szCs w:val="24"/>
          <w:highlight w:val="none"/>
          <w:lang w:val="en-US" w:eastAsia="zh-CN"/>
        </w:rPr>
        <w:t xml:space="preserve">按</w:t>
      </w:r>
      <w:r>
        <w:rPr>
          <w:rFonts w:hint="eastAsia" w:ascii="宋体" w:hAnsi="宋体" w:eastAsia="宋体" w:cs="宋体"/>
          <w:b w:val="0"/>
          <w:bCs w:val="0"/>
          <w:color w:val="auto"/>
          <w:sz w:val="24"/>
          <w:szCs w:val="24"/>
          <w:highlight w:val="none"/>
          <w:lang w:val="en-US" w:eastAsia="zh-CN"/>
        </w:rPr>
        <w:t xml:space="preserve">1000-2000 元/次</w:t>
      </w:r>
      <w:r>
        <w:rPr>
          <w:rFonts w:hint="eastAsia" w:ascii="宋体" w:hAnsi="宋体" w:cs="宋体"/>
          <w:b w:val="0"/>
          <w:bCs w:val="0"/>
          <w:color w:val="auto"/>
          <w:sz w:val="24"/>
          <w:szCs w:val="24"/>
          <w:highlight w:val="none"/>
          <w:lang w:val="en-US" w:eastAsia="zh-CN"/>
        </w:rPr>
        <w:t xml:space="preserve">要求</w:t>
      </w:r>
      <w:r>
        <w:rPr>
          <w:rFonts w:hint="eastAsia" w:ascii="宋体" w:hAnsi="宋体" w:eastAsia="宋体" w:cs="宋体"/>
          <w:b w:val="0"/>
          <w:bCs w:val="0"/>
          <w:color w:val="auto"/>
          <w:sz w:val="24"/>
          <w:szCs w:val="24"/>
          <w:highlight w:val="none"/>
          <w:lang w:val="en-US" w:eastAsia="zh-CN"/>
        </w:rPr>
        <w:t xml:space="preserve">成交供应商向采购人支付违约金。如果成交供应商在</w:t>
      </w:r>
      <w:r>
        <w:rPr>
          <w:rFonts w:hint="eastAsia" w:ascii="宋体" w:hAnsi="宋体" w:cs="宋体"/>
          <w:b w:val="0"/>
          <w:bCs w:val="0"/>
          <w:color w:val="auto"/>
          <w:sz w:val="24"/>
          <w:szCs w:val="24"/>
          <w:highlight w:val="none"/>
          <w:lang w:val="en-US" w:eastAsia="zh-CN"/>
        </w:rPr>
        <w:t xml:space="preserve">实施</w:t>
      </w:r>
      <w:r>
        <w:rPr>
          <w:rFonts w:hint="eastAsia" w:ascii="宋体" w:hAnsi="宋体" w:eastAsia="宋体" w:cs="宋体"/>
          <w:b w:val="0"/>
          <w:bCs w:val="0"/>
          <w:color w:val="auto"/>
          <w:sz w:val="24"/>
          <w:szCs w:val="24"/>
          <w:highlight w:val="none"/>
          <w:lang w:val="en-US" w:eastAsia="zh-CN"/>
        </w:rPr>
        <w:t xml:space="preserve">过程连续三次未按要求整改，采购人有权解除合同，并</w:t>
      </w:r>
      <w:r>
        <w:rPr>
          <w:rFonts w:hint="eastAsia" w:ascii="宋体" w:hAnsi="宋体" w:cs="宋体"/>
          <w:b w:val="0"/>
          <w:bCs w:val="0"/>
          <w:color w:val="auto"/>
          <w:sz w:val="24"/>
          <w:szCs w:val="24"/>
          <w:highlight w:val="none"/>
          <w:lang w:val="en-US" w:eastAsia="zh-CN"/>
        </w:rPr>
        <w:t xml:space="preserve">要求</w:t>
      </w:r>
      <w:r>
        <w:rPr>
          <w:rFonts w:hint="eastAsia" w:ascii="宋体" w:hAnsi="宋体" w:eastAsia="宋体" w:cs="宋体"/>
          <w:b w:val="0"/>
          <w:bCs w:val="0"/>
          <w:color w:val="auto"/>
          <w:sz w:val="24"/>
          <w:szCs w:val="24"/>
          <w:highlight w:val="none"/>
          <w:lang w:val="en-US" w:eastAsia="zh-CN"/>
        </w:rPr>
        <w:t xml:space="preserve">成交供应商应支付</w:t>
      </w:r>
      <w:r>
        <w:rPr>
          <w:rFonts w:hint="eastAsia" w:ascii="宋体" w:hAnsi="宋体" w:cs="宋体"/>
          <w:b w:val="0"/>
          <w:bCs w:val="0"/>
          <w:color w:val="auto"/>
          <w:sz w:val="24"/>
          <w:szCs w:val="24"/>
          <w:highlight w:val="none"/>
          <w:lang w:val="en-US" w:eastAsia="zh-CN"/>
        </w:rPr>
        <w:t xml:space="preserve">相应</w:t>
      </w:r>
      <w:r>
        <w:rPr>
          <w:rFonts w:hint="eastAsia" w:ascii="宋体" w:hAnsi="宋体" w:eastAsia="宋体" w:cs="宋体"/>
          <w:b w:val="0"/>
          <w:bCs w:val="0"/>
          <w:color w:val="auto"/>
          <w:sz w:val="24"/>
          <w:szCs w:val="24"/>
          <w:highlight w:val="none"/>
          <w:lang w:val="en-US" w:eastAsia="zh-CN"/>
        </w:rPr>
        <w:t xml:space="preserve">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、采购人下达的抢修任务</w:t>
      </w:r>
      <w:r>
        <w:rPr>
          <w:rFonts w:hint="eastAsia" w:ascii="宋体" w:hAnsi="宋体" w:cs="宋体"/>
          <w:b w:val="0"/>
          <w:bCs w:val="0"/>
          <w:color w:val="auto"/>
          <w:sz w:val="24"/>
          <w:szCs w:val="24"/>
          <w:highlight w:val="none"/>
          <w:lang w:val="en-US" w:eastAsia="zh-CN"/>
        </w:rPr>
        <w:t xml:space="preserve">、突击整治工作</w:t>
      </w:r>
      <w:r>
        <w:rPr>
          <w:rFonts w:hint="eastAsia" w:ascii="宋体" w:hAnsi="宋体" w:eastAsia="宋体" w:cs="宋体"/>
          <w:b w:val="0"/>
          <w:bCs w:val="0"/>
          <w:color w:val="auto"/>
          <w:sz w:val="24"/>
          <w:szCs w:val="24"/>
          <w:highlight w:val="none"/>
          <w:lang w:val="en-US" w:eastAsia="zh-CN"/>
        </w:rPr>
        <w:t xml:space="preserve">，成交供应商均需在规定时限内安排实施</w:t>
      </w:r>
      <w:r>
        <w:rPr>
          <w:rFonts w:hint="eastAsia" w:ascii="宋体" w:hAnsi="宋体" w:cs="宋体"/>
          <w:b w:val="0"/>
          <w:bCs w:val="0"/>
          <w:color w:val="auto"/>
          <w:sz w:val="24"/>
          <w:szCs w:val="24"/>
          <w:highlight w:val="none"/>
          <w:lang w:val="en-US" w:eastAsia="zh-CN"/>
        </w:rPr>
        <w:t xml:space="preserve">并在规定时限内完成</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、采购人有权根据上级要求适时调整维修期限，成交供应商必须无条件服从。</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成交供应商不按采购人关于工程质量、工程维修进度等要求施工维修的，在经过采购人一次书面警告后，仍不能按采购人要求进行维修施工时，采购人有权终止成交供应商的维修施工权，并有权安排其他施工维修单位接手成交供应商的施工维修工程，成交供应商按中止施工前的工程量进行结算</w:t>
      </w:r>
      <w:r>
        <w:rPr>
          <w:rFonts w:hint="eastAsia" w:ascii="宋体" w:hAnsi="宋体" w:cs="宋体"/>
          <w:b w:val="0"/>
          <w:bCs w:val="0"/>
          <w:color w:val="auto"/>
          <w:sz w:val="24"/>
          <w:szCs w:val="24"/>
          <w:highlight w:val="none"/>
          <w:lang w:val="en-US" w:eastAsia="zh-CN"/>
        </w:rPr>
        <w:t xml:space="preserve">，若因此造成采购人的损失，由原成交供应商承担。</w:t>
      </w:r>
      <w:r/>
    </w:p>
    <w:p>
      <w:pPr>
        <w:numPr>
          <w:ilvl w:val="0"/>
          <w:numId w:val="0"/>
        </w:numPr>
        <w:spacing w:line="360" w:lineRule="auto"/>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lang w:val="en-US" w:eastAsia="zh-CN"/>
        </w:rPr>
        <w:t xml:space="preserve">三</w:t>
      </w:r>
      <w:r>
        <w:rPr>
          <w:rFonts w:hint="eastAsia" w:ascii="Times New Roman" w:hAnsi="Times New Roman" w:eastAsia="宋体" w:cs="Times New Roman"/>
          <w:b/>
          <w:color w:val="auto"/>
          <w:sz w:val="24"/>
          <w:szCs w:val="24"/>
          <w:highlight w:val="none"/>
          <w:lang w:eastAsia="zh-CN"/>
        </w:rPr>
        <w:t xml:space="preserve">）安全、文明施工</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1、执行国家有关安全施工的规定，建立健全安全保证体系。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2、对施工操作人员进行安全教育，使施工人员对所使用的材料性能及安全措施有较全面的了解，并在操作中严格执行劳动保护制度。</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3、高空作业时，必须佩带安全帽，系好安全绳，禁止酒后作业。</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4、施工范围应做到工完、料尽、场地清。</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5、建立完善的施工现场安全组织结构，明确岗位、职责，在施工中出现的一切安全事故，由成交供应商自行解决，并承担由此产生的一切责任。</w:t>
      </w:r>
      <w:r/>
    </w:p>
    <w:p>
      <w:pPr>
        <w:numPr>
          <w:ilvl w:val="0"/>
          <w:numId w:val="0"/>
        </w:numPr>
        <w:spacing w:line="360" w:lineRule="auto"/>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lang w:val="en-US" w:eastAsia="zh-CN"/>
        </w:rPr>
        <w:t xml:space="preserve">四</w:t>
      </w:r>
      <w:r>
        <w:rPr>
          <w:rFonts w:hint="eastAsia" w:ascii="Times New Roman" w:hAnsi="Times New Roman" w:eastAsia="宋体" w:cs="Times New Roman"/>
          <w:b/>
          <w:color w:val="auto"/>
          <w:sz w:val="24"/>
          <w:szCs w:val="24"/>
          <w:highlight w:val="none"/>
          <w:lang w:eastAsia="zh-CN"/>
        </w:rPr>
        <w:t xml:space="preserve">）主要技术规范</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用于本工程的所有材料、设备必须符合有关规范、规定的质量要求。且所有材料及设备的品牌、规格型号、色号、产地、生产产家、参数、性能、价格等均须征求采购单位同意。即成交供应商对用于本工程的所有材料及设备的品牌、规格型号、色号、产地、生产产家、参数、性能、价格等负责。以上相关法规规范，若有更新，均以最新版为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2、对材料的质量、试验及施工工艺的要求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按国家、省、市现行文件和标准规定。</w:t>
      </w:r>
      <w:r/>
    </w:p>
    <w:p>
      <w:pPr>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3、市现行文件和标准规定。</w:t>
      </w:r>
      <w:r/>
    </w:p>
    <w:p>
      <w:pPr>
        <w:numPr>
          <w:ilvl w:val="0"/>
          <w:numId w:val="0"/>
        </w:numPr>
        <w:contextualSpacing/>
        <w:ind w:left="0" w:firstLine="482"/>
        <w:jc w:val="both"/>
        <w:keepLines w:val="0"/>
        <w:keepNext w:val="0"/>
        <w:pageBreakBefore w:val="0"/>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四、其他要求</w:t>
      </w:r>
      <w:r/>
    </w:p>
    <w:p>
      <w:pPr>
        <w:ind w:left="0" w:firstLine="480"/>
        <w:jc w:val="both"/>
        <w:keepLines w:val="0"/>
        <w:keepNext w:val="0"/>
        <w:pageBreakBefore w:val="0"/>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4.1、</w:t>
      </w:r>
      <w:r>
        <w:rPr>
          <w:rFonts w:hint="eastAsia" w:ascii="Times New Roman" w:hAnsi="Times New Roman" w:eastAsia="宋体" w:cs="Times New Roman"/>
          <w:b w:val="0"/>
          <w:bCs w:val="0"/>
          <w:color w:val="auto"/>
          <w:sz w:val="24"/>
          <w:szCs w:val="24"/>
          <w:highlight w:val="none"/>
          <w:lang w:val="en-US" w:eastAsia="zh-CN" w:bidi="ar-SA"/>
        </w:rPr>
        <w:t xml:space="preserve">供应商应为本项目提供详细的实施方案，后期实施过程严格按照方案内容执行，实际过程中若有相应调整，及时同采购人协商修订相关方案，内容含：</w:t>
      </w:r>
      <w:r>
        <w:rPr>
          <w:rFonts w:hint="eastAsia" w:ascii="宋体" w:hAnsi="宋体" w:eastAsia="宋体" w:cs="宋体"/>
          <w:color w:val="auto"/>
          <w:sz w:val="24"/>
          <w:szCs w:val="24"/>
          <w:highlight w:val="none"/>
        </w:rPr>
        <w:t xml:space="preserve">施工工艺</w:t>
      </w:r>
      <w:r>
        <w:rPr>
          <w:rFonts w:hint="eastAsia" w:ascii="宋体" w:hAnsi="宋体" w:eastAsia="宋体" w:cs="宋体"/>
          <w:color w:val="auto"/>
          <w:sz w:val="24"/>
          <w:szCs w:val="24"/>
          <w:highlight w:val="none"/>
          <w:lang w:val="en-US" w:eastAsia="zh-CN"/>
        </w:rPr>
        <w:t xml:space="preserve">及重难点分析方案（包括：</w:t>
      </w:r>
      <w:r>
        <w:rPr>
          <w:rFonts w:hint="eastAsia" w:ascii="宋体" w:hAnsi="宋体" w:eastAsia="宋体" w:cs="宋体"/>
          <w:color w:val="auto"/>
          <w:sz w:val="24"/>
          <w:szCs w:val="24"/>
          <w:highlight w:val="none"/>
        </w:rPr>
        <w:t xml:space="preserve">①供应商应确定主要分部（分项）工程和主要分部（分项）工程的施工工艺或施工方法；②本项目施工</w:t>
      </w:r>
      <w:r>
        <w:rPr>
          <w:rFonts w:hint="eastAsia" w:ascii="宋体" w:hAnsi="宋体" w:eastAsia="宋体" w:cs="宋体"/>
          <w:color w:val="auto"/>
          <w:sz w:val="24"/>
          <w:szCs w:val="24"/>
          <w:highlight w:val="none"/>
          <w:lang w:val="en-US" w:eastAsia="zh-CN"/>
        </w:rPr>
        <w:t xml:space="preserve">重</w:t>
      </w:r>
      <w:r>
        <w:rPr>
          <w:rFonts w:hint="eastAsia" w:ascii="宋体" w:hAnsi="宋体" w:eastAsia="宋体" w:cs="宋体"/>
          <w:color w:val="auto"/>
          <w:sz w:val="24"/>
          <w:szCs w:val="24"/>
          <w:highlight w:val="none"/>
        </w:rPr>
        <w:t xml:space="preserve">难点</w:t>
      </w:r>
      <w:r>
        <w:rPr>
          <w:rFonts w:hint="eastAsia" w:ascii="宋体" w:hAnsi="宋体" w:eastAsia="宋体" w:cs="宋体"/>
          <w:color w:val="auto"/>
          <w:sz w:val="24"/>
          <w:szCs w:val="24"/>
          <w:highlight w:val="none"/>
          <w:lang w:val="en-US" w:eastAsia="zh-CN"/>
        </w:rPr>
        <w:t xml:space="preserve">及相应的</w:t>
      </w:r>
      <w:r>
        <w:rPr>
          <w:rFonts w:hint="eastAsia" w:ascii="宋体" w:hAnsi="宋体" w:eastAsia="宋体" w:cs="宋体"/>
          <w:color w:val="auto"/>
          <w:sz w:val="24"/>
          <w:szCs w:val="24"/>
          <w:highlight w:val="none"/>
        </w:rPr>
        <w:t xml:space="preserve">解决措施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资源配置计划（包括：</w:t>
      </w:r>
      <w:r>
        <w:rPr>
          <w:rFonts w:hint="eastAsia" w:ascii="宋体" w:hAnsi="宋体" w:eastAsia="宋体" w:cs="宋体"/>
          <w:color w:val="auto"/>
          <w:sz w:val="24"/>
          <w:szCs w:val="24"/>
          <w:highlight w:val="none"/>
        </w:rPr>
        <w:t xml:space="preserve">①主要分部（分项）施工技术交底计划，主要材料检验、进场复检计划；②现场生产临时设施布置计划；③资金使用及保障计划；④施工的用工工种及用工数量计划，施工人员岗前培训计划；⑤施工所需主要材料的进场时间计划以及所需的施工机具设备的种类、数量、使用部位及进出场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质量保证措施（包括：</w:t>
      </w:r>
      <w:r>
        <w:rPr>
          <w:rFonts w:hint="eastAsia" w:ascii="宋体" w:hAnsi="宋体" w:eastAsia="宋体" w:cs="宋体"/>
          <w:color w:val="auto"/>
          <w:sz w:val="24"/>
          <w:szCs w:val="24"/>
          <w:highlight w:val="none"/>
        </w:rPr>
        <w:t xml:space="preserve">①项目质量目标；②项目质量管理的组织机构以及分工、职责和管理制度；③技术保障和资源保障措施；④质量全过程检查制度及质量事故的处理规定。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安全保证措施（包括：</w:t>
      </w:r>
      <w:r>
        <w:rPr>
          <w:rFonts w:hint="eastAsia" w:ascii="宋体" w:hAnsi="宋体" w:eastAsia="宋体" w:cs="宋体"/>
          <w:color w:val="auto"/>
          <w:sz w:val="24"/>
          <w:szCs w:val="24"/>
          <w:highlight w:val="none"/>
        </w:rPr>
        <w:t xml:space="preserve">①项目重要危险源分析以及项目安全管理目标；②安全生产管理制度和职工安全教育培训制度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安全管理组织机构以及分工、职责；③施工安全、消防安全、安保安全的保证措施；④现场安全检查制度及安全事故的处理规定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rPr>
        <w:t xml:space="preserve">应急预案</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包括：</w:t>
      </w:r>
      <w:r>
        <w:rPr>
          <w:rFonts w:hint="eastAsia" w:ascii="宋体" w:hAnsi="宋体" w:eastAsia="宋体" w:cs="宋体"/>
          <w:strike w:val="0"/>
          <w:color w:val="auto"/>
          <w:sz w:val="24"/>
          <w:szCs w:val="24"/>
          <w:highlight w:val="none"/>
        </w:rPr>
        <w:t xml:space="preserve">①天气、交通状况、季节、安全、赶工的应急处理方案；②突发事件的应急响应预案、处理措施。</w:t>
      </w:r>
      <w:r>
        <w:rPr>
          <w:rFonts w:hint="eastAsia" w:ascii="宋体" w:hAnsi="宋体" w:eastAsia="宋体" w:cs="宋体"/>
          <w:strike w:val="0"/>
          <w:color w:val="auto"/>
          <w:sz w:val="24"/>
          <w:szCs w:val="24"/>
          <w:highlight w:val="none"/>
          <w:lang w:eastAsia="zh-CN"/>
        </w:rPr>
        <w:t xml:space="preserve">）</w:t>
      </w:r>
      <w:r/>
    </w:p>
    <w:p>
      <w:pPr>
        <w:contextualSpacing/>
        <w:ind w:left="0" w:firstLine="480"/>
        <w:jc w:val="both"/>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供应商应提供企业实力相关材料（以往承接类似项目业绩材料等）；</w:t>
      </w:r>
      <w:r/>
    </w:p>
    <w:p>
      <w:pPr>
        <w:contextualSpacing/>
        <w:ind w:left="0" w:firstLine="480"/>
        <w:jc w:val="both"/>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供应商应提供为保障本项目实施所需人员的证明材料。</w:t>
      </w:r>
      <w:r/>
    </w:p>
    <w:p>
      <w:pPr>
        <w:contextualSpacing/>
        <w:ind w:left="0" w:firstLine="482"/>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bidi="ar-SA"/>
        </w:rPr>
        <w:t xml:space="preserve">注：上述内容无需在《偏离表》中标明是否偏离。</w:t>
      </w:r>
      <w:r/>
    </w:p>
    <w:p>
      <w:pPr>
        <w:ind w:left="0" w:firstLine="480"/>
        <w:jc w:val="both"/>
        <w:keepLines w:val="0"/>
        <w:keepNext w:val="0"/>
        <w:pageBreakBefore w:val="0"/>
        <w:spacing w:line="360" w:lineRule="auto"/>
        <w:widowControl/>
        <w:rPr>
          <w:color w:val="auto"/>
          <w:highlight w:val="none"/>
        </w:rPr>
      </w:pPr>
      <w:r>
        <w:rPr>
          <w:rFonts w:hint="eastAsia" w:ascii="Times New Roman" w:hAnsi="Times New Roman" w:eastAsia="宋体" w:cs="Times New Roman"/>
          <w:color w:val="auto"/>
          <w:sz w:val="24"/>
          <w:szCs w:val="24"/>
          <w:highlight w:val="none"/>
          <w:lang w:val="en-US" w:eastAsia="zh-CN" w:bidi="ar-SA"/>
        </w:rPr>
        <w:t xml:space="preserve">4.2、按照《政府采购促进中小企业发展管理办法》（财库</w:t>
      </w:r>
      <w:r>
        <w:rPr>
          <w:rFonts w:hint="default" w:ascii="Times New Roman" w:hAnsi="Times New Roman" w:eastAsia="宋体" w:cs="Times New Roman"/>
          <w:color w:val="auto"/>
          <w:sz w:val="24"/>
          <w:szCs w:val="24"/>
          <w:highlight w:val="none"/>
          <w:lang w:val="en-US" w:eastAsia="zh-CN" w:bidi="ar-SA"/>
        </w:rPr>
        <w:t xml:space="preserve">〔20</w:t>
      </w:r>
      <w:r>
        <w:rPr>
          <w:rFonts w:hint="eastAsia" w:ascii="Times New Roman" w:hAnsi="Times New Roman" w:eastAsia="宋体" w:cs="Times New Roman"/>
          <w:color w:val="auto"/>
          <w:sz w:val="24"/>
          <w:szCs w:val="24"/>
          <w:highlight w:val="none"/>
          <w:lang w:val="en-US" w:eastAsia="zh-CN" w:bidi="ar-SA"/>
        </w:rPr>
        <w:t xml:space="preserve">20</w:t>
      </w: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46</w:t>
      </w:r>
      <w:r>
        <w:rPr>
          <w:rFonts w:hint="default" w:ascii="Times New Roman" w:hAnsi="Times New Roman" w:eastAsia="宋体" w:cs="Times New Roman"/>
          <w:color w:val="auto"/>
          <w:sz w:val="24"/>
          <w:szCs w:val="24"/>
          <w:highlight w:val="none"/>
          <w:lang w:val="en-US" w:eastAsia="zh-CN" w:bidi="ar-SA"/>
        </w:rPr>
        <w:t xml:space="preserve">号</w:t>
      </w:r>
      <w:r>
        <w:rPr>
          <w:rFonts w:hint="eastAsia" w:ascii="Times New Roman" w:hAnsi="Times New Roman" w:eastAsia="宋体" w:cs="Times New Roman"/>
          <w:color w:val="auto"/>
          <w:sz w:val="24"/>
          <w:szCs w:val="24"/>
          <w:highlight w:val="none"/>
          <w:lang w:val="en-US" w:eastAsia="zh-CN" w:bidi="ar-SA"/>
        </w:rPr>
        <w:t xml:space="preserve">）的相关要</w:t>
      </w:r>
      <w:r>
        <w:rPr>
          <w:rFonts w:hint="eastAsia" w:ascii="Times New Roman" w:hAnsi="Times New Roman" w:eastAsia="宋体" w:cs="Times New Roman"/>
          <w:b w:val="0"/>
          <w:bCs w:val="0"/>
          <w:color w:val="auto"/>
          <w:sz w:val="24"/>
          <w:szCs w:val="24"/>
          <w:highlight w:val="none"/>
          <w:lang w:val="en-US" w:eastAsia="zh-CN" w:bidi="ar-SA"/>
        </w:rPr>
        <w:t xml:space="preserve">求，采购人应当面向中小企业预留采购份额，本项目面向中小企业预留份额</w:t>
      </w:r>
      <w:r>
        <w:rPr>
          <w:rFonts w:hint="eastAsia" w:ascii="宋体" w:hAnsi="宋体" w:eastAsia="宋体" w:cs="Times New Roman"/>
          <w:b w:val="0"/>
          <w:bCs w:val="0"/>
          <w:color w:val="auto"/>
          <w:sz w:val="24"/>
          <w:szCs w:val="24"/>
          <w:highlight w:val="none"/>
          <w:u w:val="single"/>
          <w:lang w:val="en-US" w:eastAsia="zh-CN" w:bidi="ar-SA"/>
        </w:rPr>
        <w:t xml:space="preserve">100</w:t>
      </w:r>
      <w:r>
        <w:rPr>
          <w:rFonts w:hint="eastAsia" w:ascii="Times New Roman" w:hAnsi="Times New Roman" w:eastAsia="宋体" w:cs="Times New Roman"/>
          <w:b w:val="0"/>
          <w:bCs w:val="0"/>
          <w:color w:val="auto"/>
          <w:sz w:val="24"/>
          <w:szCs w:val="24"/>
          <w:highlight w:val="none"/>
          <w:lang w:val="en-US" w:eastAsia="zh-CN" w:bidi="ar-SA"/>
        </w:rPr>
        <w:t xml:space="preserve"> %。</w:t>
      </w:r>
      <w:r>
        <w:rPr>
          <w:b/>
          <w:color w:val="auto"/>
          <w:sz w:val="36"/>
          <w:szCs w:val="36"/>
          <w:highlight w:val="none"/>
        </w:rPr>
        <w:t xml:space="preserve"> </w:t>
      </w:r>
      <w:r/>
    </w:p>
    <w:p>
      <w:pPr>
        <w:ind w:firstLine="723"/>
        <w:jc w:val="center"/>
        <w:spacing w:line="360" w:lineRule="auto"/>
        <w:widowControl/>
        <w:rPr>
          <w:b/>
          <w:color w:val="auto"/>
          <w:sz w:val="36"/>
          <w:szCs w:val="36"/>
          <w:highlight w:val="none"/>
        </w:rPr>
        <w:sectPr>
          <w:headerReference w:type="default" r:id="rId11"/>
          <w:footerReference w:type="default" r:id="rId19"/>
          <w:footnotePr/>
          <w:endnotePr/>
          <w:type w:val="nextPage"/>
          <w:pgSz w:w="11910" w:h="16840" w:orient="portrait"/>
          <w:pgMar w:top="1580" w:right="1300" w:bottom="1040" w:left="1395" w:header="0" w:footer="853" w:gutter="0"/>
          <w:cols w:num="1" w:sep="0" w:space="720" w:equalWidth="1"/>
          <w:docGrid w:linePitch="360"/>
        </w:sectPr>
      </w:pPr>
      <w:r>
        <w:rPr>
          <w:b/>
          <w:color w:val="auto"/>
          <w:sz w:val="36"/>
          <w:szCs w:val="36"/>
          <w:highlight w:val="none"/>
        </w:rPr>
      </w:r>
      <w:r/>
    </w:p>
    <w:p>
      <w:pPr>
        <w:numPr>
          <w:ilvl w:val="0"/>
          <w:numId w:val="11"/>
        </w:numPr>
        <w:jc w:val="center"/>
        <w:spacing w:line="360" w:lineRule="auto"/>
        <w:rPr>
          <w:b/>
          <w:color w:val="auto"/>
          <w:sz w:val="36"/>
          <w:szCs w:val="36"/>
          <w:highlight w:val="none"/>
        </w:rPr>
        <w:outlineLvl w:val="0"/>
      </w:pPr>
      <w:r/>
      <w:bookmarkStart w:id="672" w:name="_Toc24213"/>
      <w:r>
        <w:rPr>
          <w:b/>
          <w:color w:val="auto"/>
          <w:sz w:val="36"/>
          <w:szCs w:val="36"/>
          <w:highlight w:val="none"/>
        </w:rPr>
        <w:t xml:space="preserve">合同</w:t>
      </w:r>
      <w:r>
        <w:rPr>
          <w:rFonts w:hint="eastAsia"/>
          <w:b/>
          <w:color w:val="auto"/>
          <w:sz w:val="36"/>
          <w:szCs w:val="36"/>
          <w:highlight w:val="none"/>
        </w:rPr>
        <w:t xml:space="preserve">主要</w:t>
      </w:r>
      <w:r>
        <w:rPr>
          <w:b/>
          <w:color w:val="auto"/>
          <w:sz w:val="36"/>
          <w:szCs w:val="36"/>
          <w:highlight w:val="none"/>
        </w:rPr>
        <w:t xml:space="preserve">条款</w:t>
      </w:r>
      <w:bookmarkEnd w:id="672"/>
      <w:r/>
      <w:r/>
    </w:p>
    <w:p>
      <w:pPr>
        <w:jc w:val="center"/>
        <w:spacing w:line="360" w:lineRule="auto"/>
        <w:rPr>
          <w:rFonts w:ascii="Times New Roman" w:hAnsi="Times New Roman" w:eastAsia="宋体" w:cs="Times New Roman"/>
          <w:b/>
          <w:color w:val="auto"/>
          <w:sz w:val="36"/>
          <w:szCs w:val="36"/>
          <w:highlight w:val="none"/>
        </w:rPr>
        <w:outlineLvl w:val="0"/>
      </w:pPr>
      <w:r/>
      <w:bookmarkStart w:id="673" w:name="_Toc26150"/>
      <w:r>
        <w:rPr>
          <w:rFonts w:ascii="Times New Roman" w:hAnsi="Times New Roman" w:eastAsia="宋体" w:cs="Times New Roman"/>
          <w:b/>
          <w:color w:val="auto"/>
          <w:sz w:val="36"/>
          <w:szCs w:val="36"/>
          <w:highlight w:val="none"/>
        </w:rPr>
        <w:t xml:space="preserve">拟签订的合同文本</w:t>
      </w:r>
      <w:bookmarkEnd w:id="673"/>
      <w:r/>
      <w:r/>
    </w:p>
    <w:p>
      <w:pPr>
        <w:spacing w:line="360" w:lineRule="auto"/>
        <w:tabs>
          <w:tab w:val="left" w:pos="900" w:leader="none"/>
          <w:tab w:val="left" w:pos="1080" w:leader="none"/>
        </w:tabs>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合同编号：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签约地点：溧阳                 签约时间：</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采购人（甲方）：            </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 xml:space="preserve">成交供应商（乙方）：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住所地：</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 xml:space="preserve">                     住所地：</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根据《中华人民共和国政府采购法》、《中华人民共和国民法典》等法律法规的规定，遵循平等、自愿、公平和诚实信用的原则，双方就下述项目及有关事项经协商一致意见，订立本合同。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第一条  项目概况</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1.1项目名称：    。</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1.2项目编号：</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1.3项目地点：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第二条  承包范围及要求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2.1工程范围：    。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2.2工期：</w:t>
      </w:r>
      <w:r>
        <w:rPr>
          <w:rFonts w:hint="eastAsia" w:ascii="宋体" w:hAnsi="宋体" w:eastAsia="宋体" w:cs="Times New Roman"/>
          <w:b/>
          <w:bCs/>
          <w:color w:val="auto"/>
          <w:sz w:val="24"/>
          <w:highlight w:val="none"/>
          <w:lang w:val="en-US" w:eastAsia="zh-CN"/>
        </w:rPr>
        <w:t xml:space="preserve">1年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实施过程中，</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接到</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维修通知后半小时内应当响应，</w:t>
      </w:r>
      <w:r>
        <w:rPr>
          <w:rFonts w:hint="eastAsia" w:ascii="宋体" w:hAnsi="宋体" w:cs="宋体"/>
          <w:b w:val="0"/>
          <w:bCs w:val="0"/>
          <w:color w:val="auto"/>
          <w:sz w:val="24"/>
          <w:szCs w:val="24"/>
          <w:highlight w:val="none"/>
          <w:lang w:val="en-US" w:eastAsia="zh-CN"/>
        </w:rPr>
        <w:t xml:space="preserve">4小时内到达指定地点进行维修</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2.3质量标准：合格。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第三条  合同文件构成</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本合同与下列文件一起构成合同文件：</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（1）成交通知书；</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（2）竞争性磋商文件；</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（3）技术标准与要求；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（4）图纸；</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（5）投标文件；</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（6）其他合同文件。</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在合同订立及履行过程中形成的与合同有关的文件均构成合同文件组成部分。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第四条  签约合同价、合同价格形式、工程结算办法与付款方式</w:t>
      </w:r>
      <w:r/>
    </w:p>
    <w:p>
      <w:pPr>
        <w:ind w:firstLine="482"/>
        <w:spacing w:line="30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4.1</w:t>
      </w:r>
      <w:r>
        <w:rPr>
          <w:rFonts w:hint="eastAsia" w:ascii="宋体" w:hAnsi="宋体" w:eastAsia="宋体" w:cs="宋体"/>
          <w:b/>
          <w:bCs/>
          <w:color w:val="auto"/>
          <w:sz w:val="24"/>
          <w:highlight w:val="none"/>
          <w:lang w:val="en-US" w:eastAsia="zh-CN"/>
        </w:rPr>
        <w:t xml:space="preserve">暂估</w:t>
      </w:r>
      <w:r>
        <w:rPr>
          <w:rFonts w:hint="eastAsia" w:ascii="宋体" w:hAnsi="宋体" w:eastAsia="宋体" w:cs="宋体"/>
          <w:b/>
          <w:bCs/>
          <w:color w:val="auto"/>
          <w:sz w:val="24"/>
          <w:highlight w:val="none"/>
        </w:rPr>
        <w:t xml:space="preserve">合同价：</w:t>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4.2签约审定价下浮率：</w:t>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4.3暂估结算价：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结算办法：</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本项目的最终结算价=</w:t>
      </w:r>
      <w:r>
        <w:rPr>
          <w:rFonts w:hint="eastAsia" w:ascii="宋体" w:hAnsi="宋体" w:eastAsia="宋体" w:cs="宋体"/>
          <w:b/>
          <w:bCs/>
          <w:color w:val="auto"/>
          <w:sz w:val="24"/>
          <w:highlight w:val="none"/>
          <w:lang w:eastAsia="zh-CN"/>
        </w:rPr>
        <w:t xml:space="preserve">项目</w:t>
      </w:r>
      <w:r>
        <w:rPr>
          <w:rFonts w:hint="eastAsia" w:ascii="宋体" w:hAnsi="宋体" w:eastAsia="宋体" w:cs="宋体"/>
          <w:b/>
          <w:bCs/>
          <w:color w:val="auto"/>
          <w:sz w:val="24"/>
          <w:highlight w:val="none"/>
        </w:rPr>
        <w:t xml:space="preserve">审定价×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1-成交下浮率</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项目</w:t>
      </w:r>
      <w:r>
        <w:rPr>
          <w:rFonts w:hint="eastAsia" w:ascii="宋体" w:hAnsi="宋体" w:eastAsia="宋体" w:cs="宋体"/>
          <w:b/>
          <w:bCs/>
          <w:color w:val="auto"/>
          <w:sz w:val="24"/>
          <w:highlight w:val="none"/>
        </w:rPr>
        <w:t xml:space="preserve">审定价</w:t>
      </w:r>
      <w:r>
        <w:rPr>
          <w:rFonts w:hint="eastAsia" w:ascii="宋体" w:hAnsi="宋体" w:eastAsia="宋体" w:cs="宋体"/>
          <w:b/>
          <w:bCs/>
          <w:color w:val="auto"/>
          <w:sz w:val="24"/>
          <w:highlight w:val="none"/>
          <w:lang w:val="en-US" w:eastAsia="zh-CN"/>
        </w:rPr>
        <w:t xml:space="preserve">按如下约定执行</w:t>
      </w:r>
      <w:r>
        <w:rPr>
          <w:rFonts w:hint="eastAsia" w:ascii="宋体" w:hAnsi="宋体" w:eastAsia="宋体" w:cs="宋体"/>
          <w:b/>
          <w:bCs/>
          <w:color w:val="auto"/>
          <w:sz w:val="24"/>
          <w:highlight w:val="none"/>
        </w:rPr>
        <w:t xml:space="preserve">：</w:t>
      </w:r>
      <w:r/>
    </w:p>
    <w:p>
      <w:pPr>
        <w:numPr>
          <w:ilvl w:val="0"/>
          <w:numId w:val="12"/>
        </w:numPr>
        <w:contextualSpacing/>
        <w:ind w:left="-62" w:firstLine="482"/>
        <w:spacing w:line="30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工程量计量：</w:t>
      </w:r>
      <w:r>
        <w:rPr>
          <w:rFonts w:hint="eastAsia" w:ascii="宋体" w:hAnsi="宋体" w:eastAsia="宋体" w:cs="Times New Roman"/>
          <w:b/>
          <w:bCs/>
          <w:color w:val="auto"/>
          <w:sz w:val="24"/>
          <w:highlight w:val="none"/>
        </w:rPr>
        <w:t xml:space="preserve">工程量以甲方、监理、跟踪审计、乙方等签字确认、或按甲方认可的施工图纸计量，以最终审计确认的工程量进行结算</w:t>
      </w:r>
      <w:r>
        <w:rPr>
          <w:rFonts w:hint="eastAsia" w:ascii="宋体" w:hAnsi="宋体" w:eastAsia="宋体" w:cs="Times New Roman"/>
          <w:b/>
          <w:bCs/>
          <w:color w:val="auto"/>
          <w:sz w:val="24"/>
          <w:highlight w:val="none"/>
          <w:lang w:eastAsia="zh-CN"/>
        </w:rPr>
        <w:t xml:space="preserve">；</w:t>
      </w:r>
      <w:r/>
    </w:p>
    <w:p>
      <w:pPr>
        <w:numPr>
          <w:ilvl w:val="0"/>
          <w:numId w:val="12"/>
        </w:numPr>
        <w:contextualSpacing/>
        <w:ind w:left="-62" w:firstLine="482"/>
        <w:spacing w:line="30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计价依据：</w:t>
      </w:r>
      <w:r/>
    </w:p>
    <w:p>
      <w:pPr>
        <w:numPr>
          <w:ilvl w:val="0"/>
          <w:numId w:val="0"/>
        </w:numPr>
        <w:contextualSpacing/>
        <w:ind w:firstLine="482"/>
        <w:spacing w:line="30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2.1：计价标准：依据《</w:t>
      </w:r>
      <w:r>
        <w:rPr>
          <w:rFonts w:hint="default" w:ascii="宋体" w:hAnsi="宋体" w:eastAsia="宋体" w:cs="Times New Roman"/>
          <w:b/>
          <w:bCs/>
          <w:color w:val="auto"/>
          <w:sz w:val="24"/>
          <w:highlight w:val="none"/>
        </w:rPr>
        <w:t xml:space="preserve">建设工程工程量清单计价标准》（GB/T50500-2024）</w:t>
      </w:r>
      <w:r>
        <w:rPr>
          <w:rFonts w:hint="default" w:ascii="宋体" w:hAnsi="宋体" w:eastAsia="宋体" w:cs="Times New Roman"/>
          <w:b/>
          <w:bCs/>
          <w:color w:val="auto"/>
          <w:sz w:val="24"/>
          <w:highlight w:val="none"/>
          <w:lang w:eastAsia="zh-CN"/>
        </w:rPr>
        <w:t xml:space="preserve">、</w:t>
      </w:r>
      <w:r>
        <w:rPr>
          <w:rFonts w:hint="default" w:ascii="宋体" w:hAnsi="宋体" w:eastAsia="宋体" w:cs="Times New Roman"/>
          <w:b/>
          <w:bCs/>
          <w:color w:val="auto"/>
          <w:sz w:val="24"/>
          <w:highlight w:val="none"/>
        </w:rPr>
        <w:t xml:space="preserve">《市政工程工程量计算标准》（GB/T50857-2024）、《园林绿化工程工程量计算标准》（GB/T50858-2024）</w:t>
      </w:r>
      <w:r>
        <w:rPr>
          <w:rFonts w:hint="default"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2007</w:t>
      </w:r>
      <w:r>
        <w:rPr>
          <w:rFonts w:hint="default" w:ascii="宋体" w:hAnsi="宋体" w:eastAsia="宋体" w:cs="Times New Roman"/>
          <w:b/>
          <w:bCs/>
          <w:color w:val="auto"/>
          <w:sz w:val="24"/>
          <w:highlight w:val="none"/>
          <w:lang w:val="en-US" w:eastAsia="zh-CN"/>
        </w:rPr>
        <w:t xml:space="preserve">《江苏省园林工程计价定额》</w:t>
      </w:r>
      <w:r>
        <w:rPr>
          <w:rFonts w:hint="eastAsia" w:ascii="宋体" w:hAnsi="宋体" w:eastAsia="宋体" w:cs="Times New Roman"/>
          <w:b/>
          <w:bCs/>
          <w:color w:val="auto"/>
          <w:sz w:val="24"/>
          <w:highlight w:val="none"/>
          <w:lang w:val="en-US" w:eastAsia="zh-CN"/>
        </w:rPr>
        <w:t xml:space="preserve">、2026</w:t>
      </w:r>
      <w:r>
        <w:rPr>
          <w:rFonts w:hint="default" w:ascii="宋体" w:hAnsi="宋体" w:eastAsia="宋体" w:cs="Times New Roman"/>
          <w:b/>
          <w:bCs/>
          <w:color w:val="auto"/>
          <w:sz w:val="24"/>
          <w:highlight w:val="none"/>
          <w:lang w:eastAsia="zh-CN"/>
        </w:rPr>
        <w:t xml:space="preserve">《江苏省市政工程消耗</w:t>
      </w:r>
      <w:r>
        <w:rPr>
          <w:rFonts w:hint="default" w:ascii="宋体" w:hAnsi="宋体" w:eastAsia="宋体" w:cs="Times New Roman"/>
          <w:b/>
          <w:bCs/>
          <w:color w:val="auto"/>
          <w:sz w:val="24"/>
          <w:highlight w:val="none"/>
          <w:lang w:val="en-US" w:eastAsia="zh-CN"/>
        </w:rPr>
        <w:t xml:space="preserve">量》、</w:t>
      </w:r>
      <w:r>
        <w:rPr>
          <w:rFonts w:hint="eastAsia" w:ascii="宋体" w:hAnsi="宋体" w:eastAsia="宋体" w:cs="Times New Roman"/>
          <w:b/>
          <w:bCs/>
          <w:color w:val="auto"/>
          <w:sz w:val="24"/>
          <w:highlight w:val="none"/>
          <w:lang w:val="en-US" w:eastAsia="zh-CN"/>
        </w:rPr>
        <w:t xml:space="preserve">2026</w:t>
      </w:r>
      <w:r>
        <w:rPr>
          <w:rFonts w:hint="default" w:ascii="宋体" w:hAnsi="宋体" w:eastAsia="宋体" w:cs="Times New Roman"/>
          <w:b/>
          <w:bCs/>
          <w:color w:val="auto"/>
          <w:sz w:val="24"/>
          <w:highlight w:val="none"/>
          <w:lang w:eastAsia="zh-CN"/>
        </w:rPr>
        <w:t xml:space="preserve">《江苏省建设工程费用参考》及</w:t>
      </w:r>
      <w:r>
        <w:rPr>
          <w:rFonts w:hint="eastAsia" w:ascii="宋体" w:hAnsi="宋体" w:eastAsia="宋体" w:cs="Times New Roman"/>
          <w:b/>
          <w:bCs/>
          <w:color w:val="auto"/>
          <w:sz w:val="24"/>
          <w:highlight w:val="none"/>
          <w:lang w:val="en-US" w:eastAsia="zh-CN"/>
        </w:rPr>
        <w:t xml:space="preserve">2026</w:t>
      </w:r>
      <w:r>
        <w:rPr>
          <w:rFonts w:hint="default" w:ascii="宋体" w:hAnsi="宋体" w:eastAsia="宋体" w:cs="Times New Roman"/>
          <w:b/>
          <w:bCs/>
          <w:color w:val="auto"/>
          <w:sz w:val="24"/>
          <w:highlight w:val="none"/>
          <w:lang w:eastAsia="zh-CN"/>
        </w:rPr>
        <w:t xml:space="preserve">《江苏建设工程施工机具台班费用参考表》</w:t>
      </w:r>
      <w:r>
        <w:rPr>
          <w:rFonts w:hint="default" w:ascii="宋体" w:hAnsi="宋体" w:eastAsia="宋体" w:cs="Times New Roman"/>
          <w:b/>
          <w:bCs/>
          <w:color w:val="auto"/>
          <w:sz w:val="24"/>
          <w:highlight w:val="none"/>
        </w:rPr>
        <w:t xml:space="preserve">等计价规范</w:t>
      </w:r>
      <w:r>
        <w:rPr>
          <w:rFonts w:hint="default" w:ascii="宋体" w:hAnsi="宋体" w:eastAsia="宋体" w:cs="Times New Roman"/>
          <w:b/>
          <w:bCs/>
          <w:color w:val="auto"/>
          <w:sz w:val="24"/>
          <w:highlight w:val="none"/>
          <w:lang w:val="en-US" w:eastAsia="zh-CN"/>
        </w:rPr>
        <w:t xml:space="preserve">编制</w:t>
      </w:r>
      <w:r>
        <w:rPr>
          <w:rFonts w:hint="eastAsia" w:ascii="宋体" w:hAnsi="宋体" w:eastAsia="宋体" w:cs="Times New Roman"/>
          <w:b/>
          <w:bCs/>
          <w:color w:val="auto"/>
          <w:sz w:val="24"/>
          <w:highlight w:val="none"/>
          <w:lang w:val="en-US" w:eastAsia="zh-CN"/>
        </w:rPr>
        <w:t xml:space="preserve">。</w:t>
      </w:r>
      <w:r/>
    </w:p>
    <w:p>
      <w:pPr>
        <w:numPr>
          <w:ilvl w:val="0"/>
          <w:numId w:val="0"/>
        </w:numPr>
        <w:contextualSpacing/>
        <w:ind w:firstLine="482"/>
        <w:spacing w:line="30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2.2、管理费和利润取定：按</w:t>
      </w:r>
      <w:r>
        <w:rPr>
          <w:rFonts w:hint="eastAsia" w:ascii="宋体" w:hAnsi="宋体" w:eastAsia="宋体" w:cs="Times New Roman"/>
          <w:b/>
          <w:bCs/>
          <w:color w:val="auto"/>
          <w:sz w:val="24"/>
          <w:highlight w:val="none"/>
          <w:lang w:eastAsia="zh-CN"/>
        </w:rPr>
        <w:t xml:space="preserve">《江苏省建设工程费用参考》</w:t>
      </w:r>
      <w:r>
        <w:rPr>
          <w:rFonts w:hint="eastAsia" w:ascii="宋体" w:hAnsi="宋体" w:eastAsia="宋体" w:cs="Times New Roman"/>
          <w:b/>
          <w:bCs/>
          <w:color w:val="auto"/>
          <w:sz w:val="24"/>
          <w:highlight w:val="none"/>
          <w:lang w:val="en-US" w:eastAsia="zh-CN"/>
        </w:rPr>
        <w:t xml:space="preserve">相应专业工程的管理费和利润参考费率表最低值计取。</w:t>
      </w:r>
      <w:r/>
    </w:p>
    <w:p>
      <w:pPr>
        <w:numPr>
          <w:ilvl w:val="0"/>
          <w:numId w:val="0"/>
        </w:numPr>
        <w:contextualSpacing/>
        <w:ind w:firstLine="482"/>
        <w:spacing w:line="30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2.3、材料价格取定：</w:t>
      </w:r>
      <w:r>
        <w:rPr>
          <w:rFonts w:hint="default" w:ascii="宋体" w:hAnsi="宋体" w:eastAsia="宋体" w:cs="Times New Roman"/>
          <w:b/>
          <w:bCs/>
          <w:color w:val="auto"/>
          <w:sz w:val="24"/>
          <w:highlight w:val="none"/>
          <w:lang w:val="en-US" w:eastAsia="zh-CN"/>
        </w:rPr>
        <w:t xml:space="preserve">材料价格参照</w:t>
      </w:r>
      <w:r>
        <w:rPr>
          <w:rFonts w:hint="eastAsia" w:ascii="宋体" w:hAnsi="宋体" w:eastAsia="宋体" w:cs="Times New Roman"/>
          <w:b/>
          <w:bCs/>
          <w:color w:val="auto"/>
          <w:sz w:val="24"/>
          <w:highlight w:val="none"/>
        </w:rPr>
        <w:t xml:space="preserve">施工期间</w:t>
      </w:r>
      <w:r>
        <w:rPr>
          <w:rFonts w:hint="eastAsia" w:ascii="宋体" w:hAnsi="宋体" w:eastAsia="宋体" w:cs="Times New Roman"/>
          <w:b/>
          <w:bCs/>
          <w:color w:val="auto"/>
          <w:sz w:val="24"/>
          <w:highlight w:val="none"/>
          <w:lang w:val="en-US" w:eastAsia="zh-CN"/>
        </w:rPr>
        <w:t xml:space="preserve">的《常州工程造价信息》材料除税信息价</w:t>
      </w:r>
      <w:r>
        <w:rPr>
          <w:rFonts w:hint="default" w:ascii="宋体" w:hAnsi="宋体" w:eastAsia="宋体" w:cs="Times New Roman"/>
          <w:b/>
          <w:bCs/>
          <w:color w:val="auto"/>
          <w:sz w:val="24"/>
          <w:highlight w:val="none"/>
          <w:lang w:val="en-US" w:eastAsia="zh-CN"/>
        </w:rPr>
        <w:t xml:space="preserve">，信息价中没有的材料价格的确定由承包人提出，经发包人、跟踪审计单位市场询价调研后</w:t>
      </w:r>
      <w:r>
        <w:rPr>
          <w:rFonts w:hint="eastAsia" w:ascii="宋体" w:hAnsi="宋体" w:eastAsia="宋体" w:cs="Times New Roman"/>
          <w:b/>
          <w:bCs/>
          <w:color w:val="auto"/>
          <w:sz w:val="24"/>
          <w:highlight w:val="none"/>
          <w:lang w:val="en-US" w:eastAsia="zh-CN"/>
        </w:rPr>
        <w:t xml:space="preserve">共同</w:t>
      </w:r>
      <w:r>
        <w:rPr>
          <w:rFonts w:hint="default" w:ascii="宋体" w:hAnsi="宋体" w:eastAsia="宋体" w:cs="Times New Roman"/>
          <w:b/>
          <w:bCs/>
          <w:color w:val="auto"/>
          <w:sz w:val="24"/>
          <w:highlight w:val="none"/>
          <w:lang w:val="en-US" w:eastAsia="zh-CN"/>
        </w:rPr>
        <w:t xml:space="preserve">确定</w:t>
      </w:r>
      <w:r>
        <w:rPr>
          <w:rFonts w:hint="eastAsia" w:ascii="宋体" w:hAnsi="宋体" w:eastAsia="宋体" w:cs="Times New Roman"/>
          <w:b/>
          <w:bCs/>
          <w:color w:val="auto"/>
          <w:sz w:val="24"/>
          <w:highlight w:val="none"/>
          <w:lang w:val="en-US" w:eastAsia="zh-CN"/>
        </w:rPr>
        <w:t xml:space="preserve">材料价格）；无法套用消耗量或定额（尚未更新为2026消耗量的定额）或不适合套用消耗量或定额（尚未更新为2026消耗量的定额）的，依据独立费计价原则，经发包人和跟踪审计单位共同确定综合单价。</w:t>
      </w:r>
      <w:r/>
    </w:p>
    <w:p>
      <w:pPr>
        <w:numPr>
          <w:ilvl w:val="0"/>
          <w:numId w:val="0"/>
        </w:numPr>
        <w:contextualSpacing/>
        <w:ind w:left="420"/>
        <w:spacing w:line="30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2.4、措施费项约定：</w:t>
      </w:r>
      <w:r/>
    </w:p>
    <w:p>
      <w:pPr>
        <w:numPr>
          <w:ilvl w:val="0"/>
          <w:numId w:val="0"/>
        </w:numPr>
        <w:contextualSpacing/>
        <w:ind w:firstLine="482"/>
        <w:spacing w:line="30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2.4.1通用措施费项仅计取“安全生产费、文明施工费、环境保护费、冬雨季施工费、已完工程及设备保护费”。费用有区间值的均以最低值为准。其中本工程的安全生产标准化考评目标为合格，乙方自行创建优良目标的，甲方不支付额外创建费用；如乙方安全生产标准化考评不合格，则结算时不得计取安全生产费。</w:t>
      </w:r>
      <w:r/>
    </w:p>
    <w:p>
      <w:pPr>
        <w:numPr>
          <w:ilvl w:val="0"/>
          <w:numId w:val="0"/>
        </w:numPr>
        <w:contextualSpacing/>
        <w:ind w:firstLine="482"/>
        <w:spacing w:line="30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2.4.2 专业措施费项中</w:t>
      </w:r>
      <w:r>
        <w:rPr>
          <w:rFonts w:hint="eastAsia" w:ascii="宋体" w:hAnsi="宋体" w:eastAsia="宋体" w:cs="Times New Roman"/>
          <w:b/>
          <w:bCs/>
          <w:color w:val="auto"/>
          <w:sz w:val="24"/>
          <w:highlight w:val="none"/>
          <w:lang w:val="en-US" w:eastAsia="zh-CN"/>
        </w:rPr>
        <w:t xml:space="preserve">大型机械进退场次数由甲方、监理、跟踪审计、乙方签证办理，单价由甲方、监理、跟踪审计、乙方按市场询价酌情定价</w:t>
      </w:r>
      <w:r>
        <w:rPr>
          <w:rFonts w:hint="eastAsia" w:ascii="宋体" w:hAnsi="宋体" w:eastAsia="宋体" w:cs="Times New Roman"/>
          <w:b/>
          <w:bCs/>
          <w:color w:val="auto"/>
          <w:sz w:val="24"/>
          <w:highlight w:val="none"/>
          <w:lang w:eastAsia="zh-CN"/>
        </w:rPr>
        <w:t xml:space="preserve">；</w:t>
      </w:r>
      <w:r/>
    </w:p>
    <w:p>
      <w:pPr>
        <w:numPr>
          <w:ilvl w:val="0"/>
          <w:numId w:val="0"/>
        </w:numPr>
        <w:contextualSpacing/>
        <w:ind w:firstLine="482"/>
        <w:spacing w:line="30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2.5、人工单价取定：按《江苏省建设工程费用参考》、《江苏省通用安装工程消耗量》（2026）及《江苏省市政工程消耗量》（2026）及实施期间相关文件约定的工价计取。</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4.4付款方式：</w:t>
      </w:r>
      <w:r/>
    </w:p>
    <w:p>
      <w:pPr>
        <w:contextualSpacing/>
        <w:ind w:firstLine="48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1）合同期满六个月，支付至已完成工程量（需经监理、跟踪审计、采购人审核）的60%且不超过暂估结算价的60%；</w:t>
      </w:r>
      <w:r/>
    </w:p>
    <w:p>
      <w:pPr>
        <w:contextualSpacing/>
        <w:ind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合同期满且项目竣工验收合格后付至已完成工程量（需经监理、跟踪审计、采购人审核）的80%且不超过暂估结算价的80%；</w:t>
      </w:r>
      <w:r/>
    </w:p>
    <w:p>
      <w:pPr>
        <w:contextualSpacing/>
        <w:ind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经审计审定后付至最终结算价的97%；</w:t>
      </w:r>
      <w:r/>
    </w:p>
    <w:p>
      <w:pPr>
        <w:contextualSpacing/>
        <w:ind w:firstLine="48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最终结算价的3%作为质保金，在最后一个单项工程质保期满后付清。</w:t>
      </w:r>
      <w:r/>
    </w:p>
    <w:p>
      <w:pPr>
        <w:contextualSpacing/>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支付时，乙方应当向甲方开具相应价款发票，甲方收到发票后支付相应费用。</w:t>
      </w:r>
      <w:r/>
    </w:p>
    <w:p>
      <w:pPr>
        <w:contextualSpacing/>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2）付款方式：银行转账；</w:t>
      </w:r>
      <w:r/>
    </w:p>
    <w:p>
      <w:pPr>
        <w:contextualSpacing/>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3）根据国家现行税法对乙方征收的与本合同有关的一切税费均由乙方承担；</w:t>
      </w:r>
      <w:r/>
    </w:p>
    <w:p>
      <w:pPr>
        <w:contextualSpacing/>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第五条  双方的权利和义务</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的权利和义务</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5.1.1</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委派项目负责人：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履行合同的权利和义务。</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5.1.2</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应负责提供施工现场、施工条件、基础资料。</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5.1.3</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应按合同约定向</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及时支付合同价款。</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5.1.4</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有权按照施工进度计划检查</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进度情况。</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5.1.5</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有权拒绝</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提供和使用的不合格材料或工程设备，并要求</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立即进行更换。</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5.1.6</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有权要求</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对未达到合同约定质量标准的工程返工。</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5.1.7合同范围内的全部</w:t>
      </w:r>
      <w:r>
        <w:rPr>
          <w:rFonts w:hint="eastAsia" w:ascii="宋体" w:hAnsi="宋体" w:eastAsia="宋体" w:cs="宋体"/>
          <w:color w:val="auto"/>
          <w:sz w:val="24"/>
          <w:highlight w:val="none"/>
          <w:lang w:val="en-US" w:eastAsia="zh-CN"/>
        </w:rPr>
        <w:t xml:space="preserve">内容</w:t>
      </w:r>
      <w:r>
        <w:rPr>
          <w:rFonts w:hint="eastAsia" w:ascii="宋体" w:hAnsi="宋体" w:eastAsia="宋体" w:cs="宋体"/>
          <w:color w:val="auto"/>
          <w:sz w:val="24"/>
          <w:highlight w:val="none"/>
        </w:rPr>
        <w:t xml:space="preserve">以及有关工作均已完成，竣工资料备齐，</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及时组织竣工验收。</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5.1.8</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对竣工结算申请单有异议的，有权要求</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进行修正和提供补充资料，</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应提交修正后的竣工结算申请单。</w:t>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5.1.9</w:t>
      </w:r>
      <w:r>
        <w:rPr>
          <w:rFonts w:hint="eastAsia" w:ascii="宋体" w:hAnsi="宋体" w:eastAsia="宋体" w:cs="宋体"/>
          <w:b/>
          <w:bCs/>
          <w:color w:val="auto"/>
          <w:sz w:val="24"/>
          <w:highlight w:val="none"/>
          <w:lang w:eastAsia="zh-CN"/>
        </w:rPr>
        <w:t xml:space="preserve">甲方</w:t>
      </w:r>
      <w:r>
        <w:rPr>
          <w:rFonts w:hint="eastAsia" w:ascii="宋体" w:hAnsi="宋体" w:eastAsia="宋体" w:cs="宋体"/>
          <w:b/>
          <w:bCs/>
          <w:color w:val="auto"/>
          <w:sz w:val="24"/>
          <w:highlight w:val="none"/>
        </w:rPr>
        <w:t xml:space="preserve">应要求</w:t>
      </w:r>
      <w:r>
        <w:rPr>
          <w:rFonts w:hint="eastAsia" w:ascii="宋体" w:hAnsi="宋体" w:eastAsia="宋体" w:cs="宋体"/>
          <w:b/>
          <w:bCs/>
          <w:color w:val="auto"/>
          <w:sz w:val="24"/>
          <w:highlight w:val="none"/>
          <w:lang w:eastAsia="zh-CN"/>
        </w:rPr>
        <w:t xml:space="preserve">乙方</w:t>
      </w:r>
      <w:r>
        <w:rPr>
          <w:rFonts w:hint="eastAsia" w:ascii="宋体" w:hAnsi="宋体" w:eastAsia="宋体" w:cs="宋体"/>
          <w:b/>
          <w:bCs/>
          <w:color w:val="auto"/>
          <w:sz w:val="24"/>
          <w:highlight w:val="none"/>
        </w:rPr>
        <w:t xml:space="preserve">按合同约定</w:t>
      </w:r>
      <w:r>
        <w:rPr>
          <w:rFonts w:hint="eastAsia" w:ascii="宋体" w:hAnsi="宋体" w:eastAsia="宋体" w:cs="宋体"/>
          <w:b/>
          <w:bCs/>
          <w:color w:val="auto"/>
          <w:sz w:val="24"/>
          <w:highlight w:val="none"/>
          <w:lang w:val="en-US" w:eastAsia="zh-CN"/>
        </w:rPr>
        <w:t xml:space="preserve">对甲方要求的维修事项进行维修</w:t>
      </w:r>
      <w:r>
        <w:rPr>
          <w:rFonts w:hint="eastAsia" w:ascii="宋体" w:hAnsi="宋体" w:eastAsia="宋体" w:cs="宋体"/>
          <w:b/>
          <w:bCs/>
          <w:color w:val="auto"/>
          <w:sz w:val="24"/>
          <w:highlight w:val="none"/>
        </w:rPr>
        <w:t xml:space="preserve">，并采购或使用符合要求的绿色建材及低挥发性有机化合物产品；强化施工现场监管，确保</w:t>
      </w:r>
      <w:r>
        <w:rPr>
          <w:rFonts w:hint="eastAsia" w:ascii="宋体" w:hAnsi="宋体" w:eastAsia="宋体" w:cs="宋体"/>
          <w:b/>
          <w:bCs/>
          <w:color w:val="auto"/>
          <w:sz w:val="24"/>
          <w:highlight w:val="none"/>
          <w:lang w:eastAsia="zh-CN"/>
        </w:rPr>
        <w:t xml:space="preserve">乙方</w:t>
      </w:r>
      <w:r>
        <w:rPr>
          <w:rFonts w:hint="eastAsia" w:ascii="宋体" w:hAnsi="宋体" w:eastAsia="宋体" w:cs="宋体"/>
          <w:b/>
          <w:bCs/>
          <w:color w:val="auto"/>
          <w:sz w:val="24"/>
          <w:highlight w:val="none"/>
        </w:rPr>
        <w:t xml:space="preserve">落实绿色建筑及低挥发性有机化合物治理要求，使用符合《需求标准》的绿色建材；根据《需求标准》制定相应的履约验收标准，并与现行验收程序有效融合。</w:t>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5.1.10</w:t>
      </w:r>
      <w:r>
        <w:rPr>
          <w:rFonts w:hint="eastAsia" w:ascii="宋体" w:hAnsi="宋体" w:eastAsia="宋体" w:cs="宋体"/>
          <w:b/>
          <w:bCs/>
          <w:color w:val="auto"/>
          <w:sz w:val="24"/>
          <w:highlight w:val="none"/>
          <w:lang w:eastAsia="zh-CN"/>
        </w:rPr>
        <w:t xml:space="preserve">甲方</w:t>
      </w:r>
      <w:r>
        <w:rPr>
          <w:rFonts w:hint="eastAsia" w:ascii="宋体" w:hAnsi="宋体" w:eastAsia="宋体" w:cs="宋体"/>
          <w:b/>
          <w:bCs/>
          <w:color w:val="auto"/>
          <w:sz w:val="24"/>
          <w:highlight w:val="none"/>
        </w:rPr>
        <w:t xml:space="preserve">应组织对绿色建材、低挥发性有机化合物使用情况进行专项验收，形成专项验收报告并对验收结果负责。绿色建材、低挥发性有机化合物验收结果不合格的，竣工验收不得通过。</w:t>
      </w:r>
      <w:r/>
    </w:p>
    <w:p>
      <w:pPr>
        <w:ind w:firstLine="480"/>
        <w:spacing w:line="300" w:lineRule="auto"/>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5.2</w:t>
      </w:r>
      <w:r>
        <w:rPr>
          <w:rFonts w:hint="eastAsia" w:ascii="宋体" w:hAnsi="宋体" w:eastAsia="宋体" w:cs="宋体"/>
          <w:b w:val="0"/>
          <w:bCs w:val="0"/>
          <w:color w:val="auto"/>
          <w:sz w:val="24"/>
          <w:highlight w:val="none"/>
          <w:lang w:eastAsia="zh-CN"/>
        </w:rPr>
        <w:t xml:space="preserve">乙方</w:t>
      </w:r>
      <w:r>
        <w:rPr>
          <w:rFonts w:hint="eastAsia" w:ascii="宋体" w:hAnsi="宋体" w:eastAsia="宋体" w:cs="宋体"/>
          <w:b w:val="0"/>
          <w:bCs w:val="0"/>
          <w:color w:val="auto"/>
          <w:sz w:val="24"/>
          <w:highlight w:val="none"/>
        </w:rPr>
        <w:t xml:space="preserve">权利和义务</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5.2.1</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委派项目负责人：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履行合同的权利和义务。负责现场所有申请单的收发处理和上报，对现场维修需了解情况和进行前期摸底，超过壹万元以上的维修单需将具体做法、</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案、预算报维修工作群同意后才能施工，对申请单维修施工时，具体施工时间需提前一天报在维修工作群里，以便发包方、监理、跟踪审计及时现场查看。</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5.2.2</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应按照法律规定及合同约定组织完成</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施工，确保</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质量和安全，不进行转包及违法分包，并在保修期内承担相应的维修责任。</w:t>
      </w:r>
      <w:r/>
    </w:p>
    <w:p>
      <w:pPr>
        <w:ind w:firstLine="480"/>
        <w:spacing w:before="12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5.2.3</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应为施工现场的全部人员和施工设施办理保险并支付保险费。在涉及施工区域需设置施工围档，因施工区域没有设置围档的发现一次罚款1000元。</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5.2.4</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按合同约定的</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内容和施工进度要求，编制施工组织设计和施工措施计划，并对所有施工作业和</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法的完备性和安全可靠性负责。</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提交的施工进度计划的确认，不能减轻或免除</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根据法律规定和合同约定应承担的任何责任或义务。</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rPr>
          <w:rFonts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质量标准必须符合现行国家和地方有关</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施工质量验收规范和标准的要求。</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质量未达到合同约定标准的，</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必须返工直至</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质量达到合同约定的标准为止，并承担由此增加的费用和（或）延误的工期损失。</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rPr>
          <w:rFonts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在提出分项工程验收时，需提供完整的施工影像资料（彩色照片），涉及隐蔽工程做法的需要相应照片，达不到</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要求时，不得进入验收及结算程序，</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应承担由此产生的一切后果。   </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5.2.7</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竣工验收合格后28天内向</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提交竣工结算申请单2份，并提交完整的结算资料2份。</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5.2.8</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应编制竣工资料，完成竣工资料立卷及归档，并在</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竣工验收前向</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移交竣工内业资料</w:t>
      </w: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rPr>
        <w:t xml:space="preserve">套。</w:t>
      </w:r>
      <w:r/>
    </w:p>
    <w:p>
      <w:pPr>
        <w:ind w:firstLine="480"/>
        <w:spacing w:line="300" w:lineRule="auto"/>
        <w:rPr>
          <w:rFonts w:ascii="宋体" w:hAnsi="宋体" w:eastAsia="宋体" w:cs="Times New Roman"/>
          <w:color w:val="auto"/>
          <w:sz w:val="24"/>
          <w:highlight w:val="none"/>
        </w:rPr>
      </w:pPr>
      <w:r>
        <w:rPr>
          <w:rFonts w:hint="eastAsia" w:ascii="宋体" w:hAnsi="宋体" w:eastAsia="宋体" w:cs="宋体"/>
          <w:color w:val="auto"/>
          <w:sz w:val="24"/>
          <w:highlight w:val="none"/>
        </w:rPr>
        <w:t xml:space="preserve">5.2.9</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应</w:t>
      </w:r>
      <w:r>
        <w:rPr>
          <w:rFonts w:ascii="宋体" w:hAnsi="宋体" w:eastAsia="宋体" w:cs="Times New Roman"/>
          <w:color w:val="auto"/>
          <w:sz w:val="24"/>
          <w:highlight w:val="none"/>
        </w:rPr>
        <w:t xml:space="preserve">如期足额的支付</w:t>
      </w:r>
      <w:r>
        <w:rPr>
          <w:rFonts w:hint="eastAsia" w:ascii="宋体" w:hAnsi="宋体" w:eastAsia="宋体" w:cs="Times New Roman"/>
          <w:color w:val="auto"/>
          <w:sz w:val="24"/>
          <w:highlight w:val="none"/>
        </w:rPr>
        <w:t xml:space="preserve">施工人员</w:t>
      </w:r>
      <w:r>
        <w:rPr>
          <w:rFonts w:ascii="宋体" w:hAnsi="宋体" w:eastAsia="宋体" w:cs="Times New Roman"/>
          <w:color w:val="auto"/>
          <w:sz w:val="24"/>
          <w:highlight w:val="none"/>
        </w:rPr>
        <w:t xml:space="preserve">工资，若</w:t>
      </w:r>
      <w:r>
        <w:rPr>
          <w:rFonts w:hint="eastAsia" w:ascii="宋体" w:hAnsi="宋体" w:eastAsia="宋体" w:cs="Times New Roman"/>
          <w:color w:val="auto"/>
          <w:sz w:val="24"/>
          <w:highlight w:val="none"/>
          <w:lang w:eastAsia="zh-CN"/>
        </w:rPr>
        <w:t xml:space="preserve">乙方</w:t>
      </w:r>
      <w:r>
        <w:rPr>
          <w:rFonts w:hint="eastAsia" w:ascii="宋体" w:hAnsi="宋体" w:eastAsia="宋体" w:cs="Times New Roman"/>
          <w:color w:val="auto"/>
          <w:sz w:val="24"/>
          <w:highlight w:val="none"/>
        </w:rPr>
        <w:t xml:space="preserve">因</w:t>
      </w:r>
      <w:r>
        <w:rPr>
          <w:rFonts w:ascii="宋体" w:hAnsi="宋体" w:eastAsia="宋体" w:cs="Times New Roman"/>
          <w:color w:val="auto"/>
          <w:sz w:val="24"/>
          <w:highlight w:val="none"/>
        </w:rPr>
        <w:t xml:space="preserve">拖欠</w:t>
      </w:r>
      <w:r>
        <w:rPr>
          <w:rFonts w:hint="eastAsia" w:ascii="宋体" w:hAnsi="宋体" w:eastAsia="宋体" w:cs="Times New Roman"/>
          <w:color w:val="auto"/>
          <w:sz w:val="24"/>
          <w:highlight w:val="none"/>
        </w:rPr>
        <w:t xml:space="preserve">施工人员</w:t>
      </w:r>
      <w:r>
        <w:rPr>
          <w:rFonts w:ascii="宋体" w:hAnsi="宋体" w:eastAsia="宋体" w:cs="Times New Roman"/>
          <w:color w:val="auto"/>
          <w:sz w:val="24"/>
          <w:highlight w:val="none"/>
        </w:rPr>
        <w:t xml:space="preserve">工资导致</w:t>
      </w:r>
      <w:r>
        <w:rPr>
          <w:rFonts w:hint="eastAsia" w:ascii="宋体" w:hAnsi="宋体" w:eastAsia="宋体" w:cs="Times New Roman"/>
          <w:color w:val="auto"/>
          <w:sz w:val="24"/>
          <w:highlight w:val="none"/>
        </w:rPr>
        <w:t xml:space="preserve">施工人员</w:t>
      </w:r>
      <w:r>
        <w:rPr>
          <w:rFonts w:ascii="宋体" w:hAnsi="宋体" w:eastAsia="宋体" w:cs="Times New Roman"/>
          <w:color w:val="auto"/>
          <w:sz w:val="24"/>
          <w:highlight w:val="none"/>
        </w:rPr>
        <w:t xml:space="preserve">阻工、滋事的，</w:t>
      </w:r>
      <w:r>
        <w:rPr>
          <w:rFonts w:hint="eastAsia" w:ascii="宋体" w:hAnsi="宋体" w:eastAsia="宋体" w:cs="Times New Roman"/>
          <w:color w:val="auto"/>
          <w:sz w:val="24"/>
          <w:highlight w:val="none"/>
          <w:lang w:eastAsia="zh-CN"/>
        </w:rPr>
        <w:t xml:space="preserve">甲方</w:t>
      </w:r>
      <w:r>
        <w:rPr>
          <w:rFonts w:ascii="宋体" w:hAnsi="宋体" w:eastAsia="宋体" w:cs="Times New Roman"/>
          <w:color w:val="auto"/>
          <w:sz w:val="24"/>
          <w:highlight w:val="none"/>
        </w:rPr>
        <w:t xml:space="preserve">有权直接从工程款中扣留相应金额用于解决</w:t>
      </w:r>
      <w:r>
        <w:rPr>
          <w:rFonts w:hint="eastAsia" w:ascii="宋体" w:hAnsi="宋体" w:eastAsia="宋体" w:cs="Times New Roman"/>
          <w:color w:val="auto"/>
          <w:sz w:val="24"/>
          <w:highlight w:val="none"/>
          <w:lang w:eastAsia="zh-CN"/>
        </w:rPr>
        <w:t xml:space="preserve">乙方</w:t>
      </w:r>
      <w:r>
        <w:rPr>
          <w:rFonts w:ascii="宋体" w:hAnsi="宋体" w:eastAsia="宋体" w:cs="Times New Roman"/>
          <w:color w:val="auto"/>
          <w:sz w:val="24"/>
          <w:highlight w:val="none"/>
        </w:rPr>
        <w:t xml:space="preserve">拖欠的</w:t>
      </w:r>
      <w:r>
        <w:rPr>
          <w:rFonts w:hint="eastAsia" w:ascii="宋体" w:hAnsi="宋体" w:eastAsia="宋体" w:cs="Times New Roman"/>
          <w:color w:val="auto"/>
          <w:sz w:val="24"/>
          <w:highlight w:val="none"/>
        </w:rPr>
        <w:t xml:space="preserve">施工人员</w:t>
      </w:r>
      <w:r>
        <w:rPr>
          <w:rFonts w:ascii="宋体" w:hAnsi="宋体" w:eastAsia="宋体" w:cs="Times New Roman"/>
          <w:color w:val="auto"/>
          <w:sz w:val="24"/>
          <w:highlight w:val="none"/>
        </w:rPr>
        <w:t xml:space="preserve">工资</w:t>
      </w:r>
      <w:r>
        <w:rPr>
          <w:rFonts w:hint="eastAsia" w:ascii="宋体" w:hAnsi="宋体" w:eastAsia="宋体" w:cs="Times New Roman"/>
          <w:color w:val="auto"/>
          <w:sz w:val="24"/>
          <w:highlight w:val="none"/>
        </w:rPr>
        <w:t xml:space="preserve">。    </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5.2.10</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必须自行处理好与其它</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的关系和地方矛盾，如因此造成</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进度及质量不能满足要求，一切后果由</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自负。</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5.2.11承包范围中所涉及的内容、数量在实际施工中如有增减，</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必须服从</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安排。</w:t>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5.2.12 </w:t>
      </w:r>
      <w:r>
        <w:rPr>
          <w:rFonts w:hint="eastAsia" w:ascii="宋体" w:hAnsi="宋体" w:eastAsia="宋体" w:cs="宋体"/>
          <w:b/>
          <w:bCs/>
          <w:color w:val="auto"/>
          <w:sz w:val="24"/>
          <w:highlight w:val="none"/>
          <w:lang w:eastAsia="zh-CN"/>
        </w:rPr>
        <w:t xml:space="preserve">乙方</w:t>
      </w:r>
      <w:r>
        <w:rPr>
          <w:rFonts w:hint="eastAsia" w:ascii="宋体" w:hAnsi="宋体" w:eastAsia="宋体" w:cs="宋体"/>
          <w:b/>
          <w:bCs/>
          <w:color w:val="auto"/>
          <w:sz w:val="24"/>
          <w:highlight w:val="none"/>
        </w:rPr>
        <w:t xml:space="preserve">在施工过程中必须保证施工现场的安全及项目质量，如由</w:t>
      </w:r>
      <w:r>
        <w:rPr>
          <w:rFonts w:hint="eastAsia" w:ascii="宋体" w:hAnsi="宋体" w:eastAsia="宋体" w:cs="宋体"/>
          <w:b/>
          <w:bCs/>
          <w:color w:val="auto"/>
          <w:sz w:val="24"/>
          <w:highlight w:val="none"/>
          <w:lang w:eastAsia="zh-CN"/>
        </w:rPr>
        <w:t xml:space="preserve">乙方</w:t>
      </w:r>
      <w:r>
        <w:rPr>
          <w:rFonts w:hint="eastAsia" w:ascii="宋体" w:hAnsi="宋体" w:eastAsia="宋体" w:cs="宋体"/>
          <w:b/>
          <w:bCs/>
          <w:color w:val="auto"/>
          <w:sz w:val="24"/>
          <w:highlight w:val="none"/>
        </w:rPr>
        <w:t xml:space="preserve">原因造成的安全和质量事故，全部责任及由此造成的费用由</w:t>
      </w:r>
      <w:r>
        <w:rPr>
          <w:rFonts w:hint="eastAsia" w:ascii="宋体" w:hAnsi="宋体" w:eastAsia="宋体" w:cs="宋体"/>
          <w:b/>
          <w:bCs/>
          <w:color w:val="auto"/>
          <w:sz w:val="24"/>
          <w:highlight w:val="none"/>
          <w:lang w:eastAsia="zh-CN"/>
        </w:rPr>
        <w:t xml:space="preserve">乙方</w:t>
      </w:r>
      <w:r>
        <w:rPr>
          <w:rFonts w:hint="eastAsia" w:ascii="宋体" w:hAnsi="宋体" w:eastAsia="宋体" w:cs="宋体"/>
          <w:b/>
          <w:bCs/>
          <w:color w:val="auto"/>
          <w:sz w:val="24"/>
          <w:highlight w:val="none"/>
        </w:rPr>
        <w:t xml:space="preserve">独立承担。</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5.2.13 </w:t>
      </w:r>
      <w:r>
        <w:rPr>
          <w:rFonts w:hint="eastAsia" w:ascii="宋体" w:hAnsi="宋体" w:eastAsia="宋体" w:cs="宋体"/>
          <w:b/>
          <w:bCs/>
          <w:color w:val="auto"/>
          <w:sz w:val="24"/>
          <w:highlight w:val="none"/>
          <w:lang w:eastAsia="zh-CN"/>
        </w:rPr>
        <w:t xml:space="preserve">乙方</w:t>
      </w:r>
      <w:r>
        <w:rPr>
          <w:rFonts w:hint="eastAsia" w:ascii="宋体" w:hAnsi="宋体" w:eastAsia="宋体" w:cs="宋体"/>
          <w:b/>
          <w:bCs/>
          <w:color w:val="auto"/>
          <w:sz w:val="24"/>
          <w:highlight w:val="none"/>
        </w:rPr>
        <w:t xml:space="preserve">应严格按照设计文件和《绿色建筑和绿色建材政府采购需求标准》的规定、低挥发性有机化合物治理要求以及相关建设项目标准进行施工。</w:t>
      </w:r>
      <w:r>
        <w:rPr>
          <w:rFonts w:hint="eastAsia" w:ascii="宋体" w:hAnsi="宋体" w:eastAsia="宋体" w:cs="宋体"/>
          <w:b/>
          <w:bCs/>
          <w:color w:val="auto"/>
          <w:sz w:val="24"/>
          <w:highlight w:val="none"/>
          <w:lang w:eastAsia="zh-CN"/>
        </w:rPr>
        <w:t xml:space="preserve">乙方</w:t>
      </w:r>
      <w:r>
        <w:rPr>
          <w:rFonts w:hint="eastAsia" w:ascii="宋体" w:hAnsi="宋体" w:eastAsia="宋体" w:cs="宋体"/>
          <w:b/>
          <w:bCs/>
          <w:color w:val="auto"/>
          <w:sz w:val="24"/>
          <w:highlight w:val="none"/>
        </w:rPr>
        <w:t xml:space="preserve">应建立相应的施工管理体系和组织机构，确定绿色建筑和绿色建材及低挥发性有机化合物产品应用工作责任人。</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5.2.14</w:t>
      </w:r>
      <w:r>
        <w:rPr>
          <w:rFonts w:hint="eastAsia" w:ascii="宋体" w:hAnsi="宋体" w:eastAsia="宋体" w:cs="宋体"/>
          <w:b/>
          <w:bCs/>
          <w:color w:val="auto"/>
          <w:sz w:val="24"/>
          <w:highlight w:val="none"/>
          <w:lang w:eastAsia="zh-CN"/>
        </w:rPr>
        <w:t xml:space="preserve">乙方</w:t>
      </w:r>
      <w:r>
        <w:rPr>
          <w:rFonts w:hint="eastAsia" w:ascii="宋体" w:hAnsi="宋体" w:eastAsia="宋体" w:cs="宋体"/>
          <w:b/>
          <w:bCs/>
          <w:color w:val="auto"/>
          <w:sz w:val="24"/>
          <w:highlight w:val="none"/>
        </w:rPr>
        <w:t xml:space="preserve">对涉及使用《绿色建筑和绿色建材政府采购需求标准》中的绿色建材，应当全部采购和使用符合《绿色建筑和绿色建材政府采购需求标准》的绿色建材，并提供符合《绿色建筑和绿色建材政府采购需求标准》相关指标要求的绿色建材检测报告或绿色建材产品认证证书。</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5.2.15</w:t>
      </w:r>
      <w:r>
        <w:rPr>
          <w:rFonts w:hint="eastAsia" w:ascii="宋体" w:hAnsi="宋体" w:eastAsia="宋体" w:cs="宋体"/>
          <w:b/>
          <w:bCs/>
          <w:color w:val="auto"/>
          <w:sz w:val="24"/>
          <w:highlight w:val="none"/>
          <w:lang w:eastAsia="zh-CN"/>
        </w:rPr>
        <w:t xml:space="preserve">乙方</w:t>
      </w:r>
      <w:r>
        <w:rPr>
          <w:rFonts w:hint="eastAsia" w:ascii="宋体" w:hAnsi="宋体" w:eastAsia="宋体" w:cs="宋体"/>
          <w:b/>
          <w:bCs/>
          <w:color w:val="auto"/>
          <w:sz w:val="24"/>
          <w:highlight w:val="none"/>
        </w:rPr>
        <w:t xml:space="preserve">对涉及使用涂料、胶黏剂、油墨、清洗剂等挥发性有机物产品的，属于强制性标准的，应采购执行国家和我省VOCs含量限制标准的产品，并提供符合要求的检测报告。</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5.2.16</w:t>
      </w:r>
      <w:r>
        <w:rPr>
          <w:rFonts w:hint="eastAsia" w:ascii="宋体" w:hAnsi="宋体" w:eastAsia="宋体" w:cs="宋体"/>
          <w:b/>
          <w:bCs/>
          <w:color w:val="auto"/>
          <w:sz w:val="24"/>
          <w:highlight w:val="none"/>
          <w:lang w:eastAsia="zh-CN"/>
        </w:rPr>
        <w:t xml:space="preserve">乙方</w:t>
      </w:r>
      <w:r>
        <w:rPr>
          <w:rFonts w:hint="eastAsia" w:ascii="宋体" w:hAnsi="宋体" w:eastAsia="宋体" w:cs="宋体"/>
          <w:b/>
          <w:bCs/>
          <w:color w:val="auto"/>
          <w:sz w:val="24"/>
          <w:highlight w:val="none"/>
        </w:rPr>
        <w:t xml:space="preserve">应建立绿色建材及低挥发性有机化合物产品进场专项台账，内容包括但不限于产品名称、规格型号、产品数量、进货单位、生产厂家、质量证明文件编号（包括绿色建材产品认证证书等证明性材料）、进场时间、进场复验报告等。</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第六条  </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质量保修范围和内容</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6.1质量保修期：</w:t>
      </w:r>
      <w:r/>
    </w:p>
    <w:p>
      <w:pPr>
        <w:ind w:firstLine="482"/>
        <w:spacing w:line="300" w:lineRule="auto"/>
        <w:rPr>
          <w:rFonts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本项目中每个单项工程质保期为2年，自单项工程竣工验收合格之日起计算。</w:t>
      </w:r>
      <w:r/>
    </w:p>
    <w:p>
      <w:pPr>
        <w:ind w:firstLine="480"/>
        <w:spacing w:line="30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质量保修范围为</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工程承包范围和内容，因</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原因造成的质量责任，由</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负责保修。</w:t>
      </w:r>
      <w:r/>
    </w:p>
    <w:p>
      <w:pPr>
        <w:ind w:firstLine="480"/>
        <w:spacing w:line="300" w:lineRule="auto"/>
        <w:tabs>
          <w:tab w:val="left" w:pos="0" w:leader="none"/>
          <w:tab w:val="left" w:pos="993" w:leader="none"/>
          <w:tab w:val="left" w:pos="1134"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6.2质量保修责任</w:t>
      </w:r>
      <w:r/>
    </w:p>
    <w:p>
      <w:pPr>
        <w:ind w:firstLine="480"/>
        <w:spacing w:line="300" w:lineRule="auto"/>
        <w:tabs>
          <w:tab w:val="left" w:pos="0" w:leader="none"/>
          <w:tab w:val="left" w:pos="993" w:leader="none"/>
          <w:tab w:val="left" w:pos="1134"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6.2.1</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应在接到保修通知之日起1天内派人保修。保修期内</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不在约定期限内及时派人保修的，</w:t>
      </w:r>
      <w:r>
        <w:rPr>
          <w:rFonts w:hint="eastAsia" w:ascii="宋体" w:hAnsi="宋体" w:eastAsia="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可委托他人修理，相关费用从剩余合同价款内扣除。</w:t>
      </w:r>
      <w:r/>
    </w:p>
    <w:p>
      <w:pPr>
        <w:ind w:firstLine="480"/>
        <w:spacing w:line="300" w:lineRule="auto"/>
        <w:tabs>
          <w:tab w:val="left" w:pos="0" w:leader="none"/>
          <w:tab w:val="left" w:pos="993" w:leader="none"/>
          <w:tab w:val="left" w:pos="1134"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6.2.2发生须紧急抢修事故，</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接到通知后，应立即派员到达事故现场进行抢修。非</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施工质量引起的事故，抢修费用由</w:t>
      </w:r>
      <w:r>
        <w:rPr>
          <w:rFonts w:hint="eastAsia" w:ascii="宋体" w:hAnsi="宋体" w:eastAsia="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承担。</w:t>
      </w:r>
      <w:r/>
    </w:p>
    <w:p>
      <w:pPr>
        <w:ind w:firstLine="480"/>
        <w:spacing w:line="300" w:lineRule="auto"/>
        <w:tabs>
          <w:tab w:val="left" w:pos="0" w:leader="none"/>
          <w:tab w:val="left" w:pos="993" w:leader="none"/>
          <w:tab w:val="left" w:pos="1134"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6.2.3在规定的工程合理使用期限内，</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确保</w:t>
      </w:r>
      <w:r>
        <w:rPr>
          <w:rFonts w:hint="eastAsia" w:ascii="宋体" w:hAnsi="宋体" w:eastAsia="宋体" w:cs="宋体"/>
          <w:bCs/>
          <w:color w:val="auto"/>
          <w:sz w:val="24"/>
          <w:highlight w:val="none"/>
          <w:lang w:eastAsia="zh-CN"/>
        </w:rPr>
        <w:t xml:space="preserve">项目</w:t>
      </w:r>
      <w:r>
        <w:rPr>
          <w:rFonts w:hint="eastAsia" w:ascii="宋体" w:hAnsi="宋体" w:eastAsia="宋体" w:cs="宋体"/>
          <w:bCs/>
          <w:color w:val="auto"/>
          <w:sz w:val="24"/>
          <w:highlight w:val="none"/>
        </w:rPr>
        <w:t xml:space="preserve">的质量。因</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原因致使工程在合理使用期限内造成人身和财产损害的，</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应承担全部赔偿责任。</w:t>
      </w:r>
      <w:r/>
    </w:p>
    <w:p>
      <w:pPr>
        <w:ind w:firstLine="480"/>
        <w:spacing w:line="300" w:lineRule="auto"/>
        <w:tabs>
          <w:tab w:val="left" w:pos="0" w:leader="none"/>
          <w:tab w:val="left" w:pos="993" w:leader="none"/>
          <w:tab w:val="left" w:pos="1134" w:leader="none"/>
        </w:tabs>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6.2.4质量保修完成后，应交由</w:t>
      </w:r>
      <w:r>
        <w:rPr>
          <w:rFonts w:hint="eastAsia" w:ascii="宋体" w:hAnsi="宋体" w:eastAsia="宋体" w:cs="宋体"/>
          <w:bCs/>
          <w:color w:val="auto"/>
          <w:sz w:val="24"/>
          <w:highlight w:val="none"/>
          <w:lang w:eastAsia="zh-CN"/>
        </w:rPr>
        <w:t xml:space="preserve">甲方</w:t>
      </w:r>
      <w:r>
        <w:rPr>
          <w:rFonts w:hint="eastAsia" w:ascii="宋体" w:hAnsi="宋体" w:eastAsia="宋体" w:cs="宋体"/>
          <w:bCs/>
          <w:color w:val="auto"/>
          <w:sz w:val="24"/>
          <w:highlight w:val="none"/>
        </w:rPr>
        <w:t xml:space="preserve">组织验收。</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第七条  违约责任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发出的派单</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必须按要求</w:t>
      </w:r>
      <w:r>
        <w:rPr>
          <w:rFonts w:hint="eastAsia" w:ascii="宋体" w:hAnsi="宋体" w:cs="宋体"/>
          <w:b w:val="0"/>
          <w:bCs w:val="0"/>
          <w:color w:val="auto"/>
          <w:sz w:val="24"/>
          <w:szCs w:val="24"/>
          <w:highlight w:val="none"/>
          <w:lang w:val="en-US" w:eastAsia="zh-CN"/>
        </w:rPr>
        <w:t xml:space="preserve">在规定时间内</w:t>
      </w:r>
      <w:r>
        <w:rPr>
          <w:rFonts w:hint="eastAsia" w:ascii="宋体" w:hAnsi="宋体" w:eastAsia="宋体" w:cs="宋体"/>
          <w:b w:val="0"/>
          <w:bCs w:val="0"/>
          <w:color w:val="auto"/>
          <w:sz w:val="24"/>
          <w:szCs w:val="24"/>
          <w:highlight w:val="none"/>
          <w:lang w:val="en-US" w:eastAsia="zh-CN"/>
        </w:rPr>
        <w:t xml:space="preserve">全面执行，否则按 500 元/次向</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支付违约金。在接到</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通知后半小时内响应，4小时内需上门进行维修</w:t>
      </w:r>
      <w:r>
        <w:rPr>
          <w:rFonts w:hint="eastAsia" w:ascii="宋体" w:hAnsi="宋体" w:cs="宋体"/>
          <w:b w:val="0"/>
          <w:bCs w:val="0"/>
          <w:color w:val="auto"/>
          <w:sz w:val="24"/>
          <w:szCs w:val="24"/>
          <w:highlight w:val="none"/>
          <w:lang w:val="en-US" w:eastAsia="zh-CN"/>
        </w:rPr>
        <w:t xml:space="preserve">并在甲方要求的时间内完成维修任务，达到交付使用水平</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由于乙方原因，在接到甲方维修通知后未按规定时间响应或未在规定时间内到达指定地点，每延误一次罚500元；</w:t>
      </w:r>
      <w:r>
        <w:rPr>
          <w:rFonts w:hint="eastAsia" w:ascii="宋体" w:hAnsi="宋体" w:eastAsia="宋体" w:cs="宋体"/>
          <w:b w:val="0"/>
          <w:bCs w:val="0"/>
          <w:color w:val="auto"/>
          <w:sz w:val="24"/>
          <w:szCs w:val="24"/>
          <w:highlight w:val="none"/>
          <w:lang w:val="en-US" w:eastAsia="zh-CN"/>
        </w:rPr>
        <w:t xml:space="preserve">由于</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原因</w:t>
      </w:r>
      <w:r>
        <w:rPr>
          <w:rFonts w:hint="eastAsia" w:ascii="宋体" w:hAnsi="宋体" w:cs="宋体"/>
          <w:b w:val="0"/>
          <w:bCs w:val="0"/>
          <w:color w:val="auto"/>
          <w:sz w:val="24"/>
          <w:szCs w:val="24"/>
          <w:highlight w:val="none"/>
          <w:lang w:val="en-US" w:eastAsia="zh-CN"/>
        </w:rPr>
        <w:t xml:space="preserve">导致</w:t>
      </w:r>
      <w:r>
        <w:rPr>
          <w:rFonts w:ascii="宋体" w:hAnsi="宋体" w:eastAsia="宋体" w:cs="宋体"/>
          <w:color w:val="auto"/>
          <w:sz w:val="24"/>
          <w:szCs w:val="24"/>
          <w:highlight w:val="none"/>
        </w:rPr>
        <w:t xml:space="preserve">维修工作延误交付</w:t>
      </w:r>
      <w:r>
        <w:rPr>
          <w:rFonts w:hint="eastAsia" w:ascii="宋体" w:hAnsi="宋体" w:eastAsia="宋体" w:cs="宋体"/>
          <w:b w:val="0"/>
          <w:bCs w:val="0"/>
          <w:color w:val="auto"/>
          <w:sz w:val="24"/>
          <w:szCs w:val="24"/>
          <w:highlight w:val="none"/>
          <w:lang w:val="en-US" w:eastAsia="zh-CN"/>
        </w:rPr>
        <w:t xml:space="preserve">，每延误 24 小时罚 500 元/天。如果</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在服务过程连续三次未在派单要求时间内完成，</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有权解除合同，并</w:t>
      </w:r>
      <w:r>
        <w:rPr>
          <w:rFonts w:hint="eastAsia" w:ascii="宋体" w:hAnsi="宋体" w:cs="宋体"/>
          <w:b w:val="0"/>
          <w:bCs w:val="0"/>
          <w:color w:val="auto"/>
          <w:sz w:val="24"/>
          <w:szCs w:val="24"/>
          <w:highlight w:val="none"/>
          <w:lang w:val="en-US" w:eastAsia="zh-CN"/>
        </w:rPr>
        <w:t xml:space="preserve">要求乙方</w:t>
      </w:r>
      <w:r>
        <w:rPr>
          <w:rFonts w:hint="eastAsia" w:ascii="宋体" w:hAnsi="宋体" w:eastAsia="宋体" w:cs="宋体"/>
          <w:b w:val="0"/>
          <w:bCs w:val="0"/>
          <w:color w:val="auto"/>
          <w:sz w:val="24"/>
          <w:szCs w:val="24"/>
          <w:highlight w:val="none"/>
          <w:lang w:val="en-US" w:eastAsia="zh-CN"/>
        </w:rPr>
        <w:t xml:space="preserve">应支付</w:t>
      </w:r>
      <w:r>
        <w:rPr>
          <w:rFonts w:hint="eastAsia" w:ascii="宋体" w:hAnsi="宋体" w:cs="宋体"/>
          <w:b w:val="0"/>
          <w:bCs w:val="0"/>
          <w:color w:val="auto"/>
          <w:sz w:val="24"/>
          <w:szCs w:val="24"/>
          <w:highlight w:val="none"/>
          <w:lang w:val="en-US" w:eastAsia="zh-CN"/>
        </w:rPr>
        <w:t xml:space="preserve">相应</w:t>
      </w:r>
      <w:r>
        <w:rPr>
          <w:rFonts w:hint="eastAsia" w:ascii="宋体" w:hAnsi="宋体" w:eastAsia="宋体" w:cs="宋体"/>
          <w:b w:val="0"/>
          <w:bCs w:val="0"/>
          <w:color w:val="auto"/>
          <w:sz w:val="24"/>
          <w:szCs w:val="24"/>
          <w:highlight w:val="none"/>
          <w:lang w:val="en-US" w:eastAsia="zh-CN"/>
        </w:rPr>
        <w:t xml:space="preserve">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若</w:t>
      </w:r>
      <w:r>
        <w:rPr>
          <w:rFonts w:hint="eastAsia" w:ascii="宋体" w:hAnsi="宋体" w:cs="宋体"/>
          <w:b w:val="0"/>
          <w:bCs w:val="0"/>
          <w:color w:val="auto"/>
          <w:sz w:val="24"/>
          <w:szCs w:val="24"/>
          <w:highlight w:val="none"/>
          <w:lang w:val="en-US" w:eastAsia="zh-CN"/>
        </w:rPr>
        <w:t xml:space="preserve">因</w:t>
      </w:r>
      <w:r>
        <w:rPr>
          <w:rFonts w:hint="eastAsia" w:ascii="宋体" w:hAnsi="宋体" w:eastAsia="宋体" w:cs="宋体"/>
          <w:b w:val="0"/>
          <w:bCs w:val="0"/>
          <w:color w:val="auto"/>
          <w:sz w:val="24"/>
          <w:szCs w:val="24"/>
          <w:highlight w:val="none"/>
          <w:lang w:val="en-US" w:eastAsia="zh-CN"/>
        </w:rPr>
        <w:t xml:space="preserve">施工造成的维修质量问题，</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应书面通知</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并约定时间进行整改。</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未按时间及时维修，</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有权扣除维修费 1000-2000 元/次作为</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向</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支付的违约金。如果</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在服务过程连续三次未按要求整改，</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有权解除合同，并</w:t>
      </w:r>
      <w:r>
        <w:rPr>
          <w:rFonts w:hint="eastAsia" w:ascii="宋体" w:hAnsi="宋体" w:cs="宋体"/>
          <w:b w:val="0"/>
          <w:bCs w:val="0"/>
          <w:color w:val="auto"/>
          <w:sz w:val="24"/>
          <w:szCs w:val="24"/>
          <w:highlight w:val="none"/>
          <w:lang w:val="en-US" w:eastAsia="zh-CN"/>
        </w:rPr>
        <w:t xml:space="preserve">要求乙方</w:t>
      </w:r>
      <w:r>
        <w:rPr>
          <w:rFonts w:hint="eastAsia" w:ascii="宋体" w:hAnsi="宋体" w:eastAsia="宋体" w:cs="宋体"/>
          <w:b w:val="0"/>
          <w:bCs w:val="0"/>
          <w:color w:val="auto"/>
          <w:sz w:val="24"/>
          <w:szCs w:val="24"/>
          <w:highlight w:val="none"/>
          <w:lang w:val="en-US" w:eastAsia="zh-CN"/>
        </w:rPr>
        <w:t xml:space="preserve">应支付</w:t>
      </w:r>
      <w:r>
        <w:rPr>
          <w:rFonts w:hint="eastAsia" w:ascii="宋体" w:hAnsi="宋体" w:cs="宋体"/>
          <w:b w:val="0"/>
          <w:bCs w:val="0"/>
          <w:color w:val="auto"/>
          <w:sz w:val="24"/>
          <w:szCs w:val="24"/>
          <w:highlight w:val="none"/>
          <w:lang w:val="en-US" w:eastAsia="zh-CN"/>
        </w:rPr>
        <w:t xml:space="preserve">相应</w:t>
      </w:r>
      <w:r>
        <w:rPr>
          <w:rFonts w:hint="eastAsia" w:ascii="宋体" w:hAnsi="宋体" w:eastAsia="宋体" w:cs="宋体"/>
          <w:b w:val="0"/>
          <w:bCs w:val="0"/>
          <w:color w:val="auto"/>
          <w:sz w:val="24"/>
          <w:szCs w:val="24"/>
          <w:highlight w:val="none"/>
          <w:lang w:val="en-US" w:eastAsia="zh-CN"/>
        </w:rPr>
        <w:t xml:space="preserve">违约金。</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3、乙方</w:t>
      </w:r>
      <w:r>
        <w:rPr>
          <w:rFonts w:hint="eastAsia" w:ascii="宋体" w:hAnsi="宋体" w:eastAsia="宋体" w:cs="宋体"/>
          <w:b w:val="0"/>
          <w:bCs w:val="0"/>
          <w:color w:val="auto"/>
          <w:sz w:val="24"/>
          <w:szCs w:val="24"/>
          <w:highlight w:val="none"/>
          <w:lang w:val="en-US" w:eastAsia="zh-CN"/>
        </w:rPr>
        <w:t xml:space="preserve">不按</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关于工程质量、工程维修进度等要求施工维修的，在经过</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一次书面警告后，仍不能按</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要求进行维修施工时，</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有权终止</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的维修施工权，并有权安排其他施工维修单位</w:t>
      </w:r>
      <w:r>
        <w:rPr>
          <w:rFonts w:hint="eastAsia" w:ascii="宋体" w:hAnsi="宋体" w:cs="宋体"/>
          <w:b w:val="0"/>
          <w:bCs w:val="0"/>
          <w:color w:val="auto"/>
          <w:sz w:val="24"/>
          <w:szCs w:val="24"/>
          <w:highlight w:val="none"/>
          <w:lang w:val="en-US" w:eastAsia="zh-CN"/>
        </w:rPr>
        <w:t xml:space="preserve">接受乙方</w:t>
      </w:r>
      <w:r>
        <w:rPr>
          <w:rFonts w:hint="eastAsia" w:ascii="宋体" w:hAnsi="宋体" w:eastAsia="宋体" w:cs="宋体"/>
          <w:b w:val="0"/>
          <w:bCs w:val="0"/>
          <w:color w:val="auto"/>
          <w:sz w:val="24"/>
          <w:szCs w:val="24"/>
          <w:highlight w:val="none"/>
          <w:lang w:val="en-US" w:eastAsia="zh-CN"/>
        </w:rPr>
        <w:t xml:space="preserve">的施工维修工程，</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按中止施工前的工程量进行结算</w:t>
      </w:r>
      <w:r>
        <w:rPr>
          <w:rFonts w:hint="eastAsia" w:ascii="宋体" w:hAnsi="宋体" w:cs="宋体"/>
          <w:b w:val="0"/>
          <w:bCs w:val="0"/>
          <w:color w:val="auto"/>
          <w:sz w:val="24"/>
          <w:szCs w:val="24"/>
          <w:highlight w:val="none"/>
          <w:lang w:val="en-US" w:eastAsia="zh-CN"/>
        </w:rPr>
        <w:t xml:space="preserve">，若因此造成甲方的损失，由乙方承担。</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第八条  其他约定</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rPr>
        <w:t xml:space="preserve">所需的材料检测费用承担按现行的《建设工程工程量清单计价标准》（GB/T50500-2024）规定执行，材料样品检测不合格的，该检测费用由</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承担，若由此造成工期延误，还应按</w:t>
      </w:r>
      <w:r>
        <w:rPr>
          <w:rFonts w:hint="eastAsia" w:ascii="宋体" w:hAnsi="宋体" w:eastAsia="宋体" w:cs="宋体"/>
          <w:color w:val="auto"/>
          <w:sz w:val="24"/>
          <w:highlight w:val="none"/>
          <w:lang w:val="en-US" w:eastAsia="zh-CN"/>
        </w:rPr>
        <w:t xml:space="preserve">第七</w:t>
      </w:r>
      <w:r>
        <w:rPr>
          <w:rFonts w:hint="eastAsia" w:ascii="宋体" w:hAnsi="宋体" w:eastAsia="宋体" w:cs="宋体"/>
          <w:color w:val="auto"/>
          <w:sz w:val="24"/>
          <w:highlight w:val="none"/>
        </w:rPr>
        <w:t xml:space="preserve">条规定承担工期延误的违约责任。</w:t>
      </w:r>
      <w:r/>
    </w:p>
    <w:p>
      <w:pPr>
        <w:ind w:firstLine="480"/>
        <w:spacing w:before="120" w:line="300" w:lineRule="auto"/>
        <w:rPr>
          <w:rFonts w:ascii="宋体" w:hAnsi="宋体" w:eastAsia="宋体" w:cs="Times New Roman"/>
          <w:bCs/>
          <w:color w:val="auto"/>
          <w:sz w:val="24"/>
          <w:highlight w:val="none"/>
        </w:rPr>
      </w:pP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结算审计核减率超过10%以上部分的审计费由</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承担，审计费用按核减额的4%计取。</w:t>
      </w:r>
      <w:r/>
    </w:p>
    <w:p>
      <w:pPr>
        <w:ind w:firstLine="480"/>
        <w:spacing w:line="300" w:lineRule="auto"/>
        <w:rPr>
          <w:rFonts w:ascii="宋体" w:hAnsi="宋体" w:eastAsia="宋体" w:cs="Times New Roman"/>
          <w:bCs/>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zh-CN"/>
        </w:rPr>
        <w:t xml:space="preserve">3</w:t>
      </w:r>
      <w:r>
        <w:rPr>
          <w:rFonts w:hint="eastAsia" w:ascii="宋体" w:hAnsi="宋体" w:eastAsia="宋体" w:cs="Times New Roman"/>
          <w:color w:val="auto"/>
          <w:sz w:val="24"/>
          <w:highlight w:val="none"/>
        </w:rPr>
        <w:t xml:space="preserve">合同双方不得以贿赂或变相贿赂的方式，谋取非法利益或损害对方权益。因一方合同当事人的贿赂造成对方损失的，应赔偿损失，并承担相应的法律责任</w:t>
      </w:r>
      <w:r>
        <w:rPr>
          <w:rFonts w:ascii="宋体" w:hAnsi="宋体" w:eastAsia="宋体" w:cs="Times New Roman"/>
          <w:bCs/>
          <w:color w:val="auto"/>
          <w:sz w:val="24"/>
          <w:highlight w:val="none"/>
        </w:rPr>
        <w:t xml:space="preserve">。</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第九条  争议解决</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合同履行过程中发生争议的，双方可协商解决；协商不成时，任何一方均可向该</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所在地人民法院起诉。</w:t>
      </w:r>
      <w:r/>
    </w:p>
    <w:p>
      <w:pPr>
        <w:ind w:firstLine="48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第十条  合同效力</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本合同自双方签字盖章之日起生效。本合同一式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四</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执</w:t>
      </w:r>
      <w:r>
        <w:rPr>
          <w:rFonts w:hint="eastAsia" w:ascii="宋体" w:hAnsi="宋体" w:eastAsia="宋体" w:cs="宋体"/>
          <w:color w:val="auto"/>
          <w:sz w:val="24"/>
          <w:highlight w:val="none"/>
          <w:u w:val="single"/>
        </w:rPr>
        <w:t xml:space="preserve"> 二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执</w:t>
      </w:r>
      <w:r>
        <w:rPr>
          <w:rFonts w:hint="eastAsia" w:ascii="宋体" w:hAnsi="宋体" w:eastAsia="宋体" w:cs="宋体"/>
          <w:color w:val="auto"/>
          <w:sz w:val="24"/>
          <w:highlight w:val="none"/>
          <w:u w:val="single"/>
        </w:rPr>
        <w:t xml:space="preserve"> 二 </w:t>
      </w:r>
      <w:r>
        <w:rPr>
          <w:rFonts w:hint="eastAsia" w:ascii="宋体" w:hAnsi="宋体" w:eastAsia="宋体" w:cs="宋体"/>
          <w:color w:val="auto"/>
          <w:sz w:val="24"/>
          <w:highlight w:val="none"/>
        </w:rPr>
        <w:t xml:space="preserve">份，具有同等法律效力</w:t>
      </w:r>
      <w:r>
        <w:rPr>
          <w:rFonts w:hint="eastAsia" w:ascii="宋体" w:hAnsi="宋体" w:eastAsia="宋体" w:cs="宋体"/>
          <w:color w:val="auto"/>
          <w:sz w:val="24"/>
          <w:highlight w:val="none"/>
          <w:lang w:val="en-US" w:eastAsia="zh-CN"/>
        </w:rPr>
        <w:t xml:space="preserve">。</w:t>
      </w:r>
      <w:r/>
    </w:p>
    <w:tbl>
      <w:tblPr>
        <w:tblStyle w:val="899"/>
        <w:tblW w:w="8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5"/>
        <w:gridCol w:w="4276"/>
      </w:tblGrid>
      <w:tr>
        <w:trPr>
          <w:jc w:val="center"/>
          <w:trHeight w:val="503"/>
        </w:trPr>
        <w:tc>
          <w:tcPr>
            <w:tcW w:w="4275"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甲方（盖章）：</w:t>
            </w:r>
            <w:r/>
          </w:p>
          <w:p>
            <w:pP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4276"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乙方（盖章）：</w:t>
            </w:r>
            <w:r/>
          </w:p>
          <w:p>
            <w:pP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200"/>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503"/>
        </w:trPr>
        <w:tc>
          <w:tcPr>
            <w:tcW w:w="4275"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开户行：</w:t>
            </w:r>
            <w:r/>
          </w:p>
        </w:tc>
        <w:tc>
          <w:tcPr>
            <w:tcW w:w="4276"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开户行：              </w:t>
            </w:r>
            <w:r/>
          </w:p>
        </w:tc>
      </w:tr>
      <w:tr>
        <w:trPr>
          <w:jc w:val="center"/>
          <w:trHeight w:val="503"/>
        </w:trPr>
        <w:tc>
          <w:tcPr>
            <w:tcW w:w="4275"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账号：</w:t>
            </w:r>
            <w:r/>
          </w:p>
        </w:tc>
        <w:tc>
          <w:tcPr>
            <w:tcW w:w="4276"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账号：</w:t>
            </w:r>
            <w:r/>
          </w:p>
        </w:tc>
      </w:tr>
      <w:tr>
        <w:trPr>
          <w:jc w:val="center"/>
          <w:trHeight w:val="503"/>
        </w:trPr>
        <w:tc>
          <w:tcPr>
            <w:tcW w:w="4275"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税号：</w:t>
            </w:r>
            <w:r/>
          </w:p>
        </w:tc>
        <w:tc>
          <w:tcPr>
            <w:tcW w:w="4276"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税号：</w:t>
            </w:r>
            <w:r/>
          </w:p>
        </w:tc>
      </w:tr>
      <w:tr>
        <w:trPr>
          <w:jc w:val="center"/>
          <w:trHeight w:val="503"/>
        </w:trPr>
        <w:tc>
          <w:tcPr>
            <w:tcW w:w="4275"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法定代表人(签字)：</w:t>
            </w:r>
            <w:r/>
          </w:p>
        </w:tc>
        <w:tc>
          <w:tcPr>
            <w:tcW w:w="4276"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法定代表人(签字)：</w:t>
            </w:r>
            <w:r/>
          </w:p>
        </w:tc>
      </w:tr>
      <w:tr>
        <w:trPr>
          <w:jc w:val="center"/>
          <w:trHeight w:val="503"/>
        </w:trPr>
        <w:tc>
          <w:tcPr>
            <w:tcW w:w="4275"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委托代理人(签字)：</w:t>
            </w:r>
            <w:r/>
          </w:p>
        </w:tc>
        <w:tc>
          <w:tcPr>
            <w:tcW w:w="4276"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委托代理人(签字)：</w:t>
            </w:r>
            <w:r/>
          </w:p>
        </w:tc>
      </w:tr>
      <w:tr>
        <w:trPr>
          <w:jc w:val="center"/>
          <w:trHeight w:val="503"/>
        </w:trPr>
        <w:tc>
          <w:tcPr>
            <w:tcW w:w="4275"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电话：</w:t>
            </w:r>
            <w:r/>
          </w:p>
        </w:tc>
        <w:tc>
          <w:tcPr>
            <w:tcW w:w="4276"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电话：</w:t>
            </w:r>
            <w:r/>
          </w:p>
        </w:tc>
      </w:tr>
      <w:tr>
        <w:trPr>
          <w:jc w:val="center"/>
          <w:trHeight w:val="503"/>
        </w:trPr>
        <w:tc>
          <w:tcPr>
            <w:tcW w:w="4275"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传真：</w:t>
            </w:r>
            <w:r/>
          </w:p>
        </w:tc>
        <w:tc>
          <w:tcPr>
            <w:tcW w:w="4276"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传真：</w:t>
            </w:r>
            <w:r/>
          </w:p>
        </w:tc>
      </w:tr>
      <w:tr>
        <w:trPr>
          <w:jc w:val="center"/>
          <w:trHeight w:val="503"/>
        </w:trPr>
        <w:tc>
          <w:tcPr>
            <w:tcW w:w="4275"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邮编：</w:t>
            </w:r>
            <w:r/>
          </w:p>
        </w:tc>
        <w:tc>
          <w:tcPr>
            <w:tcW w:w="4276"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邮编：</w:t>
            </w:r>
            <w:r/>
          </w:p>
        </w:tc>
      </w:tr>
      <w:tr>
        <w:trPr>
          <w:jc w:val="center"/>
          <w:trHeight w:val="503"/>
        </w:trPr>
        <w:tc>
          <w:tcPr>
            <w:tcW w:w="4275"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地址： </w:t>
            </w:r>
            <w:r/>
          </w:p>
        </w:tc>
        <w:tc>
          <w:tcPr>
            <w:tcW w:w="4276" w:type="dxa"/>
            <w:vAlign w:val="bottom"/>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地址： </w:t>
            </w:r>
            <w:r/>
          </w:p>
        </w:tc>
      </w:tr>
    </w:tbl>
    <w:p>
      <w:pPr>
        <w:jc w:val="center"/>
        <w:spacing w:line="360" w:lineRule="auto"/>
        <w:rPr>
          <w:b/>
          <w:color w:val="auto"/>
          <w:sz w:val="36"/>
          <w:szCs w:val="36"/>
          <w:highlight w:val="none"/>
        </w:rPr>
        <w:sectPr>
          <w:footnotePr/>
          <w:endnotePr/>
          <w:type w:val="nextPage"/>
          <w:pgSz w:w="11907" w:h="16840" w:orient="portrait"/>
          <w:pgMar w:top="1304" w:right="1304" w:bottom="1304" w:left="1304" w:header="851" w:footer="851" w:gutter="0"/>
          <w:cols w:num="1" w:sep="0" w:space="1701" w:equalWidth="1"/>
          <w:docGrid w:linePitch="360"/>
        </w:sectPr>
        <w:outlineLvl w:val="0"/>
      </w:pPr>
      <w:r>
        <w:rPr>
          <w:b/>
          <w:color w:val="auto"/>
          <w:sz w:val="36"/>
          <w:szCs w:val="36"/>
          <w:highlight w:val="none"/>
        </w:rPr>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附件：</w:t>
      </w:r>
      <w:r>
        <w:rPr>
          <w:rFonts w:hint="eastAsia" w:ascii="宋体" w:hAnsi="宋体" w:eastAsia="宋体" w:cs="宋体"/>
          <w:color w:val="auto"/>
          <w:sz w:val="24"/>
          <w:highlight w:val="none"/>
          <w:lang w:eastAsia="zh-CN"/>
        </w:rPr>
        <w:t xml:space="preserve">工程质量保修书</w:t>
      </w:r>
      <w:r/>
    </w:p>
    <w:p>
      <w:pPr>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r>
      <w:r/>
    </w:p>
    <w:p>
      <w:pPr>
        <w:jc w:val="center"/>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工程质量保修书</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ageBreakBefore w:val="0"/>
        <w:spacing w:line="440" w:lineRule="exact"/>
        <w:widowControl w:val="off"/>
        <w:rPr>
          <w:rFonts w:hint="eastAsia" w:ascii="宋体" w:hAnsi="宋体" w:eastAsia="宋体" w:cs="宋体"/>
          <w:color w:val="auto"/>
          <w:sz w:val="24"/>
          <w:highlight w:val="none"/>
          <w:u w:val="single"/>
        </w:rPr>
      </w:pPr>
      <w:r>
        <w:rPr>
          <w:rFonts w:hint="eastAsia" w:ascii="宋体" w:hAnsi="宋体" w:eastAsia="宋体" w:cs="Times New Roman"/>
          <w:color w:val="auto"/>
          <w:sz w:val="24"/>
          <w:highlight w:val="none"/>
          <w:lang w:eastAsia="zh-CN"/>
        </w:rPr>
        <w:t xml:space="preserve">发包人</w:t>
      </w:r>
      <w:r>
        <w:rPr>
          <w:rFonts w:ascii="宋体" w:hAnsi="宋体" w:eastAsia="宋体" w:cs="Times New Roman"/>
          <w:color w:val="auto"/>
          <w:sz w:val="24"/>
          <w:highlight w:val="none"/>
        </w:rPr>
        <w:t xml:space="preserve">（全称）：</w:t>
      </w:r>
      <w:r>
        <w:rPr>
          <w:rFonts w:hint="eastAsia" w:ascii="宋体" w:hAnsi="宋体" w:eastAsia="宋体" w:cs="宋体"/>
          <w:color w:val="auto"/>
          <w:sz w:val="24"/>
          <w:highlight w:val="none"/>
          <w:u w:val="single"/>
          <w:lang w:val="en-US" w:eastAsia="zh-CN"/>
        </w:rPr>
        <w:t xml:space="preserve">                        </w:t>
      </w:r>
      <w:r/>
    </w:p>
    <w:p>
      <w:pPr>
        <w:pageBreakBefore w:val="0"/>
        <w:spacing w:line="440" w:lineRule="exact"/>
        <w:widowControl w:val="off"/>
        <w:rPr>
          <w:rFonts w:hint="eastAsia" w:ascii="宋体" w:hAnsi="宋体" w:eastAsia="宋体" w:cs="宋体"/>
          <w:color w:val="auto"/>
          <w:sz w:val="24"/>
          <w:highlight w:val="none"/>
          <w:u w:val="single"/>
        </w:rPr>
      </w:pPr>
      <w:r>
        <w:rPr>
          <w:rFonts w:hint="eastAsia" w:ascii="宋体" w:hAnsi="宋体" w:eastAsia="宋体" w:cs="Times New Roman"/>
          <w:color w:val="auto"/>
          <w:sz w:val="24"/>
          <w:highlight w:val="none"/>
          <w:lang w:eastAsia="zh-CN"/>
        </w:rPr>
        <w:t xml:space="preserve">承包人</w:t>
      </w:r>
      <w:r>
        <w:rPr>
          <w:rFonts w:ascii="宋体" w:hAnsi="宋体" w:eastAsia="宋体" w:cs="Times New Roman"/>
          <w:color w:val="auto"/>
          <w:sz w:val="24"/>
          <w:highlight w:val="none"/>
        </w:rPr>
        <w:t xml:space="preserve">（全称）：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u w:val="single"/>
        </w:rPr>
        <w:t xml:space="preserve"> </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发包人和承包人根据《中华人民共和国建筑法》和《建设工程质量管理条例》，经协商一致就</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                     </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（工程全称）签订工程质量保修书。</w:t>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一、工程质量保修范围和内容</w:t>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承包人在质量保修期内，按照有关法律规定和合同约定，承担工程质量保修责任。</w:t>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pageBreakBefore w:val="0"/>
        <w:spacing w:line="440" w:lineRule="exact"/>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u w:val="single"/>
          <w:lang w:val="en-US" w:eastAsia="zh-CN"/>
        </w:rPr>
        <w:t xml:space="preserve">按合同中实际承包内容</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w:t>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二、质量保修期</w:t>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根据《建设工程质量管理条例》及有关规定，工程的质量保修期如下：</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1．地基基础工程和主体结构工程为设计文件规定的工程合理使用年限；</w:t>
      </w:r>
      <w:r/>
    </w:p>
    <w:p>
      <w:pPr>
        <w:ind w:firstLine="480"/>
        <w:pageBreakBefore w:val="0"/>
        <w:spacing w:line="440" w:lineRule="exact"/>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ascii="宋体" w:hAnsi="宋体" w:eastAsia="宋体" w:cs="Times New Roman"/>
          <w:color w:val="auto"/>
          <w:sz w:val="24"/>
          <w:highlight w:val="none"/>
        </w:rPr>
        <w:t xml:space="preserve">屋面防水工程、有防水要求的卫生间、房间和外墙面的防渗</w:t>
      </w:r>
      <w:r>
        <w:rPr>
          <w:rFonts w:hint="eastAsia" w:ascii="宋体" w:hAnsi="宋体" w:eastAsia="宋体" w:cs="Times New Roman"/>
          <w:color w:val="auto"/>
          <w:sz w:val="24"/>
          <w:highlight w:val="none"/>
        </w:rPr>
        <w:t xml:space="preserve">为</w:t>
      </w:r>
      <w:r>
        <w:rPr>
          <w:rFonts w:hint="eastAsia" w:ascii="宋体" w:hAnsi="宋体" w:eastAsia="宋体" w:cs="Times New Roman"/>
          <w:color w:val="auto"/>
          <w:sz w:val="24"/>
          <w:highlight w:val="none"/>
          <w:u w:val="single"/>
        </w:rPr>
        <w:t xml:space="preserve">  5  </w:t>
      </w:r>
      <w:r>
        <w:rPr>
          <w:rFonts w:ascii="宋体" w:hAnsi="宋体" w:eastAsia="宋体" w:cs="Times New Roman"/>
          <w:color w:val="auto"/>
          <w:sz w:val="24"/>
          <w:highlight w:val="none"/>
        </w:rPr>
        <w:t xml:space="preserve">年；</w:t>
      </w:r>
      <w:r/>
    </w:p>
    <w:p>
      <w:pPr>
        <w:ind w:firstLine="480"/>
        <w:pageBreakBefore w:val="0"/>
        <w:spacing w:line="440" w:lineRule="exact"/>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ascii="宋体" w:hAnsi="宋体" w:eastAsia="宋体" w:cs="Times New Roman"/>
          <w:color w:val="auto"/>
          <w:sz w:val="24"/>
          <w:highlight w:val="none"/>
        </w:rPr>
        <w:t xml:space="preserve">装修工程为</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2</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年；</w:t>
      </w:r>
      <w:r/>
    </w:p>
    <w:p>
      <w:pPr>
        <w:ind w:firstLine="480"/>
        <w:pageBreakBefore w:val="0"/>
        <w:spacing w:line="440" w:lineRule="exact"/>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w:t>
      </w:r>
      <w:r>
        <w:rPr>
          <w:rFonts w:ascii="宋体" w:hAnsi="宋体" w:eastAsia="宋体" w:cs="Times New Roman"/>
          <w:color w:val="auto"/>
          <w:sz w:val="24"/>
          <w:highlight w:val="none"/>
        </w:rPr>
        <w:t xml:space="preserve">电气管线、给排水管道、设备安装工程为</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2</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年；</w:t>
      </w:r>
      <w:r/>
    </w:p>
    <w:p>
      <w:pPr>
        <w:ind w:firstLine="480"/>
        <w:pageBreakBefore w:val="0"/>
        <w:spacing w:line="440" w:lineRule="exact"/>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w:t>
      </w:r>
      <w:r>
        <w:rPr>
          <w:rFonts w:ascii="宋体" w:hAnsi="宋体" w:eastAsia="宋体" w:cs="Times New Roman"/>
          <w:color w:val="auto"/>
          <w:sz w:val="24"/>
          <w:highlight w:val="none"/>
        </w:rPr>
        <w:t xml:space="preserve">供热与供冷系统为</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2</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个采暖期、供冷期；</w:t>
      </w:r>
      <w:r/>
    </w:p>
    <w:p>
      <w:pPr>
        <w:ind w:firstLine="480"/>
        <w:pageBreakBefore w:val="0"/>
        <w:spacing w:line="440" w:lineRule="exact"/>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w:t>
      </w:r>
      <w:r>
        <w:rPr>
          <w:rFonts w:ascii="宋体" w:hAnsi="宋体" w:eastAsia="宋体" w:cs="Times New Roman"/>
          <w:color w:val="auto"/>
          <w:sz w:val="24"/>
          <w:highlight w:val="none"/>
        </w:rPr>
        <w:t xml:space="preserve">住宅小区内的给排水设施、道路等配套工程为</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2</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年；</w:t>
      </w:r>
      <w:r/>
    </w:p>
    <w:p>
      <w:pPr>
        <w:ind w:firstLine="480"/>
        <w:pageBreakBefore w:val="0"/>
        <w:spacing w:line="440" w:lineRule="exact"/>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w:t>
      </w:r>
      <w:r>
        <w:rPr>
          <w:rFonts w:ascii="宋体" w:hAnsi="宋体" w:eastAsia="宋体" w:cs="Times New Roman"/>
          <w:color w:val="auto"/>
          <w:sz w:val="24"/>
          <w:highlight w:val="none"/>
        </w:rPr>
        <w:t xml:space="preserve">其他项目保修期限约定如下：</w:t>
      </w:r>
      <w:r/>
    </w:p>
    <w:p>
      <w:pPr>
        <w:ind w:firstLine="480"/>
        <w:pageBreakBefore w:val="0"/>
        <w:spacing w:line="440" w:lineRule="exact"/>
        <w:widowControl w:val="off"/>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lang w:val="en-US" w:eastAsia="zh-CN"/>
        </w:rPr>
        <w:t xml:space="preserve">本项目中每个单项工程质保期为2年；</w:t>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u w:val="single"/>
        </w:rPr>
        <w:t xml:space="preserve">质量保修期</w:t>
      </w:r>
      <w:r>
        <w:rPr>
          <w:rFonts w:hint="eastAsia" w:ascii="宋体" w:hAnsi="宋体" w:eastAsia="宋体" w:cs="Times New Roman"/>
          <w:color w:val="auto"/>
          <w:sz w:val="24"/>
          <w:highlight w:val="none"/>
          <w:u w:val="single"/>
          <w:lang w:val="en-US" w:eastAsia="zh-CN"/>
        </w:rPr>
        <w:t xml:space="preserve">自单项工程竣工验收合格之日起计算</w:t>
      </w:r>
      <w:r>
        <w:rPr>
          <w:rFonts w:hint="eastAsia" w:ascii="宋体" w:hAnsi="宋体" w:eastAsia="宋体" w:cs="Times New Roman"/>
          <w:color w:val="auto"/>
          <w:sz w:val="24"/>
          <w:highlight w:val="none"/>
          <w:u w:val="single"/>
        </w:rPr>
        <w:t xml:space="preserve">。</w:t>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三、缺陷责任期</w:t>
      </w:r>
      <w:r/>
    </w:p>
    <w:p>
      <w:pPr>
        <w:ind w:firstLine="480"/>
        <w:pageBreakBefore w:val="0"/>
        <w:spacing w:line="440" w:lineRule="exact"/>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u w:val="single"/>
          <w:lang w:val="en-US" w:eastAsia="zh-CN"/>
        </w:rPr>
        <w:t xml:space="preserve">每个单项工程</w:t>
      </w:r>
      <w:r>
        <w:rPr>
          <w:rFonts w:ascii="宋体" w:hAnsi="宋体" w:eastAsia="宋体" w:cs="Times New Roman"/>
          <w:color w:val="auto"/>
          <w:sz w:val="24"/>
          <w:highlight w:val="none"/>
        </w:rPr>
        <w:t xml:space="preserve">工程缺陷责任期为</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24</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个月，缺陷责任期</w:t>
      </w:r>
      <w:r>
        <w:rPr>
          <w:rFonts w:hint="eastAsia" w:ascii="宋体" w:hAnsi="宋体" w:eastAsia="宋体" w:cs="Times New Roman"/>
          <w:color w:val="auto"/>
          <w:sz w:val="24"/>
          <w:highlight w:val="none"/>
          <w:u w:val="single"/>
          <w:lang w:val="en-US" w:eastAsia="zh-CN"/>
        </w:rPr>
        <w:t xml:space="preserve">自单项工程竣工验收合格之日起计算</w:t>
      </w:r>
      <w:r>
        <w:rPr>
          <w:rFonts w:ascii="宋体" w:hAnsi="宋体" w:eastAsia="宋体" w:cs="Times New Roman"/>
          <w:color w:val="auto"/>
          <w:sz w:val="24"/>
          <w:highlight w:val="none"/>
        </w:rPr>
        <w:t xml:space="preserve">。</w:t>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缺陷责任期终止后，发包人应退还剩余的质量保证金。</w:t>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四、质量保修责任</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2．发生紧急事故需抢修的，承包人在接到事故通知后，应当立即到达事故现场抢修。</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．质量保修完成后，由发包人组织验收。</w:t>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五、保修费用</w:t>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保修费用由造成质量缺陷的责任方承担。</w:t>
      </w:r>
      <w:r/>
    </w:p>
    <w:p>
      <w:pPr>
        <w:ind w:firstLine="480"/>
        <w:pageBreakBefore w:val="0"/>
        <w:spacing w:line="440" w:lineRule="exact"/>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六、双方约定的其他工程质量保修事项：</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无</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w:t>
      </w:r>
      <w:r/>
    </w:p>
    <w:p>
      <w:pPr>
        <w:ind w:firstLine="480"/>
        <w:pageBreakBefore w:val="0"/>
        <w:spacing w:line="440" w:lineRule="exact"/>
        <w:widowControl w:val="off"/>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工程质量保修书由发包人、承包人共同签署，作为施工合同附件，其有效期限至保修期满。</w:t>
      </w:r>
      <w:r/>
    </w:p>
    <w:p>
      <w:pPr>
        <w:ind w:firstLine="24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  包  人：                        承  包  人：                     </w:t>
      </w:r>
      <w:r/>
    </w:p>
    <w:p>
      <w:pPr>
        <w:ind w:firstLine="24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（盖章）                            （盖章）</w:t>
      </w:r>
      <w:r/>
    </w:p>
    <w:p>
      <w:pPr>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法定代表人：            </w:t>
      </w:r>
      <w:r/>
    </w:p>
    <w:p>
      <w:pPr>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（签字或盖章）                      （签字或盖章）</w:t>
      </w:r>
      <w:r/>
    </w:p>
    <w:p>
      <w:pPr>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  办  人：                        经  办  人：  </w:t>
      </w:r>
      <w:r/>
    </w:p>
    <w:p>
      <w:pPr>
        <w:ind w:firstLine="36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                            （签字）</w:t>
      </w:r>
      <w:r/>
    </w:p>
    <w:p>
      <w:pPr>
        <w:jc w:val="center"/>
        <w:spacing w:line="360" w:lineRule="auto"/>
        <w:rPr>
          <w:b/>
          <w:color w:val="auto"/>
          <w:sz w:val="36"/>
          <w:szCs w:val="36"/>
          <w:highlight w:val="none"/>
        </w:rPr>
        <w:sectPr>
          <w:footnotePr/>
          <w:endnotePr/>
          <w:type w:val="nextPage"/>
          <w:pgSz w:w="11907" w:h="16840" w:orient="portrait"/>
          <w:pgMar w:top="1304" w:right="1304" w:bottom="1304" w:left="1304" w:header="851" w:footer="851" w:gutter="0"/>
          <w:cols w:num="1" w:sep="0" w:space="1701" w:equalWidth="1"/>
          <w:docGrid w:linePitch="360"/>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674" w:name="_Toc1621"/>
      <w:r>
        <w:rPr>
          <w:b/>
          <w:color w:val="auto"/>
          <w:sz w:val="36"/>
          <w:szCs w:val="36"/>
          <w:highlight w:val="none"/>
        </w:rPr>
        <w:t xml:space="preserve">第六章   响应文件格式</w:t>
      </w:r>
      <w:bookmarkEnd w:id="674"/>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bookmarkStart w:id="745" w:name="_GoBack"/>
      <w:r/>
      <w:bookmarkEnd w:id="745"/>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075"/>
        <w:rPr>
          <w:rFonts w:ascii="Times New Roman"/>
          <w:b w:val="0"/>
          <w:bCs/>
          <w:color w:val="auto"/>
          <w:highlight w:val="none"/>
          <w:u w:val="none"/>
        </w:rPr>
      </w:pPr>
      <w:r>
        <w:rPr>
          <w:rFonts w:ascii="Times New Roman"/>
          <w:b w:val="0"/>
          <w:color w:val="auto"/>
          <w:highlight w:val="none"/>
          <w:u w:val="none"/>
        </w:rPr>
        <w:t xml:space="preserve">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094"/>
        <w:ind w:firstLine="480"/>
        <w:spacing w:line="460" w:lineRule="exact"/>
        <w:rPr>
          <w:color w:val="auto"/>
          <w:highlight w:val="none"/>
        </w:rPr>
      </w:pPr>
      <w:r>
        <w:rPr>
          <w:color w:val="auto"/>
          <w:highlight w:val="none"/>
        </w:rPr>
      </w:r>
      <w:r/>
    </w:p>
    <w:p>
      <w:pPr>
        <w:pStyle w:val="1094"/>
        <w:ind w:firstLine="480"/>
        <w:spacing w:line="460" w:lineRule="exact"/>
        <w:rPr>
          <w:color w:val="auto"/>
          <w:highlight w:val="none"/>
          <w:u w:val="single"/>
        </w:rPr>
      </w:pPr>
      <w:r>
        <w:rPr>
          <w:rFonts w:hint="eastAsia"/>
          <w:color w:val="auto"/>
          <w:highlight w:val="none"/>
        </w:rPr>
        <w:t xml:space="preserve">致：</w:t>
      </w:r>
      <w:r>
        <w:rPr>
          <w:rFonts w:hint="eastAsia"/>
          <w:color w:val="auto"/>
          <w:highlight w:val="none"/>
          <w:u w:val="single"/>
        </w:rPr>
        <w:t xml:space="preserve">（采购人名称）</w:t>
      </w:r>
      <w:r/>
    </w:p>
    <w:p>
      <w:pPr>
        <w:pStyle w:val="1094"/>
        <w:ind w:firstLine="480"/>
        <w:spacing w:line="460" w:lineRule="exact"/>
        <w:rPr>
          <w:color w:val="auto"/>
          <w:highlight w:val="none"/>
        </w:rPr>
      </w:pPr>
      <w:r>
        <w:rPr>
          <w:color w:val="auto"/>
          <w:highlight w:val="none"/>
        </w:rPr>
      </w:r>
      <w:r/>
    </w:p>
    <w:p>
      <w:pPr>
        <w:pStyle w:val="1094"/>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094"/>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p>
    <w:p>
      <w:pPr>
        <w:pStyle w:val="1094"/>
        <w:ind w:firstLine="480"/>
        <w:spacing w:line="460" w:lineRule="exact"/>
        <w:rPr>
          <w:color w:val="auto"/>
          <w:highlight w:val="none"/>
        </w:rPr>
      </w:pPr>
      <w:r>
        <w:rPr>
          <w:rFonts w:hint="eastAsia"/>
          <w:color w:val="auto"/>
          <w:highlight w:val="none"/>
        </w:rPr>
        <w:t xml:space="preserve">二、我单位具有良好的商业信誉（指供应商经营状况良好，无本资格声明第</w:t>
      </w:r>
      <w:r>
        <w:rPr>
          <w:rFonts w:hint="eastAsia"/>
          <w:color w:val="auto"/>
          <w:highlight w:val="none"/>
          <w:lang w:val="en-US" w:eastAsia="zh-CN"/>
        </w:rPr>
        <w:t xml:space="preserve">九</w:t>
      </w:r>
      <w:r>
        <w:rPr>
          <w:rFonts w:hint="eastAsia"/>
          <w:color w:val="auto"/>
          <w:highlight w:val="none"/>
        </w:rPr>
        <w:t xml:space="preserve">条情形）和健全的财务会计制度。</w:t>
      </w:r>
      <w:r/>
    </w:p>
    <w:p>
      <w:pPr>
        <w:pStyle w:val="1094"/>
        <w:ind w:firstLine="480"/>
        <w:spacing w:line="460" w:lineRule="exact"/>
        <w:rPr>
          <w:color w:val="auto"/>
          <w:highlight w:val="none"/>
        </w:rPr>
      </w:pPr>
      <w:r>
        <w:rPr>
          <w:rFonts w:hint="eastAsia"/>
          <w:color w:val="auto"/>
          <w:highlight w:val="none"/>
          <w:lang w:val="en-US" w:eastAsia="zh-CN"/>
        </w:rPr>
        <w:t xml:space="preserve">三</w:t>
      </w:r>
      <w:r>
        <w:rPr>
          <w:rFonts w:hint="eastAsia"/>
          <w:color w:val="auto"/>
          <w:highlight w:val="none"/>
        </w:rPr>
        <w:t xml:space="preserve">、我单位依法进行纳税和社会保险申报并实际履行了义务。</w:t>
      </w:r>
      <w:r/>
    </w:p>
    <w:p>
      <w:pPr>
        <w:pStyle w:val="1094"/>
        <w:ind w:firstLine="480"/>
        <w:spacing w:line="460" w:lineRule="exact"/>
        <w:rPr>
          <w:color w:val="auto"/>
          <w:highlight w:val="none"/>
        </w:rPr>
      </w:pPr>
      <w:r>
        <w:rPr>
          <w:rFonts w:hint="eastAsia"/>
          <w:color w:val="auto"/>
          <w:highlight w:val="none"/>
          <w:lang w:val="en-US" w:eastAsia="zh-CN"/>
        </w:rPr>
        <w:t xml:space="preserve">四</w:t>
      </w:r>
      <w:r>
        <w:rPr>
          <w:rFonts w:hint="eastAsia"/>
          <w:color w:val="auto"/>
          <w:highlight w:val="none"/>
        </w:rPr>
        <w:t xml:space="preserve">、我单位具有履行本项目采购合同所必需的设备和专业技术能力，并具有履行合同的良好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94"/>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094"/>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094"/>
        <w:ind w:firstLine="480"/>
        <w:spacing w:line="460" w:lineRule="exact"/>
        <w:rPr>
          <w:color w:val="auto"/>
          <w:highlight w:val="none"/>
        </w:rPr>
      </w:pPr>
      <w:r>
        <w:rPr>
          <w:rFonts w:hint="eastAsia"/>
          <w:color w:val="auto"/>
          <w:highlight w:val="none"/>
          <w:lang w:val="en-US" w:eastAsia="zh-CN"/>
        </w:rPr>
        <w:t xml:space="preserve">五</w:t>
      </w:r>
      <w:r>
        <w:rPr>
          <w:rFonts w:hint="eastAsia"/>
          <w:color w:val="auto"/>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94"/>
        <w:ind w:firstLine="480"/>
        <w:spacing w:line="460" w:lineRule="exact"/>
        <w:rPr>
          <w:color w:val="auto"/>
          <w:highlight w:val="none"/>
        </w:rPr>
      </w:pPr>
      <w:r>
        <w:rPr>
          <w:rFonts w:hint="eastAsia"/>
          <w:color w:val="auto"/>
          <w:highlight w:val="none"/>
          <w:lang w:val="en-US" w:eastAsia="zh-CN"/>
        </w:rPr>
        <w:t xml:space="preserve">六</w:t>
      </w:r>
      <w:r>
        <w:rPr>
          <w:rFonts w:hint="eastAsia"/>
          <w:color w:val="auto"/>
          <w:highlight w:val="none"/>
        </w:rPr>
        <w:t xml:space="preserve">、我单位具备法律、行政法规规定的其他条件。</w:t>
      </w:r>
      <w:r/>
    </w:p>
    <w:p>
      <w:pPr>
        <w:pStyle w:val="1094"/>
        <w:ind w:firstLine="480"/>
        <w:spacing w:line="460" w:lineRule="exact"/>
        <w:rPr>
          <w:color w:val="auto"/>
          <w:highlight w:val="none"/>
        </w:rPr>
      </w:pPr>
      <w:r>
        <w:rPr>
          <w:rFonts w:hint="eastAsia"/>
          <w:color w:val="auto"/>
          <w:highlight w:val="none"/>
          <w:lang w:val="en-US" w:eastAsia="zh-CN"/>
        </w:rPr>
        <w:t xml:space="preserve">七</w:t>
      </w:r>
      <w:r>
        <w:rPr>
          <w:rFonts w:hint="eastAsia"/>
          <w:color w:val="auto"/>
          <w:highlight w:val="none"/>
        </w:rPr>
        <w:t xml:space="preserve">、与我单位存在“单位负责人为同一人或者存在直接控股、管理关系”的其他单位信息如下（如无此情形的，填写“无”）：</w:t>
      </w:r>
      <w:r/>
    </w:p>
    <w:p>
      <w:pPr>
        <w:pStyle w:val="1094"/>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094"/>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94"/>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94"/>
        <w:ind w:firstLine="480"/>
        <w:spacing w:line="460" w:lineRule="exact"/>
        <w:rPr>
          <w:color w:val="auto"/>
          <w:highlight w:val="none"/>
        </w:rPr>
      </w:pPr>
      <w:r>
        <w:rPr>
          <w:rFonts w:hint="eastAsia"/>
          <w:color w:val="auto"/>
          <w:highlight w:val="none"/>
          <w:lang w:val="en-US" w:eastAsia="zh-CN"/>
        </w:rPr>
        <w:t xml:space="preserve">八</w:t>
      </w:r>
      <w:r>
        <w:rPr>
          <w:rFonts w:hint="eastAsia"/>
          <w:color w:val="auto"/>
          <w:highlight w:val="none"/>
        </w:rPr>
        <w:t xml:space="preserve">、</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094"/>
        <w:ind w:firstLine="480"/>
        <w:spacing w:line="460" w:lineRule="exact"/>
        <w:rPr>
          <w:color w:val="auto"/>
          <w:highlight w:val="none"/>
        </w:rPr>
      </w:pPr>
      <w:r>
        <w:rPr>
          <w:rFonts w:hint="eastAsia"/>
          <w:color w:val="auto"/>
          <w:highlight w:val="none"/>
          <w:lang w:val="en-US" w:eastAsia="zh-CN"/>
        </w:rPr>
        <w:t xml:space="preserve">九</w:t>
      </w:r>
      <w:r>
        <w:rPr>
          <w:rFonts w:hint="eastAsia"/>
          <w:color w:val="auto"/>
          <w:highlight w:val="none"/>
        </w:rPr>
        <w:t xml:space="preserve">、</w:t>
      </w:r>
      <w:r>
        <w:rPr>
          <w:color w:val="auto"/>
          <w:highlight w:val="none"/>
        </w:rPr>
        <w:t xml:space="preserve">我单位无以下不良信用记录情形：</w:t>
      </w:r>
      <w:r/>
    </w:p>
    <w:p>
      <w:pPr>
        <w:pStyle w:val="1094"/>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94"/>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94"/>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94"/>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94"/>
        <w:ind w:firstLine="480"/>
        <w:spacing w:line="460" w:lineRule="exact"/>
        <w:rPr>
          <w:color w:val="auto"/>
          <w:highlight w:val="none"/>
        </w:rPr>
      </w:pPr>
      <w:r>
        <w:rPr>
          <w:rFonts w:hint="eastAsia"/>
          <w:color w:val="auto"/>
          <w:highlight w:val="none"/>
        </w:rPr>
        <w:t xml:space="preserve">                                        供应商：（加盖公章）</w:t>
      </w:r>
      <w:r/>
    </w:p>
    <w:p>
      <w:pPr>
        <w:pStyle w:val="1094"/>
        <w:ind w:firstLine="480"/>
        <w:spacing w:line="460" w:lineRule="exact"/>
        <w:rPr>
          <w:color w:val="auto"/>
          <w:highlight w:val="none"/>
        </w:rPr>
      </w:pPr>
      <w:r>
        <w:rPr>
          <w:rFonts w:hint="eastAsia"/>
          <w:color w:val="auto"/>
          <w:highlight w:val="none"/>
        </w:rPr>
        <w:t xml:space="preserve">                                       法定代表人（或单位负责人）签字或盖章：</w:t>
      </w:r>
      <w:r/>
    </w:p>
    <w:p>
      <w:pPr>
        <w:pStyle w:val="1094"/>
        <w:ind w:firstLine="4920"/>
        <w:spacing w:line="460" w:lineRule="exact"/>
        <w:rPr>
          <w:rFonts w:hint="eastAsia"/>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headerReference w:type="default" r:id="rId12"/>
          <w:footerReference w:type="default" r:id="rId20"/>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rFonts w:hint="eastAsia"/>
          <w:color w:val="auto"/>
          <w:sz w:val="24"/>
          <w:szCs w:val="20"/>
          <w:highlight w:val="none"/>
        </w:rPr>
        <w:outlineLvl w:val="2"/>
      </w:pPr>
      <w:r>
        <w:rPr>
          <w:color w:val="auto"/>
          <w:sz w:val="24"/>
          <w:szCs w:val="20"/>
          <w:highlight w:val="none"/>
        </w:rPr>
        <w:t xml:space="preserve">中小企业声明函</w:t>
      </w:r>
      <w:r>
        <w:rPr>
          <w:rFonts w:hint="eastAsia"/>
          <w:color w:val="auto"/>
          <w:sz w:val="24"/>
          <w:szCs w:val="20"/>
          <w:highlight w:val="none"/>
        </w:rPr>
        <w:t xml:space="preserve">（实质性格式）</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jc w:val="center"/>
        <w:spacing w:line="360" w:lineRule="auto"/>
        <w:rPr>
          <w:b/>
          <w:bCs/>
          <w:color w:val="auto"/>
          <w:sz w:val="36"/>
          <w:szCs w:val="36"/>
          <w:highlight w:val="none"/>
        </w:rPr>
        <w:outlineLvl w:val="2"/>
      </w:pPr>
      <w:r>
        <w:rPr>
          <w:rFonts w:hint="eastAsia"/>
          <w:b/>
          <w:bCs/>
          <w:color w:val="auto"/>
          <w:sz w:val="36"/>
          <w:szCs w:val="36"/>
          <w:highlight w:val="none"/>
        </w:rPr>
        <w:t xml:space="preserve">中小企业声明函（工程）格式</w:t>
      </w:r>
      <w:r/>
    </w:p>
    <w:p>
      <w:pPr>
        <w:ind w:firstLine="504"/>
        <w:spacing w:line="360" w:lineRule="auto"/>
        <w:rPr>
          <w:color w:val="auto"/>
          <w:spacing w:val="6"/>
          <w:sz w:val="24"/>
          <w:highlight w:val="none"/>
        </w:rPr>
      </w:pPr>
      <w:r>
        <w:rPr>
          <w:color w:val="auto"/>
          <w:spacing w:val="6"/>
          <w:sz w:val="24"/>
          <w:highlight w:val="none"/>
        </w:rPr>
        <w:t xml:space="preserve">本公司郑重声明，根据《政府采购促进中小企业发展管理办法》（财库﹝2020﹞46 号）的规定，本公司参加</w:t>
      </w:r>
      <w:r>
        <w:rPr>
          <w:color w:val="auto"/>
          <w:spacing w:val="6"/>
          <w:sz w:val="24"/>
          <w:highlight w:val="none"/>
          <w:u w:val="single"/>
        </w:rPr>
        <w:t xml:space="preserve">（单位名称）</w:t>
      </w:r>
      <w:r>
        <w:rPr>
          <w:color w:val="auto"/>
          <w:spacing w:val="6"/>
          <w:sz w:val="24"/>
          <w:highlight w:val="none"/>
        </w:rPr>
        <w:t xml:space="preserve">的</w:t>
      </w:r>
      <w:r>
        <w:rPr>
          <w:color w:val="auto"/>
          <w:spacing w:val="6"/>
          <w:sz w:val="24"/>
          <w:highlight w:val="none"/>
          <w:u w:val="single"/>
        </w:rPr>
        <w:t xml:space="preserve">（项目名称）</w:t>
      </w:r>
      <w:r>
        <w:rPr>
          <w:color w:val="auto"/>
          <w:spacing w:val="6"/>
          <w:sz w:val="24"/>
          <w:highlight w:val="none"/>
        </w:rPr>
        <w:t xml:space="preserve">采购活动，工程的施工单位全部为符合政策要求的中小企业。相关企业的具体情况如下：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rPr>
        <w:t xml:space="preserve">竞争性磋商文件</w:t>
      </w:r>
      <w:r>
        <w:rPr>
          <w:color w:val="auto"/>
          <w:spacing w:val="6"/>
          <w:sz w:val="24"/>
          <w:highlight w:val="none"/>
          <w:u w:val="single"/>
        </w:rPr>
        <w:t xml:space="preserve">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rPr>
        <w:t xml:space="preserve">竞争性磋商文件</w:t>
      </w:r>
      <w:r>
        <w:rPr>
          <w:color w:val="auto"/>
          <w:spacing w:val="6"/>
          <w:sz w:val="24"/>
          <w:highlight w:val="none"/>
          <w:u w:val="single"/>
        </w:rPr>
        <w:t xml:space="preserve">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89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widowControl/>
        <w:rPr>
          <w:color w:val="auto"/>
          <w:sz w:val="24"/>
          <w:highlight w:val="none"/>
        </w:rPr>
      </w:pPr>
      <w:r>
        <w:rPr>
          <w:color w:val="auto"/>
          <w:sz w:val="24"/>
          <w:highlight w:val="none"/>
        </w:rPr>
      </w:r>
      <w:r/>
    </w:p>
    <w:p>
      <w:pPr>
        <w:pStyle w:val="924"/>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924"/>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924"/>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924"/>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924"/>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924"/>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924"/>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924"/>
        <w:ind w:firstLine="480"/>
        <w:rPr>
          <w:color w:val="auto"/>
          <w:highlight w:val="none"/>
        </w:rPr>
      </w:pPr>
      <w:r>
        <w:rPr>
          <w:color w:val="auto"/>
          <w:highlight w:val="none"/>
        </w:rPr>
      </w:r>
      <w:r/>
    </w:p>
    <w:p>
      <w:pPr>
        <w:spacing w:line="360" w:lineRule="auto"/>
        <w:rPr>
          <w:color w:val="auto"/>
          <w:sz w:val="24"/>
          <w:highlight w:val="none"/>
        </w:rPr>
        <w:outlineLvl w:val="2"/>
      </w:pPr>
      <w:r>
        <w:rPr>
          <w:color w:val="auto"/>
          <w:sz w:val="24"/>
          <w:szCs w:val="20"/>
          <w:highlight w:val="none"/>
        </w:rPr>
        <w:t xml:space="preserve">3 </w:t>
      </w:r>
      <w:r>
        <w:rPr>
          <w:color w:val="auto"/>
          <w:sz w:val="24"/>
          <w:highlight w:val="none"/>
        </w:rPr>
        <w:t xml:space="preserve">本项目的特定资格要求</w:t>
      </w:r>
      <w:r/>
    </w:p>
    <w:p>
      <w:pPr>
        <w:spacing w:line="360" w:lineRule="auto"/>
        <w:tabs>
          <w:tab w:val="left" w:pos="5580" w:leader="none"/>
        </w:tabs>
        <w:rPr>
          <w:color w:val="auto"/>
          <w:sz w:val="24"/>
          <w:szCs w:val="20"/>
          <w:highlight w:val="none"/>
        </w:rPr>
      </w:pPr>
      <w:r>
        <w:rPr>
          <w:color w:val="auto"/>
          <w:sz w:val="24"/>
          <w:szCs w:val="20"/>
          <w:highlight w:val="none"/>
        </w:rPr>
      </w:r>
      <w:r/>
    </w:p>
    <w:p>
      <w:pPr>
        <w:spacing w:line="360" w:lineRule="auto"/>
        <w:rPr>
          <w:color w:val="auto"/>
          <w:sz w:val="24"/>
          <w:szCs w:val="20"/>
          <w:highlight w:val="none"/>
        </w:rPr>
        <w:outlineLvl w:val="2"/>
      </w:pPr>
      <w:r>
        <w:rPr>
          <w:b/>
          <w:color w:val="auto"/>
          <w:sz w:val="24"/>
          <w:highlight w:val="none"/>
        </w:rPr>
        <w:br w:type="page" w:clear="all"/>
      </w:r>
      <w:bookmarkStart w:id="675" w:name="_Toc226309801"/>
      <w:r/>
      <w:bookmarkStart w:id="676" w:name="_Toc127151557"/>
      <w:r/>
      <w:bookmarkStart w:id="677" w:name="_Toc265228395"/>
      <w:r/>
      <w:bookmarkStart w:id="678" w:name="_Toc520356218"/>
      <w:r/>
      <w:bookmarkStart w:id="679" w:name="_Toc264969247"/>
      <w:r/>
      <w:bookmarkStart w:id="680" w:name="_Toc226337253"/>
      <w:r/>
      <w:bookmarkStart w:id="681" w:name="_Toc226965830"/>
      <w:r/>
      <w:bookmarkStart w:id="682" w:name="_Toc305158899"/>
      <w:r/>
      <w:bookmarkStart w:id="683" w:name="_Toc195842922"/>
      <w:r/>
      <w:bookmarkStart w:id="684" w:name="_Toc150774762"/>
      <w:r/>
      <w:bookmarkStart w:id="685" w:name="_Toc305158825"/>
      <w:r/>
      <w:bookmarkStart w:id="686" w:name="_Toc142311059"/>
      <w:r/>
      <w:bookmarkStart w:id="687" w:name="_Ref467988705"/>
      <w:r/>
      <w:bookmarkStart w:id="688" w:name="_Toc150480795"/>
      <w:r/>
      <w:bookmarkStart w:id="689" w:name="_Toc226965747"/>
      <w:r/>
      <w:bookmarkStart w:id="690" w:name="_Toc480942350"/>
      <w:r>
        <w:rPr>
          <w:rFonts w:hint="eastAsia"/>
          <w:color w:val="auto"/>
          <w:sz w:val="24"/>
          <w:highlight w:val="none"/>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rFonts w:hint="eastAsia"/>
          <w:color w:val="auto"/>
          <w:sz w:val="24"/>
          <w:highlight w:val="none"/>
        </w:rPr>
      </w:pPr>
      <w:r/>
      <w:bookmarkStart w:id="691" w:name="_Hlt520355938"/>
      <w:r/>
      <w:bookmarkEnd w:id="691"/>
      <w:r/>
      <w:bookmarkStart w:id="692" w:name="_Hlt520356243"/>
      <w:r/>
      <w:bookmarkEnd w:id="692"/>
      <w:r>
        <w:rPr>
          <w:color w:val="auto"/>
          <w:sz w:val="24"/>
          <w:highlight w:val="none"/>
        </w:rPr>
        <w:br w:type="page" w:clear="all"/>
      </w:r>
      <w:r/>
    </w:p>
    <w:p>
      <w:pPr>
        <w:jc w:val="left"/>
        <w:widowControl/>
        <w:rPr>
          <w:rFonts w:hint="eastAsia"/>
          <w:color w:val="auto"/>
          <w:sz w:val="24"/>
          <w:highlight w:val="none"/>
        </w:rPr>
      </w:pPr>
      <w:r>
        <w:rPr>
          <w:rFonts w:hint="eastAsia"/>
          <w:color w:val="auto"/>
          <w:sz w:val="24"/>
          <w:highlight w:val="none"/>
        </w:rPr>
        <w:t xml:space="preserve">5</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103"/>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89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lang w:val="en-US" w:eastAsia="zh-CN"/>
        </w:rPr>
        <w:t xml:space="preserve">或</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pStyle w:val="890"/>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pStyle w:val="890"/>
        <w:rPr>
          <w:rFonts w:hint="eastAsia"/>
          <w:color w:val="auto"/>
          <w:highlight w:val="none"/>
        </w:rPr>
      </w:pPr>
      <w:r>
        <w:rPr>
          <w:rFonts w:hint="eastAsia"/>
          <w:color w:val="auto"/>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t xml:space="preserve">6  政府采购供应商信用承诺书</w:t>
      </w:r>
      <w:r>
        <w:rPr>
          <w:color w:val="auto"/>
          <w:sz w:val="24"/>
          <w:szCs w:val="20"/>
          <w:highlight w:val="none"/>
        </w:rPr>
        <w:t xml:space="preserve">（实质性格式）</w:t>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326"/>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7  报价一览表</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
    </w:p>
    <w:p>
      <w:pPr>
        <w:jc w:val="center"/>
        <w:rPr>
          <w:b/>
          <w:color w:val="auto"/>
          <w:sz w:val="36"/>
          <w:szCs w:val="36"/>
          <w:highlight w:val="none"/>
        </w:rPr>
      </w:pPr>
      <w:r/>
      <w:bookmarkStart w:id="693" w:name="_Toc226965831"/>
      <w:r/>
      <w:bookmarkStart w:id="694" w:name="_Toc305158900"/>
      <w:r/>
      <w:bookmarkStart w:id="695" w:name="_Toc195842923"/>
      <w:r/>
      <w:bookmarkStart w:id="696" w:name="_Toc226337254"/>
      <w:r/>
      <w:bookmarkStart w:id="697" w:name="_Toc164608827"/>
      <w:r/>
      <w:bookmarkStart w:id="698" w:name="_Toc226965748"/>
      <w:r/>
      <w:bookmarkStart w:id="699" w:name="_Toc164608672"/>
      <w:r/>
      <w:bookmarkStart w:id="700" w:name="_Toc264969248"/>
      <w:r/>
      <w:bookmarkStart w:id="701" w:name="_Toc226309802"/>
      <w:r/>
      <w:bookmarkStart w:id="702" w:name="_Toc265228396"/>
      <w:r/>
      <w:bookmarkStart w:id="703" w:name="_Toc305158826"/>
      <w:r>
        <w:rPr>
          <w:rFonts w:hint="eastAsia"/>
          <w:b/>
          <w:color w:val="auto"/>
          <w:sz w:val="36"/>
          <w:szCs w:val="36"/>
          <w:highlight w:val="none"/>
        </w:rPr>
        <w:t xml:space="preserve">报价一览表</w:t>
      </w:r>
      <w:bookmarkEnd w:id="693"/>
      <w:r/>
      <w:bookmarkEnd w:id="694"/>
      <w:r/>
      <w:bookmarkEnd w:id="695"/>
      <w:r/>
      <w:bookmarkEnd w:id="696"/>
      <w:r/>
      <w:bookmarkEnd w:id="697"/>
      <w:r/>
      <w:bookmarkEnd w:id="698"/>
      <w:r/>
      <w:bookmarkEnd w:id="699"/>
      <w:r/>
      <w:bookmarkEnd w:id="700"/>
      <w:r/>
      <w:bookmarkEnd w:id="701"/>
      <w:r/>
      <w:bookmarkEnd w:id="702"/>
      <w:r/>
      <w:bookmarkEnd w:id="703"/>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899"/>
        <w:tblW w:w="46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54"/>
        <w:gridCol w:w="3474"/>
        <w:gridCol w:w="4098"/>
      </w:tblGrid>
      <w:tr>
        <w:trPr>
          <w:jc w:val="center"/>
          <w:trHeight w:val="1094" w:hRule="exact"/>
        </w:trPr>
        <w:tc>
          <w:tcPr>
            <w:tcW w:w="611" w:type="dxa"/>
            <w:vAlign w:val="center"/>
            <w:textDirection w:val="lrTb"/>
            <w:noWrap w:val="false"/>
          </w:tcPr>
          <w:p>
            <w:pPr>
              <w:jc w:val="center"/>
              <w:tabs>
                <w:tab w:val="left" w:pos="5580" w:leader="none"/>
              </w:tabs>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lang w:val="en-US" w:eastAsia="zh-CN"/>
              </w:rPr>
              <w:t xml:space="preserve">序</w:t>
            </w:r>
            <w:r>
              <w:rPr>
                <w:rFonts w:hint="eastAsia" w:ascii="Times New Roman" w:hAnsi="Times New Roman" w:eastAsia="宋体" w:cs="Times New Roman"/>
                <w:b/>
                <w:color w:val="auto"/>
                <w:sz w:val="24"/>
                <w:highlight w:val="none"/>
              </w:rPr>
              <w:t xml:space="preserve">号</w:t>
            </w:r>
            <w:r/>
          </w:p>
        </w:tc>
        <w:tc>
          <w:tcPr>
            <w:tcW w:w="2013" w:type="dxa"/>
            <w:vAlign w:val="center"/>
            <w:textDirection w:val="lrTb"/>
            <w:noWrap w:val="false"/>
          </w:tcPr>
          <w:p>
            <w:pPr>
              <w:jc w:val="center"/>
              <w:tabs>
                <w:tab w:val="left" w:pos="5580" w:leader="none"/>
              </w:tabs>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供应商</w:t>
            </w:r>
            <w:r>
              <w:rPr>
                <w:rFonts w:ascii="Times New Roman" w:hAnsi="Times New Roman" w:eastAsia="宋体" w:cs="Times New Roman"/>
                <w:b/>
                <w:color w:val="auto"/>
                <w:sz w:val="24"/>
                <w:highlight w:val="none"/>
              </w:rPr>
              <w:t xml:space="preserve">名称</w:t>
            </w:r>
            <w:r/>
          </w:p>
        </w:tc>
        <w:tc>
          <w:tcPr>
            <w:tcW w:w="2375" w:type="dxa"/>
            <w:vAlign w:val="center"/>
            <w:textDirection w:val="lrTb"/>
            <w:noWrap w:val="false"/>
          </w:tcPr>
          <w:p>
            <w:pPr>
              <w:jc w:val="center"/>
              <w:tabs>
                <w:tab w:val="left" w:pos="5580" w:leader="none"/>
              </w:tabs>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投标</w:t>
            </w:r>
            <w:r>
              <w:rPr>
                <w:rFonts w:hint="eastAsia" w:ascii="Times New Roman" w:hAnsi="Times New Roman" w:eastAsia="宋体" w:cs="Times New Roman"/>
                <w:b/>
                <w:color w:val="auto"/>
                <w:sz w:val="24"/>
                <w:highlight w:val="none"/>
                <w:lang w:val="en-US" w:eastAsia="zh-CN"/>
              </w:rPr>
              <w:t xml:space="preserve">下浮率（即投标优惠率）（%）</w:t>
            </w:r>
            <w:r/>
          </w:p>
        </w:tc>
      </w:tr>
      <w:tr>
        <w:trPr>
          <w:jc w:val="center"/>
          <w:trHeight w:val="1326" w:hRule="exact"/>
        </w:trPr>
        <w:tc>
          <w:tcPr>
            <w:tcW w:w="611" w:type="dxa"/>
            <w:vAlign w:val="center"/>
            <w:textDirection w:val="lrTb"/>
            <w:noWrap w:val="false"/>
          </w:tcPr>
          <w:p>
            <w:pPr>
              <w:jc w:val="center"/>
              <w:tabs>
                <w:tab w:val="left" w:pos="5580"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tc>
        <w:tc>
          <w:tcPr>
            <w:tcW w:w="2013" w:type="dxa"/>
            <w:vAlign w:val="center"/>
            <w:textDirection w:val="lrTb"/>
            <w:noWrap w:val="false"/>
          </w:tcPr>
          <w:p>
            <w:pPr>
              <w:jc w:val="center"/>
              <w:tabs>
                <w:tab w:val="left" w:pos="558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2375" w:type="dxa"/>
            <w:vAlign w:val="center"/>
            <w:textDirection w:val="lrTb"/>
            <w:noWrap w:val="false"/>
          </w:tcPr>
          <w:p>
            <w:pPr>
              <w:jc w:val="center"/>
              <w:tabs>
                <w:tab w:val="left" w:pos="558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r>
    </w:tbl>
    <w:p>
      <w:pPr>
        <w:jc w:val="left"/>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jc w:val="left"/>
        <w:widowControl/>
        <w:rPr>
          <w:color w:val="auto"/>
          <w:sz w:val="36"/>
          <w:szCs w:val="36"/>
          <w:highlight w:val="none"/>
        </w:rPr>
      </w:pPr>
      <w:r/>
      <w:bookmarkStart w:id="704" w:name="_Toc226337255"/>
      <w:r/>
      <w:bookmarkStart w:id="705" w:name="_Toc265228397"/>
      <w:r/>
      <w:bookmarkStart w:id="706" w:name="_Toc142311060"/>
      <w:r/>
      <w:bookmarkStart w:id="707" w:name="_Toc127151558"/>
      <w:r/>
      <w:bookmarkStart w:id="708" w:name="_Toc226965832"/>
      <w:r/>
      <w:bookmarkStart w:id="709" w:name="_Toc305158901"/>
      <w:r/>
      <w:bookmarkStart w:id="710" w:name="_Toc305158827"/>
      <w:r/>
      <w:bookmarkStart w:id="711" w:name="_Toc150480796"/>
      <w:r/>
      <w:bookmarkStart w:id="712" w:name="_Toc150774763"/>
      <w:r/>
      <w:bookmarkStart w:id="713" w:name="_Toc226965749"/>
      <w:r/>
      <w:bookmarkStart w:id="714" w:name="_Toc264969249"/>
      <w:r/>
      <w:bookmarkStart w:id="715" w:name="_Toc195842924"/>
      <w:r/>
      <w:bookmarkStart w:id="716" w:name="_Toc226309803"/>
      <w:r>
        <w:rPr>
          <w:color w:val="auto"/>
          <w:sz w:val="24"/>
          <w:szCs w:val="20"/>
          <w:highlight w:val="none"/>
        </w:rPr>
        <w:br w:type="page" w:clear="all"/>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spacing w:line="360" w:lineRule="auto"/>
        <w:rPr>
          <w:color w:val="auto"/>
          <w:sz w:val="24"/>
          <w:szCs w:val="20"/>
          <w:highlight w:val="none"/>
        </w:rPr>
        <w:outlineLvl w:val="2"/>
      </w:pPr>
      <w:r/>
      <w:bookmarkStart w:id="717" w:name="_Toc264969252"/>
      <w:r/>
      <w:bookmarkStart w:id="718" w:name="_Toc142311062"/>
      <w:r/>
      <w:bookmarkStart w:id="719" w:name="_Toc195842927"/>
      <w:r/>
      <w:bookmarkStart w:id="720" w:name="_Toc226965752"/>
      <w:r/>
      <w:bookmarkStart w:id="721" w:name="_Toc226965835"/>
      <w:r/>
      <w:bookmarkStart w:id="722" w:name="_Toc127151562"/>
      <w:r/>
      <w:bookmarkStart w:id="723" w:name="_Toc265228400"/>
      <w:r/>
      <w:bookmarkStart w:id="724" w:name="_Toc150480798"/>
      <w:r/>
      <w:bookmarkStart w:id="725" w:name="_Toc305158904"/>
      <w:r/>
      <w:bookmarkStart w:id="726" w:name="_Toc226337258"/>
      <w:r/>
      <w:bookmarkStart w:id="727" w:name="_Toc150774765"/>
      <w:r/>
      <w:bookmarkStart w:id="728" w:name="_Toc226309806"/>
      <w:r/>
      <w:bookmarkStart w:id="729" w:name="_Toc305158830"/>
      <w:r/>
      <w:bookmarkStart w:id="730" w:name="_Toc265228399"/>
      <w:r/>
      <w:bookmarkStart w:id="731" w:name="_Toc305158829"/>
      <w:r/>
      <w:bookmarkStart w:id="732" w:name="_Toc150480797"/>
      <w:r/>
      <w:bookmarkStart w:id="733" w:name="_Toc264969251"/>
      <w:r/>
      <w:bookmarkStart w:id="734" w:name="_Toc195842926"/>
      <w:r/>
      <w:bookmarkStart w:id="735" w:name="_Toc150774764"/>
      <w:r/>
      <w:bookmarkStart w:id="736" w:name="_Toc142311061"/>
      <w:r/>
      <w:bookmarkStart w:id="737" w:name="_Toc226309805"/>
      <w:r/>
      <w:bookmarkStart w:id="738" w:name="_Toc226965834"/>
      <w:r/>
      <w:bookmarkStart w:id="739" w:name="_Toc226965751"/>
      <w:r/>
      <w:bookmarkStart w:id="740" w:name="_Toc127151561"/>
      <w:r/>
      <w:bookmarkStart w:id="741" w:name="_Toc305158903"/>
      <w:r/>
      <w:bookmarkStart w:id="742" w:name="_Toc226337257"/>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8</w:t>
      </w:r>
      <w:r>
        <w:rPr>
          <w:color w:val="auto"/>
          <w:sz w:val="24"/>
          <w:szCs w:val="20"/>
          <w:highlight w:val="none"/>
        </w:rPr>
        <w:t xml:space="preserve"> 合同条款偏离表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color w:val="auto"/>
          <w:sz w:val="24"/>
          <w:szCs w:val="20"/>
          <w:highlight w:val="none"/>
        </w:rPr>
        <w:t xml:space="preserve">（实质性格式）</w:t>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     项目名称：_____________________</w:t>
      </w:r>
      <w:r/>
    </w:p>
    <w:tbl>
      <w:tblPr>
        <w:tblStyle w:val="8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9</w:t>
      </w:r>
      <w:r>
        <w:rPr>
          <w:color w:val="auto"/>
          <w:sz w:val="24"/>
          <w:szCs w:val="20"/>
          <w:highlight w:val="none"/>
        </w:rPr>
        <w:t xml:space="preserve">  </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color w:val="auto"/>
          <w:sz w:val="24"/>
          <w:szCs w:val="20"/>
          <w:highlight w:val="none"/>
        </w:rPr>
        <w:t xml:space="preserve">采购需求偏离表（实质性格式）</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89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auto"/>
                <w:sz w:val="24"/>
                <w:highlight w:val="none"/>
              </w:rPr>
            </w:pPr>
            <w:r>
              <w:rPr>
                <w:rFonts w:hint="eastAsia"/>
                <w:b/>
                <w:color w:val="auto"/>
                <w:sz w:val="24"/>
                <w:highlight w:val="none"/>
              </w:rPr>
              <w:t xml:space="preserve">对本项目</w:t>
            </w:r>
            <w:r>
              <w:rPr>
                <w:rFonts w:hint="eastAsia"/>
                <w:b/>
                <w:color w:val="auto"/>
                <w:sz w:val="24"/>
                <w:highlight w:val="none"/>
                <w:lang w:val="en-US" w:eastAsia="zh-CN"/>
              </w:rPr>
              <w:t xml:space="preserve">采购需求</w:t>
            </w:r>
            <w:r>
              <w:rPr>
                <w:rFonts w:hint="eastAsia"/>
                <w:b/>
                <w:color w:val="auto"/>
                <w:sz w:val="24"/>
                <w:highlight w:val="none"/>
              </w:rPr>
              <w:t xml:space="preserve">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both"/>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pStyle w:val="924"/>
        <w:ind w:firstLine="480"/>
        <w:rPr>
          <w:rFonts w:hint="eastAsia"/>
          <w:color w:val="auto"/>
          <w:szCs w:val="20"/>
          <w:highlight w:val="none"/>
        </w:rPr>
      </w:pPr>
      <w:r>
        <w:rPr>
          <w:rFonts w:hint="eastAsia"/>
          <w:color w:val="auto"/>
          <w:szCs w:val="20"/>
          <w:highlight w:val="none"/>
        </w:rPr>
      </w:r>
      <w:r/>
    </w:p>
    <w:p>
      <w:pPr>
        <w:rPr>
          <w:color w:val="auto"/>
          <w:sz w:val="24"/>
          <w:szCs w:val="20"/>
          <w:highlight w:val="none"/>
        </w:rPr>
      </w:pPr>
      <w:r>
        <w:rPr>
          <w:rFonts w:hint="eastAsia"/>
          <w:color w:val="auto"/>
          <w:sz w:val="24"/>
          <w:szCs w:val="20"/>
          <w:highlight w:val="none"/>
          <w:lang w:val="en-US" w:eastAsia="zh-CN"/>
        </w:rPr>
        <w:t xml:space="preserve">10</w:t>
      </w:r>
      <w:r>
        <w:rPr>
          <w:rFonts w:hint="eastAsia"/>
          <w:color w:val="auto"/>
          <w:sz w:val="24"/>
          <w:szCs w:val="20"/>
          <w:highlight w:val="none"/>
        </w:rPr>
        <w:t xml:space="preserve">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99"/>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rPr>
          <w:rFonts w:hint="eastAsia"/>
          <w:color w:val="auto"/>
          <w:sz w:val="22"/>
          <w:highlight w:val="none"/>
        </w:rPr>
      </w:pPr>
      <w:r>
        <w:rPr>
          <w:color w:val="auto"/>
          <w:sz w:val="22"/>
          <w:highlight w:val="none"/>
        </w:rPr>
        <w:br w:type="page" w:clear="all"/>
      </w:r>
      <w:bookmarkStart w:id="743" w:name="_Toc288738397"/>
      <w:r/>
      <w:bookmarkStart w:id="744" w:name="_Toc288738839"/>
      <w:r/>
      <w:r/>
    </w:p>
    <w:p>
      <w:pPr>
        <w:rPr>
          <w:color w:val="auto"/>
          <w:sz w:val="24"/>
          <w:szCs w:val="20"/>
          <w:highlight w:val="none"/>
        </w:rPr>
      </w:pPr>
      <w:r>
        <w:rPr>
          <w:rFonts w:hint="eastAsia"/>
          <w:color w:val="auto"/>
          <w:sz w:val="24"/>
          <w:szCs w:val="20"/>
          <w:highlight w:val="none"/>
          <w:lang w:val="en-US" w:eastAsia="zh-CN"/>
        </w:rPr>
        <w:t xml:space="preserve">11</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43"/>
      <w:r/>
      <w:bookmarkEnd w:id="744"/>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9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hint="eastAsia"/>
          <w:color w:val="auto"/>
          <w:sz w:val="24"/>
          <w:szCs w:val="20"/>
          <w:highlight w:val="none"/>
          <w:lang w:val="en-US" w:eastAsia="zh-CN"/>
        </w:rPr>
        <w:outlineLvl w:val="2"/>
      </w:pPr>
      <w:r>
        <w:rPr>
          <w:rFonts w:hint="eastAsia"/>
          <w:color w:val="auto"/>
          <w:sz w:val="24"/>
          <w:szCs w:val="20"/>
          <w:highlight w:val="none"/>
          <w:lang w:val="en-US" w:eastAsia="zh-CN"/>
        </w:rPr>
      </w:r>
      <w:r/>
    </w:p>
    <w:p>
      <w:pPr>
        <w:spacing w:line="360" w:lineRule="auto"/>
        <w:rPr>
          <w:rFonts w:eastAsia="宋体"/>
          <w:color w:val="auto"/>
          <w:sz w:val="24"/>
          <w:szCs w:val="20"/>
          <w:highlight w:val="none"/>
        </w:rPr>
        <w:outlineLvl w:val="2"/>
      </w:pPr>
      <w:r>
        <w:rPr>
          <w:rFonts w:hint="eastAsia"/>
          <w:color w:val="auto"/>
          <w:sz w:val="24"/>
          <w:szCs w:val="20"/>
          <w:highlight w:val="none"/>
          <w:lang w:val="en-US" w:eastAsia="zh-CN"/>
        </w:rPr>
        <w:t xml:space="preserve">12  磋商文件要求或者供应商认为应当提交的其他资料</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sectPr>
      <w:footerReference w:type="default" r:id="rId21"/>
      <w:footnotePr/>
      <w:endnotePr/>
      <w:type w:val="nextPage"/>
      <w:pgSz w:w="11905" w:h="16840" w:orient="portrait"/>
      <w:pgMar w:top="1440" w:right="1304" w:bottom="1440" w:left="1304" w:header="85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both"/>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rStyle w:val="1145"/>
      </w:rPr>
      <w:framePr w:wrap="around" w:vAnchor="text" w:hAnchor="margin" w:xAlign="center" w:y="1"/>
    </w:pPr>
    <w:r>
      <w:fldChar w:fldCharType="begin"/>
    </w:r>
    <w:r>
      <w:rPr>
        <w:rStyle w:val="1145"/>
      </w:rPr>
      <w:instrText xml:space="preserve">PAGE  </w:instrText>
    </w:r>
    <w:r>
      <w:fldChar w:fldCharType="end"/>
    </w:r>
    <w:r/>
  </w:p>
  <w:p>
    <w:pPr>
      <w:pStyle w:val="112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7960" cy="15303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8017" cy="153339"/>
                      </a:xfrm>
                      <a:prstGeom prst="rect">
                        <a:avLst/>
                      </a:prstGeom>
                      <a:noFill/>
                      <a:ln>
                        <a:noFill/>
                      </a:ln>
                    </wps:spPr>
                    <wps:txbx>
                      <w:txbxContent>
                        <w:p>
                          <w:pPr>
                            <w:pStyle w:val="909"/>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8pt;height:12.0pt;mso-wrap-distance-left:9.0pt;mso-wrap-distance-top:0.0pt;mso-wrap-distance-right:9.0pt;mso-wrap-distance-bottom:0.0pt;visibility:visible;" filled="f" stroked="f">
              <v:textbox inset="0,0,0,0">
                <w:txbxContent>
                  <w:p>
                    <w:pPr>
                      <w:pStyle w:val="9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p>
  <w:p>
    <w:pPr>
      <w:pStyle w:val="1120"/>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0"/>
        <w:szCs w:val="21"/>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2276475</wp:posOffset>
              </wp:positionH>
              <wp:positionV relativeFrom="paragraph">
                <wp:posOffset>-12700</wp:posOffset>
              </wp:positionV>
              <wp:extent cx="247015" cy="153035"/>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47113" cy="153339"/>
                      </a:xfrm>
                      <a:prstGeom prst="rect">
                        <a:avLst/>
                      </a:prstGeom>
                      <a:noFill/>
                      <a:ln>
                        <a:noFill/>
                      </a:ln>
                    </wps:spPr>
                    <wps:txbx>
                      <w:txbxContent>
                        <w:p>
                          <w:pPr>
                            <w:pStyle w:val="909"/>
                          </w:pPr>
                          <w:r>
                            <w:fldChar w:fldCharType="begin"/>
                          </w:r>
                          <w:r>
                            <w:instrText xml:space="preserve"> PAGE  \* MERGEFORMAT </w:instrText>
                          </w:r>
                          <w:r>
                            <w:fldChar w:fldCharType="separate"/>
                          </w:r>
                          <w:r>
                            <w:t xml:space="preserve">16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argin-left:179.2pt;mso-position-horizontal:absolute;mso-position-vertical-relative:text;margin-top:-1.0pt;mso-position-vertical:absolute;width:19.4pt;height:12.0pt;mso-wrap-distance-left:9.0pt;mso-wrap-distance-top:0.0pt;mso-wrap-distance-right:9.0pt;mso-wrap-distance-bottom:0.0pt;visibility:visible;" filled="f" stroked="f">
              <v:textbox inset="0,0,0,0">
                <w:txbxContent>
                  <w:p>
                    <w:pPr>
                      <w:pStyle w:val="909"/>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81940" cy="153035"/>
              <wp:effectExtent l="6350" t="6350" r="6350" b="635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82034" cy="153339"/>
                      </a:xfrm>
                      <a:prstGeom prst="rect">
                        <a:avLst/>
                      </a:prstGeom>
                      <a:noFill/>
                      <a:ln>
                        <a:noFill/>
                      </a:ln>
                    </wps:spPr>
                    <wps:txbx>
                      <w:txbxContent>
                        <w:p>
                          <w:pPr>
                            <w:pStyle w:val="909"/>
                          </w:pPr>
                          <w:r>
                            <w:fldChar w:fldCharType="begin"/>
                          </w:r>
                          <w:r>
                            <w:instrText xml:space="preserve"> PAGE  \* MERGEFORMAT </w:instrText>
                          </w:r>
                          <w:r>
                            <w:fldChar w:fldCharType="separate"/>
                          </w:r>
                          <w:r>
                            <w:t xml:space="preserve">40</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22.2pt;height:12.0pt;mso-wrap-distance-left:9.0pt;mso-wrap-distance-top:0.0pt;mso-wrap-distance-right:9.0pt;mso-wrap-distance-bottom:0.0pt;visibility:visible;" filled="f" stroked="f">
              <v:textbox inset="0,0,0,0">
                <w:txbxContent>
                  <w:p>
                    <w:pPr>
                      <w:pStyle w:val="909"/>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14630" cy="153035"/>
              <wp:effectExtent l="6350" t="6350" r="6350" b="635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14598" cy="153339"/>
                      </a:xfrm>
                      <a:prstGeom prst="rect">
                        <a:avLst/>
                      </a:prstGeom>
                      <a:noFill/>
                      <a:ln>
                        <a:noFill/>
                      </a:ln>
                    </wps:spPr>
                    <wps:txbx>
                      <w:txbxContent>
                        <w:p>
                          <w:pPr>
                            <w:pStyle w:val="909"/>
                          </w:pPr>
                          <w:r>
                            <w:fldChar w:fldCharType="begin"/>
                          </w:r>
                          <w:r>
                            <w:instrText xml:space="preserve"> PAGE  \* MERGEFORMAT </w:instrText>
                          </w:r>
                          <w:r>
                            <w:fldChar w:fldCharType="separate"/>
                          </w:r>
                          <w:r>
                            <w:t xml:space="preserve">46</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6.9pt;height:12.0pt;mso-wrap-distance-left:9.0pt;mso-wrap-distance-top:0.0pt;mso-wrap-distance-right:9.0pt;mso-wrap-distance-bottom:0.0pt;visibility:visible;" filled="f" stroked="f">
              <v:textbox inset="0,0,0,0">
                <w:txbxContent>
                  <w:p>
                    <w:pPr>
                      <w:pStyle w:val="909"/>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
        <w:szCs w:val="21"/>
        <w:lang w:val="en-US" w:eastAsia="en-US" w:bidi="ar-SA"/>
      </w:rPr>
    </w:pPr>
    <w:r>
      <w:rPr>
        <w:rFonts w:ascii="宋体" w:hAnsi="宋体" w:eastAsia="宋体" w:cs="宋体"/>
        <w:sz w:val="2"/>
        <w:szCs w:val="21"/>
        <w:lang w:val="en-US" w:eastAsia="en-US"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
        <w:szCs w:val="21"/>
        <w:lang w:val="en-US" w:eastAsia="en-US" w:bidi="ar-SA"/>
      </w:rPr>
    </w:pPr>
    <w:r>
      <w:rPr>
        <w:rFonts w:ascii="宋体" w:hAnsi="宋体" w:eastAsia="宋体" w:cs="宋体"/>
        <w:sz w:val="2"/>
        <w:szCs w:val="21"/>
        <w:lang w:val="en-US" w:eastAsia="en-US"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3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2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8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8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8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1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1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26"/>
      <w:isLgl w:val="false"/>
      <w:suff w:val="nothing"/>
      <w:lvlText w:val="%1.%2.%3.%4.%5.%6　"/>
      <w:lvlJc w:val="left"/>
      <w:pPr>
        <w:ind w:left="-25" w:firstLine="0"/>
      </w:pPr>
      <w:rPr>
        <w:rFonts w:ascii="Times New Roman" w:hAnsi="Times New Roman" w:eastAsia="宋体"/>
        <w:b/>
        <w:i w:val="0"/>
        <w:sz w:val="28"/>
      </w:rPr>
    </w:lvl>
    <w:lvl w:ilvl="6">
      <w:start w:val="1"/>
      <w:numFmt w:val="lowerLetter"/>
      <w:pStyle w:val="123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0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lowerLetter"/>
      <w:pStyle w:val="126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87"/>
      <w:isLgl w:val="false"/>
      <w:suff w:val="tab"/>
      <w:lvlText w:val="%1"/>
      <w:lvlJc w:val="left"/>
      <w:pPr>
        <w:ind w:left="680" w:hanging="680"/>
      </w:pPr>
      <w:rPr>
        <w:rFonts w:hint="eastAsia" w:ascii="宋体" w:hAnsi="宋体" w:eastAsia="宋体"/>
      </w:rPr>
    </w:lvl>
    <w:lvl w:ilvl="1">
      <w:start w:val="1"/>
      <w:numFmt w:val="decimal"/>
      <w:pStyle w:val="1288"/>
      <w:isLgl w:val="false"/>
      <w:suff w:val="tab"/>
      <w:lvlText w:val="%1.%2"/>
      <w:lvlJc w:val="left"/>
      <w:pPr>
        <w:ind w:left="851" w:hanging="851"/>
      </w:pPr>
      <w:rPr>
        <w:rFonts w:hint="eastAsia" w:ascii="宋体" w:hAnsi="宋体" w:eastAsia="宋体"/>
        <w:color w:val="000000"/>
      </w:rPr>
    </w:lvl>
    <w:lvl w:ilvl="2">
      <w:start w:val="1"/>
      <w:numFmt w:val="decimal"/>
      <w:pStyle w:val="128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8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8"/>
  </w:num>
  <w:num w:numId="8">
    <w:abstractNumId w:val="11"/>
  </w:num>
  <w:num w:numId="9">
    <w:abstractNumId w:val="5"/>
  </w:num>
  <w:num w:numId="10">
    <w:abstractNumId w:val="0"/>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8" w:default="1">
    <w:name w:val="Normal"/>
    <w:link w:val="13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9">
    <w:name w:val="Heading 1"/>
    <w:basedOn w:val="888"/>
    <w:next w:val="888"/>
    <w:link w:val="925"/>
    <w:uiPriority w:val="9"/>
    <w:qFormat/>
    <w:pPr>
      <w:keepLines/>
      <w:keepNext/>
      <w:spacing w:before="480" w:after="200"/>
      <w:outlineLvl w:val="0"/>
    </w:pPr>
    <w:rPr>
      <w:rFonts w:ascii="Arial" w:hAnsi="Arial" w:eastAsia="Arial" w:cs="Arial"/>
      <w:sz w:val="40"/>
      <w:szCs w:val="40"/>
    </w:rPr>
  </w:style>
  <w:style w:type="paragraph" w:styleId="890">
    <w:name w:val="Heading 2"/>
    <w:basedOn w:val="888"/>
    <w:next w:val="888"/>
    <w:link w:val="926"/>
    <w:uiPriority w:val="9"/>
    <w:unhideWhenUsed/>
    <w:qFormat/>
    <w:pPr>
      <w:keepLines/>
      <w:keepNext/>
      <w:spacing w:before="360" w:after="200"/>
      <w:outlineLvl w:val="1"/>
    </w:pPr>
    <w:rPr>
      <w:rFonts w:ascii="Arial" w:hAnsi="Arial" w:eastAsia="Arial" w:cs="Arial"/>
      <w:sz w:val="34"/>
    </w:rPr>
  </w:style>
  <w:style w:type="paragraph" w:styleId="891">
    <w:name w:val="Heading 3"/>
    <w:basedOn w:val="888"/>
    <w:next w:val="888"/>
    <w:link w:val="927"/>
    <w:uiPriority w:val="9"/>
    <w:unhideWhenUsed/>
    <w:qFormat/>
    <w:pPr>
      <w:keepLines/>
      <w:keepNext/>
      <w:spacing w:before="320" w:after="200"/>
      <w:outlineLvl w:val="2"/>
    </w:pPr>
    <w:rPr>
      <w:rFonts w:ascii="Arial" w:hAnsi="Arial" w:eastAsia="Arial" w:cs="Arial"/>
      <w:sz w:val="30"/>
      <w:szCs w:val="30"/>
    </w:rPr>
  </w:style>
  <w:style w:type="paragraph" w:styleId="892">
    <w:name w:val="Heading 4"/>
    <w:basedOn w:val="888"/>
    <w:next w:val="888"/>
    <w:link w:val="928"/>
    <w:uiPriority w:val="9"/>
    <w:unhideWhenUsed/>
    <w:qFormat/>
    <w:pPr>
      <w:keepLines/>
      <w:keepNext/>
      <w:spacing w:before="320" w:after="200"/>
      <w:outlineLvl w:val="3"/>
    </w:pPr>
    <w:rPr>
      <w:rFonts w:ascii="Arial" w:hAnsi="Arial" w:eastAsia="Arial" w:cs="Arial"/>
      <w:b/>
      <w:bCs/>
      <w:sz w:val="26"/>
      <w:szCs w:val="26"/>
    </w:rPr>
  </w:style>
  <w:style w:type="paragraph" w:styleId="893">
    <w:name w:val="Heading 5"/>
    <w:basedOn w:val="888"/>
    <w:next w:val="888"/>
    <w:link w:val="929"/>
    <w:uiPriority w:val="9"/>
    <w:unhideWhenUsed/>
    <w:qFormat/>
    <w:pPr>
      <w:keepLines/>
      <w:keepNext/>
      <w:spacing w:before="320" w:after="200"/>
      <w:outlineLvl w:val="4"/>
    </w:pPr>
    <w:rPr>
      <w:rFonts w:ascii="Arial" w:hAnsi="Arial" w:eastAsia="Arial" w:cs="Arial"/>
      <w:b/>
      <w:bCs/>
      <w:sz w:val="24"/>
      <w:szCs w:val="24"/>
    </w:rPr>
  </w:style>
  <w:style w:type="paragraph" w:styleId="894">
    <w:name w:val="Heading 6"/>
    <w:basedOn w:val="888"/>
    <w:next w:val="888"/>
    <w:link w:val="930"/>
    <w:uiPriority w:val="9"/>
    <w:unhideWhenUsed/>
    <w:qFormat/>
    <w:pPr>
      <w:keepLines/>
      <w:keepNext/>
      <w:spacing w:before="320" w:after="200"/>
      <w:outlineLvl w:val="5"/>
    </w:pPr>
    <w:rPr>
      <w:rFonts w:ascii="Arial" w:hAnsi="Arial" w:eastAsia="Arial" w:cs="Arial"/>
      <w:b/>
      <w:bCs/>
      <w:sz w:val="22"/>
      <w:szCs w:val="22"/>
    </w:rPr>
  </w:style>
  <w:style w:type="paragraph" w:styleId="895">
    <w:name w:val="Heading 7"/>
    <w:basedOn w:val="888"/>
    <w:next w:val="888"/>
    <w:link w:val="931"/>
    <w:uiPriority w:val="9"/>
    <w:unhideWhenUsed/>
    <w:qFormat/>
    <w:pPr>
      <w:keepLines/>
      <w:keepNext/>
      <w:spacing w:before="320" w:after="200"/>
      <w:outlineLvl w:val="6"/>
    </w:pPr>
    <w:rPr>
      <w:rFonts w:ascii="Arial" w:hAnsi="Arial" w:eastAsia="Arial" w:cs="Arial"/>
      <w:b/>
      <w:bCs/>
      <w:i/>
      <w:iCs/>
      <w:sz w:val="22"/>
      <w:szCs w:val="22"/>
    </w:rPr>
  </w:style>
  <w:style w:type="paragraph" w:styleId="896">
    <w:name w:val="Heading 8"/>
    <w:basedOn w:val="888"/>
    <w:next w:val="888"/>
    <w:link w:val="932"/>
    <w:uiPriority w:val="9"/>
    <w:unhideWhenUsed/>
    <w:qFormat/>
    <w:pPr>
      <w:keepLines/>
      <w:keepNext/>
      <w:spacing w:before="320" w:after="200"/>
      <w:outlineLvl w:val="7"/>
    </w:pPr>
    <w:rPr>
      <w:rFonts w:ascii="Arial" w:hAnsi="Arial" w:eastAsia="Arial" w:cs="Arial"/>
      <w:i/>
      <w:iCs/>
      <w:sz w:val="22"/>
      <w:szCs w:val="22"/>
    </w:rPr>
  </w:style>
  <w:style w:type="paragraph" w:styleId="897">
    <w:name w:val="Heading 9"/>
    <w:basedOn w:val="888"/>
    <w:next w:val="888"/>
    <w:link w:val="933"/>
    <w:uiPriority w:val="9"/>
    <w:unhideWhenUsed/>
    <w:qFormat/>
    <w:pPr>
      <w:keepLines/>
      <w:keepNext/>
      <w:spacing w:before="320" w:after="200"/>
      <w:outlineLvl w:val="8"/>
    </w:pPr>
    <w:rPr>
      <w:rFonts w:ascii="Arial" w:hAnsi="Arial" w:eastAsia="Arial" w:cs="Arial"/>
      <w:i/>
      <w:iCs/>
      <w:sz w:val="21"/>
      <w:szCs w:val="21"/>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name w:val="toc 7"/>
    <w:basedOn w:val="888"/>
    <w:next w:val="888"/>
    <w:uiPriority w:val="39"/>
    <w:unhideWhenUsed/>
    <w:qFormat/>
    <w:pPr>
      <w:ind w:left="1701" w:right="0" w:firstLine="0"/>
      <w:spacing w:after="57"/>
    </w:pPr>
  </w:style>
  <w:style w:type="paragraph" w:styleId="901">
    <w:name w:val="Normal Indent"/>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902">
    <w:name w:val="Caption"/>
    <w:basedOn w:val="888"/>
    <w:next w:val="8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3">
    <w:name w:val="annotation text"/>
    <w:basedOn w:val="888"/>
    <w:uiPriority w:val="99"/>
    <w:semiHidden/>
    <w:unhideWhenUsed/>
    <w:qFormat/>
    <w:pPr>
      <w:jc w:val="left"/>
    </w:pPr>
  </w:style>
  <w:style w:type="paragraph" w:styleId="904">
    <w:name w:val="Body Text"/>
    <w:next w:val="888"/>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05">
    <w:name w:val="toc 5"/>
    <w:basedOn w:val="888"/>
    <w:next w:val="888"/>
    <w:uiPriority w:val="39"/>
    <w:unhideWhenUsed/>
    <w:qFormat/>
    <w:pPr>
      <w:ind w:left="1134" w:right="0" w:firstLine="0"/>
      <w:spacing w:after="57"/>
    </w:pPr>
  </w:style>
  <w:style w:type="paragraph" w:styleId="906">
    <w:name w:val="toc 3"/>
    <w:basedOn w:val="888"/>
    <w:next w:val="888"/>
    <w:uiPriority w:val="39"/>
    <w:unhideWhenUsed/>
    <w:qFormat/>
    <w:pPr>
      <w:ind w:left="567" w:right="0" w:firstLine="0"/>
      <w:spacing w:after="57"/>
    </w:pPr>
  </w:style>
  <w:style w:type="paragraph" w:styleId="907">
    <w:name w:val="toc 8"/>
    <w:basedOn w:val="888"/>
    <w:next w:val="888"/>
    <w:uiPriority w:val="39"/>
    <w:unhideWhenUsed/>
    <w:qFormat/>
    <w:pPr>
      <w:ind w:left="1984" w:right="0" w:firstLine="0"/>
      <w:spacing w:after="57"/>
    </w:pPr>
  </w:style>
  <w:style w:type="paragraph" w:styleId="908">
    <w:name w:val="endnote text"/>
    <w:basedOn w:val="888"/>
    <w:link w:val="1071"/>
    <w:uiPriority w:val="99"/>
    <w:semiHidden/>
    <w:unhideWhenUsed/>
    <w:qFormat/>
    <w:pPr>
      <w:spacing w:after="0" w:line="240" w:lineRule="auto"/>
    </w:pPr>
    <w:rPr>
      <w:sz w:val="20"/>
    </w:rPr>
  </w:style>
  <w:style w:type="paragraph" w:styleId="909">
    <w:name w:val="Footer"/>
    <w:basedOn w:val="888"/>
    <w:link w:val="944"/>
    <w:uiPriority w:val="99"/>
    <w:unhideWhenUsed/>
    <w:qFormat/>
    <w:pPr>
      <w:spacing w:after="0" w:line="240" w:lineRule="auto"/>
      <w:tabs>
        <w:tab w:val="center" w:pos="7143" w:leader="none"/>
        <w:tab w:val="right" w:pos="14287" w:leader="none"/>
      </w:tabs>
    </w:pPr>
  </w:style>
  <w:style w:type="paragraph" w:styleId="910">
    <w:name w:val="Header"/>
    <w:basedOn w:val="888"/>
    <w:link w:val="942"/>
    <w:uiPriority w:val="99"/>
    <w:unhideWhenUsed/>
    <w:qFormat/>
    <w:pPr>
      <w:spacing w:after="0" w:line="240" w:lineRule="auto"/>
      <w:tabs>
        <w:tab w:val="center" w:pos="7143" w:leader="none"/>
        <w:tab w:val="right" w:pos="14287" w:leader="none"/>
      </w:tabs>
    </w:pPr>
  </w:style>
  <w:style w:type="paragraph" w:styleId="911">
    <w:name w:val="toc 1"/>
    <w:basedOn w:val="888"/>
    <w:next w:val="888"/>
    <w:uiPriority w:val="39"/>
    <w:unhideWhenUsed/>
    <w:qFormat/>
    <w:pPr>
      <w:ind w:left="0" w:right="0" w:firstLine="0"/>
      <w:spacing w:after="57"/>
    </w:pPr>
  </w:style>
  <w:style w:type="paragraph" w:styleId="912">
    <w:name w:val="toc 4"/>
    <w:basedOn w:val="888"/>
    <w:next w:val="888"/>
    <w:uiPriority w:val="39"/>
    <w:unhideWhenUsed/>
    <w:qFormat/>
    <w:pPr>
      <w:ind w:left="850" w:right="0" w:firstLine="0"/>
      <w:spacing w:after="57"/>
    </w:pPr>
  </w:style>
  <w:style w:type="paragraph" w:styleId="913">
    <w:name w:val="Subtitle"/>
    <w:basedOn w:val="888"/>
    <w:next w:val="888"/>
    <w:link w:val="937"/>
    <w:uiPriority w:val="11"/>
    <w:qFormat/>
    <w:pPr>
      <w:spacing w:before="200" w:after="200"/>
    </w:pPr>
    <w:rPr>
      <w:sz w:val="24"/>
      <w:szCs w:val="24"/>
    </w:rPr>
  </w:style>
  <w:style w:type="paragraph" w:styleId="914">
    <w:name w:val="footnote text"/>
    <w:basedOn w:val="888"/>
    <w:link w:val="1070"/>
    <w:uiPriority w:val="99"/>
    <w:semiHidden/>
    <w:unhideWhenUsed/>
    <w:qFormat/>
    <w:pPr>
      <w:spacing w:after="40" w:line="240" w:lineRule="auto"/>
    </w:pPr>
    <w:rPr>
      <w:sz w:val="18"/>
    </w:rPr>
  </w:style>
  <w:style w:type="paragraph" w:styleId="915">
    <w:name w:val="toc 6"/>
    <w:basedOn w:val="888"/>
    <w:next w:val="888"/>
    <w:uiPriority w:val="39"/>
    <w:unhideWhenUsed/>
    <w:qFormat/>
    <w:pPr>
      <w:ind w:left="1417" w:right="0" w:firstLine="0"/>
      <w:spacing w:after="57"/>
    </w:pPr>
  </w:style>
  <w:style w:type="paragraph" w:styleId="916">
    <w:name w:val="table of figures"/>
    <w:basedOn w:val="888"/>
    <w:next w:val="888"/>
    <w:uiPriority w:val="99"/>
    <w:unhideWhenUsed/>
    <w:qFormat/>
    <w:pPr>
      <w:spacing w:after="0" w:afterAutospacing="0"/>
    </w:pPr>
  </w:style>
  <w:style w:type="paragraph" w:styleId="917">
    <w:name w:val="toc 2"/>
    <w:basedOn w:val="888"/>
    <w:next w:val="888"/>
    <w:uiPriority w:val="39"/>
    <w:unhideWhenUsed/>
    <w:qFormat/>
    <w:pPr>
      <w:ind w:left="283" w:right="0" w:firstLine="0"/>
      <w:spacing w:after="57"/>
    </w:pPr>
  </w:style>
  <w:style w:type="paragraph" w:styleId="918">
    <w:name w:val="toc 9"/>
    <w:basedOn w:val="888"/>
    <w:next w:val="888"/>
    <w:uiPriority w:val="39"/>
    <w:unhideWhenUsed/>
    <w:qFormat/>
    <w:pPr>
      <w:ind w:left="2268" w:right="0" w:firstLine="0"/>
      <w:spacing w:after="57"/>
    </w:pPr>
  </w:style>
  <w:style w:type="paragraph" w:styleId="919">
    <w:name w:val="Title"/>
    <w:basedOn w:val="888"/>
    <w:next w:val="888"/>
    <w:link w:val="936"/>
    <w:uiPriority w:val="10"/>
    <w:qFormat/>
    <w:pPr>
      <w:contextualSpacing/>
      <w:spacing w:before="300" w:after="200"/>
    </w:pPr>
    <w:rPr>
      <w:sz w:val="48"/>
      <w:szCs w:val="48"/>
    </w:rPr>
  </w:style>
  <w:style w:type="table" w:styleId="9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1">
    <w:name w:val="endnote reference"/>
    <w:uiPriority w:val="99"/>
    <w:semiHidden/>
    <w:unhideWhenUsed/>
    <w:qFormat/>
    <w:rPr>
      <w:vertAlign w:val="superscript"/>
    </w:rPr>
  </w:style>
  <w:style w:type="character" w:styleId="922">
    <w:name w:val="Hyperlink"/>
    <w:uiPriority w:val="99"/>
    <w:unhideWhenUsed/>
    <w:qFormat/>
    <w:rPr>
      <w:color w:val="0000ff" w:themeColor="hyperlink"/>
      <w:u w:val="single"/>
      <w14:textFill>
        <w14:solidFill>
          <w14:schemeClr w14:val="hlink"/>
        </w14:solidFill>
      </w14:textFill>
    </w:rPr>
  </w:style>
  <w:style w:type="character" w:styleId="923">
    <w:name w:val="footnote reference"/>
    <w:uiPriority w:val="99"/>
    <w:unhideWhenUsed/>
    <w:qFormat/>
    <w:rPr>
      <w:vertAlign w:val="superscript"/>
    </w:rPr>
  </w:style>
  <w:style w:type="paragraph" w:styleId="924" w:customStyle="1">
    <w:name w:val="段"/>
    <w:next w:val="88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25" w:customStyle="1">
    <w:name w:val="Heading 1 Char"/>
    <w:link w:val="889"/>
    <w:uiPriority w:val="9"/>
    <w:qFormat/>
    <w:rPr>
      <w:rFonts w:ascii="Arial" w:hAnsi="Arial" w:eastAsia="Arial" w:cs="Arial"/>
      <w:sz w:val="40"/>
      <w:szCs w:val="40"/>
    </w:rPr>
  </w:style>
  <w:style w:type="character" w:styleId="926" w:customStyle="1">
    <w:name w:val="Heading 2 Char"/>
    <w:link w:val="890"/>
    <w:uiPriority w:val="9"/>
    <w:qFormat/>
    <w:rPr>
      <w:rFonts w:ascii="Arial" w:hAnsi="Arial" w:eastAsia="Arial" w:cs="Arial"/>
      <w:sz w:val="34"/>
    </w:rPr>
  </w:style>
  <w:style w:type="character" w:styleId="927" w:customStyle="1">
    <w:name w:val="Heading 3 Char"/>
    <w:link w:val="891"/>
    <w:uiPriority w:val="9"/>
    <w:qFormat/>
    <w:rPr>
      <w:rFonts w:ascii="Arial" w:hAnsi="Arial" w:eastAsia="Arial" w:cs="Arial"/>
      <w:sz w:val="30"/>
      <w:szCs w:val="30"/>
    </w:rPr>
  </w:style>
  <w:style w:type="character" w:styleId="928" w:customStyle="1">
    <w:name w:val="Heading 4 Char"/>
    <w:link w:val="892"/>
    <w:uiPriority w:val="9"/>
    <w:qFormat/>
    <w:rPr>
      <w:rFonts w:ascii="Arial" w:hAnsi="Arial" w:eastAsia="Arial" w:cs="Arial"/>
      <w:b/>
      <w:bCs/>
      <w:sz w:val="26"/>
      <w:szCs w:val="26"/>
    </w:rPr>
  </w:style>
  <w:style w:type="character" w:styleId="929" w:customStyle="1">
    <w:name w:val="Heading 5 Char"/>
    <w:link w:val="893"/>
    <w:uiPriority w:val="9"/>
    <w:qFormat/>
    <w:rPr>
      <w:rFonts w:ascii="Arial" w:hAnsi="Arial" w:eastAsia="Arial" w:cs="Arial"/>
      <w:b/>
      <w:bCs/>
      <w:sz w:val="24"/>
      <w:szCs w:val="24"/>
    </w:rPr>
  </w:style>
  <w:style w:type="character" w:styleId="930" w:customStyle="1">
    <w:name w:val="Heading 6 Char"/>
    <w:link w:val="894"/>
    <w:uiPriority w:val="9"/>
    <w:qFormat/>
    <w:rPr>
      <w:rFonts w:ascii="Arial" w:hAnsi="Arial" w:eastAsia="Arial" w:cs="Arial"/>
      <w:b/>
      <w:bCs/>
      <w:sz w:val="22"/>
      <w:szCs w:val="22"/>
    </w:rPr>
  </w:style>
  <w:style w:type="character" w:styleId="931" w:customStyle="1">
    <w:name w:val="Heading 7 Char"/>
    <w:link w:val="895"/>
    <w:uiPriority w:val="9"/>
    <w:qFormat/>
    <w:rPr>
      <w:rFonts w:ascii="Arial" w:hAnsi="Arial" w:eastAsia="Arial" w:cs="Arial"/>
      <w:b/>
      <w:bCs/>
      <w:i/>
      <w:iCs/>
      <w:sz w:val="22"/>
      <w:szCs w:val="22"/>
    </w:rPr>
  </w:style>
  <w:style w:type="character" w:styleId="932" w:customStyle="1">
    <w:name w:val="Heading 8 Char"/>
    <w:link w:val="896"/>
    <w:uiPriority w:val="9"/>
    <w:qFormat/>
    <w:rPr>
      <w:rFonts w:ascii="Arial" w:hAnsi="Arial" w:eastAsia="Arial" w:cs="Arial"/>
      <w:i/>
      <w:iCs/>
      <w:sz w:val="22"/>
      <w:szCs w:val="22"/>
    </w:rPr>
  </w:style>
  <w:style w:type="character" w:styleId="933" w:customStyle="1">
    <w:name w:val="Heading 9 Char"/>
    <w:link w:val="897"/>
    <w:uiPriority w:val="9"/>
    <w:qFormat/>
    <w:rPr>
      <w:rFonts w:ascii="Arial" w:hAnsi="Arial" w:eastAsia="Arial" w:cs="Arial"/>
      <w:i/>
      <w:iCs/>
      <w:sz w:val="21"/>
      <w:szCs w:val="21"/>
    </w:rPr>
  </w:style>
  <w:style w:type="paragraph" w:styleId="934">
    <w:name w:val="List Paragraph"/>
    <w:basedOn w:val="888"/>
    <w:uiPriority w:val="34"/>
    <w:qFormat/>
    <w:pPr>
      <w:contextualSpacing/>
      <w:ind w:left="720"/>
    </w:pPr>
  </w:style>
  <w:style w:type="paragraph" w:styleId="935">
    <w:name w:val="No Spacing"/>
    <w:uiPriority w:val="1"/>
    <w:qFormat/>
    <w:pPr>
      <w:spacing w:before="0" w:after="0" w:line="240" w:lineRule="auto"/>
    </w:pPr>
    <w:rPr>
      <w:rFonts w:hint="default" w:ascii="Times New Roman" w:hAnsi="Times New Roman" w:eastAsia="宋体" w:cs="Times New Roman"/>
    </w:rPr>
  </w:style>
  <w:style w:type="character" w:styleId="936" w:customStyle="1">
    <w:name w:val="Title Char"/>
    <w:link w:val="919"/>
    <w:uiPriority w:val="10"/>
    <w:qFormat/>
    <w:rPr>
      <w:sz w:val="48"/>
      <w:szCs w:val="48"/>
    </w:rPr>
  </w:style>
  <w:style w:type="character" w:styleId="937" w:customStyle="1">
    <w:name w:val="Subtitle Char"/>
    <w:link w:val="913"/>
    <w:uiPriority w:val="11"/>
    <w:qFormat/>
    <w:rPr>
      <w:sz w:val="24"/>
      <w:szCs w:val="24"/>
    </w:rPr>
  </w:style>
  <w:style w:type="paragraph" w:styleId="938">
    <w:name w:val="Quote"/>
    <w:basedOn w:val="888"/>
    <w:next w:val="888"/>
    <w:link w:val="939"/>
    <w:uiPriority w:val="29"/>
    <w:qFormat/>
    <w:pPr>
      <w:ind w:left="720" w:right="720"/>
    </w:pPr>
    <w:rPr>
      <w:i/>
    </w:rPr>
  </w:style>
  <w:style w:type="character" w:styleId="939" w:customStyle="1">
    <w:name w:val="Quote Char"/>
    <w:link w:val="938"/>
    <w:uiPriority w:val="29"/>
    <w:qFormat/>
    <w:rPr>
      <w:i/>
    </w:rPr>
  </w:style>
  <w:style w:type="paragraph" w:styleId="940">
    <w:name w:val="Intense Quote"/>
    <w:basedOn w:val="888"/>
    <w:next w:val="888"/>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Intense Quote Char"/>
    <w:link w:val="940"/>
    <w:uiPriority w:val="30"/>
    <w:qFormat/>
    <w:rPr>
      <w:i/>
    </w:rPr>
  </w:style>
  <w:style w:type="character" w:styleId="942" w:customStyle="1">
    <w:name w:val="Header Char"/>
    <w:link w:val="910"/>
    <w:uiPriority w:val="99"/>
    <w:qFormat/>
  </w:style>
  <w:style w:type="character" w:styleId="943" w:customStyle="1">
    <w:name w:val="Footer Char"/>
    <w:link w:val="909"/>
    <w:uiPriority w:val="99"/>
    <w:qFormat/>
  </w:style>
  <w:style w:type="character" w:styleId="944" w:customStyle="1">
    <w:name w:val="Caption Char"/>
    <w:link w:val="909"/>
    <w:uiPriority w:val="99"/>
    <w:qFormat/>
  </w:style>
  <w:style w:type="table" w:styleId="9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0" w:customStyle="1">
    <w:name w:val="Footnote Text Char"/>
    <w:link w:val="914"/>
    <w:uiPriority w:val="99"/>
    <w:qFormat/>
    <w:rPr>
      <w:sz w:val="18"/>
    </w:rPr>
  </w:style>
  <w:style w:type="character" w:styleId="1071" w:customStyle="1">
    <w:name w:val="Endnote Text Char"/>
    <w:link w:val="908"/>
    <w:uiPriority w:val="99"/>
    <w:qFormat/>
    <w:rPr>
      <w:sz w:val="20"/>
    </w:rPr>
  </w:style>
  <w:style w:type="paragraph" w:styleId="1072" w:customStyle="1">
    <w:name w:val="TOC Heading"/>
    <w:uiPriority w:val="39"/>
    <w:unhideWhenUsed/>
    <w:qFormat/>
    <w:rPr>
      <w:rFonts w:hint="default" w:ascii="Times New Roman" w:hAnsi="Times New Roman" w:eastAsia="宋体" w:cs="Times New Roman"/>
    </w:rPr>
  </w:style>
  <w:style w:type="paragraph" w:styleId="1073" w:customStyle="1">
    <w:name w:val="标题 11"/>
    <w:basedOn w:val="888"/>
    <w:next w:val="888"/>
    <w:link w:val="1084"/>
    <w:uiPriority w:val="0"/>
    <w:qFormat/>
    <w:pPr>
      <w:jc w:val="center"/>
      <w:keepLines/>
      <w:keepNext/>
      <w:spacing w:before="240" w:after="120" w:line="300" w:lineRule="auto"/>
      <w:outlineLvl w:val="0"/>
    </w:pPr>
    <w:rPr>
      <w:rFonts w:ascii="宋体"/>
      <w:b/>
      <w:sz w:val="32"/>
      <w:szCs w:val="20"/>
    </w:rPr>
  </w:style>
  <w:style w:type="paragraph" w:styleId="1074" w:customStyle="1">
    <w:name w:val="标题 21"/>
    <w:basedOn w:val="888"/>
    <w:next w:val="888"/>
    <w:link w:val="1085"/>
    <w:uiPriority w:val="0"/>
    <w:qFormat/>
    <w:pPr>
      <w:jc w:val="center"/>
      <w:keepLines/>
      <w:keepNext/>
      <w:spacing w:before="120" w:line="300" w:lineRule="auto"/>
      <w:outlineLvl w:val="1"/>
    </w:pPr>
    <w:rPr>
      <w:rFonts w:ascii="Arial" w:hAnsi="Arial" w:eastAsia="黑体"/>
      <w:b/>
      <w:sz w:val="30"/>
      <w:szCs w:val="20"/>
    </w:rPr>
  </w:style>
  <w:style w:type="paragraph" w:styleId="1075" w:customStyle="1">
    <w:name w:val="标题 31"/>
    <w:basedOn w:val="888"/>
    <w:next w:val="888"/>
    <w:link w:val="1086"/>
    <w:uiPriority w:val="0"/>
    <w:qFormat/>
    <w:pPr>
      <w:jc w:val="left"/>
      <w:keepLines/>
      <w:keepNext/>
      <w:spacing w:before="360" w:after="120"/>
      <w:outlineLvl w:val="2"/>
    </w:pPr>
    <w:rPr>
      <w:rFonts w:ascii="宋体"/>
      <w:b/>
      <w:sz w:val="24"/>
      <w:szCs w:val="20"/>
      <w:u w:val="single"/>
    </w:rPr>
  </w:style>
  <w:style w:type="paragraph" w:styleId="1076" w:customStyle="1">
    <w:name w:val="标题 41"/>
    <w:basedOn w:val="888"/>
    <w:next w:val="888"/>
    <w:link w:val="1087"/>
    <w:uiPriority w:val="0"/>
    <w:qFormat/>
    <w:pPr>
      <w:keepLines/>
      <w:keepNext/>
      <w:spacing w:before="280" w:after="290" w:line="376" w:lineRule="atLeast"/>
      <w:outlineLvl w:val="3"/>
    </w:pPr>
    <w:rPr>
      <w:rFonts w:ascii="Arial" w:hAnsi="Arial" w:eastAsia="黑体"/>
      <w:b/>
      <w:sz w:val="28"/>
      <w:szCs w:val="20"/>
    </w:rPr>
  </w:style>
  <w:style w:type="paragraph" w:styleId="1077" w:customStyle="1">
    <w:name w:val="标题 51"/>
    <w:basedOn w:val="888"/>
    <w:next w:val="888"/>
    <w:link w:val="1088"/>
    <w:uiPriority w:val="0"/>
    <w:qFormat/>
    <w:pPr>
      <w:keepLines/>
      <w:keepNext/>
      <w:spacing w:before="280" w:after="290" w:line="376" w:lineRule="atLeast"/>
      <w:outlineLvl w:val="4"/>
    </w:pPr>
    <w:rPr>
      <w:b/>
      <w:sz w:val="28"/>
      <w:szCs w:val="20"/>
    </w:rPr>
  </w:style>
  <w:style w:type="paragraph" w:styleId="1078" w:customStyle="1">
    <w:name w:val="标题 61"/>
    <w:basedOn w:val="888"/>
    <w:next w:val="888"/>
    <w:link w:val="1089"/>
    <w:uiPriority w:val="0"/>
    <w:qFormat/>
    <w:pPr>
      <w:keepLines/>
      <w:keepNext/>
      <w:spacing w:before="240" w:after="64" w:line="320" w:lineRule="atLeast"/>
      <w:outlineLvl w:val="5"/>
    </w:pPr>
    <w:rPr>
      <w:rFonts w:ascii="Arial" w:hAnsi="Arial" w:eastAsia="黑体"/>
      <w:b/>
      <w:sz w:val="24"/>
      <w:szCs w:val="20"/>
    </w:rPr>
  </w:style>
  <w:style w:type="paragraph" w:styleId="1079" w:customStyle="1">
    <w:name w:val="标题 71"/>
    <w:basedOn w:val="888"/>
    <w:next w:val="888"/>
    <w:link w:val="1090"/>
    <w:uiPriority w:val="0"/>
    <w:qFormat/>
    <w:pPr>
      <w:keepLines/>
      <w:keepNext/>
      <w:spacing w:before="240" w:after="64" w:line="320" w:lineRule="atLeast"/>
      <w:outlineLvl w:val="6"/>
    </w:pPr>
    <w:rPr>
      <w:b/>
      <w:sz w:val="24"/>
      <w:szCs w:val="20"/>
    </w:rPr>
  </w:style>
  <w:style w:type="paragraph" w:styleId="1080" w:customStyle="1">
    <w:name w:val="标题 81"/>
    <w:basedOn w:val="888"/>
    <w:next w:val="888"/>
    <w:link w:val="1091"/>
    <w:uiPriority w:val="0"/>
    <w:qFormat/>
    <w:pPr>
      <w:keepLines/>
      <w:keepNext/>
      <w:spacing w:before="240" w:after="64" w:line="320" w:lineRule="atLeast"/>
      <w:outlineLvl w:val="7"/>
    </w:pPr>
    <w:rPr>
      <w:rFonts w:ascii="Arial" w:hAnsi="Arial" w:eastAsia="黑体"/>
      <w:sz w:val="24"/>
      <w:szCs w:val="20"/>
    </w:rPr>
  </w:style>
  <w:style w:type="paragraph" w:styleId="1081" w:customStyle="1">
    <w:name w:val="标题 91"/>
    <w:basedOn w:val="888"/>
    <w:next w:val="888"/>
    <w:link w:val="1092"/>
    <w:uiPriority w:val="0"/>
    <w:qFormat/>
    <w:pPr>
      <w:keepLines/>
      <w:keepNext/>
      <w:spacing w:before="240" w:after="64" w:line="320" w:lineRule="atLeast"/>
      <w:outlineLvl w:val="8"/>
    </w:pPr>
    <w:rPr>
      <w:rFonts w:ascii="Arial" w:hAnsi="Arial" w:eastAsia="黑体"/>
      <w:szCs w:val="20"/>
    </w:rPr>
  </w:style>
  <w:style w:type="character" w:styleId="1082" w:customStyle="1">
    <w:name w:val="默认段落字体1"/>
    <w:link w:val="888"/>
    <w:uiPriority w:val="1"/>
    <w:unhideWhenUsed/>
    <w:qFormat/>
  </w:style>
  <w:style w:type="table" w:styleId="1083" w:customStyle="1">
    <w:name w:val="普通表格1"/>
    <w:uiPriority w:val="99"/>
    <w:unhideWhenUsed/>
    <w:qFormat/>
    <w:tblPr/>
  </w:style>
  <w:style w:type="character" w:styleId="1084" w:customStyle="1">
    <w:name w:val="标题 1 Char"/>
    <w:basedOn w:val="1082"/>
    <w:link w:val="1073"/>
    <w:uiPriority w:val="0"/>
    <w:qFormat/>
    <w:rPr>
      <w:rFonts w:ascii="宋体"/>
      <w:b/>
      <w:sz w:val="32"/>
    </w:rPr>
  </w:style>
  <w:style w:type="character" w:styleId="1085" w:customStyle="1">
    <w:name w:val="标题 2 Char1"/>
    <w:link w:val="1074"/>
    <w:uiPriority w:val="0"/>
    <w:qFormat/>
    <w:rPr>
      <w:rFonts w:ascii="Arial" w:hAnsi="Arial" w:eastAsia="黑体"/>
      <w:b/>
      <w:sz w:val="30"/>
      <w:lang w:val="en-US" w:eastAsia="zh-CN" w:bidi="ar-SA"/>
    </w:rPr>
  </w:style>
  <w:style w:type="character" w:styleId="1086" w:customStyle="1">
    <w:name w:val="标题 3 Char1"/>
    <w:link w:val="1075"/>
    <w:uiPriority w:val="0"/>
    <w:qFormat/>
    <w:rPr>
      <w:rFonts w:ascii="宋体" w:eastAsia="宋体"/>
      <w:b/>
      <w:sz w:val="24"/>
      <w:u w:val="single"/>
      <w:lang w:val="en-US" w:eastAsia="zh-CN" w:bidi="ar-SA"/>
    </w:rPr>
  </w:style>
  <w:style w:type="character" w:styleId="1087" w:customStyle="1">
    <w:name w:val="标题 4 Char"/>
    <w:basedOn w:val="1082"/>
    <w:link w:val="1076"/>
    <w:uiPriority w:val="0"/>
    <w:qFormat/>
    <w:rPr>
      <w:rFonts w:ascii="Arial" w:hAnsi="Arial" w:eastAsia="黑体"/>
      <w:b/>
      <w:sz w:val="28"/>
    </w:rPr>
  </w:style>
  <w:style w:type="character" w:styleId="1088" w:customStyle="1">
    <w:name w:val="标题 5 Char"/>
    <w:basedOn w:val="1082"/>
    <w:link w:val="1077"/>
    <w:uiPriority w:val="0"/>
    <w:qFormat/>
    <w:rPr>
      <w:b/>
      <w:sz w:val="28"/>
    </w:rPr>
  </w:style>
  <w:style w:type="character" w:styleId="1089" w:customStyle="1">
    <w:name w:val="标题 6 Char"/>
    <w:basedOn w:val="1082"/>
    <w:link w:val="1078"/>
    <w:uiPriority w:val="0"/>
    <w:qFormat/>
    <w:rPr>
      <w:rFonts w:ascii="Arial" w:hAnsi="Arial" w:eastAsia="黑体"/>
      <w:b/>
      <w:sz w:val="24"/>
    </w:rPr>
  </w:style>
  <w:style w:type="character" w:styleId="1090" w:customStyle="1">
    <w:name w:val="标题 7 Char"/>
    <w:basedOn w:val="1082"/>
    <w:link w:val="1079"/>
    <w:uiPriority w:val="0"/>
    <w:qFormat/>
    <w:rPr>
      <w:b/>
      <w:sz w:val="24"/>
    </w:rPr>
  </w:style>
  <w:style w:type="character" w:styleId="1091" w:customStyle="1">
    <w:name w:val="标题 8 Char"/>
    <w:basedOn w:val="1082"/>
    <w:link w:val="1080"/>
    <w:uiPriority w:val="0"/>
    <w:qFormat/>
    <w:rPr>
      <w:rFonts w:ascii="Arial" w:hAnsi="Arial" w:eastAsia="黑体"/>
      <w:sz w:val="24"/>
    </w:rPr>
  </w:style>
  <w:style w:type="character" w:styleId="1092" w:customStyle="1">
    <w:name w:val="标题 9 Char"/>
    <w:basedOn w:val="1082"/>
    <w:link w:val="1081"/>
    <w:uiPriority w:val="0"/>
    <w:qFormat/>
    <w:rPr>
      <w:rFonts w:ascii="Arial" w:hAnsi="Arial" w:eastAsia="黑体"/>
      <w:sz w:val="21"/>
    </w:rPr>
  </w:style>
  <w:style w:type="paragraph" w:styleId="1093" w:customStyle="1">
    <w:name w:val="目录 71"/>
    <w:basedOn w:val="888"/>
    <w:next w:val="888"/>
    <w:uiPriority w:val="0"/>
    <w:qFormat/>
    <w:pPr>
      <w:ind w:left="2520"/>
    </w:pPr>
  </w:style>
  <w:style w:type="paragraph" w:styleId="1094" w:customStyle="1">
    <w:name w:val="正文缩进11"/>
    <w:basedOn w:val="888"/>
    <w:link w:val="1095"/>
    <w:uiPriority w:val="0"/>
    <w:qFormat/>
    <w:pPr>
      <w:ind w:firstLine="420"/>
      <w:jc w:val="left"/>
    </w:pPr>
    <w:rPr>
      <w:rFonts w:ascii="宋体"/>
      <w:sz w:val="24"/>
    </w:rPr>
  </w:style>
  <w:style w:type="character" w:styleId="1095" w:customStyle="1">
    <w:name w:val="正文缩进 Char1"/>
    <w:link w:val="1094"/>
    <w:uiPriority w:val="0"/>
    <w:qFormat/>
    <w:rPr>
      <w:rFonts w:ascii="宋体" w:eastAsia="宋体"/>
      <w:sz w:val="24"/>
      <w:szCs w:val="24"/>
      <w:lang w:val="en-US" w:eastAsia="zh-CN" w:bidi="ar-SA"/>
    </w:rPr>
  </w:style>
  <w:style w:type="paragraph" w:styleId="1096" w:customStyle="1">
    <w:name w:val="题注1"/>
    <w:basedOn w:val="888"/>
    <w:next w:val="888"/>
    <w:uiPriority w:val="0"/>
    <w:qFormat/>
    <w:pPr>
      <w:spacing w:line="480" w:lineRule="auto"/>
    </w:pPr>
    <w:rPr>
      <w:rFonts w:ascii="华文中宋" w:hAnsi="华文中宋" w:eastAsia="华文中宋"/>
      <w:sz w:val="36"/>
      <w:szCs w:val="20"/>
    </w:rPr>
  </w:style>
  <w:style w:type="paragraph" w:styleId="1097" w:customStyle="1">
    <w:name w:val="文档结构图1"/>
    <w:basedOn w:val="888"/>
    <w:link w:val="1098"/>
    <w:uiPriority w:val="0"/>
    <w:qFormat/>
    <w:pPr>
      <w:shd w:val="clear" w:color="auto" w:fill="000080"/>
    </w:pPr>
  </w:style>
  <w:style w:type="character" w:styleId="1098" w:customStyle="1">
    <w:name w:val="文档结构图 Char"/>
    <w:basedOn w:val="1082"/>
    <w:link w:val="1097"/>
    <w:uiPriority w:val="0"/>
    <w:qFormat/>
    <w:rPr>
      <w:sz w:val="21"/>
      <w:szCs w:val="24"/>
      <w:shd w:val="clear" w:color="auto" w:fill="000080"/>
    </w:rPr>
  </w:style>
  <w:style w:type="paragraph" w:styleId="1099" w:customStyle="1">
    <w:name w:val="批注文字1"/>
    <w:basedOn w:val="888"/>
    <w:link w:val="1100"/>
    <w:uiPriority w:val="99"/>
    <w:qFormat/>
    <w:pPr>
      <w:jc w:val="left"/>
    </w:pPr>
  </w:style>
  <w:style w:type="character" w:styleId="1100" w:customStyle="1">
    <w:name w:val="批注文字 Char1"/>
    <w:link w:val="1099"/>
    <w:uiPriority w:val="99"/>
    <w:qFormat/>
    <w:rPr>
      <w:sz w:val="21"/>
      <w:szCs w:val="24"/>
    </w:rPr>
  </w:style>
  <w:style w:type="paragraph" w:styleId="1101" w:customStyle="1">
    <w:name w:val="正文文本 31"/>
    <w:basedOn w:val="888"/>
    <w:link w:val="1102"/>
    <w:uiPriority w:val="0"/>
    <w:qFormat/>
    <w:pPr>
      <w:spacing w:after="120"/>
    </w:pPr>
    <w:rPr>
      <w:sz w:val="16"/>
      <w:szCs w:val="16"/>
    </w:rPr>
  </w:style>
  <w:style w:type="character" w:styleId="1102" w:customStyle="1">
    <w:name w:val="正文文本 3 Char"/>
    <w:basedOn w:val="1082"/>
    <w:link w:val="1101"/>
    <w:uiPriority w:val="0"/>
    <w:qFormat/>
    <w:rPr>
      <w:sz w:val="16"/>
      <w:szCs w:val="16"/>
    </w:rPr>
  </w:style>
  <w:style w:type="paragraph" w:styleId="1103" w:customStyle="1">
    <w:name w:val="正文文本1"/>
    <w:basedOn w:val="888"/>
    <w:link w:val="1104"/>
    <w:uiPriority w:val="0"/>
    <w:qFormat/>
    <w:pPr>
      <w:spacing w:before="120" w:line="22" w:lineRule="atLeast"/>
      <w:tabs>
        <w:tab w:val="left" w:pos="567" w:leader="none"/>
      </w:tabs>
    </w:pPr>
    <w:rPr>
      <w:rFonts w:ascii="宋体" w:hAnsi="宋体"/>
      <w:sz w:val="24"/>
    </w:rPr>
  </w:style>
  <w:style w:type="character" w:styleId="1104" w:customStyle="1">
    <w:name w:val="正文文本 Char"/>
    <w:basedOn w:val="1082"/>
    <w:link w:val="1103"/>
    <w:uiPriority w:val="0"/>
    <w:qFormat/>
    <w:rPr>
      <w:rFonts w:ascii="宋体" w:hAnsi="宋体"/>
      <w:sz w:val="24"/>
      <w:szCs w:val="24"/>
    </w:rPr>
  </w:style>
  <w:style w:type="paragraph" w:styleId="1105" w:customStyle="1">
    <w:name w:val="正文文本缩进11"/>
    <w:basedOn w:val="888"/>
    <w:link w:val="1106"/>
    <w:uiPriority w:val="0"/>
    <w:qFormat/>
    <w:pPr>
      <w:ind w:firstLine="570"/>
      <w:spacing w:line="360" w:lineRule="auto"/>
    </w:pPr>
    <w:rPr>
      <w:sz w:val="24"/>
    </w:rPr>
  </w:style>
  <w:style w:type="character" w:styleId="1106" w:customStyle="1">
    <w:name w:val="正文文本缩进 Char2"/>
    <w:link w:val="1105"/>
    <w:uiPriority w:val="0"/>
    <w:qFormat/>
    <w:rPr>
      <w:rFonts w:eastAsia="宋体"/>
      <w:sz w:val="24"/>
      <w:szCs w:val="24"/>
      <w:lang w:val="en-US" w:eastAsia="zh-CN" w:bidi="ar-SA"/>
    </w:rPr>
  </w:style>
  <w:style w:type="paragraph" w:styleId="1107" w:customStyle="1">
    <w:name w:val="列表 21"/>
    <w:basedOn w:val="888"/>
    <w:uiPriority w:val="0"/>
    <w:qFormat/>
    <w:pPr>
      <w:ind w:left="100" w:hanging="200"/>
    </w:pPr>
  </w:style>
  <w:style w:type="paragraph" w:styleId="1108" w:customStyle="1">
    <w:name w:val="文本块1"/>
    <w:basedOn w:val="888"/>
    <w:uiPriority w:val="0"/>
    <w:qFormat/>
    <w:pPr>
      <w:ind w:left="480" w:right="-341" w:firstLine="513"/>
      <w:widowControl/>
    </w:pPr>
    <w:rPr>
      <w:sz w:val="24"/>
      <w:szCs w:val="20"/>
    </w:rPr>
  </w:style>
  <w:style w:type="paragraph" w:styleId="1109" w:customStyle="1">
    <w:name w:val="目录 51"/>
    <w:basedOn w:val="888"/>
    <w:next w:val="888"/>
    <w:uiPriority w:val="0"/>
    <w:qFormat/>
    <w:pPr>
      <w:ind w:left="1680"/>
    </w:pPr>
  </w:style>
  <w:style w:type="paragraph" w:styleId="1110" w:customStyle="1">
    <w:name w:val="目录 31"/>
    <w:basedOn w:val="888"/>
    <w:next w:val="888"/>
    <w:uiPriority w:val="39"/>
    <w:qFormat/>
    <w:pPr>
      <w:ind w:left="840"/>
    </w:pPr>
  </w:style>
  <w:style w:type="paragraph" w:styleId="1111" w:customStyle="1">
    <w:name w:val="纯文本1"/>
    <w:basedOn w:val="888"/>
    <w:link w:val="1112"/>
    <w:uiPriority w:val="0"/>
    <w:qFormat/>
    <w:rPr>
      <w:rFonts w:hint="eastAsia" w:ascii="宋体" w:hAnsi="Courier New"/>
      <w:szCs w:val="20"/>
    </w:rPr>
  </w:style>
  <w:style w:type="character" w:styleId="1112" w:customStyle="1">
    <w:name w:val="纯文本 Char"/>
    <w:basedOn w:val="1082"/>
    <w:link w:val="1111"/>
    <w:uiPriority w:val="0"/>
    <w:qFormat/>
    <w:rPr>
      <w:rFonts w:hint="eastAsia" w:ascii="宋体" w:hAnsi="Courier New" w:eastAsia="宋体" w:cs="宋体"/>
      <w:sz w:val="21"/>
    </w:rPr>
  </w:style>
  <w:style w:type="paragraph" w:styleId="1113" w:customStyle="1">
    <w:name w:val="目录 81"/>
    <w:basedOn w:val="888"/>
    <w:next w:val="888"/>
    <w:uiPriority w:val="0"/>
    <w:qFormat/>
    <w:pPr>
      <w:ind w:left="2940"/>
    </w:pPr>
  </w:style>
  <w:style w:type="paragraph" w:styleId="1114" w:customStyle="1">
    <w:name w:val="日期1"/>
    <w:basedOn w:val="888"/>
    <w:next w:val="888"/>
    <w:link w:val="1115"/>
    <w:uiPriority w:val="0"/>
    <w:qFormat/>
    <w:pPr>
      <w:ind w:left="100"/>
    </w:pPr>
    <w:rPr>
      <w:rFonts w:ascii="仿宋_GB2312" w:hAnsi="宋体" w:eastAsia="仿宋_GB2312"/>
      <w:color w:val="000000"/>
      <w:sz w:val="24"/>
    </w:rPr>
  </w:style>
  <w:style w:type="character" w:styleId="1115" w:customStyle="1">
    <w:name w:val="日期 Char"/>
    <w:basedOn w:val="1082"/>
    <w:link w:val="1114"/>
    <w:uiPriority w:val="0"/>
    <w:qFormat/>
    <w:rPr>
      <w:rFonts w:ascii="仿宋_GB2312" w:hAnsi="宋体" w:eastAsia="仿宋_GB2312"/>
      <w:color w:val="000000"/>
      <w:sz w:val="24"/>
      <w:szCs w:val="24"/>
    </w:rPr>
  </w:style>
  <w:style w:type="paragraph" w:styleId="1116" w:customStyle="1">
    <w:name w:val="正文文本缩进 21"/>
    <w:basedOn w:val="888"/>
    <w:link w:val="1117"/>
    <w:uiPriority w:val="0"/>
    <w:qFormat/>
    <w:pPr>
      <w:ind w:firstLine="480"/>
    </w:pPr>
    <w:rPr>
      <w:rFonts w:ascii="仿宋_GB2312" w:eastAsia="仿宋_GB2312"/>
      <w:sz w:val="24"/>
    </w:rPr>
  </w:style>
  <w:style w:type="character" w:styleId="1117" w:customStyle="1">
    <w:name w:val="正文文本缩进 2 Char"/>
    <w:basedOn w:val="1082"/>
    <w:link w:val="1116"/>
    <w:uiPriority w:val="0"/>
    <w:qFormat/>
    <w:rPr>
      <w:rFonts w:ascii="仿宋_GB2312" w:eastAsia="仿宋_GB2312"/>
      <w:sz w:val="24"/>
      <w:szCs w:val="24"/>
    </w:rPr>
  </w:style>
  <w:style w:type="paragraph" w:styleId="1118" w:customStyle="1">
    <w:name w:val="批注框文本1"/>
    <w:basedOn w:val="888"/>
    <w:link w:val="1119"/>
    <w:uiPriority w:val="0"/>
    <w:qFormat/>
    <w:rPr>
      <w:sz w:val="18"/>
      <w:szCs w:val="18"/>
    </w:rPr>
  </w:style>
  <w:style w:type="character" w:styleId="1119" w:customStyle="1">
    <w:name w:val="批注框文本 Char"/>
    <w:basedOn w:val="1082"/>
    <w:link w:val="1118"/>
    <w:uiPriority w:val="0"/>
    <w:qFormat/>
    <w:rPr>
      <w:sz w:val="18"/>
      <w:szCs w:val="18"/>
    </w:rPr>
  </w:style>
  <w:style w:type="paragraph" w:styleId="1120" w:customStyle="1">
    <w:name w:val="页脚1"/>
    <w:basedOn w:val="888"/>
    <w:link w:val="1121"/>
    <w:uiPriority w:val="99"/>
    <w:qFormat/>
    <w:pPr>
      <w:jc w:val="left"/>
      <w:tabs>
        <w:tab w:val="center" w:pos="4153" w:leader="none"/>
        <w:tab w:val="right" w:pos="8306" w:leader="none"/>
      </w:tabs>
    </w:pPr>
    <w:rPr>
      <w:rFonts w:ascii="宋体"/>
      <w:sz w:val="18"/>
      <w:szCs w:val="20"/>
    </w:rPr>
  </w:style>
  <w:style w:type="character" w:styleId="1121" w:customStyle="1">
    <w:name w:val="页脚 Char1"/>
    <w:link w:val="1120"/>
    <w:uiPriority w:val="99"/>
    <w:qFormat/>
    <w:rPr>
      <w:rFonts w:ascii="宋体" w:eastAsia="宋体"/>
      <w:sz w:val="18"/>
      <w:lang w:val="en-US" w:eastAsia="zh-CN" w:bidi="ar-SA"/>
    </w:rPr>
  </w:style>
  <w:style w:type="paragraph" w:styleId="1122" w:customStyle="1">
    <w:name w:val="页眉1"/>
    <w:basedOn w:val="888"/>
    <w:link w:val="1123"/>
    <w:uiPriority w:val="0"/>
    <w:qFormat/>
    <w:pPr>
      <w:jc w:val="center"/>
      <w:tabs>
        <w:tab w:val="center" w:pos="4153" w:leader="none"/>
        <w:tab w:val="right" w:pos="8306" w:leader="none"/>
      </w:tabs>
      <w:pBdr>
        <w:bottom w:val="single" w:color="000000" w:sz="6" w:space="1"/>
      </w:pBdr>
    </w:pPr>
    <w:rPr>
      <w:sz w:val="18"/>
      <w:szCs w:val="18"/>
    </w:rPr>
  </w:style>
  <w:style w:type="character" w:styleId="1123" w:customStyle="1">
    <w:name w:val="页眉 Char1"/>
    <w:link w:val="1122"/>
    <w:uiPriority w:val="0"/>
    <w:qFormat/>
    <w:rPr>
      <w:rFonts w:eastAsia="宋体"/>
      <w:sz w:val="18"/>
      <w:szCs w:val="18"/>
      <w:lang w:val="en-US" w:eastAsia="zh-CN" w:bidi="ar-SA"/>
    </w:rPr>
  </w:style>
  <w:style w:type="paragraph" w:styleId="1124" w:customStyle="1">
    <w:name w:val="目录 11"/>
    <w:basedOn w:val="888"/>
    <w:next w:val="888"/>
    <w:uiPriority w:val="39"/>
    <w:qFormat/>
    <w:pPr>
      <w:spacing w:line="300" w:lineRule="auto"/>
      <w:tabs>
        <w:tab w:val="left" w:pos="1050" w:leader="none"/>
        <w:tab w:val="right" w:pos="8937" w:leader="dot"/>
      </w:tabs>
    </w:pPr>
    <w:rPr>
      <w:rFonts w:ascii="宋体" w:hAnsi="宋体"/>
      <w:b/>
      <w:sz w:val="24"/>
    </w:rPr>
  </w:style>
  <w:style w:type="paragraph" w:styleId="1125" w:customStyle="1">
    <w:name w:val="目录 41"/>
    <w:basedOn w:val="888"/>
    <w:next w:val="888"/>
    <w:uiPriority w:val="0"/>
    <w:qFormat/>
    <w:pPr>
      <w:ind w:left="1260"/>
    </w:pPr>
  </w:style>
  <w:style w:type="paragraph" w:styleId="1126" w:customStyle="1">
    <w:name w:val="目录 61"/>
    <w:basedOn w:val="888"/>
    <w:next w:val="888"/>
    <w:uiPriority w:val="0"/>
    <w:qFormat/>
    <w:pPr>
      <w:ind w:left="2100"/>
    </w:pPr>
  </w:style>
  <w:style w:type="paragraph" w:styleId="1127" w:customStyle="1">
    <w:name w:val="正文文本缩进 31"/>
    <w:basedOn w:val="888"/>
    <w:link w:val="1128"/>
    <w:uiPriority w:val="0"/>
    <w:qFormat/>
    <w:pPr>
      <w:ind w:left="720" w:firstLine="480"/>
      <w:jc w:val="left"/>
      <w:spacing w:before="120" w:line="22" w:lineRule="atLeast"/>
    </w:pPr>
    <w:rPr>
      <w:rFonts w:ascii="宋体"/>
      <w:sz w:val="24"/>
      <w:szCs w:val="20"/>
    </w:rPr>
  </w:style>
  <w:style w:type="character" w:styleId="1128" w:customStyle="1">
    <w:name w:val="正文文本缩进 3 Char"/>
    <w:basedOn w:val="1082"/>
    <w:link w:val="1127"/>
    <w:uiPriority w:val="0"/>
    <w:qFormat/>
    <w:rPr>
      <w:rFonts w:ascii="宋体"/>
      <w:sz w:val="24"/>
    </w:rPr>
  </w:style>
  <w:style w:type="paragraph" w:styleId="1129" w:customStyle="1">
    <w:name w:val="目录 21"/>
    <w:basedOn w:val="888"/>
    <w:next w:val="888"/>
    <w:uiPriority w:val="39"/>
    <w:qFormat/>
    <w:pPr>
      <w:ind w:left="420"/>
      <w:spacing w:line="312" w:lineRule="auto"/>
      <w:tabs>
        <w:tab w:val="right" w:pos="8937" w:leader="dot"/>
      </w:tabs>
    </w:pPr>
  </w:style>
  <w:style w:type="paragraph" w:styleId="1130" w:customStyle="1">
    <w:name w:val="目录 91"/>
    <w:basedOn w:val="888"/>
    <w:next w:val="888"/>
    <w:uiPriority w:val="0"/>
    <w:qFormat/>
    <w:pPr>
      <w:ind w:left="3360"/>
    </w:pPr>
  </w:style>
  <w:style w:type="paragraph" w:styleId="1131" w:customStyle="1">
    <w:name w:val="HTML 预设格式1"/>
    <w:basedOn w:val="888"/>
    <w:link w:val="11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customStyle="1">
    <w:name w:val="HTML 预设格式 Char"/>
    <w:basedOn w:val="1082"/>
    <w:link w:val="1131"/>
    <w:uiPriority w:val="0"/>
    <w:qFormat/>
    <w:rPr>
      <w:rFonts w:ascii="宋体" w:hAnsi="宋体" w:cs="宋体"/>
      <w:sz w:val="24"/>
      <w:szCs w:val="24"/>
    </w:rPr>
  </w:style>
  <w:style w:type="paragraph" w:styleId="1133" w:customStyle="1">
    <w:name w:val="普通(网站)1"/>
    <w:basedOn w:val="888"/>
    <w:uiPriority w:val="99"/>
    <w:unhideWhenUsed/>
    <w:qFormat/>
    <w:pPr>
      <w:jc w:val="left"/>
      <w:spacing w:before="100" w:beforeAutospacing="1" w:after="100" w:afterAutospacing="1"/>
      <w:widowControl/>
    </w:pPr>
    <w:rPr>
      <w:rFonts w:ascii="宋体" w:hAnsi="宋体" w:cs="宋体"/>
      <w:sz w:val="24"/>
    </w:rPr>
  </w:style>
  <w:style w:type="paragraph" w:styleId="1134" w:customStyle="1">
    <w:name w:val="索引 11"/>
    <w:basedOn w:val="888"/>
    <w:next w:val="888"/>
    <w:uiPriority w:val="0"/>
    <w:qFormat/>
    <w:rPr>
      <w:szCs w:val="20"/>
    </w:rPr>
  </w:style>
  <w:style w:type="paragraph" w:styleId="1135" w:customStyle="1">
    <w:name w:val="标题1"/>
    <w:basedOn w:val="888"/>
    <w:link w:val="1136"/>
    <w:uiPriority w:val="0"/>
    <w:qFormat/>
    <w:pPr>
      <w:jc w:val="center"/>
      <w:outlineLvl w:val="0"/>
    </w:pPr>
    <w:rPr>
      <w:b/>
      <w:sz w:val="32"/>
      <w:szCs w:val="20"/>
    </w:rPr>
  </w:style>
  <w:style w:type="character" w:styleId="1136" w:customStyle="1">
    <w:name w:val="标题 Char1"/>
    <w:link w:val="1135"/>
    <w:uiPriority w:val="0"/>
    <w:qFormat/>
    <w:rPr>
      <w:b/>
      <w:sz w:val="32"/>
    </w:rPr>
  </w:style>
  <w:style w:type="paragraph" w:styleId="1137" w:customStyle="1">
    <w:name w:val="批注主题1"/>
    <w:basedOn w:val="1099"/>
    <w:next w:val="1099"/>
    <w:link w:val="1138"/>
    <w:uiPriority w:val="0"/>
    <w:qFormat/>
    <w:rPr>
      <w:b/>
      <w:bCs/>
    </w:rPr>
  </w:style>
  <w:style w:type="character" w:styleId="1138" w:customStyle="1">
    <w:name w:val="批注主题 Char"/>
    <w:basedOn w:val="1139"/>
    <w:link w:val="1137"/>
    <w:uiPriority w:val="0"/>
    <w:qFormat/>
    <w:rPr>
      <w:rFonts w:ascii="Times New Roman" w:hAnsi="Times New Roman" w:eastAsia="宋体" w:cs="Times New Roman"/>
      <w:b/>
      <w:bCs/>
      <w:sz w:val="21"/>
      <w:szCs w:val="24"/>
      <w:lang w:val="en-US" w:eastAsia="zh-CN" w:bidi="ar-SA"/>
    </w:rPr>
  </w:style>
  <w:style w:type="character" w:styleId="1139" w:customStyle="1">
    <w:name w:val="批注文字 字符"/>
    <w:link w:val="888"/>
    <w:uiPriority w:val="99"/>
    <w:qFormat/>
    <w:rPr>
      <w:rFonts w:ascii="Times New Roman" w:hAnsi="Times New Roman" w:eastAsia="宋体" w:cs="Times New Roman"/>
      <w:sz w:val="24"/>
      <w:lang w:val="en-US" w:eastAsia="zh-CN" w:bidi="ar-SA"/>
    </w:rPr>
  </w:style>
  <w:style w:type="paragraph" w:styleId="1140" w:customStyle="1">
    <w:name w:val="正文首行缩进 21"/>
    <w:basedOn w:val="1105"/>
    <w:link w:val="1141"/>
    <w:uiPriority w:val="0"/>
    <w:qFormat/>
    <w:pPr>
      <w:ind w:left="420" w:firstLine="420"/>
      <w:spacing w:after="120" w:line="480" w:lineRule="exact"/>
    </w:pPr>
    <w:rPr>
      <w:szCs w:val="20"/>
    </w:rPr>
  </w:style>
  <w:style w:type="character" w:styleId="1141" w:customStyle="1">
    <w:name w:val="正文首行缩进 2 Char"/>
    <w:basedOn w:val="1106"/>
    <w:link w:val="1140"/>
    <w:uiPriority w:val="0"/>
    <w:qFormat/>
    <w:rPr>
      <w:rFonts w:eastAsia="宋体"/>
      <w:sz w:val="24"/>
      <w:szCs w:val="24"/>
      <w:lang w:val="en-US" w:eastAsia="zh-CN" w:bidi="ar-SA"/>
    </w:rPr>
  </w:style>
  <w:style w:type="table" w:styleId="1142" w:customStyle="1">
    <w:name w:val="网格型1"/>
    <w:basedOn w:val="1083"/>
    <w:uiPriority w:val="39"/>
    <w:qFormat/>
    <w:tblPr/>
  </w:style>
  <w:style w:type="table" w:styleId="1143" w:customStyle="1">
    <w:name w:val="中等深浅网格 1 - 强调文字颜色 21"/>
    <w:basedOn w:val="1083"/>
    <w:uiPriority w:val="0"/>
    <w:qFormat/>
    <w:rPr>
      <w:sz w:val="21"/>
      <w:szCs w:val="24"/>
    </w:rPr>
    <w:tblPr/>
  </w:style>
  <w:style w:type="character" w:styleId="1144" w:customStyle="1">
    <w:name w:val="要点1"/>
    <w:link w:val="888"/>
    <w:uiPriority w:val="0"/>
    <w:qFormat/>
    <w:rPr>
      <w:b/>
      <w:bCs/>
    </w:rPr>
  </w:style>
  <w:style w:type="character" w:styleId="1145" w:customStyle="1">
    <w:name w:val="页码1"/>
    <w:basedOn w:val="1082"/>
    <w:link w:val="888"/>
    <w:uiPriority w:val="0"/>
    <w:qFormat/>
  </w:style>
  <w:style w:type="character" w:styleId="1146" w:customStyle="1">
    <w:name w:val="已访问的超链接1"/>
    <w:basedOn w:val="1082"/>
    <w:link w:val="888"/>
    <w:uiPriority w:val="0"/>
    <w:qFormat/>
    <w:rPr>
      <w:color w:val="800080"/>
      <w:u w:val="none"/>
    </w:rPr>
  </w:style>
  <w:style w:type="character" w:styleId="1147" w:customStyle="1">
    <w:name w:val="强调1"/>
    <w:link w:val="888"/>
    <w:uiPriority w:val="0"/>
    <w:qFormat/>
    <w:rPr>
      <w:color w:val="cc0033"/>
    </w:rPr>
  </w:style>
  <w:style w:type="character" w:styleId="1148" w:customStyle="1">
    <w:name w:val="HTML 定义1"/>
    <w:basedOn w:val="1082"/>
    <w:link w:val="888"/>
    <w:uiPriority w:val="0"/>
    <w:qFormat/>
  </w:style>
  <w:style w:type="character" w:styleId="1149" w:customStyle="1">
    <w:name w:val="HTML 打字机1"/>
    <w:basedOn w:val="1082"/>
    <w:link w:val="888"/>
    <w:uiPriority w:val="0"/>
    <w:qFormat/>
    <w:rPr>
      <w:rFonts w:ascii="monospace" w:hAnsi="monospace" w:eastAsia="monospace" w:cs="monospace"/>
      <w:sz w:val="20"/>
    </w:rPr>
  </w:style>
  <w:style w:type="character" w:styleId="1150" w:customStyle="1">
    <w:name w:val="HTML 缩写1"/>
    <w:basedOn w:val="1082"/>
    <w:link w:val="888"/>
    <w:uiPriority w:val="0"/>
    <w:qFormat/>
  </w:style>
  <w:style w:type="character" w:styleId="1151" w:customStyle="1">
    <w:name w:val="HTML 变量1"/>
    <w:basedOn w:val="1082"/>
    <w:link w:val="888"/>
    <w:uiPriority w:val="0"/>
    <w:qFormat/>
  </w:style>
  <w:style w:type="character" w:styleId="1152" w:customStyle="1">
    <w:name w:val="超链接1"/>
    <w:basedOn w:val="1082"/>
    <w:link w:val="888"/>
    <w:uiPriority w:val="99"/>
    <w:qFormat/>
    <w:rPr>
      <w:color w:val="0000ff"/>
      <w:u w:val="none"/>
    </w:rPr>
  </w:style>
  <w:style w:type="character" w:styleId="1153" w:customStyle="1">
    <w:name w:val="HTML 代码1"/>
    <w:basedOn w:val="1082"/>
    <w:link w:val="888"/>
    <w:uiPriority w:val="0"/>
    <w:qFormat/>
    <w:rPr>
      <w:rFonts w:ascii="monospace" w:hAnsi="monospace" w:eastAsia="monospace" w:cs="monospace"/>
      <w:sz w:val="20"/>
    </w:rPr>
  </w:style>
  <w:style w:type="character" w:styleId="1154" w:customStyle="1">
    <w:name w:val="批注引用1"/>
    <w:link w:val="888"/>
    <w:uiPriority w:val="99"/>
    <w:qFormat/>
    <w:rPr>
      <w:sz w:val="21"/>
      <w:szCs w:val="21"/>
    </w:rPr>
  </w:style>
  <w:style w:type="character" w:styleId="1155" w:customStyle="1">
    <w:name w:val="HTML 引文1"/>
    <w:link w:val="888"/>
    <w:uiPriority w:val="0"/>
    <w:qFormat/>
    <w:rPr>
      <w:i/>
      <w:iCs/>
    </w:rPr>
  </w:style>
  <w:style w:type="character" w:styleId="1156" w:customStyle="1">
    <w:name w:val="HTML 键盘1"/>
    <w:basedOn w:val="1082"/>
    <w:link w:val="888"/>
    <w:uiPriority w:val="0"/>
    <w:qFormat/>
    <w:rPr>
      <w:rFonts w:ascii="monospace" w:hAnsi="monospace" w:eastAsia="monospace" w:cs="monospace"/>
      <w:sz w:val="20"/>
    </w:rPr>
  </w:style>
  <w:style w:type="character" w:styleId="1157" w:customStyle="1">
    <w:name w:val="HTML 样本1"/>
    <w:basedOn w:val="1082"/>
    <w:link w:val="888"/>
    <w:uiPriority w:val="0"/>
    <w:qFormat/>
    <w:rPr>
      <w:rFonts w:ascii="monospace" w:hAnsi="monospace" w:eastAsia="monospace" w:cs="monospace"/>
    </w:rPr>
  </w:style>
  <w:style w:type="paragraph" w:styleId="1158"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59" w:customStyle="1">
    <w:name w:val="c21"/>
    <w:link w:val="888"/>
    <w:uiPriority w:val="0"/>
    <w:qFormat/>
    <w:rPr>
      <w:rFonts w:ascii="ˎ̥" w:hAnsi="ˎ̥"/>
      <w:color w:val="000000"/>
      <w:sz w:val="20"/>
      <w:szCs w:val="20"/>
      <w:u w:val="none"/>
    </w:rPr>
  </w:style>
  <w:style w:type="character" w:styleId="1160" w:customStyle="1">
    <w:name w:val="title4"/>
    <w:link w:val="888"/>
    <w:uiPriority w:val="0"/>
    <w:qFormat/>
    <w:rPr>
      <w:b/>
      <w:bCs/>
      <w:color w:val="1d87b3"/>
      <w:sz w:val="15"/>
      <w:szCs w:val="15"/>
    </w:rPr>
  </w:style>
  <w:style w:type="character" w:styleId="1161" w:customStyle="1">
    <w:name w:val="标题 2 Char Char"/>
    <w:link w:val="888"/>
    <w:uiPriority w:val="0"/>
    <w:qFormat/>
    <w:rPr>
      <w:rFonts w:ascii="Arial" w:hAnsi="Arial" w:eastAsia="黑体"/>
      <w:b/>
      <w:bCs/>
      <w:sz w:val="32"/>
      <w:szCs w:val="32"/>
      <w:lang w:val="en-US" w:eastAsia="zh-CN" w:bidi="ar-SA"/>
    </w:rPr>
  </w:style>
  <w:style w:type="character" w:styleId="1162" w:customStyle="1">
    <w:name w:val="black1"/>
    <w:link w:val="888"/>
    <w:uiPriority w:val="0"/>
    <w:qFormat/>
    <w:rPr>
      <w:color w:val="000000"/>
    </w:rPr>
  </w:style>
  <w:style w:type="character" w:styleId="1163" w:customStyle="1">
    <w:name w:val="street-address"/>
    <w:basedOn w:val="1082"/>
    <w:link w:val="888"/>
    <w:uiPriority w:val="0"/>
    <w:qFormat/>
  </w:style>
  <w:style w:type="character" w:styleId="1164" w:customStyle="1">
    <w:name w:val="locality"/>
    <w:basedOn w:val="1082"/>
    <w:link w:val="888"/>
    <w:uiPriority w:val="0"/>
    <w:qFormat/>
  </w:style>
  <w:style w:type="character" w:styleId="1165" w:customStyle="1">
    <w:name w:val="正文文本缩进 Char1"/>
    <w:link w:val="1166"/>
    <w:uiPriority w:val="0"/>
    <w:qFormat/>
    <w:rPr>
      <w:rFonts w:ascii="宋体" w:hAnsi="宋体" w:eastAsia="宋体"/>
      <w:sz w:val="24"/>
      <w:szCs w:val="24"/>
      <w:lang w:bidi="ar-SA"/>
    </w:rPr>
  </w:style>
  <w:style w:type="paragraph" w:styleId="1166" w:customStyle="1">
    <w:name w:val="正文文本缩进1"/>
    <w:basedOn w:val="888"/>
    <w:link w:val="1165"/>
    <w:uiPriority w:val="0"/>
    <w:qFormat/>
    <w:pPr>
      <w:ind w:firstLine="480"/>
      <w:spacing w:line="480" w:lineRule="exact"/>
    </w:pPr>
    <w:rPr>
      <w:rFonts w:ascii="宋体" w:hAnsi="宋体"/>
      <w:sz w:val="24"/>
    </w:rPr>
  </w:style>
  <w:style w:type="character" w:styleId="1167" w:customStyle="1">
    <w:name w:val="Char Char11"/>
    <w:link w:val="888"/>
    <w:uiPriority w:val="0"/>
    <w:qFormat/>
    <w:rPr>
      <w:rFonts w:ascii="宋体" w:eastAsia="宋体"/>
      <w:b/>
      <w:sz w:val="24"/>
      <w:u w:val="single"/>
      <w:lang w:val="en-US" w:eastAsia="zh-CN" w:bidi="ar-SA"/>
    </w:rPr>
  </w:style>
  <w:style w:type="character" w:styleId="1168" w:customStyle="1">
    <w:name w:val="txt"/>
    <w:basedOn w:val="1082"/>
    <w:link w:val="888"/>
    <w:uiPriority w:val="0"/>
    <w:qFormat/>
  </w:style>
  <w:style w:type="character" w:styleId="1169" w:customStyle="1">
    <w:name w:val="正文缩进 Char Char"/>
    <w:link w:val="1170"/>
    <w:uiPriority w:val="0"/>
    <w:qFormat/>
    <w:rPr>
      <w:rFonts w:ascii="宋体" w:eastAsia="宋体"/>
      <w:color w:val="000000"/>
      <w:sz w:val="28"/>
      <w:lang w:bidi="ar-SA"/>
    </w:rPr>
  </w:style>
  <w:style w:type="paragraph" w:styleId="1170" w:customStyle="1">
    <w:name w:val="正文缩进1"/>
    <w:basedOn w:val="888"/>
    <w:link w:val="1169"/>
    <w:uiPriority w:val="0"/>
    <w:qFormat/>
    <w:pPr>
      <w:ind w:firstLine="567"/>
      <w:spacing w:line="480" w:lineRule="exact"/>
      <w:widowControl/>
    </w:pPr>
    <w:rPr>
      <w:rFonts w:ascii="宋体"/>
      <w:color w:val="000000"/>
      <w:sz w:val="28"/>
      <w:szCs w:val="20"/>
    </w:rPr>
  </w:style>
  <w:style w:type="character" w:styleId="1171" w:customStyle="1">
    <w:name w:val="普通文字1 Char1"/>
    <w:link w:val="888"/>
    <w:uiPriority w:val="0"/>
    <w:qFormat/>
    <w:rPr>
      <w:rFonts w:ascii="宋体" w:hAnsi="Courier New" w:eastAsia="宋体"/>
      <w:sz w:val="21"/>
      <w:lang w:val="en-US" w:eastAsia="zh-CN" w:bidi="ar-SA"/>
    </w:rPr>
  </w:style>
  <w:style w:type="character" w:styleId="1172" w:customStyle="1">
    <w:name w:val="chanpin1"/>
    <w:link w:val="888"/>
    <w:uiPriority w:val="0"/>
    <w:qFormat/>
    <w:rPr>
      <w:rFonts w:ascii="ˎ̥" w:hAnsi="ˎ̥"/>
      <w:color w:val="000000"/>
      <w:sz w:val="20"/>
      <w:szCs w:val="20"/>
      <w:u w:val="none"/>
    </w:rPr>
  </w:style>
  <w:style w:type="character" w:styleId="1173" w:customStyle="1">
    <w:name w:val="列出段落 Char1"/>
    <w:link w:val="1174"/>
    <w:uiPriority w:val="34"/>
    <w:qFormat/>
    <w:rPr>
      <w:rFonts w:ascii="Calibri" w:hAnsi="Calibri" w:eastAsia="宋体"/>
      <w:sz w:val="21"/>
      <w:szCs w:val="22"/>
      <w:lang w:val="en-US" w:eastAsia="zh-CN" w:bidi="ar-SA"/>
    </w:rPr>
  </w:style>
  <w:style w:type="paragraph" w:styleId="1174" w:customStyle="1">
    <w:name w:val="列出段落"/>
    <w:basedOn w:val="888"/>
    <w:link w:val="1173"/>
    <w:uiPriority w:val="34"/>
    <w:qFormat/>
    <w:pPr>
      <w:ind w:firstLine="420"/>
    </w:pPr>
    <w:rPr>
      <w:rFonts w:ascii="Calibri" w:hAnsi="Calibri"/>
      <w:szCs w:val="22"/>
    </w:rPr>
  </w:style>
  <w:style w:type="character" w:styleId="1175" w:customStyle="1">
    <w:name w:val="标题 3 Char Char"/>
    <w:link w:val="888"/>
    <w:uiPriority w:val="0"/>
    <w:qFormat/>
    <w:rPr>
      <w:rFonts w:eastAsia="宋体"/>
      <w:b/>
      <w:bCs/>
      <w:sz w:val="32"/>
      <w:szCs w:val="32"/>
      <w:lang w:val="en-US" w:eastAsia="zh-CN" w:bidi="ar-SA"/>
    </w:rPr>
  </w:style>
  <w:style w:type="character" w:styleId="1176" w:customStyle="1">
    <w:name w:val="段1 Char"/>
    <w:link w:val="888"/>
    <w:uiPriority w:val="0"/>
    <w:qFormat/>
    <w:rPr>
      <w:rFonts w:ascii="宋体" w:eastAsia="宋体"/>
      <w:sz w:val="24"/>
      <w:lang w:val="en-US" w:eastAsia="zh-CN" w:bidi="ar-SA"/>
    </w:rPr>
  </w:style>
  <w:style w:type="character" w:styleId="1177" w:customStyle="1">
    <w:name w:val="chanpin拷贝"/>
    <w:basedOn w:val="1082"/>
    <w:link w:val="888"/>
    <w:uiPriority w:val="0"/>
    <w:qFormat/>
  </w:style>
  <w:style w:type="character" w:styleId="1178" w:customStyle="1">
    <w:name w:val="纯文本 Char1"/>
    <w:link w:val="888"/>
    <w:uiPriority w:val="0"/>
    <w:qFormat/>
    <w:rPr>
      <w:rFonts w:ascii="宋体" w:hAnsi="Courier New" w:eastAsia="宋体"/>
      <w:sz w:val="21"/>
      <w:lang w:val="en-US" w:eastAsia="zh-CN" w:bidi="ar-SA"/>
    </w:rPr>
  </w:style>
  <w:style w:type="character" w:styleId="1179" w:customStyle="1">
    <w:name w:val="apple-style-span"/>
    <w:link w:val="888"/>
    <w:uiPriority w:val="0"/>
    <w:qFormat/>
    <w:rPr>
      <w:rFonts w:cs="Times New Roman"/>
    </w:rPr>
  </w:style>
  <w:style w:type="paragraph" w:styleId="1180" w:customStyle="1">
    <w:name w:val="二级条标题"/>
    <w:basedOn w:val="1181"/>
    <w:next w:val="88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81" w:customStyle="1">
    <w:name w:val="一级条标题"/>
    <w:basedOn w:val="1182"/>
    <w:next w:val="888"/>
    <w:uiPriority w:val="0"/>
    <w:qFormat/>
    <w:pPr>
      <w:numPr>
        <w:ilvl w:val="1"/>
      </w:numPr>
      <w:ind w:left="0" w:hanging="840"/>
      <w:tabs>
        <w:tab w:val="left" w:pos="360" w:leader="none"/>
        <w:tab w:val="left" w:pos="840" w:leader="none"/>
      </w:tabs>
      <w:outlineLvl w:val="1"/>
    </w:pPr>
  </w:style>
  <w:style w:type="paragraph" w:styleId="1182" w:customStyle="1">
    <w:name w:val="章标题"/>
    <w:next w:val="88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83" w:customStyle="1">
    <w:name w:val="font7"/>
    <w:basedOn w:val="888"/>
    <w:uiPriority w:val="0"/>
    <w:qFormat/>
    <w:pPr>
      <w:jc w:val="left"/>
      <w:spacing w:before="100" w:beforeAutospacing="1" w:after="100" w:afterAutospacing="1"/>
      <w:widowControl/>
    </w:pPr>
    <w:rPr>
      <w:rFonts w:eastAsia="Arial Unicode MS"/>
      <w:b/>
      <w:bCs/>
      <w:color w:val="000000"/>
      <w:sz w:val="20"/>
      <w:szCs w:val="20"/>
    </w:rPr>
  </w:style>
  <w:style w:type="paragraph" w:styleId="1184" w:customStyle="1">
    <w:name w:val="字元 字元"/>
    <w:basedOn w:val="888"/>
    <w:uiPriority w:val="0"/>
    <w:qFormat/>
    <w:rPr>
      <w:rFonts w:ascii="Tahoma" w:hAnsi="Tahoma"/>
      <w:sz w:val="24"/>
      <w:szCs w:val="20"/>
    </w:rPr>
  </w:style>
  <w:style w:type="paragraph" w:styleId="1185" w:customStyle="1">
    <w:name w:val="Char3 Char Char Char"/>
    <w:basedOn w:val="888"/>
    <w:uiPriority w:val="0"/>
    <w:qFormat/>
    <w:rPr>
      <w:rFonts w:ascii="Tahoma" w:hAnsi="Tahoma"/>
      <w:sz w:val="24"/>
      <w:szCs w:val="20"/>
    </w:rPr>
  </w:style>
  <w:style w:type="paragraph" w:styleId="1186" w:customStyle="1">
    <w:name w:val="font6"/>
    <w:basedOn w:val="888"/>
    <w:uiPriority w:val="0"/>
    <w:qFormat/>
    <w:pPr>
      <w:jc w:val="left"/>
      <w:spacing w:before="100" w:beforeAutospacing="1" w:after="100" w:afterAutospacing="1"/>
      <w:widowControl/>
    </w:pPr>
    <w:rPr>
      <w:rFonts w:ascii="宋体" w:hAnsi="宋体" w:cs="宋体"/>
      <w:sz w:val="20"/>
      <w:szCs w:val="20"/>
    </w:rPr>
  </w:style>
  <w:style w:type="paragraph" w:styleId="1187" w:customStyle="1">
    <w:name w:val="项目编号2"/>
    <w:basedOn w:val="1188"/>
    <w:uiPriority w:val="0"/>
    <w:qFormat/>
    <w:pPr>
      <w:numPr>
        <w:numId w:val="2"/>
      </w:numPr>
    </w:pPr>
  </w:style>
  <w:style w:type="paragraph" w:styleId="1188" w:customStyle="1">
    <w:name w:val="项目编号1"/>
    <w:basedOn w:val="888"/>
    <w:uiPriority w:val="0"/>
    <w:qFormat/>
    <w:pPr>
      <w:numPr>
        <w:ilvl w:val="0"/>
        <w:numId w:val="3"/>
      </w:numPr>
      <w:spacing w:before="100" w:beforeAutospacing="1" w:after="100" w:afterAutospacing="1" w:line="360" w:lineRule="auto"/>
    </w:pPr>
    <w:rPr>
      <w:sz w:val="24"/>
    </w:rPr>
  </w:style>
  <w:style w:type="paragraph" w:styleId="1189" w:customStyle="1">
    <w:name w:val="图中文字"/>
    <w:basedOn w:val="888"/>
    <w:uiPriority w:val="0"/>
    <w:qFormat/>
    <w:pPr>
      <w:jc w:val="center"/>
      <w:spacing w:line="0" w:lineRule="atLeast"/>
    </w:pPr>
    <w:rPr>
      <w:sz w:val="24"/>
      <w:szCs w:val="20"/>
    </w:rPr>
  </w:style>
  <w:style w:type="paragraph" w:styleId="1190" w:customStyle="1">
    <w:name w:val="xl46"/>
    <w:basedOn w:val="88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1" w:customStyle="1">
    <w:name w:val="xl25"/>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2" w:customStyle="1">
    <w:name w:val="Char2"/>
    <w:basedOn w:val="888"/>
    <w:uiPriority w:val="0"/>
    <w:qFormat/>
    <w:rPr>
      <w:rFonts w:ascii="Tahoma" w:hAnsi="Tahoma"/>
      <w:sz w:val="24"/>
      <w:szCs w:val="20"/>
    </w:rPr>
  </w:style>
  <w:style w:type="paragraph" w:styleId="1193" w:customStyle="1">
    <w:name w:val="xl35"/>
    <w:basedOn w:val="88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customStyle="1">
    <w:name w:val="xl40"/>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customStyle="1">
    <w:name w:val="xl52"/>
    <w:basedOn w:val="88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6" w:customStyle="1">
    <w:name w:val="xl43"/>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7" w:customStyle="1">
    <w:name w:val="background1"/>
    <w:basedOn w:val="888"/>
    <w:uiPriority w:val="0"/>
    <w:qFormat/>
    <w:pPr>
      <w:jc w:val="left"/>
      <w:spacing w:before="100" w:beforeAutospacing="1" w:after="100" w:afterAutospacing="1"/>
      <w:widowControl/>
    </w:pPr>
    <w:rPr>
      <w:rFonts w:ascii="宋体" w:hAnsi="宋体" w:cs="宋体"/>
      <w:sz w:val="24"/>
    </w:rPr>
  </w:style>
  <w:style w:type="paragraph" w:styleId="1198" w:customStyle="1">
    <w:name w:val="Char Char Char Char Char Char Char"/>
    <w:basedOn w:val="888"/>
    <w:uiPriority w:val="0"/>
    <w:qFormat/>
    <w:pPr>
      <w:ind w:firstLine="200"/>
      <w:spacing w:line="360" w:lineRule="auto"/>
    </w:pPr>
    <w:rPr>
      <w:rFonts w:eastAsia="仿宋_GB2312"/>
      <w:sz w:val="24"/>
    </w:rPr>
  </w:style>
  <w:style w:type="paragraph" w:styleId="1199" w:customStyle="1">
    <w:name w:val="xl38"/>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0" w:customStyle="1">
    <w:name w:val="xl36"/>
    <w:basedOn w:val="88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1" w:customStyle="1">
    <w:name w:val="正文 + 宋体"/>
    <w:basedOn w:val="888"/>
    <w:uiPriority w:val="0"/>
    <w:qFormat/>
    <w:pPr>
      <w:ind w:left="360" w:hanging="360"/>
      <w:jc w:val="left"/>
      <w:widowControl/>
    </w:pPr>
    <w:rPr>
      <w:rFonts w:ascii="宋体" w:hAnsi="宋体" w:cs="宋体"/>
      <w:b/>
      <w:bCs/>
      <w:color w:val="000000"/>
      <w:sz w:val="18"/>
      <w:szCs w:val="18"/>
    </w:rPr>
  </w:style>
  <w:style w:type="paragraph" w:styleId="1202" w:customStyle="1">
    <w:name w:val="正文列项_数字"/>
    <w:basedOn w:val="88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3" w:customStyle="1">
    <w:name w:val="xl39"/>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customStyle="1">
    <w:name w:val="xl37"/>
    <w:basedOn w:val="88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5" w:customStyle="1">
    <w:name w:val="xl32"/>
    <w:basedOn w:val="88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customStyle="1">
    <w:name w:val="font8"/>
    <w:basedOn w:val="888"/>
    <w:uiPriority w:val="0"/>
    <w:qFormat/>
    <w:pPr>
      <w:jc w:val="left"/>
      <w:spacing w:before="100" w:beforeAutospacing="1" w:after="100" w:afterAutospacing="1"/>
      <w:widowControl/>
    </w:pPr>
    <w:rPr>
      <w:sz w:val="36"/>
      <w:szCs w:val="36"/>
    </w:rPr>
  </w:style>
  <w:style w:type="paragraph" w:styleId="1207" w:customStyle="1">
    <w:name w:val="Char"/>
    <w:basedOn w:val="888"/>
    <w:uiPriority w:val="0"/>
    <w:qFormat/>
    <w:pPr>
      <w:tabs>
        <w:tab w:val="left" w:pos="360" w:leader="none"/>
      </w:tabs>
    </w:pPr>
    <w:rPr>
      <w:sz w:val="24"/>
    </w:rPr>
  </w:style>
  <w:style w:type="paragraph" w:styleId="1208" w:customStyle="1">
    <w:name w:val="Char Char Char Char Char Char Char Char Char Char Char Char Char Char Char Char"/>
    <w:basedOn w:val="888"/>
    <w:uiPriority w:val="0"/>
    <w:qFormat/>
    <w:pPr>
      <w:jc w:val="center"/>
      <w:spacing w:after="160" w:line="240" w:lineRule="exact"/>
      <w:widowControl/>
    </w:pPr>
    <w:rPr>
      <w:rFonts w:ascii="宋体" w:hAnsi="宋体"/>
      <w:b/>
      <w:sz w:val="30"/>
      <w:szCs w:val="30"/>
      <w:lang w:eastAsia="en-US"/>
    </w:rPr>
  </w:style>
  <w:style w:type="paragraph" w:styleId="1209" w:customStyle="1">
    <w:name w:val="xl45"/>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0" w:customStyle="1">
    <w:name w:val="Char Char1 Char Char Char Char Char Char"/>
    <w:basedOn w:val="888"/>
    <w:uiPriority w:val="0"/>
    <w:qFormat/>
    <w:pPr>
      <w:jc w:val="left"/>
      <w:spacing w:after="160" w:line="240" w:lineRule="exact"/>
      <w:widowControl/>
    </w:pPr>
    <w:rPr>
      <w:rFonts w:ascii="Verdana" w:hAnsi="Verdana" w:eastAsia="仿宋_GB2312"/>
      <w:sz w:val="24"/>
      <w:szCs w:val="20"/>
      <w:lang w:eastAsia="en-US"/>
    </w:rPr>
  </w:style>
  <w:style w:type="paragraph" w:styleId="1211" w:customStyle="1">
    <w:name w:val="Char Char1"/>
    <w:basedOn w:val="1097"/>
    <w:uiPriority w:val="0"/>
    <w:qFormat/>
    <w:rPr>
      <w:rFonts w:ascii="Tahoma" w:hAnsi="Tahoma"/>
      <w:sz w:val="24"/>
    </w:rPr>
  </w:style>
  <w:style w:type="paragraph" w:styleId="1212" w:customStyle="1">
    <w:name w:val="xl26"/>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3" w:customStyle="1">
    <w:name w:val="xl30"/>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customStyle="1">
    <w:name w:val="xl41"/>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5" w:customStyle="1">
    <w:name w:val="样式 宋体 五号 行距: 单倍行距"/>
    <w:basedOn w:val="888"/>
    <w:uiPriority w:val="0"/>
    <w:qFormat/>
    <w:pPr>
      <w:jc w:val="left"/>
    </w:pPr>
    <w:rPr>
      <w:rFonts w:ascii="宋体" w:hAnsi="宋体"/>
      <w:szCs w:val="20"/>
    </w:rPr>
  </w:style>
  <w:style w:type="paragraph" w:styleId="1216" w:customStyle="1">
    <w:name w:val="Char1 Char Char Char1"/>
    <w:basedOn w:val="888"/>
    <w:uiPriority w:val="0"/>
    <w:qFormat/>
    <w:rPr>
      <w:rFonts w:ascii="Tahoma" w:hAnsi="Tahoma" w:cs="仿宋_GB2312"/>
      <w:sz w:val="24"/>
      <w:szCs w:val="28"/>
    </w:rPr>
  </w:style>
  <w:style w:type="paragraph" w:styleId="1217" w:customStyle="1">
    <w:name w:val="四级条标题"/>
    <w:basedOn w:val="1218"/>
    <w:next w:val="888"/>
    <w:uiPriority w:val="0"/>
    <w:qFormat/>
    <w:pPr>
      <w:numPr>
        <w:ilvl w:val="4"/>
      </w:numPr>
      <w:ind w:left="0" w:hanging="840"/>
      <w:tabs>
        <w:tab w:val="left" w:pos="360" w:leader="none"/>
        <w:tab w:val="left" w:pos="840" w:leader="none"/>
      </w:tabs>
      <w:outlineLvl w:val="4"/>
    </w:pPr>
  </w:style>
  <w:style w:type="paragraph" w:styleId="1218" w:customStyle="1">
    <w:name w:val="三级条标题"/>
    <w:basedOn w:val="1180"/>
    <w:next w:val="888"/>
    <w:uiPriority w:val="0"/>
    <w:qFormat/>
    <w:pPr>
      <w:numPr>
        <w:ilvl w:val="3"/>
        <w:numId w:val="1"/>
      </w:numPr>
      <w:ind w:left="0" w:hanging="840"/>
      <w:outlineLvl w:val="3"/>
    </w:pPr>
  </w:style>
  <w:style w:type="paragraph" w:styleId="121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20" w:customStyle="1">
    <w:name w:val="样式 标题 2 + 宋体 五号 行距: 单倍行距"/>
    <w:basedOn w:val="1074"/>
    <w:uiPriority w:val="0"/>
    <w:qFormat/>
    <w:pPr>
      <w:numPr>
        <w:ilvl w:val="1"/>
        <w:numId w:val="4"/>
      </w:numPr>
      <w:jc w:val="left"/>
      <w:spacing w:before="260" w:after="260" w:line="240" w:lineRule="auto"/>
    </w:pPr>
    <w:rPr>
      <w:rFonts w:ascii="宋体" w:hAnsi="宋体" w:eastAsia="宋体"/>
      <w:bCs/>
      <w:sz w:val="21"/>
    </w:rPr>
  </w:style>
  <w:style w:type="paragraph" w:styleId="1221" w:customStyle="1">
    <w:name w:val="List Paragraph1"/>
    <w:basedOn w:val="888"/>
    <w:uiPriority w:val="0"/>
    <w:qFormat/>
    <w:pPr>
      <w:ind w:firstLine="420"/>
    </w:pPr>
    <w:rPr>
      <w:rFonts w:ascii="Calibri" w:hAnsi="Calibri"/>
      <w:szCs w:val="22"/>
    </w:rPr>
  </w:style>
  <w:style w:type="paragraph" w:styleId="1222" w:customStyle="1">
    <w:name w:val="项目符号1"/>
    <w:basedOn w:val="1223"/>
    <w:uiPriority w:val="0"/>
    <w:qFormat/>
    <w:pPr>
      <w:ind w:left="-25" w:firstLine="0"/>
    </w:pPr>
  </w:style>
  <w:style w:type="paragraph" w:styleId="1223" w:customStyle="1">
    <w:name w:val="正文文本样式"/>
    <w:basedOn w:val="888"/>
    <w:uiPriority w:val="0"/>
    <w:qFormat/>
    <w:pPr>
      <w:ind w:firstLine="482"/>
      <w:spacing w:line="360" w:lineRule="auto"/>
    </w:pPr>
    <w:rPr>
      <w:rFonts w:cs="宋体"/>
      <w:sz w:val="24"/>
      <w:szCs w:val="20"/>
    </w:rPr>
  </w:style>
  <w:style w:type="paragraph" w:styleId="1224" w:customStyle="1">
    <w:name w:val="xl27"/>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5" w:customStyle="1">
    <w:name w:val="font5"/>
    <w:basedOn w:val="888"/>
    <w:uiPriority w:val="0"/>
    <w:qFormat/>
    <w:pPr>
      <w:jc w:val="left"/>
      <w:spacing w:before="100" w:beforeAutospacing="1" w:after="100" w:afterAutospacing="1"/>
      <w:widowControl/>
    </w:pPr>
    <w:rPr>
      <w:rFonts w:ascii="宋体" w:hAnsi="宋体" w:cs="宋体"/>
      <w:sz w:val="18"/>
      <w:szCs w:val="18"/>
    </w:rPr>
  </w:style>
  <w:style w:type="paragraph" w:styleId="1226" w:customStyle="1">
    <w:name w:val="五级条标题"/>
    <w:basedOn w:val="1217"/>
    <w:next w:val="888"/>
    <w:uiPriority w:val="0"/>
    <w:qFormat/>
    <w:pPr>
      <w:numPr>
        <w:ilvl w:val="5"/>
      </w:numPr>
      <w:ind w:left="0" w:hanging="840"/>
      <w:outlineLvl w:val="5"/>
    </w:pPr>
  </w:style>
  <w:style w:type="paragraph" w:styleId="1227" w:customStyle="1">
    <w:name w:val="xl49"/>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8" w:customStyle="1">
    <w:name w:val="文档正文"/>
    <w:basedOn w:val="888"/>
    <w:uiPriority w:val="0"/>
    <w:qFormat/>
    <w:pPr>
      <w:spacing w:before="120" w:after="120" w:line="180" w:lineRule="auto"/>
    </w:pPr>
    <w:rPr>
      <w:rFonts w:ascii="Arial" w:hAnsi="Arial"/>
      <w:szCs w:val="20"/>
    </w:rPr>
  </w:style>
  <w:style w:type="paragraph" w:styleId="1229" w:customStyle="1">
    <w:name w:val="xl33"/>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0" w:customStyle="1">
    <w:name w:val="xl42"/>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1" w:customStyle="1">
    <w:name w:val="Char Char Char1 Char"/>
    <w:basedOn w:val="888"/>
    <w:uiPriority w:val="0"/>
    <w:qFormat/>
    <w:rPr>
      <w:rFonts w:ascii="Tahoma" w:hAnsi="Tahoma"/>
      <w:sz w:val="24"/>
      <w:szCs w:val="20"/>
    </w:rPr>
  </w:style>
  <w:style w:type="paragraph" w:styleId="1232" w:customStyle="1">
    <w:name w:val="xl44"/>
    <w:basedOn w:val="88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3" w:customStyle="1">
    <w:name w:val="1名"/>
    <w:basedOn w:val="888"/>
    <w:uiPriority w:val="0"/>
    <w:qFormat/>
    <w:pPr>
      <w:numPr>
        <w:ilvl w:val="0"/>
        <w:numId w:val="5"/>
      </w:numPr>
      <w:spacing w:before="120"/>
    </w:pPr>
    <w:rPr>
      <w:rFonts w:ascii="宋体"/>
      <w:sz w:val="28"/>
      <w:szCs w:val="20"/>
    </w:rPr>
  </w:style>
  <w:style w:type="paragraph" w:styleId="1234" w:customStyle="1">
    <w:name w:val="font9"/>
    <w:basedOn w:val="88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5" w:customStyle="1">
    <w:name w:val="Char Char Char1 Char1"/>
    <w:basedOn w:val="888"/>
    <w:uiPriority w:val="0"/>
    <w:qFormat/>
    <w:rPr>
      <w:rFonts w:ascii="Tahoma" w:hAnsi="Tahoma"/>
      <w:sz w:val="24"/>
      <w:szCs w:val="20"/>
    </w:rPr>
  </w:style>
  <w:style w:type="paragraph" w:styleId="1236" w:customStyle="1">
    <w:name w:val="Char Char Char Char Char Char Char Char Char Char"/>
    <w:basedOn w:val="888"/>
    <w:uiPriority w:val="0"/>
    <w:qFormat/>
  </w:style>
  <w:style w:type="paragraph" w:styleId="1237" w:customStyle="1">
    <w:name w:val="Char Char1 Char Char Char Char Char Char Char Char"/>
    <w:basedOn w:val="888"/>
    <w:uiPriority w:val="0"/>
    <w:qFormat/>
    <w:pPr>
      <w:jc w:val="left"/>
      <w:spacing w:after="160" w:line="240" w:lineRule="exact"/>
      <w:widowControl/>
    </w:pPr>
    <w:rPr>
      <w:rFonts w:ascii="Verdana" w:hAnsi="Verdana"/>
      <w:sz w:val="20"/>
      <w:szCs w:val="20"/>
      <w:lang w:eastAsia="en-US"/>
    </w:rPr>
  </w:style>
  <w:style w:type="paragraph" w:styleId="1238" w:customStyle="1">
    <w:name w:val="Char1"/>
    <w:basedOn w:val="888"/>
    <w:uiPriority w:val="0"/>
    <w:qFormat/>
    <w:pPr>
      <w:tabs>
        <w:tab w:val="left" w:pos="360" w:leader="none"/>
      </w:tabs>
    </w:pPr>
    <w:rPr>
      <w:sz w:val="24"/>
    </w:rPr>
  </w:style>
  <w:style w:type="paragraph" w:styleId="1239" w:customStyle="1">
    <w:name w:val="正文列项_字母"/>
    <w:basedOn w:val="88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40" w:customStyle="1">
    <w:name w:val="xl28"/>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1" w:customStyle="1">
    <w:name w:val="xl47"/>
    <w:basedOn w:val="88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customStyle="1">
    <w:name w:val="默认段落字体 Para Char Char Char Char"/>
    <w:basedOn w:val="888"/>
    <w:uiPriority w:val="0"/>
    <w:qFormat/>
    <w:rPr>
      <w:rFonts w:ascii="Arial" w:hAnsi="Arial" w:cs="Arial"/>
      <w:szCs w:val="21"/>
    </w:rPr>
  </w:style>
  <w:style w:type="paragraph" w:styleId="1243" w:customStyle="1">
    <w:name w:val="xl48"/>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4" w:customStyle="1">
    <w:name w:val="xl31"/>
    <w:basedOn w:val="88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5" w:customStyle="1">
    <w:name w:val="xl53"/>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customStyle="1">
    <w:name w:val="Char Char Char"/>
    <w:basedOn w:val="888"/>
    <w:uiPriority w:val="0"/>
    <w:qFormat/>
    <w:rPr>
      <w:rFonts w:ascii="Tahoma" w:hAnsi="Tahoma"/>
      <w:sz w:val="24"/>
      <w:szCs w:val="20"/>
    </w:rPr>
  </w:style>
  <w:style w:type="paragraph" w:styleId="1247" w:customStyle="1">
    <w:name w:val="xl50"/>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8" w:customStyle="1">
    <w:name w:val="缺省文本"/>
    <w:basedOn w:val="888"/>
    <w:uiPriority w:val="0"/>
    <w:qFormat/>
    <w:pPr>
      <w:jc w:val="left"/>
    </w:pPr>
    <w:rPr>
      <w:sz w:val="24"/>
    </w:rPr>
  </w:style>
  <w:style w:type="paragraph" w:styleId="1249" w:customStyle="1">
    <w:name w:val="Char Char Char1"/>
    <w:basedOn w:val="888"/>
    <w:uiPriority w:val="0"/>
    <w:qFormat/>
    <w:rPr>
      <w:rFonts w:ascii="Tahoma" w:hAnsi="Tahoma"/>
      <w:sz w:val="24"/>
      <w:szCs w:val="20"/>
    </w:rPr>
  </w:style>
  <w:style w:type="paragraph" w:styleId="1250" w:customStyle="1">
    <w:name w:val="Char Char Char Char Char Char Char1"/>
    <w:basedOn w:val="888"/>
    <w:uiPriority w:val="0"/>
    <w:qFormat/>
    <w:pPr>
      <w:ind w:firstLine="200"/>
      <w:spacing w:line="360" w:lineRule="auto"/>
    </w:pPr>
    <w:rPr>
      <w:rFonts w:eastAsia="仿宋_GB2312"/>
      <w:sz w:val="24"/>
    </w:rPr>
  </w:style>
  <w:style w:type="paragraph" w:styleId="1251" w:customStyle="1">
    <w:name w:val="xl51"/>
    <w:basedOn w:val="88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customStyle="1">
    <w:name w:val="样式2"/>
    <w:basedOn w:val="1134"/>
    <w:uiPriority w:val="0"/>
    <w:qFormat/>
    <w:pPr>
      <w:jc w:val="center"/>
      <w:spacing w:line="360" w:lineRule="auto"/>
    </w:pPr>
    <w:rPr>
      <w:sz w:val="24"/>
    </w:rPr>
  </w:style>
  <w:style w:type="paragraph" w:styleId="1253" w:customStyle="1">
    <w:name w:val="xl24"/>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customStyle="1">
    <w:name w:val="xl29"/>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5" w:customStyle="1">
    <w:name w:val="正文 + 楷体_GB2312"/>
    <w:basedOn w:val="888"/>
    <w:uiPriority w:val="0"/>
    <w:qFormat/>
    <w:pPr>
      <w:jc w:val="left"/>
      <w:widowControl/>
    </w:pPr>
    <w:rPr>
      <w:rFonts w:ascii="楷体_GB2312" w:eastAsia="楷体_GB2312" w:cs="Arial"/>
      <w:sz w:val="24"/>
    </w:rPr>
  </w:style>
  <w:style w:type="paragraph" w:styleId="1256" w:customStyle="1">
    <w:name w:val="xl34"/>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7" w:customStyle="1">
    <w:name w:val="1 Char Char Char Char"/>
    <w:basedOn w:val="888"/>
    <w:uiPriority w:val="0"/>
    <w:qFormat/>
    <w:rPr>
      <w:rFonts w:ascii="Tahoma" w:hAnsi="Tahoma"/>
      <w:sz w:val="24"/>
      <w:szCs w:val="20"/>
    </w:rPr>
  </w:style>
  <w:style w:type="paragraph" w:styleId="1258" w:customStyle="1">
    <w:name w:val="列出段落1"/>
    <w:basedOn w:val="888"/>
    <w:uiPriority w:val="0"/>
    <w:qFormat/>
    <w:pPr>
      <w:ind w:firstLine="420"/>
    </w:pPr>
    <w:rPr>
      <w:rFonts w:ascii="Calibri" w:hAnsi="Calibri"/>
      <w:szCs w:val="22"/>
    </w:rPr>
  </w:style>
  <w:style w:type="paragraph" w:styleId="1259" w:customStyle="1">
    <w:name w:val="default"/>
    <w:basedOn w:val="888"/>
    <w:uiPriority w:val="0"/>
    <w:qFormat/>
    <w:pPr>
      <w:jc w:val="left"/>
      <w:spacing w:before="100" w:beforeAutospacing="1" w:after="100" w:afterAutospacing="1"/>
      <w:widowControl/>
    </w:pPr>
    <w:rPr>
      <w:rFonts w:ascii="宋体" w:hAnsi="宋体" w:cs="宋体"/>
      <w:sz w:val="24"/>
    </w:rPr>
  </w:style>
  <w:style w:type="paragraph" w:styleId="1260" w:customStyle="1">
    <w:name w:val="字元 字元1"/>
    <w:basedOn w:val="888"/>
    <w:uiPriority w:val="0"/>
    <w:qFormat/>
    <w:rPr>
      <w:rFonts w:ascii="Tahoma" w:hAnsi="Tahoma"/>
      <w:sz w:val="24"/>
      <w:szCs w:val="20"/>
    </w:rPr>
  </w:style>
  <w:style w:type="paragraph" w:styleId="1261" w:customStyle="1">
    <w:name w:val="_Style 160"/>
    <w:uiPriority w:val="0"/>
    <w:qFormat/>
    <w:rPr>
      <w:rFonts w:hint="default" w:ascii="Times New Roman" w:hAnsi="Times New Roman" w:eastAsia="宋体" w:cs="Times New Roman"/>
      <w:sz w:val="21"/>
      <w:szCs w:val="24"/>
      <w:lang w:val="en-US" w:eastAsia="zh-CN" w:bidi="ar-SA"/>
    </w:rPr>
  </w:style>
  <w:style w:type="paragraph" w:styleId="1262" w:customStyle="1">
    <w:name w:val="项目编号3"/>
    <w:basedOn w:val="1223"/>
    <w:uiPriority w:val="0"/>
    <w:qFormat/>
    <w:pPr>
      <w:numPr>
        <w:ilvl w:val="0"/>
        <w:numId w:val="6"/>
      </w:numPr>
    </w:pPr>
  </w:style>
  <w:style w:type="paragraph" w:styleId="1263" w:customStyle="1">
    <w:name w:val="Char21"/>
    <w:basedOn w:val="888"/>
    <w:uiPriority w:val="0"/>
    <w:qFormat/>
    <w:rPr>
      <w:rFonts w:ascii="Tahoma" w:hAnsi="Tahoma"/>
      <w:sz w:val="24"/>
      <w:szCs w:val="20"/>
    </w:rPr>
  </w:style>
  <w:style w:type="paragraph" w:styleId="1264" w:customStyle="1">
    <w:name w:val="表格文字"/>
    <w:basedOn w:val="1105"/>
    <w:uiPriority w:val="0"/>
    <w:qFormat/>
    <w:pPr>
      <w:ind w:firstLine="0"/>
      <w:spacing w:before="20" w:after="20" w:line="240" w:lineRule="auto"/>
    </w:pPr>
    <w:rPr>
      <w:rFonts w:ascii="Century Gothic" w:hAnsi="Century Gothic"/>
      <w:sz w:val="20"/>
      <w:szCs w:val="20"/>
    </w:rPr>
  </w:style>
  <w:style w:type="paragraph" w:styleId="1265" w:customStyle="1">
    <w:name w:val="Char Char Char Char Char Char Char Char Char Char1"/>
    <w:basedOn w:val="888"/>
    <w:uiPriority w:val="0"/>
    <w:qFormat/>
    <w:rPr>
      <w:rFonts w:ascii="宋体" w:hAnsi="宋体" w:cs="Courier New"/>
      <w:sz w:val="32"/>
      <w:szCs w:val="32"/>
    </w:rPr>
  </w:style>
  <w:style w:type="paragraph" w:styleId="1266" w:customStyle="1">
    <w:name w:val="正文文本样式 加粗"/>
    <w:basedOn w:val="1223"/>
    <w:uiPriority w:val="0"/>
    <w:qFormat/>
    <w:rPr>
      <w:b/>
    </w:rPr>
  </w:style>
  <w:style w:type="paragraph" w:styleId="1267" w:customStyle="1">
    <w:name w:val="Char2 Char Char Char Char Char Char"/>
    <w:basedOn w:val="888"/>
    <w:uiPriority w:val="0"/>
    <w:qFormat/>
    <w:pPr>
      <w:jc w:val="center"/>
      <w:spacing w:line="400" w:lineRule="exact"/>
      <w:widowControl/>
    </w:pPr>
  </w:style>
  <w:style w:type="paragraph" w:styleId="1268" w:customStyle="1">
    <w:name w:val="Char Char4"/>
    <w:basedOn w:val="888"/>
    <w:uiPriority w:val="0"/>
    <w:qFormat/>
    <w:pPr>
      <w:jc w:val="center"/>
      <w:spacing w:line="400" w:lineRule="exact"/>
      <w:widowControl/>
    </w:pPr>
  </w:style>
  <w:style w:type="paragraph" w:styleId="1269" w:customStyle="1">
    <w:name w:val="Char3 Char Char Char1"/>
    <w:basedOn w:val="888"/>
    <w:uiPriority w:val="0"/>
    <w:qFormat/>
    <w:rPr>
      <w:rFonts w:ascii="Tahoma" w:hAnsi="Tahoma"/>
      <w:sz w:val="24"/>
      <w:szCs w:val="20"/>
    </w:rPr>
  </w:style>
  <w:style w:type="paragraph" w:styleId="127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22222222222222"/>
    <w:basedOn w:val="888"/>
    <w:uiPriority w:val="0"/>
    <w:qFormat/>
    <w:pPr>
      <w:ind w:firstLine="480"/>
      <w:jc w:val="left"/>
      <w:spacing w:line="360" w:lineRule="auto"/>
      <w:widowControl/>
    </w:pPr>
    <w:rPr>
      <w:color w:val="ff0000"/>
      <w:sz w:val="24"/>
      <w:szCs w:val="20"/>
    </w:rPr>
  </w:style>
  <w:style w:type="character" w:styleId="1272" w:customStyle="1">
    <w:name w:val="中等深浅网格 1 - 强调文字颜色 2 Char"/>
    <w:link w:val="1273"/>
    <w:uiPriority w:val="0"/>
    <w:qFormat/>
    <w:rPr>
      <w:sz w:val="21"/>
      <w:szCs w:val="24"/>
      <w:lang w:val="zh-CN" w:eastAsia="zh-CN" w:bidi="ar-SA"/>
    </w:rPr>
  </w:style>
  <w:style w:type="paragraph" w:styleId="1273" w:customStyle="1">
    <w:name w:val="1"/>
    <w:link w:val="1272"/>
    <w:uiPriority w:val="0"/>
    <w:qFormat/>
    <w:rPr>
      <w:rFonts w:hint="default" w:ascii="Times New Roman" w:hAnsi="Times New Roman" w:eastAsia="宋体" w:cs="Times New Roman"/>
      <w:sz w:val="21"/>
      <w:szCs w:val="24"/>
      <w:lang w:val="zh-CN" w:eastAsia="zh-CN" w:bidi="ar-SA"/>
    </w:rPr>
  </w:style>
  <w:style w:type="paragraph" w:styleId="1274" w:customStyle="1">
    <w:name w:val="图文"/>
    <w:basedOn w:val="888"/>
    <w:uiPriority w:val="0"/>
    <w:qFormat/>
    <w:pPr>
      <w:spacing w:after="50" w:line="360" w:lineRule="auto"/>
    </w:pPr>
    <w:rPr>
      <w:sz w:val="24"/>
    </w:rPr>
  </w:style>
  <w:style w:type="paragraph" w:styleId="1275" w:customStyle="1">
    <w:name w:val="xl23"/>
    <w:basedOn w:val="888"/>
    <w:uiPriority w:val="0"/>
    <w:qFormat/>
    <w:pPr>
      <w:spacing w:before="100" w:beforeAutospacing="1" w:after="100" w:afterAutospacing="1" w:line="360" w:lineRule="auto"/>
      <w:widowControl/>
    </w:pPr>
    <w:rPr>
      <w:sz w:val="24"/>
      <w:szCs w:val="20"/>
    </w:rPr>
  </w:style>
  <w:style w:type="paragraph" w:styleId="1276" w:customStyle="1">
    <w:name w:val="正文表格"/>
    <w:basedOn w:val="888"/>
    <w:link w:val="1277"/>
    <w:uiPriority w:val="0"/>
    <w:qFormat/>
    <w:pPr>
      <w:jc w:val="left"/>
    </w:pPr>
    <w:rPr>
      <w:rFonts w:ascii="宋体" w:hAnsi="宋体"/>
      <w:color w:val="000000"/>
      <w:szCs w:val="21"/>
    </w:rPr>
  </w:style>
  <w:style w:type="character" w:styleId="1277" w:customStyle="1">
    <w:name w:val="正文表格 Char"/>
    <w:link w:val="1276"/>
    <w:uiPriority w:val="0"/>
    <w:qFormat/>
    <w:rPr>
      <w:rFonts w:ascii="宋体" w:hAnsi="宋体"/>
      <w:color w:val="000000"/>
      <w:sz w:val="21"/>
      <w:szCs w:val="21"/>
    </w:rPr>
  </w:style>
  <w:style w:type="paragraph" w:styleId="1278" w:customStyle="1">
    <w:name w:val="正文重点"/>
    <w:basedOn w:val="888"/>
    <w:link w:val="1279"/>
    <w:uiPriority w:val="0"/>
    <w:qFormat/>
    <w:pPr>
      <w:ind w:firstLine="482"/>
      <w:jc w:val="left"/>
      <w:spacing w:line="360" w:lineRule="auto"/>
    </w:pPr>
    <w:rPr>
      <w:b/>
      <w:sz w:val="24"/>
      <w:szCs w:val="20"/>
    </w:rPr>
  </w:style>
  <w:style w:type="character" w:styleId="1279" w:customStyle="1">
    <w:name w:val="正文重点 Char"/>
    <w:link w:val="1278"/>
    <w:uiPriority w:val="0"/>
    <w:qFormat/>
    <w:rPr>
      <w:b/>
      <w:sz w:val="24"/>
    </w:rPr>
  </w:style>
  <w:style w:type="paragraph" w:styleId="1280" w:customStyle="1">
    <w:name w:val="标题1-附件"/>
    <w:basedOn w:val="1073"/>
    <w:uiPriority w:val="0"/>
    <w:qFormat/>
    <w:pPr>
      <w:jc w:val="left"/>
    </w:pPr>
    <w:rPr>
      <w:sz w:val="24"/>
      <w:szCs w:val="24"/>
    </w:rPr>
  </w:style>
  <w:style w:type="paragraph" w:styleId="1281" w:customStyle="1">
    <w:name w:val="正文小标题"/>
    <w:basedOn w:val="888"/>
    <w:next w:val="1094"/>
    <w:link w:val="1282"/>
    <w:uiPriority w:val="0"/>
    <w:qFormat/>
    <w:pPr>
      <w:ind w:firstLine="482"/>
      <w:jc w:val="left"/>
      <w:spacing w:before="312" w:after="312"/>
    </w:pPr>
    <w:rPr>
      <w:rFonts w:ascii="宋体" w:hAnsi="宋体"/>
      <w:b/>
      <w:i/>
      <w:color w:val="ff0000"/>
      <w:sz w:val="24"/>
      <w:szCs w:val="20"/>
    </w:rPr>
  </w:style>
  <w:style w:type="character" w:styleId="1282" w:customStyle="1">
    <w:name w:val="正文小标题 Char"/>
    <w:link w:val="1281"/>
    <w:uiPriority w:val="0"/>
    <w:qFormat/>
    <w:rPr>
      <w:rFonts w:ascii="宋体" w:hAnsi="宋体"/>
      <w:b/>
      <w:i/>
      <w:color w:val="ff0000"/>
      <w:sz w:val="24"/>
    </w:rPr>
  </w:style>
  <w:style w:type="paragraph" w:styleId="1283" w:customStyle="1">
    <w:name w:val="正文大标题"/>
    <w:basedOn w:val="1281"/>
    <w:next w:val="1094"/>
    <w:link w:val="1284"/>
    <w:uiPriority w:val="0"/>
    <w:qFormat/>
    <w:pPr>
      <w:jc w:val="center"/>
    </w:pPr>
    <w:rPr>
      <w:i w:val="0"/>
      <w:color w:val="000000"/>
      <w:sz w:val="28"/>
      <w:szCs w:val="21"/>
    </w:rPr>
  </w:style>
  <w:style w:type="character" w:styleId="1284" w:customStyle="1">
    <w:name w:val="正文大标题 Char"/>
    <w:link w:val="1283"/>
    <w:uiPriority w:val="0"/>
    <w:qFormat/>
    <w:rPr>
      <w:rFonts w:ascii="宋体" w:hAnsi="宋体"/>
      <w:b/>
      <w:color w:val="000000"/>
      <w:sz w:val="28"/>
      <w:szCs w:val="21"/>
    </w:rPr>
  </w:style>
  <w:style w:type="paragraph" w:styleId="1285" w:customStyle="1">
    <w:name w:val="注释"/>
    <w:basedOn w:val="888"/>
    <w:link w:val="1286"/>
    <w:uiPriority w:val="0"/>
    <w:qFormat/>
    <w:pPr>
      <w:ind w:left="420" w:hanging="420"/>
      <w:jc w:val="left"/>
    </w:pPr>
    <w:rPr>
      <w:rFonts w:ascii="宋体" w:hAnsi="宋体"/>
      <w:szCs w:val="21"/>
    </w:rPr>
  </w:style>
  <w:style w:type="character" w:styleId="1286" w:customStyle="1">
    <w:name w:val="注释 Char"/>
    <w:link w:val="1285"/>
    <w:uiPriority w:val="0"/>
    <w:qFormat/>
    <w:rPr>
      <w:rFonts w:ascii="宋体" w:hAnsi="宋体"/>
      <w:sz w:val="21"/>
      <w:szCs w:val="21"/>
    </w:rPr>
  </w:style>
  <w:style w:type="paragraph" w:styleId="1287" w:customStyle="1">
    <w:name w:val="正文须知-1级"/>
    <w:basedOn w:val="888"/>
    <w:next w:val="888"/>
    <w:uiPriority w:val="0"/>
    <w:qFormat/>
    <w:pPr>
      <w:numPr>
        <w:ilvl w:val="0"/>
        <w:numId w:val="7"/>
      </w:numPr>
      <w:spacing w:line="300" w:lineRule="auto"/>
    </w:pPr>
    <w:rPr>
      <w:rFonts w:ascii="宋体" w:hAnsi="Calibri"/>
      <w:sz w:val="24"/>
      <w:szCs w:val="21"/>
    </w:rPr>
  </w:style>
  <w:style w:type="paragraph" w:styleId="1288" w:customStyle="1">
    <w:name w:val="正文须知-2级"/>
    <w:basedOn w:val="888"/>
    <w:uiPriority w:val="0"/>
    <w:qFormat/>
    <w:pPr>
      <w:numPr>
        <w:ilvl w:val="1"/>
        <w:numId w:val="7"/>
      </w:numPr>
      <w:spacing w:line="300" w:lineRule="auto"/>
    </w:pPr>
    <w:rPr>
      <w:rFonts w:ascii="宋体" w:hAnsi="Calibri"/>
      <w:sz w:val="24"/>
      <w:szCs w:val="21"/>
    </w:rPr>
  </w:style>
  <w:style w:type="paragraph" w:styleId="1289" w:customStyle="1">
    <w:name w:val="正文须知-3级"/>
    <w:basedOn w:val="888"/>
    <w:uiPriority w:val="0"/>
    <w:qFormat/>
    <w:pPr>
      <w:numPr>
        <w:ilvl w:val="2"/>
        <w:numId w:val="7"/>
      </w:numPr>
      <w:ind w:hanging="355"/>
      <w:spacing w:line="300" w:lineRule="auto"/>
    </w:pPr>
    <w:rPr>
      <w:rFonts w:ascii="宋体" w:hAnsi="Calibri"/>
      <w:sz w:val="24"/>
      <w:szCs w:val="21"/>
    </w:rPr>
  </w:style>
  <w:style w:type="character" w:styleId="1290" w:customStyle="1">
    <w:name w:val="纯文本 字符"/>
    <w:link w:val="888"/>
    <w:uiPriority w:val="99"/>
    <w:qFormat/>
    <w:rPr>
      <w:rFonts w:ascii="宋体" w:hAnsi="Courier New" w:eastAsia="宋体" w:cs="Times New Roman"/>
      <w:sz w:val="21"/>
      <w:szCs w:val="21"/>
      <w:lang w:val="en-US" w:eastAsia="zh-CN" w:bidi="ar-SA"/>
    </w:rPr>
  </w:style>
  <w:style w:type="paragraph" w:styleId="1291" w:customStyle="1">
    <w:name w:val="表格1"/>
    <w:basedOn w:val="888"/>
    <w:uiPriority w:val="0"/>
    <w:qFormat/>
    <w:pPr>
      <w:ind w:firstLine="480"/>
      <w:jc w:val="center"/>
    </w:pPr>
    <w:rPr>
      <w:sz w:val="24"/>
      <w:szCs w:val="20"/>
    </w:rPr>
  </w:style>
  <w:style w:type="character" w:styleId="1292" w:customStyle="1">
    <w:name w:val="纯文本 字符1"/>
    <w:link w:val="888"/>
    <w:uiPriority w:val="0"/>
    <w:qFormat/>
    <w:rPr>
      <w:rFonts w:ascii="宋体" w:hAnsi="Courier New"/>
    </w:rPr>
  </w:style>
  <w:style w:type="character" w:styleId="1293" w:customStyle="1">
    <w:name w:val="bjh-p"/>
    <w:link w:val="888"/>
    <w:uiPriority w:val="0"/>
    <w:qFormat/>
  </w:style>
  <w:style w:type="paragraph" w:styleId="1294" w:customStyle="1">
    <w:name w:val="无标题条"/>
    <w:next w:val="888"/>
    <w:uiPriority w:val="0"/>
    <w:qFormat/>
    <w:pPr>
      <w:jc w:val="both"/>
    </w:pPr>
    <w:rPr>
      <w:rFonts w:hint="default" w:ascii="Times New Roman" w:hAnsi="Times New Roman" w:eastAsia="宋体" w:cs="Times New Roman"/>
      <w:sz w:val="21"/>
      <w:lang w:val="en-US" w:eastAsia="zh-CN" w:bidi="ar-SA"/>
    </w:rPr>
  </w:style>
  <w:style w:type="character" w:styleId="1295" w:customStyle="1">
    <w:name w:val="正文格式 Char"/>
    <w:link w:val="1296"/>
    <w:uiPriority w:val="0"/>
    <w:qFormat/>
    <w:rPr>
      <w:rFonts w:ascii="宋体" w:hAnsi="宋体"/>
      <w:sz w:val="24"/>
      <w:szCs w:val="24"/>
      <w:lang w:val="en-GB"/>
    </w:rPr>
  </w:style>
  <w:style w:type="paragraph" w:styleId="1296" w:customStyle="1">
    <w:name w:val="正文格式"/>
    <w:basedOn w:val="888"/>
    <w:link w:val="1295"/>
    <w:uiPriority w:val="0"/>
    <w:qFormat/>
    <w:pPr>
      <w:ind w:firstLine="480"/>
      <w:spacing w:line="360" w:lineRule="auto"/>
    </w:pPr>
    <w:rPr>
      <w:rFonts w:ascii="宋体" w:hAnsi="宋体"/>
      <w:sz w:val="24"/>
      <w:lang w:val="en-GB"/>
    </w:rPr>
  </w:style>
  <w:style w:type="character" w:styleId="1297" w:customStyle="1">
    <w:name w:val="标题 3 Char"/>
    <w:link w:val="888"/>
    <w:uiPriority w:val="0"/>
    <w:qFormat/>
    <w:rPr>
      <w:rFonts w:ascii="宋体" w:eastAsia="宋体"/>
      <w:b/>
      <w:sz w:val="24"/>
      <w:u w:val="single"/>
      <w:lang w:val="en-US" w:eastAsia="zh-CN" w:bidi="ar-SA"/>
    </w:rPr>
  </w:style>
  <w:style w:type="character" w:styleId="1298" w:customStyle="1">
    <w:name w:val="正文缩进 Char"/>
    <w:link w:val="888"/>
    <w:uiPriority w:val="0"/>
    <w:qFormat/>
    <w:rPr>
      <w:rFonts w:ascii="宋体" w:eastAsia="宋体"/>
      <w:sz w:val="24"/>
      <w:szCs w:val="24"/>
      <w:lang w:val="en-US" w:eastAsia="zh-CN" w:bidi="ar-SA"/>
    </w:rPr>
  </w:style>
  <w:style w:type="character" w:styleId="1299" w:customStyle="1">
    <w:name w:val="Char Char111"/>
    <w:link w:val="888"/>
    <w:uiPriority w:val="0"/>
    <w:qFormat/>
    <w:rPr>
      <w:rFonts w:ascii="宋体" w:eastAsia="宋体"/>
      <w:b/>
      <w:sz w:val="24"/>
      <w:u w:val="single"/>
      <w:lang w:val="en-US" w:eastAsia="zh-CN" w:bidi="ar-SA"/>
    </w:rPr>
  </w:style>
  <w:style w:type="character" w:styleId="1300" w:customStyle="1">
    <w:name w:val="正文文本缩进 Char"/>
    <w:link w:val="888"/>
    <w:uiPriority w:val="0"/>
    <w:qFormat/>
    <w:rPr>
      <w:rFonts w:eastAsia="宋体"/>
      <w:sz w:val="24"/>
      <w:szCs w:val="24"/>
      <w:lang w:val="en-US" w:eastAsia="zh-CN" w:bidi="ar-SA"/>
    </w:rPr>
  </w:style>
  <w:style w:type="character" w:styleId="1301" w:customStyle="1">
    <w:name w:val="列出段落 Char"/>
    <w:link w:val="888"/>
    <w:uiPriority w:val="0"/>
    <w:qFormat/>
    <w:rPr>
      <w:rFonts w:ascii="Calibri" w:hAnsi="Calibri" w:eastAsia="宋体"/>
      <w:sz w:val="21"/>
      <w:szCs w:val="22"/>
      <w:lang w:val="en-US" w:eastAsia="zh-CN" w:bidi="ar-SA"/>
    </w:rPr>
  </w:style>
  <w:style w:type="character" w:styleId="1302" w:customStyle="1">
    <w:name w:val="页眉 Char"/>
    <w:link w:val="888"/>
    <w:uiPriority w:val="0"/>
    <w:qFormat/>
    <w:rPr>
      <w:rFonts w:eastAsia="宋体"/>
      <w:sz w:val="18"/>
      <w:szCs w:val="18"/>
      <w:lang w:val="en-US" w:eastAsia="zh-CN" w:bidi="ar-SA"/>
    </w:rPr>
  </w:style>
  <w:style w:type="character" w:styleId="1303" w:customStyle="1">
    <w:name w:val="标题 2 Char"/>
    <w:link w:val="888"/>
    <w:uiPriority w:val="0"/>
    <w:qFormat/>
    <w:rPr>
      <w:rFonts w:ascii="Arial" w:hAnsi="Arial" w:eastAsia="黑体"/>
      <w:b/>
      <w:sz w:val="30"/>
      <w:lang w:val="en-US" w:eastAsia="zh-CN" w:bidi="ar-SA"/>
    </w:rPr>
  </w:style>
  <w:style w:type="paragraph" w:styleId="1304" w:customStyle="1">
    <w:name w:val="字元 字元2"/>
    <w:basedOn w:val="888"/>
    <w:uiPriority w:val="0"/>
    <w:qFormat/>
    <w:rPr>
      <w:rFonts w:ascii="Tahoma" w:hAnsi="Tahoma"/>
      <w:sz w:val="24"/>
      <w:szCs w:val="20"/>
    </w:rPr>
  </w:style>
  <w:style w:type="paragraph" w:styleId="1305" w:customStyle="1">
    <w:name w:val="Char3 Char Char Char2"/>
    <w:basedOn w:val="888"/>
    <w:uiPriority w:val="0"/>
    <w:qFormat/>
    <w:rPr>
      <w:rFonts w:ascii="Tahoma" w:hAnsi="Tahoma"/>
      <w:sz w:val="24"/>
      <w:szCs w:val="20"/>
    </w:rPr>
  </w:style>
  <w:style w:type="paragraph" w:styleId="1306" w:customStyle="1">
    <w:name w:val="正文文本缩进2"/>
    <w:basedOn w:val="888"/>
    <w:uiPriority w:val="0"/>
    <w:qFormat/>
    <w:pPr>
      <w:ind w:firstLine="480"/>
      <w:spacing w:line="480" w:lineRule="exact"/>
    </w:pPr>
    <w:rPr>
      <w:rFonts w:ascii="宋体" w:hAnsi="宋体"/>
      <w:sz w:val="24"/>
      <w:lang w:val="zh-CN" w:eastAsia="zh-CN"/>
    </w:rPr>
  </w:style>
  <w:style w:type="paragraph" w:styleId="1307" w:customStyle="1">
    <w:name w:val="Char3"/>
    <w:basedOn w:val="888"/>
    <w:uiPriority w:val="0"/>
    <w:qFormat/>
    <w:pPr>
      <w:tabs>
        <w:tab w:val="left" w:pos="360" w:leader="none"/>
      </w:tabs>
    </w:pPr>
    <w:rPr>
      <w:sz w:val="24"/>
    </w:rPr>
  </w:style>
  <w:style w:type="paragraph" w:styleId="1308" w:customStyle="1">
    <w:name w:val="Char Char Char Char Char Char Char Char Char Char Char Char Char Char Char Char1"/>
    <w:basedOn w:val="888"/>
    <w:uiPriority w:val="0"/>
    <w:qFormat/>
    <w:pPr>
      <w:jc w:val="center"/>
      <w:spacing w:after="160" w:line="240" w:lineRule="exact"/>
      <w:widowControl/>
    </w:pPr>
    <w:rPr>
      <w:rFonts w:ascii="宋体" w:hAnsi="宋体"/>
      <w:b/>
      <w:sz w:val="30"/>
      <w:szCs w:val="30"/>
      <w:lang w:eastAsia="en-US"/>
    </w:rPr>
  </w:style>
  <w:style w:type="paragraph" w:styleId="1309" w:customStyle="1">
    <w:name w:val="Char Char1 Char Char Char Char Char Char1"/>
    <w:basedOn w:val="888"/>
    <w:uiPriority w:val="0"/>
    <w:qFormat/>
    <w:pPr>
      <w:jc w:val="left"/>
      <w:spacing w:after="160" w:line="240" w:lineRule="exact"/>
      <w:widowControl/>
    </w:pPr>
    <w:rPr>
      <w:rFonts w:ascii="Verdana" w:hAnsi="Verdana" w:eastAsia="仿宋_GB2312"/>
      <w:sz w:val="24"/>
      <w:szCs w:val="20"/>
      <w:lang w:eastAsia="en-US"/>
    </w:rPr>
  </w:style>
  <w:style w:type="paragraph" w:styleId="1310" w:customStyle="1">
    <w:name w:val="列出段落2"/>
    <w:basedOn w:val="888"/>
    <w:uiPriority w:val="0"/>
    <w:qFormat/>
    <w:pPr>
      <w:ind w:firstLine="420"/>
    </w:pPr>
    <w:rPr>
      <w:rFonts w:ascii="Calibri" w:hAnsi="Calibri"/>
      <w:szCs w:val="22"/>
    </w:rPr>
  </w:style>
  <w:style w:type="paragraph" w:styleId="1311" w:customStyle="1">
    <w:name w:val="Char Char Char1 Char2"/>
    <w:basedOn w:val="888"/>
    <w:uiPriority w:val="0"/>
    <w:qFormat/>
    <w:rPr>
      <w:rFonts w:ascii="Tahoma" w:hAnsi="Tahoma"/>
      <w:sz w:val="24"/>
      <w:szCs w:val="20"/>
    </w:rPr>
  </w:style>
  <w:style w:type="paragraph" w:styleId="1312" w:customStyle="1">
    <w:name w:val="Char Char Char2"/>
    <w:basedOn w:val="888"/>
    <w:uiPriority w:val="0"/>
    <w:qFormat/>
    <w:rPr>
      <w:rFonts w:ascii="Tahoma" w:hAnsi="Tahoma"/>
      <w:sz w:val="24"/>
      <w:szCs w:val="20"/>
    </w:rPr>
  </w:style>
  <w:style w:type="paragraph" w:styleId="1313" w:customStyle="1">
    <w:name w:val="Char Char Char Char Char Char Char2"/>
    <w:basedOn w:val="888"/>
    <w:uiPriority w:val="0"/>
    <w:qFormat/>
    <w:pPr>
      <w:ind w:firstLine="200"/>
      <w:spacing w:line="360" w:lineRule="auto"/>
    </w:pPr>
    <w:rPr>
      <w:rFonts w:eastAsia="仿宋_GB2312"/>
      <w:sz w:val="24"/>
    </w:rPr>
  </w:style>
  <w:style w:type="paragraph" w:styleId="1314" w:customStyle="1">
    <w:name w:val="正文缩进2"/>
    <w:basedOn w:val="888"/>
    <w:uiPriority w:val="0"/>
    <w:qFormat/>
    <w:pPr>
      <w:ind w:firstLine="567"/>
      <w:spacing w:line="480" w:lineRule="exact"/>
      <w:widowControl/>
    </w:pPr>
    <w:rPr>
      <w:rFonts w:ascii="宋体"/>
      <w:color w:val="000000"/>
      <w:sz w:val="28"/>
      <w:szCs w:val="20"/>
      <w:lang w:val="zh-CN" w:eastAsia="zh-CN"/>
    </w:rPr>
  </w:style>
  <w:style w:type="paragraph" w:styleId="1315" w:customStyle="1">
    <w:name w:val="Revision"/>
    <w:uiPriority w:val="0"/>
    <w:qFormat/>
    <w:rPr>
      <w:rFonts w:hint="default" w:ascii="Times New Roman" w:hAnsi="Times New Roman" w:eastAsia="宋体" w:cs="Times New Roman"/>
      <w:sz w:val="21"/>
      <w:szCs w:val="24"/>
      <w:lang w:val="en-US" w:eastAsia="zh-CN" w:bidi="ar-SA"/>
    </w:rPr>
  </w:style>
  <w:style w:type="paragraph" w:styleId="1316" w:customStyle="1">
    <w:name w:val="Char22"/>
    <w:basedOn w:val="888"/>
    <w:uiPriority w:val="0"/>
    <w:qFormat/>
    <w:rPr>
      <w:rFonts w:ascii="Tahoma" w:hAnsi="Tahoma"/>
      <w:sz w:val="24"/>
      <w:szCs w:val="20"/>
    </w:rPr>
  </w:style>
  <w:style w:type="paragraph" w:styleId="1317" w:customStyle="1">
    <w:name w:val="Char Char Char Char Char Char Char Char Char Char2"/>
    <w:basedOn w:val="888"/>
    <w:uiPriority w:val="0"/>
    <w:qFormat/>
    <w:rPr>
      <w:rFonts w:ascii="宋体" w:hAnsi="宋体" w:cs="Courier New"/>
      <w:sz w:val="32"/>
      <w:szCs w:val="32"/>
    </w:rPr>
  </w:style>
  <w:style w:type="paragraph" w:styleId="1318" w:customStyle="1">
    <w:name w:val="Char2 Char Char Char Char Char Char1"/>
    <w:basedOn w:val="888"/>
    <w:uiPriority w:val="0"/>
    <w:qFormat/>
    <w:pPr>
      <w:jc w:val="center"/>
      <w:spacing w:line="400" w:lineRule="exact"/>
      <w:widowControl/>
    </w:pPr>
  </w:style>
  <w:style w:type="character" w:styleId="1319" w:customStyle="1">
    <w:name w:val="页脚 Char"/>
    <w:link w:val="888"/>
    <w:uiPriority w:val="99"/>
    <w:qFormat/>
    <w:rPr>
      <w:rFonts w:ascii="宋体" w:eastAsia="宋体"/>
      <w:sz w:val="18"/>
      <w:lang w:val="en-US" w:eastAsia="zh-CN" w:bidi="ar-SA"/>
    </w:rPr>
  </w:style>
  <w:style w:type="paragraph" w:styleId="1320" w:customStyle="1">
    <w:name w:val="Char Char41"/>
    <w:basedOn w:val="888"/>
    <w:uiPriority w:val="0"/>
    <w:qFormat/>
    <w:pPr>
      <w:jc w:val="center"/>
      <w:spacing w:line="400" w:lineRule="exact"/>
      <w:widowControl/>
    </w:pPr>
  </w:style>
  <w:style w:type="character" w:styleId="1321" w:customStyle="1">
    <w:name w:val="批注文字 Char"/>
    <w:link w:val="888"/>
    <w:uiPriority w:val="99"/>
    <w:qFormat/>
    <w:rPr>
      <w:sz w:val="21"/>
      <w:szCs w:val="24"/>
    </w:rPr>
  </w:style>
  <w:style w:type="character" w:styleId="1322" w:customStyle="1">
    <w:name w:val="标题 Char"/>
    <w:link w:val="888"/>
    <w:uiPriority w:val="0"/>
    <w:qFormat/>
    <w:rPr>
      <w:b/>
      <w:sz w:val="32"/>
    </w:rPr>
  </w:style>
  <w:style w:type="paragraph" w:styleId="1323" w:customStyle="1">
    <w:name w:val="图例"/>
    <w:basedOn w:val="888"/>
    <w:uiPriority w:val="0"/>
    <w:qFormat/>
    <w:pPr>
      <w:jc w:val="center"/>
      <w:spacing w:before="120" w:after="120" w:line="360" w:lineRule="auto"/>
    </w:pPr>
    <w:rPr>
      <w:rFonts w:eastAsia="仿宋_GB2312"/>
      <w:b/>
      <w:sz w:val="24"/>
      <w:szCs w:val="20"/>
    </w:rPr>
  </w:style>
  <w:style w:type="paragraph" w:styleId="1324" w:customStyle="1">
    <w:name w:val="Table Paragraph"/>
    <w:basedOn w:val="888"/>
    <w:uiPriority w:val="1"/>
    <w:qFormat/>
    <w:pPr>
      <w:jc w:val="left"/>
    </w:pPr>
    <w:rPr>
      <w:rFonts w:ascii="宋体" w:hAnsi="宋体" w:cs="宋体"/>
      <w:sz w:val="22"/>
      <w:szCs w:val="22"/>
      <w:lang w:eastAsia="en-US"/>
    </w:rPr>
  </w:style>
  <w:style w:type="table" w:styleId="1325" w:customStyle="1">
    <w:name w:val="Table Normal"/>
    <w:uiPriority w:val="2"/>
    <w:semiHidden/>
    <w:qFormat/>
    <w:pPr>
      <w:widowControl w:val="off"/>
    </w:pPr>
    <w:rPr>
      <w:rFonts w:ascii="Calibri" w:hAnsi="Calibri"/>
      <w:sz w:val="22"/>
      <w:szCs w:val="22"/>
      <w:lang w:val="en-US" w:eastAsia="en-US" w:bidi="ar-SA"/>
    </w:rPr>
    <w:tblPr/>
  </w:style>
  <w:style w:type="paragraph" w:styleId="1326" w:customStyle="1">
    <w:name w:val="成文日期"/>
    <w:basedOn w:val="888"/>
    <w:link w:val="1327"/>
    <w:uiPriority w:val="0"/>
    <w:qFormat/>
    <w:pPr>
      <w:ind w:right="400" w:firstLine="200"/>
      <w:jc w:val="right"/>
      <w:spacing w:line="570" w:lineRule="exact"/>
    </w:pPr>
    <w:rPr>
      <w:rFonts w:ascii="仿宋_GB2312" w:eastAsia="仿宋_GB2312"/>
      <w:sz w:val="32"/>
      <w:szCs w:val="20"/>
    </w:rPr>
  </w:style>
  <w:style w:type="character" w:styleId="1327" w:customStyle="1">
    <w:name w:val="成文日期 Char"/>
    <w:link w:val="1326"/>
    <w:uiPriority w:val="0"/>
    <w:qFormat/>
    <w:rPr>
      <w:rFonts w:ascii="仿宋_GB2312" w:eastAsia="仿宋_GB2312"/>
      <w:sz w:val="32"/>
    </w:rPr>
  </w:style>
  <w:style w:type="paragraph" w:styleId="1328" w:customStyle="1">
    <w:name w:val="Table Text"/>
    <w:basedOn w:val="888"/>
    <w:uiPriority w:val="0"/>
    <w:semiHidden/>
    <w:qFormat/>
    <w:rPr>
      <w:rFonts w:ascii="宋体" w:hAnsi="宋体" w:eastAsia="宋体" w:cs="宋体"/>
      <w:sz w:val="20"/>
      <w:szCs w:val="20"/>
      <w:lang w:val="en-US" w:eastAsia="en-US" w:bidi="ar-SA"/>
    </w:rPr>
  </w:style>
  <w:style w:type="character" w:styleId="1329" w:customStyle="1">
    <w:name w:val="hour_pm"/>
    <w:basedOn w:val="1082"/>
    <w:link w:val="888"/>
    <w:uiPriority w:val="0"/>
    <w:qFormat/>
  </w:style>
  <w:style w:type="character" w:styleId="1330" w:customStyle="1">
    <w:name w:val="glyphicon"/>
    <w:basedOn w:val="1082"/>
    <w:link w:val="888"/>
    <w:uiPriority w:val="0"/>
    <w:qFormat/>
  </w:style>
  <w:style w:type="character" w:styleId="1331" w:customStyle="1">
    <w:name w:val="hover"/>
    <w:basedOn w:val="1082"/>
    <w:link w:val="888"/>
    <w:uiPriority w:val="0"/>
    <w:qFormat/>
    <w:rPr>
      <w:shd w:val="clear" w:color="auto" w:fill="eeeeee"/>
    </w:rPr>
  </w:style>
  <w:style w:type="character" w:styleId="1332" w:customStyle="1">
    <w:name w:val="old"/>
    <w:basedOn w:val="1082"/>
    <w:link w:val="888"/>
    <w:uiPriority w:val="0"/>
    <w:qFormat/>
    <w:rPr>
      <w:color w:val="999999"/>
    </w:rPr>
  </w:style>
  <w:style w:type="character" w:styleId="1333" w:customStyle="1">
    <w:name w:val="hour_am"/>
    <w:basedOn w:val="1082"/>
    <w:link w:val="888"/>
    <w:uiPriority w:val="0"/>
    <w:qFormat/>
  </w:style>
  <w:style w:type="numbering" w:styleId="134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丁玲</cp:lastModifiedBy>
  <cp:revision>12</cp:revision>
  <dcterms:created xsi:type="dcterms:W3CDTF">2022-05-30T08:03:00Z</dcterms:created>
  <dcterms:modified xsi:type="dcterms:W3CDTF">2026-08-02T15:03:15Z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3CEDF1F98C9846A48030DD044AEA2585_13</vt:lpwstr>
  </property>
  <property fmtid="{D5CDD505-2E9C-101B-9397-08002B2CF9AE}" pid="4" name="KSOTemplateDocerSaveRecord">
    <vt:lpwstr>eyJoZGlkIjoiZDNlMmZlMjg0ZjdjNmRiNGNkZDY3NDU5ZDBlNWUzZDciLCJ1c2VySWQiOiI1NDc3MzAxODIifQ==</vt:lpwstr>
  </property>
</Properties>
</file>