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苏州市相城区采购</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竞争性磋商采购文件</w:t>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spacing w:before="0" w:after="0"/>
        <w:tabs>
          <w:tab w:val="left" w:pos="7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ab/>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采购编号:JSZC-320507-PMJS-C2026-0023</w:t>
      </w:r>
      <w:r/>
    </w:p>
    <w:p>
      <w:pPr>
        <w:ind w:left="2904" w:right="0" w:hanging="1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采购项目：2026-2027年度渭塘镇公办学校校园保安服务项目</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采购人：苏州市相城区渭塘镇人民政府</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采购类别：服务类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rPr>
      </w:r>
      <w:r>
        <w:rPr>
          <w:rFonts w:ascii="SimSun" w:hAnsi="SimSun" w:eastAsia="SimSun" w:cs="SimSun"/>
          <w:b/>
          <w:color w:val="000000"/>
          <w:sz w:val="26"/>
          <w:highlight w:val="none"/>
        </w:rPr>
      </w:r>
    </w:p>
    <w:p>
      <w:pPr>
        <w:ind w:left="0" w:right="0" w:firstLine="0"/>
        <w:jc w:val="center"/>
        <w:spacing w:before="0" w:after="0" w:line="85" w:lineRule="atLeast"/>
        <w:rPr>
          <w:rFonts w:ascii="SimSun" w:hAnsi="SimSun" w:eastAsia="SimSun" w:cs="SimSun"/>
          <w:b/>
          <w:bCs/>
          <w:color w:val="000000"/>
          <w:sz w:val="26"/>
          <w:szCs w:val="2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rPr>
      </w:r>
      <w:r>
        <w:rPr>
          <w:rFonts w:ascii="SimSun" w:hAnsi="SimSun" w:eastAsia="SimSun" w:cs="SimSun"/>
          <w:b/>
          <w:color w:val="000000"/>
          <w:sz w:val="26"/>
          <w:highlight w:val="none"/>
        </w:rPr>
      </w:r>
    </w:p>
    <w:p>
      <w:pPr>
        <w:ind w:left="0" w:right="0" w:firstLine="0"/>
        <w:jc w:val="center"/>
        <w:spacing w:before="0" w:after="0" w:line="85" w:lineRule="atLeast"/>
        <w:rPr>
          <w:rFonts w:ascii="SimSun" w:hAnsi="SimSun" w:eastAsia="SimSun" w:cs="SimSun"/>
          <w:b/>
          <w:bCs/>
          <w:color w:val="000000"/>
          <w:sz w:val="26"/>
          <w:szCs w:val="26"/>
          <w:highlight w:val="none"/>
        </w:rPr>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26"/>
        </w:rPr>
        <w:t xml:space="preserve"> </w:t>
      </w: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2026年08月</w:t>
      </w:r>
      <w:r/>
    </w:p>
    <w:p>
      <w:pPr>
        <w:ind w:left="5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61"/>
        <w:jc w:val="both"/>
        <w:spacing w:before="0" w:after="0" w:line="499"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61"/>
        <w:jc w:val="both"/>
        <w:spacing w:before="0" w:after="0" w:line="499" w:lineRule="atLeast"/>
        <w:pBdr>
          <w:top w:val="none" w:color="000000" w:sz="4" w:space="0"/>
          <w:left w:val="none" w:color="000000" w:sz="4" w:space="0"/>
          <w:bottom w:val="none" w:color="000000" w:sz="4" w:space="0"/>
          <w:right w:val="none" w:color="000000" w:sz="4" w:space="0"/>
        </w:pBdr>
      </w:pPr>
      <w:r/>
      <w:r/>
    </w:p>
    <w:p>
      <w:pPr>
        <w:ind w:left="0" w:right="0" w:firstLine="361"/>
        <w:jc w:val="both"/>
        <w:spacing w:before="0" w:after="0" w:line="499" w:lineRule="atLeast"/>
        <w:pBdr>
          <w:top w:val="none" w:color="000000" w:sz="4" w:space="0"/>
          <w:left w:val="none" w:color="000000" w:sz="4" w:space="0"/>
          <w:bottom w:val="none" w:color="000000" w:sz="4" w:space="0"/>
          <w:right w:val="none" w:color="000000" w:sz="4" w:space="0"/>
        </w:pBdr>
      </w:pPr>
      <w:r/>
      <w:r/>
    </w:p>
    <w:p>
      <w:pPr>
        <w:ind w:left="0" w:right="0" w:firstLine="361"/>
        <w:jc w:val="both"/>
        <w:spacing w:before="0" w:after="0" w:line="499" w:lineRule="atLeast"/>
        <w:pBdr>
          <w:top w:val="none" w:color="000000" w:sz="4" w:space="0"/>
          <w:left w:val="none" w:color="000000" w:sz="4" w:space="0"/>
          <w:bottom w:val="none" w:color="000000" w:sz="4" w:space="0"/>
          <w:right w:val="none" w:color="000000" w:sz="4" w:space="0"/>
        </w:pBdr>
      </w:pPr>
      <w:r/>
      <w:r/>
    </w:p>
    <w:p>
      <w:pPr>
        <w:ind w:left="0" w:right="0" w:firstLine="361"/>
        <w:jc w:val="both"/>
        <w:spacing w:before="0" w:after="0" w:line="499" w:lineRule="atLeast"/>
        <w:pBdr>
          <w:top w:val="none" w:color="000000" w:sz="4" w:space="0"/>
          <w:left w:val="none" w:color="000000" w:sz="4" w:space="0"/>
          <w:bottom w:val="none" w:color="000000" w:sz="4" w:space="0"/>
          <w:right w:val="none" w:color="000000" w:sz="4" w:space="0"/>
        </w:pBdr>
      </w:pPr>
      <w:r/>
      <w:r/>
    </w:p>
    <w:p>
      <w:pPr>
        <w:ind w:left="0" w:right="0" w:firstLine="361"/>
        <w:jc w:val="both"/>
        <w:spacing w:before="0" w:after="0" w:line="499" w:lineRule="atLeast"/>
        <w:pBdr>
          <w:top w:val="none" w:color="000000" w:sz="4" w:space="0"/>
          <w:left w:val="none" w:color="000000" w:sz="4" w:space="0"/>
          <w:bottom w:val="none" w:color="000000" w:sz="4" w:space="0"/>
          <w:right w:val="none" w:color="000000" w:sz="4" w:space="0"/>
        </w:pBdr>
      </w:pPr>
      <w:r/>
      <w:r/>
    </w:p>
    <w:p>
      <w:pPr>
        <w:ind w:left="0" w:right="0" w:firstLine="361"/>
        <w:jc w:val="both"/>
        <w:spacing w:before="0" w:after="0" w:line="499" w:lineRule="atLeast"/>
        <w:pBdr>
          <w:top w:val="none" w:color="000000" w:sz="4" w:space="0"/>
          <w:left w:val="none" w:color="000000" w:sz="4" w:space="0"/>
          <w:bottom w:val="none" w:color="000000" w:sz="4" w:space="0"/>
          <w:right w:val="none" w:color="000000" w:sz="4" w:space="0"/>
        </w:pBdr>
      </w:pPr>
      <w:r/>
      <w:r/>
    </w:p>
    <w:p>
      <w:pPr>
        <w:ind w:left="0" w:right="0" w:firstLine="361"/>
        <w:jc w:val="both"/>
        <w:spacing w:before="0" w:after="0" w:line="499" w:lineRule="atLeast"/>
        <w:pBdr>
          <w:top w:val="none" w:color="000000" w:sz="4" w:space="0"/>
          <w:left w:val="none" w:color="000000" w:sz="4" w:space="0"/>
          <w:bottom w:val="none" w:color="000000" w:sz="4" w:space="0"/>
          <w:right w:val="none" w:color="000000" w:sz="4" w:space="0"/>
        </w:pBdr>
      </w:pPr>
      <w:r/>
      <w:r/>
    </w:p>
    <w:p>
      <w:pPr>
        <w:ind w:left="0" w:right="0" w:firstLine="3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5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总目录</w:t>
      </w:r>
      <w:r/>
    </w:p>
    <w:p>
      <w:pPr>
        <w:ind w:left="0" w:right="0" w:firstLine="3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前附表</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竞争性磋商公告</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磋商供应商须知</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响应文件格式</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磋商采购内容</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合同条款</w:t>
      </w:r>
      <w:r>
        <w:rPr>
          <w:rFonts w:ascii="Times New Roman" w:hAnsi="Times New Roman" w:eastAsia="Times New Roman" w:cs="Times New Roman"/>
          <w:color w:val="000000"/>
          <w:sz w:val="24"/>
        </w:rPr>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评审办法</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4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前附表</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756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采购内容：2026-2027年度渭塘镇公办学校校园保安服务项目</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标段数：1个标段</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响应文件有效期为90天（日历日）</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服务时间：1年，具体以甲方通知为准</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磋商保证金：不提交，本项目磋商文件内关于磋商保证金的相关规定均不适用。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签订合同：成交通知书发出之日起30日内</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因采购类项目种类较为复杂，为达到准确报价要求，投标报价前请投标单位自行做好现场踏勘工作（可自行联系采购方现场人员踏勘现场）开标后投标单位不得以任何形式以不了解现场情况为由提出费用调整。</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响应文件：应使用“苏采云”系统制作并提交电子版响应文件，未按要求线上递交电子响应文件将被拒收。供应商成交后须提供4套响应文件。</w:t>
            </w:r>
            <w:r/>
          </w:p>
        </w:tc>
      </w:tr>
      <w:tr>
        <w:trPr>
          <w:trHeight w:val="21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电子响应文件上传截止时间：2026年08月31日09:30（北京时间）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jc w:val="both"/>
              <w:spacing w:before="0" w:after="0" w:line="40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询问：获取磋商文件成功的磋商供应商在下载磋商文件后，对磋商文件有疑问的，可通过邮件（1214506206@qq.com）进行询问。采购代理机构通过邮件予以解答，询问人自行在邮件中查看解答信息。</w:t>
            </w:r>
            <w:r/>
          </w:p>
        </w:tc>
      </w:tr>
      <w:tr>
        <w:trPr>
          <w:trHeight w:val="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认为本采购文件条款使自己的权益受到损害的，应在知道或者应知权益受到损害之日起七个工作日内，以书面形式向采购单位提出质疑。采购人应当在收到磋商供应商书面质疑后七个工作日内作出答复。质疑应符合政府采购质疑和投诉办法(中华人民共和国财政部令第94号)。</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未依照磋商公告要求依法获取磋商文件的供应商，视为未参加该项政府采购活动，不具备对该政府采购项目提出质疑的法定权利。</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接受质疑函的方式：当场送达或邮寄方式。</w:t>
            </w:r>
            <w:r/>
          </w:p>
        </w:tc>
      </w:tr>
      <w:tr>
        <w:trPr>
          <w:trHeight w:val="1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本项目预算中已包含代理服务费。</w:t>
            </w:r>
            <w:r/>
          </w:p>
          <w:p>
            <w:pPr>
              <w:ind w:left="0" w:right="0" w:firstLine="24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代理服务费收费标准，由成交供应商在领取成交通知书时付清：</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预算金额100万元以下部分，费率为该部分预算金额的1.5%；</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后5折收取。例：如预算金额为150万元，则代理服务费＝100万元×1.5%＋（150万元－100万元）×1.1%。如按上述方法计算的金额低于人民币3000元整的，则本项目代理服务费按人民币3000元整计收，最低不低于3000元。</w:t>
            </w:r>
            <w:r/>
          </w:p>
          <w:p>
            <w:pPr>
              <w:ind w:left="0" w:right="0" w:firstLine="48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优惠后代理服务费：15000元</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中标原则：综合评分法</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评审办法：详见第六章</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tc>
      </w:tr>
    </w:tbl>
    <w:p>
      <w:pPr>
        <w:ind w:left="0" w:right="0" w:firstLine="5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84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第一章竞争性磋商</w:t>
      </w:r>
      <w:r>
        <w:rPr>
          <w:rFonts w:ascii="SimSun" w:hAnsi="SimSun" w:eastAsia="SimSun" w:cs="SimSun"/>
          <w:b/>
          <w:color w:val="000000"/>
          <w:sz w:val="52"/>
        </w:rPr>
        <w:t xml:space="preserve">公告</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rPr>
          <w:rFonts w:ascii="SimSun" w:hAnsi="SimSun" w:eastAsia="SimSun" w:cs="SimSun"/>
          <w:color w:val="000000"/>
          <w:sz w:val="26"/>
          <w:szCs w:val="2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highlight w:val="none"/>
        </w:rPr>
      </w:r>
      <w:r>
        <w:rPr>
          <w:rFonts w:ascii="SimSun" w:hAnsi="SimSun" w:eastAsia="SimSun" w:cs="SimSun"/>
          <w:color w:val="000000"/>
          <w:sz w:val="26"/>
          <w:highlight w:val="none"/>
        </w:rP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2026-2027年度渭塘镇公办学校校园保安服务项目</w:t>
      </w:r>
      <w:r>
        <w:rPr>
          <w:rFonts w:ascii="SimSun" w:hAnsi="SimSun" w:eastAsia="SimSun" w:cs="SimSun"/>
          <w:color w:val="000000"/>
          <w:sz w:val="24"/>
        </w:rPr>
        <w:t xml:space="preserve">的潜在磋商供应商应在“苏采云政府采购一体化平台”自行免费下载磋商文件，并于2026年08月31日09点30分（北京时间）前提交响应文件。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采购编号：JSZC-320507-PMJS-C2026-0023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项目名称：2026-2027年度渭塘镇公办学校校园保安服务项目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预算金额：人民币贰佰肆拾贰万元整（</w:t>
      </w:r>
      <w:r>
        <w:rPr>
          <w:rFonts w:ascii="Arial" w:hAnsi="Arial" w:eastAsia="Arial" w:cs="Arial"/>
          <w:color w:val="000000"/>
          <w:sz w:val="24"/>
        </w:rPr>
        <w:t xml:space="preserve">¥</w:t>
      </w:r>
      <w:r>
        <w:rPr>
          <w:rFonts w:ascii="SimSun" w:hAnsi="SimSun" w:eastAsia="SimSun" w:cs="SimSun"/>
          <w:color w:val="000000"/>
          <w:sz w:val="24"/>
        </w:rPr>
        <w:t xml:space="preserve">2420000.00）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一</w:t>
      </w:r>
      <w:r>
        <w:rPr>
          <w:rFonts w:ascii="SimSun" w:hAnsi="SimSun" w:eastAsia="SimSun" w:cs="SimSun"/>
          <w:color w:val="000000"/>
          <w:sz w:val="24"/>
        </w:rPr>
        <w:t xml:space="preserve">）</w:t>
      </w:r>
      <w:r>
        <w:rPr>
          <w:rFonts w:ascii="SimSun" w:hAnsi="SimSun" w:eastAsia="SimSun" w:cs="SimSun"/>
          <w:color w:val="000000"/>
          <w:sz w:val="24"/>
        </w:rPr>
        <w:t xml:space="preserve">服务内容：承接全镇公办中小学（幼儿园）安保服务项目，包含渭塘中学、渭塘实验小学、渭塘中心幼儿园、渭塘中心幼儿园（南园）、珍珠湖幼儿园、珍珠湖小学、渭塘中学（市民健身开放区），共安排保安人员44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（二）服务时间：</w:t>
      </w:r>
      <w:r>
        <w:rPr>
          <w:rFonts w:ascii="SimSun" w:hAnsi="SimSun" w:eastAsia="SimSun" w:cs="SimSun"/>
          <w:color w:val="000000"/>
          <w:sz w:val="24"/>
          <w:u w:val="none"/>
        </w:rPr>
        <w:t xml:space="preserve">一年，具体以合同签订为准。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落实政府采购政策需满足的资格要求：</w:t>
      </w:r>
      <w:r>
        <w:rPr>
          <w:rFonts w:ascii="SimSun" w:hAnsi="SimSun" w:eastAsia="SimSun" w:cs="SimSun"/>
          <w:b/>
          <w:color w:val="000000"/>
          <w:sz w:val="24"/>
        </w:rPr>
        <w:t xml:space="preserve">本项目专门面向中小企业采购，所属行业为租赁和商务服务业，投标单位须为中小微企业或监狱企业或残疾人福利性单位。</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合格磋商磋商响应单位的特殊条件：具备有效的保安服务许可证。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（2）为采购项目提供整体设计、规范编制或者项目管理、监理、监测等服务的磋商供应商，不得再参加该采购项目的其他采购活动；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（3）单位负责人为同一人或者存在直接控股、管理关系的不同磋商供应商，不得参加同一合同项下的政府采购活动。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本项目（是/否）接受联合体投标：否</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时间：磋商公告之日起5个工作日。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地点：供应商登录苏州市政府采购网站首页下侧“苏采云-已参与项目”中，根据提示，下载招标（采购）文件。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截止时间：2026年08月31日09：30（北京时间）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时间：2026年08月31日09：30（北京时间）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w:t>
      </w:r>
      <w:r>
        <w:rPr>
          <w:rFonts w:ascii="SimSun" w:hAnsi="SimSun" w:eastAsia="SimSun" w:cs="SimSun"/>
          <w:color w:val="000000"/>
          <w:sz w:val="24"/>
        </w:rPr>
        <w:t xml:space="preserve">65737699。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9、投标人（供应商）应自行在苏采云政府采购一体化平台上下载/获取招标（采购）文件及其澄清（答疑）、工程量清单、图纸等相关招标（采购）资料，恕不另行通知。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13、苏州相城区采购监督电话：0512-67591005、0512-67591006。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r>
        <w:rPr>
          <w:rFonts w:ascii="SimSun" w:hAnsi="SimSun" w:eastAsia="SimSun" w:cs="SimSun"/>
          <w:sz w:val="24"/>
        </w:rPr>
        <w:t xml:space="preserve">上发布</w:t>
      </w:r>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苏州市相城区渭塘镇人民政府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联系地址：江苏省苏州市相城区渭塘镇渭中路8号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联系人：徐燕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联系方式：13584860436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联系方式：0512-67256718-1647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w:t>
      </w:r>
      <w:r>
        <w:rPr>
          <w:rFonts w:ascii="SimSun" w:hAnsi="SimSun" w:eastAsia="SimSun" w:cs="SimSun"/>
          <w:color w:val="000000"/>
          <w:sz w:val="24"/>
        </w:rPr>
        <w:t xml:space="preserve">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项目联系人：顾梦飞、俞莉、顾苏芯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话：0512-67256718-1647</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84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第二章 磋商供应商须知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1.1本磋商采购文件仅适用于江苏京苏项目管理咨询有限公司组织的采购活动。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1.3本磋商采购文件的解释权属于江苏京苏项目管理咨询有限公司。</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2.2磋商供应商：指向采购人提供货物、工程或服务的法人、其他组织或者自然人。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2.4磋商采购单位：采购人及采购代理机构的统称，具体组织实施磋商采购活动。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2.5响应：磋商供应商根据采购人发布的磋商文件，编制响应文件并按规定参与磋商的行为。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2.6知识产权：指专利权、商标权、著作权等无形财产专有权的统称。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2.7天：日历日。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2.8服务地点：合同中明确约定的乙方服务的最终地点。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2.9不可抗力：不能预见、不能避免并且不能克服的客观情况。</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2.10实质性响应：满足有关本次采购标的、数量、质量、价款或者报酬、履行期限、履行地点和方式、违约责任和解决争议方法等要求。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2.11书面形式：指书面文字、合同书、信件和传真等可以有形地表现所载内容的形式。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2.12扫描件：指原件的各种彩色复制件，包括扫描、照片等。</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3.合格磋商供应商的一般条件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4.合格磋商供应商的特殊条件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磋商供应商代表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5.1指全权代表磋商供应商参加磋商采购活动并签署响应文件的人，如果磋商供应商代表不是法人代表，须持有《法人代表授权委托书》（详见附件格式）。</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磋商费用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6.1无论磋商过程中的做法和结果如何，磋商供应商自行承担所有与参加磋商有关的全部费用。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7.1接受联合体参加磋商的，由两个或两个以上法人组成一个联合体以一个供应商的身份共同响应时，联合体各方均应当符合政府采购法第二十二条规定的条件。同时还应符合以下要求：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联合体各方中至少应当有一方应具备承担本磋商项目的相应资格条件。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联合体各方应签订联合磋商响应协议，明确联合体的牵头人，明确约定各方拟承担的工作和责任，并将该联合磋商响应协议随响应文件一并提交。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以联合体形式参加政府采购活动的，联合体各方不得再单独参加或者与其他供应商另外组成联合体参加同一合同项下的政府采购活动。出现上述情况者，其磋商响应和与其有关的联合体的磋商响应均做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7.1.4联合体成交的，联合体各方应当共同与采购人签订合同，就成交项目向采购人承担连带责任。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7.2除非另有规定或说明，本磋商文件中“供应商”一词亦指联合体各成员。</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磋商采购文件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8.2供应商如有疑问需要澄清，请按照前附表进行询问，代理机构收到询问后应在三个工作日内予以解答。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磋商文件及其补充文件不是直接从磋商采购单位处获得的，磋商采购单位对磋商文件及其补遗的真实性、完整性不承担任何责任。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9.现场考察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9.1供应商应按磋商文件中所述时间和方式对有关现场和周围环境进行考察，以获取编制响应文件和签署合同所需的信息。考察现场所发生的费用由供应商自己承担。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9.2磋商采购单位向供应商提供的有关现场的资料和数据，是磋商采购单位现有的并认为能使供应商可利用的资料。磋商采购单位对供应商由此而做出的推论、理解和结论概不负责。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经磋商采购单位允许，供应商可为考察目的进入磋商采购单位的项目现场，但供应商不得因此使磋商采购单位承担有关的责任和蒙受损失。供应商应承担考察现场的责任和风险。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供应商应在现场考察时，熟悉现场及周围交通道路等情况，以获得一切可能影响其投标的直接资料。供应商成交后，不得以不完全了解现场情况为理由而向磋商采购单位提出任何索赔的要求，对此磋商采购单位不承担任何责任并将不作任何答复与考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磋商采购文件的澄清和修改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10.1在递交响应文件截止时间前，采购人、采购代理机构无论出于自己的考虑，还是出于对磋商供应商提问的澄清，均可对磋商文件用更正（补充）文件的方式进行修改。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10.2采购人、采购代理机构对磋商文件的修改，将以更正（补充）文件的方式在苏州政府采购网上进行发布。更正（补充）文件将作为磋商文件的组成部分，对所有磋商供应商有约束力。</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10.3为使磋商供应商有足够的时间按磋商文件的修改要求考虑修正响应文件，或出于其他原因，采购人、采购代理机构有权推迟截止日期和磋商日期。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10.4磋商文件的澄清、修改、补充等内容均以网上发布的内容为准。当磋商文件、磋商文件的澄清、修改、补充等在同一内容的表述上不一致时，以网上发布的为准。</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响应文件计量单位和使用文字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11.1响应文件中所使用的计量单位，除磋商文件中有特殊要求外，均应使用中华人民共和国法定计量单位。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响应文件的组成</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12.1响应文件一（报价部分）(格式见第三章)：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12.1.1授权委托书（非法定代表人参加磋商的提供）；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12.1.2响应函；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12.1.3响应总报价表；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12.1.4响应分项报价表；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12.1.5报价承诺书；</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12.2响应文件二（资格及技术部分）：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关于资格文件的声明函（格式见第三章）；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磋商供应商情况表、供应商与其他单位存在控股、管理关系情况表（格式见第三章）；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12.2.3磋商供应商法定代表人身份证扫描件；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12.2.4磋商供应商代理人身份证扫描件（非法定代表人参加磋商的提供）；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12.2.5磋商供应商证明其满足合格磋商供应商资格基本条件的证明材料: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（2）具有良好的商业信誉和健全的财务会计制度证明：法人应提供最近一期经会计师事务所审计的财务报告，其他组织、自然人及成立未满一年的法人应提供银行出具的资信证明；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（3）具备履行合同所必需的设备和专业技术能力的证明材料扫描件或承诺函；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包括税务登记证（如有）和最新一期依法缴纳税收的凭据，如为依法免税或不需要缴纳的，供应商则须提供对应证明资料；提供近三个月内依法缴纳社会保险的凭据（专用收据或社会保险缴纳清单）的相关材料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12.2.6磋商供应商证明其满足合格磋商供应商特定资格要求的证明资料：</w:t>
      </w:r>
      <w:r>
        <w:rPr>
          <w:rFonts w:ascii="SimSun" w:hAnsi="SimSun" w:eastAsia="SimSun" w:cs="SimSun"/>
          <w:color w:val="000000"/>
          <w:sz w:val="24"/>
          <w:highlight w:val="white"/>
        </w:rPr>
        <w:t xml:space="preserve">具备有效的保安服务许可证</w:t>
      </w:r>
      <w:r>
        <w:rPr>
          <w:rFonts w:ascii="SimSun" w:hAnsi="SimSun" w:eastAsia="SimSun" w:cs="SimSun"/>
          <w:color w:val="000000"/>
          <w:sz w:val="24"/>
        </w:rPr>
        <w:t xml:space="preserve">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12.2.7中小企业声明函（格式见第三章）或残疾人福利性单位声明函（格式见第三章）或监狱企业证明文件；</w:t>
      </w:r>
      <w:r>
        <w:rPr>
          <w:rFonts w:ascii="SimSun" w:hAnsi="SimSun" w:eastAsia="SimSun" w:cs="SimSun"/>
          <w:b/>
          <w:color w:val="000000"/>
          <w:sz w:val="24"/>
          <w:u w:val="single"/>
        </w:rPr>
        <w:t xml:space="preserve">(注：若提供中小企业声明函或残疾人福利性单位声明函或监狱企业证明文件须加盖有公章的彩色扫描件上传至电子投标文件。)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12.2.8偏离表；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12.2.9服务方案；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12.2.10《人员配备一览表》（格式见第三章）及服务期间人员配备方案；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12.2.11《类似业绩一览表》（格式见第三章）；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12.2.12磋商供应商证明其为合格磋商供应商及评分标准中涉及的证书、证明、文件等资料。</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注：供应商应提交以上12.1.1-12.2.8条完整响应文件。否则，响应文件将因资格条件不符或未实质响应磋商文件而被拒绝。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响应文件由12.1、12.2款规定的内容共同组成。</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电子响应文件编制及提交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13.4投标（响应）文件制作完成后导出投标（响应）文件，在“参与详情”页面上传已制作完成的投标（响应）文件。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13.5投标（响应）文件提交后，供应商可通过模拟解密操作检测投标（响应）文件是否可以正常解密。</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13.6</w:t>
      </w:r>
      <w:r>
        <w:rPr>
          <w:rFonts w:ascii="SimSun" w:hAnsi="SimSun" w:eastAsia="SimSun" w:cs="SimSun"/>
          <w:b/>
          <w:color w:val="000000"/>
          <w:sz w:val="24"/>
          <w:u w:val="single"/>
        </w:rPr>
        <w:t xml:space="preserve">因本章“12.响应文件的组成及要求”要求的中小企业声明函、残疾人福利性单位声明函要求的文件需在成交公告时对外公示，故磋商供应商如涉及需要提供“12.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除非合同中另有规定，磋商供应商对《响应报价表》中的报价应包括但不限于完成本项目所需全部费用，我们的报价包括保养期间劳务、相应的人身安全保险、事故赔偿及所需的附属工程、临时工程、开办费、技术措施费、风险费、材料、机械设备、安装、维护、利润、税金及政策性文件规定费用等一切费用，报价中还包括耗材、劳保、各种税费及政策性文件规定及合同包含的所有风险、责任等各项应有费用。我们接受除非合同条款中另有规定，否则合同价格在合同实施期间不因市场因素、政策规定变更因素等任何因素调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14.2磋商报价编制要求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14.2.1根据提供的磋商文件及有关资料单独编制相关的磋商报价并汇总填入《响应报价表》；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14.3磋商供应商应按《响应报价表》中的全部服务计算单价和总价。《响应报价表》中的每一单项均应计算并填写单价和总价。如发现响应报价中有错算现象，一旦成交，供应商自行承担错算这部分的经济损失。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磋商供应商应对磋商文件内所要采购的全部内容进行报价，只响应其中部分内容者，其响应文件将被拒绝。但如果磋商文件要求分标段磋商的，则磋商供应商可以有选择地只响应其中一个或几个标段，也可以投全部标段，但各标段应分别计算填写单价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14.5一项内容只允许一个报价，采购人不接受任何有选择性的报价。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14.6响应文件报价中的单价和总价全部采用人民币表示，除非合同的特殊条款另有规定。</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磋商保证金（本项目无需提交磋商保证金，本磋商文件内磋商保证金相关规定均不适用）。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响应文件的有效期</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16.1响应文件的有效期见前附表，在此期间内，响应文件应保持有效。有效期短于这个规定期限的响应，将被拒绝。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响应文件的标记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17.1磋商供应商应根据《苏采云系统供应商操作手册》进行操作。制作电子投标文件时必须与投标文件制作软件目录一一对应，将相关资料上传至相应模块。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18.1电子响应文件按照制作要求在响应文件提交截止时间前上传系统提交。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18.2磋商供应商应当在磋商文件要求的截止时间前，将响应文件上传系统，未按要求线上递交电子响应文件，采购人、采购代理机构或者磋商小组应当拒收。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18.3在响应文件截止时间止采购人收到的响应文件递交份数少于三份，采购人有权宣布本次采购失败。</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响应文件的修改和撤回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19.1磋商供应商在提交响应文件后可在系统中对其响应文件进行修改或撤销。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开启后磋商供应商不得撤回响应文件。</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磋商程序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20.2线上参加（观看）开标会方式：苏州市政府采购网点击“苏采云”进入交易系统，点击“开标大厅-我的项目”，找到对应项目进行线上参加（观看）。</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20.3开标时，供应商的响应文件须在供应商解密环节进行解密，在解密时长倒计时结束前，供应商需解密完成，否则视为放弃本次投标（磋商）。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20.5开评审结果在磋商结束后，供应商通过邮件进行咨询，未通过相关途径进行询问导致的对供应商不利的后果由供应商自行承担。</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评审中需要供应商进行澄清的通知会通过苏采云系统发出，供应商应及时登录采购系统查看澄清要求并在规定的时间内按要求进行线上答复，否则视为未实质性响应。</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20.10经磋商确定最终采购需求和提交最后报价的供应商后，由磋商小组采用综合评分法对提交最后报价的供应商的响应文件和最后报价进行综合评分。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（3）投标报价低于采购项目预算50%的，即投标报价＜采购项目预算×50%；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成本测算、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20.12经磋商确定最终采购需求和提交最后报价的供应商后，由磋商小组采用综合评分法对提交最后报价的供应商的响应文件和最后报价进行综合评分。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20.13由于开标现场监控传输路径与开标信息传输路径不同，会造成网页显示时间与监控图像显示时间不同。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20.14技术支持</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磋商小组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21.1磋商小组由采购人依法组建，由采购人代表、专家评委组成。</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21.2磋商小组与参加采购活动的供应商存在下列利害关系之一的，应当回避：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21.3磋商小组负责具体的磋商事务，并独立履行以下职责：</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21.3.1审查响应文件是否符合磋商采购文件的要求，并作出评价；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21.3.2可以要求磋商供应商对响应文件有关事项作出解释或澄清；</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21.3.3推荐成交候选磋商供应商名单；</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21.3.4向采购人或者有关部门报告非法干预磋商工作的行为。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21.4磋商小组成员应当履行下列义务：</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21.4.1遵纪守法，客观、公正、廉洁地履行职责；</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21.4.2按照磋商采购文件规定的评审办法和评分标准进行评审，对评审意见承担个人责任；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21.4.3对磋商过程和结果，以及磋商供应商的商业秘密保密；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21.4.4参与评审报告的起草；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21.4.5配合相关部门的投诉处理工作；</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21.4.6配合采购人答复磋商供应商提出的质疑。</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评审内容的保密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22.1磋商开始后，直到宣布授予成交单位合同为止，凡属于审查、澄清、评价和比较响应文件的所有资料，有关授予合同的信息都不应向磋商供应商或与评审无关的其他人泄露。</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22.2在响应文件的审查、澄清、评价和比较以及授予合同的过程中，磋商供应商对采购人和磋商小组施加影响的任何行为，都将取消其成交资格。</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22.3在评审期间，采购人将通过指定联络人与磋商供应商进行联系。</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 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23.1.8 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23.1.9不同供应商的“机器码一致”的情形；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23.1.10供应商所投标产品不符合招标文件中所列国家强制性标准的；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23.1.11其他被磋商小组认定无效的情况。</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23.3.4磋商供应商不同意以上修正，则其响应文件将被拒绝。</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24．项目的终止</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24.1.2出现影响采购公正的违法、违规行为的；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24.1.3实质性响应磋商文件不满三家或进入二次报价的不满三家或二次报价在采购预算内不满三家的。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响应文件的评价和比较</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25.1磋商小组将仅对按照本须知有关规定确定为实质性响应磋商采购文件要求的响应文件进行评价和比较。</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25.2.1磋商供应商的资信情况和履约能力；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25.2.2磋商供应商提供的其他优惠条件；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25.2.3磋商供应商的实施方案；</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25.3评标委员会各成员独立对每个进入合格性评审程序的磋商供应商的响应文件按评审办法进行评审和评价。</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成交单位的确认</w:t>
      </w:r>
      <w:r/>
    </w:p>
    <w:p>
      <w:pPr>
        <w:ind w:left="0" w:right="0" w:firstLine="5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26.1</w:t>
      </w:r>
      <w:r>
        <w:rPr>
          <w:rFonts w:ascii="SimSun" w:hAnsi="SimSun" w:eastAsia="SimSun" w:cs="SimSun"/>
          <w:color w:val="000000"/>
          <w:sz w:val="24"/>
        </w:rPr>
        <w:t xml:space="preserve">磋商小组根据本文件规定的成交原则，在响应文件满足磋商文件全部实质性要求且按评审因素的量化指标评审得分最高到低的前三名的磋商供应商为成交候选供应商。采购人授权磋商小组选择排名第一的为成交供应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26.2确定成交供应商后，磋商采购单位将在规定的时间内将成交结果在相关媒体上予以公告。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合同授予标准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28.3磋商采购单位对未成交供应商不承担解释未成交原因的义务。</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29.1发出成交通知书。在发布成交公告的同时，向成交磋商供应商发出成交通知书。</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合同的签订</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30.1成交单位应按规定的时间和地点，由法定代表人或代理人与甲方代表签订合同。否则按放弃处理。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30.2签订合同及合同条款应以磋商采购文件和成交单位的响应文件及其澄清文件为依据。</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30.3本项目各单项报价二次报价中未明确的，按照磋商总价（最终报价）/第一次总价*响应文件中列明单价（第一次）执行。</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31.代理服务费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31.1成交单位须按前附表的规定计算并支付服务费，该费用应在领取成交通知书时向采购代理机构一次性付清。</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31.2成交单位如果未按规定缴纳服务费，磋商采购单位将保留诉讼的权利。</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32.5质疑联系方式详见前附表。</w:t>
      </w:r>
      <w:r/>
    </w:p>
    <w:p>
      <w:pPr>
        <w:numPr>
          <w:ilvl w:val="0"/>
          <w:numId w:val="7"/>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33.1关于节能环保产品政府采购要求：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33.2针对中小型企业的评审：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在政府采购活动中，供应商提供的服务符合下列情形的，享受《政府采购促进中小企业发展管理办法》规定的中小企业扶持政策：在服务项目中，项目由中小微企业承接。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根据《政府采购促进中小企业发展管理办法》（财库〔2020〕46号）及《中小企业划型标准规定》（工信部联企业〔2011〕300号），本采购项目对应的中小企业划分标准所属行业为：租赁和商务服务业。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34.3实施本国产品标准及相关政策</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本项目是服务类项目，不涉及相关要求。</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34.3.3本项目政府采购活动中既有本国产品又有非本国产品参与竞争的，依法对本国产品给予价格评审优惠，对本国产品的报价给予20%的价格扣除，用扣除后的价格参与评审。</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34.3.4供应商需按照招标文件的要求提供《关于符合本国产品标准的声明函》（以下简称《声明函》）或财政部会同有关部门规定的有关证明文件的，如不提供或提供不符要求的将不享受本国产品价格评审优惠。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4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第三章 响应文件格式</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1、（供应方）法定代表人授权委托书</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1"/>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w:t>
      </w:r>
      <w:r>
        <w:rPr>
          <w:rFonts w:ascii="SimSun" w:hAnsi="SimSun" w:eastAsia="SimSun" w:cs="SimSun"/>
          <w:color w:val="000000"/>
          <w:sz w:val="24"/>
          <w:u w:val="single"/>
        </w:rPr>
        <w:t xml:space="preserve">       </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JSZC-320507-PMJS-C2026-0023 </w:t>
      </w:r>
      <w:r>
        <w:rPr>
          <w:rFonts w:ascii="SimSun" w:hAnsi="SimSun" w:eastAsia="SimSun" w:cs="SimSun"/>
          <w:color w:val="000000"/>
          <w:sz w:val="24"/>
        </w:rPr>
        <w:t xml:space="preserve">号的磋商活动。授权代表在磋商活动过程中所签署的一切文件和处理与这有关的一切事务，我均予以承认。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2、响应函</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响应函</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我们收到贵公司号磋商文件，经仔细阅读和研究，我们决定参加磋商活动。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1、我们愿意按照磋商文件的一切要求，完成该项目的全部内容。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2、如果我们的磋商响应文件被接受，我们将严格履行磋商文件中规定的每一项要求，按期、按质、按量履行合同的义务。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3、我们已详细阅读全部磋商文件，包括更正公告(如有)，对磋商文件及更正公告(如有)无任何异议。我们完全理解并同意放弃对这方面有不明及误解的权力。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4、我们同意按磋商文件中的规定，本响应文件的有效期限自提交响应文件截止时间之日起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5、我们愿意提供磋商采购单位在磋商文件中要求的所有资料。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6、我们愿意遵守磋商文件中所列的收费标准。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7、我们承诺该响应文件在磋商开始后的全过程中保持有效，不作任何更改和变动。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8、我们承诺我公司符合磋商文件供应商须知中“合格供应商的基本、特定条件”的要求，若与真实情况不符，本公司愿意承担由此而产生的一切后果。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所有有关响应文件的函电，可按下列地址联系：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电子邮箱：</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日期:   年　　月　　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3、响应报价表</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响应报价表</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2249"/>
        <w:gridCol w:w="2647"/>
        <w:gridCol w:w="1591"/>
        <w:gridCol w:w="2164"/>
      </w:tblGrid>
      <w:tr>
        <w:trPr>
          <w:trHeight w:val="7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21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响应总价：大写    （小写：   元）</w:t>
            </w:r>
            <w:r/>
          </w:p>
        </w:tc>
      </w:tr>
      <w:tr>
        <w:trPr>
          <w:trHeight w:val="86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中型企业（  ） 小型企业（  ）  微型企业（  ）监狱企业 （  ） 残疾人福利性企业(   )</w:t>
            </w:r>
            <w:r/>
          </w:p>
        </w:tc>
      </w:tr>
    </w:tbl>
    <w:p>
      <w:pPr>
        <w:ind w:left="0" w:right="-359" w:firstLine="480"/>
        <w:jc w:val="both"/>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注：分项报价表与响应报价表不一致，以响应报价表为准。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_____________</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1"/>
        <w:gridCol w:w="1140"/>
        <w:gridCol w:w="823"/>
        <w:gridCol w:w="1744"/>
        <w:gridCol w:w="3603"/>
        <w:gridCol w:w="1153"/>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综合单价（元/人*月）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响应总价（人数×综合单价×</w:t>
            </w:r>
            <w:r>
              <w:rPr>
                <w:rFonts w:ascii="SimSun" w:hAnsi="SimSun" w:eastAsia="SimSun" w:cs="SimSun"/>
                <w:color w:val="000000"/>
                <w:sz w:val="24"/>
                <w:u w:val="single"/>
              </w:rPr>
              <w:t xml:space="preserve">   </w:t>
            </w:r>
            <w:r>
              <w:rPr>
                <w:rFonts w:ascii="SimSun" w:hAnsi="SimSun" w:eastAsia="SimSun" w:cs="SimSun"/>
                <w:color w:val="000000"/>
                <w:sz w:val="24"/>
              </w:rPr>
              <w:t xml:space="preserve">个月）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2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42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42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_____________</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7"/>
        <w:gridCol w:w="2117"/>
        <w:gridCol w:w="1780"/>
        <w:gridCol w:w="733"/>
        <w:gridCol w:w="687"/>
        <w:gridCol w:w="667"/>
        <w:gridCol w:w="679"/>
        <w:gridCol w:w="734"/>
        <w:gridCol w:w="889"/>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人工成本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通讯巡检器材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清洁易耗品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w:t>
            </w:r>
            <w:r/>
          </w:p>
        </w:tc>
      </w:tr>
    </w:tbl>
    <w:p>
      <w:pPr>
        <w:ind w:left="0" w:right="42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42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42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1.报价表包含投标单位各项成本核算和投入的成本明细，分项报价（一）和分项报价（二）中的合计金额都应与响应报价表金额一致；否则，以响应报价表为准。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2、凡涉及到的费用应按劳动法规定执行。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3、本项目人员的月工资标准不得</w:t>
      </w:r>
      <w:r>
        <w:rPr>
          <w:rFonts w:ascii="SimSun" w:hAnsi="SimSun" w:eastAsia="SimSun" w:cs="SimSun"/>
          <w:b/>
          <w:color w:val="000000"/>
          <w:sz w:val="24"/>
        </w:rPr>
        <w:t xml:space="preserve">低于</w:t>
      </w:r>
      <w:r>
        <w:rPr>
          <w:rFonts w:ascii="SimSun" w:hAnsi="SimSun" w:eastAsia="SimSun" w:cs="SimSun"/>
          <w:color w:val="000000"/>
          <w:sz w:val="24"/>
        </w:rPr>
        <w:t xml:space="preserve">苏州市最低工资标准要求，并按我国《劳动合同法》要求签订劳动合同。</w:t>
      </w:r>
      <w:r>
        <w:rPr>
          <w:rFonts w:ascii="SimSun" w:hAnsi="SimSun" w:eastAsia="SimSun" w:cs="SimSun"/>
          <w:b/>
          <w:color w:val="000000"/>
          <w:sz w:val="24"/>
        </w:rPr>
        <w:t xml:space="preserve">遇到法律法规规定的最低工资调整，其中人工费用相应浮动，由供应商自行承担。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4、本项目所有人员须按国家规定缴纳员工的社会保险。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5、分项报价条目举例如下：劳保、损耗、人工、办公设备、服装、通讯器材、巡检器材、税金、维护、利润等各项费用等等，条目可自行添加或删除。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6、如投标文件报价未按上述2-5项规定要求的，投标文件无效。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7、若事项较多，供应商可根据实际情况另纸说明。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5、人员配备一览表</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）人员配备一览表</w:t>
      </w:r>
      <w:r/>
    </w:p>
    <w:p>
      <w:pPr>
        <w:ind w:left="0" w:right="0" w:firstLine="211"/>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1667"/>
        <w:gridCol w:w="679"/>
        <w:gridCol w:w="772"/>
        <w:gridCol w:w="757"/>
        <w:gridCol w:w="1837"/>
        <w:gridCol w:w="1514"/>
        <w:gridCol w:w="791"/>
        <w:gridCol w:w="791"/>
      </w:tblGrid>
      <w:tr>
        <w:trPr>
          <w:trHeight w:val="11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在本项目中负责的岗位（按照采购要求填写）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资质及从业资历(按照采购要求填写是否满足)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资质证书名称、等级、编号等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240" w:after="6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）拟投入本项目的负责人简历表</w:t>
      </w:r>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 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  要  经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420" w:right="0" w:firstLine="0"/>
        <w:jc w:val="both"/>
        <w:spacing w:before="260" w:after="12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6、类似业绩一览表</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类似业绩一览表</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1"/>
        <w:gridCol w:w="1916"/>
        <w:gridCol w:w="1750"/>
        <w:gridCol w:w="1750"/>
        <w:gridCol w:w="1395"/>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7、</w:t>
      </w:r>
      <w:r>
        <w:rPr>
          <w:rFonts w:ascii="SimSun" w:hAnsi="SimSun" w:eastAsia="SimSun" w:cs="SimSun"/>
          <w:b/>
          <w:color w:val="000000"/>
          <w:sz w:val="24"/>
        </w:rPr>
        <w:t xml:space="preserve">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00"/>
        <w:gridCol w:w="1620"/>
        <w:gridCol w:w="1440"/>
        <w:gridCol w:w="1699"/>
        <w:gridCol w:w="175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注：1、磋商响应单位应对照竞争性磋商文件技术要求等要求，所响应标的物与竞争性磋商文件的规定有偏离的，应在此表中申明与技术要求条文的偏差和例外。</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竞争性磋商文件的规定。但该表不作为磋商响应单位对所响应标的物关于服务要求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2479"/>
        <w:gridCol w:w="2650"/>
        <w:gridCol w:w="2362"/>
        <w:gridCol w:w="116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单位的磋商响应文件（除服务要求部分）与竞争性磋商文件规定的有偏离的，应在此表中说明。未在上表中说明的，如在响应文件其他内容中已有文字说明的，则以已有文字说明为准，否则，将被认为完全响应竞争性磋商文件的规定。但该表不作为磋商响应单位对所投标服务关于商务条款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340" w:after="120" w:line="880" w:lineRule="atLeast"/>
        <w:rPr>
          <w:rFonts w:ascii="Times New Roman" w:hAnsi="Times New Roman" w:eastAsia="Times New Roman" w:cs="Times New Roma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340" w:after="120" w:line="8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highlight w:val="none"/>
        </w:rPr>
      </w:r>
      <w:r>
        <w:rPr>
          <w:rFonts w:ascii="Times New Roman" w:hAnsi="Times New Roman" w:eastAsia="Times New Roman" w:cs="Times New Roman"/>
          <w:b/>
          <w:color w:val="000000"/>
          <w:sz w:val="44"/>
          <w:highlight w:val="none"/>
        </w:rP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8、资格证明文件</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号的磋商采购活动进行响应。本公司所提交的响应文件中所有关于磋商资格的文件、证明和陈述均是真实的、准确的。若与真实情况不符，本公司愿意承担由此而产生的一切后果。</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(2)、磋商供应商情况表</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10"/>
        <w:gridCol w:w="2005"/>
        <w:gridCol w:w="1461"/>
        <w:gridCol w:w="2056"/>
        <w:gridCol w:w="12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17"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bl>
    <w:p>
      <w:pPr>
        <w:ind w:left="0" w:right="0" w:firstLine="241"/>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520" w:right="0" w:firstLine="26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p>
    <w:p>
      <w:pPr>
        <w:pStyle w:val="849"/>
        <w:ind w:left="0" w:right="0" w:firstLine="241"/>
        <w:jc w:val="both"/>
        <w:spacing w:before="120" w:after="12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 </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租赁和商务服务业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60"/>
        <w:jc w:val="both"/>
        <w:spacing w:before="0" w:after="0"/>
        <w:rPr>
          <w:rFonts w:ascii="Times New Roman" w:hAnsi="Times New Roman" w:eastAsia="Times New Roman" w:cs="Times New Roman"/>
          <w:color w:val="000000"/>
          <w:sz w:val="26"/>
          <w:szCs w:val="2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
    </w:p>
    <w:p>
      <w:pPr>
        <w:ind w:left="0" w:right="0" w:firstLine="260"/>
        <w:jc w:val="both"/>
        <w:spacing w:before="0" w:after="0"/>
        <w:pBdr>
          <w:top w:val="none" w:color="000000" w:sz="4" w:space="0"/>
          <w:left w:val="none" w:color="000000" w:sz="4" w:space="0"/>
          <w:bottom w:val="none" w:color="000000" w:sz="4" w:space="0"/>
          <w:right w:val="none" w:color="000000" w:sz="4" w:space="0"/>
        </w:pBdr>
      </w:pPr>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highlight w:val="none"/>
        </w:rPr>
      </w:r>
      <w:r>
        <w:rPr>
          <w:rFonts w:ascii="Times New Roman" w:hAnsi="Times New Roman" w:eastAsia="Times New Roman" w:cs="Times New Roman"/>
          <w:color w:val="000000"/>
          <w:sz w:val="26"/>
          <w:highlight w:val="none"/>
        </w:rPr>
      </w:r>
    </w:p>
    <w:p>
      <w:pPr>
        <w:ind w:left="0" w:right="0" w:firstLine="2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10、残疾人福利性单位声明函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郑重声明，根据《财政部民政部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本单位对上述声明的真实性负责。如有虚假，将依法承担相应责任。</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w:t>
      </w:r>
      <w:r>
        <w:rPr>
          <w:rFonts w:ascii="SimSun" w:hAnsi="SimSun" w:eastAsia="SimSun" w:cs="SimSun"/>
          <w:b/>
          <w:color w:val="000000"/>
          <w:sz w:val="26"/>
          <w:u w:val="single"/>
        </w:rPr>
        <w:t xml:space="preserve">残疾人福利性单位声明函</w:t>
      </w:r>
      <w:r>
        <w:rPr>
          <w:rFonts w:ascii="SimSun" w:hAnsi="SimSun" w:eastAsia="SimSun" w:cs="SimSun"/>
          <w:b/>
          <w:color w:val="000000"/>
          <w:sz w:val="24"/>
          <w:u w:val="single"/>
        </w:rPr>
        <w:t xml:space="preserve">须加盖有公章的彩色扫描件上传至电子投标文件中（如属于）。否则不可享受相应扶持政策。</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pStyle w:val="84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 </w:t>
      </w:r>
      <w:r/>
    </w:p>
    <w:p>
      <w:pPr>
        <w:pStyle w:val="84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84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84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84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磋商采购内容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w:t>
      </w:r>
      <w:r>
        <w:rPr>
          <w:rFonts w:ascii="SimSun" w:hAnsi="SimSun" w:eastAsia="SimSun" w:cs="SimSun"/>
          <w:color w:val="000000"/>
          <w:sz w:val="24"/>
          <w:u w:val="single"/>
        </w:rPr>
        <w:t xml:space="preserve">苏州市相城区渭塘镇人民政府</w:t>
      </w:r>
      <w:r>
        <w:rPr>
          <w:rFonts w:ascii="SimSun" w:hAnsi="SimSun" w:eastAsia="SimSun" w:cs="SimSun"/>
          <w:color w:val="000000"/>
          <w:sz w:val="24"/>
        </w:rPr>
        <w:t xml:space="preserve">的委托，就其所需的</w:t>
      </w:r>
      <w:r>
        <w:rPr>
          <w:rFonts w:ascii="SimSun" w:hAnsi="SimSun" w:eastAsia="SimSun" w:cs="SimSun"/>
          <w:color w:val="000000"/>
          <w:sz w:val="24"/>
          <w:u w:val="single"/>
        </w:rPr>
        <w:t xml:space="preserve">2026-2027年度渭塘镇公办学校校园保安服务项目</w:t>
      </w:r>
      <w:r>
        <w:rPr>
          <w:rFonts w:ascii="SimSun" w:hAnsi="SimSun" w:eastAsia="SimSun" w:cs="SimSun"/>
          <w:color w:val="000000"/>
          <w:sz w:val="24"/>
        </w:rPr>
        <w:t xml:space="preserve">采用竞争性磋商方式进行采购，欢迎有资格的磋商供应商前来参加本次磋商采购。</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JSZC-320507-PMJS-C2026-0023</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二、采购内容及要求：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（一）人员配置情况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接全镇公办中小学（幼儿园）安保服务项目，包含渭塘中学、渭塘实验小学、渭塘中心幼儿园、渭塘中心幼儿园（南园）、珍珠湖幼儿园、珍珠湖小学、渭塘中学（市民健身开放区），共安排保安员44人（含保安队长1人）。另需配备项目负责人1人进行统筹协调管理不支付任何费用。</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9"/>
        <w:gridCol w:w="3778"/>
        <w:gridCol w:w="2568"/>
        <w:gridCol w:w="1770"/>
      </w:tblGrid>
      <w:tr>
        <w:trP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学校名称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校门数/个</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渭塘中学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渭塘实验小学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渭塘中心幼儿园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渭塘中心幼儿园（南园）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珍珠湖小学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珍珠湖幼儿园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渭塘中学（市民健身开放区）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（二）服务人员要求：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1.保安人员要求：</w:t>
      </w:r>
      <w:r>
        <w:rPr>
          <w:rFonts w:ascii="SimSun" w:hAnsi="SimSun" w:eastAsia="SimSun" w:cs="SimSun"/>
          <w:b/>
          <w:color w:val="000000"/>
          <w:sz w:val="24"/>
        </w:rPr>
        <w:t xml:space="preserve">保安员:年龄原则上50周岁（含）或以下，在本项目工作满5年的男性保安年龄适当放宽到55周岁（含）或以下。</w:t>
      </w:r>
      <w:r>
        <w:rPr>
          <w:rFonts w:ascii="SimSun" w:hAnsi="SimSun" w:eastAsia="SimSun" w:cs="SimSun"/>
          <w:color w:val="000000"/>
          <w:sz w:val="24"/>
        </w:rPr>
        <w:t xml:space="preserve">项目负责人应具有专业的治安、消防安全、应急救援等方面的知识和能力，能指导员工开展各类安全管理和培训。</w:t>
      </w:r>
      <w:r>
        <w:rPr>
          <w:rFonts w:ascii="SimSun" w:hAnsi="SimSun" w:eastAsia="SimSun" w:cs="SimSun"/>
          <w:b/>
          <w:color w:val="000000"/>
          <w:sz w:val="24"/>
        </w:rPr>
        <w:t xml:space="preserve">保安人员上岗前应具有公安部门颁发的保安员证。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2.提供本校24小时安全保卫工作(上学放学高峰时段必须保证双人双岗)。</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（三）具体岗位及工作内容要求如下表：</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3"/>
        <w:gridCol w:w="934"/>
        <w:gridCol w:w="1046"/>
        <w:gridCol w:w="6712"/>
      </w:tblGrid>
      <w:tr>
        <w:trPr>
          <w:trHeight w:val="11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岗位责任</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校区门岗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日间高峰时间段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1、到岗并负责维护秩序及安全保卫工作。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2、禁止任何外来车辆进入校区。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3、配合交警部门共同管理校门口的机动车与非机动车的停靠，切实维护好高峰时段校区门口的交通安全。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4、严格禁止非校内人员在高峰时段内混入校园，一律按照校方要求对进入人员进行查证放行。</w:t>
            </w:r>
            <w:r/>
          </w:p>
        </w:tc>
      </w:tr>
      <w:tr>
        <w:trPr>
          <w:trHeight w:val="41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日间非高峰时段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1、做好人员及车辆的出入登记确认工作并及时做好相关记录。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2、任何外来人员从学校内携带物资出门，应出具校方的《物品放行单》，经保安人员查验后方可放行出校。严格禁止小商、小贩进入校园向师生推销商品。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3、认真做好学校信件、报刊等相关物品的登记、保管、发放工作。学校放假期间要杜绝无关人员入校。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4、做好岗位值班记录，门岗交接时要进行巡查，发现问题及时处理，汇报领导并做好记录。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5、对各项周界、监控、报警、门禁等安保设施进行日常管理，发现可疑及时处理。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6、每天书信、报刊分发，快件邮包的签收；门卫室内部及门前三包责任区内的卫生；学校安排的其它门卫保安事项。</w:t>
            </w:r>
            <w:r/>
          </w:p>
        </w:tc>
      </w:tr>
      <w:tr>
        <w:trPr>
          <w:trHeight w:val="2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1、负责校区内出入口及周边地区的治安管理工作。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2、按时上岗，仔细阅读上一班的执勤记录，了解处理前一班未解决事项。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3、严格按照规定控制管辖区人员进出，阻止未经批准的外来人员进入管辖区。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4、负责监控室的安保监控及消防监测设备的监视工作。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5、利用监控设备，对安保管辖区内各地点情况进行监控以及护卫工作情况进行监控检查。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6、保持消防控制室的环境卫生，禁止无关人员操作设施设备。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7、严格执行系统操作程序，认真做好值班记录。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8、认真处理各类报警，重大问题及时向领导报告。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9、发现异常情况和可疑人员及时上报，并通知相应保安队员到现场查看。</w:t>
            </w:r>
            <w:r/>
          </w:p>
        </w:tc>
      </w:tr>
      <w:tr>
        <w:trPr>
          <w:trHeight w:val="11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校内巡逻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日间高峰时间段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1、指导和管理校区内的机动车与非机动车的规范停放。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2、严格控制车辆在校区内的行驶速度与行车规范，防止事故发生。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3、对校区的重点区域进行巡查，杜绝偷盗或人为恶意破坏的情况发生。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4、对学校周边环境予以密切关注与监控。</w:t>
            </w:r>
            <w:r/>
          </w:p>
        </w:tc>
      </w:tr>
      <w:tr>
        <w:trPr>
          <w:trHeight w:val="37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日间非高峰时段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1、经常检查校内设施设备的安全情况，避免人为的偷盗、破坏和污染，对有不安全因素的设施要立即通过当值领班上报校方。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2、经常检查校园内各个消防设备设施，切实保障校区内的消防安全工作，发现问题及时通过领班上报校方。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3、对校区的重点区域进行巡查，杜绝偷盗或人为恶意破坏的情况发生。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4、对学校周边环境予以密切关注与监控。</w:t>
            </w:r>
            <w:r/>
          </w:p>
        </w:tc>
      </w:tr>
      <w:tr>
        <w:trPr>
          <w:trHeight w:val="211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夜班巡逻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1、夜班要及时到岗按时交接，不迟到，不早退，每日交接必须巡查，重点检查各部室的门窗是否关闭，电源、火源是否切断。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2、发现滞留在校区内的师生要积极劝导其尽快离开校区，以避免安全事故发生。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3、对校区的重点区域进行巡查，杜绝偷盗或人为恶意破坏的情况发生。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4、当班期间保安队员不得酗酒、睡觉、娱乐、脱岗，要加强巡视，发现问题及时处理并上报项目负责人后，根据情况上报校方。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5、夜间保安人员职责范围：防火、防盗、防水、防破坏，检查并保护学校水、电等相关设施。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6、当班期间要加强巡查电源、火源、水源，熟知水电阀门的位置，发现险情及时处理并上报领导。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7、校区夜间严格杜绝无关人员及车辆进入校园。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8、认真做好值班与交接记录以防责任不清。</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（三）各岗位职责：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1.保安员岗位职责：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（1）严格遵守并执行公司制度的各项规章制度。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（2）注意仪容仪表，并做到严肃礼貌，尊重领导、尊敬他人，爱岗敬业，见到校方领导必须敬礼。同事之间相互尊重、团结友爱、互帮互助。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（3）当班期间，不得擅离职守、串岗、不得与他人闲聊，禁止吸烟、喝酒，禁止吃零食，不做与工作无关的事情，禁止任何理由使用玩手机。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（4）落实各项安全保卫责任制度，对各种可能发生的事件进行积极地防范，维护校区正常的教学与办公秩序。为校方创造安全、可靠的 工作办公环境。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（5）切实做好校区内各设施设备的监管与管理，做好记录归档，并对设备设施的损坏情况及时向上汇报。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（6）切实做好钥匙管理与管控，定期检查各门锁的状况，做到认真记录，对门锁损坏情况及时向上汇报。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（7）切实做好进出校区的车辆管理与控制，做到出入有序。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（8）针对校区内的各种活动和会议，采取相应的安全保卫措施，并积极配合其他有关部门做好各项安保工作。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（9）认真做好校区内的巡逻工作，对各个区域内的校区资产和设备设施进行监管，妥善处理突发事件，并在工作值班日志内详细记录，并及时向上汇报。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（10）定期开展安全检查，及时发现安全隐患，发现问题及时处理，并积极配合各相关部门工作，切实做到防范于未然。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（11）做好校区的日常安全保卫工作，对来访人员、车辆进行登记换证，禁止闲杂人员混入校区，防止校区的财物流失。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2.管理人员工作职责：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（1）保安队长工作职责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1</w:t>
      </w:r>
      <w:r>
        <w:rPr>
          <w:rFonts w:ascii="SimSun" w:hAnsi="SimSun" w:eastAsia="SimSun" w:cs="SimSun"/>
          <w:color w:val="000000"/>
          <w:sz w:val="24"/>
        </w:rPr>
        <w:t xml:space="preserve">落实各项安全保卫责任制，负责组织全组人员对各种可能发生的事件实施积极防范，以维护校区正常的运转次序，为校方创造安全、可靠的教学和办公环境。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2</w:t>
      </w:r>
      <w:r>
        <w:rPr>
          <w:rFonts w:ascii="SimSun" w:hAnsi="SimSun" w:eastAsia="SimSun" w:cs="SimSun"/>
          <w:color w:val="000000"/>
          <w:sz w:val="24"/>
        </w:rPr>
        <w:t xml:space="preserve">负责管理校园各区域的门岗守卫、区域治安巡逻、消防管理、车辆出入管理等安保工作，并处理好各类应急性、临时性、紧急性安保情况。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3</w:t>
      </w:r>
      <w:r>
        <w:rPr>
          <w:rFonts w:ascii="SimSun" w:hAnsi="SimSun" w:eastAsia="SimSun" w:cs="SimSun"/>
          <w:color w:val="000000"/>
          <w:sz w:val="24"/>
        </w:rPr>
        <w:t xml:space="preserve">检查督导保安队员的日常工作情况，查阅各班组、各岗位的值班台帐，并将本部门的工作情况整理汇总报项目负责人批阅。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4</w:t>
      </w:r>
      <w:r>
        <w:rPr>
          <w:rFonts w:ascii="SimSun" w:hAnsi="SimSun" w:eastAsia="SimSun" w:cs="SimSun"/>
          <w:color w:val="000000"/>
          <w:sz w:val="24"/>
        </w:rPr>
        <w:t xml:space="preserve">抓好保安队伍的业务培训，加强保安队员应对突发情况的处理能力，并对班组队员进行考核。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5</w:t>
      </w:r>
      <w:r>
        <w:rPr>
          <w:rFonts w:ascii="SimSun" w:hAnsi="SimSun" w:eastAsia="SimSun" w:cs="SimSun"/>
          <w:color w:val="000000"/>
          <w:sz w:val="24"/>
        </w:rPr>
        <w:t xml:space="preserve">定期组织安全检查，及时发现事故隐患。发现问题及时处理，重大事项上报项目负责人。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6</w:t>
      </w:r>
      <w:r>
        <w:rPr>
          <w:rFonts w:ascii="SimSun" w:hAnsi="SimSun" w:eastAsia="SimSun" w:cs="SimSun"/>
          <w:color w:val="000000"/>
          <w:sz w:val="24"/>
        </w:rPr>
        <w:t xml:space="preserve">负责做好校园的消防安全工作，建立并实施完善的消防管理制度，保障消防系统24小时的正常运行、做好消防设备和器材的日常维护和检修工作。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（2）项目负责人巡检职责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1</w:t>
      </w:r>
      <w:r>
        <w:rPr>
          <w:rFonts w:ascii="SimSun" w:hAnsi="SimSun" w:eastAsia="SimSun" w:cs="SimSun"/>
          <w:color w:val="000000"/>
          <w:sz w:val="24"/>
        </w:rPr>
        <w:t xml:space="preserve">定期与不定期的对本项目进行岗位抽查巡检工作，对本校区的保安队员的工作情况进行检查，发现问题及时处理、更正，提高保安服务质量。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2</w:t>
      </w:r>
      <w:r>
        <w:rPr>
          <w:rFonts w:ascii="SimSun" w:hAnsi="SimSun" w:eastAsia="SimSun" w:cs="SimSun"/>
          <w:color w:val="000000"/>
          <w:sz w:val="24"/>
        </w:rPr>
        <w:t xml:space="preserve">针对重点校园、重点区域定期开展检查工作，发现安全隐患及时通知校方有关领导，并与校方共同将隐患排除，避免事故发生。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3</w:t>
      </w:r>
      <w:r>
        <w:rPr>
          <w:rFonts w:ascii="SimSun" w:hAnsi="SimSun" w:eastAsia="SimSun" w:cs="SimSun"/>
          <w:color w:val="000000"/>
          <w:sz w:val="24"/>
        </w:rPr>
        <w:t xml:space="preserve">对校区的夜班执勤情况进行不定期的抽查，严格杜绝夜班保安队员工作质量差、睡岗、脱岗等违纪现象发生，切实保障夜间学校的财产、设施、设备的安全，提高保安服务工作的质量。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4</w:t>
      </w:r>
      <w:r>
        <w:rPr>
          <w:rFonts w:ascii="SimSun" w:hAnsi="SimSun" w:eastAsia="SimSun" w:cs="SimSun"/>
          <w:color w:val="000000"/>
          <w:sz w:val="24"/>
        </w:rPr>
        <w:t xml:space="preserve">每周对本校区的白天、夜间的工作情况抽查，每周不低于2次。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5</w:t>
      </w:r>
      <w:r>
        <w:rPr>
          <w:rFonts w:ascii="SimSun" w:hAnsi="SimSun" w:eastAsia="SimSun" w:cs="SimSun"/>
          <w:color w:val="000000"/>
          <w:sz w:val="24"/>
        </w:rPr>
        <w:t xml:space="preserve">接受由公司质检部门组织的对本校区保安工作质量进行的抽查，每月不低于2次。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6</w:t>
      </w:r>
      <w:r>
        <w:rPr>
          <w:rFonts w:ascii="SimSun" w:hAnsi="SimSun" w:eastAsia="SimSun" w:cs="SimSun"/>
          <w:color w:val="000000"/>
          <w:sz w:val="24"/>
        </w:rPr>
        <w:t xml:space="preserve">通过巡检，对各个保安队员进行工作质量的考核，对工作中存在一般问题的队员加强培训，对工作中存在严重失职的队员坚决予以辞退，严格把控各个保安的工作服务质量。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3.保安队员职业操守与劳动纪律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（1）保安人员须按照国家规定穿戴统一的保安服装、佩带统一的保安标志并佩带胸卡，着装必须整洁、整齐，注意仪表、仪容，不得留胡须、蓄长发，上岗时不得戴墨镜；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（2）保安人员的车辆应按甲方要求在指定地点整齐停放；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（3）保安人员在工作期间应坚守岗位、尽职尽责，不得擅离职守，不得闲聊、打闹，不得干私活，不得看书、看报，不得下棋、打牌，不得会私客，不得酗酒、抽烟、打瞌睡；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（4）保安人员在工作期间应严格遵守作息制度，不得迟到、早退，不得脱岗、旷工；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（5）保安人员在工作期间应坚持文明服务、礼貌用语，处理问题要分清是非、坚持原则、实事求是、以理服人、态度和蔼，不讲污言秽语、不刁难群众，严禁打人、骂人、侮辱人格等侵权行为；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（6）保安人员应遵纪守法、秉公办事，不得侵犯群众的合法权益，严禁以权谋私、徇私舞弊；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（7）保安人员应认真维护好学校内的治安秩序，发现破坏、恶意污染或其它可疑情况以及发生的治安、刑事等案件要及时汇报、妥善处置，配合相关部门调查处理；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（8）保安人员应做好详细的交接班记录、值班巡逻记录，以备检查；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保安人员上岗时未经许可不得擅自换岗，有事不能上岗者应提前一天向乙方管理人员请假，经批准方可换岗、离岗，同时乙方须向甲方汇报换岗情况，若甲方发现擅自换岗、离岗情况将严格按考核制度扣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（10）保安人员相互之间应和睦相处，杜绝争吵、打骂等违纪现象；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（11）不得在学校内明火操作，不得使用大功率电器（电器使用须报甲方批准），节约用水用电；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（12）门岗保安的岗位细则如下：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1</w:t>
      </w:r>
      <w:r>
        <w:rPr>
          <w:rFonts w:ascii="SimSun" w:hAnsi="SimSun" w:eastAsia="SimSun" w:cs="SimSun"/>
          <w:color w:val="000000"/>
          <w:sz w:val="24"/>
        </w:rPr>
        <w:t xml:space="preserve">具体负责校区内出入口及周边地区的治安管理工作。按时上岗，仔细阅读上一班的执勤记录，了解处理前一班未解决事项。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2</w:t>
      </w:r>
      <w:r>
        <w:rPr>
          <w:rFonts w:ascii="SimSun" w:hAnsi="SimSun" w:eastAsia="SimSun" w:cs="SimSun"/>
          <w:color w:val="000000"/>
          <w:sz w:val="24"/>
        </w:rPr>
        <w:t xml:space="preserve">严格按照规定控制管辖区人员进出，阻止无证人员、未经批准的外来人员进入管辖区。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3</w:t>
      </w:r>
      <w:r>
        <w:rPr>
          <w:rFonts w:ascii="SimSun" w:hAnsi="SimSun" w:eastAsia="SimSun" w:cs="SimSun"/>
          <w:color w:val="000000"/>
          <w:sz w:val="24"/>
        </w:rPr>
        <w:t xml:space="preserve">负责、疏导出入口及周边车道上的车辆，认真做好进出辖区的车辆记录。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4</w:t>
      </w:r>
      <w:r>
        <w:rPr>
          <w:rFonts w:ascii="SimSun" w:hAnsi="SimSun" w:eastAsia="SimSun" w:cs="SimSun"/>
          <w:color w:val="000000"/>
          <w:sz w:val="24"/>
        </w:rPr>
        <w:t xml:space="preserve">严禁各类人员将大宗易燃、易爆、易腐蚀的危险品带入管辖区。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5</w:t>
      </w:r>
      <w:r>
        <w:rPr>
          <w:rFonts w:ascii="SimSun" w:hAnsi="SimSun" w:eastAsia="SimSun" w:cs="SimSun"/>
          <w:color w:val="000000"/>
          <w:sz w:val="24"/>
        </w:rPr>
        <w:t xml:space="preserve">为确保校方利益不受损失、进出货物须作登记，货物出门须凭校方开具的《出门证》方可放行。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6</w:t>
      </w:r>
      <w:r>
        <w:rPr>
          <w:rFonts w:ascii="SimSun" w:hAnsi="SimSun" w:eastAsia="SimSun" w:cs="SimSun"/>
          <w:color w:val="000000"/>
          <w:sz w:val="24"/>
        </w:rPr>
        <w:t xml:space="preserve">岗位除必要的休息调整及其他工作需要外，应按指定的位置立定，不准脱岗，一旦发生事件，须严格按照规定程序执行。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7</w:t>
      </w:r>
      <w:r>
        <w:rPr>
          <w:rFonts w:ascii="SimSun" w:hAnsi="SimSun" w:eastAsia="SimSun" w:cs="SimSun"/>
          <w:color w:val="000000"/>
          <w:sz w:val="24"/>
        </w:rPr>
        <w:t xml:space="preserve">发挥工作主动性，积极参加各项培训，服从当值领班及监控中心的指挥，搞好员工之间的团结，不折不扣地完成上级交办的其他任务。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（13）巡逻保安的岗位细则如下：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1</w:t>
      </w:r>
      <w:r>
        <w:rPr>
          <w:rFonts w:ascii="SimSun" w:hAnsi="SimSun" w:eastAsia="SimSun" w:cs="SimSun"/>
          <w:color w:val="000000"/>
          <w:sz w:val="24"/>
        </w:rPr>
        <w:t xml:space="preserve">具体负责管辖区范围内的巡查工作。按时上岗，了解处理上一班的记录及未解决的事宜。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2</w:t>
      </w:r>
      <w:r>
        <w:rPr>
          <w:rFonts w:ascii="SimSun" w:hAnsi="SimSun" w:eastAsia="SimSun" w:cs="SimSun"/>
          <w:color w:val="000000"/>
          <w:sz w:val="24"/>
        </w:rPr>
        <w:t xml:space="preserve">严格按照规定的巡查范围、路线进行巡查，并及时做好书面记录。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3</w:t>
      </w:r>
      <w:r>
        <w:rPr>
          <w:rFonts w:ascii="SimSun" w:hAnsi="SimSun" w:eastAsia="SimSun" w:cs="SimSun"/>
          <w:color w:val="000000"/>
          <w:sz w:val="24"/>
        </w:rPr>
        <w:t xml:space="preserve">巡查时，必须做到眼要看（无不正常现象）、耳要听（无异常声响）、嘴要问（对可疑人员要询问）、手要勤（触摸检查）、脚要轻（身手敏捷）。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4</w:t>
      </w:r>
      <w:r>
        <w:rPr>
          <w:rFonts w:ascii="SimSun" w:hAnsi="SimSun" w:eastAsia="SimSun" w:cs="SimSun"/>
          <w:color w:val="000000"/>
          <w:sz w:val="24"/>
        </w:rPr>
        <w:t xml:space="preserve">对巡逻中发现的各类问题要做好及时记录，及时处理，及时汇报；一旦发生突发事件，须严格按照规定程序执行。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5</w:t>
      </w:r>
      <w:r>
        <w:rPr>
          <w:rFonts w:ascii="SimSun" w:hAnsi="SimSun" w:eastAsia="SimSun" w:cs="SimSun"/>
          <w:color w:val="000000"/>
          <w:sz w:val="24"/>
        </w:rPr>
        <w:t xml:space="preserve">加强对消防设施、设备、器材、标志等检查，确保其完整与安全。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6</w:t>
      </w:r>
      <w:r>
        <w:rPr>
          <w:rFonts w:ascii="SimSun" w:hAnsi="SimSun" w:eastAsia="SimSun" w:cs="SimSun"/>
          <w:color w:val="000000"/>
          <w:sz w:val="24"/>
        </w:rPr>
        <w:t xml:space="preserve">对校区内违章停车现象要及时劝阻、制止、纠正，确保校区外围环境安全有序。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7</w:t>
      </w:r>
      <w:r>
        <w:rPr>
          <w:rFonts w:ascii="SimSun" w:hAnsi="SimSun" w:eastAsia="SimSun" w:cs="SimSun"/>
          <w:color w:val="000000"/>
          <w:sz w:val="24"/>
        </w:rPr>
        <w:t xml:space="preserve">下岗前，认真做好记录并向下一班做好详细移交，做好本岗位区域的4S工作。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8</w:t>
      </w:r>
      <w:r>
        <w:rPr>
          <w:rFonts w:ascii="SimSun" w:hAnsi="SimSun" w:eastAsia="SimSun" w:cs="SimSun"/>
          <w:color w:val="000000"/>
          <w:sz w:val="24"/>
        </w:rPr>
        <w:t xml:space="preserve">发挥工作主动性，积极参加各项培训，服从当值领班及监控中心的指挥，搞好员工之间的团结，不折不扣完成上级交办的各项工作。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（四）紧急情况应急处理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1.外来突发事件：学校外来突发事件时保安必须坚守岗位，在第一时间向学校、公司、及公安机关报告，并做好应急准备。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2.校内突发事件：校内发生突发事件时保安在保证大门安全的前提下，首先要赶到现场判明情况，协助学校领导处理，必要时报警和报告公司领导。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（五）其它要求：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此次采购的项目还包括安保服务总体方案、日常服务标准及措施方案、消防安全管理及消防安全巡查人员组建方案、服务重点难点分析及解决措施方案、服务保障目标及措施方案、人员管理考核办法方案、一般突发事件应急措施方案、人员培训与应急演练实施方案等。不提供视为未实质性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2.成交单位和委派人员应遵守国家法律法规及学校的规章制度，违者依法必究。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3.派驻人员应接受学校指导和管理，若不服从，及经考核不能胜任或有失职行为的保安人员，成交单位应在三天工作时间内调换人员。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4.派驻人员须统一服装，衣冠整洁且佩带工作卡，坚持文明服务、礼貌用语，不做有侮辱人格的侵权行为。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5.工作期间应坚守岗位、尽职尽责，不得擅离职守，不得做与工作无关的事，和睦相处。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6.认真维护好公共场所区域内的防火、防盗、治安秩序等工作，发现不安全因素立即查明原因，尽快排除险情并及时向上级汇报。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7.不得在校园内明火操作，不得使用大功率电器，节约用水用电。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8.采购单位要求所有现场工作人员必须具备一年内有效的体检证明；成交后五天内将该证明提供给采购方。相关费用由投标单位在报价中综合考虑。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由于本次渭塘镇校园安保服务对象均为中小学、幼儿园，人员主要是未成年人，且各驻点散落在渭塘镇，加之校园安保治安情况严峻，备受家长和社会各界关注，希望投标单位具有丰富的校园安保管理经验，具有较强的处突能力，能规范和有质量的完成校园保安服务，具有对保安人员专业业务的培训能力，最重要的是投标单位要有高度社会责任心和责任感，愿为教育事业和少年儿童提供高质量的安保服务。投标单位能选派高质量、精干的人员组成高效务实的管理团队，保质保量认真履行校园安保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1.学校与派驻人员不发生任何劳动和雇佣关系，派驻人员由成交单位自行管理，成交单位和派驻人员应遵守安全操作规章制度，若发生人身伤害等工伤事故，由成交单位自负，与学校无关。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2.派驻人员的教育、管理、培训由成交单位负责，主动了解学校整体布局以及保安要求。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3.派驻人员因事、病等原因缺勤，由成交单位负责调整补充。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4.因派驻人员工作失职或失误，造成学校或师生利益损失，经公安机关确认后，成交单位要作出相应赔偿，后果严重的要追究法律责任。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5.其它临时性杂项应急服务费用包含在中标价中。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6.以上服务学校不提供工作餐。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7.加班费、法定节假日的加班费按国家有关规定费用一并包含在中标价中。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8.成交单位所需的全部工作装备和消耗材料均由成交单位负责提供。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9.因成交单位管理不善，造成秩序维护工作范围内的设施、设备等损坏的，由直接责任人赔偿，若直接责任人因故无法赔偿的，采购单位有权要求成交单位负责赔偿损失。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10.其他事项：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（1）投标单位必须按照《劳动法》及苏州市的有关规定配置工作人员数量，并支付工资、国假加班费和交纳正常的社会保险，不得安排工作人员超时限加班。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（2）校方可以提供的保安办公休息所需的办公场所、生活设施等（如桌椅凳、橱柜、电扇、空调等），但故意损坏、恶意使用或丢失的需全额赔偿。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（3）学校委派专门部门负责中标方日常工作的监管、协调、考核。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11.考核方法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服从学校管理，在检查中发现礼节礼貌、仪表仪容、设备设施、卫生保洁、工作质量、服务态度、执行制度等方面存在的问题，依据《保安工作考核办法》（详见招标文件第七章）的要求，进行处罚。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由于成交单位的管理不当致使出现较大失误时（人事、管理混乱，安全隐患，制度不健全，被上级主管部门通报、由于保安人员工作不当引起不良社会影响等），采购单位直接提出书面整改通知，成交单位承担相关损失，每张整改通知经核实，扣除当月费用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成交单位整个保安服务过程中，必须按照国家规定，满足最低工资标准及国家规定的劳动保险发放员工工资。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（七）若成交单位在学校保安服务管理期间，违反下列规定将被解除学校保安服务合同。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1.严禁将承包的学校保安服务转包他人；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2.签订合同后一周内，未按承诺函要求提供人员清单及相关证件的；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3.《保安工作考核办法》（详见招标文件第七章）的有关规定；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4.出现重大安全事故。如因中标方保安人员工作失职、疏漏、擅离职守、不作为、乱作为等原因造成重大安全事故，导致学校和采购单位出现人身和财产损失，或产生恶劣社会影响，情节严重。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（八）如因成交单位保安人员工作失职、疏漏、擅离职守、不作为、乱作为等原因造成的采购单位人身和财产损失，则全部由中标方承担。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（九）保安人员上岗执勤，必须身着统一的保安服装，佩戴统一的标志符号。保安服装、标志符号和证件的设计、制作和供应，按国家规定执行。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1、供应商提供的服务能够至少达到以上要求，同时明确详细的服务方案。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2、供应商必须承诺磋商文件中提出的全部要求，如果其中某些条款不响应时，应在文件中逐条列出，未列出的视同响应。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成交供应商在服务期间未及时有效履行上述服务内容的，每次违约扣除不超过合同总金额的5%作为违约金（有其他注明的违约条款按注明内容扣除违约金）；若出现重大责任问题或考核不达标将被解除服务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4、供应商应对所投项目的全部内容进行报价，只投其中部分内容者，其响应文件将被拒绝。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5、成交后，本项目服务人员在服务期间原则上不允许更换，如确实需要更换的，必须至少提前一个月跟采购人报备，更换后的人员同样须在本单位缴纳社保，否则采购人有权终止合同。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6、服务期间，采购人有权不定期抽查服务人员与成交单位的雇佣关系，如发现有增减人员未报备采购人的情况，采购人有权终止合同。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7、付款方式：详见合同主要条款。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涉及的相关资料、信息属保密性质，未经采购人同意，成交单位不得向第三方泄露。对不属于成交单位且受知识产权保护的产品、资料、信息等不得用于其他目的。本项目全部数据成果的所有权、使用权和著作权归属采购人，成交单位使用必须经采购人授权同意。在项目实施和成果提交过程中，出现的一切人身、设备和数据成果资料等安全问题均由成交单位承担全部责任，采购人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9、若成交供应商在服务期间，违反下列规定将被解除服务合同，并扣除剩余待支付费用：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9.1严禁将服务转包他人。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9.2出现重大责任问题。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9.3泄露相关保密信息。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110、成交供应商对服务缺陷不予更正，甲方有权另请其他单位更正，所发生的费用由成交供应商承担。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11、成交供应商工作人员在岗履行职责期间（包括上下班途中），发生自身的人身伤害、伤亡，均由成交单位负责处理并承担经济和道义上的责任，采购单位不承担任何责任。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中标单位配合的服务。</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13、调料、各类配菜配送价格包括产品本身、包装、运输、配送、人工、保险、利润、税金、政策性文件规定及合同包含的所有风险、责任等各项应有费用。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14、凡涉及采购文件的补充说明和修改，均以苏州政府采购网发布的内容为准。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第五章 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合同打印日期：年月日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根据江苏京苏项目管理咨询有限公司编号</w:t>
      </w:r>
      <w:r>
        <w:rPr>
          <w:rFonts w:ascii="SimSun" w:hAnsi="SimSun" w:eastAsia="SimSun" w:cs="SimSun"/>
          <w:color w:val="000000"/>
          <w:sz w:val="24"/>
          <w:u w:val="single"/>
        </w:rPr>
        <w:t xml:space="preserve">        </w:t>
      </w:r>
      <w:r>
        <w:rPr>
          <w:rFonts w:ascii="SimSun" w:hAnsi="SimSun" w:eastAsia="SimSun" w:cs="SimSun"/>
          <w:color w:val="000000"/>
          <w:sz w:val="24"/>
        </w:rPr>
        <w:t xml:space="preserve">竞争性磋商文件及成交通知书，供需双方就此次成交的</w:t>
      </w:r>
      <w:r>
        <w:rPr>
          <w:rFonts w:ascii="SimSun" w:hAnsi="SimSun" w:eastAsia="SimSun" w:cs="SimSun"/>
          <w:color w:val="000000"/>
          <w:sz w:val="24"/>
          <w:u w:val="single"/>
        </w:rPr>
        <w:t xml:space="preserve">              </w:t>
      </w:r>
      <w:r>
        <w:rPr>
          <w:rFonts w:ascii="SimSun" w:hAnsi="SimSun" w:eastAsia="SimSun" w:cs="SimSun"/>
          <w:color w:val="000000"/>
          <w:sz w:val="24"/>
        </w:rPr>
        <w:t xml:space="preserve">购销事宜，签订本合同书。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一、合同的标的物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1、乙方负责完成甲方的</w:t>
      </w:r>
      <w:r>
        <w:rPr>
          <w:rFonts w:ascii="SimSun" w:hAnsi="SimSun" w:eastAsia="SimSun" w:cs="SimSun"/>
          <w:color w:val="000000"/>
          <w:sz w:val="24"/>
          <w:u w:val="single"/>
        </w:rPr>
        <w:t xml:space="preserve">                         </w:t>
      </w:r>
      <w:r>
        <w:rPr>
          <w:rFonts w:ascii="SimSun" w:hAnsi="SimSun" w:eastAsia="SimSun" w:cs="SimSun"/>
          <w:color w:val="000000"/>
          <w:sz w:val="24"/>
        </w:rPr>
        <w:t xml:space="preserve">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注：（1）合同明细价格详见合同附件。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②乙方成交的磋商响应文件；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③乙方在响应过程中所作的其他承诺、声明、书面澄清等；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④成交通知书。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（一）人员配置情况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承接全镇公办中小学（幼儿园）安保服务项目，包含渭塘中学、渭塘实验小学、渭塘中心幼儿园、渭塘中心幼儿园（南园）、珍珠湖幼儿园、珍珠湖小学、渭塘中学（市民健身开放区），共安排保安员44人（含保安队长1人）。另需配备项目负责人1人进行统筹协调管理不支付任何费用。具体人员配置如下：</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9"/>
        <w:gridCol w:w="3778"/>
        <w:gridCol w:w="2568"/>
        <w:gridCol w:w="1770"/>
      </w:tblGrid>
      <w:tr>
        <w:trP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学校名称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校门数/个</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渭塘中学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渭塘实验小学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渭塘中心幼儿园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渭塘中心幼儿园（南园）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珍珠湖小学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珍珠湖幼儿园</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渭塘中学（市民健身开放区）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5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（二）服务人员要求：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安人员要求：保安员:年龄原则上50周岁（含）或以下，在本项目工作满5年的男性保安年龄适当放宽到55周岁（含）或以下。项目负责人应具有专业的治安、消防安全、应急救援等方面的知识和能力，能指导员工开展各类安全管理和培训。保安人员上岗前应具有公安部门颁发的保安员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（三）服务内容：提供本校24小时安全保卫工作(上学放学高峰时段必须保证双人双岗)。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（四）服务时间：一年，具体以合同签订为准。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三、合同价格与支付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1、合同总金额为</w:t>
      </w:r>
      <w:r>
        <w:rPr>
          <w:rFonts w:ascii="SimSun" w:hAnsi="SimSun" w:eastAsia="SimSun" w:cs="SimSun"/>
          <w:b/>
          <w:color w:val="000000"/>
          <w:sz w:val="24"/>
          <w:u w:val="single"/>
        </w:rPr>
        <w:t xml:space="preserve">人民币元，大写：。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3.1支付步骤：</w:t>
      </w:r>
      <w:r>
        <w:rPr>
          <w:rFonts w:ascii="SimSun" w:hAnsi="SimSun" w:eastAsia="SimSun" w:cs="SimSun"/>
          <w:b/>
          <w:color w:val="000000"/>
          <w:sz w:val="24"/>
        </w:rPr>
        <w:t xml:space="preserve">合同签订生效，甲方向乙方支付合同价款30%的预付款（在签订合同时，乙方明确表示无需预付款或者主动要求降低预付款比例的，甲方可不适用前述规定）；付款方式为半年度支付，甲方对乙方每月服务进行考核打分，半年度综合打分合格后通知乙方开具当半年度的发票，甲方在收到乙方开具的对应半年度发票后30个工作日内支付该半年度的服务费（已支付预付款的，应支付金额扣除预付款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3.2付款方式：甲方根据乙方在本合同中所提供银行开户信息转账支付。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3.3乙方在实际服务中，若服务期限有减少，按实结算。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3.4甲方支付此项费用外不再承担其它任何费用（包括个人），服务人员的薪金、福利、休假日补贴等由乙方支付，与甲方无关。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3.5付款前，乙方需先向甲方提供：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（1）合格的发票。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（2）由甲乙双方签章的《采购合同履行验收报告》。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3.6支付方式：银行汇票或转账。</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3.7乙方账户信息：</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乙方收款账号信息如下：</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账号名称： </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乙方银行账户如需变更，应至少于付款期限届满前10个工作日书面通知甲方，否则产生的一切责任、因变更引起的额外费用由乙方承担。</w:t>
      </w:r>
      <w:r/>
    </w:p>
    <w:p>
      <w:pPr>
        <w:ind w:left="458" w:right="0" w:firstLine="482"/>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四、甲乙双方责任及义务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1.为乙方管理部门提供必要的办公用房、办公家具、库房、通讯线路，通讯费用乙方自理；并指定专人作为甲方联系人予以协调工作。加强与乙方沟通，交流情况，互通信息。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2.甲方应教育所属人员尊重乙方工作人员的劳动成果，积极配合乙方工作人员履行好合同所规定的职责和义务。因甲方人员使用设备、器材、器械不当而造成的损失与乙方无关。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3.定期组织对乙方服务质量的考核、收集意见和建议，并将结果及时通报乙方。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4.协助做好与新旧管理公司的业务交接事宜。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5.为乙方有效开展工作提供其他必要的便利。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提供服务处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履行过程中乙方无法达到采购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4.配置本项目的工作人员仅为本项目提供服务，不得在其他项目兼职。配置给甲方的工作人员，如需在本项目内临时调配的，需书面申报并征得甲方同意。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5.如乙方在规定的时间内未按甲方要求，调换或增配服务人员的；未经甲方批准擅自调动、调整工作人员及甲方确定为关键性岗位工作人员的；擅自调动服务人员未经甲方批准的；甲方有权对乙方作出相应惩罚。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6.乙方应经常对员工进行岗位职责和安全教育，加强岗位责任考核。因管理不当、违规操作发生消防、设备损坏等安全事故的，乙方应承担全部责任，并负责赔偿由此造成的损失，与甲方无关。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8.确保有关工作人员按国家规定具备相关工种的上岗证。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10.乙方应认真管理和使用项目内各项设备，建立各类设备的管理档案资料，并每月向甲方上报备案。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11.乙方需接受并积极配合甲方组织的定期考核、满意度调查等工作，并按甲方提出的意见及时进行整改。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12.本合同自然终止或因乙方责任导致甲方无条件解除合同情况出现时，双方按本合同交接管理的相关约定执行。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13.乙方应在长假之前，应做好长假期间的管理值班方案，报甲方批准。需提前做好计划。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乙方项目经理参加培训或有事请假离开项目现场必须经过甲方相关科室负责人同意并安排人员临时接替。乙方应确保管理、服务人员到位，甲方将对人员到位情况进行抽查，人员应到岗但未到岗的或应到位未到位的，甲方有权对乙方作出相应惩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15.确因甲方工作需要，乙方应无条件配合甲方完成一些突击性工作。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16.乙方在投标文件中提出的其他服务承诺。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17.甲方对乙方在服务工作中产生的各种过错，应采用书面形式通知乙方限期整改。该书面文件以送达至乙方企业法人注册登记中的住所地为准。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1、甲方无正当理由拒绝乙方提供服务或无正当理由擅自终止合同的，甲方应向乙方支付合同总价款5%的违约金，违约金不足以弥补损失的，甲方应予以补足。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2、甲方逾期向乙方支付服务费用的，应当承担逾期付款金额万分之四/日的违约金，但此项违约金数额不超过逾期付款金额的5%。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3、乙方不能提供主要服务的，视为根本违约，甲方有权解除本合同并要求乙方支付合同总价款5%的违约金；给甲方造成损失的，乙方应赔偿甲方直接损失。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提供服务不符合要求的，甲方有权书面要求乙方予以改正，如乙方拒不改正（收到甲方书面要求后的2个工作日内未采取改正措施的视为拒不改正），视为乙方根本违约，甲方有权解除本合同，同时乙方应支付合同总价款5%的违约金；如给甲方造成损失的，乙方应赔偿甲方直接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5、乙方如有其它违反合同约定的行为的，甲方有权视违约严重程度及损失情况，要求乙方支付不超过合同总价款5%的违约金，同时乙方应赔偿甲方直接损失。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6、乙方应当支付给甲方的违约金、赔偿甲方的损失以及其它依据本合同应支付给甲方的费用，甲方有权直接从未支付的款项中予以扣除，不足部分，甲方有权要求乙方补足。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（一）合同的解除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2、在合同有效期内一方不得擅自变更或中止此项合同（包括为此项目配备的人员），如未经双方书面同意，擅自变更或中止此项的一方自行承担违约责任。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3、有下列情形之一，合同一方可以解除合同：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因不可抗力致使不能实现合同目的，未受不可抗力影响的一方有权解除合同；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因合同一方违约导致合同不能履行，另一方有权解除合同。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在合同履行期间，乙方出现规划设计达不到要求或3次无法按承诺的服务响应时间提供相应服务的，甲方有权解除合同。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4、有权解除合同的一方，应当在违约事实或不可抗力发生之后三十天内书面通知对方以主张解除合同，合同在书面通知到达对方时解除。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（二）合同的转让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合同的部分和全部均不得转让。</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如因履行本合同或与本合同有关的一切事项产生争议的，双方应友好协商解决，如协商不能达成一致的，任何一方均有权向原告所在地的人民法院提起诉讼。若由于乙方违反本合同约定或追究甲方违约但不成立而产生纠纷的，甲方为处理此纠纷产生的费用由乙方承担，该费用包括但不限于保全费、诉讼费、执行费、鉴定费、律师费、差旅费等。若由于甲方违反本合同约定或追究乙方违约但不成立产生纠纷的，乙方为处理此纠纷产生的费用由甲方承担，该费用包括但不限于保全费、诉讼费、执行费、鉴定费、律师费、差旅费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八、合同生效及其它：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1、本合同在双方签字盖章后生效，并需经政府采购管理部门备案。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2、合同执行过程中出现的问题应按照《中华人民共和国民法典》的规定办理。在合同履行过程中，双方如有争议，任何一方均可向甲方所在地人民法院提起诉讼。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在执行过程中出现的未尽事宜，双方应在不违背本合同和需方采购目的的原则下协商解决，协商结果以书面形式盖章记录在案，并提交采购代理机构一份备存，作为本合同的附件，与本合同具有同等的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本合同履行过程中产生的纪要、协议以及成交通知书、采购响应文件和采购文件为本合同的附件，与合同具有同等效力。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5、合同份数：本合同一式六份，甲乙双方各执二份，采购代理机构一份。政府采购管理部门一份。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考核评分标准</w:t>
      </w:r>
      <w:r/>
    </w:p>
    <w:p>
      <w:pPr>
        <w:ind w:left="0" w:right="0" w:firstLine="63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保安工作考核办法</w:t>
      </w:r>
      <w:r/>
    </w:p>
    <w:tbl>
      <w:tblPr>
        <w:tblStyle w:val="8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5"/>
        <w:gridCol w:w="424"/>
        <w:gridCol w:w="4026"/>
        <w:gridCol w:w="1570"/>
        <w:gridCol w:w="509"/>
        <w:gridCol w:w="533"/>
        <w:gridCol w:w="1077"/>
      </w:tblGrid>
      <w:tr>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　查　考  核  项  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扣分标准</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是否符合要求</w:t>
            </w:r>
            <w:r/>
          </w:p>
        </w:tc>
      </w:tr>
      <w:tr>
        <w:trPr/>
        <w:tc>
          <w:tcPr>
            <w:gridSpan w:val="3"/>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w:t>
            </w:r>
            <w:r/>
          </w:p>
        </w:tc>
      </w:tr>
      <w:tr>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作息出勤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上班迟到或早退超过5分钟，但不足15分钟的；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上班迟到或早退超过15分钟，或当值脱岗2分钟-5分钟的；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未经公司批准擅自休假，或不按规定办理请、销假手续或请假后无特殊情况不按时归队，造成空岗的；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岗位交接班时不按时接班及接班队员未到而擅自下班的；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未经公司批准自行调班、顶班造成空岗的；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无故脱岗、窜岗，尚未造成严重后果；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中标方未按合同约定人数上岗，造成缺岗的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遵规守纪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10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保安人员非工作需要，擅自进入办公室、值班室或擅自用或带出办公用品或他人私人物品的；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利用执勤工作之便向他人索要财物的；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执勤中私自扣押物品或证件，捡拾物品不登记、不上交的，擅自处理或挪用的；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盗窃师生财物的，或将学校公共物品或设施占为己有的，情节严重的报公安机关处理；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未经批准私自放行商贩进入校内推销商品的；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将值勤时配备的警具，防爆用品等私自带出工作区域的；损坏或丢失警戒装备的（除照价赔偿外）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在学校范围内有拉帮结派，打架斗殴、散步谣言、挑拨离间等行为，造成不良影响的；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处理事件时不及时，推诿、扯皮、畏惧等不作为的；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发生突发事件或紧急情况下，保安人员有消极怠慢，临阵脱逃等行为的；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严重失职而造成重大事故的；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员工守则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非工作时间外出酗酒或违规违纪，对学校名誉造成不良影响的；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有意泄露师生隐私给其他利益相关人，对学校造成不良影响的；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现场不听指挥，顶撞侮辱上级，不服从管理或工作调配的；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利用工作便利从事非职责活动的，收受师生或校外人员财务的，作辞退处理；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岗位值勤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值班期间做与职务无关活动的（如打瞌睡、闲聊、看小说、打游戏、听音乐、看视频、吃零食、嬉笑打闹等行为；）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门卫人员不按规定履行职责；对来访者不登记、不问明情况；对出入的人员或物品不检查登记的；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在岗饮酒，酗酒后上岗，或在岗睡觉的；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spacing w:before="0" w:after="0" w:line="57" w:lineRule="atLeast"/>
            </w:p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工作场所卫生脏、乱、差的；或值班时将私人物品带到岗位的；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当班期间，利用通信工具讲与工作无关事情的，或非信号原因故意不接报电台的；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紧急呼叫后5分钟内未到现场的；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对于进入学校内张贴小广告或发放宣传品的人员，未及时发现或未有效驱离的；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不按规定巡逻签到、巡逻记录作假或不作记录的；（巡逻记录书写不规范或有涂改的扣1分）；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巡查时未能及时发现校内设施设备损坏等可能危及学校安全的隐患，或发现后未及时报告的；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因巡查不到位造成案件发生的；对当班期间发生的事故和案件不及时报告和处理的；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当班期间对校内发生的事故、案件不知情者；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重大事件当班队长应书写工作日志，并做好交接班记录，未做到者；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保安人员未持证上岗的；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保安人员年龄超过规定年限的；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行为礼节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员工必须保持衣冠整洁，仪容不整、未按规定要求着装的（如佩戴饰品、穿拖鞋等）；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值班期间作风懒散、精神不振、站姿、坐姿不端正，如依靠墙壁或护栏等行为的；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2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处理问题时言语不当，不使用文明用语、而使用粗言秽语、讥笑谩骂或不理睬师生或其他外来人员的；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上班期间疏忽职守、滥用职权、态度粗暴、故意刁难或随意打骂他人，或遭人投诉属实的；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保安人员当值时不按规定着装和佩带标志、警械器具的（含武装上岗）；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不按规定指挥车辆出入或停放，造成道路堵塞的；（造成消防通道堵塞的扣10分）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不按规定巡视，发现违停不及时处理的；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违反操作流程，造成设备故障的；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应熟悉教职工车牌号码，条件允许的情况下优先放行；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每人每次扣1分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21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项目负责人对下属的违纪行为进行包庇、隐瞒、纵容或知情不报情节轻者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在突发事件、紧急情况及重大活动下，保安公司应未全力配合并抽调人员至现场或项目负责人未在场指挥；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保安公司未按规定每季度进行治安、应急处置等培训并进行相关演练的；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项目负责人、管理人员未按学校要求定期与学校进行会晤的；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项目部未按规定按时上报排班表的；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项目部弄虚作假，欺骗或多报人数、工作量的；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项目部领导不当或疏于管理造成学校损失的；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其他违法违规违纪的；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每次扣20分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1.检查与考核</w:t>
      </w:r>
      <w:r/>
    </w:p>
    <w:p>
      <w:pPr>
        <w:ind w:left="26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（1）甲方每月对乙方保安工作的检查不少于3次，其中1次为明查，由乙方管理人员陪同甲方检查人员一起对乙方工作进行检查、考核、评分。</w:t>
      </w:r>
      <w:r/>
    </w:p>
    <w:p>
      <w:pPr>
        <w:ind w:left="26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在检查中发现的问题及时通知乙方，乙方及时整改，同时乙方须主动联系甲方，在每月明查考核得分表、每月汇总考核得分表、每季度最终考核得分情况说明签字确认，如若乙方不及时签字确认，甲方一律视为乙方默认甲方的考核评分。</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2.评分办法</w:t>
      </w:r>
      <w:r/>
    </w:p>
    <w:p>
      <w:pPr>
        <w:ind w:left="26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（1）甲方每月对检查考核表中的单个子项考核不少于1次，每一子项的每月最终扣分值以该子项本月最高扣分值计，同时汇总为每月最终考核得分表。</w:t>
      </w:r>
      <w:r/>
    </w:p>
    <w:p>
      <w:pPr>
        <w:ind w:left="26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（2）乙方每季度最终考评得分为该季度各月考评得分的平均值，但如果该季度同一子项考评中出现3次同样的扣分情况，则该子项本季度得分为零。</w:t>
      </w:r>
      <w:r/>
    </w:p>
    <w:p>
      <w:pPr>
        <w:ind w:left="26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（3）若该季度出现因乙方工作不力而出现媒体投诉现象，则甲方在乙方每季度最终考评得分基础上加扣10分，若出现个人投诉现象，则甲方在乙方每季度最终考评得分基础上加扣5分。</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（1）乙方当季度最终得分在90分或以上的，甲方全额计取乙方当季度学校保安服务费。</w:t>
      </w:r>
      <w:r/>
    </w:p>
    <w:p>
      <w:pPr>
        <w:ind w:left="26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（2）乙方当季度最终得分在80分（包括80分）以上、90分以下的，每下降1分，扣除当季度学校保安服务费的1%。</w:t>
      </w:r>
      <w:r/>
    </w:p>
    <w:p>
      <w:pPr>
        <w:ind w:left="26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（3）乙方当季度最终得分在60分（包括60分）以上、80分以下的，每下降1分，扣除当季度学校保安服务费的2%。</w:t>
      </w:r>
      <w:r/>
    </w:p>
    <w:p>
      <w:pPr>
        <w:ind w:left="26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（4）乙方当季度得分低于60分的，则甲方认为乙方未能完成当月的保安工作，不予以支付当季度学校保安服务费。</w:t>
      </w:r>
      <w:r/>
    </w:p>
    <w:p>
      <w:pPr>
        <w:ind w:left="26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（5）乙方连续2个季度考核得分低于60分或合同（或协议）期内累计3次考核得分低于60分的，甲方有权终止合同（或协议），乙方须无条件按甲方要求办理移交、退场手续。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84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第六章评</w:t>
      </w:r>
      <w:r>
        <w:rPr>
          <w:rFonts w:ascii="SimSun" w:hAnsi="SimSun" w:eastAsia="SimSun" w:cs="SimSun"/>
          <w:b/>
          <w:color w:val="000000"/>
          <w:sz w:val="44"/>
        </w:rPr>
        <w:t xml:space="preserve">审办法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1、评价和比较采用综合评分法，即指响应文件满足采购文件全部实质性要求，且按照评审因素的量化指标评审得分从高到低排名前三的供应商为成交候选人的评审方法。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2、评审小组各成员独立对每个进入打分程序的有效磋商供应商的响应文件技术和资质部分以打分的形式进行评审和评价。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4、评审小组根据采购人的授权，按照成交候选人的顺序在成交候选人中直接确定排名第一的为成交供应商。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（一）价格得分（10分）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第一步：磋商报价低于或等于财政预算价格的，为有效磋商报价。超出财政预算的磋商报价文件为未实质性响应文件，不参与评审。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第二步：以满足采购文件实质性要求且响应价格最低的有效报价为评标基准价，其价格分为满分，其他有效报价的价格分统一按照下列公式计算（计算结果四舍五入保留两位小数）：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磋商报价得分=（磋商基准价/最后磋商报价）×价格权值×100%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（二）管理技术方案：55分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1.本项目安保服务总体方案：6分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根据投标人提供的安保服务总体方案，方案总体模式清晰、配套措施周全、运作设计合理。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本项目管理的总体设想：内容包含但不限于方案项目特点和需求分析、项目运作设想、拟采用的管理模式、项目管理机构设置等。提出的服务总体模式方案具有详细内容、服务管理清晰、流程和计划完善有效的得2分；提出的服务总体模式方案内容一般、服务管理清晰度一般、流程和计划一般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套措施方案：内容包含但不限于人防设施、安全保卫制度、教学安全制度等。配套措施方案完整、措施有效扎实、管理责任清晰的得2分；配套措施方案简单笼统、措施操作性一般、管理责任设置简单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作设计方案：内容包含但不限于日常工作制度、服务管理内容、服务具体实施方案、各项保障措施等。运作设计方案较完善、程序较规范、责任较明确，比较具有可操作性的得2分；运作设计方案内容欠缺、程序不大合理、责任较为含糊、可操作性一般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2.日常服务标准及措施方案：6分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服务标准方案：内容包含但不限于日常安保管理制度、岗位设置及岗位划分情况，方案完整精细、服务管理清晰、责任落实明了的得3分；方案内容简单笼统、服务管理清晰度一般、责任落实含糊的得1.5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日常服务措施方案：内容包含但不限于日常安保服务方案、开展保安服务提供的安保措施等，方案完整精细、措施有效扎实、管理责任清晰的得3分；方案内容简单笼统、措施操作性一般、岗位职责设置简单的得1.5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3.消防安全管理及消防安全巡查人员组建方案：9分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消防安全管理方案：内容包含但不限于日常消防安全管理、消防事故应急处理等，方案详细、处理方案科学合理可行的得5分；方案较为详细、处理方案较为科学合理的得3分；方案简单、处理措施不够详细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消防安全巡查人员组建方案：内容包含但不限于校园内消防安全巡查名单、团队建制及团队分工等，方案内容完善合理、制度清晰、人员分工职责明确的得4分；方案内容简单笼统、制度欠缺、人员分工职责不明确的得2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4.服务重点难点分析及解决措施方案：10分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（1）服务重点分析方案：内容包含但不限于安保服务管理上普遍存在的问题、校园及周边的安全风险隐患分析等，分析方案精准、透彻、合理的得2分；分析方案一般的得1分；未提供不得分。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重点解决措施方案：内容包含但不限于对分析得出的风险隐患制定有针对性的解决措施，方案合理性、完善性、规范性、清晰性、可操作性强的得3分；方案合理性、完善性、规范性、清晰性、可操作性一般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（3）服务难点分析方案：内容包含但不限于安保服务管理上普遍存在的难点问题，需要共同协调解决的内容，分析精准、透彻、合理的得2分；分析一般的得1分；未提供不得分。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难点解决措施方案：内容包含但不限于对分析得出的难点问题制定有针对性的解决措施，方案合理性、完善性、规范性、清晰性、可操作性强的得3分；方案合理性、完善性、规范性、清晰性、可操作性一般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5.服务保障目标及措施方案：6分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保障目标方案：内容包含但不限于对校园安保服务质量的预期成效目标，方案合理性、完善性、规范性、清晰性较好的得3分；方案合理性、完善性、规范性、清晰性一般的得2分；方案合理性、完善性、规范性、清晰性较差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保障措施方案：内容包含但不限于为实现校园安全保障制定的服务保障措施及设施设备配置，方案合理性、规范性、清晰性、可操作性较好的得3分；方案合理性、规范性、清晰性、可操作性一般的得2分；方案合理性、规范性、清晰性、可操作性较差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6.人员管理考核办法方案：5分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（1）管理规章制度包含但不限于对保安队员日常出勤考核制度、岗位职责考核制度等，制度完善、规范、清晰、可操作性强的得1分；制度较为完善、规范、清晰、可操作性一般的得0.5分；未提供不得分。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人员安全文明制度包含但不限于人员举止行为文明规范，按照要求严格执行并接受考核，制度完善、规范、清晰、可操作性强的得1分；制度较为完善、规范、清晰、可操作性一般的得0.5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（3）消防安全管理制度包含但不限于制定各项校园消防安全管理制度并确保执行，制度完善、规范、清晰、可操作性强的得1分；制度较为完善、规范、清晰、可操作性一般的得0.5分；未提供不得分。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（4）服务档案管理制度包含但不限于服务档案管理，符合校方台账资料等相关要求。制度完善、规范、清晰、可操作性强的得1分；制度较为完善、规范、清晰、可操作性一般的得0.5分；未提供不得分。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（5）服务人员考核制度完善、规范、清晰、可操作性强的得1分；服务人员考核制度较为完善、规范、清晰、可操作性一般的得0.5分；未提供不得分。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7.一般突发事件应急措施方案：6分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（1）资产保护应急措施方案：内容包含但不限于应急状态下配合学校资产保护的应急措施方案，方案合理性、完善性、规范性、清晰性、可操作性较好的得1.5分；方案一般的得1分；未提供不得分。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（2）特殊事故（情况）应急措施方案：内容包含但不限于对校园特殊事故（情况）的应急措施制定，方案合理性、完善性、规范性、清晰性、可操作性较好的得1.5分；方案一般的得1分；未提供不得分。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（3）治安应急措施方案：内容包含但不限于对校园安全保障范围内的治安应急措施方案，方案合理性、完善性、规范性、清晰性、可操作性较好的得1.5分；方案一般的得1分；未提供不得分。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（4）消防应急措施方案：内容包含但不限于对学校消防特殊情况的应急处置措施，方案合理性、完善性、规范性、清晰性、可操作性较好的得1.5分；方案一般的得1分；未提供不得分。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8.人员培训与应急演练实施方案：7分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培训方案：内容包含但不限于制定人员培训计划和方案，使配置人员具备岗位服务专业技能，方案合理性、规范性、有效性、可操作性强的得4分；方案合理性、规范性、有效性、可操作性较好的得2分；方案合理性、规范性、有效性、可操作性一般的得1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急演练实施方案：内容包含但不限于应急情况下的应急物质装备计划、应急演练目的和范围，方案合理性、规范性、有效性、可操作性强的得3分；方案合理性、规范性、有效性、可操作性较好的得2分；方案合理性、规范性、有效性、可操作性一般的得1分；未提供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（三）投标单位综合实力比较：35分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w:t>
      </w:r>
      <w:r>
        <w:rPr>
          <w:rFonts w:ascii="SimSun" w:hAnsi="SimSun" w:eastAsia="SimSun" w:cs="SimSun"/>
          <w:b/>
          <w:color w:val="000000"/>
          <w:sz w:val="24"/>
        </w:rPr>
        <w:t xml:space="preserve">：4分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（1）具有本科或以上学历证明的得1分。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（2）具有3年或以上类似项目管理经验证明的得1分。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w:t>
      </w:r>
      <w:r>
        <w:rPr>
          <w:rFonts w:ascii="SimSun" w:hAnsi="SimSun" w:eastAsia="SimSun" w:cs="SimSun"/>
          <w:color w:val="000000"/>
          <w:sz w:val="24"/>
          <w:u w:val="none"/>
        </w:rPr>
        <w:t xml:space="preserve">高级（三级)</w:t>
      </w:r>
      <w:r>
        <w:rPr>
          <w:rFonts w:ascii="SimSun" w:hAnsi="SimSun" w:eastAsia="SimSun" w:cs="SimSun"/>
          <w:color w:val="000000"/>
          <w:sz w:val="24"/>
        </w:rPr>
        <w:t xml:space="preserve">及以上保安员职业资格证书，得1分。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（4）具有中级（四级）或以上“建（构）筑物消防员证书”或“消防设施操作员证书”的，得1分。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2.保安队长</w:t>
      </w:r>
      <w:r>
        <w:rPr>
          <w:rFonts w:ascii="SimSun" w:hAnsi="SimSun" w:eastAsia="SimSun" w:cs="SimSun"/>
          <w:b/>
          <w:color w:val="000000"/>
          <w:sz w:val="24"/>
        </w:rPr>
        <w:t xml:space="preserve">：3分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（1）具有大专或以上学历证明的得1分。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（2）具有高级（三级）或以上保安员资格证书的得1分。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w:t>
      </w:r>
      <w:r>
        <w:rPr>
          <w:rFonts w:ascii="SimSun" w:hAnsi="SimSun" w:eastAsia="SimSun" w:cs="SimSun"/>
          <w:color w:val="000000"/>
          <w:sz w:val="24"/>
          <w:u w:val="none"/>
        </w:rPr>
        <w:t xml:space="preserve">红十字会颁发</w:t>
      </w:r>
      <w:r>
        <w:rPr>
          <w:rFonts w:ascii="SimSun" w:hAnsi="SimSun" w:eastAsia="SimSun" w:cs="SimSun"/>
          <w:color w:val="000000"/>
          <w:sz w:val="24"/>
        </w:rPr>
        <w:t xml:space="preserve">的初级救护员培训证书的得1分。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3.保安人员（除保安队长）</w:t>
      </w:r>
      <w:r>
        <w:rPr>
          <w:rFonts w:ascii="SimSun" w:hAnsi="SimSun" w:eastAsia="SimSun" w:cs="SimSun"/>
          <w:b/>
          <w:color w:val="000000"/>
          <w:sz w:val="24"/>
        </w:rPr>
        <w:t xml:space="preserve">：11分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（1）每有一人具有中级（四级）或以上保安员资格证书的得1分，最高得6分。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（2）每有一人具有红十字会颁发</w:t>
      </w:r>
      <w:r>
        <w:rPr>
          <w:rFonts w:ascii="SimSun" w:hAnsi="SimSun" w:eastAsia="SimSun" w:cs="SimSun"/>
          <w:color w:val="000000"/>
          <w:sz w:val="24"/>
          <w:u w:val="none"/>
        </w:rPr>
        <w:t xml:space="preserve">初级救护员培训证书</w:t>
      </w:r>
      <w:r>
        <w:rPr>
          <w:rFonts w:ascii="SimSun" w:hAnsi="SimSun" w:eastAsia="SimSun" w:cs="SimSun"/>
          <w:color w:val="000000"/>
          <w:sz w:val="24"/>
        </w:rPr>
        <w:t xml:space="preserve">的得1分，最高得5分。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（注：投标文件中需提供以上1.-3.人员证书复印件及本企业为该员工缴纳至少近三个月内任一期的社保证明复印件，不提供相关证明不得分。）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4.投标单位具有有效的质量管理体系认证证书、环境管理体系认证证书、职业健康安全管理体系认证证书，每满足一项得2分，最高得6分。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（注：投标文件中提供上述证书的复印件或网上发文完整截图，不提供相关证明不得分。）</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投标单位获得过政府主管部门颁发的安保类荣誉证书或证明的得3分。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（注：投标文件中需提供相关证明材料复印件或网上发文完整截图并加盖公章，同一个项目按照最高级得分，不重复得分,不提相关证明供不得分。）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6.类似项目业绩：</w:t>
      </w:r>
      <w:r>
        <w:rPr>
          <w:rFonts w:ascii="SimSun" w:hAnsi="SimSun" w:eastAsia="SimSun" w:cs="SimSun"/>
          <w:color w:val="000000"/>
          <w:sz w:val="24"/>
        </w:rPr>
        <w:t xml:space="preserve">2023年1月1日起至今（以合同签订之日为准）投标单位具有类似安保服务管理项目业绩的，每提供一个得1分，最高得8分。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（注：投标文件中需提供合同复印件和与合同相对应任意一期销售发票复印件并加并加盖单位公章，不提供不得分。）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1、报价超过采购预算的将不进入综合评审程序，也不得标。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2、针对评分标准中评分的每一条，响应供应商均应提供相关资料并作出相应说明供评委评判，不提供相关资料的视为不具备该项得分的条件。</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3、付款步骤、交付完成限期如有负偏离的不得标。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4、所有扫描件必须字迹清晰可见，字迹不清晰不得分。扫描件：指原件或者复印件的复制件，包括扫描、照片等。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headerReference w:type="default" r:id="rId9"/>
      <w:footerReference w:type="default" r:id="rId10"/>
      <w:footnotePr/>
      <w:endnotePr/>
      <w:type w:val="nextPage"/>
      <w:pgSz w:w="11906" w:h="16838" w:orient="portrait"/>
      <w:pgMar w:top="1417" w:right="1417" w:bottom="1417"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Tahoma">
    <w:panose1 w:val="020B060403050404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75725"/>
      <w:rPr/>
    </w:sdtPr>
    <w:sdtContent>
      <w:p>
        <w:pPr>
          <w:pStyle w:val="867"/>
          <w:ind w:firstLine="180"/>
          <w:jc w:val="center"/>
        </w:pPr>
        <w:r>
          <w:fldChar w:fldCharType="begin"/>
        </w:r>
        <w:r>
          <w:instrText xml:space="preserve"> PAGE   \* MERGEFORMAT </w:instrText>
        </w:r>
        <w:r>
          <w:fldChar w:fldCharType="separate"/>
        </w:r>
        <w:r>
          <w:rPr>
            <w:lang w:val="zh-CN"/>
          </w:rPr>
          <w:t xml:space="preserve">57</w:t>
        </w:r>
        <w:r>
          <w:rPr>
            <w:lang w:val="zh-CN"/>
          </w:rPr>
          <w:fldChar w:fldCharType="end"/>
        </w:r>
        <w:r/>
      </w:p>
    </w:sdtContent>
  </w:sdt>
  <w:p>
    <w:pPr>
      <w:ind w:firstLine="2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5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3"/>
    <w:link w:val="848"/>
    <w:uiPriority w:val="9"/>
    <w:rPr>
      <w:rFonts w:ascii="Arial" w:hAnsi="Arial" w:eastAsia="Arial" w:cs="Arial"/>
      <w:sz w:val="40"/>
      <w:szCs w:val="40"/>
    </w:rPr>
  </w:style>
  <w:style w:type="character" w:styleId="683">
    <w:name w:val="Heading 2 Char"/>
    <w:basedOn w:val="853"/>
    <w:link w:val="849"/>
    <w:uiPriority w:val="9"/>
    <w:rPr>
      <w:rFonts w:ascii="Arial" w:hAnsi="Arial" w:eastAsia="Arial" w:cs="Arial"/>
      <w:sz w:val="34"/>
    </w:rPr>
  </w:style>
  <w:style w:type="character" w:styleId="684">
    <w:name w:val="Heading 3 Char"/>
    <w:basedOn w:val="853"/>
    <w:link w:val="850"/>
    <w:uiPriority w:val="9"/>
    <w:rPr>
      <w:rFonts w:ascii="Arial" w:hAnsi="Arial" w:eastAsia="Arial" w:cs="Arial"/>
      <w:sz w:val="30"/>
      <w:szCs w:val="30"/>
    </w:rPr>
  </w:style>
  <w:style w:type="character" w:styleId="685">
    <w:name w:val="Heading 4 Char"/>
    <w:basedOn w:val="853"/>
    <w:link w:val="851"/>
    <w:uiPriority w:val="9"/>
    <w:rPr>
      <w:rFonts w:ascii="Arial" w:hAnsi="Arial" w:eastAsia="Arial" w:cs="Arial"/>
      <w:b/>
      <w:bCs/>
      <w:sz w:val="26"/>
      <w:szCs w:val="26"/>
    </w:rPr>
  </w:style>
  <w:style w:type="character" w:styleId="686">
    <w:name w:val="Heading 5 Char"/>
    <w:basedOn w:val="853"/>
    <w:link w:val="852"/>
    <w:uiPriority w:val="9"/>
    <w:rPr>
      <w:rFonts w:ascii="Arial" w:hAnsi="Arial" w:eastAsia="Arial" w:cs="Arial"/>
      <w:b/>
      <w:bCs/>
      <w:sz w:val="24"/>
      <w:szCs w:val="24"/>
    </w:rPr>
  </w:style>
  <w:style w:type="paragraph" w:styleId="687">
    <w:name w:val="Heading 6"/>
    <w:basedOn w:val="847"/>
    <w:next w:val="847"/>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basedOn w:val="853"/>
    <w:link w:val="687"/>
    <w:uiPriority w:val="9"/>
    <w:rPr>
      <w:rFonts w:ascii="Arial" w:hAnsi="Arial" w:eastAsia="Arial" w:cs="Arial"/>
      <w:b/>
      <w:bCs/>
      <w:sz w:val="22"/>
      <w:szCs w:val="22"/>
    </w:rPr>
  </w:style>
  <w:style w:type="paragraph" w:styleId="689">
    <w:name w:val="Heading 7"/>
    <w:basedOn w:val="847"/>
    <w:next w:val="847"/>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53"/>
    <w:link w:val="689"/>
    <w:uiPriority w:val="9"/>
    <w:rPr>
      <w:rFonts w:ascii="Arial" w:hAnsi="Arial" w:eastAsia="Arial" w:cs="Arial"/>
      <w:b/>
      <w:bCs/>
      <w:i/>
      <w:iCs/>
      <w:sz w:val="22"/>
      <w:szCs w:val="22"/>
    </w:rPr>
  </w:style>
  <w:style w:type="paragraph" w:styleId="691">
    <w:name w:val="Heading 8"/>
    <w:basedOn w:val="847"/>
    <w:next w:val="847"/>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basedOn w:val="853"/>
    <w:link w:val="691"/>
    <w:uiPriority w:val="9"/>
    <w:rPr>
      <w:rFonts w:ascii="Arial" w:hAnsi="Arial" w:eastAsia="Arial" w:cs="Arial"/>
      <w:i/>
      <w:iCs/>
      <w:sz w:val="22"/>
      <w:szCs w:val="22"/>
    </w:rPr>
  </w:style>
  <w:style w:type="paragraph" w:styleId="693">
    <w:name w:val="Heading 9"/>
    <w:basedOn w:val="847"/>
    <w:next w:val="847"/>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basedOn w:val="853"/>
    <w:link w:val="693"/>
    <w:uiPriority w:val="9"/>
    <w:rPr>
      <w:rFonts w:ascii="Arial" w:hAnsi="Arial" w:eastAsia="Arial" w:cs="Arial"/>
      <w:i/>
      <w:iCs/>
      <w:sz w:val="21"/>
      <w:szCs w:val="21"/>
    </w:rPr>
  </w:style>
  <w:style w:type="paragraph" w:styleId="695">
    <w:name w:val="Title"/>
    <w:basedOn w:val="847"/>
    <w:next w:val="847"/>
    <w:link w:val="696"/>
    <w:uiPriority w:val="10"/>
    <w:qFormat/>
    <w:pPr>
      <w:contextualSpacing/>
      <w:spacing w:before="300" w:after="200"/>
    </w:pPr>
    <w:rPr>
      <w:sz w:val="48"/>
      <w:szCs w:val="48"/>
    </w:rPr>
  </w:style>
  <w:style w:type="character" w:styleId="696">
    <w:name w:val="Title Char"/>
    <w:basedOn w:val="853"/>
    <w:link w:val="695"/>
    <w:uiPriority w:val="10"/>
    <w:rPr>
      <w:sz w:val="48"/>
      <w:szCs w:val="48"/>
    </w:rPr>
  </w:style>
  <w:style w:type="character" w:styleId="697">
    <w:name w:val="Subtitle Char"/>
    <w:basedOn w:val="853"/>
    <w:link w:val="871"/>
    <w:uiPriority w:val="11"/>
    <w:rPr>
      <w:sz w:val="24"/>
      <w:szCs w:val="24"/>
    </w:rPr>
  </w:style>
  <w:style w:type="paragraph" w:styleId="698">
    <w:name w:val="Quote"/>
    <w:basedOn w:val="847"/>
    <w:next w:val="847"/>
    <w:link w:val="699"/>
    <w:uiPriority w:val="29"/>
    <w:qFormat/>
    <w:pPr>
      <w:ind w:left="720" w:right="720"/>
    </w:pPr>
    <w:rPr>
      <w:i/>
    </w:rPr>
  </w:style>
  <w:style w:type="character" w:styleId="699">
    <w:name w:val="Quote Char"/>
    <w:link w:val="698"/>
    <w:uiPriority w:val="29"/>
    <w:rPr>
      <w:i/>
    </w:rPr>
  </w:style>
  <w:style w:type="paragraph" w:styleId="700">
    <w:name w:val="Intense Quote"/>
    <w:basedOn w:val="847"/>
    <w:next w:val="847"/>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3"/>
    <w:link w:val="869"/>
    <w:uiPriority w:val="99"/>
  </w:style>
  <w:style w:type="character" w:styleId="703">
    <w:name w:val="Footer Char"/>
    <w:basedOn w:val="853"/>
    <w:link w:val="867"/>
    <w:uiPriority w:val="99"/>
  </w:style>
  <w:style w:type="paragraph" w:styleId="704">
    <w:name w:val="Caption"/>
    <w:basedOn w:val="847"/>
    <w:next w:val="847"/>
    <w:uiPriority w:val="35"/>
    <w:semiHidden/>
    <w:unhideWhenUsed/>
    <w:qFormat/>
    <w:pPr>
      <w:spacing w:line="276" w:lineRule="auto"/>
    </w:pPr>
    <w:rPr>
      <w:b/>
      <w:bCs/>
      <w:color w:val="4f81bd" w:themeColor="accent1"/>
      <w:sz w:val="18"/>
      <w:szCs w:val="18"/>
    </w:rPr>
  </w:style>
  <w:style w:type="character" w:styleId="705">
    <w:name w:val="Caption Char"/>
    <w:basedOn w:val="704"/>
    <w:link w:val="867"/>
    <w:uiPriority w:val="99"/>
  </w:style>
  <w:style w:type="table" w:styleId="706">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2">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3">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4">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5">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6">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7">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8">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9">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0">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1">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2">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5">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6">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7">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8">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9">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8">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9">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0">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1">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2">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3">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5">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6">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7">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8">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9">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0">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7"/>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3"/>
    <w:uiPriority w:val="99"/>
    <w:unhideWhenUsed/>
    <w:rPr>
      <w:vertAlign w:val="superscript"/>
    </w:rPr>
  </w:style>
  <w:style w:type="paragraph" w:styleId="834">
    <w:name w:val="endnote text"/>
    <w:basedOn w:val="847"/>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3"/>
    <w:uiPriority w:val="99"/>
    <w:semiHidden/>
    <w:unhideWhenUsed/>
    <w:rPr>
      <w:vertAlign w:val="superscript"/>
    </w:r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48">
    <w:name w:val="Heading 1"/>
    <w:basedOn w:val="847"/>
    <w:next w:val="847"/>
    <w:link w:val="893"/>
    <w:uiPriority w:val="0"/>
    <w:qFormat/>
    <w:pPr>
      <w:keepLines/>
      <w:keepNext/>
      <w:spacing w:before="340" w:after="330" w:line="578" w:lineRule="auto"/>
      <w:outlineLvl w:val="0"/>
    </w:pPr>
    <w:rPr>
      <w:b/>
      <w:sz w:val="44"/>
    </w:rPr>
  </w:style>
  <w:style w:type="paragraph" w:styleId="849">
    <w:name w:val="Heading 2"/>
    <w:basedOn w:val="847"/>
    <w:next w:val="847"/>
    <w:link w:val="894"/>
    <w:uiPriority w:val="0"/>
    <w:qFormat/>
    <w:pPr>
      <w:keepLines/>
      <w:keepNext/>
      <w:spacing w:before="260" w:after="260" w:line="416" w:lineRule="auto"/>
      <w:outlineLvl w:val="1"/>
    </w:pPr>
    <w:rPr>
      <w:rFonts w:ascii="Arial" w:hAnsi="Arial" w:eastAsia="黑体"/>
      <w:b/>
      <w:bCs/>
      <w:sz w:val="32"/>
      <w:szCs w:val="32"/>
    </w:rPr>
  </w:style>
  <w:style w:type="paragraph" w:styleId="850">
    <w:name w:val="Heading 3"/>
    <w:basedOn w:val="847"/>
    <w:next w:val="847"/>
    <w:link w:val="895"/>
    <w:uiPriority w:val="0"/>
    <w:qFormat/>
    <w:pPr>
      <w:keepLines/>
      <w:keepNext/>
      <w:spacing w:before="260" w:after="260" w:line="416" w:lineRule="auto"/>
      <w:outlineLvl w:val="2"/>
    </w:pPr>
    <w:rPr>
      <w:b/>
      <w:bCs/>
      <w:sz w:val="32"/>
      <w:szCs w:val="32"/>
    </w:rPr>
  </w:style>
  <w:style w:type="paragraph" w:styleId="851">
    <w:name w:val="Heading 4"/>
    <w:basedOn w:val="847"/>
    <w:next w:val="847"/>
    <w:link w:val="896"/>
    <w:uiPriority w:val="0"/>
    <w:qFormat/>
    <w:pPr>
      <w:keepLines/>
      <w:keepNext/>
      <w:spacing w:before="280" w:after="290" w:line="376" w:lineRule="auto"/>
      <w:outlineLvl w:val="3"/>
    </w:pPr>
    <w:rPr>
      <w:rFonts w:ascii="Arial" w:hAnsi="Arial" w:eastAsia="黑体"/>
      <w:b/>
      <w:bCs/>
      <w:sz w:val="28"/>
      <w:szCs w:val="28"/>
    </w:rPr>
  </w:style>
  <w:style w:type="paragraph" w:styleId="852">
    <w:name w:val="Heading 5"/>
    <w:basedOn w:val="847"/>
    <w:next w:val="847"/>
    <w:uiPriority w:val="1"/>
    <w:qFormat/>
    <w:pPr>
      <w:ind w:left="721"/>
      <w:outlineLvl w:val="4"/>
    </w:pPr>
    <w:rPr>
      <w:b/>
      <w:bCs/>
      <w:sz w:val="21"/>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List Number"/>
    <w:basedOn w:val="847"/>
    <w:uiPriority w:val="0"/>
    <w:qFormat/>
    <w:pPr>
      <w:ind w:left="1125" w:hanging="555"/>
      <w:tabs>
        <w:tab w:val="left" w:pos="1125" w:leader="none"/>
      </w:tabs>
    </w:pPr>
    <w:rPr>
      <w:rFonts w:eastAsia="宋体"/>
      <w:sz w:val="21"/>
      <w:szCs w:val="24"/>
    </w:rPr>
  </w:style>
  <w:style w:type="paragraph" w:styleId="856">
    <w:name w:val="Normal Indent"/>
    <w:basedOn w:val="847"/>
    <w:next w:val="847"/>
    <w:link w:val="897"/>
    <w:uiPriority w:val="99"/>
    <w:qFormat/>
    <w:pPr>
      <w:ind w:firstLine="420"/>
      <w:jc w:val="left"/>
    </w:pPr>
    <w:rPr>
      <w:sz w:val="24"/>
    </w:rPr>
  </w:style>
  <w:style w:type="paragraph" w:styleId="857">
    <w:name w:val="List Bullet"/>
    <w:basedOn w:val="848"/>
    <w:next w:val="847"/>
    <w:uiPriority w:val="99"/>
    <w:semiHidden/>
    <w:unhideWhenUsed/>
    <w:qFormat/>
    <w:pPr>
      <w:numPr>
        <w:ilvl w:val="0"/>
        <w:numId w:val="1"/>
      </w:numPr>
    </w:pPr>
  </w:style>
  <w:style w:type="paragraph" w:styleId="858">
    <w:name w:val="Document Map"/>
    <w:basedOn w:val="847"/>
    <w:uiPriority w:val="0"/>
    <w:qFormat/>
    <w:rPr>
      <w:rFonts w:ascii="宋体"/>
      <w:sz w:val="18"/>
      <w:szCs w:val="18"/>
    </w:rPr>
  </w:style>
  <w:style w:type="paragraph" w:styleId="859">
    <w:name w:val="annotation text"/>
    <w:basedOn w:val="847"/>
    <w:link w:val="910"/>
    <w:uiPriority w:val="99"/>
    <w:semiHidden/>
    <w:qFormat/>
    <w:pPr>
      <w:jc w:val="left"/>
    </w:pPr>
  </w:style>
  <w:style w:type="paragraph" w:styleId="860">
    <w:name w:val="Body Text"/>
    <w:basedOn w:val="847"/>
    <w:link w:val="902"/>
    <w:uiPriority w:val="0"/>
    <w:qFormat/>
    <w:pPr>
      <w:spacing w:line="400" w:lineRule="exact"/>
    </w:pPr>
    <w:rPr>
      <w:rFonts w:ascii="楷体_GB2312"/>
      <w:sz w:val="28"/>
    </w:rPr>
  </w:style>
  <w:style w:type="paragraph" w:styleId="861">
    <w:name w:val="Body Text Indent"/>
    <w:basedOn w:val="847"/>
    <w:next w:val="847"/>
    <w:link w:val="913"/>
    <w:uiPriority w:val="0"/>
    <w:qFormat/>
    <w:pPr>
      <w:ind w:left="420"/>
      <w:spacing w:after="120"/>
    </w:pPr>
  </w:style>
  <w:style w:type="paragraph" w:styleId="862">
    <w:name w:val="Block Text"/>
    <w:basedOn w:val="847"/>
    <w:uiPriority w:val="0"/>
    <w:qFormat/>
    <w:pPr>
      <w:ind w:left="147" w:right="246" w:firstLine="480"/>
      <w:spacing w:line="360" w:lineRule="auto"/>
    </w:pPr>
    <w:rPr>
      <w:rFonts w:ascii="宋体" w:hAnsi="宋体" w:eastAsia="宋体"/>
      <w:sz w:val="24"/>
      <w:szCs w:val="24"/>
    </w:rPr>
  </w:style>
  <w:style w:type="paragraph" w:styleId="863">
    <w:name w:val="Plain Text"/>
    <w:basedOn w:val="847"/>
    <w:link w:val="900"/>
    <w:uiPriority w:val="99"/>
    <w:qFormat/>
    <w:rPr>
      <w:rFonts w:ascii="宋体" w:hAnsi="Courier New"/>
    </w:rPr>
  </w:style>
  <w:style w:type="paragraph" w:styleId="864">
    <w:name w:val="Date"/>
    <w:basedOn w:val="847"/>
    <w:next w:val="847"/>
    <w:link w:val="901"/>
    <w:uiPriority w:val="0"/>
    <w:qFormat/>
    <w:rPr>
      <w:rFonts w:ascii="宋体" w:hAnsi="宋体"/>
      <w:sz w:val="24"/>
    </w:rPr>
  </w:style>
  <w:style w:type="paragraph" w:styleId="865">
    <w:name w:val="Body Text Indent 2"/>
    <w:basedOn w:val="847"/>
    <w:link w:val="903"/>
    <w:uiPriority w:val="0"/>
    <w:qFormat/>
    <w:pPr>
      <w:ind w:firstLine="502"/>
      <w:spacing w:line="360" w:lineRule="auto"/>
      <w:tabs>
        <w:tab w:val="left" w:pos="0" w:leader="none"/>
      </w:tabs>
    </w:pPr>
    <w:rPr>
      <w:rFonts w:ascii="宋体" w:eastAsia="宋体"/>
      <w:b/>
      <w:bCs/>
      <w:sz w:val="24"/>
    </w:rPr>
  </w:style>
  <w:style w:type="paragraph" w:styleId="866">
    <w:name w:val="Balloon Text"/>
    <w:basedOn w:val="847"/>
    <w:link w:val="904"/>
    <w:uiPriority w:val="0"/>
    <w:semiHidden/>
    <w:qFormat/>
    <w:rPr>
      <w:sz w:val="18"/>
      <w:szCs w:val="18"/>
    </w:rPr>
  </w:style>
  <w:style w:type="paragraph" w:styleId="867">
    <w:name w:val="Footer"/>
    <w:basedOn w:val="847"/>
    <w:link w:val="892"/>
    <w:uiPriority w:val="99"/>
    <w:unhideWhenUsed/>
    <w:qFormat/>
    <w:pPr>
      <w:jc w:val="left"/>
      <w:tabs>
        <w:tab w:val="center" w:pos="4153" w:leader="none"/>
        <w:tab w:val="right" w:pos="8306" w:leader="none"/>
      </w:tabs>
    </w:pPr>
    <w:rPr>
      <w:sz w:val="18"/>
      <w:szCs w:val="18"/>
    </w:rPr>
  </w:style>
  <w:style w:type="paragraph" w:styleId="868">
    <w:name w:val="envelope return"/>
    <w:basedOn w:val="847"/>
    <w:uiPriority w:val="0"/>
    <w:qFormat/>
    <w:rPr>
      <w:rFonts w:ascii="Arial" w:hAnsi="Arial"/>
    </w:rPr>
  </w:style>
  <w:style w:type="paragraph" w:styleId="869">
    <w:name w:val="Header"/>
    <w:basedOn w:val="847"/>
    <w:link w:val="89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47"/>
    <w:next w:val="847"/>
    <w:uiPriority w:val="39"/>
    <w:qFormat/>
    <w:pPr>
      <w:jc w:val="left"/>
    </w:pPr>
    <w:rPr>
      <w:sz w:val="24"/>
    </w:rPr>
  </w:style>
  <w:style w:type="paragraph" w:styleId="871">
    <w:name w:val="Subtitle"/>
    <w:basedOn w:val="847"/>
    <w:next w:val="847"/>
    <w:link w:val="929"/>
    <w:uiPriority w:val="0"/>
    <w:qFormat/>
    <w:pPr>
      <w:jc w:val="center"/>
      <w:spacing w:before="240" w:after="60" w:line="312" w:lineRule="auto"/>
      <w:outlineLvl w:val="1"/>
    </w:pPr>
    <w:rPr>
      <w:rFonts w:ascii="Cambria" w:hAnsi="Cambria" w:eastAsia="宋体"/>
      <w:b/>
      <w:bCs/>
      <w:sz w:val="32"/>
      <w:szCs w:val="32"/>
    </w:rPr>
  </w:style>
  <w:style w:type="paragraph" w:styleId="872">
    <w:name w:val="Body Text Indent 3"/>
    <w:basedOn w:val="847"/>
    <w:link w:val="905"/>
    <w:uiPriority w:val="0"/>
    <w:qFormat/>
    <w:pPr>
      <w:ind w:left="420"/>
      <w:spacing w:after="120"/>
    </w:pPr>
    <w:rPr>
      <w:sz w:val="16"/>
      <w:szCs w:val="16"/>
    </w:rPr>
  </w:style>
  <w:style w:type="paragraph" w:styleId="873">
    <w:name w:val="Body Text 2"/>
    <w:basedOn w:val="848"/>
    <w:next w:val="857"/>
    <w:uiPriority w:val="0"/>
    <w:qFormat/>
    <w:pPr>
      <w:spacing w:after="120" w:line="480" w:lineRule="auto"/>
    </w:pPr>
  </w:style>
  <w:style w:type="paragraph" w:styleId="874">
    <w:name w:val="Normal (Web)"/>
    <w:basedOn w:val="847"/>
    <w:uiPriority w:val="99"/>
    <w:qFormat/>
    <w:pPr>
      <w:jc w:val="left"/>
      <w:spacing w:before="100" w:beforeAutospacing="1" w:after="100" w:afterAutospacing="1"/>
      <w:widowControl/>
    </w:pPr>
    <w:rPr>
      <w:rFonts w:ascii="宋体" w:hAnsi="宋体" w:eastAsia="宋体" w:cs="宋体"/>
      <w:sz w:val="24"/>
      <w:szCs w:val="24"/>
    </w:rPr>
  </w:style>
  <w:style w:type="paragraph" w:styleId="875">
    <w:name w:val="index 1"/>
    <w:basedOn w:val="847"/>
    <w:next w:val="847"/>
    <w:uiPriority w:val="0"/>
    <w:semiHidden/>
    <w:qFormat/>
  </w:style>
  <w:style w:type="paragraph" w:styleId="876">
    <w:name w:val="annotation subject"/>
    <w:basedOn w:val="859"/>
    <w:next w:val="859"/>
    <w:link w:val="911"/>
    <w:uiPriority w:val="0"/>
    <w:semiHidden/>
    <w:qFormat/>
    <w:rPr>
      <w:b/>
      <w:bCs/>
    </w:rPr>
  </w:style>
  <w:style w:type="paragraph" w:styleId="877">
    <w:name w:val="Body Text First Indent 2"/>
    <w:basedOn w:val="861"/>
    <w:next w:val="847"/>
    <w:link w:val="925"/>
    <w:uiPriority w:val="0"/>
    <w:qFormat/>
    <w:pPr>
      <w:ind w:firstLine="420"/>
    </w:pPr>
    <w:rPr>
      <w:rFonts w:eastAsia="宋体"/>
      <w:sz w:val="21"/>
      <w:szCs w:val="24"/>
    </w:rPr>
  </w:style>
  <w:style w:type="table" w:styleId="878">
    <w:name w:val="Table Grid"/>
    <w:basedOn w:val="85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page number"/>
    <w:basedOn w:val="853"/>
    <w:uiPriority w:val="0"/>
    <w:qFormat/>
  </w:style>
  <w:style w:type="character" w:styleId="880">
    <w:name w:val="FollowedHyperlink"/>
    <w:basedOn w:val="853"/>
    <w:uiPriority w:val="99"/>
    <w:semiHidden/>
    <w:unhideWhenUsed/>
    <w:qFormat/>
    <w:rPr>
      <w:color w:val="333333"/>
      <w:u w:val="none"/>
    </w:rPr>
  </w:style>
  <w:style w:type="character" w:styleId="881">
    <w:name w:val="Emphasis"/>
    <w:basedOn w:val="853"/>
    <w:uiPriority w:val="20"/>
    <w:qFormat/>
  </w:style>
  <w:style w:type="character" w:styleId="882">
    <w:name w:val="Hyperlink"/>
    <w:basedOn w:val="853"/>
    <w:uiPriority w:val="0"/>
    <w:qFormat/>
    <w:rPr>
      <w:color w:val="333333"/>
      <w:u w:val="none"/>
    </w:rPr>
  </w:style>
  <w:style w:type="character" w:styleId="883">
    <w:name w:val="annotation reference"/>
    <w:uiPriority w:val="99"/>
    <w:semiHidden/>
    <w:qFormat/>
    <w:rPr>
      <w:sz w:val="21"/>
      <w:szCs w:val="21"/>
    </w:rPr>
  </w:style>
  <w:style w:type="paragraph" w:styleId="884" w:customStyle="1">
    <w:name w:val="目录 51"/>
    <w:next w:val="847"/>
    <w:uiPriority w:val="0"/>
    <w:qFormat/>
    <w:pPr>
      <w:ind w:left="1275"/>
      <w:jc w:val="both"/>
    </w:pPr>
    <w:rPr>
      <w:rFonts w:ascii="Times New Roman" w:hAnsi="Times New Roman" w:eastAsia="宋体" w:cs="Times New Roman"/>
      <w:sz w:val="21"/>
      <w:lang w:val="en-US" w:eastAsia="zh-CN" w:bidi="ar-SA"/>
    </w:rPr>
  </w:style>
  <w:style w:type="paragraph" w:styleId="885" w:customStyle="1">
    <w:name w:val="正文文本缩进11"/>
    <w:basedOn w:val="847"/>
    <w:next w:val="886"/>
    <w:uiPriority w:val="0"/>
    <w:qFormat/>
    <w:pPr>
      <w:ind w:firstLine="420"/>
      <w:spacing w:line="360" w:lineRule="exact"/>
    </w:pPr>
    <w:rPr>
      <w:sz w:val="24"/>
    </w:rPr>
  </w:style>
  <w:style w:type="paragraph" w:styleId="886" w:customStyle="1">
    <w:name w:val="寄信人地址1"/>
    <w:basedOn w:val="847"/>
    <w:uiPriority w:val="0"/>
    <w:qFormat/>
    <w:rPr>
      <w:rFonts w:ascii="Arial" w:hAnsi="Arial"/>
    </w:rPr>
  </w:style>
  <w:style w:type="paragraph" w:styleId="887" w:customStyle="1">
    <w:name w:val="段"/>
    <w:next w:val="847"/>
    <w:uiPriority w:val="0"/>
    <w:qFormat/>
    <w:pPr>
      <w:ind w:firstLine="200"/>
      <w:jc w:val="both"/>
    </w:pPr>
    <w:rPr>
      <w:rFonts w:ascii="宋体" w:hAnsi="Times New Roman" w:eastAsia="宋体" w:cs="Times New Roman"/>
      <w:sz w:val="21"/>
      <w:lang w:val="en-US" w:eastAsia="zh-CN" w:bidi="ar-SA"/>
    </w:rPr>
  </w:style>
  <w:style w:type="paragraph" w:styleId="888" w:customStyle="1">
    <w:name w:val="正文文本1"/>
    <w:basedOn w:val="847"/>
    <w:uiPriority w:val="0"/>
    <w:qFormat/>
    <w:pPr>
      <w:jc w:val="center"/>
    </w:pPr>
    <w:rPr>
      <w:rFonts w:ascii="方正大黑简体" w:hAnsi="Tahoma" w:eastAsia="方正大黑简体"/>
      <w:position w:val="6"/>
      <w:sz w:val="30"/>
      <w:lang w:eastAsia="en-US"/>
    </w:rPr>
  </w:style>
  <w:style w:type="paragraph" w:styleId="889" w:customStyle="1">
    <w:name w:val="首行缩进"/>
    <w:basedOn w:val="847"/>
    <w:uiPriority w:val="0"/>
    <w:qFormat/>
    <w:pPr>
      <w:ind w:firstLine="480"/>
    </w:pPr>
    <w:rPr>
      <w:lang w:val="zh-CN"/>
    </w:rPr>
  </w:style>
  <w:style w:type="paragraph" w:styleId="890" w:customStyle="1">
    <w:name w:val="Default"/>
    <w:next w:val="847"/>
    <w:uiPriority w:val="0"/>
    <w:qFormat/>
    <w:pPr>
      <w:widowControl w:val="off"/>
    </w:pPr>
    <w:rPr>
      <w:rFonts w:ascii="宋体糭.飬.." w:hAnsi="Times New Roman" w:eastAsia="宋体糭.飬.." w:cs="宋体糭.飬.."/>
      <w:color w:val="000000"/>
      <w:sz w:val="24"/>
      <w:szCs w:val="24"/>
      <w:lang w:val="en-US" w:eastAsia="zh-CN" w:bidi="ar-SA"/>
    </w:rPr>
  </w:style>
  <w:style w:type="character" w:styleId="891" w:customStyle="1">
    <w:name w:val="页眉 字符"/>
    <w:basedOn w:val="853"/>
    <w:link w:val="869"/>
    <w:uiPriority w:val="0"/>
    <w:qFormat/>
    <w:rPr>
      <w:sz w:val="18"/>
      <w:szCs w:val="18"/>
    </w:rPr>
  </w:style>
  <w:style w:type="character" w:styleId="892" w:customStyle="1">
    <w:name w:val="页脚 字符"/>
    <w:basedOn w:val="853"/>
    <w:link w:val="867"/>
    <w:uiPriority w:val="99"/>
    <w:qFormat/>
    <w:rPr>
      <w:sz w:val="18"/>
      <w:szCs w:val="18"/>
    </w:rPr>
  </w:style>
  <w:style w:type="character" w:styleId="893" w:customStyle="1">
    <w:name w:val="标题 1 字符"/>
    <w:basedOn w:val="853"/>
    <w:link w:val="848"/>
    <w:uiPriority w:val="0"/>
    <w:qFormat/>
    <w:rPr>
      <w:rFonts w:ascii="Times New Roman" w:hAnsi="Times New Roman" w:eastAsia="楷体_GB2312" w:cs="Times New Roman"/>
      <w:b/>
      <w:sz w:val="44"/>
      <w:szCs w:val="20"/>
    </w:rPr>
  </w:style>
  <w:style w:type="character" w:styleId="894" w:customStyle="1">
    <w:name w:val="标题 2 字符"/>
    <w:basedOn w:val="853"/>
    <w:link w:val="849"/>
    <w:uiPriority w:val="0"/>
    <w:qFormat/>
    <w:rPr>
      <w:rFonts w:ascii="Arial" w:hAnsi="Arial" w:eastAsia="黑体" w:cs="Times New Roman"/>
      <w:b/>
      <w:bCs/>
      <w:sz w:val="32"/>
      <w:szCs w:val="32"/>
    </w:rPr>
  </w:style>
  <w:style w:type="character" w:styleId="895" w:customStyle="1">
    <w:name w:val="标题 3 字符"/>
    <w:basedOn w:val="853"/>
    <w:link w:val="850"/>
    <w:uiPriority w:val="0"/>
    <w:qFormat/>
    <w:rPr>
      <w:rFonts w:ascii="Times New Roman" w:hAnsi="Times New Roman" w:eastAsia="楷体_GB2312" w:cs="Times New Roman"/>
      <w:b/>
      <w:bCs/>
      <w:sz w:val="32"/>
      <w:szCs w:val="32"/>
    </w:rPr>
  </w:style>
  <w:style w:type="character" w:styleId="896" w:customStyle="1">
    <w:name w:val="标题 4 字符"/>
    <w:basedOn w:val="853"/>
    <w:link w:val="851"/>
    <w:uiPriority w:val="0"/>
    <w:qFormat/>
    <w:rPr>
      <w:rFonts w:ascii="Arial" w:hAnsi="Arial" w:eastAsia="黑体" w:cs="Times New Roman"/>
      <w:b/>
      <w:bCs/>
      <w:sz w:val="28"/>
      <w:szCs w:val="28"/>
    </w:rPr>
  </w:style>
  <w:style w:type="character" w:styleId="897" w:customStyle="1">
    <w:name w:val="正文缩进 字符"/>
    <w:link w:val="856"/>
    <w:uiPriority w:val="0"/>
    <w:qFormat/>
    <w:rPr>
      <w:rFonts w:ascii="Times New Roman" w:hAnsi="Times New Roman" w:eastAsia="楷体_GB2312" w:cs="Times New Roman"/>
      <w:sz w:val="24"/>
      <w:szCs w:val="20"/>
    </w:rPr>
  </w:style>
  <w:style w:type="paragraph" w:styleId="898" w:customStyle="1">
    <w:name w:val="纯文本1"/>
    <w:basedOn w:val="847"/>
    <w:link w:val="899"/>
    <w:uiPriority w:val="0"/>
    <w:qFormat/>
    <w:rPr>
      <w:rFonts w:ascii="宋体" w:hAnsi="Courier New"/>
    </w:rPr>
  </w:style>
  <w:style w:type="character" w:styleId="899" w:customStyle="1">
    <w:name w:val="Plain Text Char Char"/>
    <w:link w:val="898"/>
    <w:uiPriority w:val="0"/>
    <w:qFormat/>
    <w:rPr>
      <w:rFonts w:ascii="宋体" w:hAnsi="Courier New" w:eastAsia="楷体_GB2312" w:cs="Times New Roman"/>
      <w:sz w:val="26"/>
      <w:szCs w:val="20"/>
    </w:rPr>
  </w:style>
  <w:style w:type="character" w:styleId="900" w:customStyle="1">
    <w:name w:val="纯文本 字符"/>
    <w:basedOn w:val="853"/>
    <w:link w:val="863"/>
    <w:uiPriority w:val="99"/>
    <w:qFormat/>
    <w:rPr>
      <w:rFonts w:ascii="宋体" w:hAnsi="Courier New" w:eastAsia="楷体_GB2312" w:cs="Times New Roman"/>
      <w:sz w:val="26"/>
      <w:szCs w:val="20"/>
    </w:rPr>
  </w:style>
  <w:style w:type="character" w:styleId="901" w:customStyle="1">
    <w:name w:val="日期 字符"/>
    <w:basedOn w:val="853"/>
    <w:link w:val="864"/>
    <w:uiPriority w:val="0"/>
    <w:qFormat/>
    <w:rPr>
      <w:rFonts w:ascii="宋体" w:hAnsi="宋体" w:eastAsia="楷体_GB2312" w:cs="Times New Roman"/>
      <w:sz w:val="24"/>
      <w:szCs w:val="20"/>
    </w:rPr>
  </w:style>
  <w:style w:type="character" w:styleId="902" w:customStyle="1">
    <w:name w:val="正文文本 字符"/>
    <w:basedOn w:val="853"/>
    <w:link w:val="860"/>
    <w:uiPriority w:val="0"/>
    <w:qFormat/>
    <w:rPr>
      <w:rFonts w:ascii="楷体_GB2312" w:hAnsi="Times New Roman" w:eastAsia="楷体_GB2312" w:cs="Times New Roman"/>
      <w:sz w:val="28"/>
      <w:szCs w:val="20"/>
    </w:rPr>
  </w:style>
  <w:style w:type="character" w:styleId="903" w:customStyle="1">
    <w:name w:val="正文文本缩进 2 字符"/>
    <w:basedOn w:val="853"/>
    <w:link w:val="865"/>
    <w:uiPriority w:val="0"/>
    <w:qFormat/>
    <w:rPr>
      <w:rFonts w:ascii="宋体" w:hAnsi="Times New Roman" w:eastAsia="宋体" w:cs="Times New Roman"/>
      <w:b/>
      <w:bCs/>
      <w:sz w:val="24"/>
      <w:szCs w:val="20"/>
    </w:rPr>
  </w:style>
  <w:style w:type="character" w:styleId="904" w:customStyle="1">
    <w:name w:val="批注框文本 字符"/>
    <w:basedOn w:val="853"/>
    <w:link w:val="866"/>
    <w:uiPriority w:val="0"/>
    <w:semiHidden/>
    <w:qFormat/>
    <w:rPr>
      <w:rFonts w:ascii="Times New Roman" w:hAnsi="Times New Roman" w:eastAsia="楷体_GB2312" w:cs="Times New Roman"/>
      <w:sz w:val="18"/>
      <w:szCs w:val="18"/>
    </w:rPr>
  </w:style>
  <w:style w:type="character" w:styleId="905" w:customStyle="1">
    <w:name w:val="正文文本缩进 3 字符"/>
    <w:basedOn w:val="853"/>
    <w:link w:val="872"/>
    <w:uiPriority w:val="0"/>
    <w:qFormat/>
    <w:rPr>
      <w:rFonts w:ascii="Times New Roman" w:hAnsi="Times New Roman" w:eastAsia="楷体_GB2312" w:cs="Times New Roman"/>
      <w:sz w:val="16"/>
      <w:szCs w:val="16"/>
    </w:rPr>
  </w:style>
  <w:style w:type="character" w:styleId="906" w:customStyle="1">
    <w:name w:val="正文首行缩进 Char Char"/>
    <w:link w:val="907"/>
    <w:uiPriority w:val="0"/>
    <w:qFormat/>
    <w:rPr>
      <w:szCs w:val="24"/>
    </w:rPr>
  </w:style>
  <w:style w:type="paragraph" w:styleId="907" w:customStyle="1">
    <w:name w:val="正文首行缩进1"/>
    <w:basedOn w:val="860"/>
    <w:link w:val="906"/>
    <w:uiPriority w:val="0"/>
    <w:qFormat/>
    <w:pPr>
      <w:ind w:firstLine="420"/>
      <w:spacing w:after="120" w:line="240" w:lineRule="auto"/>
    </w:pPr>
    <w:rPr>
      <w:rFonts w:asciiTheme="minorHAnsi" w:hAnsiTheme="minorHAnsi" w:eastAsiaTheme="minorEastAsia" w:cstheme="minorBidi"/>
      <w:sz w:val="21"/>
      <w:szCs w:val="24"/>
    </w:rPr>
  </w:style>
  <w:style w:type="paragraph" w:styleId="908" w:customStyle="1">
    <w:name w:val="_Style 24"/>
    <w:basedOn w:val="847"/>
    <w:uiPriority w:val="0"/>
    <w:qFormat/>
    <w:rPr>
      <w:rFonts w:eastAsia="宋体"/>
      <w:sz w:val="21"/>
      <w:szCs w:val="24"/>
    </w:rPr>
  </w:style>
  <w:style w:type="character" w:styleId="909" w:customStyle="1">
    <w:name w:val="Char Char1"/>
    <w:uiPriority w:val="0"/>
    <w:qFormat/>
    <w:rPr>
      <w:rFonts w:ascii="宋体" w:hAnsi="Courier New" w:eastAsia="楷体_GB2312"/>
      <w:sz w:val="26"/>
      <w:lang w:val="en-US" w:eastAsia="zh-CN" w:bidi="ar-SA"/>
    </w:rPr>
  </w:style>
  <w:style w:type="character" w:styleId="910" w:customStyle="1">
    <w:name w:val="批注文字 字符"/>
    <w:basedOn w:val="853"/>
    <w:link w:val="859"/>
    <w:uiPriority w:val="99"/>
    <w:semiHidden/>
    <w:qFormat/>
    <w:rPr>
      <w:rFonts w:ascii="Times New Roman" w:hAnsi="Times New Roman" w:eastAsia="楷体_GB2312" w:cs="Times New Roman"/>
      <w:sz w:val="26"/>
      <w:szCs w:val="20"/>
    </w:rPr>
  </w:style>
  <w:style w:type="character" w:styleId="911" w:customStyle="1">
    <w:name w:val="批注主题 字符"/>
    <w:basedOn w:val="910"/>
    <w:link w:val="876"/>
    <w:uiPriority w:val="0"/>
    <w:semiHidden/>
    <w:qFormat/>
    <w:rPr>
      <w:rFonts w:ascii="Times New Roman" w:hAnsi="Times New Roman" w:eastAsia="楷体_GB2312" w:cs="Times New Roman"/>
      <w:b/>
      <w:bCs/>
      <w:sz w:val="26"/>
      <w:szCs w:val="20"/>
    </w:rPr>
  </w:style>
  <w:style w:type="paragraph" w:styleId="912" w:customStyle="1">
    <w:name w:val="纯文本111"/>
    <w:basedOn w:val="847"/>
    <w:uiPriority w:val="0"/>
    <w:qFormat/>
    <w:rPr>
      <w:rFonts w:ascii="宋体" w:hAnsi="Courier New"/>
      <w:sz w:val="28"/>
    </w:rPr>
  </w:style>
  <w:style w:type="character" w:styleId="913" w:customStyle="1">
    <w:name w:val="正文文本缩进 字符"/>
    <w:basedOn w:val="853"/>
    <w:link w:val="861"/>
    <w:uiPriority w:val="0"/>
    <w:qFormat/>
    <w:rPr>
      <w:rFonts w:ascii="Times New Roman" w:hAnsi="Times New Roman" w:eastAsia="楷体_GB2312" w:cs="Times New Roman"/>
      <w:sz w:val="26"/>
      <w:szCs w:val="20"/>
    </w:rPr>
  </w:style>
  <w:style w:type="character" w:styleId="914" w:customStyle="1">
    <w:name w:val="ca-221"/>
    <w:uiPriority w:val="0"/>
    <w:qFormat/>
    <w:rPr>
      <w:rFonts w:hint="eastAsia" w:ascii="宋体" w:hAnsi="宋体" w:eastAsia="宋体"/>
      <w:color w:val="ff0000"/>
      <w:sz w:val="24"/>
      <w:szCs w:val="24"/>
    </w:rPr>
  </w:style>
  <w:style w:type="paragraph" w:styleId="915" w:customStyle="1">
    <w:name w:val="p0"/>
    <w:basedOn w:val="847"/>
    <w:uiPriority w:val="0"/>
    <w:qFormat/>
    <w:pPr>
      <w:jc w:val="left"/>
      <w:spacing w:before="100" w:beforeAutospacing="1" w:after="100" w:afterAutospacing="1"/>
      <w:widowControl/>
    </w:pPr>
    <w:rPr>
      <w:rFonts w:ascii="宋体" w:hAnsi="宋体" w:eastAsia="宋体" w:cs="宋体"/>
      <w:sz w:val="24"/>
      <w:szCs w:val="24"/>
    </w:rPr>
  </w:style>
  <w:style w:type="paragraph" w:styleId="916"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917" w:customStyle="1">
    <w:name w:val="文字"/>
    <w:basedOn w:val="847"/>
    <w:uiPriority w:val="0"/>
    <w:qFormat/>
    <w:pPr>
      <w:ind w:firstLine="420"/>
      <w:spacing w:line="360" w:lineRule="auto"/>
      <w:widowControl/>
    </w:pPr>
    <w:rPr>
      <w:rFonts w:eastAsia="宋体"/>
      <w:sz w:val="24"/>
      <w:szCs w:val="24"/>
    </w:rPr>
  </w:style>
  <w:style w:type="character" w:styleId="918" w:customStyle="1">
    <w:name w:val="正文缩进 Char"/>
    <w:uiPriority w:val="0"/>
    <w:qFormat/>
    <w:rPr>
      <w:rFonts w:eastAsia="楷体_GB2312"/>
      <w:sz w:val="24"/>
      <w:lang w:val="en-US" w:eastAsia="zh-CN" w:bidi="ar-SA"/>
    </w:rPr>
  </w:style>
  <w:style w:type="paragraph" w:styleId="919">
    <w:name w:val="List Paragraph"/>
    <w:basedOn w:val="847"/>
    <w:uiPriority w:val="34"/>
    <w:qFormat/>
    <w:pPr>
      <w:ind w:firstLine="420"/>
    </w:pPr>
    <w:rPr>
      <w:rFonts w:eastAsia="宋体"/>
      <w:sz w:val="21"/>
      <w:szCs w:val="24"/>
    </w:rPr>
  </w:style>
  <w:style w:type="paragraph" w:styleId="920" w:customStyle="1">
    <w:name w:val="xl91"/>
    <w:basedOn w:val="848"/>
    <w:next w:val="921"/>
    <w:uiPriority w:val="0"/>
    <w:qFormat/>
    <w:pPr>
      <w:ind w:firstLine="3584"/>
      <w:spacing w:before="280" w:after="280" w:line="240" w:lineRule="auto"/>
    </w:pPr>
  </w:style>
  <w:style w:type="paragraph" w:styleId="921" w:customStyle="1">
    <w:name w:val="xl76"/>
    <w:basedOn w:val="848"/>
    <w:next w:val="873"/>
    <w:uiPriority w:val="0"/>
    <w:qFormat/>
    <w:pPr>
      <w:ind w:firstLine="3584"/>
      <w:jc w:val="center"/>
      <w:spacing w:before="280" w:after="280" w:line="240" w:lineRule="auto"/>
    </w:pPr>
  </w:style>
  <w:style w:type="paragraph" w:styleId="922" w:customStyle="1">
    <w:name w:val="正文_0_0"/>
    <w:uiPriority w:val="0"/>
    <w:qFormat/>
    <w:pPr>
      <w:jc w:val="both"/>
      <w:widowControl w:val="off"/>
    </w:pPr>
    <w:rPr>
      <w:rFonts w:ascii="Calibri" w:hAnsi="Calibri" w:eastAsia="宋体" w:cs="Times New Roman"/>
      <w:lang w:val="en-US" w:eastAsia="zh-CN" w:bidi="ar-SA"/>
    </w:rPr>
  </w:style>
  <w:style w:type="paragraph" w:styleId="923" w:customStyle="1">
    <w:name w:val="正文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924" w:customStyle="1">
    <w:name w:val="修订1"/>
    <w:hidden/>
    <w:uiPriority w:val="99"/>
    <w:semiHidden/>
    <w:qFormat/>
    <w:rPr>
      <w:rFonts w:ascii="Times New Roman" w:hAnsi="Times New Roman" w:eastAsia="楷体_GB2312" w:cs="Times New Roman"/>
      <w:sz w:val="26"/>
      <w:lang w:val="en-US" w:eastAsia="zh-CN" w:bidi="ar-SA"/>
    </w:rPr>
  </w:style>
  <w:style w:type="character" w:styleId="925" w:customStyle="1">
    <w:name w:val="正文文本首行缩进 2 字符"/>
    <w:basedOn w:val="913"/>
    <w:link w:val="877"/>
    <w:uiPriority w:val="0"/>
    <w:qFormat/>
    <w:rPr>
      <w:rFonts w:ascii="Times New Roman" w:hAnsi="Times New Roman" w:eastAsia="宋体" w:cs="Times New Roman"/>
      <w:sz w:val="26"/>
      <w:szCs w:val="24"/>
    </w:rPr>
  </w:style>
  <w:style w:type="paragraph" w:styleId="926" w:customStyle="1">
    <w:name w:val="b4一级标题"/>
    <w:basedOn w:val="847"/>
    <w:uiPriority w:val="0"/>
    <w:qFormat/>
    <w:pPr>
      <w:jc w:val="center"/>
      <w:spacing w:line="360" w:lineRule="auto"/>
      <w:outlineLvl w:val="0"/>
    </w:pPr>
    <w:rPr>
      <w:rFonts w:ascii="宋体" w:hAnsi="宋体" w:eastAsia="宋体"/>
      <w:b/>
      <w:sz w:val="36"/>
      <w:szCs w:val="36"/>
    </w:rPr>
  </w:style>
  <w:style w:type="paragraph" w:styleId="927" w:customStyle="1">
    <w:name w:val="标题3"/>
    <w:basedOn w:val="850"/>
    <w:uiPriority w:val="0"/>
    <w:qFormat/>
    <w:pPr>
      <w:contextualSpacing/>
      <w:jc w:val="center"/>
      <w:spacing w:line="240" w:lineRule="auto"/>
    </w:pPr>
    <w:rPr>
      <w:rFonts w:eastAsia="黑体" w:cs="宋体"/>
      <w:sz w:val="28"/>
      <w:szCs w:val="20"/>
    </w:rPr>
  </w:style>
  <w:style w:type="paragraph" w:styleId="928"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929" w:customStyle="1">
    <w:name w:val="副标题 字符"/>
    <w:basedOn w:val="853"/>
    <w:link w:val="871"/>
    <w:uiPriority w:val="0"/>
    <w:qFormat/>
    <w:rPr>
      <w:rFonts w:ascii="Cambria" w:hAnsi="Cambria" w:eastAsia="宋体" w:cs="Times New Roman"/>
      <w:b/>
      <w:bCs/>
      <w:sz w:val="32"/>
      <w:szCs w:val="32"/>
    </w:rPr>
  </w:style>
  <w:style w:type="paragraph" w:styleId="930">
    <w:name w:val="No Spacing"/>
    <w:link w:val="931"/>
    <w:uiPriority w:val="1"/>
    <w:qFormat/>
    <w:rPr>
      <w:rFonts w:asciiTheme="minorHAnsi" w:hAnsiTheme="minorHAnsi" w:eastAsiaTheme="minorEastAsia" w:cstheme="minorBidi"/>
      <w:sz w:val="22"/>
      <w:szCs w:val="22"/>
      <w:lang w:val="en-US" w:eastAsia="zh-CN" w:bidi="ar-SA"/>
    </w:rPr>
  </w:style>
  <w:style w:type="character" w:styleId="931" w:customStyle="1">
    <w:name w:val="无间隔 字符"/>
    <w:basedOn w:val="853"/>
    <w:link w:val="930"/>
    <w:uiPriority w:val="1"/>
    <w:qFormat/>
    <w:rPr>
      <w:sz w:val="22"/>
    </w:rPr>
  </w:style>
  <w:style w:type="character" w:styleId="932" w:customStyle="1">
    <w:name w:val="ask-title"/>
    <w:basedOn w:val="853"/>
    <w:uiPriority w:val="0"/>
    <w:qFormat/>
  </w:style>
  <w:style w:type="paragraph" w:styleId="933" w:customStyle="1">
    <w:name w:val="hidinshow"/>
    <w:basedOn w:val="847"/>
    <w:uiPriority w:val="0"/>
    <w:qFormat/>
    <w:pPr>
      <w:jc w:val="left"/>
      <w:spacing w:before="100" w:beforeAutospacing="1" w:after="100" w:afterAutospacing="1"/>
      <w:widowControl/>
    </w:pPr>
    <w:rPr>
      <w:rFonts w:ascii="宋体" w:hAnsi="宋体" w:eastAsia="宋体" w:cs="宋体"/>
      <w:sz w:val="24"/>
      <w:szCs w:val="24"/>
    </w:rPr>
  </w:style>
  <w:style w:type="paragraph" w:styleId="934" w:customStyle="1">
    <w:name w:val="纯文本2"/>
    <w:basedOn w:val="847"/>
    <w:uiPriority w:val="0"/>
    <w:qFormat/>
    <w:rPr>
      <w:rFonts w:ascii="宋体" w:hAnsi="Courier New"/>
    </w:rPr>
  </w:style>
  <w:style w:type="paragraph" w:styleId="935" w:customStyle="1">
    <w:name w:val="Plain Text1"/>
    <w:basedOn w:val="847"/>
    <w:uiPriority w:val="0"/>
    <w:qFormat/>
    <w:rPr>
      <w:rFonts w:hint="eastAsia" w:ascii="宋体" w:hAnsi="Courier New"/>
      <w:sz w:val="28"/>
    </w:rPr>
  </w:style>
  <w:style w:type="table" w:styleId="936" w:customStyle="1">
    <w:name w:val="网格型1"/>
    <w:basedOn w:val="854"/>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7" w:customStyle="1">
    <w:name w:val="*正文"/>
    <w:basedOn w:val="847"/>
    <w:uiPriority w:val="0"/>
    <w:qFormat/>
    <w:pPr>
      <w:ind w:firstLine="200"/>
      <w:spacing w:line="360" w:lineRule="auto"/>
      <w:widowControl/>
    </w:pPr>
    <w:rPr>
      <w:rFonts w:ascii="仿宋_GB2312" w:hAnsi="Calibri" w:eastAsia="仿宋_GB2312"/>
      <w:sz w:val="24"/>
      <w:szCs w:val="28"/>
    </w:rPr>
  </w:style>
  <w:style w:type="paragraph" w:styleId="938" w:customStyle="1">
    <w:name w:val="p25"/>
    <w:basedOn w:val="847"/>
    <w:uiPriority w:val="0"/>
    <w:qFormat/>
    <w:rPr>
      <w:rFonts w:ascii="黑体" w:hAnsi="黑体" w:eastAsia="宋体" w:cs="黑体"/>
      <w:sz w:val="21"/>
      <w:szCs w:val="26"/>
    </w:rPr>
  </w:style>
  <w:style w:type="paragraph" w:styleId="939" w:customStyle="1">
    <w:name w:val="纯文本11"/>
    <w:basedOn w:val="847"/>
    <w:uiPriority w:val="0"/>
    <w:qFormat/>
    <w:rPr>
      <w:rFonts w:ascii="宋体" w:hAnsi="Courier New"/>
      <w:sz w:val="28"/>
    </w:rPr>
  </w:style>
  <w:style w:type="paragraph" w:styleId="940" w:customStyle="1">
    <w:name w:val="修订11"/>
    <w:hidden/>
    <w:uiPriority w:val="99"/>
    <w:semiHidden/>
    <w:qFormat/>
    <w:rPr>
      <w:rFonts w:ascii="Times New Roman" w:hAnsi="Times New Roman" w:eastAsia="楷体_GB2312" w:cs="Times New Roman"/>
      <w:sz w:val="26"/>
      <w:lang w:val="en-US" w:eastAsia="zh-CN" w:bidi="ar-SA"/>
    </w:rPr>
  </w:style>
  <w:style w:type="paragraph" w:styleId="94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2" w:customStyle="1">
    <w:name w:val="格式３"/>
    <w:basedOn w:val="847"/>
    <w:uiPriority w:val="0"/>
    <w:qFormat/>
    <w:pPr>
      <w:ind w:left="600" w:hanging="600"/>
      <w:spacing w:line="420" w:lineRule="exact"/>
    </w:pPr>
    <w:rPr>
      <w:rFonts w:ascii="宋体" w:hAnsi="宋体" w:eastAsia="宋体"/>
      <w:color w:val="000000"/>
      <w:sz w:val="24"/>
    </w:rPr>
  </w:style>
  <w:style w:type="character" w:styleId="943" w:customStyle="1">
    <w:name w:val="font71"/>
    <w:basedOn w:val="853"/>
    <w:uiPriority w:val="0"/>
    <w:qFormat/>
    <w:rPr>
      <w:rFonts w:hint="eastAsia" w:ascii="宋体" w:hAnsi="宋体" w:eastAsia="宋体" w:cs="宋体"/>
      <w:color w:val="000000"/>
      <w:sz w:val="21"/>
      <w:szCs w:val="21"/>
      <w:u w:val="none"/>
    </w:rPr>
  </w:style>
  <w:style w:type="character" w:styleId="944" w:customStyle="1">
    <w:name w:val="font61"/>
    <w:basedOn w:val="853"/>
    <w:uiPriority w:val="0"/>
    <w:qFormat/>
    <w:rPr>
      <w:rFonts w:hint="eastAsia" w:ascii="宋体" w:hAnsi="宋体" w:eastAsia="宋体" w:cs="宋体"/>
      <w:color w:val="ff0000"/>
      <w:sz w:val="21"/>
      <w:szCs w:val="21"/>
      <w:u w:val="none"/>
    </w:rPr>
  </w:style>
  <w:style w:type="character" w:styleId="945" w:customStyle="1">
    <w:name w:val="font41"/>
    <w:basedOn w:val="853"/>
    <w:uiPriority w:val="0"/>
    <w:qFormat/>
    <w:rPr>
      <w:rFonts w:hint="eastAsia" w:ascii="宋体" w:hAnsi="宋体" w:eastAsia="宋体" w:cs="宋体"/>
      <w:color w:val="000000"/>
      <w:sz w:val="21"/>
      <w:szCs w:val="21"/>
      <w:u w:val="none"/>
    </w:rPr>
  </w:style>
  <w:style w:type="character" w:styleId="946" w:customStyle="1">
    <w:name w:val="font101"/>
    <w:basedOn w:val="853"/>
    <w:uiPriority w:val="0"/>
    <w:qFormat/>
    <w:rPr>
      <w:rFonts w:ascii="微软雅黑" w:hAnsi="微软雅黑" w:eastAsia="微软雅黑" w:cs="微软雅黑"/>
      <w:color w:val="000000"/>
      <w:sz w:val="22"/>
      <w:szCs w:val="22"/>
      <w:u w:val="none"/>
    </w:rPr>
  </w:style>
  <w:style w:type="character" w:styleId="947" w:customStyle="1">
    <w:name w:val="font81"/>
    <w:basedOn w:val="853"/>
    <w:uiPriority w:val="0"/>
    <w:qFormat/>
    <w:rPr>
      <w:rFonts w:hint="eastAsia" w:ascii="宋体" w:hAnsi="宋体" w:eastAsia="宋体" w:cs="宋体"/>
      <w:color w:val="ff0000"/>
      <w:sz w:val="21"/>
      <w:szCs w:val="21"/>
      <w:u w:val="none"/>
    </w:rPr>
  </w:style>
  <w:style w:type="character" w:styleId="948" w:customStyle="1">
    <w:name w:val="font111"/>
    <w:basedOn w:val="853"/>
    <w:uiPriority w:val="0"/>
    <w:qFormat/>
    <w:rPr>
      <w:rFonts w:hint="eastAsia" w:ascii="微软雅黑" w:hAnsi="微软雅黑" w:eastAsia="微软雅黑" w:cs="微软雅黑"/>
      <w:color w:val="ff0000"/>
      <w:sz w:val="22"/>
      <w:szCs w:val="22"/>
      <w:u w:val="none"/>
    </w:rPr>
  </w:style>
  <w:style w:type="character" w:styleId="949" w:customStyle="1">
    <w:name w:val="font122"/>
    <w:basedOn w:val="853"/>
    <w:uiPriority w:val="0"/>
    <w:qFormat/>
    <w:rPr>
      <w:rFonts w:hint="eastAsia" w:ascii="宋体" w:hAnsi="宋体" w:eastAsia="宋体" w:cs="宋体"/>
      <w:color w:val="000000"/>
      <w:sz w:val="18"/>
      <w:szCs w:val="18"/>
      <w:u w:val="none"/>
    </w:rPr>
  </w:style>
  <w:style w:type="paragraph" w:styleId="950" w:customStyle="1">
    <w:name w:val="[基本段落]"/>
    <w:basedOn w:val="847"/>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951" w:customStyle="1">
    <w:name w:val="列表段落1"/>
    <w:basedOn w:val="847"/>
    <w:uiPriority w:val="34"/>
    <w:qFormat/>
    <w:pPr>
      <w:ind w:firstLine="420"/>
    </w:pPr>
  </w:style>
  <w:style w:type="paragraph" w:styleId="952" w:customStyle="1">
    <w:name w:val="列出段落1"/>
    <w:basedOn w:val="847"/>
    <w:uiPriority w:val="34"/>
    <w:qFormat/>
    <w:pPr>
      <w:ind w:firstLine="420"/>
    </w:pPr>
    <w:rPr>
      <w:rFonts w:ascii="Calibri" w:hAnsi="Calibri" w:eastAsia="宋体"/>
      <w:sz w:val="21"/>
      <w:szCs w:val="22"/>
    </w:rPr>
  </w:style>
  <w:style w:type="paragraph" w:styleId="953" w:customStyle="1">
    <w:name w:val="_正文段落"/>
    <w:basedOn w:val="847"/>
    <w:uiPriority w:val="0"/>
    <w:qFormat/>
    <w:pPr>
      <w:ind w:firstLine="480"/>
      <w:spacing w:line="360" w:lineRule="auto"/>
    </w:pPr>
    <w:rPr>
      <w:rFonts w:ascii="宋体" w:hAnsi="宋体" w:eastAsia="宋体"/>
      <w:sz w:val="24"/>
      <w:szCs w:val="24"/>
    </w:rPr>
  </w:style>
  <w:style w:type="paragraph" w:styleId="954" w:customStyle="1">
    <w:name w:val="纯文本3"/>
    <w:basedOn w:val="847"/>
    <w:uiPriority w:val="0"/>
    <w:qFormat/>
    <w:rPr>
      <w:rFonts w:ascii="宋体" w:hAnsi="Courier New"/>
    </w:rPr>
  </w:style>
  <w:style w:type="character" w:styleId="955" w:customStyle="1">
    <w:name w:val="NormalCharacter"/>
    <w:uiPriority w:val="0"/>
    <w:qFormat/>
  </w:style>
  <w:style w:type="table" w:styleId="956" w:customStyle="1">
    <w:name w:val="Table Normal"/>
    <w:uiPriority w:val="0"/>
    <w:semiHidden/>
    <w:unhideWhenUsed/>
    <w:qFormat/>
    <w:tblPr>
      <w:tblCellMar>
        <w:left w:w="0" w:type="dxa"/>
        <w:top w:w="0" w:type="dxa"/>
        <w:right w:w="0" w:type="dxa"/>
        <w:bottom w:w="0" w:type="dxa"/>
      </w:tblCellMar>
    </w:tblPr>
  </w:style>
  <w:style w:type="paragraph" w:styleId="957" w:customStyle="1">
    <w:name w:val="Table Text"/>
    <w:basedOn w:val="847"/>
    <w:uiPriority w:val="0"/>
    <w:semiHidden/>
    <w:qFormat/>
    <w:rPr>
      <w:rFonts w:ascii="宋体" w:hAnsi="宋体" w:eastAsia="宋体" w:cs="宋体"/>
      <w:sz w:val="24"/>
      <w:szCs w:val="24"/>
      <w:lang w:eastAsia="en-US"/>
    </w:rPr>
  </w:style>
  <w:style w:type="character" w:styleId="958" w:customStyle="1">
    <w:name w:val="font01"/>
    <w:basedOn w:val="853"/>
    <w:uiPriority w:val="0"/>
    <w:qFormat/>
    <w:rPr>
      <w:rFonts w:hint="eastAsia" w:ascii="宋体" w:hAnsi="宋体" w:eastAsia="宋体" w:cs="宋体"/>
      <w:color w:val="000000"/>
      <w:sz w:val="22"/>
      <w:szCs w:val="22"/>
      <w:u w:val="none"/>
    </w:rPr>
  </w:style>
  <w:style w:type="character" w:styleId="959" w:customStyle="1">
    <w:name w:val="font91"/>
    <w:basedOn w:val="853"/>
    <w:uiPriority w:val="0"/>
    <w:qFormat/>
    <w:rPr>
      <w:rFonts w:hint="eastAsia" w:ascii="宋体" w:hAnsi="宋体" w:eastAsia="宋体" w:cs="宋体"/>
      <w:color w:val="000000"/>
      <w:sz w:val="22"/>
      <w:szCs w:val="22"/>
      <w:u w:val="none"/>
      <w:vertAlign w:val="superscript"/>
    </w:rPr>
  </w:style>
  <w:style w:type="character" w:styleId="960" w:customStyle="1">
    <w:name w:val="font11"/>
    <w:basedOn w:val="853"/>
    <w:uiPriority w:val="0"/>
    <w:qFormat/>
    <w:rPr>
      <w:rFonts w:hint="eastAsia" w:ascii="宋体" w:hAnsi="宋体" w:eastAsia="宋体" w:cs="宋体"/>
      <w:color w:val="000000"/>
      <w:sz w:val="20"/>
      <w:szCs w:val="20"/>
      <w:u w:val="none"/>
    </w:rPr>
  </w:style>
  <w:style w:type="paragraph" w:styleId="961" w:customStyle="1">
    <w:name w:val="纯文本4"/>
    <w:basedOn w:val="847"/>
    <w:uiPriority w:val="0"/>
    <w:qFormat/>
    <w:rPr>
      <w:rFonts w:ascii="宋体" w:hAnsi="Courier New"/>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A94C909-EA3A-4BD1-ABA9-329BC9FF03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顾苏芯</cp:lastModifiedBy>
  <cp:revision>7</cp:revision>
  <dcterms:created xsi:type="dcterms:W3CDTF">2026-01-29T01:52:00Z</dcterms:created>
  <dcterms:modified xsi:type="dcterms:W3CDTF">2026-08-17T06:45:57Z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4074A54627EB4B3D8D0E442A0B6319B9_13</vt:lpwstr>
  </property>
  <property fmtid="{D5CDD505-2E9C-101B-9397-08002B2CF9AE}" pid="4" name="KSOTemplateDocerSaveRecord">
    <vt:lpwstr>eyJoZGlkIjoiNjMwNTc2ZjQ0NDc5ZDM3YWUzMzEzMjU5ZmIzOGU4YjMiLCJ1c2VySWQiOiI1ODU2MDUwMTUifQ==</vt:lpwstr>
  </property>
</Properties>
</file>