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8"/>
        <w:ind w:firstLine="1285"/>
        <w:spacing w:before="120" w:after="120" w:line="360" w:lineRule="auto"/>
        <w:rPr>
          <w:rFonts w:hint="eastAsia" w:ascii="Arial" w:hAnsi="Arial"/>
          <w:b/>
          <w:bCs/>
          <w:sz w:val="32"/>
          <w:szCs w:val="32"/>
        </w:rPr>
      </w:pPr>
      <w:r>
        <w:rPr>
          <w:rFonts w:hint="eastAsia" w:ascii="Arial" w:hAnsi="Arial"/>
          <w:b/>
          <w:bCs/>
          <w:sz w:val="32"/>
          <w:szCs w:val="32"/>
        </w:rPr>
        <w:t xml:space="preserve">项目名称：</w:t>
      </w:r>
      <w:r>
        <w:rPr>
          <w:rFonts w:hint="eastAsia" w:ascii="Arial" w:hAnsi="宋体"/>
          <w:b/>
          <w:bCs/>
          <w:sz w:val="32"/>
          <w:szCs w:val="32"/>
        </w:rPr>
        <w:t xml:space="preserve">海安市中小学学科类实验室建设项目</w:t>
      </w:r>
      <w:r>
        <w:rPr>
          <w:rFonts w:hint="eastAsia" w:ascii="Arial" w:hAnsi="Arial"/>
          <w:b/>
          <w:bCs/>
          <w:sz w:val="32"/>
          <w:szCs w:val="32"/>
        </w:rPr>
      </w:r>
      <w:r/>
    </w:p>
    <w:p>
      <w:pPr>
        <w:pStyle w:val="658"/>
        <w:ind w:firstLine="1285"/>
        <w:jc w:val="left"/>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项目编号：</w:t>
      </w:r>
      <w:r>
        <w:rPr>
          <w:rFonts w:ascii="Arial" w:hAnsi="Arial"/>
          <w:b/>
          <w:bCs/>
          <w:color w:val="000000"/>
          <w:sz w:val="32"/>
          <w:szCs w:val="32"/>
        </w:rPr>
        <w:t xml:space="preserve">JSZC-320685-JDGS-T2026-0050</w:t>
      </w:r>
      <w:r>
        <w:rPr>
          <w:rFonts w:hint="eastAsia" w:ascii="Arial" w:hAnsi="Arial"/>
          <w:b/>
          <w:bCs/>
          <w:color w:val="000000"/>
          <w:sz w:val="32"/>
          <w:szCs w:val="32"/>
        </w:rPr>
      </w:r>
      <w:r/>
    </w:p>
    <w:p>
      <w:pPr>
        <w:pStyle w:val="658"/>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海安市教育体育局</w:t>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2026年8月14日</w:t>
      </w:r>
      <w:r/>
    </w:p>
    <w:p>
      <w:pPr>
        <w:pStyle w:val="658"/>
        <w:jc w:val="left"/>
        <w:spacing w:before="120" w:after="120" w:line="360" w:lineRule="auto"/>
        <w:rPr>
          <w:rFonts w:hint="eastAsia" w:ascii="Arial" w:hAnsi="Arial"/>
          <w:sz w:val="24"/>
          <w:szCs w:val="24"/>
        </w:rPr>
      </w:pPr>
      <w:r>
        <w:rPr>
          <w:rFonts w:hint="eastAsia" w:ascii="Arial" w:hAnsi="Arial"/>
          <w:sz w:val="24"/>
          <w:szCs w:val="24"/>
        </w:rPr>
        <w:t xml:space="preserve">                        </w:t>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center"/>
        <w:spacing w:line="480" w:lineRule="auto"/>
        <w:rPr>
          <w:rFonts w:hint="eastAsia" w:ascii="黑体" w:hAnsi="Arial" w:eastAsia="黑体"/>
          <w:b/>
          <w:sz w:val="44"/>
          <w:szCs w:val="21"/>
        </w:r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b/>
          <w:sz w:val="44"/>
          <w:szCs w:val="21"/>
        </w:rPr>
      </w:r>
      <w:r/>
    </w:p>
    <w:p>
      <w:pPr>
        <w:pStyle w:val="658"/>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谈判邀请</w:t>
      </w:r>
      <w:r>
        <w:rPr>
          <w:rFonts w:hint="eastAsia" w:ascii="黑体" w:eastAsia="黑体"/>
          <w:bCs/>
          <w:sz w:val="44"/>
          <w:szCs w:val="44"/>
        </w:rPr>
      </w:r>
      <w:r/>
    </w:p>
    <w:p>
      <w:pPr>
        <w:pStyle w:val="658"/>
        <w:ind w:firstLine="480"/>
        <w:spacing w:line="560" w:lineRule="exact"/>
        <w:rPr>
          <w:rFonts w:ascii="宋体" w:hAnsi="宋体"/>
          <w:sz w:val="24"/>
          <w:szCs w:val="24"/>
        </w:rPr>
      </w:pPr>
      <w:r>
        <w:rPr>
          <w:rFonts w:hint="eastAsia" w:ascii="宋体" w:hAnsi="宋体"/>
          <w:sz w:val="24"/>
          <w:szCs w:val="24"/>
        </w:rPr>
        <w:t xml:space="preserve">受[海安市教育体育局]的委托，江苏建达全过程工程咨询有限公司就[海安市中小学学科类实验室建设项目](项目编号：</w:t>
      </w:r>
      <w:r>
        <w:rPr>
          <w:rFonts w:ascii="宋体" w:hAnsi="宋体"/>
          <w:sz w:val="24"/>
          <w:szCs w:val="24"/>
        </w:rPr>
        <w:t xml:space="preserve">JSZC-320685-JDGS-T2026-0050</w:t>
      </w:r>
      <w:r>
        <w:rPr>
          <w:rFonts w:hint="eastAsia" w:ascii="宋体" w:hAnsi="宋体"/>
          <w:sz w:val="24"/>
          <w:szCs w:val="24"/>
        </w:rPr>
        <w:t xml:space="preserve">)进行竞争性谈判采购，欢迎符合条件的供应商参加谈判。</w:t>
      </w:r>
      <w:r>
        <w:rPr>
          <w:rFonts w:ascii="宋体" w:hAnsi="宋体"/>
          <w:sz w:val="24"/>
          <w:szCs w:val="24"/>
        </w:rPr>
      </w:r>
      <w:r/>
    </w:p>
    <w:p>
      <w:pPr>
        <w:pStyle w:val="658"/>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8"/>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海安市中小学学科类实验室建设项目</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rPr>
        <w:t xml:space="preserve">2026</w:t>
      </w:r>
      <w:r>
        <w:rPr>
          <w:rFonts w:hint="eastAsia" w:ascii="宋体" w:hAnsi="宋体"/>
          <w:bCs/>
          <w:sz w:val="24"/>
          <w:szCs w:val="24"/>
          <w:u w:val="single"/>
        </w:rPr>
        <w:t xml:space="preserve">年8月20日09点00分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8"/>
        <w:ind w:firstLine="498"/>
        <w:keepLines/>
        <w:keepNext/>
        <w:spacing w:line="560" w:lineRule="exact"/>
        <w:rPr>
          <w:b/>
          <w:bCs/>
          <w:sz w:val="32"/>
          <w:szCs w:val="32"/>
        </w:rPr>
        <w:outlineLvl w:val="2"/>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58"/>
        <w:ind w:firstLine="480"/>
        <w:spacing w:line="560" w:lineRule="exact"/>
        <w:rPr>
          <w:rFonts w:hint="eastAsia"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JSZC-320685-JDGS-T2026-0050</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2.项目名称：海安市中小学学科类实验室建设项目</w:t>
      </w:r>
      <w:r/>
    </w:p>
    <w:p>
      <w:pPr>
        <w:pStyle w:val="658"/>
        <w:ind w:firstLine="480"/>
        <w:spacing w:line="560" w:lineRule="exact"/>
        <w:rPr>
          <w:rFonts w:hint="eastAsia" w:ascii="宋体" w:hAnsi="宋体"/>
          <w:sz w:val="24"/>
          <w:szCs w:val="24"/>
        </w:rPr>
      </w:pPr>
      <w:r>
        <w:rPr>
          <w:rFonts w:hint="eastAsia" w:ascii="宋体" w:hAnsi="宋体"/>
          <w:sz w:val="24"/>
          <w:szCs w:val="24"/>
        </w:rPr>
        <w:t xml:space="preserve">采购包名称：采购包1：海安市中小学学科类实验室建设项目一</w:t>
      </w:r>
      <w:r/>
    </w:p>
    <w:p>
      <w:pPr>
        <w:pStyle w:val="658"/>
        <w:ind w:firstLine="1920"/>
        <w:spacing w:line="560" w:lineRule="exact"/>
        <w:rPr>
          <w:rFonts w:hint="eastAsia" w:ascii="宋体" w:hAnsi="宋体"/>
          <w:sz w:val="24"/>
          <w:szCs w:val="24"/>
        </w:rPr>
      </w:pPr>
      <w:r>
        <w:rPr>
          <w:rFonts w:hint="eastAsia" w:ascii="宋体" w:hAnsi="宋体"/>
          <w:sz w:val="24"/>
          <w:szCs w:val="24"/>
        </w:rPr>
        <w:t xml:space="preserve">采购包2：海安市中小学学科类实验室建设项目二</w:t>
      </w:r>
      <w:r/>
    </w:p>
    <w:p>
      <w:pPr>
        <w:pStyle w:val="658"/>
        <w:ind w:firstLine="480"/>
        <w:spacing w:line="560" w:lineRule="exact"/>
        <w:rPr>
          <w:rFonts w:hint="eastAsia" w:ascii="宋体" w:hAnsi="宋体"/>
          <w:sz w:val="24"/>
          <w:szCs w:val="24"/>
        </w:rPr>
      </w:pPr>
      <w:r>
        <w:rPr>
          <w:rFonts w:hint="eastAsia" w:ascii="宋体" w:hAnsi="宋体"/>
          <w:sz w:val="24"/>
          <w:szCs w:val="24"/>
        </w:rPr>
        <w:t xml:space="preserve">3.项目类型：货物</w:t>
      </w:r>
      <w:r/>
    </w:p>
    <w:p>
      <w:pPr>
        <w:pStyle w:val="658"/>
        <w:ind w:firstLine="480"/>
        <w:spacing w:line="560" w:lineRule="exact"/>
        <w:rPr>
          <w:rFonts w:ascii="宋体" w:hAnsi="宋体"/>
          <w:sz w:val="24"/>
          <w:szCs w:val="24"/>
        </w:rPr>
      </w:pPr>
      <w:r>
        <w:rPr>
          <w:rFonts w:hint="eastAsia" w:ascii="宋体" w:hAnsi="宋体"/>
          <w:sz w:val="24"/>
          <w:szCs w:val="24"/>
        </w:rPr>
        <w:t xml:space="preserve">4.项目行业：工业</w:t>
      </w:r>
      <w:r>
        <w:rPr>
          <w:rFonts w:ascii="宋体" w:hAnsi="宋体"/>
          <w:sz w:val="24"/>
          <w:szCs w:val="24"/>
        </w:rPr>
      </w:r>
      <w:r/>
    </w:p>
    <w:p>
      <w:pPr>
        <w:pStyle w:val="658"/>
        <w:ind w:firstLine="480"/>
        <w:spacing w:line="560" w:lineRule="exact"/>
        <w:rPr>
          <w:rFonts w:ascii="宋体" w:hAnsi="宋体"/>
          <w:sz w:val="24"/>
          <w:szCs w:val="24"/>
        </w:rPr>
      </w:pPr>
      <w:r>
        <w:rPr>
          <w:rFonts w:hint="eastAsia" w:ascii="宋体" w:hAnsi="宋体"/>
          <w:sz w:val="24"/>
          <w:szCs w:val="24"/>
        </w:rPr>
        <w:t xml:space="preserve">5.预算金额：人民币214万元，其中采购包1（普通实验室仪器设备采购）90.5万元，采购包2（数字实验室仪器设备采购）123.5万元，每个采购包响应报价超过最高限价的为无效响应文件。</w:t>
      </w:r>
      <w:r>
        <w:rPr>
          <w:rFonts w:ascii="宋体" w:hAnsi="宋体"/>
          <w:sz w:val="24"/>
          <w:szCs w:val="24"/>
        </w:rPr>
      </w:r>
      <w:r/>
    </w:p>
    <w:p>
      <w:pPr>
        <w:pStyle w:val="658"/>
        <w:ind w:firstLine="480"/>
        <w:spacing w:line="560" w:lineRule="exact"/>
        <w:rPr>
          <w:rFonts w:ascii="宋体" w:hAnsi="宋体" w:cs="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pStyle w:val="658"/>
        <w:ind w:firstLine="480"/>
        <w:spacing w:line="560" w:lineRule="exact"/>
        <w:rPr>
          <w:rFonts w:ascii="宋体" w:hAnsi="宋体"/>
          <w:sz w:val="24"/>
          <w:szCs w:val="24"/>
          <w:u w:val="single"/>
        </w:rPr>
      </w:pPr>
      <w:r>
        <w:rPr>
          <w:rFonts w:hint="eastAsia" w:ascii="宋体" w:hAnsi="宋体"/>
          <w:sz w:val="24"/>
          <w:szCs w:val="24"/>
        </w:rPr>
        <w:t xml:space="preserve">7.合同履行期限：详见采购文件。</w:t>
      </w:r>
      <w:r>
        <w:rPr>
          <w:rFonts w:ascii="宋体" w:hAnsi="宋体"/>
          <w:sz w:val="24"/>
          <w:szCs w:val="24"/>
          <w:u w:val="single"/>
        </w:rPr>
      </w:r>
      <w:r/>
    </w:p>
    <w:p>
      <w:pPr>
        <w:pStyle w:val="658"/>
        <w:ind w:firstLine="498"/>
        <w:keepLines/>
        <w:keepNext/>
        <w:spacing w:line="560" w:lineRule="exact"/>
        <w:rPr>
          <w:b/>
          <w:bCs/>
          <w:sz w:val="32"/>
          <w:szCs w:val="32"/>
        </w:rPr>
        <w:outlineLvl w:val="2"/>
      </w:pPr>
      <w:r/>
      <w:bookmarkStart w:id="12" w:name="_Toc28359003"/>
      <w:r/>
      <w:bookmarkStart w:id="13" w:name="_Toc38985264"/>
      <w:r/>
      <w:bookmarkStart w:id="14" w:name="_Toc35393622"/>
      <w:r/>
      <w:bookmarkStart w:id="15" w:name="_Toc28359080"/>
      <w:r/>
      <w:bookmarkStart w:id="16" w:name="_Toc35393791"/>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658"/>
        <w:ind w:firstLine="480"/>
        <w:spacing w:line="560" w:lineRule="exact"/>
        <w:rPr>
          <w:rFonts w:hint="eastAsia" w:ascii="宋体" w:hAnsi="宋体"/>
          <w:color w:val="000000"/>
          <w:sz w:val="24"/>
          <w:szCs w:val="24"/>
        </w:rPr>
      </w:pPr>
      <w:r/>
      <w:bookmarkStart w:id="17" w:name="_Toc38985265"/>
      <w:r/>
      <w:bookmarkStart w:id="18" w:name="_Toc28359081"/>
      <w:r/>
      <w:bookmarkStart w:id="19" w:name="_Toc35393623"/>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color w:val="000000"/>
          <w:sz w:val="24"/>
          <w:szCs w:val="24"/>
        </w:rPr>
        <w:t xml:space="preserve">满足《中华人民共和国政府采购法》第二十二条规定，并提供相关材料：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(4)具备履行合同所必需的设备和专业技术能力的证明材料；（格式见附件） </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(5)参加政府采购活动前3年内在经营活动中没有重大违法记录的书面声明；（格式见附件）</w:t>
      </w:r>
      <w:r/>
    </w:p>
    <w:p>
      <w:pPr>
        <w:pStyle w:val="658"/>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rPr>
          <w:rFonts w:ascii="宋体" w:hAnsi="宋体"/>
          <w:color w:val="000000"/>
          <w:sz w:val="24"/>
          <w:szCs w:val="24"/>
        </w:rPr>
      </w:r>
      <w:r/>
    </w:p>
    <w:p>
      <w:pPr>
        <w:pStyle w:val="658"/>
        <w:ind w:firstLine="480"/>
        <w:spacing w:line="560" w:lineRule="exact"/>
        <w:rPr>
          <w:rFonts w:hint="eastAsia" w:ascii="宋体" w:hAnsi="宋体"/>
          <w:sz w:val="24"/>
          <w:szCs w:val="24"/>
          <w:u w:val="single"/>
        </w:rPr>
      </w:pPr>
      <w:r>
        <w:rPr>
          <w:rFonts w:hint="eastAsia" w:ascii="宋体" w:hAnsi="宋体"/>
          <w:sz w:val="24"/>
          <w:szCs w:val="24"/>
        </w:rPr>
        <w:t xml:space="preserve">2.落实政府采购政策需满足的资格要求：</w:t>
      </w:r>
      <w:r>
        <w:rPr>
          <w:rFonts w:hint="eastAsia" w:ascii="宋体" w:hAnsi="宋体"/>
          <w:b/>
          <w:sz w:val="24"/>
          <w:szCs w:val="24"/>
          <w:u w:val="single"/>
        </w:rPr>
        <w:t xml:space="preserve">本项目为专门面向中小微企业采购项目</w:t>
      </w:r>
      <w:r>
        <w:rPr>
          <w:rFonts w:hint="eastAsia" w:ascii="宋体" w:hAnsi="宋体"/>
          <w:sz w:val="24"/>
          <w:szCs w:val="24"/>
          <w:u w:val="single"/>
        </w:rPr>
        <w:t xml:space="preserve">。（须按照财库〔2020〕46号文要求提供中小企业声明函。格式见附件）。</w:t>
      </w:r>
      <w:r/>
    </w:p>
    <w:p>
      <w:pPr>
        <w:pStyle w:val="658"/>
        <w:ind w:firstLine="480"/>
        <w:spacing w:line="560" w:lineRule="exact"/>
        <w:rPr>
          <w:rFonts w:ascii="宋体" w:hAnsi="宋体" w:cs="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ascii="宋体" w:hAnsi="宋体" w:cs="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658"/>
        <w:ind w:firstLine="480"/>
        <w:spacing w:line="560" w:lineRule="exact"/>
        <w:rPr>
          <w:rFonts w:hint="eastAsia" w:ascii="宋体" w:hAnsi="宋体" w:cs="宋体"/>
          <w:sz w:val="24"/>
          <w:szCs w:val="24"/>
        </w:rPr>
      </w:pPr>
      <w:r>
        <w:rPr>
          <w:rFonts w:hint="eastAsia" w:ascii="宋体" w:hAnsi="宋体"/>
          <w:sz w:val="24"/>
          <w:szCs w:val="24"/>
        </w:rPr>
        <w:t xml:space="preserve">5.本项目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rPr>
          <w:rFonts w:hint="eastAsia" w:ascii="宋体" w:hAnsi="宋体" w:cs="宋体"/>
          <w:sz w:val="24"/>
          <w:szCs w:val="24"/>
        </w:rPr>
        <w:t xml:space="preserve">。如供应商使用进口产品投标，作无效投标处理。</w:t>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u w:val="single"/>
        </w:rPr>
        <w:t xml:space="preserve">不接受</w:t>
      </w:r>
      <w:r>
        <w:rPr>
          <w:rFonts w:hint="eastAsia" w:ascii="宋体" w:hAnsi="宋体"/>
          <w:sz w:val="24"/>
          <w:szCs w:val="24"/>
        </w:rPr>
        <w:t xml:space="preserve">分包。</w:t>
      </w:r>
      <w:r>
        <w:rPr>
          <w:rFonts w:ascii="宋体" w:hAnsi="宋体" w:cs="宋体"/>
          <w:sz w:val="24"/>
          <w:szCs w:val="24"/>
        </w:rPr>
      </w:r>
      <w:r/>
    </w:p>
    <w:p>
      <w:pPr>
        <w:pStyle w:val="658"/>
        <w:ind w:firstLine="480"/>
        <w:spacing w:line="56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58"/>
        <w:ind w:firstLine="498"/>
        <w:keepLines/>
        <w:keepNext/>
        <w:spacing w:line="560" w:lineRule="exact"/>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谈判文件</w:t>
      </w:r>
      <w:r>
        <w:rPr>
          <w:b/>
          <w:bCs/>
          <w:sz w:val="32"/>
          <w:szCs w:val="32"/>
        </w:rPr>
      </w:r>
      <w:r/>
    </w:p>
    <w:p>
      <w:pPr>
        <w:pStyle w:val="658"/>
        <w:ind w:firstLine="540"/>
        <w:spacing w:line="560" w:lineRule="exact"/>
        <w:rPr>
          <w:rFonts w:ascii="宋体" w:hAnsi="宋体" w:cs="宋体"/>
          <w:b/>
          <w:sz w:val="24"/>
          <w:szCs w:val="24"/>
        </w:rPr>
      </w:pPr>
      <w:r/>
      <w:bookmarkStart w:id="22" w:name="_Toc35393793"/>
      <w:r/>
      <w:bookmarkStart w:id="23" w:name="_Toc35393624"/>
      <w:r/>
      <w:bookmarkStart w:id="24" w:name="_Toc38985266"/>
      <w:r/>
      <w:bookmarkStart w:id="25" w:name="_Toc28359005"/>
      <w:r/>
      <w:bookmarkStart w:id="26" w:name="_Toc28359082"/>
      <w:r>
        <w:rPr>
          <w:rFonts w:hint="eastAsia" w:ascii="宋体" w:hAnsi="宋体" w:cs="宋体"/>
          <w:sz w:val="24"/>
          <w:szCs w:val="24"/>
        </w:rPr>
        <w:t xml:space="preserve">1.时间：2026年8月14日至2026年8月20日（提供期限自本公告发布之日起不得少于3个工作日）。</w:t>
      </w:r>
      <w:r>
        <w:rPr>
          <w:rFonts w:ascii="宋体" w:hAnsi="宋体" w:cs="宋体"/>
          <w:b/>
          <w:sz w:val="24"/>
          <w:szCs w:val="24"/>
        </w:rPr>
      </w:r>
      <w:r/>
    </w:p>
    <w:p>
      <w:pPr>
        <w:pStyle w:val="658"/>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658"/>
        <w:ind w:firstLine="480"/>
        <w:spacing w:line="560" w:lineRule="exact"/>
        <w:rPr>
          <w:rFonts w:ascii="宋体" w:hAnsi="宋体" w:cs="宋体"/>
          <w:b/>
          <w:bCs/>
          <w:sz w:val="24"/>
          <w:szCs w:val="24"/>
        </w:rPr>
      </w:pPr>
      <w:r>
        <w:rPr>
          <w:rFonts w:hint="eastAsia" w:ascii="宋体" w:hAnsi="宋体" w:cs="宋体"/>
          <w:sz w:val="24"/>
          <w:szCs w:val="24"/>
        </w:rPr>
        <w:t xml:space="preserve">供应商需办理“CA数字证书”，CA办理指南及“苏采云”操作手册可至江苏省政府采购网—办事指南-资料下载中心下载。</w:t>
      </w:r>
      <w:r>
        <w:rPr>
          <w:rFonts w:ascii="宋体" w:hAnsi="宋体" w:cs="宋体"/>
          <w:b/>
          <w:bCs/>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658"/>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658"/>
        <w:ind w:firstLine="498"/>
        <w:keepLines/>
        <w:keepNext/>
        <w:spacing w:line="560" w:lineRule="exact"/>
        <w:rPr>
          <w:b/>
          <w:bCs/>
          <w:sz w:val="32"/>
          <w:szCs w:val="32"/>
        </w:rPr>
        <w:outlineLvl w:val="2"/>
      </w:pPr>
      <w:r>
        <w:rPr>
          <w:rFonts w:hint="eastAsia"/>
          <w:b/>
          <w:bCs/>
          <w:sz w:val="32"/>
          <w:szCs w:val="32"/>
        </w:rPr>
        <w:t xml:space="preserve">四、提交</w:t>
      </w:r>
      <w:bookmarkEnd w:id="25"/>
      <w:r/>
      <w:bookmarkEnd w:id="26"/>
      <w:r>
        <w:rPr>
          <w:rFonts w:hint="eastAsia"/>
          <w:b/>
          <w:bCs/>
          <w:sz w:val="32"/>
          <w:szCs w:val="32"/>
        </w:rPr>
        <w:t xml:space="preserve">响应文件截止时间</w:t>
      </w:r>
      <w:bookmarkEnd w:id="22"/>
      <w:r/>
      <w:bookmarkEnd w:id="23"/>
      <w:r/>
      <w:bookmarkEnd w:id="24"/>
      <w:r>
        <w:rPr>
          <w:b/>
          <w:bCs/>
          <w:sz w:val="32"/>
          <w:szCs w:val="32"/>
        </w:rPr>
      </w:r>
      <w:r/>
    </w:p>
    <w:p>
      <w:pPr>
        <w:pStyle w:val="658"/>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2026年8月20日09点00分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p>
    <w:p>
      <w:pPr>
        <w:pStyle w:val="658"/>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pStyle w:val="658"/>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注：各供应商请关注开标大厅交流区，在开标结束后，请勿离开开标大厅，待资格审查完毕，谈判小组发出报价指令后须在15分钟内完成系统报价。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658"/>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58"/>
        <w:ind w:firstLine="498"/>
        <w:keepLines/>
        <w:keepNext/>
        <w:spacing w:line="560" w:lineRule="exact"/>
        <w:rPr>
          <w:b/>
          <w:bCs/>
          <w:sz w:val="32"/>
          <w:szCs w:val="32"/>
        </w:rPr>
        <w:outlineLvl w:val="2"/>
      </w:pPr>
      <w:r/>
      <w:bookmarkStart w:id="27" w:name="_Toc35393625"/>
      <w:r/>
      <w:bookmarkStart w:id="28" w:name="_Toc28359084"/>
      <w:r/>
      <w:bookmarkStart w:id="29" w:name="_Toc28359007"/>
      <w:r/>
      <w:bookmarkStart w:id="30" w:name="_Toc38985267"/>
      <w:r/>
      <w:bookmarkStart w:id="31" w:name="_Toc35393794"/>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658"/>
        <w:ind w:firstLine="480"/>
        <w:spacing w:line="56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658"/>
        <w:ind w:firstLine="498"/>
        <w:keepLines/>
        <w:keepNext/>
        <w:spacing w:line="560" w:lineRule="exact"/>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6.有关本次谈判的事项若存在变动或修改，敬请及时关注“江苏政府采购网”发布的更正公告。</w:t>
      </w:r>
      <w:r>
        <w:rPr>
          <w:rFonts w:ascii="宋体" w:hAnsi="宋体" w:cs="宋体"/>
          <w:sz w:val="24"/>
          <w:szCs w:val="24"/>
        </w:rPr>
      </w:r>
      <w:r/>
    </w:p>
    <w:p>
      <w:pPr>
        <w:pStyle w:val="658"/>
        <w:ind w:firstLine="498"/>
        <w:keepLines/>
        <w:keepNext/>
        <w:spacing w:line="560" w:lineRule="exact"/>
        <w:rPr>
          <w:b/>
          <w:bCs/>
          <w:sz w:val="32"/>
          <w:szCs w:val="32"/>
        </w:rPr>
        <w:outlineLvl w:val="2"/>
      </w:pPr>
      <w:r/>
      <w:bookmarkStart w:id="35" w:name="_Toc28359085"/>
      <w:r/>
      <w:bookmarkStart w:id="36" w:name="_Toc28359008"/>
      <w:r/>
      <w:bookmarkStart w:id="37" w:name="_Toc35393796"/>
      <w:r/>
      <w:bookmarkStart w:id="38" w:name="_Toc35393627"/>
      <w:r/>
      <w:bookmarkStart w:id="39" w:name="_Toc38985269"/>
      <w:r>
        <w:rPr>
          <w:rFonts w:hint="eastAsia"/>
          <w:b/>
          <w:bCs/>
          <w:sz w:val="32"/>
          <w:szCs w:val="32"/>
        </w:rPr>
        <w:t xml:space="preserve">七、本次谈判联系方式</w:t>
      </w:r>
      <w:bookmarkEnd w:id="35"/>
      <w:r/>
      <w:bookmarkEnd w:id="36"/>
      <w:r/>
      <w:bookmarkEnd w:id="37"/>
      <w:r/>
      <w:bookmarkEnd w:id="38"/>
      <w:r/>
      <w:bookmarkEnd w:id="39"/>
      <w:r>
        <w:rPr>
          <w:b/>
          <w:bCs/>
          <w:sz w:val="32"/>
          <w:szCs w:val="32"/>
        </w:rPr>
      </w:r>
      <w:r/>
    </w:p>
    <w:p>
      <w:pPr>
        <w:pStyle w:val="658"/>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宋体" w:hAnsi="宋体" w:cs="宋体"/>
          <w:sz w:val="24"/>
          <w:szCs w:val="24"/>
        </w:rPr>
        <w:t xml:space="preserve">1.采购人信息</w:t>
      </w:r>
      <w:r>
        <w:rPr>
          <w:rFonts w:ascii="宋体" w:hAnsi="宋体"/>
          <w:sz w:val="24"/>
          <w:szCs w:val="24"/>
        </w:rPr>
      </w:r>
      <w:r/>
    </w:p>
    <w:p>
      <w:pPr>
        <w:pStyle w:val="658"/>
        <w:ind w:left="1079" w:hanging="300"/>
        <w:jc w:val="left"/>
        <w:spacing w:line="560" w:lineRule="exact"/>
        <w:rPr>
          <w:rFonts w:ascii="宋体" w:hAnsi="宋体"/>
          <w:sz w:val="24"/>
          <w:szCs w:val="24"/>
        </w:rPr>
      </w:pPr>
      <w:r>
        <w:rPr>
          <w:rFonts w:hint="eastAsia" w:ascii="宋体" w:hAnsi="宋体"/>
          <w:sz w:val="24"/>
          <w:szCs w:val="24"/>
        </w:rPr>
        <w:t xml:space="preserve">名 称：海安市教育体育局</w:t>
      </w:r>
      <w:r>
        <w:rPr>
          <w:rFonts w:ascii="宋体" w:hAnsi="宋体"/>
          <w:sz w:val="24"/>
          <w:szCs w:val="24"/>
        </w:rPr>
      </w:r>
      <w:r/>
    </w:p>
    <w:p>
      <w:pPr>
        <w:pStyle w:val="658"/>
        <w:ind w:left="1079" w:hanging="300"/>
        <w:jc w:val="left"/>
        <w:spacing w:line="560" w:lineRule="exact"/>
        <w:rPr>
          <w:rFonts w:ascii="宋体" w:hAnsi="宋体"/>
          <w:sz w:val="24"/>
          <w:szCs w:val="24"/>
        </w:rPr>
      </w:pPr>
      <w:r>
        <w:rPr>
          <w:rFonts w:hint="eastAsia" w:ascii="宋体" w:hAnsi="宋体"/>
          <w:sz w:val="24"/>
          <w:szCs w:val="24"/>
        </w:rPr>
        <w:t xml:space="preserve">地址：海安市黄海大道西3号</w:t>
      </w:r>
      <w:r>
        <w:rPr>
          <w:rFonts w:ascii="宋体" w:hAnsi="宋体"/>
          <w:sz w:val="24"/>
          <w:szCs w:val="24"/>
        </w:rPr>
        <w:t xml:space="preserve"> </w:t>
      </w:r>
      <w:r/>
    </w:p>
    <w:p>
      <w:pPr>
        <w:pStyle w:val="658"/>
        <w:ind w:left="1079" w:hanging="300"/>
        <w:jc w:val="left"/>
        <w:spacing w:line="560" w:lineRule="exact"/>
        <w:rPr>
          <w:rFonts w:ascii="宋体" w:hAnsi="宋体"/>
          <w:sz w:val="24"/>
          <w:szCs w:val="24"/>
        </w:rPr>
      </w:pPr>
      <w:r>
        <w:rPr>
          <w:rFonts w:hint="eastAsia" w:ascii="宋体" w:hAnsi="宋体"/>
          <w:sz w:val="24"/>
          <w:szCs w:val="24"/>
        </w:rPr>
        <w:t xml:space="preserve">联系人：卢丛建</w:t>
      </w:r>
      <w:r>
        <w:rPr>
          <w:rFonts w:ascii="宋体" w:hAnsi="宋体"/>
          <w:sz w:val="24"/>
          <w:szCs w:val="24"/>
        </w:rPr>
      </w:r>
      <w:r/>
    </w:p>
    <w:p>
      <w:pPr>
        <w:pStyle w:val="658"/>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2" w:name="_Toc28359009"/>
      <w:r/>
      <w:bookmarkStart w:id="43" w:name="_Toc28359086"/>
      <w:r>
        <w:rPr>
          <w:rFonts w:hint="eastAsia" w:ascii="宋体" w:hAnsi="宋体"/>
          <w:sz w:val="24"/>
          <w:szCs w:val="24"/>
        </w:rPr>
        <w:t xml:space="preserve">：</w:t>
      </w:r>
      <w:r>
        <w:rPr>
          <w:rFonts w:ascii="宋体" w:hAnsi="宋体"/>
          <w:sz w:val="24"/>
          <w:szCs w:val="24"/>
        </w:rPr>
        <w:t xml:space="preserve">13776995565</w:t>
      </w:r>
      <w:r/>
    </w:p>
    <w:p>
      <w:pPr>
        <w:pStyle w:val="658"/>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2"/>
      <w:r/>
      <w:bookmarkEnd w:id="43"/>
      <w:r>
        <w:rPr>
          <w:rFonts w:hint="eastAsia" w:ascii="宋体" w:hAnsi="宋体" w:cs="宋体"/>
          <w:sz w:val="24"/>
          <w:szCs w:val="24"/>
        </w:rPr>
        <w:t xml:space="preserve">江苏建达全过程工程咨询有限公司</w:t>
      </w:r>
      <w:r/>
    </w:p>
    <w:p>
      <w:pPr>
        <w:pStyle w:val="658"/>
        <w:ind w:left="1079" w:hanging="300"/>
        <w:jc w:val="left"/>
        <w:spacing w:line="560" w:lineRule="exact"/>
        <w:rPr>
          <w:rFonts w:ascii="宋体" w:hAnsi="宋体"/>
          <w:sz w:val="24"/>
          <w:szCs w:val="24"/>
        </w:rPr>
      </w:pPr>
      <w:r>
        <w:rPr>
          <w:rFonts w:hint="eastAsia" w:ascii="宋体" w:hAnsi="宋体"/>
          <w:sz w:val="24"/>
          <w:szCs w:val="24"/>
        </w:rPr>
        <w:t xml:space="preserve">地　址：海安市宁海南路195号</w:t>
      </w:r>
      <w:r>
        <w:rPr>
          <w:rFonts w:ascii="宋体" w:hAnsi="宋体"/>
          <w:sz w:val="24"/>
          <w:szCs w:val="24"/>
        </w:rPr>
      </w:r>
      <w:r/>
    </w:p>
    <w:p>
      <w:pPr>
        <w:pStyle w:val="658"/>
        <w:ind w:firstLine="720"/>
        <w:spacing w:line="560" w:lineRule="exact"/>
        <w:rPr>
          <w:rFonts w:ascii="宋体" w:hAnsi="宋体"/>
          <w:sz w:val="24"/>
          <w:szCs w:val="24"/>
        </w:rPr>
      </w:pPr>
      <w:r>
        <w:rPr>
          <w:rFonts w:hint="eastAsia" w:ascii="宋体" w:hAnsi="宋体"/>
          <w:sz w:val="24"/>
          <w:szCs w:val="24"/>
        </w:rPr>
        <w:t xml:space="preserve">联系人：卢玲  </w:t>
      </w:r>
      <w:r>
        <w:rPr>
          <w:rFonts w:ascii="宋体" w:hAnsi="宋体"/>
          <w:sz w:val="24"/>
          <w:szCs w:val="24"/>
        </w:rPr>
      </w:r>
      <w:r/>
    </w:p>
    <w:p>
      <w:pPr>
        <w:pStyle w:val="658"/>
        <w:ind w:firstLine="720"/>
        <w:spacing w:line="560" w:lineRule="exact"/>
        <w:rPr>
          <w:rFonts w:hint="eastAsia" w:ascii="宋体" w:hAnsi="宋体"/>
          <w:sz w:val="24"/>
          <w:szCs w:val="24"/>
          <w:u w:val="single"/>
        </w:rPr>
      </w:pPr>
      <w:r>
        <w:rPr>
          <w:rFonts w:hint="eastAsia" w:ascii="宋体" w:hAnsi="宋体"/>
          <w:sz w:val="24"/>
          <w:szCs w:val="24"/>
        </w:rPr>
        <w:t xml:space="preserve">联系方式：15370985200</w:t>
      </w:r>
      <w:r>
        <w:rPr>
          <w:rFonts w:hint="eastAsia" w:ascii="宋体" w:hAnsi="宋体"/>
          <w:sz w:val="24"/>
          <w:szCs w:val="24"/>
          <w:u w:val="single"/>
        </w:rPr>
      </w:r>
      <w:r/>
    </w:p>
    <w:p>
      <w:pPr>
        <w:pStyle w:val="658"/>
        <w:ind w:firstLine="720"/>
        <w:spacing w:line="560" w:lineRule="exact"/>
        <w:rPr>
          <w:rFonts w:hint="eastAsia" w:ascii="宋体" w:hAnsi="宋体"/>
          <w:sz w:val="24"/>
          <w:szCs w:val="24"/>
        </w:rPr>
      </w:pPr>
      <w:r>
        <w:rPr>
          <w:rFonts w:hint="eastAsia" w:ascii="宋体" w:hAnsi="宋体"/>
          <w:sz w:val="24"/>
          <w:szCs w:val="24"/>
        </w:rPr>
        <w:t xml:space="preserve">3.项目联系方式</w:t>
      </w:r>
      <w:r/>
    </w:p>
    <w:p>
      <w:pPr>
        <w:pStyle w:val="658"/>
        <w:ind w:firstLine="720"/>
        <w:spacing w:line="560" w:lineRule="exact"/>
        <w:rPr>
          <w:rFonts w:hint="eastAsia" w:ascii="宋体" w:hAnsi="宋体"/>
          <w:sz w:val="24"/>
          <w:szCs w:val="24"/>
          <w:u w:val="single"/>
        </w:rPr>
      </w:pPr>
      <w:r>
        <w:rPr>
          <w:rFonts w:hint="eastAsia" w:ascii="宋体" w:hAnsi="宋体"/>
          <w:sz w:val="24"/>
          <w:szCs w:val="24"/>
        </w:rPr>
        <w:t xml:space="preserve">谈判文件制作人</w:t>
      </w:r>
      <w:r>
        <w:rPr>
          <w:rFonts w:hint="eastAsia" w:ascii="宋体" w:hAnsi="宋体"/>
          <w:sz w:val="24"/>
          <w:szCs w:val="24"/>
        </w:rPr>
        <w:t xml:space="preserve">：</w:t>
      </w:r>
      <w:r>
        <w:rPr>
          <w:rFonts w:hint="eastAsia" w:ascii="宋体" w:hAnsi="宋体"/>
          <w:sz w:val="24"/>
          <w:szCs w:val="24"/>
        </w:rPr>
        <w:t xml:space="preserve">卢玲</w:t>
      </w:r>
      <w:r>
        <w:rPr>
          <w:rFonts w:hint="eastAsia" w:ascii="宋体" w:hAnsi="宋体"/>
          <w:sz w:val="24"/>
          <w:szCs w:val="24"/>
          <w:u w:val="single"/>
        </w:rPr>
      </w:r>
      <w:r/>
    </w:p>
    <w:p>
      <w:pPr>
        <w:pStyle w:val="658"/>
        <w:ind w:firstLine="72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sz w:val="24"/>
          <w:szCs w:val="24"/>
        </w:rPr>
        <w:t xml:space="preserve">：</w:t>
      </w:r>
      <w:r>
        <w:rPr>
          <w:rFonts w:hint="eastAsia" w:ascii="宋体" w:hAnsi="宋体"/>
          <w:sz w:val="24"/>
          <w:szCs w:val="24"/>
        </w:rPr>
        <w:t xml:space="preserve">卢丛建</w:t>
      </w:r>
      <w:r/>
    </w:p>
    <w:p>
      <w:pPr>
        <w:pStyle w:val="658"/>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0"/>
      <w:r/>
      <w:bookmarkEnd w:id="41"/>
      <w:r>
        <w:rPr>
          <w:rFonts w:hint="eastAsia" w:ascii="宋体" w:hAnsi="宋体"/>
          <w:sz w:val="24"/>
          <w:szCs w:val="24"/>
        </w:rPr>
        <w:t xml:space="preserve">0519-86722801、0513-59001950</w:t>
      </w:r>
      <w:r/>
    </w:p>
    <w:p>
      <w:pPr>
        <w:pStyle w:val="658"/>
        <w:jc w:val="left"/>
        <w:spacing w:line="560" w:lineRule="exact"/>
        <w:widowControl/>
        <w:rPr>
          <w:rFonts w:hint="eastAsia" w:ascii="宋体" w:hAnsi="宋体"/>
          <w:sz w:val="24"/>
          <w:szCs w:val="24"/>
        </w:rPr>
      </w:pPr>
      <w:r>
        <w:rPr>
          <w:rFonts w:hint="eastAsia" w:ascii="宋体" w:hAnsi="宋体"/>
          <w:sz w:val="24"/>
          <w:szCs w:val="24"/>
        </w:rPr>
      </w:r>
      <w:r/>
    </w:p>
    <w:p>
      <w:pPr>
        <w:pStyle w:val="658"/>
        <w:jc w:val="left"/>
        <w:spacing w:line="560" w:lineRule="exact"/>
        <w:widowControl/>
        <w:rPr>
          <w:rFonts w:hint="eastAsia" w:ascii="宋体" w:hAnsi="宋体"/>
          <w:sz w:val="24"/>
          <w:szCs w:val="24"/>
        </w:rPr>
      </w:pPr>
      <w:r>
        <w:rPr>
          <w:rFonts w:hint="eastAsia" w:ascii="宋体" w:hAnsi="宋体"/>
          <w:sz w:val="24"/>
          <w:szCs w:val="24"/>
        </w:rPr>
      </w:r>
      <w:r/>
    </w:p>
    <w:p>
      <w:pPr>
        <w:pStyle w:val="658"/>
        <w:jc w:val="center"/>
        <w:keepLines/>
        <w:keepNext/>
        <w:spacing w:line="560" w:lineRule="exact"/>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8"/>
        <w:ind w:firstLine="498"/>
        <w:keepLines/>
        <w:keepNext/>
        <w:spacing w:line="560" w:lineRule="exact"/>
        <w:rPr>
          <w:rFonts w:hint="eastAsia"/>
          <w:b/>
          <w:bCs/>
          <w:sz w:val="32"/>
          <w:szCs w:val="32"/>
        </w:rPr>
        <w:outlineLvl w:val="2"/>
      </w:pPr>
      <w:r/>
      <w:bookmarkStart w:id="45" w:name="_Toc16938519"/>
      <w:r/>
      <w:bookmarkStart w:id="46" w:name="_Toc20823275"/>
      <w:r/>
      <w:bookmarkStart w:id="47" w:name="_Toc513029203"/>
      <w:r/>
      <w:bookmarkStart w:id="48" w:name="_Toc120614214"/>
      <w:r>
        <w:rPr>
          <w:rFonts w:hint="eastAsia"/>
          <w:b/>
          <w:bCs/>
          <w:sz w:val="32"/>
          <w:szCs w:val="32"/>
        </w:rPr>
        <w:t xml:space="preserve">一、总则</w:t>
      </w:r>
      <w:bookmarkEnd w:id="45"/>
      <w:r/>
      <w:bookmarkEnd w:id="46"/>
      <w:r/>
      <w:bookmarkEnd w:id="47"/>
      <w:r/>
      <w:bookmarkEnd w:id="48"/>
      <w:r>
        <w:rPr>
          <w:rFonts w:hint="eastAsia"/>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1.1本次政府采购活动采取竞争性谈判(以下简称谈判)方式，本谈判文件仅适用于谈判公告中所述项目。</w:t>
      </w:r>
      <w:r/>
    </w:p>
    <w:p>
      <w:pPr>
        <w:pStyle w:val="658"/>
        <w:ind w:firstLine="420"/>
        <w:keepLines/>
        <w:keepNext/>
        <w:spacing w:line="560" w:lineRule="exact"/>
        <w:rPr>
          <w:rFonts w:hint="eastAsia" w:ascii="Arial" w:hAnsi="Arial" w:eastAsia="黑体" w:cs="Arial"/>
          <w:sz w:val="28"/>
          <w:szCs w:val="28"/>
        </w:rPr>
        <w:outlineLvl w:val="3"/>
      </w:pPr>
      <w:r/>
      <w:bookmarkStart w:id="54" w:name="_Toc513029205"/>
      <w:r/>
      <w:bookmarkStart w:id="55" w:name="_Toc20823277"/>
      <w:r/>
      <w:bookmarkStart w:id="56" w:name="_Toc16938521"/>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p>
    <w:p>
      <w:pPr>
        <w:pStyle w:val="658"/>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p>
    <w:p>
      <w:pPr>
        <w:pStyle w:val="658"/>
        <w:ind w:firstLine="480"/>
        <w:spacing w:line="560" w:lineRule="exact"/>
        <w:rPr>
          <w:rFonts w:hint="eastAsia" w:ascii="宋体" w:hAnsi="宋体"/>
          <w:sz w:val="24"/>
          <w:szCs w:val="24"/>
        </w:rPr>
      </w:pPr>
      <w:r>
        <w:rPr>
          <w:rFonts w:hint="eastAsia" w:ascii="宋体" w:hAnsi="宋体"/>
          <w:sz w:val="24"/>
          <w:szCs w:val="24"/>
        </w:rPr>
        <w:t xml:space="preserve">2.2满足本谈判文件实质性要求和条件的规定。</w:t>
      </w:r>
      <w:r/>
    </w:p>
    <w:p>
      <w:pPr>
        <w:pStyle w:val="658"/>
        <w:ind w:firstLine="420"/>
        <w:keepLines/>
        <w:keepNext/>
        <w:spacing w:line="560" w:lineRule="exact"/>
        <w:rPr>
          <w:rFonts w:hint="eastAsia" w:ascii="Arial" w:hAnsi="Arial" w:eastAsia="黑体" w:cs="Arial"/>
          <w:sz w:val="28"/>
          <w:szCs w:val="28"/>
        </w:rPr>
        <w:outlineLvl w:val="3"/>
      </w:pPr>
      <w:r/>
      <w:bookmarkStart w:id="57" w:name="_Toc513029206"/>
      <w:r/>
      <w:bookmarkStart w:id="58" w:name="_Toc16938522"/>
      <w:r/>
      <w:bookmarkStart w:id="59" w:name="_Toc20823278"/>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rPr>
      </w:r>
      <w:r/>
    </w:p>
    <w:p>
      <w:pPr>
        <w:pStyle w:val="658"/>
        <w:ind w:firstLine="420"/>
        <w:spacing w:line="560" w:lineRule="exact"/>
        <w:rPr>
          <w:rFonts w:hint="eastAsia" w:ascii="宋体" w:hAnsi="宋体"/>
          <w:sz w:val="24"/>
          <w:szCs w:val="21"/>
        </w:rPr>
      </w:pPr>
      <w:r>
        <w:rPr>
          <w:rFonts w:hint="eastAsia" w:ascii="宋体" w:hAnsi="宋体"/>
          <w:sz w:val="24"/>
          <w:szCs w:val="21"/>
        </w:rPr>
        <w:t xml:space="preserve">3.1本次谈判及由此产生的合同受中华人民共和国有关的法律法规制约和保护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60" w:name="_Toc16938523"/>
      <w:r/>
      <w:bookmarkStart w:id="61" w:name="_Toc462564067"/>
      <w:r/>
      <w:bookmarkStart w:id="62" w:name="_Toc20823279"/>
      <w:r/>
      <w:bookmarkStart w:id="63" w:name="_Toc513029207"/>
      <w:r>
        <w:rPr>
          <w:rFonts w:hint="eastAsia" w:ascii="Arial" w:hAnsi="Arial" w:eastAsia="黑体" w:cs="Arial"/>
          <w:sz w:val="28"/>
          <w:szCs w:val="28"/>
        </w:rPr>
        <w:t xml:space="preserve">4、谈判费用</w:t>
      </w:r>
      <w:bookmarkEnd w:id="60"/>
      <w:r/>
      <w:bookmarkEnd w:id="61"/>
      <w:r/>
      <w:bookmarkEnd w:id="62"/>
      <w:r/>
      <w:bookmarkEnd w:id="63"/>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供应商应自行承担所有与参加本次谈判有关的费用，无论谈判过程中的做法和结果如何，采购人和采购代理机构在任何情况下均无义务和责任承担这些费用。</w:t>
      </w:r>
      <w:r/>
    </w:p>
    <w:p>
      <w:pPr>
        <w:pStyle w:val="658"/>
        <w:ind w:firstLine="480"/>
        <w:spacing w:line="560" w:lineRule="exact"/>
        <w:rPr>
          <w:rFonts w:hint="eastAsia" w:ascii="宋体" w:hAnsi="宋体"/>
          <w:sz w:val="24"/>
          <w:szCs w:val="21"/>
        </w:rPr>
      </w:pPr>
      <w:r>
        <w:rPr>
          <w:rFonts w:hint="eastAsia" w:ascii="宋体" w:hAnsi="宋体"/>
          <w:sz w:val="24"/>
          <w:szCs w:val="21"/>
        </w:rPr>
        <w:t xml:space="preserve">4.2本次谈判不收取标书工本费。</w:t>
      </w:r>
      <w:r/>
    </w:p>
    <w:p>
      <w:pPr>
        <w:pStyle w:val="658"/>
        <w:ind w:firstLine="480"/>
        <w:spacing w:line="560" w:lineRule="exact"/>
        <w:rPr>
          <w:rFonts w:ascii="宋体" w:hAnsi="宋体"/>
          <w:sz w:val="24"/>
          <w:szCs w:val="21"/>
        </w:rPr>
      </w:pPr>
      <w:r>
        <w:rPr>
          <w:rFonts w:hint="eastAsia" w:ascii="宋体" w:hAnsi="宋体"/>
          <w:sz w:val="24"/>
          <w:szCs w:val="21"/>
        </w:rPr>
        <w:t xml:space="preserve">4.3本次谈判采购代理机构服务费5000元/采购包，由成交供应商支付，此费用综合考虑在投标报价内。</w:t>
      </w:r>
      <w:r>
        <w:rPr>
          <w:rFonts w:ascii="宋体" w:hAnsi="宋体"/>
          <w:sz w:val="24"/>
          <w:szCs w:val="21"/>
        </w:rPr>
      </w:r>
      <w:r/>
    </w:p>
    <w:p>
      <w:pPr>
        <w:pStyle w:val="658"/>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pStyle w:val="658"/>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pStyle w:val="658"/>
        <w:ind w:firstLine="321"/>
        <w:keepLines/>
        <w:keepNext/>
        <w:spacing w:line="560" w:lineRule="exact"/>
        <w:rPr>
          <w:rFonts w:hint="eastAsia"/>
          <w:b/>
          <w:bCs/>
          <w:sz w:val="32"/>
          <w:szCs w:val="32"/>
        </w:rPr>
        <w:outlineLvl w:val="2"/>
      </w:pPr>
      <w:r/>
      <w:bookmarkStart w:id="64" w:name="_Toc120614215"/>
      <w:r/>
      <w:bookmarkStart w:id="65" w:name="_Toc20823281"/>
      <w:r/>
      <w:bookmarkStart w:id="66" w:name="_Toc513029209"/>
      <w:r/>
      <w:bookmarkStart w:id="67" w:name="_Toc16938525"/>
      <w:r>
        <w:rPr>
          <w:rFonts w:hint="eastAsia"/>
          <w:b/>
          <w:bCs/>
          <w:sz w:val="32"/>
          <w:szCs w:val="32"/>
        </w:rPr>
        <w:t xml:space="preserve">二、</w:t>
      </w:r>
      <w:bookmarkEnd w:id="64"/>
      <w:r/>
      <w:bookmarkEnd w:id="65"/>
      <w:r/>
      <w:bookmarkEnd w:id="66"/>
      <w:r/>
      <w:bookmarkEnd w:id="67"/>
      <w:r>
        <w:rPr>
          <w:rFonts w:hint="eastAsia"/>
          <w:b/>
          <w:bCs/>
          <w:sz w:val="32"/>
          <w:szCs w:val="32"/>
        </w:rPr>
        <w:t xml:space="preserve">谈判文件</w:t>
      </w:r>
      <w:r/>
    </w:p>
    <w:p>
      <w:pPr>
        <w:pStyle w:val="658"/>
        <w:ind w:firstLine="420"/>
        <w:keepLines/>
        <w:keepNext/>
        <w:spacing w:line="560" w:lineRule="exact"/>
        <w:rPr>
          <w:rFonts w:hint="eastAsia" w:ascii="Arial" w:hAnsi="Arial" w:eastAsia="黑体" w:cs="Arial"/>
          <w:sz w:val="28"/>
          <w:szCs w:val="28"/>
        </w:rPr>
        <w:outlineLvl w:val="3"/>
      </w:pPr>
      <w:r/>
      <w:bookmarkStart w:id="68" w:name="_Toc20823282"/>
      <w:r/>
      <w:bookmarkStart w:id="69" w:name="_Toc16938526"/>
      <w:r/>
      <w:bookmarkStart w:id="70" w:name="_Toc513029210"/>
      <w:r>
        <w:rPr>
          <w:rFonts w:hint="eastAsia" w:ascii="Arial" w:hAnsi="Arial" w:eastAsia="黑体" w:cs="Arial"/>
          <w:sz w:val="28"/>
          <w:szCs w:val="28"/>
        </w:rPr>
        <w:t xml:space="preserve">6、谈判文件构成</w:t>
      </w:r>
      <w:bookmarkEnd w:id="68"/>
      <w:r/>
      <w:bookmarkEnd w:id="69"/>
      <w:r/>
      <w:bookmarkEnd w:id="70"/>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pStyle w:val="658"/>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（2）供应商须知</w:t>
      </w:r>
      <w:r/>
    </w:p>
    <w:p>
      <w:pPr>
        <w:pStyle w:val="658"/>
        <w:ind w:firstLine="360"/>
        <w:spacing w:line="560" w:lineRule="exact"/>
        <w:rPr>
          <w:rFonts w:hint="eastAsia" w:ascii="宋体" w:hAnsi="宋体"/>
          <w:sz w:val="24"/>
          <w:szCs w:val="24"/>
        </w:rPr>
      </w:pPr>
      <w:r>
        <w:rPr>
          <w:rFonts w:hint="eastAsia" w:ascii="宋体" w:hAnsi="宋体"/>
          <w:sz w:val="24"/>
          <w:szCs w:val="24"/>
        </w:rPr>
        <w:t xml:space="preserve">（3）采购需求</w:t>
      </w:r>
      <w:r/>
    </w:p>
    <w:p>
      <w:pPr>
        <w:pStyle w:val="658"/>
        <w:ind w:firstLine="360"/>
        <w:spacing w:line="560" w:lineRule="exact"/>
        <w:rPr>
          <w:rFonts w:hint="eastAsia" w:ascii="宋体" w:hAnsi="宋体"/>
          <w:sz w:val="24"/>
          <w:szCs w:val="24"/>
        </w:rPr>
      </w:pPr>
      <w:r>
        <w:rPr>
          <w:rFonts w:hint="eastAsia" w:ascii="宋体" w:hAnsi="宋体"/>
          <w:sz w:val="24"/>
          <w:szCs w:val="24"/>
        </w:rPr>
        <w:t xml:space="preserve">（4）响应文件格式</w:t>
      </w:r>
      <w:r/>
    </w:p>
    <w:p>
      <w:pPr>
        <w:pStyle w:val="658"/>
        <w:ind w:firstLine="360"/>
        <w:spacing w:line="560" w:lineRule="exact"/>
        <w:rPr>
          <w:rFonts w:hint="eastAsia" w:ascii="宋体" w:hAnsi="宋体"/>
          <w:sz w:val="24"/>
          <w:szCs w:val="24"/>
        </w:rPr>
      </w:pPr>
      <w:r>
        <w:rPr>
          <w:rFonts w:hint="eastAsia" w:ascii="宋体" w:hAnsi="宋体"/>
          <w:sz w:val="24"/>
          <w:szCs w:val="24"/>
        </w:rPr>
        <w:t xml:space="preserve">（5）附件（如有）</w:t>
      </w:r>
      <w:r/>
    </w:p>
    <w:p>
      <w:pPr>
        <w:pStyle w:val="658"/>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请仔细检查谈判文件是否齐全，如有缺漏请立即与采购人或采购代理机构联系解决。</w:t>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58"/>
        <w:ind w:firstLine="560"/>
        <w:keepLines/>
        <w:keepNext/>
        <w:spacing w:line="560" w:lineRule="exact"/>
        <w:rPr>
          <w:rFonts w:hint="eastAsia" w:ascii="Arial" w:hAnsi="Arial" w:eastAsia="黑体" w:cs="Arial"/>
          <w:sz w:val="28"/>
          <w:szCs w:val="28"/>
        </w:rPr>
        <w:outlineLvl w:val="3"/>
      </w:pPr>
      <w:r/>
      <w:bookmarkStart w:id="71" w:name="_Toc513029211"/>
      <w:r/>
      <w:bookmarkStart w:id="72" w:name="_Toc20823283"/>
      <w:r/>
      <w:bookmarkStart w:id="73" w:name="_Toc462564070"/>
      <w:r/>
      <w:bookmarkStart w:id="74" w:name="_Toc16938527"/>
      <w:r>
        <w:rPr>
          <w:rFonts w:hint="eastAsia" w:ascii="Arial" w:hAnsi="Arial" w:eastAsia="黑体" w:cs="Arial"/>
          <w:sz w:val="28"/>
          <w:szCs w:val="28"/>
        </w:rPr>
        <w:t xml:space="preserve">7、谈判文件的澄清</w:t>
      </w:r>
      <w:bookmarkEnd w:id="71"/>
      <w:r/>
      <w:bookmarkEnd w:id="72"/>
      <w:r/>
      <w:bookmarkEnd w:id="73"/>
      <w:r/>
      <w:bookmarkEnd w:id="74"/>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任何要求对谈判文件进行澄清的供应商，应在谈判截止期三个工作日前按谈判公告中的通讯地址，以书面形式通知采购人。</w:t>
      </w:r>
      <w:r/>
    </w:p>
    <w:p>
      <w:pPr>
        <w:pStyle w:val="658"/>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8"/>
        <w:ind w:firstLine="560"/>
        <w:keepLines/>
        <w:keepNext/>
        <w:spacing w:line="560" w:lineRule="exact"/>
        <w:rPr>
          <w:rFonts w:hint="eastAsia" w:ascii="Arial" w:hAnsi="Arial" w:eastAsia="黑体" w:cs="Arial"/>
          <w:sz w:val="28"/>
          <w:szCs w:val="28"/>
        </w:rPr>
        <w:outlineLvl w:val="3"/>
      </w:pPr>
      <w:r/>
      <w:bookmarkStart w:id="75" w:name="_Toc462564071"/>
      <w:r/>
      <w:bookmarkStart w:id="76" w:name="_Toc16938528"/>
      <w:r/>
      <w:bookmarkStart w:id="77" w:name="_Toc513029212"/>
      <w:r/>
      <w:bookmarkStart w:id="78" w:name="_Toc20823284"/>
      <w:r>
        <w:rPr>
          <w:rFonts w:hint="eastAsia" w:ascii="Arial" w:hAnsi="Arial" w:eastAsia="黑体" w:cs="Arial"/>
          <w:sz w:val="28"/>
          <w:szCs w:val="28"/>
        </w:rPr>
        <w:t xml:space="preserve">8、谈判文件的澄清和修改</w:t>
      </w:r>
      <w:bookmarkEnd w:id="75"/>
      <w:r/>
      <w:bookmarkEnd w:id="76"/>
      <w:r/>
      <w:bookmarkEnd w:id="77"/>
      <w:r/>
      <w:bookmarkEnd w:id="78"/>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在响应文件提交截止时间前，采购人可以对谈判文件进行澄清和修改,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更正公告内容将作为谈判文件的组成部分，并对供应商具有约束力。不足三个工作日的，采购人将顺延提交首次响应文件截止时间。</w:t>
      </w:r>
      <w:r/>
    </w:p>
    <w:p>
      <w:pPr>
        <w:pStyle w:val="658"/>
        <w:ind w:firstLine="482"/>
        <w:keepLines/>
        <w:keepNext/>
        <w:spacing w:line="560" w:lineRule="exact"/>
        <w:rPr>
          <w:rFonts w:hint="eastAsia"/>
          <w:b/>
          <w:bCs/>
          <w:sz w:val="32"/>
          <w:szCs w:val="32"/>
        </w:rPr>
        <w:outlineLvl w:val="2"/>
      </w:pPr>
      <w:r/>
      <w:bookmarkStart w:id="79" w:name="_Toc513029213"/>
      <w:r/>
      <w:bookmarkStart w:id="80" w:name="_Toc20823285"/>
      <w:r/>
      <w:bookmarkStart w:id="81" w:name="_Toc16938529"/>
      <w:r/>
      <w:bookmarkStart w:id="82" w:name="_Toc120614216"/>
      <w:r/>
      <w:bookmarkStart w:id="83" w:name="_Toc462564072"/>
      <w:r>
        <w:rPr>
          <w:rFonts w:hint="eastAsia"/>
          <w:b/>
          <w:bCs/>
          <w:sz w:val="32"/>
          <w:szCs w:val="32"/>
        </w:rPr>
        <w:t xml:space="preserve">三、响应文件的编制</w:t>
      </w:r>
      <w:bookmarkEnd w:id="79"/>
      <w:r/>
      <w:bookmarkEnd w:id="80"/>
      <w:r/>
      <w:bookmarkEnd w:id="81"/>
      <w:r/>
      <w:bookmarkEnd w:id="82"/>
      <w:r/>
      <w:bookmarkEnd w:id="83"/>
      <w:r>
        <w:rPr>
          <w:rFonts w:hint="eastAsia"/>
          <w:b/>
          <w:bCs/>
          <w:sz w:val="32"/>
          <w:szCs w:val="32"/>
        </w:rPr>
      </w:r>
      <w:r/>
    </w:p>
    <w:p>
      <w:pPr>
        <w:pStyle w:val="658"/>
        <w:ind w:firstLine="560"/>
        <w:keepLines/>
        <w:keepNext/>
        <w:spacing w:line="560" w:lineRule="exact"/>
        <w:rPr>
          <w:rFonts w:hint="eastAsia" w:ascii="Arial" w:hAnsi="Arial" w:eastAsia="黑体" w:cs="Arial"/>
          <w:b/>
          <w:sz w:val="28"/>
          <w:szCs w:val="28"/>
        </w:rPr>
        <w:outlineLvl w:val="3"/>
      </w:pPr>
      <w:r/>
      <w:bookmarkStart w:id="84" w:name="_Toc20823286"/>
      <w:r/>
      <w:bookmarkStart w:id="85" w:name="_Toc462564073"/>
      <w:r/>
      <w:bookmarkStart w:id="86" w:name="_Toc513029214"/>
      <w:r/>
      <w:bookmarkStart w:id="87" w:name="_Toc16938530"/>
      <w:r>
        <w:rPr>
          <w:rFonts w:hint="eastAsia" w:ascii="Arial" w:hAnsi="Arial" w:eastAsia="黑体" w:cs="Arial"/>
          <w:sz w:val="28"/>
          <w:szCs w:val="28"/>
        </w:rPr>
        <w:t xml:space="preserve">9、响应文件的语言及度量衡单位</w:t>
      </w:r>
      <w:bookmarkEnd w:id="84"/>
      <w:r/>
      <w:bookmarkEnd w:id="85"/>
      <w:r/>
      <w:bookmarkEnd w:id="86"/>
      <w:r/>
      <w:bookmarkEnd w:id="87"/>
      <w:r>
        <w:rPr>
          <w:rFonts w:hint="eastAsia" w:ascii="Arial" w:hAnsi="Arial" w:eastAsia="黑体" w:cs="Arial"/>
          <w:b/>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9.1供应商提交的响应文件以及供应商与采购人就有关谈判的所有来往通知、函件和文件均应使用</w:t>
      </w:r>
      <w:r>
        <w:rPr>
          <w:rFonts w:hint="eastAsia" w:ascii="宋体" w:hAnsi="宋体"/>
          <w:b/>
          <w:sz w:val="24"/>
          <w:szCs w:val="21"/>
        </w:rPr>
        <w:t xml:space="preserve">简体中文</w:t>
      </w:r>
      <w:r>
        <w:rPr>
          <w:rFonts w:hint="eastAsia" w:ascii="宋体" w:hAnsi="宋体"/>
          <w:sz w:val="24"/>
          <w:szCs w:val="21"/>
        </w:rPr>
        <w:t xml:space="preserve">。</w:t>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p>
    <w:p>
      <w:pPr>
        <w:pStyle w:val="658"/>
        <w:ind w:firstLine="420"/>
        <w:keepLines/>
        <w:keepNext/>
        <w:spacing w:line="560" w:lineRule="exact"/>
        <w:rPr>
          <w:rFonts w:hint="eastAsia" w:ascii="Arial" w:hAnsi="Arial" w:eastAsia="黑体" w:cs="Arial"/>
          <w:sz w:val="28"/>
          <w:szCs w:val="28"/>
        </w:rPr>
        <w:outlineLvl w:val="3"/>
      </w:pPr>
      <w:r/>
      <w:bookmarkStart w:id="88" w:name="_Toc16938531"/>
      <w:r/>
      <w:bookmarkStart w:id="89" w:name="_Toc20823287"/>
      <w:r/>
      <w:bookmarkStart w:id="90" w:name="_Toc462564074"/>
      <w:r/>
      <w:bookmarkStart w:id="91" w:name="_Toc513029215"/>
      <w:r>
        <w:rPr>
          <w:rFonts w:hint="eastAsia" w:ascii="Arial" w:hAnsi="Arial" w:eastAsia="黑体" w:cs="Arial"/>
          <w:sz w:val="28"/>
          <w:szCs w:val="28"/>
        </w:rPr>
        <w:t xml:space="preserve">10、响应文件构成</w:t>
      </w:r>
      <w:bookmarkEnd w:id="88"/>
      <w:r/>
      <w:bookmarkEnd w:id="89"/>
      <w:r/>
      <w:bookmarkEnd w:id="90"/>
      <w:r/>
      <w:bookmarkEnd w:id="91"/>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p>
    <w:p>
      <w:pPr>
        <w:pStyle w:val="658"/>
        <w:ind w:firstLine="480"/>
        <w:spacing w:line="560" w:lineRule="exact"/>
        <w:rPr>
          <w:rFonts w:hint="eastAsia" w:ascii="宋体" w:hAnsi="宋体"/>
          <w:sz w:val="24"/>
          <w:szCs w:val="21"/>
        </w:rPr>
      </w:pPr>
      <w:r>
        <w:rPr>
          <w:rFonts w:hint="eastAsia" w:ascii="宋体" w:hAnsi="宋体"/>
          <w:sz w:val="24"/>
          <w:szCs w:val="21"/>
        </w:rPr>
        <w:t xml:space="preserve">10.</w:t>
      </w:r>
      <w:r>
        <w:rPr>
          <w:rFonts w:hint="eastAsia" w:ascii="宋体" w:hAnsi="宋体"/>
          <w:sz w:val="24"/>
          <w:szCs w:val="21"/>
        </w:rPr>
        <w:t xml:space="preserve">2</w:t>
      </w:r>
      <w:r>
        <w:rPr>
          <w:rFonts w:hint="eastAsia" w:ascii="宋体" w:hAnsi="宋体"/>
          <w:sz w:val="24"/>
          <w:szCs w:val="21"/>
        </w:rPr>
        <w:t xml:space="preserve">如标书制作工具中格式和内容与“江苏政府采购网”发布的谈判文件不一致，请以“江苏政府采购网”发布的谈判文件为准。</w:t>
      </w:r>
      <w:r/>
    </w:p>
    <w:p>
      <w:pPr>
        <w:pStyle w:val="658"/>
        <w:ind w:firstLine="420"/>
        <w:keepLines/>
        <w:keepNext/>
        <w:spacing w:line="560" w:lineRule="exact"/>
        <w:rPr>
          <w:rFonts w:hint="eastAsia" w:ascii="Arial" w:hAnsi="Arial" w:eastAsia="黑体" w:cs="Arial"/>
          <w:sz w:val="28"/>
          <w:szCs w:val="28"/>
        </w:rPr>
        <w:outlineLvl w:val="3"/>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14577355"/>
      <w:r/>
      <w:bookmarkStart w:id="102" w:name="_Toc49090508"/>
      <w:r>
        <w:rPr>
          <w:rFonts w:hint="eastAsia" w:ascii="Arial" w:hAnsi="Arial" w:eastAsia="黑体" w:cs="Arial"/>
          <w:sz w:val="28"/>
          <w:szCs w:val="28"/>
        </w:rPr>
        <w:t xml:space="preserve">11、证明谈判响应标的符合谈判文件规定的文件</w:t>
      </w:r>
      <w:bookmarkEnd w:id="95"/>
      <w:r/>
      <w:bookmarkEnd w:id="96"/>
      <w:r/>
      <w:bookmarkEnd w:id="97"/>
      <w:r>
        <w:rPr>
          <w:rFonts w:hint="eastAsia" w:ascii="Arial" w:hAnsi="Arial" w:eastAsia="黑体" w:cs="Arial"/>
          <w:sz w:val="28"/>
          <w:szCs w:val="28"/>
        </w:rPr>
      </w:r>
      <w:r/>
    </w:p>
    <w:p>
      <w:pPr>
        <w:pStyle w:val="658"/>
        <w:spacing w:line="560" w:lineRule="exact"/>
        <w:rPr>
          <w:rFonts w:hint="eastAsia" w:ascii="宋体" w:hAnsi="宋体"/>
          <w:sz w:val="24"/>
          <w:szCs w:val="24"/>
        </w:rPr>
      </w:pPr>
      <w:r/>
      <w:bookmarkEnd w:id="98"/>
      <w:r/>
      <w:bookmarkEnd w:id="99"/>
      <w:r/>
      <w:bookmarkEnd w:id="100"/>
      <w:r>
        <w:rPr>
          <w:rFonts w:hint="eastAsia" w:ascii="宋体" w:hAnsi="宋体"/>
          <w:sz w:val="24"/>
          <w:szCs w:val="24"/>
        </w:rPr>
        <w:t xml:space="preserve">    11.1供应商应按照谈判文件要求提交证明文件，证明其及谈判响应标的符合谈判文件规定。</w:t>
      </w:r>
      <w:r/>
    </w:p>
    <w:p>
      <w:pPr>
        <w:pStyle w:val="658"/>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p>
    <w:p>
      <w:pPr>
        <w:pStyle w:val="658"/>
        <w:ind w:firstLine="420"/>
        <w:keepLines/>
        <w:keepNext/>
        <w:spacing w:line="560" w:lineRule="exact"/>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12、分项报价表</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03" w:name="_Hlt26954848"/>
      <w:r/>
      <w:bookmarkEnd w:id="103"/>
      <w:r/>
      <w:bookmarkStart w:id="104" w:name="_Hlt26670482"/>
      <w:r/>
      <w:bookmarkEnd w:id="104"/>
      <w:r/>
      <w:bookmarkStart w:id="105" w:name="_Hlt26954731"/>
      <w:r/>
      <w:bookmarkEnd w:id="105"/>
      <w:r/>
      <w:bookmarkStart w:id="106" w:name="_Hlt26954846"/>
      <w:r/>
      <w:bookmarkEnd w:id="106"/>
      <w:r/>
      <w:bookmarkStart w:id="107" w:name="_Hlt26670486"/>
      <w:r/>
      <w:bookmarkEnd w:id="107"/>
      <w:r>
        <w:rPr>
          <w:rFonts w:hint="eastAsia" w:ascii="Arial" w:hAnsi="Arial" w:eastAsia="黑体" w:cs="Arial"/>
          <w:sz w:val="28"/>
          <w:szCs w:val="28"/>
        </w:rPr>
        <w:t xml:space="preserve">13、技术要求响应及偏离表、商务要求响应及偏离表</w:t>
      </w:r>
      <w:r/>
    </w:p>
    <w:p>
      <w:pPr>
        <w:pStyle w:val="658"/>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p>
    <w:p>
      <w:pPr>
        <w:pStyle w:val="658"/>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58"/>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pStyle w:val="658"/>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p>
    <w:p>
      <w:pPr>
        <w:pStyle w:val="658"/>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08" w:name="_Toc49090510"/>
      <w:r/>
      <w:bookmarkStart w:id="109" w:name="_Toc14577359"/>
      <w:r>
        <w:rPr>
          <w:rFonts w:hint="eastAsia" w:ascii="Arial" w:hAnsi="Arial" w:eastAsia="黑体" w:cs="Arial"/>
          <w:sz w:val="28"/>
          <w:szCs w:val="28"/>
        </w:rPr>
        <w:t xml:space="preserve">15、谈判响应函</w:t>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p>
    <w:p>
      <w:pPr>
        <w:pStyle w:val="658"/>
        <w:ind w:firstLine="420"/>
        <w:keepLines/>
        <w:keepNext/>
        <w:spacing w:line="560" w:lineRule="exact"/>
        <w:rPr>
          <w:rFonts w:hint="eastAsia" w:ascii="Arial" w:hAnsi="Arial" w:eastAsia="黑体" w:cs="Arial"/>
          <w:sz w:val="28"/>
          <w:szCs w:val="28"/>
        </w:rPr>
        <w:outlineLvl w:val="3"/>
      </w:pPr>
      <w:r/>
      <w:bookmarkEnd w:id="108"/>
      <w:r/>
      <w:bookmarkEnd w:id="109"/>
      <w:r/>
      <w:bookmarkStart w:id="110" w:name="_Toc14577360"/>
      <w:r/>
      <w:bookmarkStart w:id="111" w:name="_Toc49090511"/>
      <w:r>
        <w:rPr>
          <w:rFonts w:hint="eastAsia" w:ascii="Arial" w:hAnsi="Arial" w:eastAsia="黑体" w:cs="Arial"/>
          <w:sz w:val="28"/>
          <w:szCs w:val="28"/>
        </w:rPr>
        <w:t xml:space="preserve">16、谈判有效期</w:t>
      </w:r>
      <w:bookmarkEnd w:id="110"/>
      <w:r/>
      <w:bookmarkEnd w:id="111"/>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16.1谈判有效期为采购人规定的提交响应文件截止之日后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pStyle w:val="658"/>
        <w:ind w:firstLine="482"/>
        <w:keepLines/>
        <w:keepNext/>
        <w:spacing w:line="560" w:lineRule="exact"/>
        <w:rPr>
          <w:rFonts w:hint="eastAsia"/>
          <w:b/>
          <w:bCs/>
          <w:sz w:val="32"/>
          <w:szCs w:val="32"/>
        </w:rPr>
        <w:outlineLvl w:val="2"/>
      </w:pPr>
      <w:r/>
      <w:bookmarkStart w:id="112" w:name="_Hlt26954739"/>
      <w:r/>
      <w:bookmarkEnd w:id="112"/>
      <w:r/>
      <w:bookmarkStart w:id="113" w:name="_Hlt26954852"/>
      <w:r/>
      <w:bookmarkEnd w:id="113"/>
      <w:r/>
      <w:bookmarkStart w:id="114" w:name="_Toc20823296"/>
      <w:r/>
      <w:bookmarkStart w:id="115" w:name="_Toc513029224"/>
      <w:r/>
      <w:bookmarkStart w:id="116" w:name="_Toc120614217"/>
      <w:r/>
      <w:bookmarkStart w:id="117" w:name="_Toc16938540"/>
      <w:r>
        <w:rPr>
          <w:rFonts w:hint="eastAsia"/>
          <w:b/>
          <w:bCs/>
          <w:sz w:val="32"/>
          <w:szCs w:val="32"/>
        </w:rPr>
        <w:t xml:space="preserve">四、响应文件的递交</w:t>
      </w:r>
      <w:bookmarkEnd w:id="114"/>
      <w:r/>
      <w:bookmarkEnd w:id="115"/>
      <w:r/>
      <w:bookmarkEnd w:id="116"/>
      <w:r/>
      <w:bookmarkEnd w:id="117"/>
      <w:r>
        <w:rPr>
          <w:rFonts w:hint="eastAsia"/>
          <w:b/>
          <w:bCs/>
          <w:sz w:val="32"/>
          <w:szCs w:val="32"/>
        </w:rPr>
      </w:r>
      <w:r/>
    </w:p>
    <w:p>
      <w:pPr>
        <w:pStyle w:val="658"/>
        <w:ind w:firstLine="560"/>
        <w:keepLines/>
        <w:keepNext/>
        <w:spacing w:line="560" w:lineRule="exact"/>
        <w:rPr>
          <w:rFonts w:hint="eastAsia" w:ascii="黑体" w:hAnsi="Arial" w:eastAsia="黑体" w:cs="Arial"/>
          <w:sz w:val="28"/>
          <w:szCs w:val="28"/>
        </w:rPr>
        <w:outlineLvl w:val="3"/>
      </w:pPr>
      <w:r/>
      <w:bookmarkStart w:id="118" w:name="_Toc513029225"/>
      <w:r/>
      <w:bookmarkStart w:id="119" w:name="_Toc20823297"/>
      <w:r/>
      <w:bookmarkStart w:id="120" w:name="_Toc16938541"/>
      <w:r/>
      <w:bookmarkStart w:id="121"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8"/>
      <w:r/>
      <w:bookmarkEnd w:id="119"/>
      <w:r/>
      <w:bookmarkEnd w:id="120"/>
      <w:r/>
      <w:bookmarkEnd w:id="121"/>
      <w:r>
        <w:rPr>
          <w:rFonts w:hint="eastAsia" w:ascii="黑体" w:hAnsi="Arial" w:eastAsia="黑体" w:cs="Arial"/>
          <w:sz w:val="28"/>
          <w:szCs w:val="28"/>
        </w:rPr>
        <w:t xml:space="preserve">响应文件的递交</w:t>
      </w:r>
      <w:r/>
    </w:p>
    <w:p>
      <w:pPr>
        <w:pStyle w:val="658"/>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2" w:name="_Toc20823298"/>
      <w:r/>
      <w:bookmarkStart w:id="123" w:name="_Toc513029226"/>
      <w:r/>
      <w:bookmarkStart w:id="124" w:name="_Toc16938542"/>
      <w:r>
        <w:rPr>
          <w:rFonts w:ascii="宋体" w:hAnsi="宋体"/>
          <w:bCs/>
          <w:sz w:val="24"/>
          <w:szCs w:val="21"/>
        </w:rPr>
      </w:r>
      <w:r/>
    </w:p>
    <w:p>
      <w:pPr>
        <w:pStyle w:val="658"/>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2"/>
      <w:r/>
      <w:bookmarkEnd w:id="123"/>
      <w:r/>
      <w:bookmarkEnd w:id="124"/>
      <w:r>
        <w:rPr>
          <w:rFonts w:hint="eastAsia" w:ascii="宋体" w:hAnsi="宋体" w:eastAsia="黑体" w:cs="Arial"/>
          <w:bCs/>
          <w:sz w:val="24"/>
          <w:szCs w:val="28"/>
        </w:rPr>
      </w:r>
      <w:r/>
    </w:p>
    <w:p>
      <w:pPr>
        <w:pStyle w:val="658"/>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pStyle w:val="658"/>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w:t>
      </w:r>
      <w:r>
        <w:rPr>
          <w:rFonts w:hint="eastAsia" w:ascii="宋体" w:hAnsi="宋体"/>
          <w:sz w:val="24"/>
          <w:szCs w:val="21"/>
        </w:rPr>
        <w:t xml:space="preserve">2</w:t>
      </w:r>
      <w:r>
        <w:rPr>
          <w:rFonts w:hint="eastAsia" w:ascii="宋体" w:hAnsi="宋体"/>
          <w:bCs/>
          <w:sz w:val="24"/>
          <w:szCs w:val="21"/>
        </w:rPr>
        <w:t xml:space="preserve">采购人可以按照规定，通过修改谈判文件酌情延长提交响应文件截止日期，在此情况下，供应商的所有权利和义务以及供应商受制的截止日期均应以延长后新的截止日期为准。</w:t>
      </w:r>
      <w:r/>
    </w:p>
    <w:p>
      <w:pPr>
        <w:pStyle w:val="658"/>
        <w:ind w:firstLine="420"/>
        <w:keepLines/>
        <w:keepNext/>
        <w:spacing w:line="560" w:lineRule="exact"/>
        <w:rPr>
          <w:rFonts w:hint="eastAsia" w:ascii="Arial" w:hAnsi="Arial" w:eastAsia="黑体" w:cs="Arial"/>
          <w:sz w:val="28"/>
          <w:szCs w:val="28"/>
        </w:rPr>
        <w:outlineLvl w:val="3"/>
      </w:pPr>
      <w:r/>
      <w:bookmarkStart w:id="125" w:name="_Toc513029227"/>
      <w:r/>
      <w:bookmarkStart w:id="126" w:name="_Toc16938543"/>
      <w:r/>
      <w:bookmarkStart w:id="127"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5"/>
      <w:r/>
      <w:bookmarkEnd w:id="126"/>
      <w:r/>
      <w:bookmarkEnd w:id="127"/>
      <w:r>
        <w:rPr>
          <w:rFonts w:hint="eastAsia" w:ascii="Arial" w:hAnsi="Arial" w:eastAsia="黑体" w:cs="Arial"/>
          <w:sz w:val="28"/>
          <w:szCs w:val="28"/>
        </w:rPr>
        <w:t xml:space="preserve">的拒收</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20.1采购人拒绝接收在其规定的提交响应文件截止时间后上传的任何电子响应文件。</w:t>
      </w:r>
      <w:r/>
    </w:p>
    <w:p>
      <w:pPr>
        <w:pStyle w:val="658"/>
        <w:ind w:firstLine="420"/>
        <w:keepLines/>
        <w:keepNext/>
        <w:spacing w:line="560" w:lineRule="exact"/>
        <w:rPr>
          <w:rFonts w:hint="eastAsia" w:ascii="Arial" w:hAnsi="Arial" w:eastAsia="黑体" w:cs="Arial"/>
          <w:sz w:val="28"/>
          <w:szCs w:val="28"/>
        </w:rPr>
        <w:outlineLvl w:val="3"/>
      </w:pPr>
      <w:r/>
      <w:bookmarkStart w:id="128" w:name="_Toc20823300"/>
      <w:r/>
      <w:bookmarkStart w:id="129" w:name="_Toc16938544"/>
      <w:r/>
      <w:bookmarkStart w:id="130"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8"/>
      <w:r/>
      <w:bookmarkEnd w:id="129"/>
      <w:r/>
      <w:bookmarkEnd w:id="130"/>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58"/>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.1.1电子响应文件的撤回</w:t>
      </w:r>
      <w:r/>
    </w:p>
    <w:p>
      <w:pPr>
        <w:pStyle w:val="65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58"/>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p>
    <w:p>
      <w:pPr>
        <w:pStyle w:val="658"/>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5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在提交响应文件截止时间之后，供应商不得对其电子响应文件作任何修改。</w:t>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4</w:t>
      </w:r>
      <w:r>
        <w:rPr>
          <w:rFonts w:hint="eastAsia" w:ascii="宋体" w:hAnsi="宋体"/>
          <w:bCs/>
          <w:sz w:val="24"/>
          <w:szCs w:val="21"/>
        </w:rPr>
        <w:t xml:space="preserve">在提交响应文件截止时间至谈判文件中规定的谈判有效期满之间的这段时间内，供应商不得撤回其响应文件。</w:t>
      </w:r>
      <w:r/>
    </w:p>
    <w:p>
      <w:pPr>
        <w:pStyle w:val="658"/>
        <w:ind w:firstLine="482"/>
        <w:keepLines/>
        <w:keepNext/>
        <w:spacing w:line="560" w:lineRule="exact"/>
        <w:rPr>
          <w:rFonts w:hint="eastAsia"/>
          <w:b/>
          <w:bCs/>
          <w:sz w:val="32"/>
          <w:szCs w:val="32"/>
        </w:rPr>
        <w:outlineLvl w:val="2"/>
      </w:pPr>
      <w:r/>
      <w:bookmarkStart w:id="131" w:name="_Toc20823301"/>
      <w:r/>
      <w:bookmarkStart w:id="132" w:name="_Toc513029229"/>
      <w:r/>
      <w:bookmarkStart w:id="133" w:name="_Toc120614218"/>
      <w:r/>
      <w:bookmarkStart w:id="134" w:name="_Toc16938545"/>
      <w:r>
        <w:rPr>
          <w:rFonts w:hint="eastAsia"/>
          <w:b/>
          <w:bCs/>
          <w:sz w:val="32"/>
          <w:szCs w:val="32"/>
        </w:rPr>
        <w:t xml:space="preserve">五、响应文件的解密与评审</w:t>
      </w:r>
      <w:bookmarkEnd w:id="131"/>
      <w:r/>
      <w:bookmarkEnd w:id="132"/>
      <w:r/>
      <w:bookmarkEnd w:id="133"/>
      <w:r/>
      <w:bookmarkEnd w:id="134"/>
      <w:r>
        <w:rPr>
          <w:rFonts w:hint="eastAsia"/>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135" w:name="_Toc16938546"/>
      <w:r/>
      <w:bookmarkStart w:id="136" w:name="_Toc513029230"/>
      <w:r/>
      <w:bookmarkStart w:id="137" w:name="_Toc20823302"/>
      <w:r>
        <w:rPr>
          <w:rFonts w:hint="eastAsia" w:ascii="Arial" w:hAnsi="Arial" w:eastAsia="黑体" w:cs="Arial"/>
          <w:sz w:val="28"/>
          <w:szCs w:val="28"/>
        </w:rPr>
        <w:t xml:space="preserve">22、</w:t>
      </w:r>
      <w:bookmarkEnd w:id="135"/>
      <w:r/>
      <w:bookmarkEnd w:id="136"/>
      <w:r/>
      <w:bookmarkEnd w:id="137"/>
      <w:r>
        <w:rPr>
          <w:rFonts w:hint="eastAsia" w:ascii="Arial" w:hAnsi="Arial" w:eastAsia="黑体" w:cs="Arial"/>
          <w:sz w:val="28"/>
          <w:szCs w:val="28"/>
        </w:rPr>
        <w:t xml:space="preserve">响应文件解密</w:t>
      </w:r>
      <w:r/>
    </w:p>
    <w:p>
      <w:pPr>
        <w:pStyle w:val="658"/>
        <w:ind w:firstLine="360"/>
        <w:spacing w:line="56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szCs w:val="21"/>
        </w:rPr>
      </w:r>
      <w:r/>
    </w:p>
    <w:p>
      <w:pPr>
        <w:pStyle w:val="658"/>
        <w:ind w:firstLine="420"/>
        <w:keepLines/>
        <w:keepNext/>
        <w:spacing w:line="560" w:lineRule="exact"/>
        <w:rPr>
          <w:rFonts w:hint="eastAsia" w:ascii="Arial" w:hAnsi="Arial" w:eastAsia="黑体" w:cs="Arial"/>
          <w:sz w:val="28"/>
          <w:szCs w:val="28"/>
        </w:rPr>
        <w:outlineLvl w:val="3"/>
      </w:pPr>
      <w:r/>
      <w:bookmarkStart w:id="138" w:name="_Toc20823303"/>
      <w:r/>
      <w:bookmarkStart w:id="139" w:name="_Toc16938547"/>
      <w:r/>
      <w:bookmarkStart w:id="140"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pStyle w:val="658"/>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658"/>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p>
    <w:p>
      <w:pPr>
        <w:pStyle w:val="658"/>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58"/>
        <w:ind w:firstLine="480"/>
        <w:spacing w:line="560" w:lineRule="exact"/>
        <w:rPr>
          <w:rFonts w:hint="eastAsia" w:ascii="宋体" w:hAnsi="宋体"/>
          <w:bCs/>
          <w:sz w:val="24"/>
          <w:szCs w:val="21"/>
        </w:rPr>
      </w:pPr>
      <w:r/>
      <w:bookmarkEnd w:id="138"/>
      <w:r/>
      <w:bookmarkEnd w:id="139"/>
      <w:r/>
      <w:bookmarkEnd w:id="14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谈判小组、采购人和采购代理机构工作人员、相关监督人员等与评审工作有关的人员，对评审情况以及在评审过程中获悉的国家秘密、商业秘密负有保密责任。</w:t>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p>
    <w:p>
      <w:pPr>
        <w:pStyle w:val="658"/>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.4采购人和谈判小组不向未成交的供应商解释未成交原因，也不公布评审过程中的相关细节。</w:t>
      </w:r>
      <w:r/>
    </w:p>
    <w:p>
      <w:pPr>
        <w:pStyle w:val="658"/>
        <w:ind w:firstLine="420"/>
        <w:keepLines/>
        <w:keepNext/>
        <w:spacing w:line="560" w:lineRule="exact"/>
        <w:rPr>
          <w:rFonts w:hint="eastAsia" w:ascii="Arial" w:hAnsi="Arial" w:eastAsia="黑体" w:cs="Arial"/>
          <w:sz w:val="28"/>
          <w:szCs w:val="28"/>
        </w:rPr>
        <w:outlineLvl w:val="3"/>
      </w:pPr>
      <w:r/>
      <w:bookmarkStart w:id="141" w:name="_Toc513029232"/>
      <w:r/>
      <w:bookmarkStart w:id="142" w:name="_Toc16938548"/>
      <w:r/>
      <w:bookmarkStart w:id="143"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1"/>
      <w:r/>
      <w:bookmarkEnd w:id="142"/>
      <w:r/>
      <w:bookmarkEnd w:id="143"/>
      <w:r>
        <w:rPr>
          <w:rFonts w:hint="eastAsia" w:ascii="Arial" w:hAnsi="Arial" w:eastAsia="黑体" w:cs="Arial"/>
          <w:sz w:val="28"/>
          <w:szCs w:val="28"/>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p>
    <w:p>
      <w:pPr>
        <w:pStyle w:val="658"/>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58"/>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.3接到谈判小组澄清、说明和更正要求的供应商如未按规定做出澄清、说明和更正，其风险由供应商自行承担。</w:t>
      </w:r>
      <w:r/>
    </w:p>
    <w:p>
      <w:pPr>
        <w:pStyle w:val="658"/>
        <w:ind w:firstLine="420"/>
        <w:keepLines/>
        <w:keepNext/>
        <w:spacing w:line="560" w:lineRule="exact"/>
        <w:rPr>
          <w:rFonts w:hint="eastAsia" w:ascii="Arial" w:hAnsi="Arial" w:eastAsia="黑体" w:cs="Arial"/>
          <w:sz w:val="28"/>
          <w:szCs w:val="28"/>
        </w:rPr>
        <w:outlineLvl w:val="3"/>
      </w:pPr>
      <w:r/>
      <w:bookmarkStart w:id="144" w:name="_Toc513029233"/>
      <w:r/>
      <w:bookmarkStart w:id="145" w:name="_Toc20823305"/>
      <w:r/>
      <w:bookmarkStart w:id="14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4"/>
      <w:r/>
      <w:bookmarkEnd w:id="145"/>
      <w:r/>
      <w:bookmarkEnd w:id="146"/>
      <w:r>
        <w:rPr>
          <w:rFonts w:hint="eastAsia" w:ascii="Arial" w:hAnsi="Arial" w:eastAsia="黑体" w:cs="Arial"/>
          <w:sz w:val="28"/>
          <w:szCs w:val="28"/>
        </w:rPr>
        <w:t xml:space="preserve">查</w:t>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1</w:t>
      </w:r>
      <w:r>
        <w:rPr>
          <w:rFonts w:hint="eastAsia" w:ascii="宋体" w:hAnsi="宋体"/>
          <w:bCs/>
          <w:sz w:val="24"/>
          <w:szCs w:val="21"/>
        </w:rPr>
        <w:t xml:space="preserve">资格审查：由采购人依据法律法规和谈判文件的规定，对响应文件中的资格证明文件进行审查，以确定供应商是否具备参加谈判的资格。</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.1.2符合性审查：依据谈判文件的规定，由谈判小组从响应文件的有效性、完整性和对谈判文件的响应程度进行审查，以确定是否对谈判文件的实质性要求作出响应。</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pStyle w:val="658"/>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26.3.7供应商被</w:t>
      </w:r>
      <w:r>
        <w:rPr>
          <w:rFonts w:hint="eastAsia" w:ascii="宋体" w:hAnsi="宋体"/>
          <w:bCs/>
          <w:sz w:val="24"/>
          <w:szCs w:val="21"/>
        </w:rPr>
        <w:t xml:space="preserve">“</w:t>
      </w:r>
      <w:r>
        <w:rPr>
          <w:rFonts w:hint="eastAsia" w:ascii="宋体" w:hAnsi="宋体"/>
          <w:bCs/>
          <w:sz w:val="24"/>
          <w:szCs w:val="21"/>
        </w:rPr>
        <w:t xml:space="preserve">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8</w:t>
      </w:r>
      <w:r>
        <w:rPr>
          <w:rFonts w:hint="eastAsia" w:ascii="宋体" w:hAnsi="宋体"/>
          <w:bCs/>
          <w:sz w:val="24"/>
          <w:szCs w:val="21"/>
        </w:rPr>
        <w:t xml:space="preserve">响应文件含有采购人不能接受的附加条件的。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658"/>
        <w:ind w:firstLine="480"/>
        <w:spacing w:line="560" w:lineRule="exact"/>
        <w:rPr>
          <w:rFonts w:hint="eastAsia" w:ascii="宋体" w:hAnsi="宋体"/>
          <w:sz w:val="24"/>
          <w:szCs w:val="21"/>
        </w:rPr>
      </w:pPr>
      <w:r/>
      <w:bookmarkStart w:id="147" w:name="_Toc16938550"/>
      <w:r/>
      <w:bookmarkStart w:id="148" w:name="_Toc513029234"/>
      <w:r/>
      <w:bookmarkStart w:id="14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.7供应商在项目评审全过程中应保持通讯畅通，并安排专人与采购人或采购代理机构及谈判小组联系。</w:t>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谈判程序及成交原则</w:t>
      </w:r>
      <w:r/>
    </w:p>
    <w:p>
      <w:pPr>
        <w:pStyle w:val="658"/>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p>
    <w:p>
      <w:pPr>
        <w:pStyle w:val="658"/>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58"/>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658"/>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8"/>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658"/>
        <w:ind w:firstLine="478"/>
        <w:spacing w:line="560" w:lineRule="exact"/>
        <w:tabs>
          <w:tab w:val="left" w:pos="900" w:leader="none"/>
        </w:tabs>
        <w:rPr>
          <w:rFonts w:hint="eastAsia" w:ascii="宋体" w:hAnsi="宋体"/>
          <w:sz w:val="24"/>
          <w:szCs w:val="24"/>
        </w:rPr>
      </w:pPr>
      <w:r/>
      <w:bookmarkStart w:id="150" w:name="OLE_LINK1"/>
      <w:r/>
      <w:bookmarkStart w:id="151" w:name="OLE_LINK2"/>
      <w:r>
        <w:rPr>
          <w:rFonts w:hint="eastAsia" w:ascii="宋体" w:hAnsi="宋体"/>
          <w:sz w:val="24"/>
          <w:szCs w:val="24"/>
        </w:rPr>
        <w:t xml:space="preserve">27.1.3</w:t>
      </w:r>
      <w:bookmarkEnd w:id="150"/>
      <w:r/>
      <w:bookmarkEnd w:id="151"/>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658"/>
        <w:ind w:firstLine="478"/>
        <w:spacing w:line="560" w:lineRule="exact"/>
        <w:tabs>
          <w:tab w:val="left" w:pos="900" w:leader="none"/>
        </w:tabs>
        <w:rPr>
          <w:rFonts w:ascii="宋体" w:hAnsi="宋体"/>
          <w:sz w:val="24"/>
          <w:szCs w:val="24"/>
        </w:rPr>
      </w:pPr>
      <w:r>
        <w:rPr>
          <w:rFonts w:hint="eastAsia" w:ascii="宋体" w:hAnsi="宋体"/>
          <w:sz w:val="24"/>
          <w:szCs w:val="24"/>
        </w:rPr>
        <w:t xml:space="preserve">27.1.4</w:t>
      </w:r>
      <w:r>
        <w:rPr>
          <w:rFonts w:ascii="宋体" w:hAnsi="宋体"/>
          <w:sz w:val="24"/>
          <w:szCs w:val="24"/>
        </w:rPr>
        <w:t xml:space="preserve">出现下列情形之一的，</w:t>
      </w:r>
      <w:r>
        <w:rPr>
          <w:rFonts w:hint="eastAsia" w:ascii="宋体" w:hAnsi="宋体"/>
          <w:sz w:val="24"/>
          <w:szCs w:val="24"/>
        </w:rPr>
        <w:t xml:space="preserve">谈判小组</w:t>
      </w:r>
      <w:r>
        <w:rPr>
          <w:rFonts w:ascii="宋体" w:hAnsi="宋体"/>
          <w:sz w:val="24"/>
          <w:szCs w:val="24"/>
        </w:rPr>
        <w:t xml:space="preserve">应当启动异常低价响应审查程序：</w:t>
      </w:r>
      <w:r/>
    </w:p>
    <w:p>
      <w:pPr>
        <w:pStyle w:val="658"/>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658"/>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2.投标（响应）报价低于通过符合性审查的次低报价供应商投标（响应）报价50%的，即投标（响应）报价&lt;通过符合性审查的次低报价供应商投标（响应）报价×50%；</w:t>
      </w:r>
      <w:r/>
    </w:p>
    <w:p>
      <w:pPr>
        <w:pStyle w:val="658"/>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3.投标（响应）报价低于采购项目最高限价45%的，即投标（响应）报价&lt;采购项目最高限价×45%；</w:t>
      </w:r>
      <w:r/>
    </w:p>
    <w:p>
      <w:pPr>
        <w:pStyle w:val="658"/>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4.评审委员会基于专业判断，认为供应商报价过低，有可能影响产品质量或者不能诚信履约的其他情形。</w:t>
      </w:r>
      <w:r/>
    </w:p>
    <w:p>
      <w:pPr>
        <w:pStyle w:val="658"/>
        <w:ind w:firstLine="479"/>
        <w:spacing w:line="560" w:lineRule="exact"/>
        <w:tabs>
          <w:tab w:val="left" w:pos="900" w:leader="none"/>
        </w:tabs>
        <w:rPr>
          <w:rFonts w:ascii="宋体" w:hAnsi="宋体"/>
          <w:b/>
          <w:bCs/>
          <w:color w:val="ff0000"/>
          <w:sz w:val="24"/>
          <w:szCs w:val="24"/>
        </w:rPr>
      </w:pPr>
      <w:r>
        <w:rPr>
          <w:rFonts w:ascii="宋体" w:hAnsi="宋体"/>
          <w:b/>
          <w:bCs/>
          <w:color w:val="ff0000"/>
          <w:sz w:val="24"/>
          <w:szCs w:val="24"/>
        </w:rPr>
        <w:t xml:space="preserve">启动异常低价响应审查后，</w:t>
      </w:r>
      <w:r>
        <w:rPr>
          <w:rFonts w:hint="eastAsia" w:ascii="宋体" w:hAnsi="宋体"/>
          <w:b/>
          <w:bCs/>
          <w:color w:val="ff0000"/>
          <w:sz w:val="24"/>
          <w:szCs w:val="24"/>
        </w:rPr>
        <w:t xml:space="preserve">谈判小组将通过苏采云系统要求相关供应商在合理的时间内提供</w:t>
      </w:r>
      <w:r>
        <w:rPr>
          <w:rFonts w:ascii="宋体" w:hAnsi="宋体"/>
          <w:b/>
          <w:bCs/>
          <w:color w:val="ff0000"/>
          <w:sz w:val="24"/>
          <w:szCs w:val="24"/>
        </w:rPr>
        <w:t xml:space="preserve">项目具体成本测算等与报价合理性相关的书面说明及相关证明材料，对响应价格作出解释，由</w:t>
      </w:r>
      <w:r>
        <w:rPr>
          <w:rFonts w:hint="eastAsia" w:ascii="宋体" w:hAnsi="宋体"/>
          <w:b/>
          <w:bCs/>
          <w:color w:val="ff0000"/>
          <w:sz w:val="24"/>
          <w:szCs w:val="24"/>
        </w:rPr>
        <w:t xml:space="preserve">谈判小组</w:t>
      </w:r>
      <w:r>
        <w:rPr>
          <w:rFonts w:ascii="宋体" w:hAnsi="宋体"/>
          <w:b/>
          <w:bCs/>
          <w:color w:val="ff0000"/>
          <w:sz w:val="24"/>
          <w:szCs w:val="24"/>
        </w:rPr>
        <w:t xml:space="preserve">结合同类产品在主要电商平台的价格、该行业当地薪资水平等情况，依据专业经验对供应商报价合理性进行判断。</w:t>
      </w:r>
      <w:r/>
    </w:p>
    <w:p>
      <w:pPr>
        <w:pStyle w:val="658"/>
        <w:ind w:firstLine="479"/>
        <w:spacing w:line="560" w:lineRule="exact"/>
        <w:tabs>
          <w:tab w:val="left" w:pos="900" w:leader="none"/>
        </w:tabs>
        <w:rPr>
          <w:rFonts w:hint="eastAsia" w:ascii="宋体" w:hAnsi="宋体"/>
          <w:b/>
          <w:bCs/>
          <w:color w:val="ff0000"/>
          <w:sz w:val="24"/>
          <w:szCs w:val="24"/>
        </w:rPr>
      </w:pPr>
      <w:r>
        <w:rPr>
          <w:rFonts w:ascii="宋体" w:hAnsi="宋体"/>
          <w:b/>
          <w:bCs/>
          <w:color w:val="ff0000"/>
          <w:sz w:val="24"/>
          <w:szCs w:val="24"/>
        </w:rPr>
        <w:t xml:space="preserve">响应供应商不提供书面说明、证明材料，或者提供的书面说明、证明材料不能证明其报价合理性的，</w:t>
      </w:r>
      <w:r>
        <w:rPr>
          <w:rFonts w:hint="eastAsia" w:ascii="宋体" w:hAnsi="宋体"/>
          <w:b/>
          <w:bCs/>
          <w:color w:val="ff0000"/>
          <w:sz w:val="24"/>
          <w:szCs w:val="24"/>
        </w:rPr>
        <w:t xml:space="preserve">谈判小组</w:t>
      </w:r>
      <w:r>
        <w:rPr>
          <w:rFonts w:ascii="宋体" w:hAnsi="宋体"/>
          <w:b/>
          <w:bCs/>
          <w:color w:val="ff0000"/>
          <w:sz w:val="24"/>
          <w:szCs w:val="24"/>
        </w:rPr>
        <w:t xml:space="preserve">应当将其作为无效响应处理。</w:t>
      </w:r>
      <w:r>
        <w:rPr>
          <w:rFonts w:hint="eastAsia" w:ascii="宋体" w:hAnsi="宋体"/>
          <w:b/>
          <w:bCs/>
          <w:color w:val="ff0000"/>
          <w:sz w:val="24"/>
          <w:szCs w:val="24"/>
        </w:rPr>
        <w:t xml:space="preserve">审查相关情况应当</w:t>
      </w:r>
      <w:r>
        <w:rPr>
          <w:rFonts w:ascii="宋体" w:hAnsi="宋体"/>
          <w:b/>
          <w:bCs/>
          <w:color w:val="ff0000"/>
          <w:sz w:val="24"/>
          <w:szCs w:val="24"/>
        </w:rPr>
        <w:t xml:space="preserve">在评审报告中进行记录。</w:t>
      </w:r>
      <w:r>
        <w:rPr>
          <w:rFonts w:hint="eastAsia" w:ascii="宋体" w:hAnsi="宋体"/>
          <w:b/>
          <w:bCs/>
          <w:color w:val="ff0000"/>
          <w:sz w:val="24"/>
          <w:szCs w:val="24"/>
        </w:rPr>
      </w:r>
      <w:r/>
    </w:p>
    <w:p>
      <w:pPr>
        <w:pStyle w:val="658"/>
        <w:ind w:firstLine="478"/>
        <w:spacing w:line="560" w:lineRule="exact"/>
        <w:tabs>
          <w:tab w:val="left" w:pos="900" w:leader="none"/>
        </w:tabs>
        <w:rPr>
          <w:rFonts w:ascii="宋体" w:hAnsi="宋体"/>
          <w:sz w:val="24"/>
          <w:szCs w:val="24"/>
        </w:rPr>
      </w:pPr>
      <w:r>
        <w:rPr>
          <w:rFonts w:hint="eastAsia" w:ascii="宋体" w:hAnsi="宋体"/>
          <w:sz w:val="24"/>
          <w:szCs w:val="24"/>
        </w:rPr>
        <w:t xml:space="preserve">27.2成交原则</w:t>
      </w:r>
      <w:r>
        <w:rPr>
          <w:rFonts w:ascii="宋体" w:hAnsi="宋体"/>
          <w:sz w:val="24"/>
          <w:szCs w:val="24"/>
        </w:rPr>
      </w:r>
      <w:r/>
    </w:p>
    <w:p>
      <w:pPr>
        <w:pStyle w:val="658"/>
        <w:ind w:firstLine="480"/>
        <w:spacing w:line="560" w:lineRule="exact"/>
        <w:rPr>
          <w:rFonts w:hint="eastAsia"/>
          <w:sz w:val="24"/>
          <w:szCs w:val="24"/>
        </w:rPr>
      </w:pPr>
      <w:r>
        <w:rPr>
          <w:rFonts w:hint="eastAsia"/>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pStyle w:val="658"/>
        <w:ind w:firstLine="480"/>
        <w:spacing w:line="560" w:lineRule="exact"/>
        <w:rPr>
          <w:rFonts w:hint="eastAsia"/>
          <w:sz w:val="24"/>
          <w:szCs w:val="24"/>
        </w:rPr>
      </w:pPr>
      <w:r>
        <w:rPr>
          <w:rFonts w:hint="eastAsia"/>
          <w:sz w:val="24"/>
          <w:szCs w:val="24"/>
        </w:rPr>
        <w:t xml:space="preserve">注：</w:t>
      </w:r>
      <w:r>
        <w:rPr>
          <w:rFonts w:hint="eastAsia"/>
          <w:b/>
          <w:bCs/>
          <w:color w:val="ff0000"/>
          <w:sz w:val="24"/>
          <w:szCs w:val="24"/>
        </w:rPr>
        <w:t xml:space="preserve">本项目共分为2个采购包，兼投不兼中。</w:t>
      </w:r>
      <w:r>
        <w:rPr>
          <w:rFonts w:hint="eastAsia"/>
          <w:sz w:val="24"/>
          <w:szCs w:val="24"/>
        </w:rPr>
        <w:t xml:space="preserve">各响应供应商均可就本采购项目的2个采购包投标，但最多允许中标1个采购包。开标顺序即为中标顺序，开标顺序为采购包1→采购包2。已在前一采购包中被推荐为第一中标候选供应商的供应商不再被推荐为后序采购包的第一中标候选供应商,但参与评审。若某一采购包的第一中标候选供应商被取消中标资格,该供应商同时也不得成为其他采购包的中标候选供应商，得分第二名的供应商推荐为本采购包的第一中标候选供应商(已在其他采购包被推荐为第一中标候选供应商的除外），依次类推。</w:t>
      </w:r>
      <w:r/>
    </w:p>
    <w:p>
      <w:pPr>
        <w:pStyle w:val="658"/>
        <w:ind w:firstLine="480"/>
        <w:spacing w:line="560" w:lineRule="exact"/>
        <w:rPr>
          <w:rFonts w:hint="eastAsia"/>
          <w:sz w:val="24"/>
          <w:szCs w:val="24"/>
        </w:rPr>
      </w:pPr>
      <w:r>
        <w:rPr>
          <w:rFonts w:hint="eastAsia"/>
          <w:sz w:val="24"/>
          <w:szCs w:val="24"/>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658"/>
        <w:ind w:firstLine="480"/>
        <w:spacing w:line="560" w:lineRule="exact"/>
        <w:rPr>
          <w:rFonts w:hint="eastAsia"/>
          <w:sz w:val="24"/>
          <w:szCs w:val="24"/>
        </w:rPr>
      </w:pPr>
      <w:r>
        <w:rPr>
          <w:rFonts w:hint="eastAsia"/>
          <w:sz w:val="24"/>
          <w:szCs w:val="24"/>
        </w:rPr>
        <w:t xml:space="preserve">27.2.3供应商的最后报价如相同，则优先采购</w:t>
      </w:r>
      <w:r>
        <w:rPr>
          <w:rFonts w:hint="eastAsia"/>
          <w:sz w:val="24"/>
          <w:szCs w:val="24"/>
        </w:rPr>
        <w:t xml:space="preserve">“</w:t>
      </w:r>
      <w:r>
        <w:rPr>
          <w:rFonts w:hint="eastAsia"/>
          <w:sz w:val="24"/>
          <w:szCs w:val="24"/>
        </w:rPr>
        <w:t xml:space="preserve">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658"/>
        <w:ind w:firstLine="480"/>
        <w:spacing w:line="560" w:lineRule="exact"/>
        <w:rPr>
          <w:sz w:val="24"/>
          <w:szCs w:val="24"/>
        </w:rPr>
      </w:pPr>
      <w:r>
        <w:rPr>
          <w:rFonts w:hint="eastAsia"/>
          <w:sz w:val="24"/>
          <w:szCs w:val="24"/>
        </w:rPr>
        <w:t xml:space="preserve">27.2.4采购人确定成交供应商后，采购代理机构将在“江苏政府采购网”发布成交结果公告，公告期限为1个工作日。</w:t>
      </w:r>
      <w:r>
        <w:rPr>
          <w:sz w:val="24"/>
          <w:szCs w:val="24"/>
        </w:rPr>
      </w:r>
      <w:r/>
    </w:p>
    <w:p>
      <w:pPr>
        <w:pStyle w:val="658"/>
        <w:ind w:firstLine="480"/>
        <w:spacing w:line="560" w:lineRule="exact"/>
        <w:rPr>
          <w:rFonts w:hint="eastAsia"/>
          <w:b/>
          <w:bCs/>
          <w:sz w:val="24"/>
          <w:szCs w:val="24"/>
        </w:rPr>
      </w:pPr>
      <w:r>
        <w:rPr>
          <w:rFonts w:hint="eastAsia"/>
          <w:sz w:val="24"/>
          <w:szCs w:val="24"/>
        </w:rPr>
        <w:t xml:space="preserve">27.3政府采购政策功能落实</w:t>
      </w:r>
      <w:r>
        <w:rPr>
          <w:rFonts w:hint="eastAsia"/>
          <w:b/>
          <w:bCs/>
          <w:sz w:val="24"/>
          <w:szCs w:val="24"/>
        </w:rPr>
        <w:t xml:space="preserve">（</w:t>
      </w:r>
      <w:r>
        <w:rPr>
          <w:rFonts w:hint="eastAsia"/>
          <w:b/>
          <w:bCs/>
          <w:color w:val="ff0000"/>
          <w:sz w:val="24"/>
          <w:szCs w:val="24"/>
        </w:rPr>
        <w:t xml:space="preserve">专门面向中小企业采购的项目或者采购包，不再执行价格评审优惠的扶持政策。</w:t>
      </w:r>
      <w:r>
        <w:rPr>
          <w:rFonts w:hint="eastAsia"/>
          <w:b/>
          <w:bCs/>
          <w:sz w:val="24"/>
          <w:szCs w:val="24"/>
        </w:rPr>
        <w:t xml:space="preserve">）</w:t>
      </w:r>
      <w:r/>
    </w:p>
    <w:p>
      <w:pPr>
        <w:pStyle w:val="658"/>
        <w:ind w:firstLine="480"/>
        <w:spacing w:line="560" w:lineRule="exact"/>
        <w:rPr>
          <w:rFonts w:hint="eastAsia"/>
          <w:sz w:val="24"/>
          <w:szCs w:val="24"/>
        </w:rPr>
      </w:pPr>
      <w:r>
        <w:rPr>
          <w:rFonts w:hint="eastAsia"/>
          <w:sz w:val="24"/>
          <w:szCs w:val="24"/>
        </w:rPr>
        <w:t xml:space="preserve">（1）小微型企业价格扣除</w:t>
      </w:r>
      <w:r/>
    </w:p>
    <w:p>
      <w:pPr>
        <w:pStyle w:val="658"/>
        <w:ind w:firstLine="480"/>
        <w:jc w:val="left"/>
        <w:spacing w:line="560" w:lineRule="exact"/>
        <w:rPr>
          <w:rFonts w:hint="eastAsia" w:ascii="宋体" w:hAnsi="宋体"/>
          <w:sz w:val="24"/>
          <w:szCs w:val="24"/>
        </w:rPr>
      </w:pPr>
      <w:r>
        <w:rPr>
          <w:rFonts w:hint="eastAsia" w:ascii="宋体" w:hAnsi="宋体"/>
          <w:sz w:val="24"/>
          <w:szCs w:val="24"/>
        </w:rPr>
        <w:t xml:space="preserve">①</w:t>
      </w:r>
      <w:r>
        <w:rPr>
          <w:rFonts w:hint="eastAsia" w:ascii="Arial" w:hAnsi="Arial"/>
          <w:sz w:val="24"/>
          <w:szCs w:val="24"/>
        </w:rPr>
        <w:t xml:space="preserve">本项目对小型和微型企业产品给予</w:t>
      </w:r>
      <w:r>
        <w:rPr>
          <w:rFonts w:hint="eastAsia" w:ascii="Arial" w:hAnsi="Arial"/>
          <w:sz w:val="24"/>
          <w:szCs w:val="24"/>
          <w:u w:val="single"/>
        </w:rPr>
        <w:t xml:space="preserve">10%</w:t>
      </w:r>
      <w:r>
        <w:rPr>
          <w:rFonts w:hint="eastAsia" w:ascii="Arial" w:hAnsi="Arial"/>
          <w:sz w:val="24"/>
          <w:szCs w:val="24"/>
        </w:rPr>
        <w:t xml:space="preserve">的扣除价格，用扣除后的价格参与评审。</w:t>
      </w:r>
      <w:r>
        <w:rPr>
          <w:rFonts w:hint="eastAsia" w:ascii="宋体" w:hAnsi="宋体"/>
          <w:sz w:val="24"/>
          <w:szCs w:val="24"/>
        </w:rPr>
      </w:r>
      <w:r/>
    </w:p>
    <w:p>
      <w:pPr>
        <w:pStyle w:val="658"/>
        <w:ind w:firstLine="480"/>
        <w:spacing w:line="560" w:lineRule="exact"/>
        <w:rPr>
          <w:rFonts w:hint="eastAsia"/>
          <w:sz w:val="24"/>
          <w:szCs w:val="24"/>
        </w:rPr>
      </w:pPr>
      <w:r>
        <w:rPr>
          <w:rFonts w:hint="eastAsia" w:ascii="宋体" w:hAnsi="宋体"/>
          <w:sz w:val="24"/>
          <w:szCs w:val="24"/>
        </w:rPr>
        <w:t xml:space="preserve">②</w:t>
      </w:r>
      <w:r>
        <w:rPr>
          <w:rFonts w:hint="eastAsia"/>
          <w:sz w:val="24"/>
          <w:szCs w:val="24"/>
        </w:rPr>
        <w:t xml:space="preserve">供应商需按照采购文件的要求提供相应的《中小企业声明函》。</w:t>
      </w:r>
      <w:r/>
    </w:p>
    <w:p>
      <w:pPr>
        <w:pStyle w:val="658"/>
        <w:ind w:firstLine="480"/>
        <w:spacing w:line="560" w:lineRule="exact"/>
        <w:rPr>
          <w:rFonts w:hint="eastAsia"/>
          <w:sz w:val="24"/>
          <w:szCs w:val="24"/>
        </w:rPr>
      </w:pPr>
      <w:r>
        <w:rPr>
          <w:rFonts w:hint="eastAsia" w:ascii="宋体" w:hAnsi="宋体"/>
          <w:sz w:val="24"/>
          <w:szCs w:val="24"/>
        </w:rPr>
        <w:t xml:space="preserve">③</w:t>
      </w:r>
      <w:r>
        <w:rPr>
          <w:rFonts w:hint="eastAsia"/>
          <w:sz w:val="24"/>
          <w:szCs w:val="24"/>
        </w:rPr>
        <w:t xml:space="preserve">企业标准请参照《关于印发中小企业划型标准规定的通知》（工信部联企业[2011]300号）文件规定自行填写。</w:t>
      </w:r>
      <w:r/>
    </w:p>
    <w:p>
      <w:pPr>
        <w:pStyle w:val="658"/>
        <w:ind w:firstLine="480"/>
        <w:spacing w:line="560" w:lineRule="exact"/>
        <w:rPr>
          <w:rFonts w:hint="eastAsia"/>
          <w:sz w:val="24"/>
          <w:szCs w:val="24"/>
        </w:rPr>
      </w:pPr>
      <w:r>
        <w:rPr>
          <w:rFonts w:hint="eastAsia"/>
          <w:sz w:val="24"/>
          <w:szCs w:val="24"/>
        </w:rPr>
        <w:t xml:space="preserve">（2）残疾人福利单位价格扣除</w:t>
      </w:r>
      <w:r/>
    </w:p>
    <w:p>
      <w:pPr>
        <w:pStyle w:val="658"/>
        <w:ind w:firstLine="480"/>
        <w:spacing w:line="560" w:lineRule="exact"/>
        <w:rPr>
          <w:rFonts w:hint="eastAsia"/>
          <w:sz w:val="24"/>
          <w:szCs w:val="24"/>
        </w:rPr>
      </w:pPr>
      <w:r>
        <w:rPr>
          <w:rFonts w:hint="eastAsia" w:ascii="宋体" w:hAnsi="宋体"/>
          <w:sz w:val="24"/>
          <w:szCs w:val="24"/>
        </w:rPr>
        <w:t xml:space="preserve">①</w:t>
      </w:r>
      <w:r>
        <w:rPr>
          <w:rFonts w:hint="eastAsia"/>
          <w:sz w:val="24"/>
          <w:szCs w:val="24"/>
        </w:rPr>
        <w:t xml:space="preserve">本项目对残疾人福利性单位视同小型、微型企业，给予</w:t>
      </w:r>
      <w:r>
        <w:rPr>
          <w:rFonts w:hint="eastAsia"/>
          <w:sz w:val="24"/>
          <w:szCs w:val="24"/>
          <w:u w:val="single"/>
        </w:rPr>
        <w:t xml:space="preserve">10%</w:t>
      </w:r>
      <w:r>
        <w:rPr>
          <w:rFonts w:hint="eastAsia"/>
          <w:sz w:val="24"/>
          <w:szCs w:val="24"/>
        </w:rPr>
        <w:t xml:space="preserve">的价格扣除，用扣除后的价格参与评审。</w:t>
      </w:r>
      <w:r/>
    </w:p>
    <w:p>
      <w:pPr>
        <w:pStyle w:val="658"/>
        <w:ind w:firstLine="480"/>
        <w:spacing w:line="560" w:lineRule="exact"/>
        <w:rPr>
          <w:rFonts w:hint="eastAsia"/>
          <w:sz w:val="24"/>
          <w:szCs w:val="24"/>
        </w:rPr>
      </w:pPr>
      <w:r>
        <w:rPr>
          <w:rFonts w:hint="eastAsia" w:ascii="宋体" w:hAnsi="宋体"/>
          <w:sz w:val="24"/>
          <w:szCs w:val="24"/>
        </w:rPr>
        <w:t xml:space="preserve">②</w:t>
      </w:r>
      <w:r>
        <w:rPr>
          <w:rFonts w:hint="eastAsia"/>
          <w:sz w:val="24"/>
          <w:szCs w:val="24"/>
        </w:rPr>
        <w:t xml:space="preserve">残疾人福利单位需按照采购文件的要求提供《残疾人福利性单位声明函》。</w:t>
      </w:r>
      <w:r/>
    </w:p>
    <w:p>
      <w:pPr>
        <w:pStyle w:val="658"/>
        <w:ind w:firstLine="480"/>
        <w:spacing w:line="560" w:lineRule="exact"/>
        <w:rPr>
          <w:rFonts w:hint="eastAsia"/>
          <w:sz w:val="24"/>
          <w:szCs w:val="24"/>
        </w:rPr>
      </w:pPr>
      <w:r>
        <w:rPr>
          <w:rFonts w:hint="eastAsia" w:ascii="宋体" w:hAnsi="宋体"/>
          <w:sz w:val="24"/>
          <w:szCs w:val="24"/>
        </w:rPr>
        <w:t xml:space="preserve">③</w:t>
      </w:r>
      <w:r>
        <w:rPr>
          <w:rFonts w:hint="eastAsia"/>
          <w:sz w:val="24"/>
          <w:szCs w:val="24"/>
        </w:rPr>
        <w:t xml:space="preserve">残疾人福利单位标准请参照《关于促进残疾人就业政府采购政策的通知》（财库〔2017〕141号）。</w:t>
      </w:r>
      <w:r/>
    </w:p>
    <w:p>
      <w:pPr>
        <w:pStyle w:val="658"/>
        <w:ind w:firstLine="480"/>
        <w:spacing w:line="560" w:lineRule="exact"/>
        <w:rPr>
          <w:rFonts w:hint="eastAsia"/>
          <w:sz w:val="24"/>
          <w:szCs w:val="24"/>
        </w:rPr>
      </w:pPr>
      <w:r>
        <w:rPr>
          <w:rFonts w:hint="eastAsia"/>
          <w:sz w:val="24"/>
          <w:szCs w:val="24"/>
        </w:rPr>
        <w:t xml:space="preserve">（3）监狱和戒毒企业价格扣除</w:t>
      </w:r>
      <w:r/>
    </w:p>
    <w:p>
      <w:pPr>
        <w:pStyle w:val="658"/>
        <w:ind w:firstLine="480"/>
        <w:spacing w:line="560" w:lineRule="exact"/>
        <w:rPr>
          <w:rFonts w:hint="eastAsia"/>
          <w:sz w:val="24"/>
          <w:szCs w:val="24"/>
        </w:rPr>
      </w:pPr>
      <w:r>
        <w:rPr>
          <w:rFonts w:hint="eastAsia" w:ascii="宋体" w:hAnsi="宋体"/>
          <w:sz w:val="24"/>
          <w:szCs w:val="24"/>
        </w:rPr>
        <w:t xml:space="preserve">①</w:t>
      </w:r>
      <w:r>
        <w:rPr>
          <w:rFonts w:hint="eastAsia"/>
          <w:sz w:val="24"/>
          <w:szCs w:val="24"/>
        </w:rPr>
        <w:t xml:space="preserve">本项目对监狱和戒毒企业（简称监狱企业）视同小型、微型企业，给予</w:t>
      </w:r>
      <w:r>
        <w:rPr>
          <w:rFonts w:hint="eastAsia"/>
          <w:sz w:val="24"/>
          <w:szCs w:val="24"/>
          <w:u w:val="single"/>
        </w:rPr>
        <w:t xml:space="preserve">10%</w:t>
      </w:r>
      <w:r>
        <w:rPr>
          <w:rFonts w:hint="eastAsia"/>
          <w:sz w:val="24"/>
          <w:szCs w:val="24"/>
        </w:rPr>
        <w:t xml:space="preserve">的价格扣除，用扣除后的价格参与评审。</w:t>
      </w:r>
      <w:r/>
    </w:p>
    <w:p>
      <w:pPr>
        <w:pStyle w:val="658"/>
        <w:ind w:firstLine="480"/>
        <w:spacing w:line="560" w:lineRule="exact"/>
        <w:rPr>
          <w:rFonts w:hint="eastAsia"/>
          <w:sz w:val="24"/>
          <w:szCs w:val="24"/>
        </w:rPr>
      </w:pPr>
      <w:r>
        <w:rPr>
          <w:rFonts w:hint="eastAsia" w:ascii="宋体" w:hAnsi="宋体"/>
          <w:sz w:val="24"/>
          <w:szCs w:val="24"/>
        </w:rPr>
        <w:t xml:space="preserve">②</w:t>
      </w:r>
      <w:r>
        <w:rPr>
          <w:rFonts w:hint="eastAsia"/>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658"/>
        <w:ind w:firstLine="480"/>
        <w:spacing w:line="560" w:lineRule="exact"/>
        <w:rPr>
          <w:rFonts w:hint="eastAsia"/>
          <w:sz w:val="24"/>
          <w:szCs w:val="24"/>
        </w:rPr>
      </w:pPr>
      <w:r>
        <w:rPr>
          <w:rFonts w:hint="eastAsia" w:ascii="宋体" w:hAnsi="宋体"/>
          <w:sz w:val="24"/>
          <w:szCs w:val="24"/>
        </w:rPr>
        <w:t xml:space="preserve">③</w:t>
      </w:r>
      <w:r>
        <w:rPr>
          <w:rFonts w:hint="eastAsia"/>
          <w:sz w:val="24"/>
          <w:szCs w:val="24"/>
        </w:rPr>
        <w:t xml:space="preserve">监狱企业标准请参照《关于政府采购支持监狱企业发展有关问题的通知》（财库[2014]68号）。</w:t>
      </w:r>
      <w:r/>
    </w:p>
    <w:p>
      <w:pPr>
        <w:pStyle w:val="658"/>
        <w:ind w:firstLine="480"/>
        <w:spacing w:line="560" w:lineRule="exact"/>
        <w:rPr>
          <w:rFonts w:hint="eastAsia"/>
          <w:sz w:val="24"/>
          <w:szCs w:val="24"/>
        </w:rPr>
      </w:pPr>
      <w:r>
        <w:rPr>
          <w:rFonts w:hint="eastAsia"/>
          <w:sz w:val="24"/>
          <w:szCs w:val="24"/>
        </w:rPr>
        <w:t xml:space="preserve">（4）残疾人福利单位、监狱企业属于小型、微型企业的，不重复享受政策。</w:t>
      </w:r>
      <w:r/>
    </w:p>
    <w:p>
      <w:pPr>
        <w:pStyle w:val="658"/>
        <w:ind w:firstLine="480"/>
        <w:spacing w:line="560" w:lineRule="exact"/>
        <w:rPr>
          <w:rFonts w:hint="eastAsia"/>
          <w:sz w:val="24"/>
          <w:szCs w:val="24"/>
        </w:rPr>
      </w:pPr>
      <w:r>
        <w:rPr>
          <w:rFonts w:hint="eastAsia"/>
          <w:sz w:val="24"/>
          <w:szCs w:val="24"/>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sz w:val="24"/>
          <w:szCs w:val="24"/>
          <w:u w:val="single"/>
        </w:rPr>
        <w:t xml:space="preserve">4%</w:t>
      </w:r>
      <w:r>
        <w:rPr>
          <w:rFonts w:hint="eastAsia"/>
          <w:sz w:val="24"/>
          <w:szCs w:val="24"/>
        </w:rPr>
        <w:t xml:space="preserve">的价格扣除，用扣除后的价格参与评审。</w:t>
      </w:r>
      <w:r>
        <w:rPr>
          <w:rFonts w:hint="eastAsia"/>
          <w:color w:val="ff0000"/>
          <w:sz w:val="24"/>
          <w:szCs w:val="24"/>
        </w:rPr>
        <w:t xml:space="preserve"> </w:t>
      </w:r>
      <w:r>
        <w:rPr>
          <w:rFonts w:hint="eastAsia"/>
          <w:sz w:val="24"/>
          <w:szCs w:val="24"/>
        </w:rPr>
      </w:r>
      <w:r/>
    </w:p>
    <w:p>
      <w:pPr>
        <w:pStyle w:val="658"/>
        <w:ind w:firstLine="480"/>
        <w:spacing w:line="560" w:lineRule="exact"/>
        <w:rPr>
          <w:rFonts w:hint="eastAsia"/>
          <w:sz w:val="24"/>
          <w:szCs w:val="24"/>
        </w:rPr>
      </w:pPr>
      <w:r>
        <w:rPr>
          <w:rFonts w:hint="eastAsia"/>
          <w:sz w:val="24"/>
          <w:szCs w:val="24"/>
        </w:rPr>
        <w:t xml:space="preserve">（6）联合体各方均为小型、微型企业（残疾人福利单位、监狱企业）的，联合体享受</w:t>
      </w:r>
      <w:r>
        <w:rPr>
          <w:rFonts w:hint="eastAsia"/>
          <w:sz w:val="24"/>
          <w:szCs w:val="24"/>
          <w:u w:val="single"/>
        </w:rPr>
        <w:t xml:space="preserve">10%</w:t>
      </w:r>
      <w:r>
        <w:rPr>
          <w:rFonts w:hint="eastAsia"/>
          <w:sz w:val="24"/>
          <w:szCs w:val="24"/>
        </w:rPr>
        <w:t xml:space="preserve">价格扣除，用扣除后的价格参与评审。</w:t>
      </w:r>
      <w:r/>
    </w:p>
    <w:p>
      <w:pPr>
        <w:pStyle w:val="658"/>
        <w:ind w:firstLine="480"/>
        <w:spacing w:line="560" w:lineRule="exact"/>
        <w:rPr>
          <w:rFonts w:hint="eastAsia"/>
          <w:sz w:val="24"/>
          <w:szCs w:val="24"/>
        </w:rPr>
      </w:pPr>
      <w:r>
        <w:rPr>
          <w:rFonts w:hint="eastAsia"/>
          <w:sz w:val="24"/>
          <w:szCs w:val="24"/>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pStyle w:val="658"/>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p>
    <w:p>
      <w:pPr>
        <w:pStyle w:val="658"/>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27.4.4在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28.2与评审专家、采购人、其他供应商或者采购代理机构工作人员恶意串通的。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28.3向评审专家、采购人或采购代理机构工作人员行贿或者提供其他不正当利益的。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p>
    <w:p>
      <w:pPr>
        <w:pStyle w:val="658"/>
        <w:ind w:firstLine="600"/>
        <w:keepLines/>
        <w:keepNext/>
        <w:spacing w:line="560" w:lineRule="exact"/>
        <w:rPr>
          <w:rFonts w:hint="eastAsia" w:ascii="黑体" w:hAnsi="宋体" w:eastAsia="黑体"/>
          <w:bCs/>
          <w:sz w:val="30"/>
          <w:szCs w:val="30"/>
        </w:rPr>
        <w:outlineLvl w:val="3"/>
      </w:pPr>
      <w:r/>
      <w:bookmarkStart w:id="15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2"/>
      <w:r>
        <w:rPr>
          <w:rFonts w:hint="eastAsia" w:ascii="黑体" w:hAnsi="宋体" w:eastAsia="黑体"/>
          <w:bCs/>
          <w:sz w:val="30"/>
          <w:szCs w:val="30"/>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658"/>
        <w:ind w:firstLine="480"/>
        <w:spacing w:line="56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658"/>
        <w:ind w:firstLine="480"/>
        <w:spacing w:line="56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pStyle w:val="658"/>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pStyle w:val="658"/>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.5以下情形的质疑不予受理</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.5.3以传真、电子邮件等方式递交的非原件形式的质疑。</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.5.4未参加谈判活动的供应商或在谈判活动中自身权益未受到损害的供应商所提出的质疑。</w:t>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658"/>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8"/>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58"/>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58"/>
        <w:keepLines/>
        <w:keepNext/>
        <w:spacing w:line="560" w:lineRule="exact"/>
        <w:rPr>
          <w:rFonts w:hint="eastAsia"/>
          <w:b/>
          <w:bCs/>
          <w:sz w:val="32"/>
          <w:szCs w:val="32"/>
        </w:rPr>
        <w:outlineLvl w:val="2"/>
      </w:pPr>
      <w:r/>
      <w:bookmarkStart w:id="153" w:name="_Toc120614220"/>
      <w:r/>
      <w:bookmarkStart w:id="154" w:name="_Toc20823308"/>
      <w:r/>
      <w:bookmarkStart w:id="155" w:name="_Toc16938552"/>
      <w:r/>
      <w:bookmarkStart w:id="156" w:name="_Toc513029236"/>
      <w:r>
        <w:rPr>
          <w:rFonts w:hint="eastAsia"/>
          <w:b/>
          <w:bCs/>
          <w:sz w:val="32"/>
          <w:szCs w:val="32"/>
        </w:rPr>
        <w:t xml:space="preserve">七、授予合同</w:t>
      </w:r>
      <w:bookmarkEnd w:id="153"/>
      <w:r>
        <w:rPr>
          <w:rFonts w:hint="eastAsia"/>
          <w:b/>
          <w:bCs/>
          <w:sz w:val="32"/>
          <w:szCs w:val="32"/>
        </w:rPr>
      </w:r>
      <w:r/>
    </w:p>
    <w:p>
      <w:pPr>
        <w:pStyle w:val="658"/>
        <w:ind w:firstLine="600"/>
        <w:keepLines/>
        <w:keepNext/>
        <w:spacing w:line="560" w:lineRule="exact"/>
        <w:rPr>
          <w:rFonts w:hint="eastAsia" w:ascii="黑体" w:hAnsi="宋体" w:eastAsia="黑体"/>
          <w:bCs/>
          <w:sz w:val="30"/>
          <w:szCs w:val="30"/>
        </w:rPr>
        <w:outlineLvl w:val="3"/>
      </w:pPr>
      <w:r/>
      <w:bookmarkEnd w:id="154"/>
      <w:r/>
      <w:bookmarkEnd w:id="155"/>
      <w:r/>
      <w:bookmarkEnd w:id="156"/>
      <w:r/>
      <w:bookmarkStart w:id="157" w:name="_Toc513029237"/>
      <w:r/>
      <w:bookmarkStart w:id="158" w:name="_Toc20823309"/>
      <w:r/>
      <w:bookmarkStart w:id="159"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pStyle w:val="658"/>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658"/>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58"/>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8"/>
        <w:ind w:firstLine="600"/>
        <w:keepLines/>
        <w:keepNext/>
        <w:spacing w:line="560" w:lineRule="exact"/>
        <w:rPr>
          <w:rFonts w:ascii="黑体" w:hAnsi="宋体" w:eastAsia="黑体"/>
          <w:bCs/>
          <w:sz w:val="30"/>
          <w:szCs w:val="30"/>
        </w:rPr>
        <w:outlineLvl w:val="3"/>
      </w:pPr>
      <w:r/>
      <w:bookmarkEnd w:id="157"/>
      <w:r/>
      <w:bookmarkEnd w:id="158"/>
      <w:r/>
      <w:bookmarkEnd w:id="159"/>
      <w:r/>
      <w:bookmarkStart w:id="160" w:name="_Toc16938558"/>
      <w:r/>
      <w:bookmarkStart w:id="161" w:name="_Toc513029242"/>
      <w:r/>
      <w:bookmarkStart w:id="162" w:name="_Toc479757207"/>
      <w:r/>
      <w:bookmarkStart w:id="163" w:name="_Toc120614221"/>
      <w:r/>
      <w:bookmarkStart w:id="164" w:name="_Toc20823314"/>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8"/>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658"/>
        <w:ind w:firstLine="556"/>
        <w:spacing w:line="0" w:lineRule="atLeast"/>
        <w:rPr>
          <w:rFonts w:hint="eastAsia" w:ascii="宋体" w:hAnsi="宋体"/>
          <w:bCs/>
          <w:sz w:val="24"/>
          <w:szCs w:val="24"/>
        </w:rPr>
      </w:pPr>
      <w:r>
        <w:rPr>
          <w:rFonts w:hint="eastAsia" w:ascii="宋体" w:hAnsi="宋体"/>
          <w:bCs/>
          <w:sz w:val="24"/>
          <w:szCs w:val="24"/>
        </w:rPr>
      </w:r>
      <w:r/>
    </w:p>
    <w:p>
      <w:pPr>
        <w:pStyle w:val="658"/>
        <w:ind w:firstLine="556"/>
        <w:spacing w:line="0" w:lineRule="atLeast"/>
        <w:rPr>
          <w:rFonts w:hint="eastAsia" w:ascii="宋体" w:hAnsi="宋体"/>
          <w:bCs/>
          <w:sz w:val="24"/>
          <w:szCs w:val="24"/>
        </w:rPr>
      </w:pPr>
      <w:r>
        <w:rPr>
          <w:rFonts w:hint="eastAsia" w:ascii="宋体" w:hAnsi="宋体"/>
          <w:bCs/>
          <w:sz w:val="24"/>
          <w:szCs w:val="24"/>
        </w:rPr>
      </w:r>
      <w:r/>
    </w:p>
    <w:p>
      <w:pPr>
        <w:pStyle w:val="658"/>
        <w:ind w:firstLine="556"/>
        <w:spacing w:line="0" w:lineRule="atLeast"/>
        <w:rPr>
          <w:rFonts w:hint="eastAsia" w:ascii="宋体" w:hAnsi="宋体"/>
          <w:bCs/>
          <w:sz w:val="24"/>
          <w:szCs w:val="24"/>
        </w:rPr>
      </w:pPr>
      <w:r>
        <w:rPr>
          <w:rFonts w:hint="eastAsia" w:ascii="宋体" w:hAnsi="宋体"/>
          <w:bCs/>
          <w:sz w:val="24"/>
          <w:szCs w:val="24"/>
        </w:rPr>
      </w:r>
      <w:r/>
    </w:p>
    <w:p>
      <w:pPr>
        <w:pStyle w:val="658"/>
        <w:ind w:firstLine="880"/>
        <w:jc w:val="center"/>
        <w:spacing w:line="560" w:lineRule="exact"/>
        <w:rPr>
          <w:rFonts w:hint="eastAsia" w:ascii="黑体" w:hAnsi="Courier New" w:eastAsia="黑体" w:cs="Courier New"/>
          <w:bCs/>
          <w:sz w:val="44"/>
          <w:szCs w:val="21"/>
        </w:rPr>
      </w:pPr>
      <w:r/>
      <w:bookmarkEnd w:id="160"/>
      <w:r/>
      <w:bookmarkEnd w:id="161"/>
      <w:r/>
      <w:bookmarkEnd w:id="162"/>
      <w:r/>
      <w:bookmarkEnd w:id="163"/>
      <w:r/>
      <w:bookmarkEnd w:id="164"/>
      <w:r/>
      <w:bookmarkStart w:id="165" w:name="_Toc49090575"/>
      <w:r/>
      <w:bookmarkStart w:id="166" w:name="_Toc26554093"/>
      <w:r/>
      <w:bookmarkStart w:id="167" w:name="_Toc462564139"/>
      <w:r/>
      <w:bookmarkStart w:id="168" w:name="_Toc479757211"/>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ind w:firstLine="880"/>
        <w:jc w:val="center"/>
        <w:spacing w:line="560" w:lineRule="exact"/>
        <w:rPr>
          <w:rFonts w:hint="eastAsia" w:ascii="黑体" w:hAnsi="Courier New" w:eastAsia="黑体" w:cs="Courier New"/>
          <w:bCs/>
          <w:sz w:val="44"/>
          <w:szCs w:val="21"/>
        </w:rPr>
      </w:pPr>
      <w:r>
        <w:rPr>
          <w:rFonts w:hint="eastAsia" w:ascii="黑体" w:hAnsi="Courier New" w:eastAsia="黑体" w:cs="Courier New"/>
          <w:bCs/>
          <w:sz w:val="44"/>
          <w:szCs w:val="21"/>
        </w:rPr>
        <w:t xml:space="preserve">第三章</w:t>
      </w:r>
      <w:r>
        <w:rPr>
          <w:rFonts w:hint="eastAsia" w:ascii="黑体" w:hAnsi="Courier New" w:eastAsia="黑体" w:cs="Courier New"/>
          <w:bCs/>
          <w:sz w:val="44"/>
          <w:szCs w:val="21"/>
        </w:rPr>
        <w:t xml:space="preserve">  </w:t>
      </w:r>
      <w:r>
        <w:rPr>
          <w:rFonts w:hint="eastAsia" w:ascii="黑体" w:hAnsi="Courier New" w:eastAsia="黑体" w:cs="Courier New"/>
          <w:bCs/>
          <w:sz w:val="44"/>
          <w:szCs w:val="21"/>
        </w:rPr>
        <w:t xml:space="preserve">采购需求</w:t>
      </w:r>
      <w:r/>
    </w:p>
    <w:p>
      <w:pPr>
        <w:pStyle w:val="658"/>
        <w:ind w:firstLine="480"/>
        <w:spacing w:line="560" w:lineRule="exact"/>
        <w:rPr>
          <w:rFonts w:hint="eastAsia" w:ascii="宋体" w:hAnsi="Courier New" w:cs="Courier New"/>
          <w:sz w:val="24"/>
          <w:szCs w:val="24"/>
        </w:rPr>
      </w:pPr>
      <w:r>
        <w:rPr>
          <w:rFonts w:hint="eastAsia" w:ascii="宋体" w:hAnsi="Courier New" w:cs="Courier New"/>
          <w:sz w:val="24"/>
          <w:szCs w:val="24"/>
        </w:rPr>
        <w:t xml:space="preserve">项目属性：货物类项目</w:t>
      </w:r>
      <w:r/>
    </w:p>
    <w:p>
      <w:pPr>
        <w:pStyle w:val="658"/>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658"/>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658"/>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658"/>
        <w:ind w:firstLine="482"/>
        <w:spacing w:line="560" w:lineRule="exact"/>
        <w:rPr>
          <w:rFonts w:hint="eastAsia"/>
          <w:bCs/>
          <w:sz w:val="24"/>
          <w:szCs w:val="24"/>
        </w:rPr>
      </w:pPr>
      <w:r>
        <w:rPr>
          <w:rFonts w:hint="eastAsia"/>
          <w:b/>
          <w:sz w:val="24"/>
          <w:szCs w:val="24"/>
        </w:rPr>
        <w:t xml:space="preserve">1.采购标的需实现的功能或者目标，以及为落实政府采购政策需满足的要求：</w:t>
      </w:r>
      <w:r>
        <w:rPr>
          <w:rFonts w:hint="eastAsia"/>
          <w:bCs/>
          <w:sz w:val="24"/>
          <w:szCs w:val="24"/>
        </w:rPr>
      </w:r>
      <w:r/>
    </w:p>
    <w:p>
      <w:pPr>
        <w:pStyle w:val="658"/>
        <w:ind w:firstLine="480"/>
        <w:spacing w:line="560" w:lineRule="exact"/>
        <w:rPr>
          <w:rFonts w:hint="eastAsia"/>
          <w:bCs/>
          <w:sz w:val="24"/>
          <w:szCs w:val="24"/>
        </w:rPr>
      </w:pPr>
      <w:r>
        <w:rPr>
          <w:rFonts w:hint="eastAsia"/>
          <w:bCs/>
          <w:sz w:val="24"/>
          <w:szCs w:val="24"/>
        </w:rPr>
        <w:t xml:space="preserve">本项目为海安市教育体育局下属12所学校学科类实验室设施设备整体提升项目，旨在满足学校日常教学、课程拓展、学科竞赛及社团活动等多层次需求。项目采用交钥匙工程模式，响应供应商所投产品须为先进、优质的全新合格设备，并负责从设计、制造、供货、运输、安装、调试、验收直至交付使用及质保期内服务的全部工作。各设备应安全可靠，配套软件运行流畅、数据准确，存储与调用机制安全稳定。</w:t>
      </w:r>
      <w:r/>
    </w:p>
    <w:p>
      <w:pPr>
        <w:pStyle w:val="658"/>
        <w:ind w:firstLine="482"/>
        <w:spacing w:line="560" w:lineRule="exact"/>
        <w:rPr>
          <w:b/>
          <w:bCs/>
          <w:sz w:val="24"/>
        </w:rPr>
      </w:pPr>
      <w:r>
        <w:rPr>
          <w:rFonts w:hint="eastAsia"/>
          <w:b/>
          <w:bCs/>
          <w:sz w:val="24"/>
        </w:rPr>
        <w:t xml:space="preserve">采购包1：</w:t>
      </w:r>
      <w:r>
        <w:rPr>
          <w:b/>
          <w:bCs/>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60"/>
        <w:gridCol w:w="7702"/>
        <w:gridCol w:w="639"/>
        <w:gridCol w:w="639"/>
      </w:tblGrid>
      <w:tr>
        <w:trPr>
          <w:trHeight w:val="330"/>
        </w:trPr>
        <w:tc>
          <w:tcPr>
            <w:tcW w:w="638" w:type="dxa"/>
            <w:vAlign w:val="center"/>
            <w:textDirection w:val="lrTb"/>
            <w:noWrap/>
          </w:tcPr>
          <w:p>
            <w:pPr>
              <w:pStyle w:val="658"/>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W w:w="1060" w:type="dxa"/>
            <w:vAlign w:val="center"/>
            <w:textDirection w:val="lrTb"/>
            <w:noWrap/>
          </w:tcPr>
          <w:p>
            <w:pPr>
              <w:pStyle w:val="658"/>
              <w:jc w:val="center"/>
              <w:widowControl/>
              <w:rPr>
                <w:rFonts w:hint="eastAsia" w:ascii="宋体" w:hAnsi="宋体" w:cs="宋体"/>
                <w:b/>
                <w:bCs/>
                <w:szCs w:val="21"/>
              </w:rPr>
            </w:pPr>
            <w:r>
              <w:rPr>
                <w:rFonts w:hint="eastAsia" w:ascii="宋体" w:hAnsi="宋体" w:cs="宋体"/>
                <w:b/>
                <w:bCs/>
                <w:szCs w:val="21"/>
                <w:lang w:bidi="ar"/>
              </w:rPr>
              <w:t xml:space="preserve">设备名称</w:t>
            </w:r>
            <w:r>
              <w:rPr>
                <w:rFonts w:hint="eastAsia" w:ascii="宋体" w:hAnsi="宋体" w:cs="宋体"/>
                <w:b/>
                <w:bCs/>
                <w:szCs w:val="21"/>
              </w:rPr>
            </w:r>
            <w:r/>
          </w:p>
        </w:tc>
        <w:tc>
          <w:tcPr>
            <w:tcW w:w="7702" w:type="dxa"/>
            <w:vAlign w:val="center"/>
            <w:textDirection w:val="lrTb"/>
            <w:noWrap w:val="false"/>
          </w:tcPr>
          <w:p>
            <w:pPr>
              <w:pStyle w:val="658"/>
              <w:jc w:val="center"/>
              <w:widowControl/>
              <w:rPr>
                <w:rFonts w:hint="eastAsia" w:ascii="宋体" w:hAnsi="宋体" w:cs="宋体"/>
                <w:b/>
                <w:bCs/>
                <w:szCs w:val="21"/>
              </w:rPr>
            </w:pPr>
            <w:r>
              <w:rPr>
                <w:rFonts w:hint="eastAsia" w:ascii="宋体" w:hAnsi="宋体" w:cs="宋体"/>
                <w:b/>
                <w:bCs/>
                <w:szCs w:val="21"/>
                <w:lang w:bidi="ar"/>
              </w:rPr>
              <w:t xml:space="preserve">技术参数</w:t>
            </w:r>
            <w:r>
              <w:rPr>
                <w:rFonts w:hint="eastAsia" w:ascii="宋体" w:hAnsi="宋体" w:cs="宋体"/>
                <w:b/>
                <w:bCs/>
                <w:szCs w:val="21"/>
              </w:rPr>
            </w:r>
            <w:r/>
          </w:p>
        </w:tc>
        <w:tc>
          <w:tcPr>
            <w:tcW w:w="639" w:type="dxa"/>
            <w:vAlign w:val="center"/>
            <w:textDirection w:val="lrTb"/>
            <w:noWrap/>
          </w:tcPr>
          <w:p>
            <w:pPr>
              <w:pStyle w:val="658"/>
              <w:jc w:val="center"/>
              <w:widowControl/>
              <w:rPr>
                <w:rFonts w:hint="eastAsia" w:ascii="宋体" w:hAnsi="宋体" w:cs="宋体"/>
                <w:b/>
                <w:bCs/>
                <w:szCs w:val="21"/>
              </w:rPr>
            </w:pPr>
            <w:r>
              <w:rPr>
                <w:rFonts w:hint="eastAsia" w:ascii="宋体" w:hAnsi="宋体" w:cs="宋体"/>
                <w:b/>
                <w:bCs/>
                <w:szCs w:val="21"/>
                <w:lang w:bidi="ar"/>
              </w:rPr>
              <w:t xml:space="preserve">数量</w:t>
            </w:r>
            <w:r>
              <w:rPr>
                <w:rFonts w:hint="eastAsia" w:ascii="宋体" w:hAnsi="宋体" w:cs="宋体"/>
                <w:b/>
                <w:bCs/>
                <w:szCs w:val="21"/>
              </w:rPr>
            </w:r>
            <w:r/>
          </w:p>
        </w:tc>
        <w:tc>
          <w:tcPr>
            <w:tcW w:w="639" w:type="dxa"/>
            <w:vAlign w:val="center"/>
            <w:textDirection w:val="lrTb"/>
            <w:noWrap/>
          </w:tcPr>
          <w:p>
            <w:pPr>
              <w:pStyle w:val="658"/>
              <w:jc w:val="center"/>
              <w:widowControl/>
              <w:rPr>
                <w:rFonts w:hint="eastAsia" w:ascii="宋体" w:hAnsi="宋体" w:cs="宋体"/>
                <w:b/>
                <w:bCs/>
                <w:szCs w:val="21"/>
              </w:rPr>
            </w:pPr>
            <w:r>
              <w:rPr>
                <w:rFonts w:hint="eastAsia" w:ascii="宋体" w:hAnsi="宋体" w:cs="宋体"/>
                <w:b/>
                <w:bCs/>
                <w:szCs w:val="21"/>
                <w:lang w:bidi="ar"/>
              </w:rPr>
              <w:t xml:space="preserve">单位</w:t>
            </w:r>
            <w:r>
              <w:rPr>
                <w:rFonts w:hint="eastAsia" w:ascii="宋体" w:hAnsi="宋体" w:cs="宋体"/>
                <w:b/>
                <w:bCs/>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苏教版三年级上册-科学配套材料箱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1.外箱尺寸：≥550*410*430mm；</w:t>
              <w:br w:type="textWrapping" w:clear="all"/>
              <w:t xml:space="preserve">2.提供苏教版三年级上册教材五大单元分组的≥70余种实验材料，至少包含：园艺小铲（≥4*140mm）*12、塑料彩</w:t>
            </w:r>
            <w:r>
              <w:rPr>
                <w:rFonts w:hint="eastAsia" w:ascii="宋体" w:hAnsi="宋体" w:cs="宋体"/>
                <w:szCs w:val="21"/>
                <w:lang w:bidi="ar"/>
              </w:rPr>
              <w:t xml:space="preserve">盘（≥260*180*55mm）*12、PET材质塑料杯*72、塑料搅拌棒*12、蜡烛（≥φ30*25mm）*1、安全火柴*12、铝箔盒*12、简易加热装置套材*12、放大镜（支持3×/5×）*12、土壤（至少三种各≥500g）*3、过滤杯*36、塑料杯*36、9号自封袋*1、塑料喷头*12、油（≥250mL）*1、蜂蜜（≥80g）*1、圆柱瓶（≥40*55mm）*1、锥形瓶（高度≥100mm，直径≥50mm）*1、方形瓶（40*40*60mm）*1、五角星瓶（≥φ30*80mm）*1、洗发水塑料瓶）*12</w:t>
            </w:r>
            <w:r>
              <w:rPr>
                <w:rFonts w:hint="eastAsia" w:ascii="宋体" w:hAnsi="宋体" w:cs="宋体"/>
                <w:szCs w:val="21"/>
                <w:lang w:bidi="ar"/>
              </w:rPr>
              <w:t xml:space="preserve">、蓝色素（≥5g）*1、塑料量杯（≥50mL）*12、注射器（≥20mL）*12、橡胶堵头（红色≥3*6*13mm）*12、电子秤（精度≥0.01g）*12、木块（≥20*20*20mm）*12、砖块模型（48*25*9mm）*12、玻璃弹珠（≥14mm）*12、蜡烛（长≥75mm）*12、橡皮泥（≥100g）*12、木块（≥10*10*10mm≥36块）*12、沙（≥500g）*1、黄豆（≥400g）*1、绿豆（≥400g）*1、玉米粉（≥400g）*1、木屑（≥100g）*1、铁屑（≥100g）*1、红</w:t>
            </w:r>
            <w:r>
              <w:rPr>
                <w:rFonts w:hint="eastAsia" w:ascii="宋体" w:hAnsi="宋体" w:cs="宋体"/>
                <w:szCs w:val="21"/>
                <w:lang w:bidi="ar"/>
              </w:rPr>
              <w:t xml:space="preserve">糖（≥400g）*1、食盐（≥500g）*1、白砂糖（≥400g）*1、定量勺（≥2g、双头）*12、脱脂棉（≥50g）*1、太空沙（≥300g、米黄色）*12、碎石（≥500g）*1、加热金属勺（≥166*50mm）*24、滴管（≥2mL）*24、方格纸（不小于A4）*12、不锈钢小号金属勺*12、气球（≥10寸）*1、塑料漏斗*12、带孔塑料杯*12、乒乓球（≥φ40mm）*12、中号保鲜袋*1、封口塑料袋*12、吸管（≥φ6*190mm）*1、竹棒（≥350mm）*12、小飞环线*1、橡胶充气小球（≥</w:t>
            </w:r>
            <w:r>
              <w:rPr>
                <w:rFonts w:hint="eastAsia" w:ascii="宋体" w:hAnsi="宋体" w:cs="宋体"/>
                <w:szCs w:val="21"/>
                <w:lang w:bidi="ar"/>
              </w:rPr>
              <w:t xml:space="preserve">4寸）*12、热气球纸筒（纸质覆铝膜）*12、热气球袋（≥800*500mm）*24、棒香款线香*1、纸盒*12、棉质毛巾（≥200*200mm）*1、化纤毛巾（≥200*200mm）*1、吸水树脂（≥200g）*1、小号无纺布袋*50、纺织材料样品（多种）*1、腈纶棉（≥50g）*1、棉花（≥50g）*1、石膏粉（≥200g）*12、方形塑料盒模具*24、铁丝（细铁线≥500mm）*24、干制荷叶*1、纸杯*12等实验材料配备不少于12组；</w:t>
              <w:br/>
              <w:t xml:space="preserve">3.教师资源包至少包含：给科学老师一封信，PP袋、材料支持中心页</w:t>
            </w:r>
            <w:r>
              <w:rPr>
                <w:rFonts w:hint="eastAsia" w:ascii="宋体" w:hAnsi="宋体" w:cs="宋体"/>
                <w:szCs w:val="21"/>
                <w:lang w:bidi="ar"/>
              </w:rPr>
              <w:t xml:space="preserve">，新一上思维导图、实验室守则贴纸、实验室仪器装饰贴、单贴纸，笔、便利贴、科学家名片、奖励贴纸≥10张、标签纸≥1小包、小挂件、实验计划表、教学评价表、组号卡、兑换卡、合格证等材料；</w:t>
              <w:br/>
              <w:t xml:space="preserve">4.说明书包至少包含：说明书（附课件下载、反馈意见）、活体材料领取卡、试卷；</w:t>
              <w:br/>
              <w:t xml:space="preserve">5.本实验材料箱可完成不少于20个实验项目，可完成包括但不限于以下所例举的实验项目：研究土壤①土壤里面有什么②不同的土壤③肥沃的土壤④植被与土壤；固体和液体⑤认识液体⑥认识固体⑦固体的混合与分离⑧固体、液体的混合与分离；地球上的水体⑨河流与湖泊⑩地下水</w:t>
            </w:r>
            <w:r>
              <w:rPr>
                <w:rFonts w:ascii="Cambria Math" w:hAnsi="Cambria Math" w:cs="Cambria Math"/>
                <w:szCs w:val="21"/>
                <w:lang w:bidi="ar"/>
              </w:rPr>
              <w:t xml:space="preserve">⑪</w:t>
            </w:r>
            <w:r>
              <w:rPr>
                <w:rFonts w:hint="eastAsia" w:ascii="宋体" w:hAnsi="宋体" w:cs="宋体"/>
                <w:szCs w:val="21"/>
                <w:lang w:bidi="ar"/>
              </w:rPr>
              <w:t xml:space="preserve">海洋</w:t>
            </w:r>
            <w:r>
              <w:rPr>
                <w:rFonts w:ascii="Cambria Math" w:hAnsi="Cambria Math" w:cs="Cambria Math"/>
                <w:szCs w:val="21"/>
                <w:lang w:bidi="ar"/>
              </w:rPr>
              <w:t xml:space="preserve">⑫</w:t>
            </w:r>
            <w:r>
              <w:rPr>
                <w:rFonts w:hint="eastAsia" w:ascii="宋体" w:hAnsi="宋体" w:cs="宋体"/>
                <w:szCs w:val="21"/>
                <w:lang w:bidi="ar"/>
              </w:rPr>
              <w:t xml:space="preserve">珍惜水资源；空气的性质</w:t>
            </w:r>
            <w:r>
              <w:rPr>
                <w:rFonts w:ascii="Cambria Math" w:hAnsi="Cambria Math" w:cs="Cambria Math"/>
                <w:szCs w:val="21"/>
                <w:lang w:bidi="ar"/>
              </w:rPr>
              <w:t xml:space="preserve">⑬</w:t>
            </w:r>
            <w:r>
              <w:rPr>
                <w:rFonts w:hint="eastAsia" w:ascii="宋体" w:hAnsi="宋体" w:cs="宋体"/>
                <w:szCs w:val="21"/>
                <w:lang w:bidi="ar"/>
              </w:rPr>
              <w:t xml:space="preserve">吹气球</w:t>
            </w:r>
            <w:r>
              <w:rPr>
                <w:rFonts w:ascii="Cambria Math" w:hAnsi="Cambria Math" w:cs="Cambria Math"/>
                <w:szCs w:val="21"/>
                <w:lang w:bidi="ar"/>
              </w:rPr>
              <w:t xml:space="preserve">⑭</w:t>
            </w:r>
            <w:r>
              <w:rPr>
                <w:rFonts w:hint="eastAsia" w:ascii="宋体" w:hAnsi="宋体" w:cs="宋体"/>
                <w:szCs w:val="21"/>
                <w:lang w:bidi="ar"/>
              </w:rPr>
              <w:t xml:space="preserve">称空气</w:t>
            </w:r>
            <w:r>
              <w:rPr>
                <w:rFonts w:ascii="Cambria Math" w:hAnsi="Cambria Math" w:cs="Cambria Math"/>
                <w:szCs w:val="21"/>
                <w:lang w:bidi="ar"/>
              </w:rPr>
              <w:t xml:space="preserve">⑮</w:t>
            </w:r>
            <w:r>
              <w:rPr>
                <w:rFonts w:hint="eastAsia" w:ascii="宋体" w:hAnsi="宋体" w:cs="宋体"/>
                <w:szCs w:val="21"/>
                <w:lang w:bidi="ar"/>
              </w:rPr>
              <w:t xml:space="preserve">热气球</w:t>
            </w:r>
            <w:r>
              <w:rPr>
                <w:rFonts w:ascii="Cambria Math" w:hAnsi="Cambria Math" w:cs="Cambria Math"/>
                <w:szCs w:val="21"/>
                <w:lang w:bidi="ar"/>
              </w:rPr>
              <w:t xml:space="preserve">⑯</w:t>
            </w:r>
            <w:r>
              <w:rPr>
                <w:rFonts w:hint="eastAsia" w:ascii="宋体" w:hAnsi="宋体" w:cs="宋体"/>
                <w:szCs w:val="21"/>
                <w:lang w:bidi="ar"/>
              </w:rPr>
              <w:t xml:space="preserve">风的形成材料的演变</w:t>
            </w:r>
            <w:r>
              <w:rPr>
                <w:rFonts w:ascii="Cambria Math" w:hAnsi="Cambria Math" w:cs="Cambria Math"/>
                <w:szCs w:val="21"/>
                <w:lang w:bidi="ar"/>
              </w:rPr>
              <w:t xml:space="preserve">⑰</w:t>
            </w:r>
            <w:r>
              <w:rPr>
                <w:rFonts w:hint="eastAsia" w:ascii="宋体" w:hAnsi="宋体" w:cs="宋体"/>
                <w:szCs w:val="21"/>
                <w:lang w:bidi="ar"/>
              </w:rPr>
              <w:t xml:space="preserve">天然材料与人造材料</w:t>
            </w:r>
            <w:r>
              <w:rPr>
                <w:rFonts w:ascii="Cambria Math" w:hAnsi="Cambria Math" w:cs="Cambria Math"/>
                <w:szCs w:val="21"/>
                <w:lang w:bidi="ar"/>
              </w:rPr>
              <w:t xml:space="preserve">⑱</w:t>
            </w:r>
            <w:r>
              <w:rPr>
                <w:rFonts w:hint="eastAsia" w:ascii="宋体" w:hAnsi="宋体" w:cs="宋体"/>
                <w:szCs w:val="21"/>
                <w:lang w:bidi="ar"/>
              </w:rPr>
              <w:t xml:space="preserve">纺织材料</w:t>
            </w:r>
            <w:r>
              <w:rPr>
                <w:rFonts w:ascii="Cambria Math" w:hAnsi="Cambria Math" w:cs="Cambria Math"/>
                <w:szCs w:val="21"/>
                <w:lang w:bidi="ar"/>
              </w:rPr>
              <w:t xml:space="preserve">⑲</w:t>
            </w:r>
            <w:r>
              <w:rPr>
                <w:rFonts w:hint="eastAsia" w:ascii="宋体" w:hAnsi="宋体" w:cs="宋体"/>
                <w:szCs w:val="21"/>
                <w:lang w:bidi="ar"/>
              </w:rPr>
              <w:t xml:space="preserve">建筑材料</w:t>
            </w:r>
            <w:r>
              <w:rPr>
                <w:rFonts w:ascii="Cambria Math" w:hAnsi="Cambria Math" w:cs="Cambria Math"/>
                <w:szCs w:val="21"/>
                <w:lang w:bidi="ar"/>
              </w:rPr>
              <w:t xml:space="preserve">⑳</w:t>
            </w:r>
            <w:r>
              <w:rPr>
                <w:rFonts w:hint="eastAsia" w:ascii="宋体" w:hAnsi="宋体" w:cs="宋体"/>
                <w:szCs w:val="21"/>
                <w:lang w:bidi="ar"/>
              </w:rPr>
              <w:t xml:space="preserve">纳米材料。</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645"/>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苏教版四年级上册-科学配套材料箱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1.外箱尺寸：≥550*410*430mm；</w:t>
              <w:br w:type="textWrapping" w:clear="all"/>
              <w:t xml:space="preserve">2.提供苏教版四年级上册教材六大单元分组的≥70余种实验材料，至少包含：纸质动物分类图卡*12、脊椎模型材料（套材）*12、纸质中国珍稀动物图卡*12、纸质鱼类图卡*12、</w:t>
            </w:r>
            <w:r>
              <w:rPr>
                <w:rFonts w:hint="eastAsia" w:ascii="宋体" w:hAnsi="宋体" w:cs="宋体"/>
                <w:szCs w:val="21"/>
                <w:lang w:bidi="ar"/>
              </w:rPr>
              <w:t xml:space="preserve">食用色素（≥2g）*1、塑料滴管*12、纸质鸟类图卡*12、羽毛（≥2种）*1、自封冰格袋*1、塑料杯*12、纸质哺乳类图卡*12、纸质草原运动图卡*12、塑料风车*12、木质陀螺*12、塑料圈*12、摆材料（套材）*12、竹蜻蜓（塑料）*12、塑料飞盘*1、软尺（≥5000mm）*1、磁力小车*1、小篮球（≥4寸）*1、打气筒（针式两用）*1、金属小车*12、桌沿定滑轮*12、垫圈（≥3g）*1、细线*1、木棒（≥2种、方形）*12、带槽斜面木板*12、钢珠（≥0.5mm）*12、强磁磁铁*12、皮筋*1</w:t>
            </w:r>
            <w:r>
              <w:rPr>
                <w:rFonts w:hint="eastAsia" w:ascii="宋体" w:hAnsi="宋体" w:cs="宋体"/>
                <w:szCs w:val="21"/>
                <w:lang w:bidi="ar"/>
              </w:rPr>
              <w:t xml:space="preserve">、海绵*12、弹簧*1、橡胶握力器*1、橡胶拉力器*1、拉力板*12、拉簧（≥1N）*48、金属挂钩*48、钩码（≥20g、≥10个）*12、带钩木块（≥90*35*20mm）*12、砂纸（≥270*100mm≥2种）*12、橡皮泥（≥100g）*1、塑料瓶*36、空心塑料球（至少包含大、中、小号三个规格）*12、橡皮泥（≥100g）*2、电子秤（精度≤0.01g）*1、电池（不小于5号）*24、镀锡导线（≥150mm）*24、灯泡（≥2.5V）*1、电路板贴（kt板）*1、小电机*1、电子式蜂鸣器*1、单</w:t>
            </w:r>
            <w:r>
              <w:rPr>
                <w:rFonts w:hint="eastAsia" w:ascii="宋体" w:hAnsi="宋体" w:cs="宋体"/>
                <w:szCs w:val="21"/>
                <w:lang w:bidi="ar"/>
              </w:rPr>
              <w:t xml:space="preserve">刀开关*12、开关材料*12、塑料手电*1、导电性检测材料*12、导电检测连接装置*12、U型导线（≥200mm）*80、教学用灯座*24、电池盒（不小于5号）*24、教学用验电球*1、电路暗箱*12、水果电池材料（套材）*12、岩石标本（≥10种）*12、矿物标本（≥10种）*12、铜钥匙（黄铜）*12、铁钉（≥55mm）*12、石膏粉（≥1000g）*1、塑料杯*12、塑料搅拌棒*12、LED手环（套材）*1、橡胶手环带*12、LED手环配件（套材）*12等实验材料配备不少于12组；</w:t>
              <w:br/>
              <w:t xml:space="preserve">3.教师资源包至少</w:t>
            </w:r>
            <w:r>
              <w:rPr>
                <w:rFonts w:hint="eastAsia" w:ascii="宋体" w:hAnsi="宋体" w:cs="宋体"/>
                <w:szCs w:val="21"/>
                <w:lang w:bidi="ar"/>
              </w:rPr>
              <w:t xml:space="preserve">包含：给科学老师一封信，PP袋、材料支持中心页，新一上思维导图、实验室守则贴纸、实验室仪器装饰贴、贴纸，笔、便利贴、科学家名片、奖励贴纸≥10张、标签纸≥1小包、小挂件、实验计划表、教学评价表、组号卡、兑换卡、合格证等材料；</w:t>
              <w:br/>
              <w:t xml:space="preserve">4.说明书包至少包含：说明书（附课件下载、反馈意见）、活体材料领取卡、试卷；</w:t>
              <w:br/>
              <w:t xml:space="preserve">5.本实验材料箱可完成不少于19个实验项目，可完成包括但不限于以下所例举的实验项目：动物大家族①给动物分类②鱼类③鸟类④哺乳类；物体的运动⑤运动与位置⑥不同的运动⑦运动的快慢；常见的力⑧力与运动⑨弹力⑩摩擦力</w:t>
            </w:r>
            <w:r>
              <w:rPr>
                <w:rFonts w:ascii="Cambria Math" w:hAnsi="Cambria Math" w:cs="Cambria Math"/>
                <w:szCs w:val="21"/>
                <w:lang w:bidi="ar"/>
              </w:rPr>
              <w:t xml:space="preserve">⑪</w:t>
            </w:r>
            <w:r>
              <w:rPr>
                <w:rFonts w:hint="eastAsia" w:ascii="宋体" w:hAnsi="宋体" w:cs="宋体"/>
                <w:szCs w:val="21"/>
                <w:lang w:bidi="ar"/>
              </w:rPr>
              <w:t xml:space="preserve">浮力；简单电路</w:t>
            </w:r>
            <w:r>
              <w:rPr>
                <w:rFonts w:ascii="Cambria Math" w:hAnsi="Cambria Math" w:cs="Cambria Math"/>
                <w:szCs w:val="21"/>
                <w:lang w:bidi="ar"/>
              </w:rPr>
              <w:t xml:space="preserve">⑫</w:t>
            </w:r>
            <w:r>
              <w:rPr>
                <w:rFonts w:hint="eastAsia" w:ascii="宋体" w:hAnsi="宋体" w:cs="宋体"/>
                <w:szCs w:val="21"/>
                <w:lang w:bidi="ar"/>
              </w:rPr>
              <w:t xml:space="preserve">点亮小灯光</w:t>
            </w:r>
            <w:r>
              <w:rPr>
                <w:rFonts w:ascii="Cambria Math" w:hAnsi="Cambria Math" w:cs="Cambria Math"/>
                <w:szCs w:val="21"/>
                <w:lang w:bidi="ar"/>
              </w:rPr>
              <w:t xml:space="preserve">⑬</w:t>
            </w:r>
            <w:r>
              <w:rPr>
                <w:rFonts w:hint="eastAsia" w:ascii="宋体" w:hAnsi="宋体" w:cs="宋体"/>
                <w:szCs w:val="21"/>
                <w:lang w:bidi="ar"/>
              </w:rPr>
              <w:t xml:space="preserve">导体和绝缘体</w:t>
            </w:r>
            <w:r>
              <w:rPr>
                <w:rFonts w:ascii="Cambria Math" w:hAnsi="Cambria Math" w:cs="Cambria Math"/>
                <w:szCs w:val="21"/>
                <w:lang w:bidi="ar"/>
              </w:rPr>
              <w:t xml:space="preserve">⑭</w:t>
            </w:r>
            <w:r>
              <w:rPr>
                <w:rFonts w:hint="eastAsia" w:ascii="宋体" w:hAnsi="宋体" w:cs="宋体"/>
                <w:szCs w:val="21"/>
                <w:lang w:bidi="ar"/>
              </w:rPr>
              <w:t xml:space="preserve">电路暗箱</w:t>
            </w:r>
            <w:r>
              <w:rPr>
                <w:rFonts w:ascii="Cambria Math" w:hAnsi="Cambria Math" w:cs="Cambria Math"/>
                <w:szCs w:val="21"/>
                <w:lang w:bidi="ar"/>
              </w:rPr>
              <w:t xml:space="preserve">⑮</w:t>
            </w:r>
            <w:r>
              <w:rPr>
                <w:rFonts w:hint="eastAsia" w:ascii="宋体" w:hAnsi="宋体" w:cs="宋体"/>
                <w:szCs w:val="21"/>
                <w:lang w:bidi="ar"/>
              </w:rPr>
              <w:t xml:space="preserve">生活中的电；岩石与矿物</w:t>
            </w:r>
            <w:r>
              <w:rPr>
                <w:rFonts w:ascii="Cambria Math" w:hAnsi="Cambria Math" w:cs="Cambria Math"/>
                <w:szCs w:val="21"/>
                <w:lang w:bidi="ar"/>
              </w:rPr>
              <w:t xml:space="preserve">⑯</w:t>
            </w:r>
            <w:r>
              <w:rPr>
                <w:rFonts w:hint="eastAsia" w:ascii="宋体" w:hAnsi="宋体" w:cs="宋体"/>
                <w:szCs w:val="21"/>
                <w:lang w:bidi="ar"/>
              </w:rPr>
              <w:t xml:space="preserve">常见的岩石</w:t>
            </w:r>
            <w:r>
              <w:rPr>
                <w:rFonts w:ascii="Cambria Math" w:hAnsi="Cambria Math" w:cs="Cambria Math"/>
                <w:szCs w:val="21"/>
                <w:lang w:bidi="ar"/>
              </w:rPr>
              <w:t xml:space="preserve">⑰</w:t>
            </w:r>
            <w:r>
              <w:rPr>
                <w:rFonts w:hint="eastAsia" w:ascii="宋体" w:hAnsi="宋体" w:cs="宋体"/>
                <w:szCs w:val="21"/>
                <w:lang w:bidi="ar"/>
              </w:rPr>
              <w:t xml:space="preserve">认识矿物</w:t>
            </w:r>
            <w:r>
              <w:rPr>
                <w:rFonts w:ascii="Cambria Math" w:hAnsi="Cambria Math" w:cs="Cambria Math"/>
                <w:szCs w:val="21"/>
                <w:lang w:bidi="ar"/>
              </w:rPr>
              <w:t xml:space="preserve">⑱</w:t>
            </w:r>
            <w:r>
              <w:rPr>
                <w:rFonts w:hint="eastAsia" w:ascii="宋体" w:hAnsi="宋体" w:cs="宋体"/>
                <w:szCs w:val="21"/>
                <w:lang w:bidi="ar"/>
              </w:rPr>
              <w:t xml:space="preserve">矿物与我们的生活；</w:t>
            </w:r>
            <w:r>
              <w:rPr>
                <w:rFonts w:ascii="Cambria Math" w:hAnsi="Cambria Math" w:cs="Cambria Math"/>
                <w:szCs w:val="21"/>
                <w:lang w:bidi="ar"/>
              </w:rPr>
              <w:t xml:space="preserve">⑲</w:t>
            </w:r>
            <w:r>
              <w:rPr>
                <w:rFonts w:hint="eastAsia" w:ascii="宋体" w:hAnsi="宋体" w:cs="宋体"/>
                <w:szCs w:val="21"/>
                <w:lang w:bidi="ar"/>
              </w:rPr>
              <w:t xml:space="preserve">专项学习</w:t>
            </w:r>
            <w:r>
              <w:rPr>
                <w:rFonts w:hint="eastAsia" w:ascii="宋体" w:hAnsi="宋体" w:cs="宋体"/>
                <w:szCs w:val="21"/>
                <w:lang w:bidi="ar"/>
              </w:rPr>
              <w:t xml:space="preserve"> </w:t>
            </w:r>
            <w:r>
              <w:rPr>
                <w:rFonts w:hint="eastAsia" w:ascii="宋体" w:hAnsi="宋体" w:cs="宋体"/>
                <w:szCs w:val="21"/>
                <w:lang w:bidi="ar"/>
              </w:rPr>
              <w:t xml:space="preserve">像工程师那样。</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苏教版五年级上册-科学配套材料箱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1.外箱尺寸：≥550*410*430mm；</w:t>
              <w:br w:type="textWrapping" w:clear="all"/>
              <w:t xml:space="preserve">2.提供苏教版五年级上册教材六大单元分组的≥60余种实验材料，至少包含：白蜡烛*1、金属蜡烛支架</w:t>
            </w:r>
            <w:r>
              <w:rPr>
                <w:rFonts w:hint="eastAsia" w:ascii="宋体" w:hAnsi="宋体" w:cs="宋体"/>
                <w:szCs w:val="21"/>
                <w:lang w:bidi="ar"/>
              </w:rPr>
              <w:t xml:space="preserve">*12、安全火柴*12、电池（不小于5号）*4、电池盒（不小于5号）*4、鳄鱼夹形导线*1、沙子（≥100g）*1、细钢丝（≥5g）*1、激光笔*12、塑料盒*12、线香（≥100mm）*2、金属线香支架*12、LED手电*12、光的传播纸卡*12、竹棒（≥200mm）*12、小孔成像套材*12、多用平面镜（可调角度）*24、塑料潜望镜模型*1、潜望镜套材*12、三棱镜*12、彩色滤光纸（≥95*50mm、红色）*12、彩色滤光纸（≥95*50mm、绿色）*12、彩色滤光纸（≥95*50mm、蓝色）*12、</w:t>
            </w:r>
            <w:r>
              <w:rPr>
                <w:rFonts w:hint="eastAsia" w:ascii="宋体" w:hAnsi="宋体" w:cs="宋体"/>
                <w:szCs w:val="21"/>
                <w:lang w:bidi="ar"/>
              </w:rPr>
              <w:t xml:space="preserve">牛顿盘*12、手动拉线器*12、带柄金属片（带柄变温油墨）*12、凡士林（≥400g）*1、温度计（红液）*24、玻璃瓶（≥7mL）*12、色素（≥5g）*1、木屑（≥30g）*1、走马灯套材*12、太阳灶模型*1、简易太阳能灶材料（套材）*12、小棒（≥130mm）*12、珠子（塑料）*1、黄油（≥3g）*12、地形图（立体）*12、纸质地形图卡*12、陶泥（≥300g）*6、番茄酱（≥80g）*1、超轻黏土（≥10g）*1、淀粉（≥500g）*1、海绵（至少三色）*12、条形木片*1、泡沫块（≥100*</w:t>
            </w:r>
            <w:r>
              <w:rPr>
                <w:rFonts w:hint="eastAsia" w:ascii="宋体" w:hAnsi="宋体" w:cs="宋体"/>
                <w:szCs w:val="21"/>
                <w:lang w:bidi="ar"/>
              </w:rPr>
              <w:t xml:space="preserve">10*20mm）*24、地球结构模具*1、超轻黏土（至少三色）*1、塑料盘（彩色方形）*12、石块（页岩）*1、玉米碎粒（≥500g）*1、玉米粉（≥200g）*1、吸管（≥200mm）*1、塑料护目镜*12、橡皮泥*6、自封冰格袋*1、金属盒*12、针式电子温度计*12、纸质水循环贴图*1、带刻度反应纸尺*24、绒球*12、纸质皮肤测试卡*12、纸质视觉错图*12、木质棋子*12、红色圆点贴（自粘）*1、纸质七巧板*12、降落伞材料（套材）*12等实验材料配套不少于12组；</w:t>
              <w:br/>
              <w:t xml:space="preserve">3.教师资源包至少包含：给科学</w:t>
            </w:r>
            <w:r>
              <w:rPr>
                <w:rFonts w:hint="eastAsia" w:ascii="宋体" w:hAnsi="宋体" w:cs="宋体"/>
                <w:szCs w:val="21"/>
                <w:lang w:bidi="ar"/>
              </w:rPr>
              <w:t xml:space="preserve">老师一封信，PP袋、材料支持中心页，思维导图、实验室守则贴纸、实验室仪器装饰贴、单元盒贴纸（放在单元盒中），笔、便利贴、科学家名片、奖励贴纸10张、标签纸1小包、小挂件、实验计划表、教学评价表、组号卡、兑换卡、合格证等材料，说明书至少包含：说明书（附课件下载、反馈意见）、活体材料领取卡、试卷；</w:t>
              <w:br/>
              <w:t xml:space="preserve">4.本实验材料箱可完成不少于18个实验项目，可完成包括但不限于以下所例举的实验项目：光与色彩①光源②光的传播③光的反射④七色光；热传递⑤热传导⑥热对流⑦热辐射⑧物体的传热本领；地球的表面与内部⑨地球的表面⑩火山和地震</w:t>
            </w:r>
            <w:r>
              <w:rPr>
                <w:rFonts w:ascii="Cambria Math" w:hAnsi="Cambria Math" w:cs="Cambria Math"/>
                <w:szCs w:val="21"/>
                <w:lang w:bidi="ar"/>
              </w:rPr>
              <w:t xml:space="preserve">⑪</w:t>
            </w:r>
            <w:r>
              <w:rPr>
                <w:rFonts w:hint="eastAsia" w:ascii="宋体" w:hAnsi="宋体" w:cs="宋体"/>
                <w:szCs w:val="21"/>
                <w:lang w:bidi="ar"/>
              </w:rPr>
              <w:t xml:space="preserve">地球的内部</w:t>
            </w:r>
            <w:r>
              <w:rPr>
                <w:rFonts w:ascii="Cambria Math" w:hAnsi="Cambria Math" w:cs="Cambria Math"/>
                <w:szCs w:val="21"/>
                <w:lang w:bidi="ar"/>
              </w:rPr>
              <w:t xml:space="preserve">⑫</w:t>
            </w:r>
            <w:r>
              <w:rPr>
                <w:rFonts w:hint="eastAsia" w:ascii="宋体" w:hAnsi="宋体" w:cs="宋体"/>
                <w:szCs w:val="21"/>
                <w:lang w:bidi="ar"/>
              </w:rPr>
              <w:t xml:space="preserve">地表雕刻师；水在自然界的循环</w:t>
            </w:r>
            <w:r>
              <w:rPr>
                <w:rFonts w:ascii="Cambria Math" w:hAnsi="Cambria Math" w:cs="Cambria Math"/>
                <w:szCs w:val="21"/>
                <w:lang w:bidi="ar"/>
              </w:rPr>
              <w:t xml:space="preserve">⑬</w:t>
            </w:r>
            <w:r>
              <w:rPr>
                <w:rFonts w:hint="eastAsia" w:ascii="宋体" w:hAnsi="宋体" w:cs="宋体"/>
                <w:szCs w:val="21"/>
                <w:lang w:bidi="ar"/>
              </w:rPr>
              <w:t xml:space="preserve">云和雾</w:t>
            </w:r>
            <w:r>
              <w:rPr>
                <w:rFonts w:ascii="Cambria Math" w:hAnsi="Cambria Math" w:cs="Cambria Math"/>
                <w:szCs w:val="21"/>
                <w:lang w:bidi="ar"/>
              </w:rPr>
              <w:t xml:space="preserve">⑭</w:t>
            </w:r>
            <w:r>
              <w:rPr>
                <w:rFonts w:hint="eastAsia" w:ascii="宋体" w:hAnsi="宋体" w:cs="宋体"/>
                <w:szCs w:val="21"/>
                <w:lang w:bidi="ar"/>
              </w:rPr>
              <w:t xml:space="preserve">露和霜；人体“司令部”</w:t>
            </w:r>
            <w:r>
              <w:rPr>
                <w:rFonts w:ascii="Cambria Math" w:hAnsi="Cambria Math" w:cs="Cambria Math"/>
                <w:szCs w:val="21"/>
                <w:lang w:bidi="ar"/>
              </w:rPr>
              <w:t xml:space="preserve">⑮</w:t>
            </w:r>
            <w:r>
              <w:rPr>
                <w:rFonts w:hint="eastAsia" w:ascii="宋体" w:hAnsi="宋体" w:cs="宋体"/>
                <w:szCs w:val="21"/>
                <w:lang w:bidi="ar"/>
              </w:rPr>
              <w:t xml:space="preserve">刺激与反应</w:t>
            </w:r>
            <w:r>
              <w:rPr>
                <w:rFonts w:ascii="Cambria Math" w:hAnsi="Cambria Math" w:cs="Cambria Math"/>
                <w:szCs w:val="21"/>
                <w:lang w:bidi="ar"/>
              </w:rPr>
              <w:t xml:space="preserve">⑯</w:t>
            </w:r>
            <w:r>
              <w:rPr>
                <w:rFonts w:hint="eastAsia" w:ascii="宋体" w:hAnsi="宋体" w:cs="宋体"/>
                <w:szCs w:val="21"/>
                <w:lang w:bidi="ar"/>
              </w:rPr>
              <w:t xml:space="preserve">从刺激到反应</w:t>
            </w:r>
            <w:r>
              <w:rPr>
                <w:rFonts w:ascii="Cambria Math" w:hAnsi="Cambria Math" w:cs="Cambria Math"/>
                <w:szCs w:val="21"/>
                <w:lang w:bidi="ar"/>
              </w:rPr>
              <w:t xml:space="preserve">⑰</w:t>
            </w:r>
            <w:r>
              <w:rPr>
                <w:rFonts w:hint="eastAsia" w:ascii="宋体" w:hAnsi="宋体" w:cs="宋体"/>
                <w:szCs w:val="21"/>
                <w:lang w:bidi="ar"/>
              </w:rPr>
              <w:t xml:space="preserve">我们的大脑；</w:t>
            </w:r>
            <w:r>
              <w:rPr>
                <w:rFonts w:ascii="Cambria Math" w:hAnsi="Cambria Math" w:cs="Cambria Math"/>
                <w:szCs w:val="21"/>
                <w:lang w:bidi="ar"/>
              </w:rPr>
              <w:t xml:space="preserve">⑱</w:t>
            </w:r>
            <w:r>
              <w:rPr>
                <w:rFonts w:hint="eastAsia" w:ascii="宋体" w:hAnsi="宋体" w:cs="宋体"/>
                <w:szCs w:val="21"/>
                <w:lang w:bidi="ar"/>
              </w:rPr>
              <w:t xml:space="preserve">专项学习</w:t>
            </w:r>
            <w:r>
              <w:rPr>
                <w:rFonts w:hint="eastAsia" w:ascii="宋体" w:hAnsi="宋体" w:cs="宋体"/>
                <w:szCs w:val="21"/>
                <w:lang w:bidi="ar"/>
              </w:rPr>
              <w:t xml:space="preserve"> </w:t>
            </w:r>
            <w:r>
              <w:rPr>
                <w:rFonts w:hint="eastAsia" w:ascii="宋体" w:hAnsi="宋体" w:cs="宋体"/>
                <w:szCs w:val="21"/>
                <w:lang w:bidi="ar"/>
              </w:rPr>
              <w:t xml:space="preserve">像工程师那样。</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苏教版三年级下册-科学配套材料箱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1.外箱尺寸：≥550*410*430mm；</w:t>
              <w:br w:type="textWrapping" w:clear="all"/>
              <w:t xml:space="preserve">2.提供苏教版三年级下册教材六大单元分组的≥70多种实验材料，至少包含：气温计*12、气温计认读模型（套材）*12、纸质气温记录表*1、纸质云图卡片*12、直型瓶子（透明≥500mL）*12、雨量器贴纸（</w:t>
            </w:r>
            <w:r>
              <w:rPr>
                <w:rFonts w:hint="eastAsia" w:ascii="宋体" w:hAnsi="宋体" w:cs="宋体"/>
                <w:szCs w:val="21"/>
                <w:lang w:bidi="ar"/>
              </w:rPr>
              <w:t xml:space="preserve">透明自粘）*1、喷头（塑料两用）*12、塑料雨量器模型*1、风向标模型（塑料套材）*12、飘带（软式）*1、风向袋*1、小旗*12、纸杯*48、吸管（≥φ6*190mm）*1、竹签*1、纸质蒲氏风力表*1、天气符号卡*12、纸质天气预报贴画*1、蒲公英种子（瓶装）*12、槭树种子（瓶装）*12、蚕豆（≥100g）*1、水稻（≥100g）*1、苹果（≥25g）*1、番茄种子（≥25g）*1、黄瓜种子（≥25g）*1、木质园艺小铲）*12、带底座花盆*12、种子带盖发芽盒*48、绿豆（≥200g）*1、花生（≥</w:t>
            </w:r>
            <w:r>
              <w:rPr>
                <w:rFonts w:hint="eastAsia" w:ascii="宋体" w:hAnsi="宋体" w:cs="宋体"/>
                <w:szCs w:val="21"/>
                <w:lang w:bidi="ar"/>
              </w:rPr>
              <w:t xml:space="preserve">200g）*1、塑料量筒（≥50mL、带底座）*12、油（≥3g）*12、红色画笔*12、小刀（≥72*16mm）*12、色素（≥5g）*1、纸质植物茎图卡*12、纸质花的图卡*12、纸质果实图卡*12、植物与环境图卡（至少八种）*12、纸质水生植物图卡*12、海绵（≥60*40*20mm）*12、自封袋（不小于5号）*1、莲子种子（≥100g）*1、纸质沙漠植物图卡*12、放大镜（支持3×/5×）*12、湿纸巾（单片装）*36、16k蜡纸*1、苔藓（≥100g）*1、竹质牙签*1、塑料培养皿（≥70mL）</w:t>
            </w:r>
            <w:r>
              <w:rPr>
                <w:rFonts w:hint="eastAsia" w:ascii="宋体" w:hAnsi="宋体" w:cs="宋体"/>
                <w:szCs w:val="21"/>
                <w:lang w:bidi="ar"/>
              </w:rPr>
              <w:t xml:space="preserve">*12、电子秤（≥0.01g）*2、卷柏标本*12、塑料尺（≥200mm）*12、塑料试管（≥18*105mm）*12、陶鸟玩具（陶质）*1、铜质钹*1、金属音叉*1、小鼓*1、泡沫粒（≥1g）*1、透明防水袋*12、电子蜂鸣器*12、土电话材料（套材）*12、八音钢片琴*12、纸质人体器官拼图*12、保鲜袋*1、熟石灰（≥10g）*1、简易肺活量袋*12、吸管（≥φ10mm）*1、布制人体器官围裙*1、纸质食物图卡*12、碘酒（≥8mL）*12、淀粉（≥150g）*1、塑料滴管*12、冰格袋*1、盐（≥2</w:t>
            </w:r>
            <w:r>
              <w:rPr>
                <w:rFonts w:hint="eastAsia" w:ascii="宋体" w:hAnsi="宋体" w:cs="宋体"/>
                <w:szCs w:val="21"/>
                <w:lang w:bidi="ar"/>
              </w:rPr>
              <w:t xml:space="preserve">50g）*1等实验材料配备不少于12组；</w:t>
              <w:br/>
              <w:t xml:space="preserve">3.本实验材料箱可完成不少于20个实验项目，可完成包括但不限于以下所例举的实验项目：观测天气1.气温有多高2.雨有多大3.刮什么风4.天气预报；植物的一生5.种子发芽了6.幼苗长大了7.植物开花了8.植物结果了；不同环境里的植物9.形态各异的植物10.水里的植物11.沙漠里的植物12.石头上的植物；声音的奥秘13.声音的产生14.声音的传播15.不同的声音；人的呼吸和消化16.人的呼吸器官17.测量脉搏和肺活量18.人的消化器官19.食物的作用；20.像科学家那样。</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苏教版四年级下册-科学配套材料箱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1.外箱尺寸：≥550*410*430mm；</w:t>
              <w:br w:type="textWrapping" w:clear="all"/>
              <w:t xml:space="preserve">2.提供苏教版四年级下册教材三大单元分组的≥80多种实验材料，至少包含：塑料杯*36、可调多用夹子*12、温度计（红液）*1、针式电子温度计*12、双金属温度计</w:t>
            </w:r>
            <w:r>
              <w:rPr>
                <w:rFonts w:hint="eastAsia" w:ascii="宋体" w:hAnsi="宋体" w:cs="宋体"/>
                <w:szCs w:val="21"/>
                <w:lang w:bidi="ar"/>
              </w:rPr>
              <w:t xml:space="preserve">（盒式）*1、玻璃瓶（西林瓶）*24、橡胶塞*24、吸管（硬质圆形细）*1、橡胶塞（≥4号，带孔）*12、导管（≥130mm）*12、色素（≥5g）*1、气球（≥10寸）*1、固体热胀冷缩器*12、白蜡烛*12、金属蜡烛支架*12、安全火柴*12、乒乓球（≥φ40mm）*12、自封冰格袋*2、简易加热装置（套材）*12、纸质绘制温度曲线图*2、方形铝箔*1、塑料搅拌棒*12、塑料试管（≥φ18*105mm）*24、标记贴纸（自粘单面）*1、盐（≥500g）*1、塑料勺子*1、扁柱形塑料罐*12、地球形状模拟</w:t>
            </w:r>
            <w:r>
              <w:rPr>
                <w:rFonts w:hint="eastAsia" w:ascii="宋体" w:hAnsi="宋体" w:cs="宋体"/>
                <w:szCs w:val="21"/>
                <w:lang w:bidi="ar"/>
              </w:rPr>
              <w:t xml:space="preserve">器*12、纸质小船模型*1、小旗*1、充气地球仪（≥300mm）*12、气球（≥12寸）*1、气筒（气球专用）*1、纸质陆地板贴*12、月球仪（≥φ85mm）*1、塑料盒*12、细沙（≥1000g）*1、石子（≥100g）*1、LED手电*12、泡沫球（≥φ50mm）*12、纸质月相图*12、纸质月相记录图*1、教学用太阳高度仪*12、纸质量角器板*12、带孔竹棒*12、棉纱线*1、旋开式灯*12、带底座影子观察器*12、顶针式指南针*1、纸质影子观察记录纸*12、赤道式日晷*12、纸质日晷*12、纸质昆虫</w:t>
            </w:r>
            <w:r>
              <w:rPr>
                <w:rFonts w:hint="eastAsia" w:ascii="宋体" w:hAnsi="宋体" w:cs="宋体"/>
                <w:szCs w:val="21"/>
                <w:lang w:bidi="ar"/>
              </w:rPr>
              <w:t xml:space="preserve">图卡*12、塑料昆虫模型*1、昆虫模型材料*12、蚕卵（≥200粒）*1、放大镜（支持3×/5×）*12、饲养盒（带孔方形）*12、饲养槽（带孔）*1、小毛笔*1、蚕饲料（≥25g）*1、《养蚕》教材*1、养蝴蝶手册（折页）*1、纸质盒子*12、蚕豆（≥400g）*1、平头镊子*12、发芽带盖实验盒*24、凤仙花种子（≥20g）*1、葵花子（≥100g）*1、萝摩种子（瓶装）*12、苍耳（瓶装）*12、水培土培塑料盒*12、塑料浅碟*12、纸质动物繁殖图卡*12、纸质鸡繁殖图卡*12、纸质胎儿发育图卡*12</w:t>
            </w:r>
            <w:r>
              <w:rPr>
                <w:rFonts w:hint="eastAsia" w:ascii="宋体" w:hAnsi="宋体" w:cs="宋体"/>
                <w:szCs w:val="21"/>
                <w:lang w:bidi="ar"/>
              </w:rPr>
              <w:t xml:space="preserve">、纸质动物庇护所图卡*12、人工鸟窝*1、摆球（至少两种）*12、摆球连接件（塑料带钩）*24、棉纱线*1、电子计时器*12等实验材料配备不少于12组；</w:t>
              <w:br/>
              <w:t xml:space="preserve">3.本实验材料箱可完成不少于16个实验项目，可完成包括但不限于以下所例举的实验项目：冷和热1.冷热与温度2.热胀冷缩3.水受热以后4.水遇冷以后；地球、月球与太阳5.地球6.月球7.太阳8.太阳钟；昆虫9.庞大的“家族”10.养昆虫11.探究昆虫的奥秘；繁殖12.用种子繁殖13.用根、茎、叶繁殖14.动物的繁殖；生物与环境15.动物的庇护所；16.专项学习</w:t>
            </w:r>
            <w:r>
              <w:rPr>
                <w:rFonts w:hint="eastAsia" w:ascii="宋体" w:hAnsi="宋体" w:cs="宋体"/>
                <w:szCs w:val="21"/>
                <w:lang w:bidi="ar"/>
              </w:rPr>
              <w:t xml:space="preserve"> </w:t>
            </w:r>
            <w:r>
              <w:rPr>
                <w:rFonts w:hint="eastAsia" w:ascii="宋体" w:hAnsi="宋体" w:cs="宋体"/>
                <w:szCs w:val="21"/>
                <w:lang w:bidi="ar"/>
              </w:rPr>
              <w:t xml:space="preserve">像工程师那样。</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352"/>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苏教版五年级下册-科学配套材料箱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1.外箱</w:t>
            </w:r>
            <w:r>
              <w:rPr>
                <w:rFonts w:hint="eastAsia" w:ascii="宋体" w:hAnsi="宋体" w:cs="宋体"/>
                <w:szCs w:val="21"/>
                <w:lang w:bidi="ar"/>
              </w:rPr>
              <w:t xml:space="preserve">尺寸：≥550*410*430mm；</w:t>
              <w:br/>
              <w:t xml:space="preserve">2.提供苏教版五年级下册教材五大单元分组的≥60多种实验材料，至少包含：手持显微镜（LED灯支持55×）*12、放大镜（支持3×/5×）*12、切片标本（≥12片）*1、广口瓶（≥1000mL）*1、稻草（≥10g）*1、滴管（≥2mL）*12、载玻片（标准型）*1、盖玻片（标准型）*2、吸水纸（标准型）*1、纸质微生物卡片*12、干面条（≥100g）*1、带盖塑料盒*24、PVC手套*1、白糖（≥5g）*12、纸质仿生图卡*12、天然苍耳*1、尼龙粘条（≥1000mm</w:t>
            </w:r>
            <w:r>
              <w:rPr>
                <w:rFonts w:hint="eastAsia" w:ascii="宋体" w:hAnsi="宋体" w:cs="宋体"/>
                <w:szCs w:val="21"/>
                <w:lang w:bidi="ar"/>
              </w:rPr>
              <w:t xml:space="preserve">）*1、塑料真空吸盘*12、萝摩种子*12、纸质形状纸片*12、纸质内切圆形纸片*12、白纸*1、扑翼机（橡筋模型）*1、塑料半球（≥φ40mm）*4、木板*1、拱桥模型*12、纸卡*24、金属垫片（≥3g）*1、贝壳*1、纸质动物头饰*12、手臂模型材料（套材）*12、木质可动手臂模型*12、仿真纸卡*1、迷彩布（≥3种）*1、全塑地球仪（≥85mm）*12、圆点贴（不干胶）*1、LED手电*12、纸质林奈花钟纸卡*12、牵牛花种子（≥5g）*1、太阳花种子（≥5g）*1、月见草种子（≥5g）*1、紫茉莉</w:t>
            </w:r>
            <w:r>
              <w:rPr>
                <w:rFonts w:hint="eastAsia" w:ascii="宋体" w:hAnsi="宋体" w:cs="宋体"/>
                <w:szCs w:val="21"/>
                <w:lang w:bidi="ar"/>
              </w:rPr>
              <w:t xml:space="preserve">种子（≥5g）*1、橡皮泥（≥10g）*2、竹质牙签*1、电子温度计（指针式）*2、纸套*12、简单机械材料包（组合式）*12、钩码（≥20g）*12、小杆秤材料（套材）*12、螺丝*1、螺丝刀*12、木块（≥150*60*15mm）*12、金属内六角螺杆*12、金属螺母*12、金属内六角扳手*12、塑料竹蜻蜓*1、升旗材料（套材）*12、纱线*1、斜面（支持三级可调）*12、教学用小车*12、木棒（≥300mm）*1、青菜种子（≥20g）*1、番茄种子（≥3g）*1、萝卜种子（≥10g）*1、生菜种子（≥</w:t>
            </w:r>
            <w:r>
              <w:rPr>
                <w:rFonts w:hint="eastAsia" w:ascii="宋体" w:hAnsi="宋体" w:cs="宋体"/>
                <w:szCs w:val="21"/>
                <w:lang w:bidi="ar"/>
              </w:rPr>
              <w:t xml:space="preserve">3g）*1、塑料营养钵*50、木柄园艺小铲*1、软袋式喷壶*1等实验材料配备不少于12组；</w:t>
              <w:br/>
              <w:t xml:space="preserve">3.本实验材料箱可完成不少于16个实验项目，可完成包括但不限于以下所例举的实验项目：显微镜下的生命世界1.搭建生命体的“积木”2.微小的生命体3.发霉与防霉4.微生物的“功”与“过”；仿生5.生物的启示6.蛋壳与拱形建筑7.海豚与声呐8.我们来仿生；地球的运动9.昼夜交替10.昼夜对植物的影响11.四季循环；简单机械12.撬重物的窍门13.拧螺丝的学问14.升旗的方法15.斜坡的启示；16.stem学习 立体小菜园。</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信息科技学习套装</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满足3-6年级信息科技教材教</w:t>
            </w:r>
            <w:r>
              <w:rPr>
                <w:rFonts w:hint="eastAsia" w:ascii="宋体" w:hAnsi="宋体" w:cs="宋体"/>
                <w:szCs w:val="21"/>
                <w:lang w:bidi="ar"/>
              </w:rPr>
              <w:t xml:space="preserve">学内容与实操，可完成开源硬件过程与控制、人工智能等应用，方便创意设计和搭建，产品具有精致外壳兼容塑料积木，适用教学可重复使用，具有丰富在线教学资源，帮助快速开展教学活动。</w:t>
              <w:br/>
              <w:t xml:space="preserve">1.主控</w:t>
              <w:br/>
              <w:t xml:space="preserve">(1)处理器：不低于双核处理器；</w:t>
              <w:br/>
              <w:t xml:space="preserve">(2)主频：≥240MH的时钟频率；</w:t>
              <w:br/>
              <w:t xml:space="preserve">(3)ROM：≥16MB；</w:t>
              <w:br/>
              <w:t xml:space="preserve">(4)SRAM：≥512KB；</w:t>
              <w:br/>
              <w:t xml:space="preserve">(5)Flash：≥8MB；</w:t>
              <w:br/>
              <w:t xml:space="preserve">(6)PSRAM：≥8MB；</w:t>
              <w:br/>
              <w:t xml:space="preserve">(7)外部存储：≥4GB内存卡；</w:t>
              <w:br/>
              <w:t xml:space="preserve">(8)Wi-Fi：802.11b/g/n最高150Mbps。</w:t>
              <w:br/>
              <w:t xml:space="preserve">2.内置传感器输入设备</w:t>
              <w:br/>
              <w:t xml:space="preserve">(1)摄像头模块：</w:t>
            </w:r>
            <w:r>
              <w:rPr>
                <w:rFonts w:hint="eastAsia" w:ascii="宋体" w:hAnsi="宋体" w:cs="宋体"/>
                <w:szCs w:val="21"/>
                <w:lang w:bidi="ar"/>
              </w:rPr>
              <w:t xml:space="preserve">CMOS传感器；摄像头像素：不小于200W，支持颜色识别等；</w:t>
              <w:br/>
              <w:t xml:space="preserve">(2)麦克风：支持音量大小监测，参考量程0-4095模拟值，支持语音识别；</w:t>
              <w:br/>
              <w:t xml:space="preserve">(3)光照传感器：光敏电阻；参考量程：0-4095模拟值；</w:t>
              <w:br/>
              <w:t xml:space="preserve">(4)温湿度传感器：电容、温敏电阻,参考量程：温度0-100摄氏度、湿度10-90%RH；参考测量精度：温度±0.2摄氏度、湿度±2%RH；</w:t>
              <w:br/>
              <w:t xml:space="preserve">(5)滑杆电位器：参考模拟信号，0-100；</w:t>
              <w:br/>
              <w:t xml:space="preserve">(6)RFID射频模块：读取范围0-1CM，数据传输速率424kbps，含不少于4张RFID卡，参考工作频率13.56MHz；</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7)按钮：按压式按键2个，A/B。</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3.内置执行器输出设备</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1)电机：≥2000转/分，支持正反转，参考额定功率0.05W，配软质厚海绵扇叶； (2)舵机：0-180度，角度误差：±10度，扭矩：1.5kg/cm；</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3)喇叭：≥8Ω1W，支持语音合成播报；</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(4)显示屏：≥2.8英寸全彩显示屏，分辨率≥240*320像素；</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(5)全彩LED灯珠：RGB全彩LED灯珠≥4个，亮度颜色可调。</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4.外接模块</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(1)水泵：功率≥0.4W；扬程≥30cm，含水管；</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(2)随光转动的电池板：单晶硅，光照输出功率≥0.3W；二自由度旋转平台，旋转角度0-180°；不少于4个光照传感器0-4095模拟量；</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(3)称重模块：应变片原理，量程≥2kg；测量精度≤1g，底部水平，上部有承重板；</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(4)土壤湿度传感器：电容式，量程：0%-100%RH；测量精度：≤1%RH。</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5.拓展接口</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(1)I2C接口：≥2个；</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(2)拓展IO口：≥4个（P0/P1/P15/P16）；</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(3)电机驱动口：≥1个（M1）。</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6.电源</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(1)电池：内置锂电池≥1000mAh；</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(2)开关机按键：≥1个；</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(3)电量指示灯：≥4个，亮灯数量与剩余电量成正比；</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(4)充电器：≥1个，≥5V1A电源适配器；</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(5)Type-C数据线：≥1条，长≥1米，供充电和上传程序。</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7.配套软件</w:t>
              <w:br w:type="textWrapping" w:clear="all"/>
              <w:t xml:space="preserve">(1)支持图形化拖拽式编程，并显示对应的源码，自定义图形化指令；</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(2)提供图表记录实验数据功能，支持多种格式的快速导入和导出；</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(3)支持虚拟角色和虚拟场景的构建及与硬件设备互动；</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(4)具有多种编程指令模块，能够添加声音、图像等多媒体元素；</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(5)兼容多个物联网模块，支持语音识别和图像识别的AI功能编程；</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(6)兼容多种硬件设备和操作系统，支持硬件和语法扩展；</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(7)支持在线保存和分享程序，兼容第三方插件扩展功能，并提供云端资源。</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8.配件</w:t>
              <w:br w:type="textWrapping" w:clear="all"/>
              <w:t xml:space="preserve">(1)4Pin连接线：≥3条。</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9.收纳盒</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(1)材质：PP（原生非回收材料）；</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(2)样式：盒身透明，有盖，可多层堆叠摆放；</w:t>
            </w:r>
            <w:r/>
          </w:p>
          <w:p>
            <w:pPr>
              <w:pStyle w:val="658"/>
              <w:jc w:val="left"/>
              <w:widowControl/>
              <w:rPr>
                <w:rFonts w:hint="eastAsia" w:ascii="宋体" w:hAnsi="宋体" w:cs="宋体"/>
                <w:szCs w:val="21"/>
              </w:rPr>
            </w:pPr>
            <w:r>
              <w:rPr>
                <w:rFonts w:hint="eastAsia" w:ascii="宋体" w:hAnsi="宋体" w:cs="宋体"/>
                <w:szCs w:val="21"/>
                <w:lang w:bidi="ar"/>
              </w:rPr>
              <w:t xml:space="preserve">(3)数量：外全套设备收纳盒≥1个，参考尺寸≥42*29.5*9cm；内部配件收纳盒≥2个。</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智慧教室实验教学终端</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智慧教室实验教学终端能面向数字化探究实验场景，适配中小学实验室教学使用，具备通用移动教学终端与数字化实验拓展功能，支持实验教学、创客软件编辑等。</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1.运行内存（RAM）≥12GB，存储≥256GB；</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2.显示屏：≥12英寸IPS全贴合触控屏，分辨率≥2560*1600；支持≥10点电容触控，支持手写笔输入；色域≥100% sRGB，刷新率≥60Hz；</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3.无线通讯：IEEE802.11 a/b/g/n/ac 双频 wifi；蓝牙5.0及以上；</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4.接口：至少配备1个全功能Type-C接口，支持PD充电、视频输出、OTG扩展；</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5.音视频：内置双扬声器、内置拾音麦克风；前置摄像头≥200W，后置摄像头≥500W；</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6.续航：本地文档连续教学使用≥5小时，支持PD快充；</w:t>
            </w:r>
            <w:r/>
          </w:p>
          <w:p>
            <w:pPr>
              <w:pStyle w:val="658"/>
              <w:jc w:val="left"/>
              <w:widowControl/>
              <w:rPr>
                <w:rFonts w:hint="eastAsia" w:ascii="宋体" w:hAnsi="宋体" w:cs="宋体"/>
                <w:szCs w:val="21"/>
              </w:rPr>
            </w:pPr>
            <w:r>
              <w:rPr>
                <w:rFonts w:hint="eastAsia" w:ascii="宋体" w:hAnsi="宋体" w:cs="宋体"/>
                <w:szCs w:val="21"/>
                <w:lang w:bidi="ar"/>
              </w:rPr>
              <w:t xml:space="preserve">7.配备磁吸键盘、书写笔等方便教学。</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841"/>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音视频采集器</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1.图像传感器：≥200万像素CMOS传感器；</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2.视频分辨率：支持不小于1080P@30fps、720P@30fps输出；</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3.镜头：固定焦距；对角线视场角≥58°；搭载不少于4片式抗反射光学镜头；内置RightLight 2 智能光线优化技术，弱光、逆光环境自动调节画面亮度；</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4.隐私防护：一体化滑动式物理隐私镜头盖，无需额外配件；</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5.音频：内置全向拾音麦克风，满足单人视频通话拾音需求；</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6.接口：USB-A有线即插即用，免驱UVC协议；标配线缆长度≥1.5米；</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7.安装结构：自带多功能折叠夹，支持显示器、笔记本屏幕夹持安装；</w:t>
            </w:r>
            <w:r/>
          </w:p>
          <w:p>
            <w:pPr>
              <w:pStyle w:val="658"/>
              <w:jc w:val="left"/>
              <w:widowControl/>
              <w:rPr>
                <w:rFonts w:hint="eastAsia" w:ascii="宋体" w:hAnsi="宋体" w:cs="宋体"/>
                <w:szCs w:val="21"/>
              </w:rPr>
            </w:pPr>
            <w:r>
              <w:rPr>
                <w:rFonts w:hint="eastAsia" w:ascii="宋体" w:hAnsi="宋体" w:cs="宋体"/>
                <w:szCs w:val="21"/>
                <w:lang w:bidi="ar"/>
              </w:rPr>
              <w:t xml:space="preserve">8.系统兼容：兼容腾讯会议、钉钉等主流视频会议软件。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远程教学摄像头</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1.图像传感器：有效像素≥238万；</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2.光学镜头：支持≥20倍光学变焦，支持≥8倍数字变焦，焦距f=5.5mm～110mm，水平视场角54.8°～3.59°；</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3.视频规格：支持≥1080P@60/50/30/25fps，≥720P高清输出；</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4.云台转动：水平旋转范围±175°（350°），垂直旋转范围-35°～+55°；云台速度支持0.1°/s～100°/s可调；</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5.音视频输出接口：同时具备USB3.0、HDMI双输出接口；带RS232、RS485控制接口，DC12V电源接口；</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6.控制协议：支持VISCA、PELCO-D、PELCO-P协议，兼容第三方控制键盘，红外遥控器支持≥9个预置位；</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7.图像优化：自动对焦、自动曝光、自动白平衡；支持 2D/3D 数字降噪、背光补偿；最低照度≤0.1Lux，信噪比≥50dB；</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8.编码：支持YUY2、MJPG、H.264、H.265；</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9.兼容性：UVC免驱协议，适配Windows、macOS及国产主流系统；兼容腾讯会议、钉钉等主流视频会议软件；</w:t>
            </w:r>
            <w:r/>
          </w:p>
          <w:p>
            <w:pPr>
              <w:pStyle w:val="658"/>
              <w:jc w:val="left"/>
              <w:widowControl/>
              <w:rPr>
                <w:rFonts w:hint="eastAsia" w:ascii="宋体" w:hAnsi="宋体" w:cs="宋体"/>
                <w:szCs w:val="21"/>
              </w:rPr>
            </w:pPr>
            <w:r>
              <w:rPr>
                <w:rFonts w:hint="eastAsia" w:ascii="宋体" w:hAnsi="宋体" w:cs="宋体"/>
                <w:szCs w:val="21"/>
                <w:lang w:bidi="ar"/>
              </w:rPr>
              <w:t xml:space="preserve">10.安装方式：支持桌面摆放、壁挂、吸顶安装。</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无线图传</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1.传输方案：SDR软件定义无线电+Wi-Fi双制式并发传输，支持无感自动跳频；</w:t>
              <w:br w:type="textWrapping" w:clear="all"/>
              <w:t xml:space="preserve">2.无线频段：支持2.4GHz、5.8GHz、DFS多频段自动切换，信道干扰自动优选；</w:t>
              <w:br w:type="textWrapping" w:clear="all"/>
              <w:t xml:space="preserve">3.视频传输规格：最高支持1080P 60fps，最大传输码率≥20Mbps；端到端最低延迟≤35ms；</w:t>
              <w:br w:type="textWrapping" w:clear="all"/>
              <w:t xml:space="preserve">4.传输距离：开阔环境最远传输距离≥3km；具备良好穿墙抗干扰能力；</w:t>
              <w:br w:type="textWrapping" w:clear="all"/>
              <w:t xml:space="preserve">5.发射器输入接口：HDMI输入、SDI输入,常规3.5mm双向对讲音频接口,双USB-C接口（支持供电、固件升级）；</w:t>
              <w:br w:type="textWrapping" w:clear="all"/>
              <w:t xml:space="preserve">6.</w:t>
            </w:r>
            <w:r>
              <w:rPr>
                <w:rFonts w:hint="eastAsia" w:ascii="宋体" w:hAnsi="宋体" w:cs="宋体"/>
                <w:szCs w:val="21"/>
                <w:lang w:bidi="ar"/>
              </w:rPr>
              <w:t xml:space="preserve">接收器输出接口：USB-C视频输出，支持直连平板/手机监看；USB-C供电与升级；</w:t>
              <w:br/>
              <w:t xml:space="preserve">7.工作模式：支持广播模式，一台发射器可连接不限数量接收器；支持Wi-Fi直连手机/平板监看；</w:t>
              <w:br/>
              <w:t xml:space="preserve">8.供电方式：支持USB PD供电、NP F系列锂电池供电；</w:t>
              <w:br/>
              <w:t xml:space="preserve">9.机身规格：单台发射器，可折叠天线，便携轻量化设计，标配相机快装转接支架；</w:t>
              <w:br/>
              <w:t xml:space="preserve">10.软件功能：配套APP，支持LUT加载、峰值对焦、示波器、假色等专业监看辅助工具，支持云台远程控制、相机参数调控；</w:t>
              <w:br/>
              <w:t xml:space="preserve">11.音频：支持HDMI/SDI内嵌音频传输，支持收发端一对一实时对讲。</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无线麦克风</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全指向麦克风，≥2个发射器和≥1个接收器，最大声压级120dB SPL@1% THD，等效噪声≤24dBA，监听接口输出功率最大输出功率：≤20mW@1 kHz,≤32Ω，信噪比≤70dB、采样频率≤48kHz、采样深度≤24-bit。</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手持云台</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1.追踪模块套装包含云台+内置三脚架+磁吸夹，支持无线模式不低于蓝牙5.3；</w:t>
              <w:br w:type="textWrapping" w:clear="all"/>
              <w:t xml:space="preserve">2.控制转动参考角度：平移：360°无限位，横滚：-67°至245°，俯仰：-20°至40°。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无线手写板</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1.产品类型：无源电磁感应数位板，手写笔无需内置电池、无需充电；</w:t>
              <w:br w:type="textWrapping" w:clear="all"/>
              <w:t xml:space="preserve">2.有效绘图区域：电脑模式有效区域不小于200*125mm；支持移动端比例自适应；</w:t>
              <w:br w:type="textWrapping" w:clear="all"/>
              <w:t xml:space="preserve">3.书写性能：压力感应等级≥16384 级；支持笔触倾斜识别；分辨率≥5080</w:t>
            </w:r>
            <w:r>
              <w:rPr>
                <w:rFonts w:hint="eastAsia" w:ascii="宋体" w:hAnsi="宋体" w:cs="宋体"/>
                <w:szCs w:val="21"/>
                <w:lang w:bidi="ar"/>
              </w:rPr>
              <w:t xml:space="preserve">LPI；信号读取速率≥300pps；悬空感应高度≥10mm；</w:t>
              <w:br/>
              <w:t xml:space="preserve">4.通讯模式：支持蓝牙5.0及以上无线连接+Type-C有线双模式，无线稳定传输距离≥5米；</w:t>
              <w:br/>
              <w:t xml:space="preserve">5.操作部件：自带不少于6枚自定义快捷键+多功能控制滚轮，所有按键支持驱动自定义；</w:t>
              <w:br/>
              <w:t xml:space="preserve">6.机身设计：轻薄机身，厚度≤8mm；内置锂电池，持续工作续航≥15小时，具备自动休眠功能；</w:t>
              <w:br/>
              <w:t xml:space="preserve">7.系统兼容：兼容Windows、macOS、Android/鸿蒙等主流系统；支持主流绘图软件、办公批注、线上教学手写授课；</w:t>
              <w:br/>
              <w:t xml:space="preserve">8.交付配件：配套原厂无源电磁笔、数据线、备用笔尖。</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件</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电工工具箱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符合相关国家安全标准。专用工具箱不少于40件套，含≥24种必备常用工具，工具箱内定点定位双折双开，规格尺寸：≥525*400*95mm，方便使用和管理。工具包括：芝麻柄螺丝刀6把，含3*150mm，5*75mm，6*100mm十字一字各1把，≥5米PVC电工胶带1卷，氖泡测电笔1支，桶装焊锡丝1卷，铝塑吸锡器1把,≥6寸虎皮</w:t>
            </w:r>
            <w:r>
              <w:rPr>
                <w:rFonts w:hint="eastAsia" w:ascii="宋体" w:hAnsi="宋体" w:cs="宋体"/>
                <w:szCs w:val="21"/>
                <w:lang w:bidi="ar"/>
              </w:rPr>
              <w:t xml:space="preserve">柄钢丝钳1把，≥6寸虎皮柄斜嘴钳1把，≥6寸虎皮柄尖嘴钳1把，≥5米钢卷尺1把，≥7寸电子剪1把，铸铁稳固型烙铁架1套，≥350g纤维柄羊角锤1把，≥8寸沾塑柄活口扳手1把，≥40w外热式电烙铁1把，钟表批1套6把，示波仪一件、三目镜2付、≥130*65*22mm透明多格元件盒1个，830B数字万用表1套，≥6寸迷你小钢锯1把，≥6寸6档剥线钳1把，≥1.5-5mm内六角扳手5支，≥180mm包胶美工刀1把，≥25mm细软尼龙毛刷1把，防静电涂层不锈钢镊子3把，含尖头、圆头、弯头各1把等，合计不低于40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木工工具箱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专用配套工具箱不少于20件套，含≥18种必备常用工具，方便使用和</w:t>
            </w:r>
            <w:r>
              <w:rPr>
                <w:rFonts w:hint="eastAsia" w:ascii="宋体" w:hAnsi="宋体" w:cs="宋体"/>
                <w:szCs w:val="21"/>
                <w:lang w:bidi="ar"/>
              </w:rPr>
              <w:t xml:space="preserve">管理。工具包括：木工凿子，1把，3/4"；美工刀，1把，包胶；木工锉，1把，8"半圆；剪刀，1把，多用；羊角锤，1把，≥0.5KG木柄；鸟刨，1把；手推刨，1把；钢角尺，1把，≥300mm；螺丝刀，1把，6*125+-铬钒钢，芝麻柄；老虎钳，1把，8"黄黑双色柄；卷尺，1把，≥3m*12.5mm；G形夹，1把，3"；有机玻璃钩刀，1把，钩刀带两把刀片；木工鸡尾锯，1把，锰钢三面齿，磨齿锯；木工铅笔，1支；小水平尺，1把，S93型，塑料，三水泡，45°、90°、180°；墨斗，1个，新型迷你墨斗；磨刀石一块。</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金工工具箱</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不少于60件套，采用中空吹塑工具箱包装，工具定位存放，内含8、10、12、14mm两用扳手各1把，双色防滑胶柄3*140mm什锦锉6支，≥12寸加厚钢锯弓1把，胶柄样冲1</w:t>
            </w:r>
            <w:r>
              <w:rPr>
                <w:rFonts w:hint="eastAsia" w:ascii="宋体" w:hAnsi="宋体" w:cs="宋体"/>
                <w:szCs w:val="21"/>
                <w:lang w:bidi="ar"/>
              </w:rPr>
              <w:t xml:space="preserve">支，≥8寸锻打钢丝钳1把，≥3米钢卷尺1把，≥8寸钳工锉4把（扁、半圆、圆形、三角形各1把），8-9-10mm加长三叉套筒扳手1把，镀铬钢丝辐条扳手1把，≥8寸美式铁皮剪1把，30cm不锈钢直尺1把，1.5-10mm加长球头内六角扳手9支，M6-M12丝锥板牙套装12件，≥1磅锻打木柄圆头锤1把，≥180mm划线规1把，≥300g锻打木柄钳工锤1把，6行木柄铜丝刷1把，3寸、4寸螺丝刀十字、一字各2把，≥6寸尖嘴钳1把，≥150mm划针1支，≥8寸沾塑柄活扳手1把，备用钢锯条4支，45度不锈钢直角尺1把等。</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工具墙</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根据展示区域定制工具墙体（尺寸：≥3500*1000mm）。 墙板采用加厚优质冷轧钢，抗磨、耐压、不变形，一体成型工艺，静电粉末喷漆工艺，多色可选，标准方孔孔径≥10*10mm，多色挂片≥4套、扳手架≥1个、单斜挂钩六个尺寸各≥1个、螺丝刀架≥1个、圆形挂钩三个尺寸各≥1个、U型挂钩三个尺寸各≥1个、套筒挂钩≥3个、杆件托架≥1个、零件盒≥4个。</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工作台</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1.工作台：防静电实训桌，≥1500*750*800mm；</w:t>
              <w:br w:type="textWrapping" w:clear="all"/>
              <w:t xml:space="preserve">2.台面：采用榉木实木，厚度≥40mm；</w:t>
              <w:br w:type="textWrapping" w:clear="all"/>
              <w:t xml:space="preserve">3.配电：桌面≥220V 插座、±5V/±12V直流输出；</w:t>
              <w:br w:type="textWrapping" w:clear="all"/>
              <w:t xml:space="preserve">4.配件：至少包含吸锡器、工具组、元件盒、焊锡丝；</w:t>
              <w:br w:type="textWrapping" w:clear="all"/>
              <w:t xml:space="preserve">5.其他：学生用电子维修高级焊工台，≥80W无铅防静电数显恒温；输入≥AC220V/50Hz，控温范围150℃～480℃，PID恒温精度±2℃；低压隔离发热、自动休眠、过热/短路/漏电保护；烙铁头≥3支；适合中小学电子实训与维修教学。</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r>
      <w:tr>
        <w:trPr>
          <w:trHeight w:val="9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移动讲台</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1.整体设计符合人机工程学；</w:t>
              <w:br w:type="textWrapping" w:clear="all"/>
              <w:t xml:space="preserve">2.讲台可移动，可升降，规格为长≥750mm、宽≥580mm、升降高度690-1080mm；</w:t>
              <w:br w:type="textWrapping" w:clear="all"/>
              <w:t xml:space="preserve">▲3.桌面及logo板基材：采用优质刨花板符合GB/T4897-2015、GB/T17657-2022、GB/T39600-2021、GB/T35</w:t>
            </w:r>
            <w:r>
              <w:rPr>
                <w:rFonts w:hint="eastAsia" w:ascii="宋体" w:hAnsi="宋体" w:cs="宋体"/>
                <w:szCs w:val="21"/>
                <w:lang w:bidi="ar"/>
              </w:rPr>
              <w:t xml:space="preserve">601-2024标准，外观质量符合要求，密度≥0.70g/cm³；含水率≤10%；静曲强度≥20MPa，弹性模量≥3000MPa，表面胶合强度≥1.50MPa；内胶合强度≥0.60MPa，2h 吸水厚度膨胀率≤5%，握螺钉力（板面≥1500N，板边≥900N）；甲醛释放量≤0.025mg/m³；总挥发性有机化合物(TVOC)的释放率≤0.10mg/㎡·h；五氯苯酚未检出；总半挥发性有机化合物(TSVOC)未检出；（提供国家认可的检测机构出具的检测报告复印件并加盖响应供应商公章）</w:t>
              <w:br/>
              <w:t xml:space="preserve">4.多媒体讲台架体采用优质冷</w:t>
            </w:r>
            <w:r>
              <w:rPr>
                <w:rFonts w:hint="eastAsia" w:ascii="宋体" w:hAnsi="宋体" w:cs="宋体"/>
                <w:szCs w:val="21"/>
                <w:lang w:bidi="ar"/>
              </w:rPr>
              <w:t xml:space="preserve">轧钢板，无接缝，边缘及拐角均采用圆弧设计，确保学生安全，耐冲击性强，防盗性能优越；</w:t>
              <w:br/>
              <w:t xml:space="preserve">5.万向脚轮：符合QB/T 4765-2014、SN/T 3814-2014、SN/T 2249-2023标准；外观：脚轮的轮面应光洁，不应有裂纹、伤痕、毛边等缺陷；金属件的表面应光滑平整，应无锈蚀、毛刺刃口、露底等缺陷；装配：转动零部件应转动灵活，应无卡滞及松脱现象；脚轮零部件之间应装配牢固，轮轴不应随车轮转动；抗冲击性符合要求；滚动阻力符合要求；旋转阻力符合要求；静载荷符合要求；短链氯化石蜡未检出；34种增塑剂均未检出。</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张</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多色3D打印机及套件</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1.采用双独立喷头FDM成型工艺，配置至少六色自动换料供料模组，可实现多色一体成型，支持水溶性支撑耗材自动出料成型，无需后期上色处理；</w:t>
              <w:br w:type="textWrapping" w:clear="all"/>
              <w:t xml:space="preserve">2.成型有效打印区域综合尺寸</w:t>
            </w:r>
            <w:r>
              <w:rPr>
                <w:rFonts w:hint="eastAsia" w:ascii="宋体" w:hAnsi="宋体" w:cs="宋体"/>
                <w:szCs w:val="21"/>
                <w:lang w:bidi="ar"/>
              </w:rPr>
              <w:t xml:space="preserve">不小于300mm*320mm*320mm，可完成大尺寸模型加工，双喷头能够独立作业或同步打印提升制作效率；</w:t>
              <w:br/>
              <w:t xml:space="preserve">3.喷嘴最高耐受温度≥350℃，热床最高温度≥120℃，腔体具备主动恒温控温功能，适配PLA、ABS、尼龙、碳纤维耗材、柔性耗材等多种材料打印；</w:t>
              <w:br/>
              <w:t xml:space="preserve">4.配备多款规格硬化不锈钢耐磨喷嘴，规格覆盖0.2mm、0.4mm、0.6mm，最小打印层厚≤0.05mm，兼顾精细造型与快速打印两种需求；</w:t>
              <w:br/>
              <w:t xml:space="preserve">5.XY轴定位精度≤0.01mm，Z轴定位精度≤0.0025mm，设备开机可自动完成调平、校准挤出量，无需人工手动调</w:t>
            </w:r>
            <w:r>
              <w:rPr>
                <w:rFonts w:hint="eastAsia" w:ascii="宋体" w:hAnsi="宋体" w:cs="宋体"/>
                <w:szCs w:val="21"/>
                <w:lang w:bidi="ar"/>
              </w:rPr>
              <w:t xml:space="preserve">平操作；</w:t>
              <w:br/>
              <w:t xml:space="preserve">6.整机封闭式舱体结构，搭载三级空气净化装置，集成滤网与活性炭滤芯，可吸附打印产生的异味与颗粒物，适合室内教室、实验室环境使用；</w:t>
              <w:br/>
              <w:t xml:space="preserve">7.具备断料检测、断电解续打印、舱门开盖停机、高温过载断电保护、物理急停等多重安全防护机制，运行安全性高；</w:t>
              <w:br/>
              <w:t xml:space="preserve">8.支持触控本地操作、U盘脱机打印、手机及电脑远程联机多种操控方式，内置存储空间，支持局域网离线运行，无外网也可完整使用全部功能；</w:t>
              <w:br/>
              <w:t xml:space="preserve">9.配套专业切片软件，兼容STL、3MF、OBJ、Gcode 等通用格式文件，可自动生成支撑、智能配色，兼容市面主流第三方切片软件。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3D打印标准耗材</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PLA材质，≥1.75mm，≥1kg/盒，颜色多种可选。</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3D打印打磨抛光工具</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1.手持电磨/雕刻笔（微型）</w:t>
              <w:br w:type="textWrapping" w:clear="all"/>
              <w:t xml:space="preserve">电压/功率：12V/24V，60–200W,转速：5,000–35,000rpm（可调）,夹头：2.35mm/3.2mm；</w:t>
              <w:br w:type="textWrapping" w:clear="all"/>
              <w:t xml:space="preserve">常用配件：砂圈：80#–1200#，金</w:t>
            </w:r>
            <w:r>
              <w:rPr>
                <w:rFonts w:hint="eastAsia" w:ascii="宋体" w:hAnsi="宋体" w:cs="宋体"/>
                <w:szCs w:val="21"/>
                <w:lang w:bidi="ar"/>
              </w:rPr>
              <w:t xml:space="preserve">刚石磨头：3mm/6mm，80#–400#，布轮/羊毛轮：直径20–50mm。</w:t>
              <w:br/>
              <w:t xml:space="preserve">2.角磨机（大面积/金属）</w:t>
              <w:br/>
              <w:t xml:space="preserve">功率：500–1200W，转速：6,000–12,000rpm；</w:t>
              <w:br/>
              <w:t xml:space="preserve">磨片：砂轮片：40#–120#（粗磨），百叶轮：80#–400#（中磨），抛光轮：羊毛/布轮+抛光膏。</w:t>
              <w:br/>
              <w:t xml:space="preserve">3.手持砂光机（平板/曲面）</w:t>
              <w:br/>
              <w:t xml:space="preserve">功率：200–400W,转速/振荡：10,000–20,000opm；</w:t>
              <w:br/>
              <w:t xml:space="preserve">砂纸尺寸：90*187mm/114*228mm；</w:t>
              <w:br/>
              <w:t xml:space="preserve">推荐转速：PLA/ABS≤6000rpm，防熔化；金属8000–12000rpm。</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桌面式激光切割机</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1.双光源兼容加工系统：采用CO₂激光+红外激光双光模块化设计，可搭载红外激光头组件，支持双模式切换加工；设备兼容加工多种材质，可满足各类非金属及复合材质的雕刻、切割、打标等多元化工艺作业需求。</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2.高稳定性飞行光路系统：采用专用光路结构，飞行光路稳定性指标不小于99.3%；设备整机运输、移位、更换激光管后无需专业调光校准，光路一致性高，工况稳定，长期作业无精度偏移问题。</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3.独立脱机智能控制系统：配置≥5英寸高清触控显示屏幕，搭载嵌入式独立控制系统，支持脱机自主运行，无需外接计算机即可完成参数设置、设备调试、程序运行等全流程操作。</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4.全维度安全防护结构设计：采用全封闭式机身结构，激光安全等级符合相关安全标准。设备至少支持四重安全防护机制：设备安全锁、智能火灾检测、开门急停保护、机身倾倒检测等，全方位保障设备运行及人员操作安全。设备盖板采用高强度抗压PC工程材质，整机结构强度高。</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5.额定激光功率及加工性能：设备额定输出功率不小于50W，激光输出稳定、功率充足；可适配全色系亚克力材料加工，可实现单次贯通切割不下于12mm厚度亚克力板材、不下于13mm厚度实木板材。</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6.智能自动对焦功能：设备需搭载全自动对焦系统，满足自动识别加工工作面并完成焦距校准，无需人工手动调焦，满足每批次加工焦距统一、精度稳定，降低操作门槛。</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7.大画幅高速加工配置：设备有效加工幅面≥500mm×300mm，能够满足大件工件及多工件同步加工需求；设备最大运行加工速度≥46000mm/min。</w:t>
            </w:r>
            <w:r/>
          </w:p>
          <w:p>
            <w:pPr>
              <w:pStyle w:val="658"/>
              <w:jc w:val="left"/>
              <w:widowControl/>
              <w:rPr>
                <w:rFonts w:hint="eastAsia" w:ascii="宋体" w:hAnsi="宋体" w:cs="宋体"/>
                <w:szCs w:val="21"/>
              </w:rPr>
            </w:pPr>
            <w:r>
              <w:rPr>
                <w:rFonts w:hint="eastAsia" w:ascii="宋体" w:hAnsi="宋体" w:cs="宋体"/>
                <w:szCs w:val="21"/>
                <w:lang w:bidi="ar"/>
              </w:rPr>
              <w:t xml:space="preserve">8.多拓展配件适配系统：设备至少另需配置自动升降增高工作台，旋转组件、蜂窝板等。</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25</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耗材1</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椴木板尺寸：≥3*210*300mm,≥25件。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26</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耗材2</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椴木板尺寸：≥5*210*300mm,≥10件。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耗材3</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奥松板尺寸：≥3*210*300mm,≥25件。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28</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耗材4</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奥松板尺寸：≥5*210*300mm,≥10件。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29</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耗材5</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牛皮纸尺寸：≥0.5*210*297mm,≥20件。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耗材6</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瓦楞纸尺寸：≥3*200*300mm,≥30件。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耗材7</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瓦楞纸尺寸：≥6*200*300mm,≥10件。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耗材8</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榉木板尺寸：≥3*100*200mm,≥4件。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567"/>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耗材9</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透明亚克力尺寸：≥3*200*275mm,≥4件。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烟雾净化器</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配套激光切割机智能烟雾净化系统：烟雾净化随加工控制，滤芯寿命预警。</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烟雾净化器配套滤芯</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采用三大层滤网结构</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1.初效滤芯：材质为纤维无纺布过滤棉+布织布+pp无纺布，满足吸附拦截大颗粒物；</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2.中效滤芯：材质：F8玻纤料，满足吸附0.3微米以上的烟尘；</w:t>
            </w:r>
            <w:r/>
          </w:p>
          <w:p>
            <w:pPr>
              <w:pStyle w:val="658"/>
              <w:jc w:val="left"/>
              <w:widowControl/>
              <w:rPr>
                <w:rFonts w:hint="eastAsia" w:ascii="宋体" w:hAnsi="宋体" w:cs="宋体"/>
                <w:szCs w:val="21"/>
              </w:rPr>
            </w:pPr>
            <w:r>
              <w:rPr>
                <w:rFonts w:hint="eastAsia" w:ascii="宋体" w:hAnsi="宋体" w:cs="宋体"/>
                <w:szCs w:val="21"/>
                <w:lang w:bidi="ar"/>
              </w:rPr>
              <w:t xml:space="preserve">3.高效滤芯：复合活性炭，高效吸附，去除异味。</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工具包</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至少包含：电源线、USB线、航空接口线、精美护目镜、排烟管*2、金属卡箍*3、拐头扳手*4、螺丝刀、酒精棉棒、油瓶及滴管、无尘擦拭布*3、美纹纸胶带、毛刷、强磁铁*4、U盘、斜口钳、备用件等。</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825"/>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37</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热熔枪</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防漏电、防过热保护型热胶枪头，枪身采用高级工程塑胶、采用高科技电子陶瓷PTC快速升温、宽电压设计100-240v、枪头带隔热装置。</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AI互动教学显示终端</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1.整机屏幕需采用UHD超高清A规LED液晶屏，屏幕显示尺寸≥86英寸，显示比例16:9，屏幕图像分辨率≥3840*2160；</w:t>
              <w:br w:type="textWrapping" w:clear="all"/>
              <w:t xml:space="preserve">2.液晶显示层与钢化玻璃层需采用零贴合或全贴合设计；</w:t>
              <w:br w:type="textWrapping" w:clear="all"/>
              <w:t xml:space="preserve">3.整体外观尺寸：宽≥4200mm，高≥1200mm，厚≤100mm；</w:t>
              <w:br w:type="textWrapping" w:clear="all"/>
              <w:t xml:space="preserve">4.整机需采用内置摄像头、麦克风，需支持无需外接线材连接和任何可见外接线材及模块化拼接痕迹</w:t>
            </w:r>
            <w:r>
              <w:rPr>
                <w:rFonts w:hint="eastAsia" w:ascii="宋体" w:hAnsi="宋体" w:cs="宋体"/>
                <w:szCs w:val="21"/>
                <w:lang w:bidi="ar"/>
              </w:rPr>
              <w:t xml:space="preserve">，不占用整机外部设备接口。需采用电容触控技术，触控方式需支持手指或书写笔等非透明物体，支持多点触摸；</w:t>
              <w:br/>
              <w:t xml:space="preserve">▲5.为适配教学外接各类设备需求，规避转接带来的兼容性故障，保障课堂设备连接稳定性。整机需支持前置物理接口不少于5个，所有接口均采用非转接方式，包含1路HDMI接口、2路双通道USB3.0接口(Windows和整机系统均能被识别）、1路Type-C接口、1路USB-Type-B接口（Touch接口支持触摸功能）；（提供国家认可的检测机构出具的检测报告复印件或功能截图并加盖响应供应商公章）</w:t>
              <w:br/>
              <w:t xml:space="preserve">6.整机后置物理接</w:t>
            </w:r>
            <w:r>
              <w:rPr>
                <w:rFonts w:hint="eastAsia" w:ascii="宋体" w:hAnsi="宋体" w:cs="宋体"/>
                <w:szCs w:val="21"/>
                <w:lang w:bidi="ar"/>
              </w:rPr>
              <w:t xml:space="preserve">口需不少于10个，包含≥2路HDMI2.0、≥2路USB2.0、≥1路RS232、≥1路RJ45、≥1路TOUCH  USB(触控输出接口)、≥1路MIC in3.5mm、≥1路LINE out 3.5mm、≥1路HDMI OUT；</w:t>
              <w:br/>
              <w:t xml:space="preserve">7.整机需采用全金属外壳，铝合金边框，金属材质背板；屏幕边缘采用圆角包边防护，表面无尖锐边缘设计，对内部电路器件辐射有一定的屏蔽作用；</w:t>
              <w:br/>
              <w:t xml:space="preserve">8.整机自带安卓操作系统，系统版本≥安卓14，≥八核处理器，内存≥4GB，存储空间≥32GB；</w:t>
              <w:br/>
              <w:t xml:space="preserve">▲9.适配课堂教师双手授课场景，无需触碰触控大</w:t>
            </w:r>
            <w:r>
              <w:rPr>
                <w:rFonts w:hint="eastAsia" w:ascii="宋体" w:hAnsi="宋体" w:cs="宋体"/>
                <w:szCs w:val="21"/>
                <w:lang w:bidi="ar"/>
              </w:rPr>
              <w:t xml:space="preserve">屏即可完成设备操控，避免打断教学节奏，提升授课流畅性与课堂教学效率。产品须支持通过口语表达快速返回系统桌面、选人和打开白板、亮度调整、声音大小调整、打开资源库和课本、计时器、管家、AI 录课、上一页、下一页等不低于300条语音指令；（提供国家认可的检测机构出具的检测报告复印件或功能截图并加盖响应供应商公章）</w:t>
              <w:br/>
              <w:t xml:space="preserve">10.需支持AI自适应扩音优化、防啸叫算法能力；配套智能教学笔通过整机AI声场均衡和AI声场音效功能实现高质量扩音，减少前后排听感差异和自适应课堂空间场景音效，THD≤1%，啸叫距离≤20cm，根据语音</w:t>
            </w:r>
            <w:r>
              <w:rPr>
                <w:rFonts w:hint="eastAsia" w:ascii="宋体" w:hAnsi="宋体" w:cs="宋体"/>
                <w:szCs w:val="21"/>
                <w:lang w:bidi="ar"/>
              </w:rPr>
              <w:t xml:space="preserve">质量评估方法，扩音效果满足MOS≥3.5；</w:t>
              <w:br/>
              <w:t xml:space="preserve">11.整机需支持自定义音频设置功能，在左右声道平衡显示范围中进行更改，分贝显示-12dB~12dB 调节范围，中低频段显示调节范围120Hz~1.5KHz，高频段显示调节范围5KHz~10KHz；</w:t>
              <w:br/>
              <w:t xml:space="preserve">12.整机屏体需支持亮度≥350cd/m²，支持最大亮度≤400cd/m²，色彩覆盖率≥85%NTSC，对比度≥4000：1；</w:t>
              <w:br/>
              <w:t xml:space="preserve">13.整机屏体需支持最大可视角度≥178°（H）/178°（V）；</w:t>
              <w:br/>
              <w:t xml:space="preserve">14.整机屏幕需采用全物理钢化玻璃，表面硬度≥9H、莫氏≥7级；</w:t>
              <w:br/>
              <w:t xml:space="preserve">15.需</w:t>
            </w:r>
            <w:r>
              <w:rPr>
                <w:rFonts w:hint="eastAsia" w:ascii="宋体" w:hAnsi="宋体" w:cs="宋体"/>
                <w:szCs w:val="21"/>
                <w:lang w:bidi="ar"/>
              </w:rPr>
              <w:t xml:space="preserve">支持含电源开关、音量+/-、护眼、主页、录课，支持全局自定义按键，可通过自定义设置实现前置面板功能按键一键启用小工具或快捷功能（主页，截屏，倒计时，屏幕下移，日历，白板，计算器，聚光灯，投票器，自动亮度，触摸锁，音量，录课）；</w:t>
              <w:br/>
              <w:t xml:space="preserve">16.摄像头需具备下倾设计，下倾角度≥10°，拍摄画面全面；</w:t>
              <w:br/>
              <w:t xml:space="preserve">17.整机设备副屏板面材质需采用彩钢板或优质烤漆板，底板采用镀锌钢板。副屏板面夹层材质采用铝蜂窝材质，漆膜硬度≥9H或采用高密度、高强度吸音泡沫板，厚度≥14mm；</w:t>
              <w:br/>
              <w:t xml:space="preserve">18.内置模块化OPS，内存≥8GB，存储≥256GB。</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39</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智能教学系统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1.内置教学资源，满足教师备授课使用；</w:t>
              <w:br w:type="textWrapping" w:clear="all"/>
              <w:t xml:space="preserve">2.教学系统需支持一键开机后即刻进入教学应用系统界面，无需额外点击操作运行应用系统；支持教师通过二维码扫码、账号密码输入、智能笔自动登录等式进入教学应用系统；</w:t>
              <w:br w:type="textWrapping" w:clear="all"/>
              <w:t xml:space="preserve">3.支持内置英语学科虚拟人，支持英语互动对话能力，包括展示虚拟人形象、对话互动、语音评测和语法纠错、翻译；</w:t>
              <w:br w:type="textWrapping" w:clear="all"/>
              <w:t xml:space="preserve">4.支持内置互动主题活动库，在开展室内课间活动、德育教学活动、健康运动场景下，需提供包括但不限于室内律动操、古诗词唱跳、红歌学习、眼保健操的互动主题活动，主题活动数量≥10个。</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领航杯B类竞赛机器人套装</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1.主控器≥1个：控制器技术要求：采用优质芯片，运行速度≥480MHz；≥3.2英寸 240*320 电容触摸屏幕，支持多点触摸，≥120MB空间存储程序和音频，支持播放MP3和WAV；≥2个可编程独立按键，≥8个RJ11传感器端口；≥8个RJ11马达端口且支持编码功能；</w:t>
            </w:r>
            <w:r>
              <w:rPr>
                <w:rFonts w:hint="eastAsia" w:ascii="宋体" w:hAnsi="宋体" w:cs="宋体"/>
                <w:szCs w:val="21"/>
                <w:lang w:bidi="ar"/>
              </w:rPr>
              <w:t xml:space="preserve">内置电池7.4V 2600mAh，支持5V-2A充电 / PD9V快充；支持蓝牙5.0 ble+wifi；内置麦克风，内置蜂鸣器；</w:t>
              <w:br/>
              <w:t xml:space="preserve">2.电子部件：</w:t>
              <w:br/>
              <w:t xml:space="preserve">AI视觉模块≥1个：支持Linux系统，摄像头≥200W像素，角度90°；显示屏≥2.4英寸，分辨率≥480*640，支持多点触摸电容屏，支持TF卡座，带≥32GB TF卡；≥物理按键2个；内置网卡，支持wifi 6 2.4G+5G双频，支持蓝牙5.4，支持TPYE-C USB2.0，用于调试程序和数据传输及供电，内置6轴陀螺仪循迹卡2个："七路黑白线检测，智能</w:t>
            </w:r>
            <w:r>
              <w:rPr>
                <w:rFonts w:hint="eastAsia" w:ascii="宋体" w:hAnsi="宋体" w:cs="宋体"/>
                <w:szCs w:val="21"/>
                <w:lang w:bidi="ar"/>
              </w:rPr>
              <w:t xml:space="preserve">设定阈值，≥7种颜色自由切换。</w:t>
              <w:br/>
              <w:t xml:space="preserve">大型减速电机≥4个：标准RJ11接口；电压范围：6-8.4V(DC)，额定电压：≥7.4V；堵转扭矩：≥3.0kgf.cm，额定扭矩：≥0.75kgf.cm，编码精度：≤360/圈；</w:t>
              <w:br/>
              <w:t xml:space="preserve">7.4V任务减速电机≥3个：7.4V电压驱动。可做底盘驱动，也可做任务驱动，可与多种结构灵活链接；竞赛版积木数字舵机≥1个：标准RJ11接口；电压范围：5V-9V(DC)，工作角度：0-3599，定位精度：≤1，最大扭矩：≥8kgf.cm(AT：5V)；其它特征：高精度全金属齿轮组双滚珠轴承。其</w:t>
            </w:r>
            <w:r>
              <w:rPr>
                <w:rFonts w:hint="eastAsia" w:ascii="宋体" w:hAnsi="宋体" w:cs="宋体"/>
                <w:szCs w:val="21"/>
                <w:lang w:bidi="ar"/>
              </w:rPr>
              <w:t xml:space="preserve">余传感器≥2个碰触传感器 ；≥1个彩灯模块 ，≥3个光电模块，≥1个激光测距模块，≥1个姿态传感器。</w:t>
              <w:br/>
              <w:t xml:space="preserve">3.积木件结构件：孔距：标准的10毫米积木，无螺丝的搭建设计；（至少包括：梁类、齿轮、轴类 、实销类、虚销类、连接销、紧固件、面板、异形梁等）</w:t>
              <w:br/>
              <w:t xml:space="preserve">4.竞赛专用麦克纳姆轮：麦克纳姆轮-R型60mm≥2个，麦克纳姆轮-L型60mm≥2个；</w:t>
              <w:br/>
              <w:t xml:space="preserve">5.包装： 配有≥1个套装塑料箱和≥2个分类盒；</w:t>
              <w:br/>
              <w:t xml:space="preserve">6.其他要求：产品能搭建B类任务机器人，符合电教竞赛要求，符合领航杯“智达天工”比赛和江苏省青少年机器人竞赛超级轨迹赛项要求。</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9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套装配套软件</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1.机器人编程软件同时支持图形化编程</w:t>
            </w:r>
            <w:r>
              <w:rPr>
                <w:rFonts w:hint="eastAsia" w:ascii="宋体" w:hAnsi="宋体" w:cs="宋体"/>
                <w:szCs w:val="21"/>
                <w:lang w:bidi="ar"/>
              </w:rPr>
              <w:t xml:space="preserve">和代码编程方式；可以支持SCRATCH2.0和SCRATCH3.0编程方式；支持控制器通过内置蓝牙直接连接 SCRATCH 在线编程与下载，具备多任务编程方式；控制器支持多任务程序；支持手机/平板APP 的程序编写、遥控与Python文件程序下载并保存控制器磁盘中，且APP内可提供3D搭建图；控制器同时支持Python语言和C语言，支持直接运行.py文件与.bin文件；</w:t>
              <w:br/>
              <w:t xml:space="preserve">2.产品能搭建制作B类机器人，满足比赛要求；</w:t>
              <w:br/>
              <w:t xml:space="preserve">3.其余支持：支持手机遥控及2.4G遥控器，支持虚拟搭建，支持接入Deep Seek大模型。</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小学组场地道具</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满足B类机器人小学组竞赛场地及道具</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赛事无忧升级</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3年内包含1套B类机器人的竞赛升级、场地的升级。</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吹吸除尘机</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1.强力吹、吸两用除尘机；</w:t>
              <w:br w:type="textWrapping" w:clear="all"/>
              <w:t xml:space="preserve">2.功率：地面清洁1200–1500W（吸入功率≥180AW）；</w:t>
              <w:br w:type="textWrapping" w:clear="all"/>
              <w:t xml:space="preserve">3.噪音：≤65dB（保证课堂安静，避免干扰教学）；</w:t>
              <w:br w:type="textWrapping" w:clear="all"/>
              <w:t xml:space="preserve">4.容量：地面20–30L；桌面0.5–1L；</w:t>
              <w:br w:type="textWrapping" w:clear="all"/>
              <w:t xml:space="preserve">5.过滤：HEPA H13/H14（防粉尘扩散，适合过敏人群）。</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45</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灭火器</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手提二氧化碳灭火器，灭火剂充装量≥3kg；灭火类型B、C、E类，不具备A类灭火等级；灭火无残留无二次污染。</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具</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环境提升</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1.旧件拆除。拆除工会活动室、创客实验室部分墙体、剔除室内外墙面、原有柜体、灯具吊扇等，室内原有地面铲除、标线清理等。</w:t>
              <w:br w:type="textWrapping" w:clear="all"/>
              <w:t xml:space="preserve">2.环境提升（地面面积约140平，具体按实际计）</w:t>
              <w:br w:type="textWrapping" w:clear="all"/>
              <w:t xml:space="preserve">(1)墙面：所有墙面修补、墙固封固，批两遍耐水腻子打磨找平；面层采用内墙环保水性乳胶漆，哑光饰面，成品色泽均匀无色差、无流挂、刷痕、针孔、气泡、透底现象；</w:t>
              <w:br w:type="textWrapping" w:clear="all"/>
              <w:t xml:space="preserve">(2)顶面：轻钢龙骨镀锌吊杆骨架，顶面铺装方格格栅吊顶，四周做石膏板跌级造型（以校方确认为准）；配套吊装组合式LED艺术吊灯，板材接缝做防裂处理，全部材料阻燃</w:t>
            </w:r>
            <w:r>
              <w:rPr>
                <w:rFonts w:hint="eastAsia" w:ascii="宋体" w:hAnsi="宋体" w:cs="宋体"/>
                <w:szCs w:val="21"/>
                <w:lang w:bidi="ar"/>
              </w:rPr>
              <w:t xml:space="preserve">B1级，安装牢固平整；</w:t>
              <w:br/>
              <w:t xml:space="preserve">(3)地面：原地面打磨修补+水泥自流平找平，铺设环保多层复合PVC同质透心地胶，卷材接缝热熔焊接，配套同质PVC踢脚线收口；B1级阻燃、高耐磨防滑、E1级环保，铺设牢固无空鼓；</w:t>
              <w:br/>
              <w:t xml:space="preserve">(4)窗边：教室部分加装定制文化窗帘。面料等材质均符合室内纺织品环保要求，甲醛含量达标，室内安装无异味；</w:t>
              <w:br/>
              <w:t xml:space="preserve">(5)操作室：窄边镀锌钢框架，型材壁厚≥1.2mm，搭配≥8mm钢化安全玻璃组装封闭式隔断，密封胶条密封处理，可分隔独立操作隔间，实现防尘隔音，防止实操粉尘噪音干扰外部教学；</w:t>
              <w:br/>
              <w:t xml:space="preserve">(6)强弱电敷设：强电采用国</w:t>
            </w:r>
            <w:r>
              <w:rPr>
                <w:rFonts w:hint="eastAsia" w:ascii="宋体" w:hAnsi="宋体" w:cs="宋体"/>
                <w:szCs w:val="21"/>
                <w:lang w:bidi="ar"/>
              </w:rPr>
              <w:t xml:space="preserve">标ZR-BV阻燃铜芯线缆阻燃暗敷，弱电布设六类千兆无氧铜网线与屏蔽控制线，镀锌五金固定；按需预留电源、网络空白面板，面板为阻燃PC材质，耐磨防松；配电箱带漏电、过载、短路保护，布线隐蔽规整、标识清楚，适配设备供电组网并预留扩容点位；</w:t>
              <w:br/>
              <w:t xml:space="preserve">(7)定制文化墙：阻燃木工板基层，UV雪弗板印刷科教图案搭配亚克力立体造型拼装而成，亚克力厚度≥5mm，环保UV打印图案耐擦洗不褪色，镀锌五金挂件固定，防潮阻燃，具体款式、颜色、尺寸根据校方需求做二次深化设计，设计效果需经用户确认；</w:t>
              <w:br/>
              <w:t xml:space="preserve">(8)满足学校的环保、安全等个性化定制需求。</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47</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数码显微镜</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lang w:bidi="ar"/>
              </w:rPr>
            </w:pPr>
            <w:r>
              <w:rPr>
                <w:rFonts w:hint="eastAsia" w:ascii="宋体" w:hAnsi="宋体" w:cs="宋体"/>
                <w:szCs w:val="21"/>
                <w:lang w:bidi="ar"/>
              </w:rPr>
              <w:t xml:space="preserve">一、基础光学系统要求</w:t>
              <w:br w:type="textWrapping" w:clear="all"/>
              <w:t xml:space="preserve">1.光学系统：无限远色差校正光学系统；</w:t>
              <w:br w:type="textWrapping" w:clear="all"/>
              <w:t xml:space="preserve">2.目镜：大视场、高眼点平场目镜WF10倍/20mm，其中至少一只带教学指针；</w:t>
              <w:br w:type="textWrapping" w:clear="all"/>
              <w:t xml:space="preserve">▲3.物镜：平场消色差物镜4倍，成像清晰圆直径≥18.8mm；10倍，成像清晰圆直径≥18.6mm，40倍（弹簧）成像清晰圆直径≥18.9mm。100倍（弹簧、油）成像清晰圆直径≥18.9mm；（提供国家认可的检测机构出具的检测报告复印件并</w:t>
            </w:r>
            <w:r>
              <w:rPr>
                <w:rFonts w:hint="eastAsia" w:ascii="宋体" w:hAnsi="宋体" w:cs="宋体"/>
                <w:szCs w:val="21"/>
                <w:lang w:bidi="ar"/>
              </w:rPr>
              <w:t xml:space="preserve">加盖响应供应商公章）</w:t>
              <w:br/>
              <w:t xml:space="preserve">4.齐焦：物镜10→4倍≤0.025mm，10→40倍≤0.010mm，40→100倍≤0.005mm；</w:t>
              <w:br/>
              <w:t xml:space="preserve">5.目镜筒：铰链式目镜筒， 360°旋转时目镜焦平面上像中心的位移，左右两系统放大率差≤0.35%，双目系统左右两像面光谱色一致，明暗差≤8.2%；双目系统左右系统像面方差≤35；双目系统左右视场中心偏差：上下≤0.02mm、左右内侧≤0.03mm；</w:t>
              <w:br/>
              <w:t xml:space="preserve">6.内倾斜、内定位四孔转换器；</w:t>
              <w:br/>
              <w:t xml:space="preserve">▲7.载物台：“U型”双层载物台；（提供国家认可的检测机构出具的检测报告复印件并加盖响应供应商公章）</w:t>
            </w:r>
            <w:r/>
          </w:p>
          <w:p>
            <w:pPr>
              <w:pStyle w:val="658"/>
              <w:jc w:val="left"/>
              <w:widowControl/>
              <w:rPr>
                <w:rFonts w:hint="eastAsia" w:ascii="宋体" w:hAnsi="宋体" w:cs="宋体"/>
                <w:szCs w:val="21"/>
                <w:lang w:bidi="ar"/>
              </w:rPr>
            </w:pPr>
            <w:r>
              <w:rPr>
                <w:rFonts w:hint="eastAsia" w:ascii="宋体" w:hAnsi="宋体" w:cs="宋体"/>
                <w:szCs w:val="21"/>
                <w:lang w:bidi="ar"/>
              </w:rPr>
              <w:t xml:space="preserve">8.载物台硬膜涂层表面，防腐、耐磨；移动行程≥75</w:t>
            </w:r>
            <w:r>
              <w:rPr>
                <w:rFonts w:hint="eastAsia" w:ascii="宋体" w:hAnsi="宋体" w:cs="宋体"/>
                <w:szCs w:val="21"/>
                <w:lang w:bidi="ar"/>
              </w:rPr>
              <w:t xml:space="preserve">*50mm；X、Y向低位同轴调节手轮；X、Y轴同轴调节，载物台受≥5N水平方向作用力最大位移≤0.010mm；不重复性≤0.003mm；</w:t>
              <w:br/>
              <w:t xml:space="preserve">9.调焦机构：粗微调同轴，并有调焦限位装置，微调机构空回≤0.005mm，微调刻值≤0.002mm；聚光镜：阿贝式聚光镜N.A.1.25(带可变光栏)；</w:t>
              <w:br/>
              <w:t xml:space="preserve">10.加长握手位，搬运显微镜时整只手可握住加长把手提起显微镜；</w:t>
              <w:br/>
              <w:t xml:space="preserve">11.光源：LED光源，不发热，长寿命，亮度可调；</w:t>
              <w:br/>
              <w:t xml:space="preserve">▲12.机身具有RJ45、USB接口。（提供国家认可的检测机构出具的检测报告复印件并加盖响应供应商公章）</w:t>
            </w:r>
            <w:r/>
          </w:p>
          <w:p>
            <w:pPr>
              <w:pStyle w:val="658"/>
              <w:jc w:val="left"/>
              <w:widowControl/>
              <w:rPr>
                <w:rFonts w:hint="eastAsia" w:ascii="宋体" w:hAnsi="宋体" w:cs="宋体"/>
                <w:szCs w:val="21"/>
              </w:rPr>
            </w:pPr>
            <w:r>
              <w:rPr>
                <w:rFonts w:hint="eastAsia" w:ascii="宋体" w:hAnsi="宋体" w:cs="宋体"/>
                <w:szCs w:val="21"/>
                <w:lang w:bidi="ar"/>
              </w:rPr>
              <w:t xml:space="preserve">二、系统输出设备要求</w:t>
              <w:br w:type="textWrapping" w:clear="all"/>
              <w:t xml:space="preserve">1.显示屏与显微镜一体化设计直接由显微镜内嵌供电及充电，无需外置适配器及电源线进行充电，整台数码显微镜用一根电源线提供电源；</w:t>
              <w:br w:type="textWrapping" w:clear="all"/>
              <w:t xml:space="preserve">2.显示屏可轻松拆卸，进行0°-90</w:t>
            </w:r>
            <w:r>
              <w:rPr>
                <w:rFonts w:hint="eastAsia" w:ascii="宋体" w:hAnsi="宋体" w:cs="宋体"/>
                <w:szCs w:val="21"/>
                <w:lang w:bidi="ar"/>
              </w:rPr>
              <w:t xml:space="preserve">°翻折，便于搬运及存储；</w:t>
              <w:br/>
              <w:t xml:space="preserve">3.操作系统：Android 、IOS或Windows操作系统；</w:t>
              <w:br/>
              <w:t xml:space="preserve">4.显示系统：采用高清彩色芯片、wifi无线传输，静态≥1600万像素，动态分辨率≥1080p；</w:t>
              <w:br/>
              <w:t xml:space="preserve">5.显示设备：屏幕尺寸≥10.1英寸，屏幕配置≥1600万像素，分辨率：≥1920*1200，可视角度：上80°/下80°/左80°/右80°，支持wifi，操作系统不低于Android 8.0，运行内存（RAM）≥3GB，存储容量（ROM）≥32GB，扩展支持≥256GB，摄像头≥1300万，副摄像头≥800万，支持护</w:t>
            </w:r>
            <w:r>
              <w:rPr>
                <w:rFonts w:hint="eastAsia" w:ascii="宋体" w:hAnsi="宋体" w:cs="宋体"/>
                <w:szCs w:val="21"/>
                <w:lang w:bidi="ar"/>
              </w:rPr>
              <w:t xml:space="preserve">眼模式，网络wifi GPS支持：GPS、GLONASS、北斗（BDS），电池容量不低于7500mAh，超高清成像装置，画面无拖尾延迟现象，支持不低于1080p HDMI 高清数字信号输出；</w:t>
              <w:br/>
              <w:t xml:space="preserve">6.实时分享：可作为网络热点，实时共享显微镜下图像，支持安卓、苹果操作系统。</w:t>
              <w:br/>
              <w:t xml:space="preserve">三、系统部分</w:t>
              <w:br/>
              <w:t xml:space="preserve">1.采用无线交互式连接，能实时显示在电脑；</w:t>
              <w:br/>
              <w:t xml:space="preserve">2.带显微配套软件，可进行图像采集、图像分析、图像处理等。</w:t>
              <w:br/>
              <w:t xml:space="preserve">▲3.能和学校已有的实验室设备系统无缝对接形成岛型云存储工作站。（提供满足本项要求的承诺函并加盖响应供应商公章，格式自拟。）</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rPr>
              <w:t xml:space="preserve">双目显微镜</w:t>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一、基础光学系统：</w:t>
              <w:br w:type="textWrapping" w:clear="all"/>
              <w:t xml:space="preserve">1.总放大倍数不低于：400倍；</w:t>
              <w:br w:type="textWrapping" w:clear="all"/>
              <w:t xml:space="preserve">2.整机结构件：结构件大部分采用金属制作，镜架上配有初微调同轴低旋钮，调整工作台面到物镜间的焦距低重心底座；</w:t>
              <w:br w:type="textWrapping" w:clear="all"/>
              <w:t xml:space="preserve">3.目镜：带有指针定位的WF10倍目镜并锁定于目镜筒，防止学生把目镜拔出使目镜遭到损坏，防止灰尘进入，目镜放大率大于6.3倍准确度不超过±0.104%；</w:t>
              <w:br w:type="textWrapping" w:clear="all"/>
              <w:t xml:space="preserve">4.目镜视场</w:t>
            </w:r>
            <w:r>
              <w:rPr>
                <w:rFonts w:hint="eastAsia" w:ascii="宋体" w:hAnsi="宋体" w:cs="宋体"/>
                <w:szCs w:val="21"/>
                <w:lang w:bidi="ar"/>
              </w:rPr>
              <w:t xml:space="preserve">角大于50°时，放大率差不大于0.22%；</w:t>
              <w:br/>
              <w:t xml:space="preserve">5.物镜：标准消色差物镜，4倍/0.10成像清晰圆直径≥7.35mm；10倍/0.25成像清晰圆直径≥7.155mm，景深范围内像面的偏摆≤0.115mm；40倍/0.65（弹簧），成像清晰圆直径≥6.863mm；所有物镜均保证齐焦，10倍－4倍不超过±0.030mm；10倍－40倍不超过±0.027mm；40倍－100倍不超过±0.0352mm；带有限位装置，可防止物镜压坏切片致使物镜损坏，物镜放大率准确度不超过±4%；</w:t>
              <w:br/>
              <w:t xml:space="preserve">6.镜筒：双目斜筒，端面高低差≤0.11</w:t>
            </w:r>
            <w:r>
              <w:rPr>
                <w:rFonts w:hint="eastAsia" w:ascii="宋体" w:hAnsi="宋体" w:cs="宋体"/>
                <w:szCs w:val="21"/>
                <w:lang w:bidi="ar"/>
              </w:rPr>
              <w:t xml:space="preserve">2mm，45°倾斜，可360°旋转便于同步观察，360°旋转时目镜焦平面上像中心的位移≤0.212mm；</w:t>
              <w:br/>
              <w:t xml:space="preserve">7.双目两系统光谱明暗差不大于8%，像面图形方位差不大于30'；</w:t>
              <w:br/>
              <w:t xml:space="preserve">8.转换器：四孔同心球轴转换器，定位准确，并带有限位装置，转换器稳定性≤0.00822mm；</w:t>
              <w:br/>
              <w:t xml:space="preserve">9.粗微调：同轴调焦轴－初微调同轴，调节载物台，有限位打滑装置，并有内置防滑动离合器，延长因机械损耗的整机使用寿命，微调机构空回≤0.0075mm；</w:t>
              <w:br/>
              <w:t xml:space="preserve">10.调焦范围：初调范围≤6.5mm，微调范围≤2mm；</w:t>
              <w:br/>
              <w:t xml:space="preserve">11.视场光栏：制作精密的金属可变视场</w:t>
            </w:r>
            <w:r>
              <w:rPr>
                <w:rFonts w:hint="eastAsia" w:ascii="宋体" w:hAnsi="宋体" w:cs="宋体"/>
                <w:szCs w:val="21"/>
                <w:lang w:bidi="ar"/>
              </w:rPr>
              <w:t xml:space="preserve">光栏；</w:t>
              <w:br/>
              <w:t xml:space="preserve">12.照明：电源调节旋钮和电压开关分开，亮度可调的LED冷光源，可以充电，充电后不接电源可连续使用50小时。灯泡使用寿命在10000小时以上，不产生温度，灯光色泽为无色，且不会产生热度；</w:t>
              <w:br/>
              <w:t xml:space="preserve">13.聚光镜：NA1.25带可变光栏螺旋式升降聚光镜，聚光镜上升到最高位，顶端低于载物台表面的距离在0.03－0.15（mm）之间；</w:t>
              <w:br/>
              <w:t xml:space="preserve">14.载物台：≥120*120mm载物台受5N水平方向作用力最大位移≤0.0115mm；不重复性≤0.0012mm；</w:t>
              <w:br/>
              <w:t xml:space="preserve">15.移动尺：沿X-Y轴平稳移动，行程≥60*40mm的移动尺。</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27</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49</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生物学图像识别系统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1.支持单张或批量导入多幅图像，完成快速加载、全景浏览与专业分析，具备360°无死角旋转浏览功能，可自由调整图像查看视角，适配全景切片、大尺寸扫描图等特殊影像的全视角查看需求；</w:t>
              <w:br w:type="textWrapping" w:clear="all"/>
              <w:t xml:space="preserve">2.多图像同时打开浏览时，支持开启同步联动移动模式，所有已加载图像可跟随当前操作视图同步完成平移、缩放，无需逐张手动调整位置，大幅提升不同样本、不同批次图像的同区域对照分析效率；</w:t>
              <w:br w:type="textWrapping" w:clear="all"/>
              <w:t xml:space="preserve">3.</w:t>
            </w:r>
            <w:r>
              <w:rPr>
                <w:rFonts w:hint="eastAsia" w:ascii="宋体" w:hAnsi="宋体" w:cs="宋体"/>
                <w:szCs w:val="21"/>
                <w:lang w:bidi="ar"/>
              </w:rPr>
              <w:t xml:space="preserve">支持直接在图像上添加文字、箭头、图形等多类型自定义注释，内置专业测量工具，可快速完成任意两点间的长度测量、指定区域的面积测算，测量数据自动与图像绑定留存，方便后续回溯与报告导出；</w:t>
              <w:br/>
              <w:t xml:space="preserve">4.支持对图像指定区域进行擦除、修改等精细化编辑操作，可单独框选目标区域完成无损导出，导出文件完全保留原始格式与图像精度，无画质压缩、格式转换导致的信息丢失，适配科研存档、局部细节单独输出场景；</w:t>
              <w:br/>
              <w:t xml:space="preserve">5.浏览过程中可在原始扫描精度基础上实现任意倍数无级缩放，无图像失真问题，界面实时同步显示当前放大倍率与精准测量标尺，让用户随时掌握视图</w:t>
            </w:r>
            <w:r>
              <w:rPr>
                <w:rFonts w:hint="eastAsia" w:ascii="宋体" w:hAnsi="宋体" w:cs="宋体"/>
                <w:szCs w:val="21"/>
                <w:lang w:bidi="ar"/>
              </w:rPr>
              <w:t xml:space="preserve">实际尺寸比例，满足高精度阅片、细节核验的专业要求；</w:t>
              <w:br/>
              <w:t xml:space="preserve">6.支持浏览多种文件格式，至少包括：SVS 文件、JPEG 文件、TIFF文件、TIF文件、CWS 文件、NDPI文件、VMS文件、VMU文件、MRXS文件、SlideDat.ini文件、sis 文件和SCN文件；</w:t>
              <w:br/>
              <w:t xml:space="preserve">7.本地浏览软件无安装数量限制，本地支持浏览多种文件格式，至少包括：SVS文件、JPEG 文件、TIFF文件、TIF文件、CWS 文件、NDPI文件、VMS文件、VMU文件、MRXS文件、SlideDat.ini文件、sis 文件和SCN文件。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50</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初中物理虚拟现实课堂</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1.初中物理虚拟现实课堂软件需依据中华人民共和国教育部《义务教育物理课程标准》教学大纲进行课程资源开发，满足新课标实验教学需要</w:t>
            </w:r>
            <w:r>
              <w:rPr>
                <w:rFonts w:hint="eastAsia" w:ascii="宋体" w:hAnsi="宋体" w:cs="宋体"/>
                <w:szCs w:val="21"/>
                <w:lang w:bidi="ar"/>
              </w:rPr>
              <w:t xml:space="preserve">，聚焦提升学生核心素养。所有虚拟场景均基于真实场景搭建，可模拟真实实验教学场景，能够准确还原实验中火焰、变色、烟雾、气泡、沉淀、爆炸等变化，具有优秀的跨平台能力和拓展能力；</w:t>
              <w:br/>
              <w:t xml:space="preserve">2.物理实验内容支持教材目录及知识点分类，教材目录需根据教材版本、章节、单元分类；知识点需包含物质、运动和相互作用、能量等实验内容与实验场景。实验内容要求充分呈现课程中的演示实验与学生实验，支持在实验目录或实验过程中直接查看具体的实验内容简介，包含实验简介、实验目的、实验器材、实验步骤、实验结论、实验原理等内容，方便老师学生在使用中快速</w:t>
            </w:r>
            <w:r>
              <w:rPr>
                <w:rFonts w:hint="eastAsia" w:ascii="宋体" w:hAnsi="宋体" w:cs="宋体"/>
                <w:szCs w:val="21"/>
                <w:lang w:bidi="ar"/>
              </w:rPr>
              <w:t xml:space="preserve">了解具体实验内容，提高课堂教学效率；</w:t>
              <w:br/>
              <w:t xml:space="preserve">3.软件采用互动教学模式，非视频、图片及PPT等资源课件，所有实验均以第一人称视角进行，支持任意视角下对实验进行观察和交互式操作，要求提供根据普通初中物理课程标准资源数量≥450个，包含拓展性及探究性实验，提供与初中物理课程标准中知识点同步的完整实验≥100个，实验资源支持模糊搜索和精确查找，便于快速开展实验；</w:t>
              <w:br/>
              <w:t xml:space="preserve">4.为满足实验教学个性化需求，软件具有可供自由搭建组合的力学探究平台、电学探究平台、光学探究平台，不仅能够呈现复杂物理动态过程，还能搭建历年物理中考试题真题，高</w:t>
            </w:r>
            <w:r>
              <w:rPr>
                <w:rFonts w:hint="eastAsia" w:ascii="宋体" w:hAnsi="宋体" w:cs="宋体"/>
                <w:szCs w:val="21"/>
                <w:lang w:bidi="ar"/>
              </w:rPr>
              <w:t xml:space="preserve">效辅助物理实验教学。要求可搭建实验对象数量≥160款，搭建出的实验不仅能够逼真准确的呈现实验现象，并能同步显示相关的动态实验数据。</w:t>
              <w:br/>
              <w:t xml:space="preserve">（1）探究平台均支持用户对实验器材的参数变量进行修改，支持用户创建的实验一键保存、打开和再编辑； </w:t>
              <w:br/>
              <w:t xml:space="preserve">▲（2）探究平台均支持在既有实验场景内容下进行2D/3D一键切换，允许用户在2D/3D环境下利用探究平台提供的各种实验器材进行自由搭建组合；支持添加2D/3D文本、表格、图表、2D图片等实验辅助工具；（提供本项佐证材料，不限于检测报告或产品彩页或厂家出具的技术白皮书或软件功能截图</w:t>
            </w:r>
            <w:r>
              <w:rPr>
                <w:rStyle w:val="773"/>
                <w:color w:val="000000"/>
                <w:sz w:val="21"/>
                <w:szCs w:val="21"/>
                <w:lang w:bidi="ar"/>
              </w:rPr>
              <w:t xml:space="preserve">等</w:t>
            </w:r>
            <w:r>
              <w:rPr>
                <w:rFonts w:hint="eastAsia" w:ascii="宋体" w:hAnsi="宋体" w:cs="宋体"/>
                <w:szCs w:val="21"/>
                <w:lang w:bidi="ar"/>
              </w:rPr>
              <w:t xml:space="preserve">并加盖响应供应商公章）</w:t>
              <w:br w:type="textWrapping" w:clear="all"/>
              <w:t xml:space="preserve">（3）电学探究平台具有短路、熔断等损坏提示，支持对损坏器件进行一键修复；支持创建电路图，内置电路图标准库，应提供≥30个中学常用电路图，支持电路</w:t>
            </w:r>
            <w:r>
              <w:rPr>
                <w:rFonts w:hint="eastAsia" w:ascii="宋体" w:hAnsi="宋体" w:cs="宋体"/>
                <w:szCs w:val="21"/>
                <w:lang w:bidi="ar"/>
              </w:rPr>
              <w:t xml:space="preserve">图一键生成实物，具有电路图编辑修改功能；支持插入表格，记录实验数据，可生成相应的X-Y曲线图像；</w:t>
              <w:br/>
              <w:t xml:space="preserve">（4）光学探究平台支持显示法线、光路方向、折射反射光线及角度等可视化展示，可以清晰呈现折射、反射、散射等现象，可以任意更改照射角度，支持利用实验器材自由搭建组合；</w:t>
              <w:br/>
              <w:t xml:space="preserve">（5）力学探究平台支持时空比例调节，具有重力系统，支持对电场线、物理常量（包含重力加速度、牛顿引力、静电力、电荷量等）等关键变量进行设置；支持脚本编辑器功能等，可满足理想环境及非理想环境因素下的实验需求。</w:t>
              <w:br/>
              <w:t xml:space="preserve">5.软件要求提供家庭电路模块，具有三维立体的</w:t>
            </w:r>
            <w:r>
              <w:rPr>
                <w:rFonts w:hint="eastAsia" w:ascii="宋体" w:hAnsi="宋体" w:cs="宋体"/>
                <w:szCs w:val="21"/>
                <w:lang w:bidi="ar"/>
              </w:rPr>
              <w:t xml:space="preserve">家庭环境场景，高精度还原真实居家环境。支持家庭环境中电路的自由搭建，能够安全演示短路、过载、漏电等危险用电场景，可真切体会安全用电的重要性。模块支持提供计时功能，方便计算耗电量；支持认识电能表，方便展示器材的结构拆解及内部结构；支持试电笔的正确操作与错误演示；支持对闸刀开关、保险丝、试电笔等模型及器材进行结构展示；</w:t>
              <w:br/>
              <w:t xml:space="preserve">6.软件提供中学常用实验器材库，数量≥160个，具有语音讲解功能，部分实验器材支持功能演示动画，支持任意视角对器材进行独立观察、展示，要求重点实验器材支持部件拆分，组合；</w:t>
              <w:br/>
              <w:t xml:space="preserve">7.软件支持实验截屏和</w:t>
            </w:r>
            <w:r>
              <w:rPr>
                <w:rFonts w:hint="eastAsia" w:ascii="宋体" w:hAnsi="宋体" w:cs="宋体"/>
                <w:szCs w:val="21"/>
                <w:lang w:bidi="ar"/>
              </w:rPr>
              <w:t xml:space="preserve">微视频录制功能，支持用户将实验操作过程和解说音视频内容同步录制并保存在本地，无需额外使用录屏软件，方便用户备课及录制课件；</w:t>
              <w:br/>
              <w:t xml:space="preserve">8.以上所有软件功能要求在同一软件系统平台中操作，所有实验资源需本地部署，非云端存储，支持在无互联网环境下正常使用；</w:t>
              <w:br/>
              <w:t xml:space="preserve">9.软件支持在交互式一体机、智慧黑板、笔记本电脑、台式电脑等计算机设备上运行使用，支持Windows、统信UOS等桌面操作系统；</w:t>
              <w:br/>
              <w:t xml:space="preserve">10.软件支持数字密钥和数字激活码两种授权方式，用户可根据实际场景选择使用；</w:t>
              <w:br/>
              <w:t xml:space="preserve">11.软件授权期限：长期许可，非按年付费方式，无二次使用费用。</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rPr>
              <w:t xml:space="preserve">8</w:t>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初中生物虚拟现实课堂</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初中生物虚拟现实课堂软件需依据中华人民共和国教育部《义务教育生物课程标准》教学大纲进行课程资源开发，满足新课标实验教学需要，聚焦提升学生核心素养。所有虚拟场景均基于真实场景搭建，可模拟真实实验教学场景，能够准确还原实验中心脏、血液、呼吸、神经、消化等变化，具有优秀的跨平台能力和拓展能力；</w:t>
              <w:br w:type="textWrapping" w:clear="all"/>
              <w:t xml:space="preserve">2.生物学实验内</w:t>
            </w:r>
            <w:r>
              <w:rPr>
                <w:rFonts w:hint="eastAsia" w:ascii="宋体" w:hAnsi="宋体" w:cs="宋体"/>
                <w:szCs w:val="21"/>
                <w:lang w:bidi="ar"/>
              </w:rPr>
              <w:t xml:space="preserve">容支持教材目录及知识点分类，教材目录需根据教材版本、章节、单元分类；知识点需包含生物与生物圈、生物与细胞、生物圈中的绿色植物、生物圈中的人、生物圈中的其他生物、生物圈中的生命的延续、健康地生活等实验内容与实验场景。实验内容要求充分呈现课程中的演示实验与学生实验，支持在实验目录或实验过程中直接查看具体的实验内容简介，包含实验简介、实验目的、实验器材、实验步骤、实验结论、实验原理等内容，方便老师学生在使用中快速了解具体实验内容，提高课堂教学效率；</w:t>
              <w:br/>
              <w:t xml:space="preserve">3.软件采用互动教学模式，非视频、图片及PPT等课件资源，所有实</w:t>
            </w:r>
            <w:r>
              <w:rPr>
                <w:rFonts w:hint="eastAsia" w:ascii="宋体" w:hAnsi="宋体" w:cs="宋体"/>
                <w:szCs w:val="21"/>
                <w:lang w:bidi="ar"/>
              </w:rPr>
              <w:t xml:space="preserve">验均以第一人称视角进行，支持任意视角下对实验进行观察和交互式操作，要求提供根据普通初中生物课程标准资源数量≥550个，包含拓展性及探究性实验，提供与初中生物课程标准中知识点同步的完整实验≥60个，实验资源支持模糊搜索和精确查找，便于快速开展实验；</w:t>
              <w:br/>
              <w:t xml:space="preserve">4.软件提供微眼万千模块，涵盖植物学、动物性、生物学及微生物学等中学生物学高清显微镜成像素材库，要求素材数量≥100张，每张都支持4倍、10倍、40倍物镜进行观察。所有素材库图片都支持使用显微镜进行仿真实验操作，完全模拟真实操作；支持一键切换至全景图模式，图片支持</w:t>
            </w:r>
            <w:r>
              <w:rPr>
                <w:rFonts w:hint="eastAsia" w:ascii="宋体" w:hAnsi="宋体" w:cs="宋体"/>
                <w:szCs w:val="21"/>
                <w:lang w:bidi="ar"/>
              </w:rPr>
              <w:t xml:space="preserve">自由移动和缩放；</w:t>
              <w:br/>
              <w:t xml:space="preserve">5.软件提供人体生理结构探究模块，涵盖运动系统、神经系统、内分泌系统、血液循环系统和淋巴和免疫系统等九大系统，其中六大人体系统支持器官自由拆分组合，并配以相关文字说明；</w:t>
              <w:br/>
              <w:t xml:space="preserve">6.软件提供人体生理功能探究模块，涵盖人体内物质的运输、人体的呼吸、人体内废物的排出、人体的营养、人体的运动、人体生命活动的调节、人的生殖与发育等七大知识点内容，资源数量≥80个，包括模型、动画以及教学互动场景，重点器官和系统支持自由拆分组合；</w:t>
              <w:br/>
              <w:t xml:space="preserve">7.软件提供微观世界探究模块，资源数量≥140个，涵盖真核生物、原核生物、病毒</w:t>
            </w:r>
            <w:r>
              <w:rPr>
                <w:rFonts w:hint="eastAsia" w:ascii="宋体" w:hAnsi="宋体" w:cs="宋体"/>
                <w:szCs w:val="21"/>
                <w:lang w:bidi="ar"/>
              </w:rPr>
              <w:t xml:space="preserve">和亚病毒、分子与细胞、遗传与进化等知识点内容，包含叶绿体的结构与功能、细胞骨架的形态结构、流动镶嵌模型、钠钾泵跨膜运输NA+和K+、ATP合酶的合成机理、ATP合酶的水解机理、光反应过程等实验内容；</w:t>
              <w:br/>
              <w:t xml:space="preserve">8.软件提供进化树模块，要求进化树中的生物对象数量≥44种，重点生物对象支持一键解剖；</w:t>
              <w:br/>
              <w:t xml:space="preserve">9.软件提供中学生物实验对象库，要求实验对象≥100种，具有语音讲解功能，部分实验器材支持功能演示动画，支持任意视角对实验对象进行独立观察、展示，重点实验器材及生物对象支持自由拆分组合；</w:t>
              <w:br/>
              <w:t xml:space="preserve">10.软件支持实验截屏和微视频录制功</w:t>
            </w:r>
            <w:r>
              <w:rPr>
                <w:rFonts w:hint="eastAsia" w:ascii="宋体" w:hAnsi="宋体" w:cs="宋体"/>
                <w:szCs w:val="21"/>
                <w:lang w:bidi="ar"/>
              </w:rPr>
              <w:t xml:space="preserve">能，支持用户将实验操作过程和解说音视频内容同步录制并保存在本地，无需额外使用录屏软件，方便用户备课及录制课件；</w:t>
              <w:br/>
              <w:t xml:space="preserve">11.以上所有软件功能要求在同一软件系统平台中操作，所有实验资源需本地部署，非云端存储，支持在无互联网环境下正常使用；</w:t>
              <w:br/>
              <w:t xml:space="preserve">12.软件支持在交互式一体机、智慧黑板、笔记本电脑、台式电脑等计算机设备上运行使用，支持Windows、统信UOS等桌面操作系统；</w:t>
              <w:br/>
              <w:t xml:space="preserve">13.软件支持UKEY数字密钥和数字激活码两种授权方式，用户可根据实际场景选择使用；</w:t>
              <w:br/>
              <w:t xml:space="preserve">14.软件授权期限：长期许可，非按年付费方式，无二次使用费用。</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初中化学虚拟现实课堂</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初中化学虚拟现实课堂软件需依据中华人民共和国教育部《义务教育化学课程标准》教学大纲进行课程资源开发，满足新课标实验教学需要，聚焦提升学生核心素养。所有虚拟场景均基于真实场景搭建，可模拟真实实验教学场景，能够准确还原实验中火焰、变色、烟雾、气泡、沉淀、爆炸等变化，具有优秀的跨平台能力和拓展能力；</w:t>
              <w:br w:type="textWrapping" w:clear="all"/>
              <w:t xml:space="preserve">2.化学实验内容支持教材目录及知识点分类，教材目录需根据教材版本、章节、单元分类；知识点需包含化学基本概念与原理、身边的化学物质、化学计算、化学实验、化学与社会发展等实验内容与实验场景。实验内容要求充分呈</w:t>
            </w:r>
            <w:r>
              <w:rPr>
                <w:rFonts w:hint="eastAsia" w:ascii="宋体" w:hAnsi="宋体" w:cs="宋体"/>
                <w:szCs w:val="21"/>
                <w:lang w:bidi="ar"/>
              </w:rPr>
              <w:t xml:space="preserve">现课程中的演示实验与学生实验，支持在实验目录或实验过程中直接查看具体的实验内容简介，包含实验简介、实验目的、实验器材、实验步骤、实验结论、实验原理等内容，方便老师学生在使用中快速了解具体实验内容，提高课堂教学效率；</w:t>
              <w:br/>
              <w:t xml:space="preserve">3.软件采用互动教学模式，非视频、图片及PPT等资源课件，所有实验均以第一人称视角进行，支持任意视角下对实验进行观察和交互式操作，要求提供根据普通初中化学课程标准资源数量≥400个，包含拓展性及探究性实验，提供与初中化学课程标准中知识点同步的完整实验≥80个，实验资源支持模糊搜索和精确查找，便于</w:t>
            </w:r>
            <w:r>
              <w:rPr>
                <w:rFonts w:hint="eastAsia" w:ascii="宋体" w:hAnsi="宋体" w:cs="宋体"/>
                <w:szCs w:val="21"/>
                <w:lang w:bidi="ar"/>
              </w:rPr>
              <w:t xml:space="preserve">快速开展实验；</w:t>
              <w:br/>
              <w:t xml:space="preserve">4.为满足实验教学个性化需求，软件提供可供自由搭建组合的化学探究平台，要求不仅可以呈现逼真复杂的化学实验现象，还可以搭建历年中考化学试题真题，高效辅助化学实验教学。</w:t>
              <w:br/>
              <w:t xml:space="preserve">（1）化学探究平台支持用户对实验器材的参数变量进行修改，支持用户创建的实验一键保存和再编辑，便于实验教学；</w:t>
              <w:br/>
              <w:t xml:space="preserve">（2）化学探究平台支持在既有实验场景内容下进行2D/3D一键切换，允许用户在2D/3D环境下利用探究平台提供的各种实验器材进行自由搭建和组合；支持对实验室温度气压等环境因素的自由设定等；支持添加2D/3D文本、表格、图表、</w:t>
            </w:r>
            <w:r>
              <w:rPr>
                <w:rFonts w:hint="eastAsia" w:ascii="宋体" w:hAnsi="宋体" w:cs="宋体"/>
                <w:szCs w:val="21"/>
                <w:lang w:bidi="ar"/>
              </w:rPr>
              <w:t xml:space="preserve">2D图片等实验辅助工具；</w:t>
              <w:br/>
              <w:t xml:space="preserve">（3）化学探究平台具有倾倒、震荡、注水、搅拌、沉淀、凝固等真实现象，化学药品试剂支持按质量(g)、摩尔质量(mol)或体积(mL)添加；支持查看容器内的药品信息及反应信息；支持对容器的名称、反应类型，反应速率等进行设置； </w:t>
              <w:br/>
              <w:t xml:space="preserve">（4）化学探究平台提供≥110款实验仪器和辅助器材；实验过程中可添加的固体、液体及气体药品的总数量≥500种，支持关键词、化学式搜索，便于快速查找所需药品器材；</w:t>
              <w:br/>
              <w:t xml:space="preserve">（5）化学探究平台支持用户自由搭建组合化学实验，支持电化学探究，可通过设置更改电学器件和电解质溶液，</w:t>
            </w:r>
            <w:r>
              <w:rPr>
                <w:rFonts w:hint="eastAsia" w:ascii="宋体" w:hAnsi="宋体" w:cs="宋体"/>
                <w:szCs w:val="21"/>
                <w:lang w:bidi="ar"/>
              </w:rPr>
              <w:t xml:space="preserve">搭建所需的原电池或电解池装置。要求实验数据具有严谨的科学性，同时要求能准确呈现真实实验现象。</w:t>
              <w:br/>
              <w:t xml:space="preserve">5.软件提供三维分子模型模块，要求能呈现课本中重点和常见的分子模型和晶体模型；</w:t>
              <w:br/>
              <w:t xml:space="preserve">6.软件提供实验室取用规则，要求规范性实验操作演示视频数量≥20个，演示操作过程支持任意视角进行观察，便于学生学习掌握；</w:t>
              <w:br/>
              <w:t xml:space="preserve">7.软件提供中学常用的化学实验用品库，数量≥270种，具有语音讲解功能，部分实验器材支持功能演示动画，支持任意视角对实验器材及实验药品进行独立观察、展示，要求重点实验器材支持自由拆分，组合；</w:t>
              <w:br/>
              <w:t xml:space="preserve">8.软件支持实验截屏和微</w:t>
            </w:r>
            <w:r>
              <w:rPr>
                <w:rFonts w:hint="eastAsia" w:ascii="宋体" w:hAnsi="宋体" w:cs="宋体"/>
                <w:szCs w:val="21"/>
                <w:lang w:bidi="ar"/>
              </w:rPr>
              <w:t xml:space="preserve">视频录制功能，支持用户将实验操作过程和解说音视频内容同步录制并保存在本地，无需额外使用录屏软件，方便用户备课及录制课件；</w:t>
              <w:br/>
              <w:t xml:space="preserve">9.以上所有软件功能要求在同一软件系统平台中操作，所有实验资源需本地部署，非云端存储，支持在无互联网环境下正常使用；</w:t>
              <w:br/>
              <w:t xml:space="preserve">10.软件支持在交互式一体机、智慧黑板、笔记本电脑、台式电脑等计算机设备上运行使用，支持Windows、统信UOS等桌面操作系统；</w:t>
              <w:br/>
              <w:t xml:space="preserve">11.软件支持数字密钥和数字激活码两种授权方式，用户可根据实际场景选择使用；</w:t>
              <w:br/>
              <w:t xml:space="preserve">12.软件授权期限：长期许可，非按年付费方式，无二次使用费用。</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实验云备课系统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一、备课空间</w:t>
              <w:br w:type="textWrapping" w:clear="all"/>
              <w:t xml:space="preserve">1.能提供可自由缩放无限延伸的数字画布空间，</w:t>
            </w:r>
            <w:r>
              <w:rPr>
                <w:rFonts w:hint="eastAsia" w:ascii="宋体" w:hAnsi="宋体" w:cs="宋体"/>
                <w:szCs w:val="21"/>
                <w:lang w:bidi="ar"/>
              </w:rPr>
              <w:t xml:space="preserve">支持以网页的形式展示；能够承载不少于500个文件展示以及不少于10000个画布元素，数字画布支持1%-400%的缩放比；</w:t>
              <w:br/>
              <w:t xml:space="preserve">2.支持自定义备课模块的顶部banner轮播图，设置备课模块备课主题题、备课描述；</w:t>
              <w:br/>
              <w:t xml:space="preserve">3.空间支持老师扫码或直接上传包括PPT、Word、pdf、音视频等多种类型的资源。</w:t>
              <w:br/>
              <w:t xml:space="preserve">二、在线协作</w:t>
              <w:br/>
              <w:t xml:space="preserve">1.支持分享：具有画布编辑权限的成员，可以分享画布链接和二维码给其他用户，供其查看、批注画布内容，以及参与共创内容；</w:t>
              <w:br/>
              <w:t xml:space="preserve">2.提供独立编辑权限：支持多人在同一画布中独立观看不同位置内容（包括独立观看PPT、视频</w:t>
            </w:r>
            <w:r>
              <w:rPr>
                <w:rFonts w:hint="eastAsia" w:ascii="宋体" w:hAnsi="宋体" w:cs="宋体"/>
                <w:szCs w:val="21"/>
                <w:lang w:bidi="ar"/>
              </w:rPr>
              <w:t xml:space="preserve">、word等文件），并且互不干扰，支持实时显示正在浏览数字备课空间的所有成员视角位置和用户ID实时编辑内容；</w:t>
              <w:br/>
              <w:t xml:space="preserve">3.具备召集/跟随能力：在多人协作场景中，可以通过点击协作区域的用户头像跟随他人视角或召集他人跟随自己，让协作成员统一视角；会议模式中主持人支持强制跟随。</w:t>
              <w:br/>
              <w:t xml:space="preserve">三、AI辅助备课</w:t>
              <w:br/>
              <w:t xml:space="preserve">1.提供AI助手，支持协助内容创作，可直接进行提问获取信息；</w:t>
              <w:br/>
              <w:t xml:space="preserve">2.支持直接智能生成思维导图、生成待办和生成文档；</w:t>
              <w:br/>
              <w:t xml:space="preserve">3.支持根据输入的主题，AI快速生成演示文稿，或AI生成大纲、选择模板后，再生成演示文稿；</w:t>
              <w:br/>
              <w:t xml:space="preserve">4.支持AI智能翻译；</w:t>
            </w:r>
            <w:r>
              <w:rPr>
                <w:rFonts w:hint="eastAsia" w:ascii="宋体" w:hAnsi="宋体" w:cs="宋体"/>
                <w:szCs w:val="21"/>
                <w:lang w:bidi="ar"/>
              </w:rPr>
              <w:br/>
              <w:t xml:space="preserve">5.支持智能解读，能够对上传的文档进行解读，回答问题；</w:t>
              <w:br/>
              <w:t xml:space="preserve">6.支持对画布中的便签、文本等元素内容，生成概要、思维导图，AI文案润色，或生成文档。</w:t>
              <w:br/>
              <w:t xml:space="preserve">四、文档/音视频批注</w:t>
              <w:br/>
              <w:t xml:space="preserve">1.支持对文档/音视频添加批注，批注的形式支持文字、语音、图片和上传本地文件，批注内容跟随文档翻页。</w:t>
              <w:br/>
              <w:t xml:space="preserve">2.提供统一的批注列表，支持展示当前备课空间的所有批注信息，通过批注列表可查看画布的所有批注内容并支持筛选所有人，点击批注会自动跳转至画布中相应位置。支持隐藏备课空间中所有批注；支持只隐藏已解决的批注。</w:t>
              <w:br/>
              <w:t xml:space="preserve">3.支持对音视频播放形式的内容进行打点</w:t>
            </w:r>
            <w:r>
              <w:rPr>
                <w:rFonts w:hint="eastAsia" w:ascii="宋体" w:hAnsi="宋体" w:cs="宋体"/>
                <w:szCs w:val="21"/>
                <w:lang w:bidi="ar"/>
              </w:rPr>
              <w:t xml:space="preserve">，当观看者播放到打点内容时会自动显现打点编辑者的批注内容。</w:t>
              <w:br/>
              <w:t xml:space="preserve">五、会议功能</w:t>
              <w:br/>
              <w:t xml:space="preserve">1.支持用户发起会议：支持快速开始音视频会议/预定会议；</w:t>
              <w:br/>
              <w:t xml:space="preserve">2.支持灵活的会议邀请机制：可通过邀请链接和扫描二维码入会；</w:t>
              <w:br/>
              <w:t xml:space="preserve">3.支持会议管理功能：在会议过程中，主备教师可以控制会议成员的音视频开关和编辑权限，并可以开启强制跟随；</w:t>
              <w:br/>
              <w:t xml:space="preserve">4.支持开启会议后的"会议录制"功能；</w:t>
              <w:br/>
              <w:t xml:space="preserve">5.支持查看会议历史记录，以及会议录制的视频回放，支持下载回放。</w:t>
              <w:br/>
              <w:t xml:space="preserve">六、互动工具</w:t>
              <w:br/>
              <w:t xml:space="preserve">支持分组讨论、投票（投票结果支持导入画布/导出为Excel）、签到（支持查看签到记录）功能。</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实验云备课创作工具</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1.支持上传包括PPT、Word</w:t>
            </w:r>
            <w:r>
              <w:rPr>
                <w:rFonts w:hint="eastAsia" w:ascii="宋体" w:hAnsi="宋体" w:cs="宋体"/>
                <w:szCs w:val="21"/>
                <w:lang w:bidi="ar"/>
              </w:rPr>
              <w:t xml:space="preserve">、pdf、音视频等多种类型的资源，支持手机扫码上传，支持将自己资源库的资源添加到画布中；</w:t>
              <w:br/>
              <w:t xml:space="preserve">2.支持文档和PPT翻阅查看、一键平铺、音视频播放，支持在画布中嵌入网页，支持预览网页内容或直接打开链接；</w:t>
              <w:br/>
              <w:t xml:space="preserve">3.提供丰富的工具供老师们内容创作，包括模板中心、文本、便签、图形、表格、连接线、画笔、思维导图、帧框、文档、贴纸图标和计时器，支持在画布上自由添加、编辑、组合和删除；</w:t>
              <w:br/>
              <w:t xml:space="preserve">4.支持“智能体批处理”，用于批量处理一次性上传的所有素材，例如批量导入一些学生的作答图片后，智能体会自动分组并依次处理所有学生的作文批改内容。</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55</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实验云备课管理系统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1.支持对备课画布进行权限管理，如仅查看、可批注、可编辑；</w:t>
              <w:br w:type="textWrapping" w:clear="all"/>
              <w:t xml:space="preserve">2.支持查看历史和版本，支持画布恢复到之前的版本；</w:t>
              <w:br w:type="textWrapping" w:clear="all"/>
              <w:t xml:space="preserve">3.单个画布支持查看统计数据，包括成员详情、会议详情、文件详情，支持访问统计分析、常见元素统计，查看成员的访问次数、最近访问时间，以及参与会议场次、参会时长等；</w:t>
              <w:br w:type="textWrapping" w:clear="all"/>
              <w:t xml:space="preserve">4.支持对备课画布进行分享，支持对访客设置权限；</w:t>
              <w:br w:type="textWrapping" w:clear="all"/>
              <w:t xml:space="preserve">5.备支持对备课画布进行初始视野设置；</w:t>
              <w:br w:type="textWrapping" w:clear="all"/>
              <w:t xml:space="preserve">6.支持对备课画布中的在线文档进行预览和编辑。</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56</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实验云教学系统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1.依托</w:t>
            </w:r>
            <w:r>
              <w:rPr>
                <w:rFonts w:hint="eastAsia" w:ascii="宋体" w:hAnsi="宋体" w:cs="宋体"/>
                <w:szCs w:val="21"/>
                <w:lang w:bidi="ar"/>
              </w:rPr>
              <w:t xml:space="preserve">无限放大和缩小画布教学空间，支持在数字空间中上传丰富的授课内容(图片/PPT/PDF/音视频)，支持嵌入第三方网页；</w:t>
              <w:br/>
              <w:t xml:space="preserve">2.支持对授课画布中的在线文档进行预览和编辑。</w:t>
              <w:br/>
              <w:t xml:space="preserve">3.支持在课堂中，进行分组讨论，设置讨论组、讨论内容，各小组在各自区域内进行书写创作，互不干扰，老师能看到所有讨论内容，进行对比点评；</w:t>
              <w:br/>
              <w:t xml:space="preserve">4.支持在课堂中发起投票，使用定时器功能；</w:t>
              <w:br/>
              <w:t xml:space="preserve">5.支持课堂内的参与成员，对课堂画布进行多人编辑创作；</w:t>
              <w:br/>
              <w:t xml:space="preserve">6.课堂画布中支持一键全部开启/关闭成员的编辑权限。</w:t>
              <w:br/>
              <w:t xml:space="preserve">7.支持将授课文件、备课画布、空间画布插入到授课画布中。</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57</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实验云教学工具</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1.提供包括便签、文本、图形、画笔、批注在内的教学工具，对课件进行讲解；</w:t>
              <w:br w:type="textWrapping" w:clear="all"/>
              <w:t xml:space="preserve">2.支持黑板功能，支持老师在黑板上进行书写、擦除笔迹、画图等；</w:t>
              <w:br w:type="textWrapping" w:clear="all"/>
              <w:t xml:space="preserve">3.支持直播授课画布中使用嵌入网页。</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58</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实验云教学互动系统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支持老师在进入课堂后开启直播，支持新增网络摄像头。直播中，需支持联播不少于50个辅讲班级，并支持如下功能：</w:t>
              <w:br w:type="textWrapping" w:clear="all"/>
              <w:t xml:space="preserve">1.桌面共享：支持共享桌面或共享某个应用窗口；</w:t>
              <w:br w:type="textWrapping" w:clear="all"/>
              <w:t xml:space="preserve">2.成员视频窗口：</w:t>
              <w:br w:type="textWrapping" w:clear="all"/>
              <w:t xml:space="preserve">（1）老师开启成员的摄像头、麦克风权限，成员会显示在视频窗口中；</w:t>
              <w:br w:type="textWrapping" w:clear="all"/>
              <w:t xml:space="preserve">（2）可以看到所有班级和访客的</w:t>
            </w:r>
            <w:r>
              <w:rPr>
                <w:rFonts w:hint="eastAsia" w:ascii="宋体" w:hAnsi="宋体" w:cs="宋体"/>
                <w:szCs w:val="21"/>
                <w:lang w:bidi="ar"/>
              </w:rPr>
              <w:t xml:space="preserve">摄像头画面，可同时与多个成员进行连麦互动；</w:t>
              <w:br/>
              <w:t xml:space="preserve">（3）视频窗口支持收起、横排布局、纵排布局和视频墙布局。</w:t>
              <w:br/>
              <w:t xml:space="preserve">3.成员列表：</w:t>
              <w:br/>
              <w:t xml:space="preserve">（1）开启直播后，支持在成员列表中查看所有线上成员状态；</w:t>
              <w:br/>
              <w:t xml:space="preserve">（2）支持对成员控制麦克风、摄像头、画笔权限；</w:t>
              <w:br/>
              <w:t xml:space="preserve">（3）需支持强制跟随；</w:t>
              <w:br/>
              <w:t xml:space="preserve">（4）支持直播后分享课堂邀请码、链接；</w:t>
              <w:br/>
              <w:t xml:space="preserve">（5）支持全员静音功能。</w:t>
              <w:br/>
              <w:t xml:space="preserve">4、举手提示</w:t>
              <w:br/>
              <w:t xml:space="preserve">（1）当辅讲老师和访客举手后，主讲老师能收到举手提示；</w:t>
              <w:br/>
              <w:t xml:space="preserve">（2）支持主讲老师在成员列表窗口中，清除所有举手。</w:t>
              <w:br/>
              <w:t xml:space="preserve">5.支持在课堂中，主讲设置跟随某个辅讲老师，实现授课视角在不同教师间的切换。</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59</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实验云教学移动控制系统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1.支持手机等设备轻松操控PPT/音视频等授课内容，批注圈画；</w:t>
              <w:br w:type="textWrapping" w:clear="all"/>
              <w:t xml:space="preserve">2.支持手机拍照传图，方便老师授课时在移动端即可实现查看授课画布内容，便捷的快速的展示点评学生的成果。</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实验智能体中心</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一、AI智能体</w:t>
              <w:br w:type="textWrapping" w:clear="all"/>
              <w:t xml:space="preserve">1.支持在工作站页面内，自定义添加AI生成的智能体组件，在组件中输入文本提示词；</w:t>
              <w:br w:type="textWrapping" w:clear="all"/>
              <w:t xml:space="preserve">2.支持插入智能体组件，修改智能体名称，设置是否联网；</w:t>
              <w:br w:type="textWrapping" w:clear="all"/>
              <w:t xml:space="preserve">3.支持运行AI智能体，调用AI能力，按提示词单向输出结果，能做到文生文、文生图、文生思维导图、文生网页的效果。支持点击添加和拖拽连接元素，添加或连接前置内容，运行</w:t>
            </w:r>
            <w:r>
              <w:rPr>
                <w:rFonts w:hint="eastAsia" w:ascii="宋体" w:hAnsi="宋体" w:cs="宋体"/>
                <w:szCs w:val="21"/>
                <w:lang w:bidi="ar"/>
              </w:rPr>
              <w:t xml:space="preserve">生成包括文本、图片、思维导图、网页等内容。</w:t>
              <w:br/>
              <w:t xml:space="preserve">二、AI工作流</w:t>
              <w:br/>
              <w:t xml:space="preserve">1.支持提供一个智能化、多功能的AI创作能力。用户通过使用连接线将多个 AI 生成组件有序串联起来，建立输入内容和输出内容的关联关系，使其呈现为可视化的形式，清楚展示 AI 运行的各个环节；</w:t>
              <w:br/>
              <w:t xml:space="preserve">2.支持提供一个智能 AI 工作台，用户可在该工作台上进行 AI 工作流编排，基于可视化的拖拽界面设计复杂的流程场景。教师通过拖拽和组合多个智能体、多个素材元素，形成链条式的工作流，调整智能体提示词，实现生成包含但不限于文字、图片、思维导图、便签、网页等结果。</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61</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数字化实验教研系统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一、活动创建</w:t>
              <w:br w:type="textWrapping" w:clear="all"/>
              <w:t xml:space="preserve">1.研讨活动至少分为三个环节“活动开场”“教学观摩”“活动研讨”，支持根据活动需要，设置需要的环节；</w:t>
              <w:br w:type="textWrapping" w:clear="all"/>
              <w:t xml:space="preserve">2.支持设置“教学观摩”环节，支持设置“授课画布”，支持主讲/辅讲老师在授课画布中提前上传内容；</w:t>
              <w:br w:type="textWrapping" w:clear="all"/>
            </w:r>
            <w:r>
              <w:rPr>
                <w:rFonts w:hint="eastAsia" w:ascii="宋体" w:hAnsi="宋体" w:cs="宋体"/>
                <w:szCs w:val="21"/>
                <w:lang w:bidi="ar"/>
              </w:rPr>
              <w:t xml:space="preserve">3.研讨活动开始前十分钟，支持编辑活动名称、活动时间、参与成员等活动信息。</w:t>
              <w:br/>
              <w:t xml:space="preserve">二、活动开场/活动研讨</w:t>
              <w:br/>
              <w:t xml:space="preserve">1.主持人支持设置/更换研讨背景图；</w:t>
              <w:br/>
              <w:t xml:space="preserve">2.支持设置主持人和评课老师成员头像以独立窗口展示，该操作仅影响自己；</w:t>
              <w:br/>
              <w:t xml:space="preserve">3.支持主持人打开个人资料中的文件；</w:t>
              <w:br/>
              <w:t xml:space="preserve">4.支持主持人控制所有成员的编辑权限，支持设置强制跟随某成员，该成员的画布内容呈现会同步到所有成员；</w:t>
              <w:br/>
              <w:t xml:space="preserve">三、教学观摩</w:t>
              <w:br/>
              <w:t xml:space="preserve">1.支持主持人切换教研环节，如进入“教学观摩”阶段；</w:t>
              <w:br/>
              <w:t xml:space="preserve">2.支持主讲人/主持人设置强制跟随的某老师，默认展示该老师摄像头画面为大画面，支持主持人和评课</w:t>
            </w:r>
            <w:r>
              <w:rPr>
                <w:rFonts w:hint="eastAsia" w:ascii="宋体" w:hAnsi="宋体" w:cs="宋体"/>
                <w:szCs w:val="21"/>
                <w:lang w:bidi="ar"/>
              </w:rPr>
              <w:t xml:space="preserve">老师自主切换展示的画面（该操作仅影响自己）；</w:t>
              <w:br/>
              <w:t xml:space="preserve">3.支持设置摄像头画面和授课内容以独立窗口展示，用于双屏场景；</w:t>
              <w:br/>
              <w:t xml:space="preserve">4.支持新增网络摄像头。</w:t>
              <w:br/>
              <w:t xml:space="preserve">四、活动研讨</w:t>
              <w:br/>
              <w:t xml:space="preserve">支持将教学观摩阶段的点评内容共享展示，支持根据角色或姓名查找展示点评。</w:t>
              <w:br/>
              <w:t xml:space="preserve">五、教研观看</w:t>
              <w:br/>
              <w:t xml:space="preserve">直播过程中，支持访客/听课老师通过网页链接查看教研直播画面（包括屏幕画面和摄像头画面），也支持通过手机端观看直播。</w:t>
              <w:br/>
              <w:t xml:space="preserve">六、实时点评</w:t>
              <w:br/>
              <w:t xml:space="preserve">1.支持对主讲和辅讲的视频头像、授课内容、授课课件当前页添加点评；</w:t>
              <w:br/>
              <w:t xml:space="preserve">2.添加点评时默认截图当前画面（摄像头未开时不截图），截图可删除；</w:t>
              <w:br/>
              <w:t xml:space="preserve">3.添加点</w:t>
            </w:r>
            <w:r>
              <w:rPr>
                <w:rFonts w:hint="eastAsia" w:ascii="宋体" w:hAnsi="宋体" w:cs="宋体"/>
                <w:szCs w:val="21"/>
                <w:lang w:bidi="ar"/>
              </w:rPr>
              <w:t xml:space="preserve">评时关联实际时间，结束后跟回放相结合；</w:t>
              <w:br/>
              <w:t xml:space="preserve">4.点评内容支持文字、语音和图片，最多支持3张图片；</w:t>
              <w:br/>
              <w:t xml:space="preserve">5.评课老师支持查看自己的点评内容，支持编辑和删除自己的点评内容；主持人支持查看所有人的点评内容；</w:t>
              <w:br/>
              <w:t xml:space="preserve">6.支持多位线上评课教师在听评课过程中实时进行音视频沟通交流，且不影响主讲教师和其他听课教师。</w:t>
              <w:br/>
              <w:t xml:space="preserve">七、量表打分</w:t>
              <w:br/>
              <w:t xml:space="preserve">支持对教研活动时进行问卷打分。</w:t>
              <w:br/>
              <w:t xml:space="preserve">八、回放和统计</w:t>
              <w:br/>
              <w:t xml:space="preserve">1.支持研讨活动结束后，根据教研环节展示生成的回放；</w:t>
              <w:br/>
              <w:t xml:space="preserve">2.课堂回放和教研回放支持剪辑，支持选择下载模式下载；</w:t>
              <w:br/>
              <w:t xml:space="preserve">3.活动进行中和活动结束后，支持查看参与统计数据。</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683"/>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62</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数字化实验教研管理系统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一、教研活动</w:t>
              <w:br w:type="textWrapping" w:clear="all"/>
              <w:t xml:space="preserve">1.支持按照活动主题、学段学科、活动时间、状态筛选教研活动；</w:t>
              <w:br w:type="textWrapping" w:clear="all"/>
              <w:t xml:space="preserve">2.支持在后台新建教研活动，支持新建多场次教研活动；</w:t>
              <w:br w:type="textWrapping" w:clear="all"/>
              <w:t xml:space="preserve">3.支持查看教研活动详情，包括活动时</w:t>
            </w:r>
            <w:r>
              <w:rPr>
                <w:rFonts w:hint="eastAsia" w:ascii="宋体" w:hAnsi="宋体" w:cs="宋体"/>
                <w:szCs w:val="21"/>
                <w:lang w:bidi="ar"/>
              </w:rPr>
              <w:t xml:space="preserve">间、教研方式、授课课件、主讲教师、主持人、评课老师、听课教师，以及活动回放设置；</w:t>
              <w:br/>
              <w:t xml:space="preserve">4.支持对教研活动设置“账号登录和访客参与”或“仅账号登录”活动参与方式，设置教研活动是否公开展示；</w:t>
              <w:br/>
              <w:t xml:space="preserve">5.提供活动统计数据：支持查看教研中成员数据，如成员是否参会、入会次数、累计参会时长、首次参会时间、退会时间、发言时长、登录设备、登录区域；</w:t>
              <w:br/>
              <w:t xml:space="preserve">6.支持活动分享：支持通过二维码或者网页链接分享给其他成员；</w:t>
              <w:br/>
              <w:t xml:space="preserve">7.支持提供教研回放：支持在教研活动结束后，查看主讲教师的课堂回放或教研回放；</w:t>
              <w:br/>
              <w:t xml:space="preserve">8.支持对授课回放，开启语音转文字，查看视视</w:t>
            </w:r>
            <w:r>
              <w:rPr>
                <w:rFonts w:hint="eastAsia" w:ascii="宋体" w:hAnsi="宋体" w:cs="宋体"/>
                <w:szCs w:val="21"/>
                <w:lang w:bidi="ar"/>
              </w:rPr>
              <w:t xml:space="preserve">频中各个发言人的发言文本；</w:t>
              <w:br/>
              <w:t xml:space="preserve">9.支持对授课回放，开启生成纪要，支持导出纪要文件。围绕视频中的语音内容，生成主题摘要；</w:t>
              <w:br/>
              <w:t xml:space="preserve">10.支持导出转写文本、点评内容。</w:t>
              <w:br/>
              <w:t xml:space="preserve">二、教研统计</w:t>
              <w:br/>
              <w:t xml:space="preserve">1.支持查看整体教研数据，如教研活动数、场次数、总参与人数、总参与人次，支持按时间；</w:t>
              <w:br/>
              <w:t xml:space="preserve">2.支持查看教研活动数、教研活动参与数的日趋势分析，各学科教研活动数、各学科教研参与数的分布情况；</w:t>
              <w:br/>
              <w:t xml:space="preserve">3.支持查看教研活动参与人次Top10、活动平均观看时长Top10；</w:t>
              <w:br/>
              <w:t xml:space="preserve">4.支持查看用户属性数据，包括用户登录设备类型、用户登录区域分布、用户参与教研时长分布。</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63</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数字化实验资源平台</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1.门户可以查</w:t>
            </w:r>
            <w:r>
              <w:rPr>
                <w:rFonts w:hint="eastAsia" w:ascii="宋体" w:hAnsi="宋体" w:cs="宋体"/>
                <w:szCs w:val="21"/>
                <w:lang w:bidi="ar"/>
              </w:rPr>
              <w:t xml:space="preserve">看不同分类下（如教研活动、校本课程、自定义栏目）的文件资源，并筛选过滤不同分类的资源；</w:t>
              <w:br/>
              <w:t xml:space="preserve">2.当教研活动结束后，支持同步教研活动显示在门户网站中；</w:t>
              <w:br/>
              <w:t xml:space="preserve">3.支持上传资源：文件格式PPT演示文稿、pdf文档、word文档、excel表格、图片、音频视频；</w:t>
              <w:br/>
              <w:t xml:space="preserve">4.编辑资源：支持编辑已上传的资源文件的名称、关联学科等；</w:t>
              <w:br/>
              <w:t xml:space="preserve">5.分享资源：支持分享已上传的课程资源，通过网页链接或者二维码观看；</w:t>
              <w:br/>
              <w:t xml:space="preserve">6.支持新建课程：支持新建课程，设置课程学段学科、年级、册次、课程封面；</w:t>
              <w:br/>
              <w:t xml:space="preserve">7.添加资源：支持对课程添加已上传的课程资源或本地上传文件。</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1000"/>
        </w:trPr>
        <w:tc>
          <w:tcPr>
            <w:tcW w:w="638" w:type="dxa"/>
            <w:vAlign w:val="center"/>
            <w:textDirection w:val="lrTb"/>
            <w:noWrap/>
          </w:tcPr>
          <w:p>
            <w:pPr>
              <w:pStyle w:val="658"/>
              <w:jc w:val="center"/>
              <w:widowControl/>
              <w:rPr>
                <w:rFonts w:hint="eastAsia" w:ascii="宋体" w:hAnsi="宋体" w:cs="宋体"/>
                <w:szCs w:val="21"/>
              </w:rPr>
            </w:pPr>
            <w:r>
              <w:rPr>
                <w:rFonts w:hint="eastAsia" w:ascii="宋体" w:hAnsi="宋体" w:cs="宋体"/>
                <w:szCs w:val="21"/>
                <w:lang w:bidi="ar"/>
              </w:rPr>
              <w:t xml:space="preserve">64</w:t>
            </w:r>
            <w:r>
              <w:rPr>
                <w:rFonts w:hint="eastAsia" w:ascii="宋体" w:hAnsi="宋体" w:cs="宋体"/>
                <w:szCs w:val="21"/>
              </w:rPr>
            </w:r>
            <w:r/>
          </w:p>
        </w:tc>
        <w:tc>
          <w:tcPr>
            <w:tcW w:w="1060"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数字化实验后台管理系统</w:t>
            </w:r>
            <w:r>
              <w:rPr>
                <w:rFonts w:hint="eastAsia" w:ascii="宋体" w:hAnsi="宋体" w:cs="宋体"/>
                <w:szCs w:val="21"/>
              </w:rPr>
            </w:r>
            <w:r/>
          </w:p>
        </w:tc>
        <w:tc>
          <w:tcPr>
            <w:tcW w:w="7702" w:type="dxa"/>
            <w:vAlign w:val="center"/>
            <w:textDirection w:val="lrTb"/>
            <w:noWrap w:val="false"/>
          </w:tcPr>
          <w:p>
            <w:pPr>
              <w:pStyle w:val="658"/>
              <w:jc w:val="left"/>
              <w:widowControl/>
              <w:rPr>
                <w:rFonts w:hint="eastAsia" w:ascii="宋体" w:hAnsi="宋体" w:cs="宋体"/>
                <w:szCs w:val="21"/>
              </w:rPr>
            </w:pPr>
            <w:r>
              <w:rPr>
                <w:rFonts w:hint="eastAsia" w:ascii="宋体" w:hAnsi="宋体" w:cs="宋体"/>
                <w:szCs w:val="21"/>
                <w:lang w:bidi="ar"/>
              </w:rPr>
              <w:t xml:space="preserve">一、教师管理</w:t>
              <w:br w:type="textWrapping" w:clear="all"/>
              <w:t xml:space="preserve">1.支持创建老师账号：支持在创建账号时，设置老师的基本信息，包括姓名、密码、用户名、性别、职工号、手机号码、邮箱、备注、所属校区、所在教</w:t>
            </w:r>
            <w:r>
              <w:rPr>
                <w:rFonts w:hint="eastAsia" w:ascii="宋体" w:hAnsi="宋体" w:cs="宋体"/>
                <w:szCs w:val="21"/>
                <w:lang w:bidi="ar"/>
              </w:rPr>
              <w:t xml:space="preserve">研备课组。并支持对老师账号进行编辑、删除、禁用、重置密码、批量删除、批量禁用、批量启用操作；</w:t>
              <w:br/>
              <w:t xml:space="preserve">2.支持批量导入、导出老师账号；</w:t>
              <w:br/>
              <w:t xml:space="preserve">3.支持调整组织架构：支持在不同的组织架构下添加、移除教师；</w:t>
              <w:br/>
              <w:t xml:space="preserve">4.支持新建或编辑教师信息时，设置老师在管理后台的模块权限。</w:t>
              <w:br/>
              <w:t xml:space="preserve">二、教研组管理</w:t>
              <w:br/>
              <w:t xml:space="preserve">1.支持创建教研组，可设置一名或者多名教研组组长；</w:t>
              <w:br/>
              <w:t xml:space="preserve">2.支持在学科教研组下创建备课组，支持添加、批量导入、导出备课教师，设置多名备课组组长。</w:t>
              <w:br/>
              <w:t xml:space="preserve">三、备课活动</w:t>
              <w:br/>
              <w:t xml:space="preserve">1.支持按照学年、学段学科、年级册次、关键词搜索筛选备课；</w:t>
              <w:br/>
              <w:t xml:space="preserve">2.支持编辑备课，包括名称、</w:t>
            </w:r>
            <w:r>
              <w:rPr>
                <w:rFonts w:hint="eastAsia" w:ascii="宋体" w:hAnsi="宋体" w:cs="宋体"/>
                <w:szCs w:val="21"/>
                <w:lang w:bidi="ar"/>
              </w:rPr>
              <w:t xml:space="preserve">学段学科、备课组、年级、册次、封面信息；</w:t>
              <w:br/>
              <w:t xml:space="preserve">3.支持不同角色的用户对备课画布拥有不同的权限；</w:t>
              <w:br/>
              <w:t xml:space="preserve">4.支持删除备课画布。</w:t>
              <w:br/>
              <w:t xml:space="preserve">四、备课统计</w:t>
              <w:br/>
              <w:t xml:space="preserve">1.支持对备课整体数据的统计，可以筛选不同学年的数据，选择日期范围查看数据。</w:t>
              <w:br/>
              <w:t xml:space="preserve">整体数据包括查看日期范围内的：</w:t>
              <w:br/>
              <w:t xml:space="preserve">（1）本校总备课数、参备教师数、访问次数、视频会议数、文件数；</w:t>
              <w:br/>
              <w:t xml:space="preserve">（2）每日新增备课数、每日备课访问数；</w:t>
              <w:br/>
              <w:t xml:space="preserve">（3）各学科的备课数、备课访问数、备课文件数、视频会议数；</w:t>
              <w:br/>
              <w:t xml:space="preserve">（4）各年级的备课数分布；备课数Top10的备课组、文件数Top10的备课组、备课访问数Top10的备课组。</w:t>
            </w:r>
            <w:r>
              <w:rPr>
                <w:rFonts w:hint="eastAsia" w:ascii="宋体" w:hAnsi="宋体" w:cs="宋体"/>
                <w:szCs w:val="21"/>
                <w:lang w:bidi="ar"/>
              </w:rPr>
              <w:br/>
              <w:t xml:space="preserve">2.支持统计备课详情数据，可以筛选查看不同学年的教研组、备课组数据。</w:t>
              <w:br/>
              <w:t xml:space="preserve">详情数据包括：</w:t>
              <w:br/>
              <w:t xml:space="preserve">（1）教研组数据：该学年的总备课数、备课访问次数、视频会议数、文件数，查看本周新增数据；</w:t>
              <w:br/>
              <w:t xml:space="preserve">（2）备课组数据包括：</w:t>
              <w:br/>
              <w:t xml:space="preserve">a.查看某教研组下所有备课组数据；</w:t>
              <w:br/>
              <w:t xml:space="preserve">b.查看所有备课组的备课详情、会议详情、成员详情维度的数据；</w:t>
              <w:br/>
              <w:t xml:space="preserve">c.备课详情，统计该备课组参与的所有备课画布数据，指标包括备课名称、创建人、实际参备人数、总访问次数、文件数、批注数、便签数、视频会议数、总会议时长、单场会议平均时长；</w:t>
              <w:br/>
              <w:t xml:space="preserve">d.会议详情，统计该备课组参与的备课画布中</w:t>
            </w:r>
            <w:r>
              <w:rPr>
                <w:rFonts w:hint="eastAsia" w:ascii="宋体" w:hAnsi="宋体" w:cs="宋体"/>
                <w:szCs w:val="21"/>
                <w:lang w:bidi="ar"/>
              </w:rPr>
              <w:t xml:space="preserve">的所有会议数据，指标包括会议名称、会议时间、主持人、参会人数、实际会议时长、用户平均参会时长；</w:t>
              <w:br/>
              <w:t xml:space="preserve">e.成员详情，统计该备课组的备课成员的参与数据，指标包括用户姓名、参与备课数、总访问次数、文件数、批注数、便签数、文本数、参与会议场次等；</w:t>
              <w:br/>
              <w:t xml:space="preserve">3.支持导出教研组下所有备课组的详情数据。</w:t>
              <w:br/>
              <w:t xml:space="preserve">五、门户管理</w:t>
              <w:br/>
              <w:t xml:space="preserve">1.平台门户：支持在管理后台查看门户基本信息，包括门户网址、门户logo；</w:t>
              <w:br/>
              <w:t xml:space="preserve">2.栏目设置：支持设置前台门户的栏目，如首页、教研活动、校本课程、自定义栏目等，支持设置栏目是否展示、排序；</w:t>
              <w:br/>
              <w:t xml:space="preserve">3.自定义栏目：支持添加自定义栏</w:t>
            </w:r>
            <w:r>
              <w:rPr>
                <w:rFonts w:hint="eastAsia" w:ascii="宋体" w:hAnsi="宋体" w:cs="宋体"/>
                <w:szCs w:val="21"/>
                <w:lang w:bidi="ar"/>
              </w:rPr>
              <w:t xml:space="preserve">目，并在栏目内容管理中设置分类、上传文件、是否允许下载，发布后，文件在前台门户展示；</w:t>
              <w:br/>
              <w:t xml:space="preserve">4.门户首页：支持设置门户首页，在内容管理中添加、编辑文章内容，发布后，文章在前台门户展示；</w:t>
              <w:br/>
              <w:t xml:space="preserve">5.支持对门户新建栏目添加超链接。</w:t>
              <w:br/>
              <w:t xml:space="preserve">六、画布管理</w:t>
              <w:br/>
              <w:t xml:space="preserve">1.支持查看总画布数、实际用户数、总访问次数、总视频会议数、总文件数；</w:t>
              <w:br/>
              <w:t xml:space="preserve">2.列表显示每个画布的画布名称、画布路径、创建人、创建时间、最近访问时间、访问次数、文件数、视频会议数；</w:t>
              <w:br/>
              <w:t xml:space="preserve">3.支持按日期、画布名称或创建人筛选查看画布列表。</w:t>
              <w:br/>
              <w:t xml:space="preserve">七、设置</w:t>
              <w:br/>
              <w:t xml:space="preserve">1.学科设置：支持学校按照学段自定义管理学</w:t>
            </w:r>
            <w:r>
              <w:rPr>
                <w:rFonts w:hint="eastAsia" w:ascii="宋体" w:hAnsi="宋体" w:cs="宋体"/>
                <w:szCs w:val="21"/>
                <w:lang w:bidi="ar"/>
              </w:rPr>
              <w:t xml:space="preserve">科；</w:t>
              <w:br/>
              <w:t xml:space="preserve">2.年级配置：支持按照学段的各年级入学年份，系统自动或手动完成升级；</w:t>
              <w:br/>
              <w:t xml:space="preserve">3.作息表设置：支持设置各年级的的作息表；</w:t>
              <w:br/>
              <w:t xml:space="preserve">4.基础设置：支持设置课堂参数、后台参数、后台logo、工作台名称、画布模板。支持机构校区自定义设置教研活动类型；</w:t>
              <w:br/>
              <w:t xml:space="preserve">5.支持对不同学段、学科、教材设置章节内容；</w:t>
              <w:br/>
              <w:t xml:space="preserve">6.支持按照学段、学科进行知识点设置，支持三级知识点设置；</w:t>
              <w:br/>
              <w:t xml:space="preserve">7.支持管理员查看后台管理系统中常用模块的用户操作记录。</w:t>
              <w:br/>
              <w:t xml:space="preserve">八、任务中心</w:t>
              <w:br/>
              <w:t xml:space="preserve">1.支持在任务中心查看课堂回放和教研回放的下载记录；</w:t>
              <w:br/>
              <w:t xml:space="preserve">2.支持在任务中心查看教研评课记录导出记录。</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639" w:type="dxa"/>
            <w:vAlign w:val="center"/>
            <w:textDirection w:val="lrTb"/>
            <w:noWrap w:val="false"/>
          </w:tcPr>
          <w:p>
            <w:pPr>
              <w:pStyle w:val="658"/>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bl>
    <w:p>
      <w:pPr>
        <w:pStyle w:val="658"/>
        <w:ind w:firstLine="482"/>
        <w:spacing w:line="560" w:lineRule="exact"/>
        <w:rPr>
          <w:b/>
          <w:bCs/>
          <w:sz w:val="24"/>
        </w:rPr>
      </w:pPr>
      <w:r>
        <w:rPr>
          <w:rFonts w:hint="eastAsia"/>
          <w:b/>
          <w:bCs/>
          <w:sz w:val="24"/>
        </w:rPr>
        <w:t xml:space="preserve">采购包2：</w:t>
      </w:r>
      <w:r>
        <w:rPr>
          <w:b/>
          <w:bCs/>
          <w:sz w:val="24"/>
        </w:rPr>
      </w:r>
      <w:r/>
    </w:p>
    <w:tbl>
      <w:tblPr>
        <w:tblpPr w:horzAnchor="page" w:tblpX="717" w:vertAnchor="text" w:tblpY="555" w:leftFromText="180" w:topFromText="0" w:rightFromText="180" w:bottomFromText="0"/>
        <w:tblW w:w="5056" w:type="pct"/>
        <w:tblInd w:w="0" w:type="dxa"/>
        <w:tblLayout w:type="fixed"/>
        <w:tblCellMar>
          <w:left w:w="108" w:type="dxa"/>
          <w:top w:w="0" w:type="dxa"/>
          <w:right w:w="108" w:type="dxa"/>
          <w:bottom w:w="0" w:type="dxa"/>
        </w:tblCellMar>
        <w:tblLook w:val="04A0" w:firstRow="1" w:lastRow="0" w:firstColumn="1" w:lastColumn="0" w:noHBand="0" w:noVBand="1"/>
      </w:tblPr>
      <w:tblGrid>
        <w:gridCol w:w="698"/>
        <w:gridCol w:w="1199"/>
        <w:gridCol w:w="7406"/>
        <w:gridCol w:w="754"/>
        <w:gridCol w:w="745"/>
      </w:tblGrid>
      <w:tr>
        <w:trPr>
          <w:trHeight w:val="499"/>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b/>
                <w:bCs/>
                <w:szCs w:val="21"/>
              </w:rPr>
              <w:framePr w:hSpace="180" w:wrap="around" w:vAnchor="text" w:hAnchor="page" w:x="717" w:y="555"/>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658"/>
              <w:jc w:val="center"/>
              <w:widowControl/>
              <w:rPr>
                <w:rFonts w:hint="eastAsia" w:ascii="宋体" w:hAnsi="宋体" w:cs="宋体"/>
                <w:b/>
                <w:bCs/>
                <w:szCs w:val="21"/>
              </w:rPr>
              <w:framePr w:hSpace="180" w:wrap="around" w:vAnchor="text" w:hAnchor="page" w:x="717" w:y="555"/>
            </w:pPr>
            <w:r>
              <w:rPr>
                <w:rFonts w:hint="eastAsia" w:ascii="宋体" w:hAnsi="宋体" w:cs="宋体"/>
                <w:b/>
                <w:bCs/>
                <w:szCs w:val="21"/>
                <w:lang w:bidi="ar"/>
              </w:rPr>
              <w:t xml:space="preserve">设备名称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center"/>
              <w:widowControl/>
              <w:rPr>
                <w:rFonts w:hint="eastAsia" w:ascii="宋体" w:hAnsi="宋体" w:cs="宋体"/>
                <w:b/>
                <w:bCs/>
                <w:szCs w:val="21"/>
              </w:rPr>
              <w:framePr w:hSpace="180" w:wrap="around" w:vAnchor="text" w:hAnchor="page" w:x="717" w:y="555"/>
            </w:pPr>
            <w:r>
              <w:rPr>
                <w:rFonts w:hint="eastAsia" w:ascii="宋体" w:hAnsi="宋体" w:cs="宋体"/>
                <w:b/>
                <w:bCs/>
                <w:szCs w:val="21"/>
                <w:lang w:bidi="ar"/>
              </w:rPr>
              <w:t xml:space="preserve">技术参数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b/>
                <w:bCs/>
                <w:szCs w:val="21"/>
              </w:rPr>
              <w:framePr w:hSpace="180" w:wrap="around" w:vAnchor="text" w:hAnchor="page" w:x="717" w:y="555"/>
            </w:pPr>
            <w:r>
              <w:rPr>
                <w:rFonts w:hint="eastAsia" w:ascii="宋体" w:hAnsi="宋体" w:cs="宋体"/>
                <w:b/>
                <w:bCs/>
                <w:szCs w:val="21"/>
                <w:lang w:bidi="ar"/>
              </w:rPr>
              <w:t xml:space="preserve">数量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b/>
                <w:bCs/>
                <w:szCs w:val="21"/>
              </w:rPr>
              <w:framePr w:hSpace="180" w:wrap="around" w:vAnchor="text" w:hAnchor="page" w:x="717" w:y="555"/>
            </w:pPr>
            <w:r>
              <w:rPr>
                <w:rFonts w:hint="eastAsia" w:ascii="宋体" w:hAnsi="宋体" w:cs="宋体"/>
                <w:b/>
                <w:bCs/>
                <w:szCs w:val="21"/>
                <w:lang w:bidi="ar"/>
              </w:rPr>
              <w:t xml:space="preserve">单位</w:t>
            </w:r>
            <w:r>
              <w:rPr>
                <w:rFonts w:hint="eastAsia" w:ascii="宋体" w:hAnsi="宋体" w:cs="宋体"/>
                <w:b/>
                <w:bCs/>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力传感器A</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1.可用于测拉力（显示正值）和压力（显示负值）；</w:t>
              <w:br w:type="textWrapping" w:clear="all"/>
              <w:t xml:space="preserve">2.性能：测量范围</w:t>
            </w:r>
            <w:r>
              <w:rPr>
                <w:rFonts w:hint="eastAsia" w:ascii="宋体" w:hAnsi="宋体" w:cs="宋体"/>
                <w:szCs w:val="21"/>
                <w:lang w:bidi="ar"/>
              </w:rPr>
              <w:t xml:space="preserve">：-20N～+20N；分度：≤0.01N；≤准确度：0.1N；采样率≥5kHz；</w:t>
              <w:br/>
              <w:t xml:space="preserve">3.结构：手柄式结构，由传感器数据处理电路和金属测钩构成，通过螺纹连接；</w:t>
              <w:br/>
              <w:t xml:space="preserve">4.外壳设计螺丝孔位，可将传感器固定在多种操作平台和装置上；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7.设有调零按键，支持硬件数据调零和软件数据调零；</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微力传感器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1.可用于测拉力（显示正值）和压力（显示负值）；</w:t>
              <w:br w:type="textWrapping" w:clear="all"/>
              <w:t xml:space="preserve">2.性能：测量范围</w:t>
            </w:r>
            <w:r>
              <w:rPr>
                <w:rFonts w:hint="eastAsia" w:ascii="宋体" w:hAnsi="宋体" w:cs="宋体"/>
                <w:szCs w:val="21"/>
                <w:lang w:bidi="ar"/>
              </w:rPr>
              <w:t xml:space="preserve">：-2N～+2N；分度：≤0.001N；准确度：≤0.04N；采样率≥5kHz；</w:t>
              <w:br/>
              <w:t xml:space="preserve">3.结构：手柄式结构，由传感器数据处理电路和金属测钩构成，通过螺纹连接；</w:t>
              <w:br/>
              <w:t xml:space="preserve">4.外壳设计螺丝孔位，可将传感器固定在多种操作平台和装置上；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7.设有调零按键，支持硬件数据调零和软件数据调零；</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分体式位移传感器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1.用于测量待测物体的位移和距离，无测量盲区；</w:t>
              <w:br w:type="textWrapping" w:clear="all"/>
              <w:t xml:space="preserve">2.性能：测量范围：0cm～200cm，分度：≤1mm；准确度：≤0.8cm（≤100cm）、≤2cm（＞100cm）；采样率≥50Hz；</w:t>
              <w:br w:type="textWrapping" w:clear="all"/>
              <w:t xml:space="preserve">3.结构：由发射器与接收器构成，发射器由一节7号电池供电，易与现有实验装置</w:t>
            </w:r>
            <w:r>
              <w:rPr>
                <w:rFonts w:hint="eastAsia" w:ascii="宋体" w:hAnsi="宋体" w:cs="宋体"/>
                <w:szCs w:val="21"/>
                <w:lang w:bidi="ar"/>
              </w:rPr>
              <w:t xml:space="preserve">（运动小车、弹簧振子等）组合。接收器与采集器连接，接收发射器发出的信号，并显示与发射器前沿之间的距离，外壳边缘放置弹簧圈厚≥0.5mm，内径≥3.5mm，方便实验时连接挂钩进行牵引，完成各种移动类别的实验；</w:t>
              <w:br/>
              <w:t xml:space="preserve">4.外壳设计螺丝孔位，可将传感器固定在多种操作平台和装置上；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光电门传感器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lang w:bidi="ar"/>
              </w:rPr>
              <w:t xml:space="preserve">用于测量待测物体（U型、I型）经过传感器测量位置的挡光时间及待测物体经过传感器的次数；</w:t>
              <w:br/>
              <w:t xml:space="preserve">2.性能：分度：≤2μs；准确度：≤20μs；采样率≥20kHz；</w:t>
              <w:br/>
              <w:t xml:space="preserve">3.结构：采用U型结构，在U型门两侧分别内置红外发光管和红外光电接收管，U型门间距为≤50mm；在侧边和顶端分别内置固定螺母，方便光电门多方位固定方式使用；</w:t>
              <w:br/>
              <w:t xml:space="preserve">4.由高强度塑料外壳封装，采用注塑工艺，材质为黑色ABS。外壳设计螺丝孔位，可将传感器固定在多种操作平台和装置上；</w:t>
              <w:br/>
              <w:t xml:space="preserve">5.接口具有方向性和自锁功能，可以防止传感器在使用过程中脱落，保证数据传输稳定；</w:t>
              <w:br/>
            </w:r>
            <w:r>
              <w:rPr>
                <w:rFonts w:hint="eastAsia" w:ascii="宋体" w:hAnsi="宋体" w:cs="宋体"/>
                <w:szCs w:val="21"/>
                <w:lang w:bidi="ar"/>
              </w:rPr>
              <w:t xml:space="preserve">6.模块化、可热插拔设计，支持有线通讯、无线通讯和屏幕数据显示三种工作方式；</w:t>
              <w:br w:type="textWrapping" w:clear="all"/>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温度传感器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1.用于测量待测物体或溶液的温度；</w:t>
              <w:br w:type="textWrapping" w:clear="all"/>
              <w:t xml:space="preserve">2.性能：测量范围：-50℃～+200℃；分度：≤0.1℃；准确度：≤0.5℃；采样率≥5kHz；</w:t>
              <w:br w:type="textWrapping" w:clear="all"/>
              <w:t xml:space="preserve">3.结构：由传感器数据</w:t>
            </w:r>
            <w:r>
              <w:rPr>
                <w:rFonts w:hint="eastAsia" w:ascii="宋体" w:hAnsi="宋体" w:cs="宋体"/>
                <w:szCs w:val="21"/>
                <w:lang w:bidi="ar"/>
              </w:rPr>
              <w:t xml:space="preserve">处理电路和不锈钢探针构成，通过≤3.5mm同轴音频插头连接，不锈钢部分：长度≤10.5cm，直径≤3.0mm；探头把手：长度≤9.5cm，直径≤1.23cm。与传感器连接部分采用黑色两芯线，线长≤75cm；</w:t>
              <w:br/>
              <w:t xml:space="preserve">4.外壳设计螺丝孔位，可将传感器固定在多种操作平台和装置上；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高温传感器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1.用于测量酒精灯火焰温度、锡的熔点等；</w:t>
              <w:br w:type="textWrapping" w:clear="all"/>
              <w:t xml:space="preserve">2.性能：测量范围：0～1200℃；分度：≤1℃；准确度：环境空气中：≤5℃；远红外加热炉：≤10℃；采样率≥5kHz；</w:t>
              <w:br w:type="textWrapping" w:clear="all"/>
              <w:t xml:space="preserve">3.原理：传感器的敏感元件为热电偶。当导体的两个接触点1和2之间存在温差时，两者之间便产生电动势U，通过传感器电路处理后即可转换为温度的变化；</w:t>
              <w:br w:type="textWrapping" w:clear="all"/>
              <w:t xml:space="preserve">4.结构：使用</w:t>
            </w:r>
            <w:r>
              <w:rPr>
                <w:rFonts w:hint="eastAsia" w:ascii="宋体" w:hAnsi="宋体" w:cs="宋体"/>
                <w:szCs w:val="21"/>
                <w:lang w:bidi="ar"/>
              </w:rPr>
              <w:t xml:space="preserve">不锈钢探针，不锈钢部分：长度≥10.5cm，直径≥3.0mm；探头把手：长度≥15.5cm，直径≥1.23cm。与传感器连接部分采用高精度、耐高温屏蔽线，线长≥58cm；</w:t>
              <w:br/>
              <w:t xml:space="preserve">5.传感器尺寸：≥80*40*25mm，外壳设计螺丝孔位，可将传感器固定在多种操作平台和装置上；</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压强传感器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1.用于直接测量气体的绝对压强；配件：≥20mL注射器；</w:t>
              <w:br w:type="textWrapping" w:clear="all"/>
              <w:t xml:space="preserve">2.性能：测量范围：0kPa～700kPa；分度：≤0.1kPa；准确度：≤1kPa；采样率≥5kHz；</w:t>
              <w:br w:type="textWrapping" w:clear="all"/>
              <w:t xml:space="preserve">3.范围：0到210千帕(0到2.1大气压或0到1600毫米-汞柱)；最大不会导致永久性破坏压力：≤405千帕(≤4大气压)；使用工厂校准的准确度：±4kPa；在空气</w:t>
            </w:r>
            <w:r>
              <w:rPr>
                <w:rFonts w:hint="eastAsia" w:ascii="宋体" w:hAnsi="宋体" w:cs="宋体"/>
                <w:szCs w:val="21"/>
                <w:lang w:bidi="ar"/>
              </w:rPr>
              <w:t xml:space="preserve">中使用单点自定义校准的准确度：±3kPa；反应时间：≤10毫秒；内部体积：≥0.8mL；</w:t>
              <w:br/>
              <w:t xml:space="preserve">4.结构：塑料软管内径≥φ4mm、外径≥φ6mm，长≥55mm；</w:t>
              <w:br/>
              <w:t xml:space="preserve">5.外壳设计螺丝孔位，可将传感器固定在多种操作平台和装置上；</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8.设有调零按键，支持硬件数据调零和软件数据调零；</w:t>
              <w:br/>
              <w:t xml:space="preserve">9.可应用于Windows、Android、iOS、麒麟、统信、鸿蒙操作系统平台。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332"/>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相对压强传感器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1.用于测量气体的相对压强；</w:t>
              <w:br w:type="textWrapping" w:clear="all"/>
              <w:t xml:space="preserve">2.性能：测量范围：-20kPa～+20kPa；分度：≤0.01kPa；准确度：≤0.2kPa；采样率≥5kHz；</w:t>
              <w:br w:type="textWrapping" w:clear="all"/>
              <w:t xml:space="preserve">3.结构：塑</w:t>
            </w:r>
            <w:r>
              <w:rPr>
                <w:rFonts w:hint="eastAsia" w:ascii="宋体" w:hAnsi="宋体" w:cs="宋体"/>
                <w:szCs w:val="21"/>
                <w:lang w:bidi="ar"/>
              </w:rPr>
              <w:t xml:space="preserve">料软管外径≤φ6mm，内径≤φ4mm，长≤65mm，并增加配备一个塑料软管外径≤φ4mm，内径≤φ2.5mm，长≤15mm，方便可以连接多种设备进行实验；</w:t>
              <w:br/>
              <w:t xml:space="preserve">4.外壳设计螺丝孔位，可将传感器固定在多种操作平台和装置上；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7.设有调零按键，支持硬件数据调零和软件数据调零；</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38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声波/声级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1.用于测量声音的波形和强度，研究声音的频率、周期、振</w:t>
            </w:r>
            <w:r>
              <w:rPr>
                <w:rFonts w:hint="eastAsia" w:ascii="宋体" w:hAnsi="宋体" w:cs="宋体"/>
                <w:szCs w:val="21"/>
                <w:lang w:bidi="ar"/>
              </w:rPr>
              <w:t xml:space="preserve">幅等特征。</w:t>
              <w:br/>
              <w:t xml:space="preserve">2.性能：声波频率测量范围：20Hz～20kHz。声级测量范围：20dB～130dB，分度：≤0.1dB；准确度：声级：≤4dB；声波：≤10Hz；声波采样率≥20kHz；声级采样率≥5kHz；</w:t>
              <w:br/>
              <w:t xml:space="preserve">3.外壳设计螺丝孔位，可将传感器固定在多种操作平台和装置上；</w:t>
              <w:br/>
              <w:t xml:space="preserve">4.接口具有方向性和自锁功能，可以防止传感器在使用过程中脱落，保证数据传输稳定；</w:t>
              <w:br/>
              <w:t xml:space="preserve">5.模块化、可热插拔设计，支持有线通讯、无线通讯和屏幕数据显示三种工作方式；</w:t>
              <w:br/>
              <w:t xml:space="preserve">6.可应用于Windows、Android、iOS、麒麟、统信、鸿蒙操作系统平台。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双量程光照度传感器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1.用于测量光照度；</w:t>
              <w:br w:type="textWrapping" w:clear="all"/>
              <w:t xml:space="preserve">2.性能：测量范围：0 lx～600</w:t>
            </w:r>
            <w:r>
              <w:rPr>
                <w:rFonts w:hint="eastAsia" w:ascii="宋体" w:hAnsi="宋体" w:cs="宋体"/>
                <w:szCs w:val="21"/>
                <w:lang w:bidi="ar"/>
              </w:rPr>
              <w:t xml:space="preserve">0lx、0 lx～60000lx，分度：≤1lx；准确度：≤100lx或≤10%（读数的）取大值；采样率≥5kHz；</w:t>
              <w:br/>
              <w:t xml:space="preserve">3.结构：传感器尺寸：≥80*40*25mm，外壳设计螺丝孔位，可将传感器固定在多种操作平台和装置上；</w:t>
              <w:br/>
              <w:t xml:space="preserve">4.接口具有方向性和自锁功能，可以防止传感器在使用过程中脱落，保证数据传输稳定；</w:t>
              <w:br/>
              <w:t xml:space="preserve">5.模块化、可热插拔设计，支持有线通讯、无线通讯和屏幕数据显示三种工作方式；</w:t>
              <w:br/>
              <w:t xml:space="preserve">6.设有量程切换按键，支持硬件切换传感器量程；</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电流传感器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1.用于测量电路中的电流数据；</w:t>
              <w:br w:type="textWrapping" w:clear="all"/>
              <w:t xml:space="preserve">2.性能：测量范围：-3A～+3A；分度：≤0.01A；</w:t>
              <w:br w:type="textWrapping" w:clear="all"/>
              <w:t xml:space="preserve">  测量范围：-300mA～+300mA；分度：≤0.1mA；</w:t>
              <w:br w:type="textWrapping" w:clear="all"/>
              <w:t xml:space="preserve">  测量范围：-30mA～+30mA；分度：≤0.01 mA；</w:t>
              <w:br w:type="textWrapping" w:clear="all"/>
              <w:t xml:space="preserve">  准确度：±3A档：≤0.03A；±300mA档：≤2mA；±30mA档：≤1mA；采样率≥5kHz；</w:t>
              <w:br w:type="textWrapping" w:clear="all"/>
              <w:t xml:space="preserve">3.技术指标：容抗：</w:t>
            </w:r>
            <w:r>
              <w:rPr>
                <w:rFonts w:hint="eastAsia" w:ascii="宋体" w:hAnsi="宋体" w:cs="宋体"/>
                <w:szCs w:val="21"/>
                <w:lang w:bidi="ar"/>
              </w:rPr>
              <w:t xml:space="preserve">≤202pF，阻抗：≤0.05Ω；</w:t>
              <w:br/>
              <w:t xml:space="preserve">4.结构：带≤AVR 0.75mm²的红黑鳄鱼夹线，长度≤0.6m。</w:t>
              <w:br/>
              <w:t xml:space="preserve">5.外壳设计螺丝孔位，可将传感器固定在多种操作平台和装置上；</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8.设有调零按键，支持硬件数据调零和软件数据调零；</w:t>
              <w:br/>
              <w:t xml:space="preserve">9.设有量程切换按键，支持硬件切换传感器量程；</w:t>
              <w:br/>
              <w:t xml:space="preserve">10.可应用于Windows、Android、iOS、麒麟、统信、鸿蒙操作系统平台。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微电流传感器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1.用于测量电路中的微小的电流数据；</w:t>
              <w:br w:type="textWrapping" w:clear="all"/>
              <w:t xml:space="preserve">2.性能：测量范围：-5μA～+5μA；分度：≤0.01μA；准确度：≤0.03μA；采样率≥5kHz；</w:t>
              <w:br w:type="textWrapping" w:clear="all"/>
              <w:t xml:space="preserve">3.技术指标：容抗：≤202p</w:t>
            </w:r>
            <w:r>
              <w:rPr>
                <w:rFonts w:hint="eastAsia" w:ascii="宋体" w:hAnsi="宋体" w:cs="宋体"/>
                <w:szCs w:val="21"/>
                <w:lang w:bidi="ar"/>
              </w:rPr>
              <w:t xml:space="preserve">F，阻抗：≤2kΩ；</w:t>
              <w:br/>
              <w:t xml:space="preserve">4.结构：与传感器连接处，使用线长≤50cm的2芯屏蔽线，避免干扰，另外使用长度≤10cm的红黑鳄鱼夹线与屏蔽线连接，方便各种实验；</w:t>
              <w:br/>
              <w:t xml:space="preserve">5.外壳设计螺丝孔位，可将传感器固定在多种操作平台和装置上；</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8.设有调零按键，支持硬件数据调零和软件数据调零；</w:t>
              <w:br/>
              <w:t xml:space="preserve">9.可应用于Windows、Android、iOS、麒麟、统信、鸿蒙操作系统平台。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电压传感器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1.用于测量电路中的电压数据；</w:t>
              <w:br w:type="textWrapping" w:clear="all"/>
              <w:t xml:space="preserve">2.性能：测量范围：-20V～+20V；分度：≤0.01V；</w:t>
              <w:br w:type="textWrapping" w:clear="all"/>
              <w:t xml:space="preserve">3.测量范围：-2V～+2V；分度：≤0.001V；</w:t>
              <w:br w:type="textWrapping" w:clear="all"/>
              <w:t xml:space="preserve">  测量范围：-0.2V～+0.2V；分度：≤0.1mV；</w:t>
              <w:br w:type="textWrapping" w:clear="all"/>
              <w:t xml:space="preserve">  准确度：±2.0V档：≤0.01V；±20V档：≤0.04V；±0.2V档：≤1.5mV；采样率≥5kHz；</w:t>
              <w:br w:type="textWrapping" w:clear="all"/>
              <w:t xml:space="preserve">4.技术指标：容抗</w:t>
            </w:r>
            <w:r>
              <w:rPr>
                <w:rFonts w:hint="eastAsia" w:ascii="宋体" w:hAnsi="宋体" w:cs="宋体"/>
                <w:szCs w:val="21"/>
                <w:lang w:bidi="ar"/>
              </w:rPr>
              <w:t xml:space="preserve">：≤202pF，阻抗：≤1MΩ；</w:t>
              <w:br/>
              <w:t xml:space="preserve">5.结构：带≤AVR 0.75mm²的红黑鳄鱼夹线，长度≤0.6m；</w:t>
              <w:br/>
              <w:t xml:space="preserve">6.外壳设计螺丝孔位，可将传感器固定在多种操作平台和装置上；</w:t>
              <w:br/>
              <w:t xml:space="preserve">7.接口具有方向性和自锁功能，可以防止传感器在使用过程中脱落，保证数据传输稳定；</w:t>
              <w:br/>
              <w:t xml:space="preserve">8.模块化、可热插拔设计，支持有线通讯、无线通讯和屏幕数据显示三种工作方式；</w:t>
              <w:br/>
              <w:t xml:space="preserve">9.设有调零按键，支持硬件数据调零和软件数据调零；</w:t>
              <w:br/>
              <w:t xml:space="preserve">10.设有量程切换按键，支持硬件切换传感器量程；</w:t>
              <w:br/>
              <w:t xml:space="preserve">11.可应用于Windows、Android、iOS、麒麟、统信、鸿蒙操作系统平台。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pH传感器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1.用于测量溶液中的pH，可测量有色溶液的酸碱度；</w:t>
              <w:br w:type="textWrapping" w:clear="all"/>
              <w:t xml:space="preserve">2.性能：测量范围：0～14；分度：≤0.01；准确度：≤0.15；采样率≥5kHz；</w:t>
              <w:br w:type="textWrapping" w:clear="all"/>
              <w:t xml:space="preserve">3.温度范围：0℃～80℃（塑壳）,0℃～</w:t>
            </w:r>
            <w:r>
              <w:rPr>
                <w:rFonts w:hint="eastAsia" w:ascii="宋体" w:hAnsi="宋体" w:cs="宋体"/>
                <w:szCs w:val="21"/>
                <w:lang w:bidi="ar"/>
              </w:rPr>
              <w:t xml:space="preserve">100℃（玻璃），电缆长度：≤1m，电极杆长度：≤120mm，电极杆直径：≤12mm；</w:t>
              <w:br/>
              <w:t xml:space="preserve">4.结构：使用BNC连接器方式与电极连接；具有快速响应的特点，测量数据能在≤5秒内达到真实值的90%，≤10秒内稳定；</w:t>
              <w:br/>
              <w:t xml:space="preserve">5.外壳设计螺丝孔位，可将传感器固定在多种操作平台和装置上；</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电导率传感器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1.用于测量溶液的导电能力；</w:t>
              <w:br w:type="textWrapping" w:clear="all"/>
              <w:t xml:space="preserve">2.性能：测量范围：0</w:t>
            </w:r>
            <w:r>
              <w:rPr>
                <w:rFonts w:hint="eastAsia" w:ascii="宋体" w:hAnsi="宋体" w:cs="宋体"/>
                <w:szCs w:val="21"/>
                <w:lang w:bidi="ar"/>
              </w:rPr>
              <w:t xml:space="preserve">mS/cm～20mS/cm；分度：≤0.001mS/cm；准确度：≤0.6mS/cm(600μS/cm)；最大采样率：≤5kHz；</w:t>
              <w:br/>
              <w:t xml:space="preserve">3.结构：使用BNC连接器方式与电极连接，电导电极DJS-1E铂黑，电缆长度：≤1m，电极杆长度：≤150mm，电极杆直径：≤12mm；</w:t>
              <w:br/>
              <w:t xml:space="preserve">4.接口具有方向性和自锁功能，可以防止传感器在使用过程中脱落，保证数据传输稳定；</w:t>
              <w:br/>
              <w:t xml:space="preserve">5.模块化、可热插拔设计，支持有线通讯、无线通讯和屏幕数据显示三种工作方式；</w:t>
              <w:br/>
              <w:t xml:space="preserve">6.可应用于Windows、Android、iOS、麒麟、统信、鸿蒙操作系统平台。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浊度传感器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1.用于测量待测溶液的浑浊程度；</w:t>
              <w:br w:type="textWrapping" w:clear="all"/>
              <w:t xml:space="preserve">2.性能：测量范围：0NTU～400NTU；分度：≤0.1NTU；准</w:t>
            </w:r>
            <w:r>
              <w:rPr>
                <w:rFonts w:hint="eastAsia" w:ascii="宋体" w:hAnsi="宋体" w:cs="宋体"/>
                <w:szCs w:val="21"/>
                <w:lang w:bidi="ar"/>
              </w:rPr>
              <w:t xml:space="preserve">确度：≤±30NTU（FS）；采样率≥5kHz；</w:t>
              <w:br/>
              <w:t xml:space="preserve">3.结构：内置比色瓶尺寸≥40*18mm，≤5mL，光滑透明不易反光、留指纹等痕迹；并配有瓶座、盖子；</w:t>
              <w:br/>
              <w:t xml:space="preserve">4.由高强度塑料外壳封装，采用注塑工艺，材质为黑色ABS。外壳设计螺丝孔位，可将传感器固定在多种操作平台和装置上；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氧气传感器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1.用于测量待测气体中氧气的含量；</w:t>
              <w:br w:type="textWrapping" w:clear="all"/>
              <w:t xml:space="preserve">2.性能：测量范围：0％～100％，分度：≤0.1％；准确度：±1%（0～50%)、±2%(50.1%～100%)；采样率≥5kHz；</w:t>
              <w:br w:type="textWrapping" w:clear="all"/>
              <w:t xml:space="preserve">3.技术指标：工作温度5℃～40℃，工作湿度0～95%RH（无冷凝），储存温度-15℃～</w:t>
            </w:r>
            <w:r>
              <w:rPr>
                <w:rFonts w:hint="eastAsia" w:ascii="宋体" w:hAnsi="宋体" w:cs="宋体"/>
                <w:szCs w:val="21"/>
                <w:lang w:bidi="ar"/>
              </w:rPr>
              <w:t xml:space="preserve">50℃，响应时间(T90)＜15秒；</w:t>
              <w:br/>
              <w:t xml:space="preserve">4.结构：氧气传感器探头外壳直径≤36.8mm，探头部分直径≤20mm,探头整体高度≤50mm,线长≤80cm；</w:t>
              <w:br/>
              <w:t xml:space="preserve">5.外壳设计螺丝孔位，可将传感器固定在多种操作平台和装置上；</w:t>
              <w:br/>
              <w:t xml:space="preserve">6.接口具有方向性和自锁功能，可以防止传感器在使用过程中脱落，保证数据传输稳定；</w:t>
              <w:br/>
              <w:t xml:space="preserve">7.设有硬件校准按键，可通过按键校准空气中氧气的含量；</w:t>
              <w:br/>
              <w:t xml:space="preserve">8.模块化、可热插拔设计，支持有线通讯、无线通讯和屏幕数据显示三种工作方式；</w:t>
              <w:br/>
              <w:t xml:space="preserve">9.可应用于Windows、Android、iOS、麒麟、统信、鸿蒙操作系统平台。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二氧化碳传感器B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1.用于测量待测气体中二氧化碳的含量；</w:t>
              <w:br w:type="textWrapping" w:clear="all"/>
              <w:t xml:space="preserve">2.性能：测量范围：0～100000mL/m³，分度：≤1mL/m³；准确度：±150mL/m³（0mL/m³～1000mL/m³），读数的±15%（1000mL/m³～10000mL/m³）；采样率≥5kHz；</w:t>
              <w:br w:type="textWrapping" w:clear="all"/>
              <w:t xml:space="preserve">3.技术指标：工作温度-10℃～50℃，存储温度-20℃～60</w:t>
            </w:r>
            <w:r>
              <w:rPr>
                <w:rFonts w:hint="eastAsia" w:ascii="宋体" w:hAnsi="宋体" w:cs="宋体"/>
                <w:szCs w:val="21"/>
                <w:lang w:bidi="ar"/>
              </w:rPr>
              <w:t xml:space="preserve">℃，工作湿度0～95%RH（无冷凝），响应时间(T90)＜30秒；</w:t>
              <w:br/>
              <w:t xml:space="preserve">4.结构：传感器尺寸：≥153*40*25mm，外壳设计螺丝孔位，可将传感器固定在多种操作平台和装置上；</w:t>
              <w:br/>
              <w:t xml:space="preserve">5.传感器数据处理电路采用技术成熟的SMT生产工艺，可保证传感器经久耐用，数据传输稳定、持续；</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初中生物虚拟现实课堂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初中生物虚拟现实课堂软件需依据中华人民共和国教育部《义务教育生物课程标准》教学大纲进行课程资源开发，满足新课标实验教学需要，聚焦提升学生核心素养。所有虚拟场景均基于真实场景搭建，可模拟真实实验教学场景，能够准确还原实验中心脏、血液、呼吸、神经、消化等变化，具有优秀的跨平台能力和拓展能力；</w:t>
              <w:br w:type="textWrapping" w:clear="all"/>
              <w:t xml:space="preserve">2.生物学实验内容需支持教材目录及知识点分类，教材目录需根据教材版本、章节、单元分类；知识点需包含生物与生物圈、生物与细胞、生物圈中的绿色植物、生物圈中的人、生物圈中的其他生物、生物圈中的生命的延续、健康地</w:t>
            </w:r>
            <w:r>
              <w:rPr>
                <w:rFonts w:hint="eastAsia" w:ascii="宋体" w:hAnsi="宋体" w:cs="宋体"/>
                <w:szCs w:val="21"/>
                <w:lang w:bidi="ar"/>
              </w:rPr>
              <w:t xml:space="preserve">生活等实验内容与实验场景。实验内容要求充分呈现课程中的演示实验与学生实验，支持在实验目录或实验过程中直接查看具体的实验内容简介，包含实验简介、实验目的、实验器材、实验步骤、实验结论、实验原理等内容，方便老师学生在使用中快速了解具体实验内容，提高课堂教学效率；</w:t>
              <w:br/>
              <w:t xml:space="preserve">3.软件采用互动教学模式，非视频、图片及PPT等课件资源，所有实验均以第一人称视角进行，支持任意视角下对实验进行观察和交互式操作，要求提供根据普通初中生物课程标准资源数量≥550个，包含拓展性及探究性实验，提供与初中生物课程标准中知识点同步的完整实验≥</w:t>
            </w:r>
            <w:r>
              <w:rPr>
                <w:rFonts w:hint="eastAsia" w:ascii="宋体" w:hAnsi="宋体" w:cs="宋体"/>
                <w:szCs w:val="21"/>
                <w:lang w:bidi="ar"/>
              </w:rPr>
              <w:t xml:space="preserve">60个，实验资源支持模糊搜索和精确查找，便于快速开展实验；</w:t>
              <w:br/>
              <w:t xml:space="preserve">4.软件提供微眼万千模块，涵盖植物学、动物性、生物学及微生物学等中学生物学高清显微镜成像素材库，要求素材数量≥100张，每张都支持4倍、10倍、40倍物镜进行观察。所有素材库图片都支持使用显微镜进行仿真实验操作，完全模拟真实操作；支持一键切换至全景图模式，图片支持自由移动和缩放；</w:t>
              <w:br/>
              <w:t xml:space="preserve">▲5.软件提供人体生理结构探究模块，涵盖运动系统、神经系统、内分泌系统、血液循环系统和淋巴和免疫系统等九大系统，其中六大人体系统支持器官自由拆分组合，并配以相关文字说明；</w:t>
            </w:r>
            <w:r>
              <w:rPr>
                <w:rStyle w:val="773"/>
                <w:color w:val="000000"/>
                <w:sz w:val="21"/>
                <w:szCs w:val="21"/>
                <w:lang w:bidi="ar"/>
              </w:rPr>
              <w:t xml:space="preserve">（提供本项佐证材料，不限于检测报告或产品彩页或厂家出具的技术白皮书或软件功能截图等</w:t>
            </w:r>
            <w:r>
              <w:rPr>
                <w:rFonts w:hint="eastAsia" w:ascii="宋体" w:hAnsi="宋体" w:cs="宋体"/>
                <w:szCs w:val="21"/>
                <w:lang w:bidi="ar"/>
              </w:rPr>
              <w:t xml:space="preserve">并加盖响应供应商公章</w:t>
            </w:r>
            <w:r>
              <w:rPr>
                <w:rStyle w:val="773"/>
                <w:color w:val="000000"/>
                <w:sz w:val="21"/>
                <w:szCs w:val="21"/>
                <w:lang w:bidi="ar"/>
              </w:rPr>
              <w:t xml:space="preserve">）</w:t>
            </w:r>
            <w:r>
              <w:rPr>
                <w:rStyle w:val="774"/>
                <w:color w:val="000000"/>
                <w:sz w:val="21"/>
                <w:szCs w:val="21"/>
                <w:lang w:bidi="ar"/>
              </w:rPr>
              <w:br w:type="textWrapping" w:clear="all"/>
              <w:t xml:space="preserve">6.软件提供</w:t>
            </w:r>
            <w:r>
              <w:rPr>
                <w:rStyle w:val="774"/>
                <w:color w:val="000000"/>
                <w:sz w:val="21"/>
                <w:szCs w:val="21"/>
                <w:lang w:bidi="ar"/>
              </w:rPr>
              <w:t xml:space="preserve">人体生理功能探究模块，涵盖人体内物质的运输、人体的呼吸、人体内废物的排出、人体的营养、人体的运动、人体生命活动的调节、人的生殖与发育等七大知识点内容，资源数量≥80个，包括模型、动画以及教学互动场景，重点器官和系统支持自由拆分组合；</w:t>
              <w:br/>
              <w:t xml:space="preserve">▲7.软件提供微观世界探究模块，资源数量≥140个，涵盖真核生物、原核生物、病毒和亚病毒、分子与细胞、遗传与进化等知识点内容，包含叶绿体的结构与功能、细胞骨架的形态结构、流动镶嵌模型、钠钾泵跨膜运输NA+和K+、ATP合酶的合成机理、ATP合酶的水解机理、光反应过程等实验内容；</w:t>
            </w:r>
            <w:r>
              <w:rPr>
                <w:rStyle w:val="773"/>
                <w:color w:val="000000"/>
                <w:sz w:val="21"/>
                <w:szCs w:val="21"/>
                <w:lang w:bidi="ar"/>
              </w:rPr>
              <w:t xml:space="preserve">（提供本项佐证材料，不限于检测报告或产品彩页或厂家出具的技术白皮书或软件功能截图等</w:t>
            </w:r>
            <w:r>
              <w:rPr>
                <w:rFonts w:hint="eastAsia" w:ascii="宋体" w:hAnsi="宋体" w:cs="宋体"/>
                <w:szCs w:val="21"/>
                <w:lang w:bidi="ar"/>
              </w:rPr>
              <w:t xml:space="preserve">并加盖响应供应商公章</w:t>
            </w:r>
            <w:r>
              <w:rPr>
                <w:rStyle w:val="773"/>
                <w:color w:val="000000"/>
                <w:sz w:val="21"/>
                <w:szCs w:val="21"/>
                <w:lang w:bidi="ar"/>
              </w:rPr>
              <w:t xml:space="preserve">）</w:t>
            </w:r>
            <w:r>
              <w:rPr>
                <w:rStyle w:val="774"/>
                <w:color w:val="000000"/>
                <w:sz w:val="21"/>
                <w:szCs w:val="21"/>
                <w:lang w:bidi="ar"/>
              </w:rPr>
              <w:br w:type="textWrapping" w:clear="all"/>
              <w:t xml:space="preserve">8.软件提供进化树模块，要求进化树中的生物对象数量≥44种，重点生物对象支持一键解剖；</w:t>
              <w:br w:type="textWrapping" w:clear="all"/>
              <w:t xml:space="preserve">9.软件提供中学生物实验对象库，要求实验对象≥100种，具有语音讲解功能，部分实验器材支持功能演示动画，支持任意视角对实验对象进行独立观察、展示，重点实验器材及生物对象支持自由拆分组合；</w:t>
              <w:br w:type="textWrapping" w:clear="all"/>
              <w:t xml:space="preserve">10.软件支持实验截屏和微视频录制功</w:t>
            </w:r>
            <w:r>
              <w:rPr>
                <w:rStyle w:val="774"/>
                <w:color w:val="000000"/>
                <w:sz w:val="21"/>
                <w:szCs w:val="21"/>
                <w:lang w:bidi="ar"/>
              </w:rPr>
              <w:t xml:space="preserve">能，支持用户将实验操作过程和解说音视频内容同步录制并保存在本地，无需额外使用录屏软件，方便用户备课及录制课件；</w:t>
              <w:br/>
              <w:t xml:space="preserve">11.以上所有软件功能要求在同一软件系统平台中操作，所有实验资源需本地部署，非云端存储，支持在无互联网环境下正常使用；</w:t>
              <w:br/>
              <w:t xml:space="preserve">12.软件支持在交互式一体机、智慧黑板、笔记本电脑、台式电脑等计算机设备上运行使用，支持Windows、统信UOS等桌面操作系统；</w:t>
              <w:br/>
              <w:t xml:space="preserve">13.软件支持UKEY数字密钥和数字激活码两种授权方式，用户可根据实际场景选择使用；</w:t>
              <w:br/>
              <w:t xml:space="preserve">14.软件授权期限：长期许可，非按年付费方式，无二次使用费用。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实验云教学系统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1.依托无限放大和缩小画布教学空间，需支持在数字空间中上传丰富的授课内容(图片/PPT/PDF/音视频)，支持嵌入第三方网页；</w:t>
              <w:br w:type="textWrapping" w:clear="all"/>
              <w:t xml:space="preserve">2.支持对授课画布中的在线文档进行预览和编辑。</w:t>
              <w:br w:type="textWrapping" w:clear="all"/>
              <w:t xml:space="preserve">3.需支持在课堂中，进行分组讨论，设置讨论组、讨论内容，各小组在各自区域内进行书写创作，互不干扰，老师能看到所有讨论内容，进行对比点评；</w:t>
              <w:br w:type="textWrapping" w:clear="all"/>
              <w:t xml:space="preserve">4.需支持在课堂中发起投票，使用定时器功能；</w:t>
              <w:br w:type="textWrapping" w:clear="all"/>
              <w:t xml:space="preserve">5.需支持课堂内的参与成员，对课堂画布进行多人编辑创作；</w:t>
              <w:br w:type="textWrapping" w:clear="all"/>
              <w:t xml:space="preserve">6.课堂画布中支持一键全部开启/关闭成员的编辑权限。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相对湿度传感器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1.用于测量容器内的湿度；</w:t>
              <w:br w:type="textWrapping" w:clear="all"/>
              <w:t xml:space="preserve">2.性能：测量范围：0%～100%，分度0.1％；准确度：≤±5%（20%～70%），≤±6%（＜20%,＞70%）；采样率≥5k</w:t>
            </w:r>
            <w:r>
              <w:rPr>
                <w:rFonts w:hint="eastAsia" w:ascii="宋体" w:hAnsi="宋体" w:cs="宋体"/>
                <w:szCs w:val="21"/>
                <w:lang w:bidi="ar"/>
              </w:rPr>
              <w:t xml:space="preserve">Hz；</w:t>
              <w:br/>
              <w:t xml:space="preserve">3.技术指标：探管直径≤9mm，长度≤57mm，工作温度-40℃～100℃，存储温度-40℃～125℃，压力范围700～1100mbar，响应时间＜5秒；</w:t>
              <w:br/>
              <w:t xml:space="preserve">4.结构：传感器尺寸：≥133*40*25mm，外壳设计螺丝孔位，可将传感器固定在多种操作平台和装置上；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22</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溶解氧传感器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1.用于测量溶液中溶解氧的浓度；</w:t>
              <w:br w:type="textWrapping" w:clear="all"/>
              <w:t xml:space="preserve">2.性能：测量范围：0mg/L～20mg/L，分度：≤0.01mg/L；准确度：±1mg/L；采样率≥5kHz；</w:t>
              <w:br w:type="textWrapping" w:clear="all"/>
              <w:t xml:space="preserve">3.技术指标：响应时间(T90，20℃)＜30秒，工作温度：0～45℃，可以通过硬</w:t>
            </w:r>
            <w:r>
              <w:rPr>
                <w:rFonts w:hint="eastAsia" w:ascii="宋体" w:hAnsi="宋体" w:cs="宋体"/>
                <w:szCs w:val="21"/>
                <w:lang w:bidi="ar"/>
              </w:rPr>
              <w:t xml:space="preserve">件或软件校准，校准间隔时间&gt;30天；</w:t>
              <w:br/>
              <w:t xml:space="preserve">4.结构：使用BNC连接器方式与电极连接，电极壳材料UPVC或不锈钢，电缆线长≤1m，(双屏蔽)电极直径≤20mm，(双屏蔽)电极长度≤180mm，透气膜厚≤25μm；</w:t>
              <w:br/>
              <w:t xml:space="preserve">5.外壳设计螺丝孔位，可将传感器固定在多种操作平台和装置上；</w:t>
              <w:br/>
              <w:t xml:space="preserve">6.接口具有方向性和自锁功能，可以防止传感器在使用过程中脱落，保证数据传输稳定；</w:t>
              <w:br/>
              <w:t xml:space="preserve">7.模块化、可热插拔设计，支持有线通讯、无线通讯和屏幕数据显示三种工作方式；</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心率传感器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1.用于测量人体的实时心率大小以及心跳脉动波形；</w:t>
              <w:br w:type="textWrapping" w:clear="all"/>
              <w:t xml:space="preserve">2.性能：测量范围：0次～200次；采样率≥5kHz；</w:t>
              <w:br w:type="textWrapping" w:clear="all"/>
              <w:t xml:space="preserve">3.结构：探头长度≤1米；</w:t>
              <w:br w:type="textWrapping" w:clear="all"/>
              <w:t xml:space="preserve">4.外壳设计螺丝孔位，可将传感器固定在多种操作平台和装置上；</w:t>
              <w:br w:type="textWrapping" w:clear="all"/>
              <w:t xml:space="preserve">5.接口具有方向性和自锁功能，可以防止传感器在使用过程中脱落，保证数据传输稳定；</w:t>
              <w:br w:type="textWrapping" w:clear="all"/>
              <w:t xml:space="preserve">6.模块化、可热插拔设计，支持有线通讯、无线通讯和屏幕数据显示三种工作方式；</w:t>
              <w:br w:type="textWrapping" w:clear="all"/>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气压传感器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1.用于测量大气绝对压强数据；</w:t>
              <w:br w:type="textWrapping" w:clear="all"/>
              <w:t xml:space="preserve">2.性能：测量范围：550hPa～1060hPa；分度：≤1hPa；准确度：±5hPa；采样率≥5kHz；</w:t>
              <w:br w:type="textWrapping" w:clear="all"/>
              <w:t xml:space="preserve">3..传感器尺寸：≥80*40*25mm，外壳设计螺丝孔位，可将传感器固定在多种操作平台和装置上；</w:t>
              <w:br w:type="textWrapping" w:clear="all"/>
              <w:t xml:space="preserve">4.接口具有方向性和自锁功能，可以防止传感器在使用过程中脱落，保证数据传输稳定；</w:t>
              <w:br w:type="textWrapping" w:clear="all"/>
              <w:t xml:space="preserve">5.模块化、可热插拔设计，支持有线通讯、无线通讯和屏幕数据显示三种工作方式；</w:t>
              <w:br w:type="textWrapping" w:clear="all"/>
              <w:t xml:space="preserve">6.支持软件数据调零；</w:t>
              <w:br w:type="textWrapping" w:clear="all"/>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风速传感器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1.用于测量空气流动速度；</w:t>
              <w:br w:type="textWrapping" w:clear="all"/>
              <w:t xml:space="preserve">2.性能：测量范围：</w:t>
            </w:r>
            <w:r>
              <w:rPr>
                <w:rFonts w:hint="eastAsia" w:ascii="宋体" w:hAnsi="宋体" w:cs="宋体"/>
                <w:szCs w:val="21"/>
                <w:lang w:bidi="ar"/>
              </w:rPr>
              <w:t xml:space="preserve">0.3m/s～45m/s；起动风速：≤0.3m/s；采样率≥5kHz；</w:t>
              <w:br/>
              <w:t xml:space="preserve">3.结构：风杯式风速表探头至少包括3个扇叶；</w:t>
              <w:br/>
              <w:t xml:space="preserve">4.传感器尺寸：≥213*70*70mm，外壳设计螺丝孔位，可将传感器固定在多种操作平台和装置上；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7.设有调零按键，支持硬件数据调零和软件数据调零；</w:t>
              <w:br/>
              <w:t xml:space="preserve">8.可应用于Windows、Android、iOS、麒麟、统信、鸿蒙操作系统平台。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土壤湿度传感器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1.传感器尺寸：≥80*40*25mm，由高强度塑料外壳封装，外壳设计螺丝孔位，可将传感器固定在多种操作平台和装置上；</w:t>
              <w:br w:type="textWrapping" w:clear="all"/>
              <w:t xml:space="preserve">2.接口具有方向性和自锁功能，可以防止传感器在使用过程中脱落，保证数据传输稳定；</w:t>
              <w:br w:type="textWrapping" w:clear="all"/>
              <w:t xml:space="preserve">3.模块化、可热插拔设计，支持有线通讯、无线通讯和屏幕数据显示三种工作方式；</w:t>
              <w:br w:type="textWrapping" w:clear="all"/>
              <w:t xml:space="preserve">4.可应用于Windows、Android、iOS、麒麟、统信、鸿蒙操作系统平台。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27</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日照辐射传感器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1.性能：测量范围：0W/㎡～1500W/㎡；分度：≤1W/㎡；准确度：≤150W/㎡；采样率≥5kHz；</w:t>
              <w:br w:type="textWrapping" w:clear="all"/>
              <w:t xml:space="preserve">2.敏感元件采用硅光电池，利用光电池的光谱特性和光照特性，具有稳定</w:t>
            </w:r>
            <w:r>
              <w:rPr>
                <w:rFonts w:hint="eastAsia" w:ascii="宋体" w:hAnsi="宋体" w:cs="宋体"/>
                <w:szCs w:val="21"/>
                <w:lang w:bidi="ar"/>
              </w:rPr>
              <w:t xml:space="preserve">性好、光谱范围宽、频率特性好的特点，可用于测量320nm至1100nm光谱范围内太阳辐射强度情况。</w:t>
              <w:br/>
              <w:t xml:space="preserve">3.结构：圆形的传感器探头顶部设计方式，可满足在各种太阳角度下使用；</w:t>
              <w:br/>
              <w:t xml:space="preserve">4.传感器尺寸：≥123*40*40mm，外壳设计螺丝孔位，可将传感器固定在多种操作平台和装置上；</w:t>
              <w:br/>
              <w:t xml:space="preserve">5.接口具有方向性和自锁功能，可以防止传感器在使用过程中脱落，保证数据传输稳定；</w:t>
              <w:br/>
              <w:t xml:space="preserve">6.模块化、可热插拔设计，支持有线通讯、无线通讯和屏幕数据显示三种工作方式；</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乙醇传感器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1.性能：量程：0%～3%，分</w:t>
            </w:r>
            <w:r>
              <w:rPr>
                <w:rFonts w:hint="eastAsia" w:ascii="宋体" w:hAnsi="宋体" w:cs="宋体"/>
                <w:szCs w:val="21"/>
                <w:lang w:bidi="ar"/>
              </w:rPr>
              <w:t xml:space="preserve">度：≤0.01%；准确度：±0.50％；采样率≥5kHz；</w:t>
              <w:br/>
              <w:t xml:space="preserve">2.结构：乙醇探头顶头≤φ10.5mm,高度≤45mm；</w:t>
              <w:br/>
              <w:t xml:space="preserve">3.传感器尺寸：≥125*40*25mm，外壳设计螺丝孔位，可将传感器固定在多种操作平台和装置上；</w:t>
              <w:br/>
              <w:t xml:space="preserve">4.接口具有方向性和自锁功能，可以防止传感器在使用过程中脱落，保证数据传输稳定；</w:t>
              <w:br/>
              <w:t xml:space="preserve">5.模块化、可热插拔设计，支持有线通讯、无线通讯和屏幕数据显示三种工作方式；</w:t>
              <w:br/>
              <w:t xml:space="preserve">6.设有调零按键，支持硬件数据调零和软件数据调零；</w:t>
              <w:br/>
              <w:t xml:space="preserve">7.可应用于Windows、Android、iOS、麒麟、统信、鸿蒙操作系统平台。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初中化学虚拟现实课堂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1.初中化学虚拟现实课堂软件需依据中华人民共和国教育部</w:t>
            </w:r>
            <w:r>
              <w:rPr>
                <w:rFonts w:hint="eastAsia" w:ascii="宋体" w:hAnsi="宋体" w:cs="宋体"/>
                <w:szCs w:val="21"/>
                <w:lang w:bidi="ar"/>
              </w:rPr>
              <w:t xml:space="preserve">《义务教育化学课程标准》教学大纲进行课程资源开发，满足新课标实验教学需要，聚焦提升学生核心素养。所有虚拟场景均基于真实场景搭建，可模拟真实实验教学场景，能够准确还原实验中火焰、变色、烟雾、气泡、沉淀、爆炸等变化，具有优秀的跨平台能力和拓展能力；</w:t>
              <w:br/>
              <w:t xml:space="preserve">2.化学实验内容需支持教材目录及知识点分类，教材目录需根据教材版本、章节、单元分类；知识点需包含化学基本概念与原理、身边的化学物质、化学计算、化学实验、化学与社会发展等实验内容与实验场景。实验内容要求充分呈现课程中的演示实验与学生实验，支持在实验目录或实验过程中直接</w:t>
            </w:r>
            <w:r>
              <w:rPr>
                <w:rFonts w:hint="eastAsia" w:ascii="宋体" w:hAnsi="宋体" w:cs="宋体"/>
                <w:szCs w:val="21"/>
                <w:lang w:bidi="ar"/>
              </w:rPr>
              <w:t xml:space="preserve">查看具体的实验内容简介，包含实验简介、实验目的、实验器材、实验步骤、实验结论、实验原理等内容，方便老师学生在使用中快速了解具体实验内容，提高课堂教学效率；</w:t>
              <w:br/>
              <w:t xml:space="preserve">3.软件采用互动教学模式，非视频、图片及PPT等资源课件，所有实验均以第一人称视角进行，支持任意视角下对实验进行观察和交互式操作，要求提供根据普通初中化学课程标准资源数量≥400个，包含拓展性及探究性实验，提供与初中化学课程标准中知识点同步的完整实验≥80个，实验资源支持模糊搜索和精确查找，便于快速开展实验；</w:t>
              <w:br/>
              <w:t xml:space="preserve">4.为满足实验教学个性化需求，软件提供可供自</w:t>
            </w:r>
            <w:r>
              <w:rPr>
                <w:rFonts w:hint="eastAsia" w:ascii="宋体" w:hAnsi="宋体" w:cs="宋体"/>
                <w:szCs w:val="21"/>
                <w:lang w:bidi="ar"/>
              </w:rPr>
              <w:t xml:space="preserve">由搭建组合的化学探究平台，要求不仅可以呈现逼真复杂的化学实验现象，还可以搭建历年中考化学试题真题，高效辅助化学实验教学。</w:t>
              <w:br/>
              <w:t xml:space="preserve">（1）化学探究平台支持用户对实验器材的参数变量进行修改，支持用户创建的实验一键保存和再编辑，便于实验教学；</w:t>
              <w:br/>
              <w:t xml:space="preserve">▲（2）化学探究平台支持在既有实验场景内容下进行2D/3D一键切换，允许用户在2D/3D环境下利用探究平台提供的各种实验器材进行自由搭建和组合；支持对实验室温度气压等环境因素的自由设定等；支持添加2D/3D文本、表格、图表、2D图片等实验辅助工具；（提供本项佐证材料，不限于检测报告</w:t>
            </w:r>
            <w:r>
              <w:rPr>
                <w:rStyle w:val="773"/>
                <w:color w:val="000000"/>
                <w:sz w:val="21"/>
                <w:szCs w:val="21"/>
                <w:lang w:bidi="ar"/>
              </w:rPr>
              <w:t xml:space="preserve">或</w:t>
            </w:r>
            <w:r>
              <w:rPr>
                <w:rFonts w:hint="eastAsia" w:ascii="宋体" w:hAnsi="宋体" w:cs="宋体"/>
                <w:szCs w:val="21"/>
                <w:lang w:bidi="ar"/>
              </w:rPr>
              <w:t xml:space="preserve">产品彩页</w:t>
            </w:r>
            <w:r>
              <w:rPr>
                <w:rStyle w:val="773"/>
                <w:color w:val="000000"/>
                <w:sz w:val="21"/>
                <w:szCs w:val="21"/>
                <w:lang w:bidi="ar"/>
              </w:rPr>
              <w:t xml:space="preserve">或</w:t>
            </w:r>
            <w:r>
              <w:rPr>
                <w:rFonts w:hint="eastAsia" w:ascii="宋体" w:hAnsi="宋体" w:cs="宋体"/>
                <w:szCs w:val="21"/>
                <w:lang w:bidi="ar"/>
              </w:rPr>
              <w:t xml:space="preserve">厂家出具的技术白皮书</w:t>
            </w:r>
            <w:r>
              <w:rPr>
                <w:rStyle w:val="773"/>
                <w:color w:val="000000"/>
                <w:sz w:val="21"/>
                <w:szCs w:val="21"/>
                <w:lang w:bidi="ar"/>
              </w:rPr>
              <w:t xml:space="preserve">或</w:t>
            </w:r>
            <w:r>
              <w:rPr>
                <w:rFonts w:hint="eastAsia" w:ascii="宋体" w:hAnsi="宋体" w:cs="宋体"/>
                <w:szCs w:val="21"/>
                <w:lang w:bidi="ar"/>
              </w:rPr>
              <w:t xml:space="preserve">软件功能截</w:t>
            </w:r>
            <w:r>
              <w:rPr>
                <w:rFonts w:hint="eastAsia" w:ascii="宋体" w:hAnsi="宋体" w:cs="宋体"/>
                <w:szCs w:val="21"/>
                <w:lang w:bidi="ar"/>
              </w:rPr>
              <w:t xml:space="preserve">图等并加盖响应供应商公章）</w:t>
              <w:br/>
              <w:t xml:space="preserve">（3）化学探究平台具有倾倒、震荡、注水、搅拌、沉淀、凝固等真实现象，化学药品试剂支持按质量(g)、摩尔质量(mol)或体积(mL)添加；支持查看容器内的药品信息及反应信息；支持对容器的名称、反应类型，反应速率等进行设置；</w:t>
              <w:br/>
              <w:t xml:space="preserve">（4）化学探究平台提供≥110款实验仪器和辅助器材；实验过程中可添加的固体、液体及气体药品的总数量≥500种，支持关键词、化学式搜索，便于快速查找所需药品器材；</w:t>
              <w:br/>
              <w:t xml:space="preserve">（5）化学探究平台支持用户自由搭建组合化学实验，支持电化学探究，可通过设置更改电学器件和电解质溶液，</w:t>
            </w:r>
            <w:r>
              <w:rPr>
                <w:rFonts w:hint="eastAsia" w:ascii="宋体" w:hAnsi="宋体" w:cs="宋体"/>
                <w:szCs w:val="21"/>
                <w:lang w:bidi="ar"/>
              </w:rPr>
              <w:t xml:space="preserve">搭建所需的原电池或电解池装置。要求实验数据具有严谨的科学性，同时要求能准确呈现真实实验现象。</w:t>
              <w:br/>
              <w:t xml:space="preserve">5.软件提供三维分子模型模块，要求能呈现课本中重点和常见的分子模型和晶体模型；</w:t>
              <w:br/>
              <w:t xml:space="preserve">6.软件提供实验室取用规则，要求规范性实验操作演示视频数量≥20个，演示操作过程支持任意视角进行观察，便于学生学习掌握；</w:t>
              <w:br/>
              <w:t xml:space="preserve">7.软件提供中学常用的化学实验用品库，数量≥270种，具有语音讲解功能，部分实验器材支持功能演示动画，支持任意视角对实验器材及实验药品进行独立观察、展示，要求重点实验器材支持自由拆分，组合；</w:t>
              <w:br/>
              <w:t xml:space="preserve">8.软件支持实验截屏和微</w:t>
            </w:r>
            <w:r>
              <w:rPr>
                <w:rFonts w:hint="eastAsia" w:ascii="宋体" w:hAnsi="宋体" w:cs="宋体"/>
                <w:szCs w:val="21"/>
                <w:lang w:bidi="ar"/>
              </w:rPr>
              <w:t xml:space="preserve">视频录制功能，支持用户将实验操作过程和解说音视频内容同步录制并保存在本地，无需额外使用录屏软件，方便用户备课及录制课件；</w:t>
              <w:br/>
              <w:t xml:space="preserve">9.以上所有软件功能要求在同一软件系统平台中操作，所有实验资源需本地部署，非云端存储，支持在无互联网环境下正常使用；</w:t>
              <w:br/>
              <w:t xml:space="preserve">10.软件支持在交互式一体机、智慧黑板、笔记本电脑、台式电脑等计算机设备上运行使用，支持Windows、统信UOS等桌面操作系统；</w:t>
              <w:br/>
              <w:t xml:space="preserve">11.软件支持数字密钥和数字激活码两种授权方式，用户可根据实际场景选择使用；</w:t>
              <w:br/>
              <w:t xml:space="preserve">12.软件授权期限：长期许可，非按年付费方式，无二次使用费用。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浮力定律实验器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1.由无级调节升降台、塑料烧杯、专用物块、水平杆、十字转接器及塑帽螺栓构成；</w:t>
              <w:br w:type="textWrapping" w:clear="all"/>
              <w:t xml:space="preserve">2.专用物块至少由5只体积≤15cm³的小物块用细杆连接而成；</w:t>
              <w:br w:type="textWrapping" w:clear="all"/>
              <w:t xml:space="preserve">3.配合铁架台及力传感器使用，验证浮力定律。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摩擦做功实验器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由铜管、支架、摩擦绳组成，与温度传感器配合使用，可完成摩擦做功使温度升高实验。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电阻定律实验器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1.由底座、刻度板面膜、接线排端子、锁扣、脚垫、直径不同的康铜、铁铬、镍铬五种金属丝构成，配合多量程电流传感器和多量程电压传感器使用，可研究导体的电阻与长度、横截面积、材料的关系；</w:t>
              <w:br w:type="textWrapping" w:clear="all"/>
              <w:t xml:space="preserve">2.底座尺寸：≥600*60*10mm，材质：抗倍特板。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33</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压缩气体做功实验器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1.压缩气体做功实验器由底座、气筒、快速温度探头、双通阀开关、连接线构成；</w:t>
              <w:br w:type="textWrapping" w:clear="all"/>
              <w:t xml:space="preserve">2.与温度传感器和压强传感器配合使用，支持有线通讯、无线通讯和独立数据显示三种工作方式。用于研究气体压缩或膨胀时，温度的变化。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34</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无线智能小车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至少包含智能小车、配套软件、≥1.2m专用轨道1条、小车收纳器1个、小车转接器1个、弹簧3条（≤3N弹簧2条、≤5N弹簧1条）、固定柱2只、50g配重块1块、100g配重块2块、5g配重块4只、沙桶1只、滑轮1套、磁碰片1套、弹性碰圈2只、挡光片6片（20mm挡光片</w:t>
            </w:r>
            <w:r>
              <w:rPr>
                <w:rFonts w:hint="eastAsia" w:ascii="宋体" w:hAnsi="宋体" w:cs="宋体"/>
                <w:szCs w:val="21"/>
                <w:lang w:bidi="ar"/>
              </w:rPr>
              <w:t xml:space="preserve">2片，10mm、40mm、60mm、80mm挡光片各1片）、高度调节器1套、摩擦块1个、紧固件5个、水平泡2只、充电器1个、数据线2条，蓝牙适配器1只、矢量显示模块（含矢量显示装置1套、紧固螺栓2个。矢量模块通过弹簧针方式与智能小车连接，并在专用软件上进行显示设置；显示数据：力、加速度或速度；显示方式：不同颜色LED指示数据大小和方向，LED点亮的多少与小车的数据大小成正比，不同颜色显示数据的方向；OLED屏显示当前数据类型；设置方式：按键或专用软件设置显示数据类型；模块尺寸：≥145*20*55mm，显示</w:t>
            </w:r>
            <w:r>
              <w:rPr>
                <w:rFonts w:hint="eastAsia" w:ascii="宋体" w:hAnsi="宋体" w:cs="宋体"/>
                <w:szCs w:val="21"/>
                <w:lang w:bidi="ar"/>
              </w:rPr>
              <w:t xml:space="preserve">屏幕：≥0.75英寸；）、驱动模块（弹簧针触点与小车连接，可在软件上进行运动控制和参数设置；速度调节档位范围：1～5；配重块1块。运行方向：正向或反向；尺寸：≥80*60*45mm、弹射模块（弹射模块通过弹簧针触点与小车连接，可在软件上进行弹射控制和参数设置；弹射高度：≥50cm；弹射方式：可编程连续弹射次数及弹射间隔时间；配弹射小球1只）；</w:t>
              <w:br/>
              <w:t xml:space="preserve">2.智能小车能够同时测量位移、速度、加速度、力、角速度物理量，可以测出单个或多个变量变化的规律，描绘相应的曲线。智能小车内置的蓝牙无线模块，与计算机、平板电脑、手机无</w:t>
            </w:r>
            <w:r>
              <w:rPr>
                <w:rFonts w:hint="eastAsia" w:ascii="宋体" w:hAnsi="宋体" w:cs="宋体"/>
                <w:szCs w:val="21"/>
                <w:lang w:bidi="ar"/>
              </w:rPr>
              <w:t xml:space="preserve">线连接，在软件上显示出测量数据或实验图线，可以在多平台多终端使用；</w:t>
              <w:br/>
              <w:t xml:space="preserve">3.内置弹射装置，为小车提供三种初始速度，可通过触摸按键启动或通过软件启动。智能小车有2个智能附件连接接口，可通过弹簧针式连接智能风扇模块、智能弹射模块、智能驱动模块、矢量显示模块其中两个模块。可在软件上对智能模块进行参数设置和控制；</w:t>
              <w:br/>
              <w:t xml:space="preserve">4.传感器技术参数：</w:t>
              <w:br/>
              <w:t xml:space="preserve">力：测量范围：±20N；分度：≤0.001N；精准度：±0.01 N； 数据无线最高采样率：≤2000Hz；</w:t>
              <w:br/>
              <w:t xml:space="preserve">位移：测量范围：-9999.9mm～9999.9mm；分度：≤1mm；精准度</w:t>
            </w:r>
            <w:r>
              <w:rPr>
                <w:rFonts w:hint="eastAsia" w:ascii="宋体" w:hAnsi="宋体" w:cs="宋体"/>
                <w:szCs w:val="21"/>
                <w:lang w:bidi="ar"/>
              </w:rPr>
              <w:t xml:space="preserve">：±3mm；数据无线最高采样率：≤2000Hz； </w:t>
              <w:br/>
              <w:t xml:space="preserve">速度：测量范围：±3m/s；最大速度：±3m/s；分度：≤0.001m/s；精准度：±0.01m/s；数据无线最高采样率：≤2000Hz；</w:t>
              <w:br/>
              <w:t xml:space="preserve">加速度：测量范围：±156.8m/s²（±16g）；分度≤0.001m/s²；精准度：±0.01m/s²；数据无线最高采样率：≤2000Hz；</w:t>
              <w:br/>
              <w:t xml:space="preserve">陀螺仪：测量范围：±2000°/s；分度≤1°/s；精准度：±3°/s；数据无线最高采样率：≤2000Hz。</w:t>
              <w:br/>
              <w:t xml:space="preserve">5.可应用于Windows、Android、iOS等操作系统平台。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实验智能体中心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一、AI智能体</w:t>
              <w:br w:type="textWrapping" w:clear="all"/>
              <w:t xml:space="preserve">1.支持在工作站页面内，自定义添加AI生成的智能体组件，在组件中输入文本提示词；</w:t>
              <w:br w:type="textWrapping" w:clear="all"/>
              <w:t xml:space="preserve">2.支持插入智能体组件，修改智能体名称，设置是否联网；</w:t>
              <w:br w:type="textWrapping" w:clear="all"/>
              <w:t xml:space="preserve">3.支持运行AI智能体，调用AI能力，按提示词单向输出结果，能做到文生文、文生图、文生思维导图、文生网页的效果。支持点击添加和拖拽连接元素，添加或连接前置内容，运行</w:t>
            </w:r>
            <w:r>
              <w:rPr>
                <w:rFonts w:hint="eastAsia" w:ascii="宋体" w:hAnsi="宋体" w:cs="宋体"/>
                <w:szCs w:val="21"/>
                <w:lang w:bidi="ar"/>
              </w:rPr>
              <w:t xml:space="preserve">生成包括文本、图片、思维导图、网页等内容。</w:t>
              <w:br/>
              <w:t xml:space="preserve">二、AI工作流</w:t>
              <w:br/>
              <w:t xml:space="preserve">1.支持提供一个智能化、多功能的AI创作能力。用户通过使用连接线将多个 AI 生成组件有序串联起来，建立输入内容和输出内容的关联关系，使其呈现为可视化的形式，清楚展示 AI 运行的各个环节；</w:t>
              <w:br/>
              <w:t xml:space="preserve">2.支持提供一个智能 AI 工作台，用户可在该工作台上进行 AI 工作流编排，基于可视化的拖拽界面设计复杂的流程场景。教师通过拖拽和组合多个智能体、多个素材元素，形成链条式的工作流，调整智能体提示词，实现生成包含但不限于文字、图片、思维导图、便签、网页等结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36</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传感器数据显示/无线发射一体模块(通用)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1.独立模块化结构，与各种传感器组合使用，具备独立数据显示、数据存储、数据上传功能；</w:t>
              <w:br w:type="textWrapping" w:clear="all"/>
              <w:t xml:space="preserve">2.接入后自动识别传感器，实时显示传感器测量数据，支持多值传感器数据显示及存储，数据显示屏刷新频率≤10Hz；</w:t>
              <w:br w:type="textWrapping" w:clear="all"/>
              <w:t xml:space="preserve">3.≥1.76英寸彩屏，采用自锁接口与传感器连接，接口具有方向性和自锁功能，可以防止传感器在使用过程中脱落，保证数据传输稳定；</w:t>
              <w:br w:type="textWrapping" w:clear="all"/>
              <w:t xml:space="preserve">4.屏幕可显示二维码，通过移动终端设备扫描</w:t>
            </w:r>
            <w:r>
              <w:rPr>
                <w:rFonts w:hint="eastAsia" w:ascii="宋体" w:hAnsi="宋体" w:cs="宋体"/>
                <w:szCs w:val="21"/>
                <w:lang w:bidi="ar"/>
              </w:rPr>
              <w:t xml:space="preserve">二维码进行无线连接，支持蓝牙4.0传输协议，可将传感器测量数据实时传输到App；</w:t>
              <w:br/>
              <w:t xml:space="preserve">5.设有按键开关，工作状态下，可通过调动按键开关切换数据显示和二维码界面；</w:t>
              <w:br/>
              <w:t xml:space="preserve">6.通过移动终端设备可设置数据显示精度以及数据调零，可对数据进行描点绘图处理；</w:t>
              <w:br/>
              <w:t xml:space="preserve">7.可将模块存储的测量数据导出至计算机进行数据分析（兼充电）；</w:t>
              <w:br/>
              <w:t xml:space="preserve">8.支持Android、iOS 、Windows、鸿蒙操作系统；</w:t>
              <w:br/>
              <w:t xml:space="preserve">9.采用充电锂电供电，电池电压≤3.7V，容量≥1100mAh，待机时间≥10小时，支持microUSB充电接口；</w:t>
              <w:br/>
              <w:t xml:space="preserve">10.数据存储频率≤5Hz。</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网络教室终端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1.尺寸：≥300*200*7mm，屏幕：分辨率≥1920*1200，护眼电容多点触控屏；</w:t>
              <w:br w:type="textWrapping" w:clear="all"/>
              <w:t xml:space="preserve">2.运行内存：≥6GB，机身存储：≥128GB；CPU：64位八核及以上处理器，操作系统：不低于Android 15；</w:t>
              <w:br w:type="textWrapping" w:clear="all"/>
              <w:t xml:space="preserve">3.电池容量：≥3.8V 7000mAh，机身接口：至少具有Type-c接口，至少具备两个摄像头：均≥500W像素，至少具有两个喇叭和两个麦克风，wifi：支持802.11AC，支持2.4G&amp;5.8G。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38</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采集器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1.数据采集器作为连接传感器与计算机的桥梁，采用USB协议与电脑通讯；通过USB接口供电，</w:t>
            </w:r>
            <w:r>
              <w:rPr>
                <w:rFonts w:hint="eastAsia" w:ascii="宋体" w:hAnsi="宋体" w:cs="宋体"/>
                <w:szCs w:val="21"/>
                <w:lang w:bidi="ar"/>
              </w:rPr>
              <w:t xml:space="preserve">无需外接电源；</w:t>
              <w:br/>
              <w:t xml:space="preserve">2.内置电源指示灯和工作状态指示灯；</w:t>
              <w:br/>
              <w:t xml:space="preserve">3.内置双处理器主板，采用主频≤72Mhz高频≤32位处理器；</w:t>
              <w:br/>
              <w:t xml:space="preserve">4.模块化结构，可接驳有线接口和无线接口，数据采集器与接口通过SATA接口传输数据，采用插接式结构，可根据实验教学需要，方便有线、无线工作模式切换；</w:t>
              <w:br/>
              <w:t xml:space="preserve">5.接口具有方向性和自锁功能，可以防止传感器在使用过程中脱落，保证数据传输稳定；</w:t>
              <w:br/>
              <w:t xml:space="preserve">6.四路全数字通道，数据采集器最大采样率≤80KByte，与传感器采用SPI数据总线进行传感器信息、数据的并行采集，数据采集器任意通道都可以读取传感器上传的数据。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39</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系统专用附件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1.至少包含USB通讯线1条、长传感器线2条、短传感器线2条、A型转接器2只、B型转接器2只；尺寸：USB通讯线≤1500mm，长传感器线≤1200mm，短传感器线≤650mm；</w:t>
              <w:br w:type="textWrapping" w:clear="all"/>
              <w:t xml:space="preserve">2.两端插口具有方向性和自锁功能—插接方便、配合严密、方便教学；</w:t>
              <w:br w:type="textWrapping" w:clear="all"/>
              <w:t xml:space="preserve">3.技术资料需包含产品实验案例。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359"/>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课堂互动软件</w:t>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1.全面兼容Windows、Android、iOS、MacOS操作系统，支持教师端与学生端的跨平台应用；</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2.纯软件产品，安装部署快捷，升级简易方便，全中文人性化界面设计，支持主窗口功能按钮、浮动工</w:t>
            </w:r>
            <w:r>
              <w:rPr>
                <w:rFonts w:hint="eastAsia" w:ascii="宋体" w:hAnsi="宋体" w:cs="宋体"/>
                <w:szCs w:val="21"/>
                <w:lang w:bidi="ar"/>
              </w:rPr>
              <w:t xml:space="preserve">具条、右键菜单、快捷键多项操作方式；</w:t>
              <w:br/>
              <w:t xml:space="preserve">3.U盘限制：对U盘访问权限的设定（完全开放、只读、只写、完全限制），有效控制学生使用U盘，防止资料的流失和病毒的引入；</w:t>
              <w:br/>
              <w:t xml:space="preserve">4.网页限制：设定学生访问网站的黑名单或白名单，对学生可以访问的Internet站点进行管理。支持多浏览器限制，如QQ、IE、谷歌、360、遨游等浏览器；</w:t>
              <w:br/>
              <w:t xml:space="preserve">5.防杀进程、断线保护、卸载密码保护等辅助功能维护教学秩序；</w:t>
              <w:br/>
              <w:t xml:space="preserve">6.签到：提供学生名单管理工具，为软件和考试模块提供实名验证。提供点名功能，支持保留学生多次登录记录、考勤统计、签到信息的导出与对比；</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7.班级模型：有单独的管理界面，实现对班级模型的统一管理，并能够导入、导出，调用不同网络教室中的班级模型；</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8.分组教学：教师分派组长执行指定的功能，组长代替教师进行小组教学，小组不需要再临时创建，可以直接使用既有分组信息，教师可以监控每个分组的教学过程，以了解分组教学的进度；</w:t>
              <w:br w:type="textWrapping" w:clear="all"/>
              <w:t xml:space="preserve">9.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10.文件分发：允许教师将教师机不同盘符中的目录或文件一起发送至生机的某目录下。目录不存在自动新建此目录；盘符不存在或路径非法不允许分发；文件已存在选择自动覆盖或保留原始文件；</w:t>
              <w:br w:type="textWrapping" w:clear="all"/>
              <w:t xml:space="preserve">11.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12.屏幕广播：将教师机屏幕和教师讲话实时广播给单一、部分或全体学生，可选择全屏或窗口方式。窗口模式下或教师机与学生机分辨率不同情况下，学生机可以以不同的窗口方式接收广播；</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13.学生演示：教师可选定一台学生机作为示范，由此学生代替教师进行示范教学；</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14.多频道教学：支持不低于32个频道的划分，一个教师可对单个班级或多个班级同时上课；多个教师可同时对多个班级进行不同内；</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15.试卷编辑：教师能够在家中编辑试题，试题类型支持单选、多选、判断、简答，可插入图片，设置试卷名称、教师名称、班级、考试</w:t>
            </w:r>
            <w:r>
              <w:rPr>
                <w:rFonts w:hint="eastAsia" w:ascii="宋体" w:hAnsi="宋体" w:cs="宋体"/>
                <w:szCs w:val="21"/>
                <w:lang w:bidi="ar"/>
              </w:rPr>
              <w:t xml:space="preserve">时间和总分，允许用户通过导入 Word 文件添加试题；</w:t>
              <w:br/>
              <w:t xml:space="preserve">16.开始考试：教师将试卷分发给学生即可开始考试，考试过程中支持教师如有问题补充，可暂停考试，在特殊情况下，可以暂挂考试，下次启动系统后可继续考试；考试过程中如有断电、关机等意外情况学生机可断线重连，考试结束后学生可提交或时间到自动提交；</w:t>
              <w:br/>
              <w:t xml:space="preserve">17.阅卷评分：收取的试卷系统可自动评分，教师添加批注，查看柱状图显示的考试统计结果，并能够将评分结果以网页形式发送给相应的学生；</w:t>
              <w:br/>
              <w:t xml:space="preserve">18.抢答竞赛：教师可以出任意题目请学生作答，学生抢答时只需按下按钮即可；</w:t>
              <w:br/>
              <w:t xml:space="preserve">19.视</w:t>
            </w:r>
            <w:r>
              <w:rPr>
                <w:rFonts w:hint="eastAsia" w:ascii="宋体" w:hAnsi="宋体" w:cs="宋体"/>
                <w:szCs w:val="21"/>
                <w:lang w:bidi="ar"/>
              </w:rPr>
              <w:t xml:space="preserve">频直播：通过USB摄像头将教师的画面实时广播到学生机，达到更形象的教学效果，具有引导客户选择视频设备的提示画面，以便客户快速完成摄像头设备的设置；</w:t>
              <w:br/>
              <w:t xml:space="preserve">20.共享白板：教师可共享白板、桌面或图片与选定的学生共同完成相同的学习任务或绘画作品，提供学生也可以单独完成；</w:t>
              <w:br/>
              <w:t xml:space="preserve">21.屏幕录制：教师机可以将本地的操作和讲解过程录制为ASF录像文件，可以用 Windows 自带的 Media Player 直接播放；</w:t>
              <w:br/>
              <w:t xml:space="preserve">22.学生端屏幕录制、回放：学生端接收教师端广播的时候可以自动录制教师机广播教学的过程，课后可以重复观看学习。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讲台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1.总尺寸：≥1400*600*750mm，材质：刨花板＋钢架；</w:t>
              <w:br w:type="textWrapping" w:clear="all"/>
              <w:t xml:space="preserve">2.桌面尺寸：≥1400*600*25mm；</w:t>
              <w:br w:type="textWrapping" w:clear="all"/>
              <w:t xml:space="preserve">3.桌面工艺：面板采用≥25mm厚刨花板饰面，表面耐磨、防污、硬度高，不易变色，采用≥2mm厚的PVC同色封边条，桌板前端两个≥φ60mm</w:t>
            </w:r>
            <w:r>
              <w:rPr>
                <w:rFonts w:hint="eastAsia" w:ascii="宋体" w:hAnsi="宋体" w:cs="宋体"/>
                <w:szCs w:val="21"/>
                <w:lang w:bidi="ar"/>
              </w:rPr>
              <w:t xml:space="preserve">过线孔，方便强弱电的接入，桌脚底部配可调节脚垫；</w:t>
              <w:br/>
              <w:t xml:space="preserve">4.桌架：采用方管焊接，焊缝均匀，无脱焊、虚焊、漏焊；钢架表面经磷化处理，静电粉末喷涂，附着力强，不脱漆，防锈、耐腐蚀；</w:t>
              <w:br/>
              <w:t xml:space="preserve">5.门字形桌脚≥50*50*1.5mm方管，连接管≥20*50*1.2mm，矩形管开≥40mm过线孔，横梁管采用≥50*25*1.2mm矩形管；</w:t>
              <w:br/>
              <w:t xml:space="preserve">6.桌下配置主机箱，面板尺寸≥1270*550*17mm，厚≥0.9mm钣金折弯成型，周边用≥16*16*1.2mm方管焊接加强，≥0.9mm钢板冲≥φ8mm孔，焊接固定；</w:t>
              <w:br/>
              <w:t xml:space="preserve">7.主机架底板尺寸≥</w:t>
            </w:r>
            <w:r>
              <w:rPr>
                <w:rFonts w:hint="eastAsia" w:ascii="宋体" w:hAnsi="宋体" w:cs="宋体"/>
                <w:szCs w:val="21"/>
                <w:lang w:bidi="ar"/>
              </w:rPr>
              <w:t xml:space="preserve">1270*235*17mm用≥0.9mm厚钣金折弯成型，周边用≥16*16*1.2mm方管焊接加强，≥0.9mm钢板冲≥φ8mm孔，焊接固定；</w:t>
              <w:br/>
              <w:t xml:space="preserve">8.主机架后门板框架尺寸≥1270*550*16mm，外框用≥16*16*1.2mm方管焊接，封板用≥0.9mm厚钣金折弯成型，冲≥φ8mm孔。中间门可打开，尺寸≥500*350*16mm带锁，两边固定板尺寸≥350*350*16mm，焊接固定；</w:t>
              <w:br/>
              <w:t xml:space="preserve">9.主机架侧板，外侧板采用≥200*460*10mm钣金折弯成型，焊接固定，内侧板做活动卡扣，板上至少开三个86面板孔。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拼接桌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1.桌板基材：采用E0级厚≥25mm中密度板，符合GB/T 15102-2017浸渍胶膜纸饰面纤维板和刨花板、GB/T 29899-2024 人造板及其制品中挥发性有机化合物释放量试验方法 小型释放舱法；要求含水率≤10%，甲醛释放量≤0.05mg/m³，静曲强度≥23 Mpa，弹性模量≥1800 </w:t>
            </w:r>
            <w:r>
              <w:rPr>
                <w:rFonts w:hint="eastAsia" w:ascii="宋体" w:hAnsi="宋体" w:cs="宋体"/>
                <w:szCs w:val="21"/>
                <w:lang w:bidi="ar"/>
              </w:rPr>
              <w:t xml:space="preserve">Mpa，内结合强度≥0.4Mpa，24h吸水厚度膨胀率≤10%，表面结合强度≥0.6Mpa；挥发性有机化合物释放浓度(7d)符合要求。）；</w:t>
              <w:br/>
              <w:t xml:space="preserve">2.表面材料：正反面贴三聚氰胺木纹纸，要求纹理清晰，无鼓泡；</w:t>
              <w:br/>
              <w:t xml:space="preserve">3.封边：桌板边缘为斜切造型，使用一体注塑成型无胶工艺，材质为PP，完全包覆桌板边缘，并带笔槽功能，完全保证了强度的要求与简洁的外观；</w:t>
              <w:br/>
              <w:t xml:space="preserve">4.桌脚：采用独立脚设计，独立脚采用内外管连接，可伸缩，伸缩行程：581mm～731mm（≥30mm一档），上管采用跑道形Q235钢管，尺寸≥60*30mm壁厚1.5mm，下</w:t>
            </w:r>
            <w:r>
              <w:rPr>
                <w:rFonts w:hint="eastAsia" w:ascii="宋体" w:hAnsi="宋体" w:cs="宋体"/>
                <w:szCs w:val="21"/>
                <w:lang w:bidi="ar"/>
              </w:rPr>
              <w:t xml:space="preserve">管采用采用跑道形Q235钢管，尺寸≥25*50mm壁厚≥2.0mm；表面为静电粉末喷涂工艺；</w:t>
              <w:br/>
              <w:t xml:space="preserve">5.脚轮：尼龙+30%玻璃纤维（GF），轮子直径≥60mm，可移动顺畅，无声音；</w:t>
              <w:br/>
              <w:t xml:space="preserve">6.脚垫：主体采用尼龙+玻璃纤维（GF）的塑胶与M10螺杆一体注塑成型，可调节高度≥10mm，脚钉底部加占软性橡胶脚垫；</w:t>
              <w:br/>
              <w:t xml:space="preserve">7.拼接桌按六边形拼好后，中间空隙带一个六边形的桌板，桌板下带可拆装连接件，不影响梯形桌重组使用；</w:t>
              <w:br/>
              <w:t xml:space="preserve">8.整桌稳定性和力学性能符合GB/T 3325-2024金属家具通用技术条件、QB/T 4071-2021课桌椅。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张</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生物显微镜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1.显微镜总放大倍数不低于：400×；</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2.视场光栏：制作精密的金属可变视场光栏；</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3.调焦范围：初调范围≥6.5mm，微调范围≥2mm；</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4.目镜视场角大于50°时，放大率差不大于0.22%；</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5.移动尺：沿X-Y轴平稳移动，行程≥60*40mm的移动尺</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6.转换器：四孔同心球轴转换器，定位准确，并带有限位装置，转换器稳定性≤0.00822mm；</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7.载物台：≥120*120mm载物台受5N水平方向作用力最大位移≤0.0115mm；不重复性≤0.0012mm；</w:t>
              <w:br w:type="textWrapping" w:clear="all"/>
              <w:t xml:space="preserve">8.整机结构件：结构件大部分采用金属制作，镜架上配有初微调同轴低旋钮，调整工作台面到物镜间的焦距低重心底座；</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9.聚光镜：NA1.25带可变光栏螺旋式升降聚光镜，聚光镜上升到最高位，顶端低于载物台表面的距离在0.03－0.15（mm）之间；</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10.镜筒：双目斜筒，端面高低差≤0.112mm，45°倾斜，可360°旋转便于同步观察，360°旋转时目镜焦平面上</w:t>
            </w:r>
            <w:r>
              <w:rPr>
                <w:rFonts w:hint="eastAsia" w:ascii="宋体" w:hAnsi="宋体" w:cs="宋体"/>
                <w:szCs w:val="21"/>
                <w:lang w:bidi="ar"/>
              </w:rPr>
              <w:t xml:space="preserve">像中心的位移≤0.212mm；</w:t>
              <w:br/>
              <w:t xml:space="preserve">11.粗微调：同轴调焦轴－初微调同轴，调节载物台，有限位打滑装置，并有内置防滑动离合器，延长因机械损耗的整机使用寿命，微调机构空回≤0.0075mm；</w:t>
              <w:br/>
              <w:t xml:space="preserve">12.目镜：带有指针定位的WF10×目镜并锁定于目镜筒，防止学生把目镜拔出使目镜遭到损坏，防止灰尘进入，目镜放大率大于6.3×准确度不超过±0.104%；</w:t>
              <w:br/>
              <w:t xml:space="preserve">13.照明：电源调节旋钮和电压开关分开，亮度可调的LED冷光源，可以充电，充电后不接电源可连续使用50小时。灯泡使用寿命在10000小时以上，不产生温度，灯光色泽为无色，且</w:t>
            </w:r>
            <w:r>
              <w:rPr>
                <w:rFonts w:hint="eastAsia" w:ascii="宋体" w:hAnsi="宋体" w:cs="宋体"/>
                <w:szCs w:val="21"/>
                <w:lang w:bidi="ar"/>
              </w:rPr>
              <w:t xml:space="preserve">不会产生热度；</w:t>
              <w:br/>
              <w:t xml:space="preserve">▲14.物镜：标准消色差物镜，4×/0.10成像清晰圆直径≥7.35mm；10×/0.25成像清晰圆直径≥7.155mm，景深范围内像面的偏摆≤0.115mm；40×/0.65（弹簧），成像清晰圆直径≥6.863mm；所有物镜均保证齐焦，10倍－4倍不超过±0.030mm；10倍－40倍不超过±0.027mm；40倍－100倍不超过±0.0352mm；带有限位装置，可防止物镜压坏切片致使物镜损坏，物镜放大率准确度不超过±4%。（提供国家认可的检测机构出具的检测报告复印件并加盖响应供应商公章）</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学生凳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1.总尺寸：≥φ300*450mm；</w:t>
              <w:br w:type="textWrapping" w:clear="all"/>
              <w:t xml:space="preserve">2.椅面尺寸：≥φ300*18mm，椅面材质：采用厚度≥18mm厚刨花板；</w:t>
              <w:br w:type="textWrapping" w:clear="all"/>
              <w:t xml:space="preserve">3.钢架尺寸：U型上管和U型下管的圆管尺寸≥φ25*1.5mm，加强圆管尺寸≥φ16*1.5mm；钢架材质：采用直缝电焊钢管，钢架表面经磷化处理，静电粉末喷涂；</w:t>
              <w:br w:type="textWrapping" w:clear="all"/>
              <w:t xml:space="preserve">4.脚垫：采用 PP+GF 耐冲击塑料注塑成型，脚垫采用球形设计。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把</w:t>
            </w:r>
            <w:r>
              <w:rPr>
                <w:rFonts w:hint="eastAsia" w:ascii="宋体" w:hAnsi="宋体" w:cs="宋体"/>
                <w:szCs w:val="21"/>
              </w:rPr>
            </w:r>
            <w:r/>
          </w:p>
        </w:tc>
      </w:tr>
      <w:tr>
        <w:trPr>
          <w:trHeight w:val="32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文化装饰</w:t>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1.展板装饰：不少于5㎡，根据现场教室内实际情况，以及校方提供的内容，进行二次设计，常用工艺如下：PVC雕刻字、亚克力雕刻字、亚克力加PVC等；</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2.地面装饰：不少于97㎡，不低于2mm厚同质透芯PVC面层，不低于3mm厚自流平基层，面层颜色：由采购人选定。</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项</w:t>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超净工作台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1.外箱体采用冷轧钢板静电喷涂工艺，有较强的抗腐蚀能力，能有效地抑制柜体表面细菌滋生，垂直层流送风，防止操作室内部样品相互交叉污染，20度下倾式操作面板，便于实验操作时进行调节；</w:t>
              <w:br w:type="textWrapping" w:clear="all"/>
              <w:t xml:space="preserve">2.工作台面选用优质304不锈钢材质，美观、易清理、耐腐蚀；</w:t>
              <w:br w:type="textWrapping" w:clear="all"/>
              <w:t xml:space="preserve">3.具有温度补偿功能，开启温度补偿键，进行温度补偿，便于湿冷环境的操作；</w:t>
              <w:br w:type="textWrapping" w:clear="all"/>
              <w:t xml:space="preserve">4.≥4.3英寸嵌入式液晶彩色触摸屏控制,可显示温度、湿度、光照度，显示开机时间和持续运行时间；</w:t>
              <w:br w:type="textWrapping" w:clear="all"/>
              <w:t xml:space="preserve">▲5.可任意设置紫外灯预约开启时间和关闭时间（0-9999min)，照明和杀菌系统安全互锁；（</w:t>
            </w:r>
            <w:r>
              <w:rPr>
                <w:rFonts w:hint="eastAsia" w:ascii="宋体" w:hAnsi="宋体" w:cs="宋体"/>
                <w:szCs w:val="21"/>
                <w:lang w:bidi="ar"/>
              </w:rPr>
              <w:t xml:space="preserve">提供国家认可的检测机构出具的检测报告复印件并加盖响应供应商公章）</w:t>
              <w:br/>
              <w:t xml:space="preserve">6.配备HV超高效虑膜，对于≤0.3m的尘埃颗粒捕集效率99.995%，高效过滤器采用便携式抽出方式构造，直接抽出即可更换，后续耗材更换方便；</w:t>
              <w:br/>
              <w:t xml:space="preserve">7.具有臭氧浓度检测功能，提示操作区臭氧浓度，超出上限报警；</w:t>
              <w:br/>
              <w:t xml:space="preserve">8.洁净等级：不低于100级，0.5μm；</w:t>
              <w:br/>
              <w:t xml:space="preserve">9.菌落数：≤0.5个/皿·时(≥φ90mm培养平皿)；</w:t>
              <w:br/>
              <w:t xml:space="preserve">10.光照度：≥300lx； </w:t>
              <w:br/>
              <w:t xml:space="preserve">11.单相交流：≥220V/50Hz；</w:t>
              <w:br/>
              <w:t xml:space="preserve">12.最大功耗：≤0.3kW，内有紫外杀菌接种器接入电源，振动半峰</w:t>
            </w:r>
            <w:r>
              <w:rPr>
                <w:rFonts w:hint="eastAsia" w:ascii="宋体" w:hAnsi="宋体" w:cs="宋体"/>
                <w:szCs w:val="21"/>
                <w:lang w:bidi="ar"/>
              </w:rPr>
              <w:t xml:space="preserve">值≤0.5μm(X.Y.Z方向)；</w:t>
              <w:br/>
              <w:t xml:space="preserve">13.高效过滤器尺寸及数量：≥715*460*46mm，不少于1个；</w:t>
              <w:br/>
              <w:t xml:space="preserve">14.荧光灯不少于1个≤15W，紫外灯不少于1个≤15W；</w:t>
              <w:br/>
              <w:t xml:space="preserve">15.风速：0.25-0.45m/s(支持高、中、低档三速)；</w:t>
              <w:br/>
              <w:t xml:space="preserve">16.噪声：≤62dB； </w:t>
              <w:br/>
              <w:t xml:space="preserve">17.外形尺寸（长*宽*高）：≥850*600*1600mm；</w:t>
              <w:br/>
              <w:t xml:space="preserve">18.工作区尺寸（长*宽*高）：≥700*550*520mm；</w:t>
              <w:br/>
              <w:t xml:space="preserve">19.电源：≥AC220V/50Hz；</w:t>
              <w:br/>
              <w:t xml:space="preserve">20.功率：≤200W；</w:t>
              <w:br/>
              <w:t xml:space="preserve">21.带刹车优质万向脚轮装置，移动灵活，固定稳定，方便可靠。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溶液导电演示器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电表式，≤DC 6V 10mA，采用不锈钢电极。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教师用分子结构模型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球棍式，氢原子球直径≥30mm，其他原子球直径≥40mm。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学生用分子结构模型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球棍式，氢原子球直径≥23mm，其他原子球直径≥30mm。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学生电源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交流：2V～16V/3A，每2V一档，直流稳压：2V～16V/2A，每2V一档。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原电池实验器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含透明塑料容器及盖、铜、锌、铝极板各1块、电极卡和接线柱。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登高梯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打开高度：≥118cm，折叠高度：≥128cm。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热熔胶枪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功率：≥20W，尺寸：≥13*11cm。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把</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热熔胶棒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胶棒直径：7.0～7.5mm。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支</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向心力实验器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手动，质量、半径和角速度均支持调节。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打点纸带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≥1000根/捆，宽≥17.5mm，长度≥78cm/根。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捆</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57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墨粉纸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直径≥38mm，≥10片/袋，电火花打点计时器专用。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袋</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接线夹导线</w:t>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纯铜材质接线夹，纯铜导线长度≥400mm，芯线截面积≥0.5mm²。</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根</w:t>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接线叉导线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纯铜材质接线叉，接线叉开口≥5.9mm，纯铜导线长度≥400 mm，芯线截面积≥0.5mm²。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根</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香蕉头导线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带有转接口，≥4mm香蕉插头,纯铜导线长度≥400mm，芯线截面积≥0.5mm²。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根</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电火花计时器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支持单频。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轨道小车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车拖纸带打点式，打点有效距离≥600mm。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运动频闪观测仪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频闪光源支持25Hz、50Hz，可实时观测运动物体图像。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玻意耳定律演示器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U型管式，有竖刻度板等，至少含刻度气室、活塞、支架、底座、气压表等。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电容器实验板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由200pF～20000μF的电解电容器组成，排列均匀，焊接在实验板上.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多用电表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指针式,不低于2.5级。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翻页笔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红色激光，支持充电款，支持≥100米远控激光指示。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支</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废液分类回收桶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大口径加厚塑料制，≥30L。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69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实验服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常规白大褂，平纹。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件</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防护手套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机械危害防护手套。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副</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一次性手套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非无菌型抽取式，≥100只/盒，天然橡胶。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副</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果酒果醋发酵装置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容积≥1L，带水封装置。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DNA双螺旋结构模型组件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≥120*120*300mm。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557"/>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基因转录和翻译磁片模型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具有单独构件，支持分步演示。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双面刀片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≥43*22mm。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包</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研磨过滤器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容量≥20mL。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77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移液器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普通移液器，0.5µL～10µL、10µL～100µL。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78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涂布器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总长≥100mm，有效宽度≥80mm，不锈钢材质。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79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接种环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长≥4mm。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包</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移液器架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平板式，亚克力材料，≥5个位置。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血细胞计数板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至少包含血细胞计数板1片，血盖片1盒。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≥500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烧杯</w:t>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≥1000 mL。</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个</w:t>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滴瓶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≥30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85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茶色滴瓶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≥30 mL。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86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泡菜坛</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≥1000 mL，玻璃，带盖。</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87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培养皿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培养皿</w:t>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≥90mm。</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套</w:t>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89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漏斗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≥150mm。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载玻片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高清透明，≥76.2*25.4mm，每盒≥50片。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盖玻片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≥18*18mm，≥100片/盒无色透明，平整、厚度0.13-0.17mm。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离心管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≥0.5mL，玻璃材质，≥100个/包。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包</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毛细吸管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内径≥0.3mm,外径≥5-6mm。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包</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移液器吸头盒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≥10µL，≥96孔。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96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移液器吸头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≥10µL。</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包</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97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塑料多用滴管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≥4mL，≥100根/包。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包</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98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定性滤纸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直径≥125mm，中性。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99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仪器车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≥600*400*800mm，带刹车。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辆</w:t>
            </w:r>
            <w:r>
              <w:rPr>
                <w:rFonts w:hint="eastAsia" w:ascii="宋体" w:hAnsi="宋体" w:cs="宋体"/>
                <w:szCs w:val="21"/>
              </w:rPr>
            </w:r>
            <w:r/>
          </w:p>
        </w:tc>
      </w:tr>
      <w:tr>
        <w:trPr>
          <w:trHeight w:val="782"/>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≥450*260*75mm。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双缝干涉实验仪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1.仪器采用游标读数机构，双缝及光源单缝均采用真空镀铬工艺制在玻璃片上；</w:t>
              <w:br w:type="textWrapping" w:clear="all"/>
              <w:t xml:space="preserve">2.至少包含：灯泡、照明透镜、遮光板、滤色片及片座、单狭缝及缝座、单缝管、拨杆、遮光管（铁质，表面喷漆，尺寸：≥φ32*600mm，管壁厚≥2mm）、接长管、测量头、游标尺、滑块、手轮、目镜、半圆形支架环；</w:t>
              <w:br w:type="textWrapping" w:clear="all"/>
              <w:t xml:space="preserve">3.双缝中心距d及缝宽a分别为：d1=0.200±0.003mm，0.029mm≤a1≤0.04mm；d2=</w:t>
            </w:r>
            <w:r>
              <w:rPr>
                <w:rFonts w:hint="eastAsia" w:ascii="宋体" w:hAnsi="宋体" w:cs="宋体"/>
                <w:szCs w:val="21"/>
                <w:lang w:bidi="ar"/>
              </w:rPr>
              <w:t xml:space="preserve">0.250±0.003mm，0.036mm≤a2≤0.050mm；光源单缝宽a=0.10±0.02mm；</w:t>
              <w:br/>
              <w:t xml:space="preserve">4.双缝至光屏之间的距离：L1=600±2mm(不接长管)，L2=700±2mm(接长管)；</w:t>
              <w:br/>
              <w:t xml:space="preserve">5.滤色片为≥2mm厚的光学玻璃片；</w:t>
              <w:br/>
              <w:t xml:space="preserve">6.测量头滑块的移动范围为0～20mm，游标尺的最小读数为0.02mm；</w:t>
              <w:br/>
              <w:t xml:space="preserve">7.单色光通过双缝所产生的干涉亮条纹不少于7条；</w:t>
              <w:br/>
              <w:t xml:space="preserve">8.白光干涉零级亮条纹所产生的中心与光轴的偏离：当L1=600mm时不大于2mm，当L2=700mm不大于3mm；</w:t>
              <w:br/>
              <w:t xml:space="preserve">9.测定钠光波长，相对误差≤4%。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教师用数码显微镜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一、基础光学系统要求</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1.光学系统：无限远色差校正光学系统；</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2.机身具有RJ45、USB接口；</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3.光源：LED光源，不发热，长寿命，亮度可调；</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4.目镜：大视场、高眼点平场目镜WF10</w:t>
            </w:r>
            <w:r>
              <w:rPr>
                <w:rFonts w:hint="eastAsia" w:ascii="宋体" w:hAnsi="宋体" w:cs="宋体"/>
                <w:szCs w:val="21"/>
                <w:lang w:bidi="ar"/>
              </w:rPr>
              <w:t xml:space="preserve">×</w:t>
            </w:r>
            <w:r>
              <w:rPr>
                <w:rFonts w:hint="eastAsia" w:ascii="宋体" w:hAnsi="宋体" w:cs="宋体"/>
                <w:szCs w:val="21"/>
              </w:rPr>
              <w:t xml:space="preserve">/20mm，其中至少一只带教学指针；</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▲5.物镜：平场消色差物镜4倍，成像清晰圆直径≥18.8mm；10倍，成像清晰圆直径≥18.6mm， 40倍（弹簧） 成像清晰圆直径≥18.9mm。100倍（弹簧、油）成像清晰圆直径≥18.9mm；（提供国家认可的检测机构出具的检测报告复印件并加盖响应供应商公章）</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6.齐焦：物镜10→4倍≤0.025mm，10→40倍≤0.010mm，40→100倍≤0.005mm；</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7.目镜筒：铰链式目镜筒，360°旋转时目镜焦平面上像中心的位移，左右两系统放大率差≤0.35%，双目系统左右两像面光谱色一致，明暗差≤8.2%；双目系统左右系统像面方差≤35；双目系统左右视场中心偏差：上下≤0.02mm、左右内侧≤0.03mm；</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8.内倾斜、内定位四孔转换器；</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▲9.载物台：“U型”双层载物台；（提供国家认可的检测机构出具的检测报告复印件并加盖响应供应商公章）</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10.载物台硬膜涂层表面，防腐、耐磨； 移动行程≥75*50mm；X、Y向低位同轴调节手轮；X、Y轴同轴调节，载物台受</w:t>
            </w:r>
            <w:r>
              <w:rPr>
                <w:rFonts w:hint="eastAsia" w:ascii="宋体" w:hAnsi="宋体" w:cs="宋体"/>
                <w:szCs w:val="21"/>
                <w:lang w:bidi="ar"/>
              </w:rPr>
              <w:t xml:space="preserve">≥</w:t>
            </w:r>
            <w:r>
              <w:rPr>
                <w:rFonts w:hint="eastAsia" w:ascii="宋体" w:hAnsi="宋体" w:cs="宋体"/>
                <w:szCs w:val="21"/>
              </w:rPr>
              <w:t xml:space="preserve">5N水平方向作用力最大位移≤0.010mm；不重复性≤0.003mm；</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11.调焦机构：粗微调同轴，并有调焦限位装置，微调机构空回≤0.005mm，微调刻值≤0.002mm；聚光镜：阿贝式聚光镜N.A.1.25(带可变光栏)；</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12.加长握手位，搬运显微镜时整只手可握住加长把手提起显微镜。</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二、系统部分</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1.采用无线交互式连接，能实时显示在电脑；</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2.带显微配套软件，可进行图像采集、图像分析、图像处理等。</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▲3.能和学校已有的实验室设备系统无缝对接形成岛型云存储工作站。（提供满足本项要求的承诺函并加盖响应供应商公章</w:t>
            </w:r>
            <w:r>
              <w:rPr>
                <w:rFonts w:hint="eastAsia" w:ascii="宋体" w:hAnsi="宋体" w:cs="宋体"/>
                <w:szCs w:val="21"/>
                <w:lang w:bidi="ar"/>
              </w:rPr>
              <w:t xml:space="preserve">，格式自拟。</w:t>
            </w:r>
            <w:r>
              <w:rPr>
                <w:rFonts w:hint="eastAsia" w:ascii="宋体" w:hAnsi="宋体" w:cs="宋体"/>
                <w:szCs w:val="21"/>
              </w:rPr>
              <w:t xml:space="preserve">）</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三、系统输出设备要求</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1.显示屏与显微镜一体化设计直接由显微镜内嵌供电及充电，无需外置适配器及电源线进行充电，整台数码显微镜用一根电源线提供电源；</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2.显示屏可轻松拆卸，进行0°</w:t>
            </w:r>
            <w:r>
              <w:rPr>
                <w:rFonts w:hint="eastAsia" w:ascii="宋体" w:hAnsi="宋体" w:cs="宋体"/>
                <w:szCs w:val="21"/>
                <w:lang w:bidi="ar"/>
              </w:rPr>
              <w:t xml:space="preserve">～</w:t>
            </w:r>
            <w:r>
              <w:rPr>
                <w:rFonts w:hint="eastAsia" w:ascii="宋体" w:hAnsi="宋体" w:cs="宋体"/>
                <w:szCs w:val="21"/>
              </w:rPr>
              <w:t xml:space="preserve">90°翻折，便于搬运及存储；</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3.操作系统：Android 、IOS或Windows操作系统；</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4.显示系统：采用高清彩色芯片、wifi无线传输，静态≥1600万像素，动态分辨率≥1080p；</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5.实时分享：可作为网络热点，实时共享显微镜下图像，支持安卓、苹果操作系统；</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rPr>
              <w:t xml:space="preserve">6.显示设备：屏幕尺寸≥10.1英寸，屏幕配置≥1600万像素，分辨率：≥1920*1200，可视角度：上80°/下80°/左80°/右80°，支持wifi，操作系统Android 8.0及以上，运行内存（RAM）≥3GB，存储容量（ROM）≥32GB，扩展支持≥256GB，摄像头≥1300万，副摄像头≥800万，支持护眼模式，网络wifi GPS：GPS、GLONASS、北斗（BDS），电池容量≥7500mAh，超高清成像装置，画面无拖尾延迟现象，支持不低于1080p HDMI 高清数字信号输出。</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PCR仪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1.耗材：0.2 mL单管、0.2 mL*8联管、0.2 mL 96孔板(全裙边除外)；</w:t>
              <w:br w:type="textWrapping" w:clear="all"/>
              <w:t xml:space="preserve">2.反应体系：5～100μL；</w:t>
              <w:br w:type="textWrapping" w:clear="all"/>
              <w:t xml:space="preserve">3.最大升温速率：5℃/s；</w:t>
              <w:br w:type="textWrapping" w:clear="all"/>
              <w:t xml:space="preserve">4.最大降温速率：4℃/s；</w:t>
              <w:br w:type="textWrapping" w:clear="all"/>
              <w:t xml:space="preserve">5.变温速率设置：0.1～5℃/s；</w:t>
              <w:br w:type="textWrapping" w:clear="all"/>
              <w:t xml:space="preserve">6.控温精度：±0.1℃；</w:t>
              <w:br w:type="textWrapping" w:clear="all"/>
              <w:t xml:space="preserve">7.温度均匀性：±0.2℃；</w:t>
              <w:br w:type="textWrapping" w:clear="all"/>
              <w:t xml:space="preserve">8.温度准确性：±0.1℃；</w:t>
              <w:br w:type="textWrapping" w:clear="all"/>
              <w:t xml:space="preserve">9.</w:t>
            </w:r>
            <w:r>
              <w:rPr>
                <w:rFonts w:hint="eastAsia" w:ascii="宋体" w:hAnsi="宋体" w:cs="宋体"/>
                <w:szCs w:val="21"/>
                <w:lang w:bidi="ar"/>
              </w:rPr>
              <w:t xml:space="preserve">模块控温：0℃～100℃；</w:t>
              <w:br/>
              <w:t xml:space="preserve">10.热盖控温范围：≤105℃；</w:t>
              <w:br/>
              <w:t xml:space="preserve">11.梯度温度范围：1℃～99℃；</w:t>
              <w:br/>
              <w:t xml:space="preserve">12.梯度范围：12℃～98℃；</w:t>
              <w:br/>
              <w:t xml:space="preserve">13.程序存储数量：≥20000；</w:t>
              <w:br/>
              <w:t xml:space="preserve">14.程序最大步骤：≥50；</w:t>
              <w:br/>
              <w:t xml:space="preserve">15.程序最大循环：≥99；</w:t>
              <w:br/>
              <w:t xml:space="preserve">16.4℃保温：无限长；</w:t>
              <w:br/>
              <w:t xml:space="preserve">17.通讯接口：USB*2；</w:t>
              <w:br/>
              <w:t xml:space="preserve">18.支持Tm计算器；</w:t>
              <w:br/>
              <w:t xml:space="preserve">19.支持程序暂停；</w:t>
              <w:br/>
              <w:t xml:space="preserve">20.支持掉电保护；</w:t>
              <w:br/>
              <w:t xml:space="preserve">21.语言：支持中文/英文；</w:t>
              <w:br/>
              <w:t xml:space="preserve">22.显示屏：≥10.1英寸全贴合屏；</w:t>
              <w:br/>
              <w:t xml:space="preserve">23.电源：100～120V/12A、200～240/7.5A、50Hz/60Hz；</w:t>
              <w:br/>
              <w:t xml:space="preserve">24</w:t>
            </w:r>
            <w:r>
              <w:rPr>
                <w:rFonts w:hint="eastAsia" w:ascii="宋体" w:hAnsi="宋体" w:cs="宋体"/>
                <w:szCs w:val="21"/>
                <w:lang w:bidi="ar"/>
              </w:rPr>
              <w:t xml:space="preserve">.具备≥5种温控模式：快速模式、中等模式、标准模式、安全模式，教学模式（教学模式下可实现动画演示），适用于不同类型的样品模板；</w:t>
              <w:br/>
              <w:t xml:space="preserve">25.具有预约功能，方便实验室安排实验计划；</w:t>
              <w:br/>
              <w:t xml:space="preserve">26.独特的前进风后出风的风道设计，仪器之间可紧贴摆放；</w:t>
              <w:br/>
              <w:t xml:space="preserve">27.具有打印机功能，可将实验数据打印，方便实验数据记录；</w:t>
              <w:br/>
              <w:t xml:space="preserve">28.多用户密码登录：无需担心自有程序被他们复制或修改，确保用户隐私安全；</w:t>
              <w:br/>
              <w:t xml:space="preserve">29.Tm计算器，只需输入碱基排列情况，自动计算解链和退火温度，提高工作效率；</w:t>
              <w:br/>
              <w:t xml:space="preserve">30.实时控温曲线记录：记录显示运行中的热盖和样品温度变化曲线。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104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恒温培养箱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1.箱体由优质冷轧钢板冲制而成，表面喷涂处理，内胆采用优质不锈钢板制成；</w:t>
              <w:br w:type="textWrapping" w:clear="all"/>
              <w:t xml:space="preserve">2.≥4.3</w:t>
            </w:r>
            <w:r>
              <w:rPr>
                <w:rFonts w:hint="eastAsia" w:ascii="宋体" w:hAnsi="宋体" w:cs="宋体"/>
                <w:szCs w:val="21"/>
                <w:lang w:bidi="ar"/>
              </w:rPr>
              <w:t xml:space="preserve">英寸嵌入式液晶彩色触摸屏控制,可显示温度；</w:t>
              <w:br/>
              <w:t xml:space="preserve">3.工作室内搁架可随用户要求任意调节高度及搁架的数量。专业设计的工作室气流循环系统使底部加热器产生的热量以自然对流的方式进入工作室，从而提高工作室内温度的均匀性；</w:t>
              <w:br/>
              <w:t xml:space="preserve">4.箱门具有大视角玻璃观察窗，便于用户观察。选用高性能的CPU处理芯片和高灵敏，高精度铂电阻传感器的温度控制系统使温度控制更精准，操作更方便；</w:t>
              <w:br/>
              <w:t xml:space="preserve">▲5.具备传感器故障报警，参数记忆≥20组和≥9999分钟的定时功能，具有照明功能；（提供国家认可的检测机构出具的检测报告和功能截图复印件并加盖响应供应商公章）</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6.具有紫外消毒一键启动功能和预约杀菌功能，可对箱体定时杀菌；</w:t>
              <w:br w:type="textWrapping" w:clear="all"/>
              <w:t xml:space="preserve">7.风速支持≥20档可调；</w:t>
              <w:br w:type="textWrapping" w:clear="all"/>
              <w:t xml:space="preserve">8.容积：≥138L；</w:t>
              <w:br w:type="textWrapping" w:clear="all"/>
              <w:t xml:space="preserve">9.控温范围：室温+5℃～99.9℃，恒温方式：自然对流，温度波动度：±0.5℃，为双层可视观察窗前门；</w:t>
              <w:br w:type="textWrapping" w:clear="all"/>
              <w:t xml:space="preserve">10.外形尺寸（长*宽*高）：≥655*640*810mm；</w:t>
              <w:br w:type="textWrapping" w:clear="all"/>
              <w:t xml:space="preserve">11.内胆尺寸（长*宽*高）：≥547*458*577mm。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灵敏电流计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座式三接线柱，内磁系，测量范围：-300µA～0～300µA。误差：≤5μA。G0档表头内阻80～125Ω；G1档表头内阻4kΩ～3.0kΩ。具零点调节器标度尺刻度均匀，弧长不小于75mm,工作位置与水平面成45°角；输出端子全部采用不脱落式铜材接线柱，≥φ4mm铜芯香蕉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发波水槽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1.电源输入：≥220V/50Hz；</w:t>
              <w:br w:type="textWrapping" w:clear="all"/>
              <w:t xml:space="preserve">2.工作电压：DC12V±5%；</w:t>
              <w:br w:type="textWrapping" w:clear="all"/>
              <w:t xml:space="preserve">3.LED集成光源：≥12V/10W；</w:t>
              <w:br w:type="textWrapping" w:clear="all"/>
              <w:t xml:space="preserve">4.外形尺寸：≥370*275*680mm；</w:t>
              <w:br w:type="textWrapping" w:clear="all"/>
              <w:t xml:space="preserve">5.仪器至少包含主机箱、电源变压器、屏幕、折射镜、水槽、升降杆、振动源盒、频闪光源盒等组成。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液体表面张力演示器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供中学物理课讲述液体的表面张力进行演示实验或分组实验用。</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1.产品由半球环、双环、棉线环、棉线圈环、金属框架、钢丝圈六件组成；</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2.半球环、双环、、棉线圈环、金属框架采用≥φ1.5mm的钢丝制造，表面镀铬。手柄长度均不小于70mm。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108</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感应起电机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1.至少包含起电盘、底座、莱顿瓶、集电杆、放电杆、电刷、电刷杆、皮带轮、连接片等；</w:t>
              <w:br w:type="textWrapping" w:clear="all"/>
              <w:t xml:space="preserve">2.起电盘上导电膜应采用铝箔和纸箔交替分布；</w:t>
              <w:br w:type="textWrapping" w:clear="all"/>
              <w:t xml:space="preserve">3.莱顿瓶应采用塑料制成，电容量应≥30pF，击穿</w:t>
            </w:r>
            <w:r>
              <w:rPr>
                <w:rFonts w:hint="eastAsia" w:ascii="宋体" w:hAnsi="宋体" w:cs="宋体"/>
                <w:szCs w:val="21"/>
                <w:lang w:bidi="ar"/>
              </w:rPr>
              <w:t xml:space="preserve">电压应≥42kV；</w:t>
              <w:br/>
              <w:t xml:space="preserve">4.集电杆采用直径≥4mm的冷拉圆钢制成，电梳由针状金属杆或束状裸铜线制成，与起电盘距离不应小于6mm；</w:t>
              <w:br/>
              <w:t xml:space="preserve">5.放电杆采用直径≥3mm的冷拉圆钢制成，表面镀铬，绝缘手柄长度≥80mm，体积电阻率≥10Ωm；</w:t>
              <w:br/>
              <w:t xml:space="preserve">6.电刷采用束状磷铜≥16线；导电膜与起电盘的90°剥离强度应≥8N；</w:t>
              <w:br/>
              <w:t xml:space="preserve">7.性能要求：在温度为20℃、相对湿度为65%±5%的环境中，摇柄转速120r/min，火花放电距离应≥55mm；在温度为5℃～30℃范围，相对湿度为85%±5%的条件下，仪器应正常工作，火花放电距离应≥30mm。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109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学生用数码显微镜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1.采用无线交互式连接，支持实时显示在电脑；</w:t>
              <w:br w:type="textWrapping" w:clear="all"/>
              <w:t xml:space="preserve">2.带显微镜配套软件，可进行图像采集、图像分析、图像处理等。处理等。</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3.设备总放大倍数不低于：400×；</w:t>
              <w:br w:type="textWrapping" w:clear="all"/>
              <w:t xml:space="preserve">4.整机结构件：结构件大部分采用金属制作，镜架上配有初微调同轴低旋钮，调整工作台面到物镜间的焦距低重心底座；</w:t>
              <w:br w:type="textWrapping" w:clear="all"/>
              <w:t xml:space="preserve">5.目镜：带有指针定位的WF10×目镜并锁定于目镜筒，防止学生把目镜拔出使目镜遭到损坏，防止灰尘进入，目镜放大率大于6.3×准确度不超过±0.104%；</w:t>
              <w:br w:type="textWrapping" w:clear="all"/>
              <w:t xml:space="preserve">6.目镜视场角大于50°时，放大率差不大于0.22%；</w:t>
              <w:br w:type="textWrapping" w:clear="all"/>
              <w:t xml:space="preserve">7.物镜：标准消色差物镜，4×/0.10成像清晰圆直径≥7.35mm；10×/0.25成像清晰圆直径≥7.155mm，景深范围</w:t>
            </w:r>
            <w:r>
              <w:rPr>
                <w:rFonts w:hint="eastAsia" w:ascii="宋体" w:hAnsi="宋体" w:cs="宋体"/>
                <w:szCs w:val="21"/>
                <w:lang w:bidi="ar"/>
              </w:rPr>
              <w:t xml:space="preserve">内像面的偏摆≤0.115mm；40×/0.65（弹簧），成像清晰圆直径≥6.863mm；所有物镜均保证齐焦，10倍－4倍不超过±0.0075mm；10倍－40倍不超过±0.0035mm；40倍－100倍不超过±0.0352mm；带有限位装置，可防止物镜压坏切片致使物镜损坏，物镜放大率准确度不超过±4%；</w:t>
              <w:br/>
              <w:t xml:space="preserve">8.镜筒：双目斜筒，端面高低差≤0.112mm，45°倾斜，可360°旋转便于同步观察，360°旋转时目镜焦平面上像中心的位移≤0.212mm；</w:t>
              <w:br/>
              <w:t xml:space="preserve">9.双目两系统光谱明暗差不大于8%，像面图形方位差不大于30</w:t>
            </w:r>
            <w:r>
              <w:rPr>
                <w:rFonts w:hint="eastAsia" w:ascii="宋体" w:hAnsi="宋体" w:cs="宋体"/>
                <w:szCs w:val="21"/>
              </w:rPr>
              <w:t xml:space="preserve">'</w:t>
            </w:r>
            <w:r>
              <w:rPr>
                <w:rFonts w:hint="eastAsia" w:ascii="宋体" w:hAnsi="宋体" w:cs="宋体"/>
                <w:szCs w:val="21"/>
                <w:lang w:bidi="ar"/>
              </w:rPr>
              <w:t xml:space="preserve">；</w:t>
            </w:r>
            <w:r>
              <w:rPr>
                <w:rFonts w:hint="eastAsia" w:ascii="宋体" w:hAnsi="宋体" w:cs="宋体"/>
                <w:szCs w:val="21"/>
                <w:lang w:bidi="ar"/>
              </w:rPr>
              <w:br/>
              <w:t xml:space="preserve">10.转换器：四孔同心球轴转换器，定位准确，并带有限位装置，转换器稳定性≤0.00822mm；</w:t>
              <w:br/>
              <w:t xml:space="preserve">11.粗微调: 同轴调焦轴－初微调同轴，调节载物台，有限位打滑装置，并有内置防滑动离合器，延长因机械损耗的整机使用寿命，微调机构空回≤0.0075mm；；</w:t>
              <w:br/>
              <w:t xml:space="preserve">12.照明：电源调节旋钮和电压开关分开，亮度可调的LED冷光源，可以充电，充电后不接电源可连续使用50小时。灯泡使用寿命在10000小时以上，不产生温度，灯光色泽为无色，且不会产生热度；</w:t>
              <w:br/>
              <w:t xml:space="preserve">13.聚光镜：NA1.25带可变光栏螺旋式升降聚光镜，聚光镜上升到最高</w:t>
            </w:r>
            <w:r>
              <w:rPr>
                <w:rFonts w:hint="eastAsia" w:ascii="宋体" w:hAnsi="宋体" w:cs="宋体"/>
                <w:szCs w:val="21"/>
                <w:lang w:bidi="ar"/>
              </w:rPr>
              <w:t xml:space="preserve">位，顶端低于载物台表面的距离在0.03－0.15（mm）之间；</w:t>
              <w:br/>
              <w:t xml:space="preserve">14.载物台：≥120*120mm载物台受5N水平方向作用力最大位移≤0.0115mm；不重复性≤0.0012mm；</w:t>
              <w:br/>
              <w:t xml:space="preserve">15.移动尺：沿X-Y轴平稳移动，行程为≥60*40mm的移动尺。</w:t>
              <w:br/>
              <w:t xml:space="preserve">16.显示屏与显微镜一体化设计直接由显微镜内嵌供电及充电，无需外置适配器及电源线进行充电，整台数码显微镜用一根电源线提供电源；</w:t>
              <w:br/>
              <w:t xml:space="preserve">17.显示屏可轻松拆卸，进行0°～90°翻折，便于搬运及存储；</w:t>
              <w:br/>
              <w:t xml:space="preserve">18.操作系统：支持Android 、IOS或Windows操作系统；</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19.实时分享：可作为网络热点，实时共享显微镜下图像，支持安卓、苹果操作系统。</w:t>
              <w:br w:type="textWrapping" w:clear="all"/>
              <w:t xml:space="preserve">20.显示系统：采用高清彩色芯片、wifi无线传输，静态≥1600万像素，动态分辨率≥1080</w:t>
            </w:r>
            <w:r>
              <w:rPr>
                <w:rFonts w:hint="eastAsia" w:ascii="宋体" w:hAnsi="宋体" w:cs="宋体"/>
                <w:szCs w:val="21"/>
                <w:lang w:bidi="ar"/>
              </w:rPr>
              <w:t xml:space="preserve">P；</w:t>
              <w:br/>
              <w:t xml:space="preserve">21.显示设备：屏幕尺寸≥10.1英寸，屏幕配置≥1600万像素，分辨率：≥1920*1200，可视角度：上80°/下80°/左80°/右80°，支持wifi，操作系统Android 8.0及以上，运行内存（RAM）≥3GB，存储容量（ROM）≥32GB，扩展支持≥256GB，摄像头≥1300万，副摄像头≥800万，支持护眼模式，网络wifi GPS：GPS、GLONASS、北斗（BDS），电池容量≥7500mAh，超高清成像装置，画面无拖尾延迟现象，支持不低于1080p HDMI 高清数字信号输出；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显微镜管理平台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1.可同时打开单个或多个图像进行扫描、浏览和分析，支持360°旋转图片进行浏览；</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2.打开多个图像浏览时可同步移动多个图片进行浏览分析；</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3.浏览过程中，可在扫描倍数下以任意倍数显示，并且显示标尺、放大倍数；</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4.支持在图像上添加注释；可以在图像上进行长度测量、面积测量；</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5.支持删除/修改图像的指定区域，支持对图像的指定区域范围进行输出，格式保持不变；</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6.支持本地浏览软件无安装数量限制，本地支持浏览多种文件格式，</w:t>
            </w:r>
            <w:r>
              <w:rPr>
                <w:rFonts w:hint="eastAsia" w:ascii="宋体" w:hAnsi="宋体" w:cs="宋体"/>
                <w:szCs w:val="21"/>
              </w:rPr>
              <w:t xml:space="preserve">至少</w:t>
            </w:r>
            <w:r>
              <w:rPr>
                <w:rFonts w:hint="eastAsia" w:ascii="宋体" w:hAnsi="宋体" w:cs="宋体"/>
                <w:szCs w:val="21"/>
                <w:lang w:bidi="ar"/>
              </w:rPr>
              <w:t xml:space="preserve">包括：SVS文件、JPEG 文件、TIFF文件、TIF文件、CWS 文件、NDPI文件、VMS文件、VMU文件、MRXS文件、SlideDat.ini文件、sis 文件和SCN文件。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电泳仪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1.本仪器采用微电脑处理器为控制核心，输出单元采用开关电源构成；</w:t>
              <w:br w:type="textWrapping" w:clear="all"/>
              <w:t xml:space="preserve">2.采用不低于3.2英寸彩色液晶触摸屏显示，可同时显示电压、电流、功率、定时、工作状态等功能；</w:t>
              <w:br w:type="textWrapping" w:clear="all"/>
              <w:t xml:space="preserve">3.具有预约时间设定功能，可按实验时间进行提前设定，到点自动运行，大大节约和便利了实验操作；</w:t>
              <w:br w:type="textWrapping" w:clear="all"/>
              <w:t xml:space="preserve">4.具有定时报警功能。具有储存记忆工作参数的功能以方便使用；</w:t>
              <w:br w:type="textWrapping" w:clear="all"/>
              <w:t xml:space="preserve">5.既可工作于恒定电压状态，也可工作于恒定电流、恒定功率状态；</w:t>
              <w:br w:type="textWrapping" w:clear="all"/>
              <w:t xml:space="preserve">6.具有4组并联的输出端子，可进行多槽并用；</w:t>
              <w:br w:type="textWrapping" w:clear="all"/>
              <w:t xml:space="preserve">7.蛋白功能：浓</w:t>
            </w:r>
            <w:r>
              <w:rPr>
                <w:rFonts w:hint="eastAsia" w:ascii="宋体" w:hAnsi="宋体" w:cs="宋体"/>
                <w:szCs w:val="21"/>
                <w:lang w:bidi="ar"/>
              </w:rPr>
              <w:t xml:space="preserve">缩胶后电源自动切换跑分离胶，降低了人工二次设置的繁琐；</w:t>
              <w:br/>
              <w:t xml:space="preserve">8.自动生成功能：选定恒定值后，其余两项指标自动生成，避免了人为操作的误恒定现象；</w:t>
              <w:br/>
              <w:t xml:space="preserve">9.安全性能：短路检测；断电自动恢复，暂停/恢复功能；</w:t>
              <w:br/>
              <w:t xml:space="preserve">10.历史数据存储不少于30条；</w:t>
              <w:br/>
              <w:t xml:space="preserve">11.输出范围：电压：1-400V；电流：1-400mA；功率：1-80W；</w:t>
              <w:br/>
              <w:t xml:space="preserve">12.分 辨 率：电压≤1V、电流≤1mA、功率≤1W；</w:t>
              <w:br/>
              <w:t xml:space="preserve">13.定时范围：1s–99h59min59s；</w:t>
              <w:br/>
              <w:t xml:space="preserve">14.外形尺寸：≥300*240*100mm）；</w:t>
              <w:br/>
              <w:t xml:space="preserve">15.仪器侧面外壳透明，一览内部结构，方便维护。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水平电泳槽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numPr>
                <w:ilvl w:val="0"/>
                <w:numId w:val="5"/>
              </w:numPr>
              <w:jc w:val="left"/>
              <w:widowControl/>
              <w:tabs>
                <w:tab w:val="left" w:pos="312" w:leader="none"/>
              </w:tabs>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外形尺寸：≥300*170*80mm；</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2.梳子数量：双刃式不少于9把；</w:t>
              <w:br w:type="textWrapping" w:clear="all"/>
              <w:t xml:space="preserve">3.铂金电极：≥φ0.25mm；</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4.PCR电泳：可一次跑不低于100个样品；</w:t>
              <w:br w:type="textWrapping" w:clear="all"/>
              <w:t xml:space="preserve">5.多种尺寸凝胶托盘任意组合（W*L）：≥120*120mm；≥120*60mm；≥60*120mm；≥60*60mm；</w:t>
              <w:br w:type="textWrapping" w:clear="all"/>
              <w:t xml:space="preserve">6.耐高温凝胶托盘，≥100℃高温不变形，无需将琼脂糖晾到温热再灌胶；</w:t>
              <w:br w:type="textWrapping" w:clear="all"/>
              <w:t xml:space="preserve">7.不使用橡胶密封圈，活动电极采用内嵌式设计，永无漏液顾虑；</w:t>
              <w:br w:type="textWrapping" w:clear="all"/>
              <w:t xml:space="preserve">8.凝胶面积（W*L）：≥120*120mm，≥120*60mm，≥60*120mm，≥60*60mm。</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113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数字黑板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numPr>
                <w:ilvl w:val="0"/>
                <w:numId w:val="6"/>
              </w:numPr>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整体设计</w:t>
              <w:br w:type="textWrapping" w:clear="all"/>
              <w:t xml:space="preserve">1.整机整体外观尺寸：宽≥4200mm，高≥1200mm，厚≤113mm。整机采用全金属外壳，三拼接平面一体化设计；</w:t>
            </w:r>
            <w:r>
              <w:rPr>
                <w:rFonts w:hint="eastAsia" w:ascii="宋体" w:hAnsi="宋体" w:cs="宋体"/>
                <w:szCs w:val="21"/>
                <w:lang w:bidi="ar"/>
              </w:rPr>
              <w:br/>
              <w:t xml:space="preserve">2.屏幕采用≥86英寸液晶显示器，采⽤LED液晶A规屏，显示⽐例16:9。显示分辨率≥3840*2160，可视⻆度≥178°；</w:t>
              <w:br/>
              <w:t xml:space="preserve">3.侧置输入接口具备≥2路HDMI、1路RS232（RJ45形态）、1路USB接口，1路音频输出、1路触控USB输出；前置输入接口≥3路USB接口（包含1路Type-C、2路USB）；</w:t>
              <w:br/>
              <w:t xml:space="preserve">4.整机采用电容触控技术，Windows系统和Android系统均支持≥50点触控及书写划线；</w:t>
              <w:br/>
              <w:t xml:space="preserve">5.整机嵌入式系统版本≥Android 15，主频≥1.6GHz，内存≥2GB，存储空间≥32GB；</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整机内置AI智能体（非第三方应用），根据日常教学需求可快速创建，支持个性化设定角色信息包括角色头像信息、角色性格、角色技能等，支持使用文字和语音两种方式与智能体进行对话交互，支持创建的智能体上传到本校资源进行共享使用。</w:t>
              <w:br w:type="textWrapping" w:clear="all"/>
              <w:t xml:space="preserve">7.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br w:type="textWrapping" w:clear="all"/>
              <w:t xml:space="preserve">8.整机支持发出频率为</w:t>
            </w:r>
            <w:r>
              <w:rPr>
                <w:rFonts w:hint="eastAsia" w:ascii="宋体" w:hAnsi="宋体" w:cs="宋体"/>
                <w:szCs w:val="21"/>
                <w:lang w:bidi="ar"/>
              </w:rPr>
              <w:t xml:space="preserve">18kHz～22kHz超声波信号，智能手机和笔记本电脑接收超声波信号后可以自动识别附近投屏设备，点击对应设备即可完成投屏操作；</w:t>
              <w:br/>
              <w:t xml:space="preserve">▲9.整机内置AR授课工具，支持对视频展台所采集的画面中叠加动态的3D 模型。3D模型包括：动物、微生物、人体骨骼、乐器、星球、地形。（提供国家认可的检测机构出具的检测报告复印件并加盖响应供应商公章）</w:t>
              <w:br/>
              <w:t xml:space="preserve">二、插拔式电脑模块：</w:t>
              <w:br/>
              <w:t xml:space="preserve">电脑模块CPU要求：主频≥2.0GHz，8核心十二线程；配置要求：不低于 DDR4 8GB内存，256GB SSD硬盘；接口要求：≥1路HDMI，≥3路USB。</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套</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DNA电泳图谱观察仪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1.≥4.3英寸液晶彩色触摸屏控制,可显示温度、湿度、光照度，具有除湿功能；</w:t>
              <w:br w:type="textWrapping" w:clear="all"/>
              <w:t xml:space="preserve">2.显示开机时间和持续运行时间，具有蓝光寿命提醒功能，到期提醒更换；</w:t>
              <w:br w:type="textWrapping" w:clear="all"/>
              <w:t xml:space="preserve">3.主体材质为≥1.0mm厚冷轧钢板，结构坚固耐</w:t>
            </w:r>
            <w:r>
              <w:rPr>
                <w:rFonts w:hint="eastAsia" w:ascii="宋体" w:hAnsi="宋体" w:cs="宋体"/>
                <w:szCs w:val="21"/>
                <w:lang w:bidi="ar"/>
              </w:rPr>
              <w:t xml:space="preserve">用，金属表面采用酸洗磷化处理，静电粉末喷塑工艺，喷塑厚度≥0.5mm；</w:t>
              <w:br/>
              <w:t xml:space="preserve">3.可见光激发荧光结构设计，光源支持波长470nm、400nm、510nm三档可选，点击不通波长模块，可进入进行后续操作；</w:t>
              <w:br/>
              <w:t xml:space="preserve">4.观察窗口琥珀色滤光片，凝胶观察窗尺寸：≥25*15cm，直接观察基因样品的DNA电泳谱图谱线；</w:t>
              <w:br/>
              <w:t xml:space="preserve">5.内置可调节除湿风机，风机支持16档可调，可根据不通湿度环境进行除湿调控；</w:t>
              <w:br/>
              <w:t xml:space="preserve">6.光源亮度0～100%无极可调，可显示光照度，亮度根据客户使用需要进行调整；</w:t>
              <w:br/>
              <w:t xml:space="preserve">7.安全电压保护设计，支持≥DC24V/3A低压电源输入。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恒温水浴锅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1.孔数：不少于四孔，工作室尺寸：≥310*310*130mm；</w:t>
              <w:br w:type="textWrapping" w:clear="all"/>
              <w:t xml:space="preserve">2.功率：≥800W；</w:t>
              <w:br w:type="textWrapping" w:clear="all"/>
              <w:t xml:space="preserve">3.控温范围：室温+5℃～99.9℃，温度均匀性：±0.5℃，水温波动±0.5℃；</w:t>
              <w:br w:type="textWrapping" w:clear="all"/>
              <w:t xml:space="preserve">4.支持数显；</w:t>
              <w:br w:type="textWrapping" w:clear="all"/>
              <w:t xml:space="preserve">5.外壳：不锈钢。不锈钢内胆拉伸成型，外壳静电绝缘喷塑；</w:t>
              <w:br w:type="textWrapping" w:clear="all"/>
              <w:t xml:space="preserve">6.控温系统：微机PID智能控制。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离心机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采用直流无刷电机，单片机控制,转速,时间全数显,机械门锁,操作简便0 r/min～4000 r/min,10 mL*8,无刷电机定时范围：0-99min。</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117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高压灭菌器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1.额定电压：220V±10% ，≤2.5 kW；</w:t>
              <w:br w:type="textWrapping" w:clear="all"/>
              <w:t xml:space="preserve">2.外形尺寸：≥445*445*1030mm,容积：≥50L；</w:t>
              <w:br w:type="textWrapping" w:clear="all"/>
              <w:t xml:space="preserve">3</w:t>
            </w:r>
            <w:r>
              <w:rPr>
                <w:rFonts w:hint="eastAsia" w:ascii="宋体" w:hAnsi="宋体" w:cs="宋体"/>
                <w:szCs w:val="21"/>
                <w:lang w:bidi="ar"/>
              </w:rPr>
              <w:t xml:space="preserve">.消毒内筒、外筒采用SUS304材质；</w:t>
              <w:br/>
              <w:t xml:space="preserve">4.支持数码显示、触摸式开关；</w:t>
              <w:br/>
              <w:t xml:space="preserve">5.支持手抡式快开门结构，安全连锁装置；</w:t>
              <w:br/>
              <w:t xml:space="preserve">6.人性化玻璃钢门罩防烫措施；</w:t>
              <w:br/>
              <w:t xml:space="preserve">7.自动排放冷汽，无需人工排汽，固体灭菌完成自动排放蒸汽；</w:t>
              <w:br/>
              <w:t xml:space="preserve">8.设有超温、超压、漏电保护装置；</w:t>
              <w:br/>
              <w:t xml:space="preserve">9.工作温度：100-135°C；</w:t>
              <w:br/>
              <w:t xml:space="preserve">10.工作压力：0-0.22MPa；</w:t>
              <w:br/>
              <w:t xml:space="preserve">11.计时范围：0-9999min；</w:t>
              <w:br/>
              <w:t xml:space="preserve">12.支持灭菌过程及故障状态显示提示；</w:t>
              <w:br/>
              <w:t xml:space="preserve">13.支持自动控温控时；</w:t>
              <w:br/>
              <w:t xml:space="preserve">14.支持固体灭菌和液体灭菌模式；</w:t>
              <w:br/>
              <w:t xml:space="preserve">15.支持灭菌器声光报警提示；</w:t>
              <w:br/>
              <w:t xml:space="preserve">16.支持断水自控功能。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台</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118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容量瓶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1.透明硼硅酸盐玻璃制，规格：≥250mL，刻度线应在瓶颈下部三分之二处，清晰耐久，粗细均匀。瓶全高≥220mm，瓶身最大径≥80mm，瓶颈高≥130mm，瓶颈外径≥19mm，壁厚≥0.9mm；</w:t>
              <w:br w:type="textWrapping" w:clear="all"/>
              <w:t xml:space="preserve">2.刻线清晰、完整,造型规整，壁厚偏差＜0.6mm；</w:t>
              <w:br w:type="textWrapping" w:clear="all"/>
              <w:t xml:space="preserve">3.瓶口圆正，无毛刺、无歪斜,瓶塞及瓶颈磨砂均匀，配合适宜，盖塞后有良好的气密性；</w:t>
              <w:br w:type="textWrapping" w:clear="all"/>
              <w:t xml:space="preserve">4.产品符合GB/T12806-2011标准要求。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29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119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烧杯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1.规格：≥250mL；</w:t>
              <w:br w:type="textWrapping" w:clear="all"/>
              <w:t xml:space="preserve">2.尺寸：杯身外径：≥70mm；杯身长：≥95mm；壁厚：≥1.2mm；</w:t>
              <w:br w:type="textWrapping" w:clear="all"/>
              <w:t xml:space="preserve">3.底部不允许有结石、节瘤存在；</w:t>
              <w:br w:type="textWrapping" w:clear="all"/>
              <w:t xml:space="preserve">4.产品外观要求厚薄均匀，底不外凸，允许内凹，产品在放置平面上不得摇晃，底部不得有气泡、透明砂、破皮泡，口部不得存在缺口和未烘光毛边；</w:t>
              <w:br w:type="textWrapping" w:clear="all"/>
              <w:t xml:space="preserve">5.产品符合GB/T15724－2024标准要求。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个</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120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尿素选择-鉴别培养基试剂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1.尿素固体培养基 ≥1瓶（≥71.28g/瓶）；</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2.尿素 ≥1瓶（≥5g/瓶袋）；</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3.LB固体培养基 ≥1瓶（≥80g/瓶）。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121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组织培养基(MS)试剂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一、植物组织培养试剂盒</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1.MS培养基 ≥2瓶（共配制≥3 L培养基）；</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2.6-BA（≥1 mg/mL） ≥1管（≥10 mL/管）；</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3.NAA(≥5 mg/mL) ≥1管（≥1 mL/管）；</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4.试剂盒使用说明书 ≥1份。</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二、植物组织培养试剂盒（生根培养基版）；</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1.1/2 MS培养基 ≥2瓶（配制≥3L培养基）；</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2.IAA（≥5 mg/mL） ≥1管（≥1 mL/管）；</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3.NAA(≥5 mg/mL) ≥1管（≥1 mL/管）；</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4.试剂盒使用说明书 ≥1份。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r>
        <w:trPr>
          <w:trHeight w:val="55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122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PCR 扩增实验试剂盒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1.上下游引物 ≥60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2.极速模板DNA ≥60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3.极速PCR反应预混液 ≥300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4.ddH2O ≥200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5.试剂盒均为≥25组/班的用量；</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6.试剂盒使用说明书 ≥1份。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r>
        <w:trPr>
          <w:trHeight w:val="456"/>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rPr>
              <w:t xml:space="preserve">123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琼脂糖凝胶电泳实验试剂盒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06" w:type="dxa"/>
            <w:vAlign w:val="center"/>
            <w:textDirection w:val="lrTb"/>
            <w:noWrap w:val="false"/>
          </w:tcPr>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1.琼脂糖（Agarose） ≥1.0 g；</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2.核酸荧光染料（Nucleic acid fluorescent dye） ≥30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3.上样缓冲液（DNA Loading Buffer 10×） ≥30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4.TAE Buffer （50×） ≥8 mL；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5.Maker（DL 2000 DNA分子量标准） ≥40 μL；</w:t>
            </w:r>
            <w:r/>
          </w:p>
          <w:p>
            <w:pPr>
              <w:pStyle w:val="658"/>
              <w:jc w:val="left"/>
              <w:widowControl/>
              <w:rPr>
                <w:rFonts w:hint="eastAsia" w:ascii="宋体" w:hAnsi="宋体" w:cs="宋体"/>
                <w:szCs w:val="21"/>
                <w:lang w:bidi="ar"/>
              </w:rPr>
              <w:framePr w:hSpace="180" w:wrap="around" w:vAnchor="text" w:hAnchor="page" w:x="717" w:y="555"/>
            </w:pPr>
            <w:r>
              <w:rPr>
                <w:rFonts w:hint="eastAsia" w:ascii="宋体" w:hAnsi="宋体" w:cs="宋体"/>
                <w:szCs w:val="21"/>
                <w:lang w:bidi="ar"/>
              </w:rPr>
              <w:t xml:space="preserve">6.试剂盒均为≥25组/班的用量；</w:t>
            </w:r>
            <w:r/>
          </w:p>
          <w:p>
            <w:pPr>
              <w:pStyle w:val="658"/>
              <w:jc w:val="left"/>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7.试剂盒使用说明书 ≥1份。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58"/>
              <w:jc w:val="center"/>
              <w:widowControl/>
              <w:rPr>
                <w:rFonts w:hint="eastAsia" w:ascii="宋体" w:hAnsi="宋体" w:cs="宋体"/>
                <w:szCs w:val="21"/>
              </w:rPr>
              <w:framePr w:hSpace="180" w:wrap="around" w:vAnchor="text" w:hAnchor="page" w:x="717" w:y="555"/>
            </w:pPr>
            <w:r>
              <w:rPr>
                <w:rFonts w:hint="eastAsia" w:ascii="宋体" w:hAnsi="宋体" w:cs="宋体"/>
                <w:szCs w:val="21"/>
                <w:lang w:bidi="ar"/>
              </w:rPr>
              <w:t xml:space="preserve">盒</w:t>
            </w:r>
            <w:r>
              <w:rPr>
                <w:rFonts w:hint="eastAsia" w:ascii="宋体" w:hAnsi="宋体" w:cs="宋体"/>
                <w:szCs w:val="21"/>
              </w:rPr>
            </w:r>
            <w:r/>
          </w:p>
        </w:tc>
      </w:tr>
    </w:tbl>
    <w:p>
      <w:pPr>
        <w:pStyle w:val="658"/>
        <w:ind w:firstLine="482"/>
        <w:spacing w:line="560" w:lineRule="exact"/>
        <w:rPr>
          <w:rFonts w:hint="eastAsia"/>
          <w:b/>
          <w:color w:val="ff0000"/>
          <w:sz w:val="24"/>
        </w:rPr>
      </w:pPr>
      <w:r>
        <w:rPr>
          <w:rFonts w:hint="eastAsia"/>
          <w:b/>
          <w:color w:val="ff0000"/>
          <w:sz w:val="24"/>
        </w:rPr>
        <w:t xml:space="preserve">谈判响应时，加▲项需按要求提供相关证明材料，否则视为未实质性响应采购要求。</w:t>
      </w:r>
      <w:r/>
    </w:p>
    <w:p>
      <w:pPr>
        <w:pStyle w:val="658"/>
        <w:ind w:firstLine="482"/>
        <w:spacing w:line="560" w:lineRule="exact"/>
        <w:rPr>
          <w:rFonts w:hint="eastAsia"/>
          <w:b/>
          <w:color w:val="000000"/>
          <w:sz w:val="24"/>
        </w:rPr>
      </w:pPr>
      <w:r>
        <w:rPr>
          <w:rFonts w:hint="eastAsia"/>
          <w:b/>
          <w:color w:val="000000"/>
          <w:sz w:val="24"/>
        </w:rPr>
        <w:t xml:space="preserve">产品整体要求：</w:t>
      </w:r>
      <w:r/>
    </w:p>
    <w:p>
      <w:pPr>
        <w:pStyle w:val="658"/>
        <w:ind w:firstLine="480"/>
        <w:spacing w:line="560" w:lineRule="exact"/>
        <w:rPr>
          <w:rFonts w:hint="eastAsia"/>
          <w:color w:val="000000"/>
          <w:sz w:val="24"/>
        </w:rPr>
      </w:pPr>
      <w:r>
        <w:rPr>
          <w:rFonts w:hint="eastAsia"/>
          <w:color w:val="000000"/>
          <w:sz w:val="24"/>
        </w:rPr>
        <w:t xml:space="preserve">1.1响应供应商应综合考虑产品的规格、材质、数量、技术参数、设计及制造标准等因素，提供技术先进、质量优良的全新合格产品。</w:t>
      </w:r>
      <w:r/>
    </w:p>
    <w:p>
      <w:pPr>
        <w:pStyle w:val="658"/>
        <w:ind w:firstLine="480"/>
        <w:spacing w:line="560" w:lineRule="exact"/>
        <w:rPr>
          <w:rFonts w:hint="eastAsia"/>
          <w:color w:val="000000"/>
          <w:sz w:val="24"/>
        </w:rPr>
      </w:pPr>
      <w:r>
        <w:rPr>
          <w:rFonts w:hint="eastAsia"/>
          <w:color w:val="000000"/>
          <w:sz w:val="24"/>
        </w:rPr>
        <w:t xml:space="preserve">1.2响应产品须为完整的系统性交付成果，涵盖设计、制造（采购）、包装、运输、安装、调试、验收及质保期内的全部伴随服务，确保交付后可直接投入使用。</w:t>
      </w:r>
      <w:r/>
    </w:p>
    <w:p>
      <w:pPr>
        <w:pStyle w:val="658"/>
        <w:ind w:firstLine="480"/>
        <w:spacing w:line="560" w:lineRule="exact"/>
        <w:rPr>
          <w:rFonts w:hint="eastAsia"/>
          <w:color w:val="000000"/>
          <w:sz w:val="24"/>
        </w:rPr>
      </w:pPr>
      <w:r>
        <w:rPr>
          <w:rFonts w:hint="eastAsia"/>
          <w:color w:val="000000"/>
          <w:sz w:val="24"/>
        </w:rPr>
        <w:t xml:space="preserve">1.3采购货物清单中标注为固定数值的参数，表示该指标的最低性能或规格要求，响应供应商可选择性能指标等于或优于该要求的正规产品进行响应。</w:t>
      </w:r>
      <w:r/>
    </w:p>
    <w:p>
      <w:pPr>
        <w:pStyle w:val="658"/>
        <w:ind w:firstLine="482"/>
        <w:spacing w:line="560" w:lineRule="exact"/>
        <w:rPr>
          <w:rFonts w:hint="eastAsia"/>
          <w:b/>
          <w:color w:val="000000"/>
          <w:sz w:val="24"/>
          <w:szCs w:val="24"/>
        </w:rPr>
      </w:pPr>
      <w:r>
        <w:rPr>
          <w:rFonts w:hint="eastAsia"/>
          <w:b/>
          <w:color w:val="000000"/>
          <w:sz w:val="24"/>
          <w:szCs w:val="24"/>
        </w:rPr>
        <w:t xml:space="preserve">2.采购标的需执行的国家相关标准、行业标准、地方标准或者其他标准、规范：</w:t>
      </w:r>
      <w:r/>
    </w:p>
    <w:p>
      <w:pPr>
        <w:pStyle w:val="658"/>
        <w:ind w:firstLine="480"/>
        <w:spacing w:line="560" w:lineRule="exact"/>
        <w:rPr>
          <w:rFonts w:hint="eastAsia"/>
          <w:color w:val="000000"/>
          <w:sz w:val="24"/>
          <w:szCs w:val="24"/>
        </w:rPr>
      </w:pPr>
      <w:r>
        <w:rPr>
          <w:rFonts w:hint="eastAsia"/>
          <w:color w:val="000000"/>
          <w:sz w:val="24"/>
          <w:szCs w:val="24"/>
        </w:rPr>
        <w:t xml:space="preserve">2.1响应产品的技术标准按国家标准执行，若无国家标准的，则按行业标准执行；若无国家和行业标准的，则按企业标准执行；但在采购文件中有特别要求的，按采购文件中规定的要求执行，并且符合相关法律法规规定的要求。</w:t>
      </w:r>
      <w:r/>
    </w:p>
    <w:p>
      <w:pPr>
        <w:pStyle w:val="658"/>
        <w:ind w:firstLine="480"/>
        <w:spacing w:line="560" w:lineRule="exact"/>
        <w:rPr>
          <w:rFonts w:hint="eastAsia"/>
          <w:color w:val="000000"/>
          <w:sz w:val="24"/>
          <w:szCs w:val="24"/>
        </w:rPr>
      </w:pPr>
      <w:r>
        <w:rPr>
          <w:rFonts w:hint="eastAsia"/>
          <w:color w:val="000000"/>
          <w:sz w:val="24"/>
          <w:szCs w:val="24"/>
        </w:rPr>
        <w:t xml:space="preserve">2.2所有响应产品及配套服务还须符合现行国家法律法规及相关强制性规范的要求。</w:t>
      </w:r>
      <w:r/>
    </w:p>
    <w:p>
      <w:pPr>
        <w:pStyle w:val="658"/>
        <w:ind w:firstLine="480"/>
        <w:spacing w:line="560" w:lineRule="exact"/>
        <w:rPr>
          <w:rFonts w:hint="eastAsia"/>
          <w:color w:val="000000"/>
          <w:sz w:val="24"/>
          <w:szCs w:val="24"/>
        </w:rPr>
      </w:pPr>
      <w:r>
        <w:rPr>
          <w:rFonts w:hint="eastAsia"/>
          <w:color w:val="000000"/>
          <w:sz w:val="24"/>
          <w:szCs w:val="24"/>
        </w:rPr>
        <w:t xml:space="preserve">2.3项目文件中所列技术要求（含规格参数）为原则性要求，旨在描述基本使用需求，并非详尽无遗的全部技术内容，响应供应商有责任依据国家现行设计规范、行业标准及项目实际需要，对未详尽描述的部分进行合理补充和完善，确保系统完整性和使用功能。。</w:t>
      </w:r>
      <w:r/>
    </w:p>
    <w:p>
      <w:pPr>
        <w:pStyle w:val="658"/>
        <w:ind w:firstLine="480"/>
        <w:spacing w:line="560" w:lineRule="exact"/>
        <w:rPr>
          <w:rFonts w:hint="eastAsia"/>
          <w:color w:val="000000"/>
          <w:sz w:val="24"/>
          <w:szCs w:val="24"/>
        </w:rPr>
      </w:pPr>
      <w:r>
        <w:rPr>
          <w:rFonts w:hint="eastAsia"/>
          <w:color w:val="000000"/>
          <w:sz w:val="24"/>
          <w:szCs w:val="24"/>
        </w:rPr>
        <w:t xml:space="preserve">2.4响应供应商应保证所提供的全部产品及技术不侵犯任何第三方的知识产权及其他合法权益。如因响应产品引发知识产权纠纷，响应供应商应承担全部法律责任，并承担由此产生的一切后果，采购人及使用学校不承担任何连带责任。</w:t>
      </w:r>
      <w:r/>
    </w:p>
    <w:p>
      <w:pPr>
        <w:pStyle w:val="658"/>
        <w:ind w:firstLine="482"/>
        <w:spacing w:line="560" w:lineRule="exact"/>
        <w:rPr>
          <w:rFonts w:hint="eastAsia"/>
          <w:b/>
          <w:color w:val="000000"/>
          <w:sz w:val="24"/>
          <w:szCs w:val="24"/>
        </w:rPr>
      </w:pPr>
      <w:r>
        <w:rPr>
          <w:rFonts w:hint="eastAsia"/>
          <w:b/>
          <w:color w:val="000000"/>
          <w:sz w:val="24"/>
          <w:szCs w:val="24"/>
        </w:rPr>
        <w:t xml:space="preserve">3.采购标的需满足的质量、安全、技术规格、物理特性等要求：</w:t>
      </w:r>
      <w:r/>
    </w:p>
    <w:p>
      <w:pPr>
        <w:pStyle w:val="658"/>
        <w:ind w:firstLine="480"/>
        <w:spacing w:line="560" w:lineRule="exact"/>
        <w:rPr>
          <w:rFonts w:hint="eastAsia"/>
          <w:color w:val="000000"/>
          <w:sz w:val="24"/>
          <w:szCs w:val="24"/>
        </w:rPr>
      </w:pPr>
      <w:r>
        <w:rPr>
          <w:rFonts w:hint="eastAsia"/>
          <w:color w:val="000000"/>
          <w:sz w:val="24"/>
          <w:szCs w:val="24"/>
        </w:rPr>
        <w:t xml:space="preserve">3.1</w:t>
      </w:r>
      <w:r>
        <w:rPr>
          <w:rFonts w:hint="eastAsia"/>
          <w:b/>
          <w:color w:val="000000"/>
          <w:sz w:val="24"/>
          <w:szCs w:val="24"/>
        </w:rPr>
        <w:t xml:space="preserve">质保期限：</w:t>
      </w:r>
      <w:r>
        <w:rPr>
          <w:rFonts w:hint="eastAsia"/>
          <w:color w:val="000000"/>
          <w:sz w:val="24"/>
          <w:szCs w:val="24"/>
        </w:rPr>
        <w:t xml:space="preserve">本项目整体免费质保期为3年（自总验收合格之日起计算）。质保期内，软件及时免费升级至最新版本，硬件因质量问题免费维修或更换。质保期内供应商做好成品保护措施，因质量问题造成的损害和损失，由供应商全部承担。</w:t>
      </w:r>
      <w:r/>
    </w:p>
    <w:p>
      <w:pPr>
        <w:pStyle w:val="658"/>
        <w:ind w:firstLine="482"/>
        <w:spacing w:line="560" w:lineRule="exact"/>
        <w:rPr>
          <w:rFonts w:hint="eastAsia"/>
          <w:color w:val="000000"/>
          <w:sz w:val="24"/>
          <w:szCs w:val="24"/>
        </w:rPr>
      </w:pPr>
      <w:r>
        <w:rPr>
          <w:rFonts w:hint="eastAsia"/>
          <w:b/>
          <w:color w:val="000000"/>
          <w:sz w:val="24"/>
          <w:szCs w:val="24"/>
        </w:rPr>
        <w:t xml:space="preserve">质保函提交：</w:t>
      </w:r>
      <w:r>
        <w:rPr>
          <w:rFonts w:hint="eastAsia"/>
          <w:color w:val="000000"/>
          <w:sz w:val="24"/>
          <w:szCs w:val="24"/>
        </w:rPr>
        <w:t xml:space="preserve">响应供应商须提供质保承诺函。在签订合同后15个工作日内，提交质保承诺函原件。承诺内容须包含：所投产品的质保期限（明确年限）、服务范围（如备件更换、技术支持等），并明确由原厂或经原厂授权的服务商提供保障。</w:t>
      </w:r>
      <w:r/>
    </w:p>
    <w:p>
      <w:pPr>
        <w:pStyle w:val="658"/>
        <w:ind w:firstLine="480"/>
        <w:spacing w:line="560" w:lineRule="exact"/>
        <w:rPr>
          <w:rFonts w:hint="eastAsia"/>
          <w:color w:val="000000"/>
          <w:sz w:val="24"/>
          <w:szCs w:val="24"/>
        </w:rPr>
      </w:pPr>
      <w:r>
        <w:rPr>
          <w:rFonts w:hint="eastAsia"/>
          <w:color w:val="000000"/>
          <w:sz w:val="24"/>
          <w:szCs w:val="24"/>
        </w:rPr>
        <w:t xml:space="preserve">3.2采购货物属于国家规定“三包”范围的，其产品质量保证期不得低于“三包”规定。</w:t>
      </w:r>
      <w:r/>
    </w:p>
    <w:p>
      <w:pPr>
        <w:pStyle w:val="658"/>
        <w:ind w:firstLine="480"/>
        <w:spacing w:line="560" w:lineRule="exact"/>
        <w:rPr>
          <w:rFonts w:hint="eastAsia"/>
          <w:color w:val="000000"/>
          <w:sz w:val="24"/>
          <w:szCs w:val="24"/>
        </w:rPr>
      </w:pPr>
      <w:r>
        <w:rPr>
          <w:rFonts w:hint="eastAsia"/>
          <w:color w:val="000000"/>
          <w:sz w:val="24"/>
          <w:szCs w:val="24"/>
        </w:rPr>
        <w:t xml:space="preserve">3.3供应商的质量保证期承诺优于国家“三包”规定的，按供应商实际承诺执行。</w:t>
      </w:r>
      <w:r/>
    </w:p>
    <w:p>
      <w:pPr>
        <w:pStyle w:val="658"/>
        <w:ind w:firstLine="480"/>
        <w:spacing w:line="560" w:lineRule="exact"/>
        <w:rPr>
          <w:rFonts w:hint="eastAsia" w:ascii="宋体" w:hAnsi="宋体"/>
          <w:color w:val="000000"/>
          <w:sz w:val="24"/>
        </w:rPr>
      </w:pPr>
      <w:r>
        <w:rPr>
          <w:rFonts w:hint="eastAsia"/>
          <w:color w:val="000000"/>
          <w:sz w:val="24"/>
          <w:szCs w:val="24"/>
        </w:rPr>
        <w:t xml:space="preserve">3.4</w:t>
      </w:r>
      <w:r>
        <w:rPr>
          <w:rFonts w:hint="eastAsia"/>
          <w:b/>
          <w:color w:val="000000"/>
          <w:sz w:val="24"/>
          <w:szCs w:val="24"/>
        </w:rPr>
        <w:t xml:space="preserve">售后服务：</w:t>
      </w:r>
      <w:r>
        <w:rPr>
          <w:rFonts w:hint="eastAsia"/>
          <w:color w:val="000000"/>
          <w:sz w:val="24"/>
          <w:szCs w:val="24"/>
        </w:rPr>
        <w:t xml:space="preserve">（1）</w:t>
      </w:r>
      <w:r>
        <w:rPr>
          <w:rFonts w:ascii="宋体" w:hAnsi="宋体"/>
          <w:color w:val="000000"/>
          <w:sz w:val="24"/>
        </w:rPr>
        <w:t xml:space="preserve">响应时效：质保期内，采购人或设备使用学校向成交供应商发出故障通知后，成交供应商应在1小时以内响应，24小时内修复。无法在24小时内修复的，成交供应商应提供同档次备用设备供使用学校临时使用，直至故障设备修复。（2）换货条件：质保期内，同一货物因同一质量问题连续两次维修仍无法正常使用的，应无条件予以整套更换，更换后重新计算该设备质保期。（3）质保期外服务：质保期满后，应继续提供免费的远程维护和技术支持服务；涉及硬件维修的，仅收取材料成本费用，免收人工费。（4）售后服务承诺函：在签订合同后</w:t>
      </w:r>
      <w:r>
        <w:rPr>
          <w:rFonts w:hint="eastAsia" w:ascii="宋体" w:hAnsi="宋体"/>
          <w:color w:val="000000"/>
          <w:sz w:val="24"/>
        </w:rPr>
        <w:t xml:space="preserve">15</w:t>
      </w:r>
      <w:r>
        <w:rPr>
          <w:rFonts w:ascii="宋体" w:hAnsi="宋体"/>
          <w:color w:val="000000"/>
          <w:sz w:val="24"/>
        </w:rPr>
        <w:t xml:space="preserve">个工作日内，提交针对本项目的售后服务承诺函原件。</w:t>
      </w:r>
      <w:r>
        <w:rPr>
          <w:rFonts w:hint="eastAsia" w:ascii="宋体" w:hAnsi="宋体"/>
          <w:color w:val="000000"/>
          <w:sz w:val="24"/>
        </w:rPr>
      </w:r>
      <w:r/>
    </w:p>
    <w:p>
      <w:pPr>
        <w:pStyle w:val="658"/>
        <w:ind w:firstLine="480"/>
        <w:spacing w:line="560" w:lineRule="exact"/>
        <w:rPr>
          <w:rFonts w:ascii="宋体" w:hAnsi="宋体"/>
          <w:color w:val="000000"/>
          <w:sz w:val="24"/>
        </w:rPr>
      </w:pPr>
      <w:r>
        <w:rPr>
          <w:rFonts w:hint="eastAsia" w:ascii="宋体" w:hAnsi="宋体"/>
          <w:color w:val="000000"/>
          <w:sz w:val="24"/>
        </w:rPr>
        <w:t xml:space="preserve">3.5确认要求：本项目实验室设施设备布局方案及可选设施设备的颜色、款式等，在批量供货前须逐校与使用学校书面确认，经使用学校签字盖章确认后方可供货安装。</w:t>
      </w:r>
      <w:r>
        <w:rPr>
          <w:rFonts w:ascii="宋体" w:hAnsi="宋体"/>
          <w:color w:val="000000"/>
          <w:sz w:val="24"/>
        </w:rPr>
      </w:r>
      <w:r/>
    </w:p>
    <w:p>
      <w:pPr>
        <w:pStyle w:val="658"/>
        <w:ind w:firstLine="480"/>
        <w:spacing w:line="560" w:lineRule="exact"/>
        <w:rPr>
          <w:rFonts w:hint="eastAsia"/>
          <w:color w:val="000000"/>
          <w:sz w:val="24"/>
          <w:szCs w:val="24"/>
        </w:rPr>
      </w:pPr>
      <w:r>
        <w:rPr>
          <w:rFonts w:hint="eastAsia"/>
          <w:color w:val="000000"/>
          <w:sz w:val="24"/>
          <w:szCs w:val="24"/>
        </w:rPr>
        <w:t xml:space="preserve">3.6响应报价的风险因素。</w:t>
      </w:r>
      <w:r/>
    </w:p>
    <w:p>
      <w:pPr>
        <w:pStyle w:val="658"/>
        <w:ind w:firstLine="480"/>
        <w:spacing w:line="560" w:lineRule="exact"/>
        <w:rPr>
          <w:rFonts w:hint="eastAsia"/>
          <w:color w:val="000000"/>
          <w:sz w:val="24"/>
          <w:szCs w:val="24"/>
        </w:rPr>
      </w:pPr>
      <w:r>
        <w:rPr>
          <w:rFonts w:hint="eastAsia"/>
          <w:color w:val="000000"/>
          <w:sz w:val="24"/>
          <w:szCs w:val="24"/>
        </w:rPr>
        <w:t xml:space="preserve">（1）报价构成：供应商的响应报价应为完成本项目全部内容所需费用的总价，包括但不限于：全部货物（含软件）及标准附件、备品备件、专用工具的价格；包装费、运输费、装卸费、保险费；安装费（含利旧设备联调所需耗材及调试费）、调试费；环境改造费；旧件拆除、垃圾清运费、精保洁费；人员培训费；质保期内的售后服务费；税金及其他一切费用。供应商应根据标的清单充分考虑本项目实施的全部成本因素。</w:t>
      </w:r>
      <w:r/>
    </w:p>
    <w:p>
      <w:pPr>
        <w:pStyle w:val="658"/>
        <w:ind w:firstLine="480"/>
        <w:spacing w:line="560" w:lineRule="exact"/>
        <w:rPr>
          <w:rFonts w:hint="eastAsia"/>
          <w:color w:val="000000"/>
          <w:sz w:val="24"/>
          <w:szCs w:val="24"/>
        </w:rPr>
      </w:pPr>
      <w:r>
        <w:rPr>
          <w:rFonts w:hint="eastAsia"/>
          <w:color w:val="000000"/>
          <w:sz w:val="24"/>
          <w:szCs w:val="24"/>
        </w:rPr>
        <w:t xml:space="preserve">（2）风险承担：成交供应商的响应报价在合同履行期内为固定总价。成交供应商不得以任何理由要求增加费用，也不得因此降低产品质量或服务水平。</w:t>
      </w:r>
      <w:r/>
    </w:p>
    <w:p>
      <w:pPr>
        <w:pStyle w:val="658"/>
        <w:ind w:firstLine="480"/>
        <w:spacing w:line="560" w:lineRule="exact"/>
        <w:rPr>
          <w:rFonts w:hint="eastAsia"/>
          <w:color w:val="000000"/>
          <w:sz w:val="24"/>
          <w:szCs w:val="24"/>
        </w:rPr>
      </w:pPr>
      <w:r>
        <w:rPr>
          <w:rFonts w:hint="eastAsia"/>
          <w:color w:val="000000"/>
          <w:sz w:val="24"/>
          <w:szCs w:val="24"/>
        </w:rPr>
        <w:t xml:space="preserve">（3）特别提示：各供应商在报价前应认真阅读采购文件的全部内容，自行评估项目实施所需的一切费用及风险，漏报、少报的费用均视为已包含在总报价中，采购人不另行支付。</w:t>
      </w:r>
      <w:r/>
    </w:p>
    <w:p>
      <w:pPr>
        <w:pStyle w:val="658"/>
        <w:ind w:firstLine="480"/>
        <w:spacing w:line="560" w:lineRule="exact"/>
        <w:rPr>
          <w:rFonts w:hint="eastAsia"/>
          <w:color w:val="000000"/>
          <w:sz w:val="24"/>
          <w:szCs w:val="24"/>
        </w:rPr>
      </w:pPr>
      <w:r>
        <w:rPr>
          <w:rFonts w:hint="eastAsia"/>
          <w:color w:val="000000"/>
          <w:sz w:val="24"/>
          <w:szCs w:val="24"/>
        </w:rPr>
        <w:t xml:space="preserve">供应商报价时应充分考虑所有可能影响到报价的相关因素。响应供应商报价中包括完成本项目所需的全部材料费、加工制作费、包装费、运输保险费、安装费、调试费、检测费、力支费、利润、税费、合同包含的所有风险、责任等及响应供应商认为需要的其他费用等，且该价格不因市场价格因素及政策性调整的变化而调整。响应供应商可以自行咨询、踏勘现场，充分了解现场任何影响响应报价之情况，根据现场情况考虑相应的运输、搬运、安装等工作实际，并将相关费用考虑在报价中，任何忽视、猜测或误解现场情况而导致的成本增加或工期延长等，采购人一律不予认可。</w:t>
      </w:r>
      <w:r/>
    </w:p>
    <w:p>
      <w:pPr>
        <w:pStyle w:val="658"/>
        <w:ind w:firstLine="482"/>
        <w:spacing w:line="560" w:lineRule="exact"/>
        <w:rPr>
          <w:rFonts w:hint="eastAsia"/>
          <w:b/>
          <w:color w:val="000000"/>
          <w:sz w:val="24"/>
          <w:szCs w:val="24"/>
        </w:rPr>
      </w:pPr>
      <w:r>
        <w:rPr>
          <w:rFonts w:hint="eastAsia"/>
          <w:b/>
          <w:color w:val="000000"/>
          <w:sz w:val="24"/>
          <w:szCs w:val="24"/>
        </w:rPr>
        <w:t xml:space="preserve">4.采购标的的数量、采购项目交付或者实施的时间和地点： </w:t>
      </w:r>
      <w:r/>
    </w:p>
    <w:p>
      <w:pPr>
        <w:pStyle w:val="658"/>
        <w:ind w:firstLine="480"/>
        <w:spacing w:line="560" w:lineRule="exact"/>
        <w:rPr>
          <w:rFonts w:hint="eastAsia"/>
          <w:color w:val="000000"/>
          <w:sz w:val="24"/>
          <w:szCs w:val="24"/>
        </w:rPr>
      </w:pPr>
      <w:r>
        <w:rPr>
          <w:rFonts w:hint="eastAsia"/>
          <w:color w:val="000000"/>
          <w:sz w:val="24"/>
          <w:szCs w:val="24"/>
        </w:rPr>
        <w:t xml:space="preserve">4.1标的数量：详见采购清单。</w:t>
      </w:r>
      <w:r/>
    </w:p>
    <w:p>
      <w:pPr>
        <w:pStyle w:val="658"/>
        <w:ind w:firstLine="480"/>
        <w:spacing w:line="560" w:lineRule="exact"/>
        <w:rPr>
          <w:rFonts w:hint="eastAsia"/>
          <w:color w:val="000000"/>
          <w:sz w:val="24"/>
          <w:szCs w:val="24"/>
        </w:rPr>
      </w:pPr>
      <w:r>
        <w:rPr>
          <w:rFonts w:hint="eastAsia"/>
          <w:color w:val="000000"/>
          <w:sz w:val="24"/>
          <w:szCs w:val="24"/>
        </w:rPr>
        <w:t xml:space="preserve">4.2签定合同日期：自中标（成交）通知书发出之日起30日内按时签约。</w:t>
      </w:r>
      <w:r/>
    </w:p>
    <w:p>
      <w:pPr>
        <w:pStyle w:val="658"/>
        <w:ind w:firstLine="480"/>
        <w:spacing w:line="560" w:lineRule="exact"/>
        <w:rPr>
          <w:rFonts w:hint="eastAsia"/>
          <w:color w:val="000000"/>
          <w:sz w:val="24"/>
          <w:szCs w:val="24"/>
        </w:rPr>
      </w:pPr>
      <w:r>
        <w:rPr>
          <w:rFonts w:hint="eastAsia"/>
          <w:color w:val="000000"/>
          <w:sz w:val="24"/>
          <w:szCs w:val="24"/>
        </w:rPr>
        <w:t xml:space="preserve">4.3供货周期：自合同签订之日起30日历天内完成全部货物的供货、安装、调试，并交付采购人使用。</w:t>
      </w:r>
      <w:r/>
    </w:p>
    <w:p>
      <w:pPr>
        <w:pStyle w:val="658"/>
        <w:ind w:firstLine="480"/>
        <w:spacing w:line="560" w:lineRule="exact"/>
        <w:rPr>
          <w:rFonts w:hint="eastAsia"/>
          <w:color w:val="000000"/>
          <w:sz w:val="24"/>
          <w:szCs w:val="24"/>
        </w:rPr>
      </w:pPr>
      <w:r>
        <w:rPr>
          <w:rFonts w:hint="eastAsia"/>
          <w:color w:val="000000"/>
          <w:sz w:val="24"/>
          <w:szCs w:val="24"/>
        </w:rPr>
        <w:t xml:space="preserve">4.4交货地点：海安市教育体育局指定的各项目学校（采购包1：实小、城南实小、明道、附小、曲小、海陵、城南、紫石等学校，采购包2：海陵、城南、紫石、李初、曲附、开实、李中等学校）。</w:t>
      </w:r>
      <w:r/>
    </w:p>
    <w:p>
      <w:pPr>
        <w:pStyle w:val="658"/>
        <w:ind w:firstLine="480"/>
        <w:spacing w:line="560" w:lineRule="exact"/>
        <w:rPr>
          <w:rFonts w:hint="eastAsia"/>
          <w:color w:val="000000"/>
          <w:sz w:val="24"/>
          <w:szCs w:val="24"/>
        </w:rPr>
      </w:pPr>
      <w:r>
        <w:rPr>
          <w:rFonts w:hint="eastAsia"/>
          <w:color w:val="000000"/>
          <w:sz w:val="24"/>
          <w:szCs w:val="24"/>
        </w:rPr>
        <w:t xml:space="preserve">4.5培训及其他服务要求</w:t>
      </w:r>
      <w:r/>
    </w:p>
    <w:p>
      <w:pPr>
        <w:pStyle w:val="658"/>
        <w:ind w:firstLine="480"/>
        <w:spacing w:line="560" w:lineRule="exact"/>
        <w:rPr>
          <w:rFonts w:hint="eastAsia"/>
          <w:color w:val="000000"/>
          <w:sz w:val="24"/>
          <w:szCs w:val="24"/>
        </w:rPr>
      </w:pPr>
      <w:r>
        <w:rPr>
          <w:rFonts w:hint="eastAsia"/>
          <w:color w:val="000000"/>
          <w:sz w:val="24"/>
          <w:szCs w:val="24"/>
        </w:rPr>
        <w:t xml:space="preserve">（1）培训服务：成交供应商应提供免费培训服务，内容包括但不限于设备操作使用、配套软件使用、实验课程开展指导等。总验收前，成交供应商应针对每所使用学校，提供不少于1次现场集中培训，同时提供主要设备和配套软件的操作视频、使用手册等资料。</w:t>
      </w:r>
      <w:r/>
    </w:p>
    <w:p>
      <w:pPr>
        <w:pStyle w:val="658"/>
        <w:ind w:firstLine="480"/>
        <w:spacing w:line="560" w:lineRule="exact"/>
        <w:rPr>
          <w:rFonts w:hint="eastAsia"/>
          <w:color w:val="000000"/>
          <w:sz w:val="24"/>
          <w:szCs w:val="24"/>
        </w:rPr>
      </w:pPr>
      <w:r>
        <w:rPr>
          <w:rFonts w:hint="eastAsia"/>
          <w:color w:val="000000"/>
          <w:sz w:val="24"/>
          <w:szCs w:val="24"/>
        </w:rPr>
        <w:t xml:space="preserve">（2）现场勘察：本项目实施场所涉及新建实验室或现有功能室改造。采购人不统一组织现场勘察，各潜在供应商可自行联系本项目联系人进行现场勘察，以充分了解改造安装环境、旧件拆除、利旧设备状况及其他可能影响报价的现场条件。成交供应商签订合同后，不得以不了解现场情况为由提出追加费用或延长工期的要求。</w:t>
      </w:r>
      <w:r/>
    </w:p>
    <w:p>
      <w:pPr>
        <w:pStyle w:val="658"/>
        <w:ind w:firstLine="480"/>
        <w:spacing w:line="560" w:lineRule="exact"/>
        <w:rPr>
          <w:rFonts w:hint="eastAsia"/>
          <w:color w:val="000000"/>
          <w:sz w:val="24"/>
          <w:szCs w:val="24"/>
        </w:rPr>
      </w:pPr>
      <w:r>
        <w:rPr>
          <w:rFonts w:hint="eastAsia"/>
          <w:color w:val="000000"/>
          <w:sz w:val="24"/>
          <w:szCs w:val="24"/>
        </w:rPr>
        <w:t xml:space="preserve">（3）赛事支持：涉及赛事相关要求的，按清单中的具体要求执行。</w:t>
      </w:r>
      <w:r/>
    </w:p>
    <w:p>
      <w:pPr>
        <w:pStyle w:val="658"/>
        <w:ind w:firstLine="482"/>
        <w:spacing w:line="560" w:lineRule="exact"/>
        <w:rPr>
          <w:rFonts w:hint="eastAsia"/>
          <w:b/>
          <w:color w:val="000000"/>
          <w:sz w:val="24"/>
          <w:szCs w:val="24"/>
        </w:rPr>
      </w:pPr>
      <w:r>
        <w:rPr>
          <w:rFonts w:hint="eastAsia"/>
          <w:b/>
          <w:color w:val="000000"/>
          <w:sz w:val="24"/>
          <w:szCs w:val="24"/>
        </w:rPr>
        <w:t xml:space="preserve">5.采购标的需满足的服务标准、期限、效率等要求： </w:t>
      </w:r>
      <w:r/>
    </w:p>
    <w:p>
      <w:pPr>
        <w:pStyle w:val="658"/>
        <w:ind w:firstLine="480"/>
        <w:spacing w:line="560" w:lineRule="exact"/>
        <w:rPr>
          <w:rFonts w:hint="eastAsia"/>
          <w:color w:val="000000"/>
          <w:sz w:val="24"/>
          <w:szCs w:val="24"/>
        </w:rPr>
      </w:pPr>
      <w:r>
        <w:rPr>
          <w:rFonts w:hint="eastAsia"/>
          <w:color w:val="000000"/>
          <w:sz w:val="24"/>
          <w:szCs w:val="24"/>
        </w:rPr>
        <w:t xml:space="preserve">5.1响应供应商所供货物必须是全新的原装正品，完全符合国家最新有关质量、技术、安全标准，产品或包装上必须有完好的产品名称、生产厂家、厂址等有效信息，且不得开封，否则采购方有权拒收；供应商所供货物的品名、数量、规格、型号、生产厂家等必须与合同相符，否则采购方有权拒收。</w:t>
      </w:r>
      <w:r/>
    </w:p>
    <w:p>
      <w:pPr>
        <w:pStyle w:val="658"/>
        <w:ind w:firstLine="480"/>
        <w:spacing w:line="560" w:lineRule="exact"/>
        <w:rPr>
          <w:rFonts w:hint="eastAsia"/>
          <w:color w:val="000000"/>
          <w:sz w:val="24"/>
          <w:szCs w:val="24"/>
        </w:rPr>
      </w:pPr>
      <w:r>
        <w:rPr>
          <w:rFonts w:hint="eastAsia"/>
          <w:color w:val="000000"/>
          <w:sz w:val="24"/>
          <w:szCs w:val="24"/>
        </w:rPr>
        <w:t xml:space="preserve">5.2响应供应商所供货物须为全新、未经使用的合格产品，并符合国家最新质量、安全及环保标准，同时满足采购文件规定的技术规格和性能参数要求。</w:t>
      </w:r>
      <w:r/>
    </w:p>
    <w:p>
      <w:pPr>
        <w:pStyle w:val="658"/>
        <w:ind w:firstLine="480"/>
        <w:spacing w:line="560" w:lineRule="exact"/>
        <w:rPr>
          <w:rFonts w:hint="eastAsia"/>
          <w:color w:val="000000"/>
          <w:sz w:val="24"/>
          <w:szCs w:val="24"/>
        </w:rPr>
      </w:pPr>
      <w:r>
        <w:rPr>
          <w:rFonts w:hint="eastAsia"/>
          <w:color w:val="000000"/>
          <w:sz w:val="24"/>
          <w:szCs w:val="24"/>
        </w:rPr>
        <w:t xml:space="preserve">5.3货物调试合格后，在使用过程中，若在2个月内连续出现2次故障导致货物无法使用，供应商承担一切损失并无条件退货。</w:t>
      </w:r>
      <w:r/>
    </w:p>
    <w:p>
      <w:pPr>
        <w:pStyle w:val="658"/>
        <w:ind w:firstLine="480"/>
        <w:spacing w:line="560" w:lineRule="exact"/>
        <w:rPr>
          <w:rFonts w:hint="eastAsia"/>
          <w:color w:val="000000"/>
          <w:sz w:val="24"/>
          <w:szCs w:val="24"/>
        </w:rPr>
      </w:pPr>
      <w:r>
        <w:rPr>
          <w:rFonts w:hint="eastAsia"/>
          <w:color w:val="000000"/>
          <w:sz w:val="24"/>
          <w:szCs w:val="24"/>
        </w:rPr>
        <w:t xml:space="preserve">5.4响应供应商应保证其货物在正确安装、正常使用下，在其使用寿命期内应具有满意的性能。</w:t>
      </w:r>
      <w:r/>
    </w:p>
    <w:p>
      <w:pPr>
        <w:pStyle w:val="658"/>
        <w:ind w:firstLine="480"/>
        <w:spacing w:line="560" w:lineRule="exact"/>
        <w:rPr>
          <w:rFonts w:hint="eastAsia"/>
          <w:color w:val="000000"/>
          <w:sz w:val="24"/>
          <w:szCs w:val="24"/>
        </w:rPr>
      </w:pPr>
      <w:r>
        <w:rPr>
          <w:rFonts w:hint="eastAsia"/>
          <w:color w:val="000000"/>
          <w:sz w:val="24"/>
          <w:szCs w:val="24"/>
        </w:rPr>
        <w:t xml:space="preserve">5.5响应供应商应采取必要的安全措施保证货物的运输及安装的安全，并承担货物的运输及安装过程中产生的风险。</w:t>
      </w:r>
      <w:r/>
    </w:p>
    <w:p>
      <w:pPr>
        <w:pStyle w:val="658"/>
        <w:ind w:firstLine="480"/>
        <w:spacing w:line="560" w:lineRule="exact"/>
        <w:rPr>
          <w:rFonts w:hint="eastAsia"/>
          <w:color w:val="000000"/>
          <w:sz w:val="24"/>
          <w:szCs w:val="24"/>
        </w:rPr>
      </w:pPr>
      <w:r>
        <w:rPr>
          <w:rFonts w:hint="eastAsia"/>
          <w:color w:val="000000"/>
          <w:sz w:val="24"/>
          <w:szCs w:val="24"/>
        </w:rPr>
        <w:t xml:space="preserve">5.6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r/>
    </w:p>
    <w:p>
      <w:pPr>
        <w:pStyle w:val="658"/>
        <w:ind w:firstLine="480"/>
        <w:spacing w:line="560" w:lineRule="exact"/>
        <w:rPr>
          <w:rFonts w:hint="eastAsia"/>
          <w:color w:val="000000"/>
          <w:sz w:val="24"/>
          <w:szCs w:val="24"/>
        </w:rPr>
      </w:pPr>
      <w:r>
        <w:rPr>
          <w:rFonts w:hint="eastAsia"/>
          <w:color w:val="000000"/>
          <w:sz w:val="24"/>
          <w:szCs w:val="24"/>
        </w:rPr>
        <w:t xml:space="preserve">5.7产品必须从厂家生产完毕后在现场安装，不得在现场制作。</w:t>
      </w:r>
      <w:r/>
    </w:p>
    <w:p>
      <w:pPr>
        <w:pStyle w:val="658"/>
        <w:ind w:firstLine="480"/>
        <w:spacing w:line="560" w:lineRule="exact"/>
        <w:rPr>
          <w:rFonts w:hint="eastAsia"/>
          <w:color w:val="000000"/>
          <w:sz w:val="24"/>
          <w:szCs w:val="24"/>
        </w:rPr>
      </w:pPr>
      <w:r>
        <w:rPr>
          <w:rFonts w:hint="eastAsia"/>
          <w:color w:val="000000"/>
          <w:sz w:val="24"/>
          <w:szCs w:val="24"/>
        </w:rPr>
        <w:t xml:space="preserve">5.8成交供应商提供的所有货物必须满足采购文件要求，须与分项报价明细表注明的材料品牌、规格型号、价格、数量等相符，否则成交供应商承担违约责任。货物到货后，需报采购人后方可进场，对于不合格的货物严禁使用到本项目，否则一切损失及后果由成交供应商自行承担。</w:t>
      </w:r>
      <w:r/>
    </w:p>
    <w:p>
      <w:pPr>
        <w:pStyle w:val="658"/>
        <w:ind w:firstLine="480"/>
        <w:spacing w:line="560" w:lineRule="exact"/>
        <w:rPr>
          <w:rFonts w:hint="eastAsia"/>
          <w:color w:val="000000"/>
          <w:sz w:val="24"/>
          <w:szCs w:val="24"/>
        </w:rPr>
      </w:pPr>
      <w:r>
        <w:rPr>
          <w:rFonts w:hint="eastAsia"/>
          <w:color w:val="000000"/>
          <w:sz w:val="24"/>
          <w:szCs w:val="24"/>
        </w:rPr>
        <w:t xml:space="preserve">5.9安装、实施及安全要求</w:t>
      </w:r>
      <w:r/>
    </w:p>
    <w:p>
      <w:pPr>
        <w:pStyle w:val="658"/>
        <w:ind w:firstLine="480"/>
        <w:spacing w:line="560" w:lineRule="exact"/>
        <w:rPr>
          <w:rFonts w:hint="eastAsia"/>
          <w:color w:val="000000"/>
          <w:sz w:val="24"/>
          <w:szCs w:val="24"/>
        </w:rPr>
      </w:pPr>
      <w:r>
        <w:rPr>
          <w:rFonts w:hint="eastAsia"/>
          <w:color w:val="000000"/>
          <w:sz w:val="24"/>
          <w:szCs w:val="24"/>
        </w:rPr>
        <w:t xml:space="preserve">（1）安装要求：项目整体安装须符合国家及行业相关施工规范，确保安全可靠。安装工作须由具备相应资质的专业技术人员实施，并严格遵守操作规程。</w:t>
      </w:r>
      <w:r/>
    </w:p>
    <w:p>
      <w:pPr>
        <w:pStyle w:val="658"/>
        <w:ind w:firstLine="480"/>
        <w:spacing w:line="560" w:lineRule="exact"/>
        <w:rPr>
          <w:rFonts w:hint="eastAsia"/>
          <w:color w:val="000000"/>
          <w:sz w:val="24"/>
          <w:szCs w:val="24"/>
        </w:rPr>
      </w:pPr>
      <w:r>
        <w:rPr>
          <w:rFonts w:hint="eastAsia"/>
          <w:color w:val="000000"/>
          <w:sz w:val="24"/>
          <w:szCs w:val="24"/>
        </w:rPr>
        <w:t xml:space="preserve">（2）利旧设备联调：涉及原有利旧设备联调的，安装调试所需线缆、接插件、转换器等耗材及调试费用，均应包含在响应报价中，由响应供应商承担。</w:t>
      </w:r>
      <w:r/>
    </w:p>
    <w:p>
      <w:pPr>
        <w:pStyle w:val="658"/>
        <w:ind w:firstLine="480"/>
        <w:spacing w:line="560" w:lineRule="exact"/>
        <w:rPr>
          <w:rFonts w:hint="eastAsia"/>
          <w:color w:val="000000"/>
          <w:sz w:val="24"/>
          <w:szCs w:val="24"/>
        </w:rPr>
      </w:pPr>
      <w:r>
        <w:rPr>
          <w:rFonts w:hint="eastAsia"/>
          <w:color w:val="000000"/>
          <w:sz w:val="24"/>
          <w:szCs w:val="24"/>
        </w:rPr>
        <w:t xml:space="preserve">（3）现场管理及安全责任：</w:t>
      </w:r>
      <w:r/>
    </w:p>
    <w:p>
      <w:pPr>
        <w:pStyle w:val="658"/>
        <w:ind w:firstLine="480"/>
        <w:spacing w:line="560" w:lineRule="exact"/>
        <w:rPr>
          <w:rFonts w:hint="eastAsia"/>
          <w:color w:val="000000"/>
          <w:sz w:val="24"/>
          <w:szCs w:val="24"/>
        </w:rPr>
      </w:pPr>
      <w:r>
        <w:rPr>
          <w:rFonts w:hint="eastAsia"/>
          <w:color w:val="000000"/>
          <w:sz w:val="24"/>
          <w:szCs w:val="24"/>
        </w:rPr>
        <w:t xml:space="preserve">①项目实施过程中，须采取充分的安全防护和文明施工措施，严格规范用电、动火、登高作业等高风险操作，做到工完场清，及时清运施工垃圾，做好精细化保洁，确保施工现场整洁有序，不得影响学校正常教学秩序和师生工作学习。</w:t>
      </w:r>
      <w:r/>
    </w:p>
    <w:p>
      <w:pPr>
        <w:pStyle w:val="658"/>
        <w:ind w:firstLine="480"/>
        <w:spacing w:line="560" w:lineRule="exact"/>
        <w:rPr>
          <w:rFonts w:hint="eastAsia"/>
          <w:color w:val="000000"/>
          <w:sz w:val="24"/>
          <w:szCs w:val="24"/>
        </w:rPr>
      </w:pPr>
      <w:r>
        <w:rPr>
          <w:rFonts w:hint="eastAsia"/>
          <w:color w:val="000000"/>
          <w:sz w:val="24"/>
          <w:szCs w:val="24"/>
        </w:rPr>
        <w:t xml:space="preserve">②项目实施期间，因成交供应商原因造成的施工人员、学校师生及其他第三方人身、财产损害，由成交供应商依法承担全部法律责任和赔偿责任。在签订合同后15个工作日内，提交针对本项目的安全责任承诺书（格式自拟）。</w:t>
      </w:r>
      <w:r/>
    </w:p>
    <w:p>
      <w:pPr>
        <w:pStyle w:val="658"/>
        <w:ind w:firstLine="482"/>
        <w:spacing w:line="560" w:lineRule="exact"/>
        <w:rPr>
          <w:rFonts w:hint="eastAsia"/>
          <w:b/>
          <w:color w:val="000000"/>
          <w:sz w:val="24"/>
          <w:szCs w:val="24"/>
        </w:rPr>
      </w:pPr>
      <w:r>
        <w:rPr>
          <w:rFonts w:hint="eastAsia"/>
          <w:b/>
          <w:color w:val="000000"/>
          <w:sz w:val="24"/>
          <w:szCs w:val="24"/>
        </w:rPr>
        <w:t xml:space="preserve">6.采购标的的验收标准：</w:t>
      </w:r>
      <w:r/>
    </w:p>
    <w:p>
      <w:pPr>
        <w:pStyle w:val="658"/>
        <w:ind w:firstLine="480"/>
        <w:spacing w:line="560" w:lineRule="exact"/>
        <w:rPr>
          <w:rFonts w:hint="eastAsia"/>
          <w:color w:val="000000"/>
          <w:sz w:val="24"/>
          <w:szCs w:val="24"/>
        </w:rPr>
      </w:pPr>
      <w:r>
        <w:rPr>
          <w:rFonts w:hint="eastAsia"/>
          <w:color w:val="000000"/>
          <w:sz w:val="24"/>
          <w:szCs w:val="24"/>
        </w:rPr>
        <w:t xml:space="preserve">6.1验收依据：采购文件、成交供应商响应文件、政府采购合同、封存样品（如有）、国家相关标准和规范等。</w:t>
      </w:r>
      <w:r/>
    </w:p>
    <w:p>
      <w:pPr>
        <w:pStyle w:val="658"/>
        <w:ind w:firstLine="480"/>
        <w:spacing w:line="560" w:lineRule="exact"/>
        <w:rPr>
          <w:rFonts w:hint="eastAsia"/>
          <w:color w:val="000000"/>
          <w:sz w:val="24"/>
          <w:szCs w:val="24"/>
        </w:rPr>
      </w:pPr>
      <w:r>
        <w:rPr>
          <w:rFonts w:hint="eastAsia"/>
          <w:color w:val="000000"/>
          <w:sz w:val="24"/>
          <w:szCs w:val="24"/>
        </w:rPr>
        <w:t xml:space="preserve">6.2验收准备：根据《江苏省政府采购履约验收管理办法》等相关规定，在验收前向采购人提供完整的技术资料、产品合格证明、检测报告、使用说明、维护手册等与验收相关的文件，并根据实际需要做好技术说明、测试演示等工作，对所提供资料的真实性、完整性和合法性负责。</w:t>
      </w:r>
      <w:r/>
    </w:p>
    <w:p>
      <w:pPr>
        <w:pStyle w:val="658"/>
        <w:ind w:firstLine="480"/>
        <w:spacing w:line="560" w:lineRule="exact"/>
        <w:rPr>
          <w:rFonts w:hint="eastAsia"/>
          <w:color w:val="000000"/>
          <w:sz w:val="24"/>
          <w:szCs w:val="24"/>
        </w:rPr>
      </w:pPr>
      <w:r>
        <w:rPr>
          <w:rFonts w:hint="eastAsia"/>
          <w:color w:val="000000"/>
          <w:sz w:val="24"/>
          <w:szCs w:val="24"/>
        </w:rPr>
        <w:t xml:space="preserve">6.3佐证材料审查：总验收时，采购人有权抽取项目需求中要求提供检测报告的技术参数，依据成交供应商投标文件中所附的检测报告复印件进行履约核验。成交供应商须在验收现场提供上述检测报告的原件进行比对核查（核查无误后原件当场退还）。若确因客观原因无法提供原件，须提供加盖成交供应商公章的报告彩色复印件及《原件一致性承诺书》（格式自拟，承诺该复印件与响应文件所附内容及原件完全一致），并授权采购人有权向原检测机构及生产厂家发函以核实真伪。若核实结果不一致，视为提供虚假材料谋取中标。</w:t>
      </w:r>
      <w:r/>
    </w:p>
    <w:p>
      <w:pPr>
        <w:pStyle w:val="658"/>
        <w:ind w:firstLine="480"/>
        <w:spacing w:line="560" w:lineRule="exact"/>
        <w:rPr>
          <w:rFonts w:hint="eastAsia"/>
          <w:color w:val="000000"/>
          <w:sz w:val="24"/>
          <w:szCs w:val="24"/>
        </w:rPr>
      </w:pPr>
      <w:r>
        <w:rPr>
          <w:rFonts w:hint="eastAsia"/>
          <w:color w:val="000000"/>
          <w:sz w:val="24"/>
          <w:szCs w:val="24"/>
        </w:rPr>
        <w:t xml:space="preserve">6.4验收程序：</w:t>
      </w:r>
      <w:r/>
    </w:p>
    <w:p>
      <w:pPr>
        <w:pStyle w:val="658"/>
        <w:ind w:firstLine="480"/>
        <w:spacing w:line="560" w:lineRule="exact"/>
        <w:rPr>
          <w:rFonts w:hint="eastAsia"/>
          <w:color w:val="000000"/>
          <w:sz w:val="24"/>
          <w:szCs w:val="24"/>
        </w:rPr>
      </w:pPr>
      <w:r>
        <w:rPr>
          <w:rFonts w:hint="eastAsia"/>
          <w:color w:val="000000"/>
          <w:sz w:val="24"/>
          <w:szCs w:val="24"/>
        </w:rPr>
        <w:t xml:space="preserve">（1）初步验收：货物送达各使用学校后，由各使用学校对照合同、采购文件及响应文件中的技术参数要求、供货清单等，对货物数量、规格、型号、外观等进行初步验收。初验不合格的，成交供应商应在10个日历天内完成整改并重新申请初验。</w:t>
      </w:r>
      <w:r/>
    </w:p>
    <w:p>
      <w:pPr>
        <w:pStyle w:val="658"/>
        <w:ind w:firstLine="480"/>
        <w:spacing w:line="560" w:lineRule="exact"/>
        <w:rPr>
          <w:rFonts w:hint="eastAsia"/>
          <w:color w:val="000000"/>
          <w:sz w:val="24"/>
          <w:szCs w:val="24"/>
        </w:rPr>
      </w:pPr>
      <w:r>
        <w:rPr>
          <w:rFonts w:hint="eastAsia"/>
          <w:color w:val="000000"/>
          <w:sz w:val="24"/>
          <w:szCs w:val="24"/>
        </w:rPr>
        <w:t xml:space="preserve">（2）总验收：各使用学校初步验收均合格后，由海安市教育体育局组织总验收。总验收内容包括但不限于系统功能验证、性能测试、文档资料审查等。</w:t>
      </w:r>
      <w:r/>
    </w:p>
    <w:p>
      <w:pPr>
        <w:pStyle w:val="658"/>
        <w:ind w:firstLine="480"/>
        <w:spacing w:line="560" w:lineRule="exact"/>
        <w:rPr>
          <w:rFonts w:hint="eastAsia"/>
          <w:color w:val="000000"/>
          <w:sz w:val="24"/>
          <w:szCs w:val="24"/>
        </w:rPr>
      </w:pPr>
      <w:r>
        <w:rPr>
          <w:rFonts w:hint="eastAsia"/>
          <w:color w:val="000000"/>
          <w:sz w:val="24"/>
          <w:szCs w:val="24"/>
        </w:rPr>
        <w:t xml:space="preserve">（3）验收结论：因货物质量或安装施工问题导致验收不合格的，成交供应商应无条件整改直至验收合格，期间产生的一切费用由成交供应商承担。总验收不合格的，采购人有权根据合同约定追究成交供应商的违约责任。</w:t>
      </w:r>
      <w:r/>
    </w:p>
    <w:p>
      <w:pPr>
        <w:pStyle w:val="658"/>
        <w:ind w:firstLine="480"/>
        <w:spacing w:line="560" w:lineRule="exact"/>
        <w:rPr>
          <w:rFonts w:hint="eastAsia"/>
          <w:color w:val="000000"/>
          <w:sz w:val="24"/>
          <w:szCs w:val="24"/>
        </w:rPr>
      </w:pPr>
      <w:r>
        <w:rPr>
          <w:rFonts w:hint="eastAsia"/>
          <w:color w:val="000000"/>
          <w:sz w:val="24"/>
          <w:szCs w:val="24"/>
        </w:rPr>
        <w:t xml:space="preserve">6.5质量争议鉴定：验收或质保期内对产品质量发生争议，经双方书面确认启动鉴定程序后，双方可共同委托具备相应资质的第三方质量监督检验机构进行鉴定。鉴定结论表明产品符合合同要求的，鉴定费用由采购人承担；鉴定结论表明产品不符合合同要求的，鉴定费用由成交供应商承担，且须按合同约定承担相应的违约责任。</w:t>
      </w:r>
      <w:r/>
    </w:p>
    <w:p>
      <w:pPr>
        <w:pStyle w:val="658"/>
        <w:ind w:firstLine="482"/>
        <w:spacing w:line="560" w:lineRule="exact"/>
        <w:rPr>
          <w:rFonts w:hint="eastAsia"/>
          <w:b/>
          <w:color w:val="000000"/>
          <w:sz w:val="24"/>
          <w:szCs w:val="24"/>
        </w:rPr>
      </w:pPr>
      <w:r>
        <w:rPr>
          <w:rFonts w:hint="eastAsia"/>
          <w:b/>
          <w:color w:val="000000"/>
          <w:sz w:val="24"/>
          <w:szCs w:val="24"/>
        </w:rPr>
        <w:t xml:space="preserve">7.采购标的的其他技术、服务等要求：</w:t>
      </w:r>
      <w:r/>
    </w:p>
    <w:p>
      <w:pPr>
        <w:pStyle w:val="658"/>
        <w:ind w:firstLine="480"/>
        <w:spacing w:line="560" w:lineRule="exact"/>
        <w:rPr>
          <w:rFonts w:hint="eastAsia"/>
          <w:color w:val="000000"/>
          <w:sz w:val="24"/>
          <w:szCs w:val="24"/>
        </w:rPr>
      </w:pPr>
      <w:r>
        <w:rPr>
          <w:rFonts w:hint="eastAsia"/>
          <w:color w:val="000000"/>
          <w:sz w:val="24"/>
          <w:szCs w:val="24"/>
        </w:rPr>
        <w:t xml:space="preserve">7.1成交供应商负责标的物的现场安装指导、启动、调试、监督；成交供应商免费提供标的物组装和一般维修所必需的工具；成交供应商在合同规定的期限内对所提供的标的物实行现场维护，随时处理存在的故障，如现场不能维修解决的故障问题，须提供故障不能排除时的解决方案。</w:t>
      </w:r>
      <w:r/>
    </w:p>
    <w:p>
      <w:pPr>
        <w:pStyle w:val="658"/>
        <w:ind w:firstLine="480"/>
        <w:spacing w:line="560" w:lineRule="exact"/>
        <w:rPr>
          <w:rFonts w:hint="eastAsia"/>
          <w:color w:val="000000"/>
          <w:sz w:val="24"/>
          <w:szCs w:val="24"/>
        </w:rPr>
      </w:pPr>
      <w:r>
        <w:rPr>
          <w:rFonts w:hint="eastAsia"/>
          <w:color w:val="000000"/>
          <w:sz w:val="24"/>
          <w:szCs w:val="24"/>
        </w:rPr>
        <w:t xml:space="preserve">7.2包装要求： </w:t>
      </w:r>
      <w:r/>
    </w:p>
    <w:p>
      <w:pPr>
        <w:pStyle w:val="658"/>
        <w:ind w:firstLine="480"/>
        <w:spacing w:line="560" w:lineRule="exact"/>
        <w:rPr>
          <w:rFonts w:hint="eastAsia"/>
          <w:color w:val="000000"/>
          <w:sz w:val="24"/>
          <w:szCs w:val="24"/>
        </w:rPr>
      </w:pPr>
      <w:r>
        <w:rPr>
          <w:rFonts w:hint="eastAsia"/>
          <w:color w:val="000000"/>
          <w:sz w:val="24"/>
          <w:szCs w:val="24"/>
        </w:rPr>
        <w:t xml:space="preserve">7.2.1商品包装环保要求：应当按《关于印发〈商品包装政府采购需求标准（试行）〉、〈快递包装政府采购需求标准（试行）〉的通知》（财办库〔2020〕123号）文件执行。</w:t>
      </w:r>
      <w:r/>
    </w:p>
    <w:p>
      <w:pPr>
        <w:pStyle w:val="658"/>
        <w:ind w:firstLine="480"/>
        <w:spacing w:line="560" w:lineRule="exact"/>
        <w:rPr>
          <w:rFonts w:hint="eastAsia"/>
          <w:color w:val="000000"/>
          <w:sz w:val="24"/>
          <w:szCs w:val="24"/>
        </w:rPr>
      </w:pPr>
      <w:r>
        <w:rPr>
          <w:rFonts w:hint="eastAsia"/>
          <w:color w:val="000000"/>
          <w:sz w:val="24"/>
          <w:szCs w:val="24"/>
        </w:rPr>
        <w:t xml:space="preserve">（1）商品包装层数不得超过3层，空隙率不大于40%；</w:t>
      </w:r>
      <w:r/>
    </w:p>
    <w:p>
      <w:pPr>
        <w:pStyle w:val="658"/>
        <w:ind w:firstLine="480"/>
        <w:spacing w:line="560" w:lineRule="exact"/>
        <w:rPr>
          <w:rFonts w:hint="eastAsia"/>
          <w:color w:val="000000"/>
          <w:sz w:val="24"/>
          <w:szCs w:val="24"/>
        </w:rPr>
      </w:pPr>
      <w:r>
        <w:rPr>
          <w:rFonts w:hint="eastAsia"/>
          <w:color w:val="000000"/>
          <w:sz w:val="24"/>
          <w:szCs w:val="24"/>
        </w:rPr>
        <w:t xml:space="preserve">（2）商品包装尽可能使用单一材质的包装材料，如因功能需求必需使用不同材质，不同材质间应便于分离；</w:t>
      </w:r>
      <w:r/>
    </w:p>
    <w:p>
      <w:pPr>
        <w:pStyle w:val="658"/>
        <w:ind w:firstLine="480"/>
        <w:spacing w:line="560" w:lineRule="exact"/>
        <w:rPr>
          <w:rFonts w:hint="eastAsia"/>
          <w:color w:val="000000"/>
          <w:sz w:val="24"/>
          <w:szCs w:val="24"/>
        </w:rPr>
      </w:pPr>
      <w:r>
        <w:rPr>
          <w:rFonts w:hint="eastAsia"/>
          <w:color w:val="000000"/>
          <w:sz w:val="24"/>
          <w:szCs w:val="24"/>
        </w:rPr>
        <w:t xml:space="preserve">（3）商品包装中铅、汞、镉、六价铬的总含量应不大于100mg/kg；</w:t>
      </w:r>
      <w:r/>
    </w:p>
    <w:p>
      <w:pPr>
        <w:pStyle w:val="658"/>
        <w:ind w:firstLine="480"/>
        <w:spacing w:line="560" w:lineRule="exact"/>
        <w:rPr>
          <w:rFonts w:hint="eastAsia"/>
          <w:color w:val="000000"/>
          <w:sz w:val="24"/>
          <w:szCs w:val="24"/>
        </w:rPr>
      </w:pPr>
      <w:r>
        <w:rPr>
          <w:rFonts w:hint="eastAsia"/>
          <w:color w:val="000000"/>
          <w:sz w:val="24"/>
          <w:szCs w:val="24"/>
        </w:rPr>
        <w:t xml:space="preserve">（4）商品包装印刷使用的油墨中挥发性有机化合物(VOCs)含量应不大于5%（以重量计）；</w:t>
      </w:r>
      <w:r/>
    </w:p>
    <w:p>
      <w:pPr>
        <w:pStyle w:val="658"/>
        <w:ind w:firstLine="480"/>
        <w:spacing w:line="560" w:lineRule="exact"/>
        <w:rPr>
          <w:rFonts w:hint="eastAsia"/>
          <w:color w:val="000000"/>
          <w:sz w:val="24"/>
          <w:szCs w:val="24"/>
        </w:rPr>
      </w:pPr>
      <w:r>
        <w:rPr>
          <w:rFonts w:hint="eastAsia"/>
          <w:color w:val="000000"/>
          <w:sz w:val="24"/>
          <w:szCs w:val="24"/>
        </w:rPr>
        <w:t xml:space="preserve">（5）塑料材质商品包装上呈现的印刷颜色不得超过6色；</w:t>
      </w:r>
      <w:r/>
    </w:p>
    <w:p>
      <w:pPr>
        <w:pStyle w:val="658"/>
        <w:ind w:firstLine="480"/>
        <w:spacing w:line="560" w:lineRule="exact"/>
        <w:rPr>
          <w:rFonts w:hint="eastAsia"/>
          <w:color w:val="000000"/>
          <w:sz w:val="24"/>
          <w:szCs w:val="24"/>
        </w:rPr>
      </w:pPr>
      <w:r>
        <w:rPr>
          <w:rFonts w:hint="eastAsia"/>
          <w:color w:val="000000"/>
          <w:sz w:val="24"/>
          <w:szCs w:val="24"/>
        </w:rPr>
        <w:t xml:space="preserve">（6）纸质商品包装应使用75%以上的可再生纤维原料生产；</w:t>
      </w:r>
      <w:r/>
    </w:p>
    <w:p>
      <w:pPr>
        <w:pStyle w:val="658"/>
        <w:ind w:firstLine="480"/>
        <w:spacing w:line="560" w:lineRule="exact"/>
        <w:rPr>
          <w:rFonts w:hint="eastAsia"/>
          <w:color w:val="000000"/>
          <w:sz w:val="24"/>
          <w:szCs w:val="24"/>
        </w:rPr>
      </w:pPr>
      <w:r>
        <w:rPr>
          <w:rFonts w:hint="eastAsia"/>
          <w:color w:val="000000"/>
          <w:sz w:val="24"/>
          <w:szCs w:val="24"/>
        </w:rPr>
        <w:t xml:space="preserve">（7）木质商品包装的原料应来源于可持续性森林。</w:t>
      </w:r>
      <w:r/>
    </w:p>
    <w:p>
      <w:pPr>
        <w:pStyle w:val="658"/>
        <w:ind w:firstLine="480"/>
        <w:spacing w:line="560" w:lineRule="exact"/>
        <w:rPr>
          <w:rFonts w:hint="eastAsia"/>
          <w:color w:val="000000"/>
          <w:sz w:val="24"/>
          <w:szCs w:val="24"/>
        </w:rPr>
      </w:pPr>
      <w:r>
        <w:rPr>
          <w:rFonts w:hint="eastAsia"/>
          <w:color w:val="000000"/>
          <w:sz w:val="24"/>
          <w:szCs w:val="24"/>
        </w:rPr>
        <w:t xml:space="preserve">7.2.2快递包装环保要求：</w:t>
      </w:r>
      <w:r/>
    </w:p>
    <w:p>
      <w:pPr>
        <w:pStyle w:val="658"/>
        <w:ind w:firstLine="480"/>
        <w:spacing w:line="560" w:lineRule="exact"/>
        <w:rPr>
          <w:rFonts w:hint="eastAsia"/>
          <w:color w:val="000000"/>
          <w:sz w:val="24"/>
          <w:szCs w:val="24"/>
        </w:rPr>
      </w:pPr>
      <w:r>
        <w:rPr>
          <w:rFonts w:hint="eastAsia"/>
          <w:color w:val="000000"/>
          <w:sz w:val="24"/>
          <w:szCs w:val="24"/>
        </w:rPr>
        <w:t xml:space="preserve">（1）快递包装中重金属（铅、汞、镉、六价铬）总量应不大于100mg/kg；</w:t>
      </w:r>
      <w:r/>
    </w:p>
    <w:p>
      <w:pPr>
        <w:pStyle w:val="658"/>
        <w:ind w:firstLine="480"/>
        <w:spacing w:line="560" w:lineRule="exact"/>
        <w:rPr>
          <w:rFonts w:hint="eastAsia"/>
          <w:color w:val="000000"/>
          <w:sz w:val="24"/>
          <w:szCs w:val="24"/>
        </w:rPr>
      </w:pPr>
      <w:r>
        <w:rPr>
          <w:rFonts w:hint="eastAsia"/>
          <w:color w:val="000000"/>
          <w:sz w:val="24"/>
          <w:szCs w:val="24"/>
        </w:rPr>
        <w:t xml:space="preserve">（2）快递包装印刷使用的油墨中不应添加邻苯二甲酸酯，其挥发性有机化合物(VOCs)含量应不大于5%（以重量计）；</w:t>
      </w:r>
      <w:r/>
    </w:p>
    <w:p>
      <w:pPr>
        <w:pStyle w:val="658"/>
        <w:ind w:firstLine="480"/>
        <w:spacing w:line="560" w:lineRule="exact"/>
        <w:rPr>
          <w:rFonts w:hint="eastAsia"/>
          <w:color w:val="000000"/>
          <w:sz w:val="24"/>
          <w:szCs w:val="24"/>
        </w:rPr>
      </w:pPr>
      <w:r>
        <w:rPr>
          <w:rFonts w:hint="eastAsia"/>
          <w:color w:val="000000"/>
          <w:sz w:val="24"/>
          <w:szCs w:val="24"/>
        </w:rPr>
        <w:t xml:space="preserve">（3）快递包装中使用纸基材的包装材料，纸基材中的有机氯的含量应不大于150mg/kg；</w:t>
      </w:r>
      <w:r/>
    </w:p>
    <w:p>
      <w:pPr>
        <w:pStyle w:val="658"/>
        <w:ind w:firstLine="480"/>
        <w:spacing w:line="560" w:lineRule="exact"/>
        <w:rPr>
          <w:rFonts w:hint="eastAsia"/>
          <w:color w:val="000000"/>
          <w:sz w:val="24"/>
          <w:szCs w:val="24"/>
        </w:rPr>
      </w:pPr>
      <w:r>
        <w:rPr>
          <w:rFonts w:hint="eastAsia"/>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58"/>
        <w:ind w:firstLine="480"/>
        <w:spacing w:line="560" w:lineRule="exact"/>
        <w:rPr>
          <w:rFonts w:hint="eastAsia"/>
          <w:color w:val="000000"/>
          <w:sz w:val="24"/>
          <w:szCs w:val="24"/>
        </w:rPr>
      </w:pPr>
      <w:r>
        <w:rPr>
          <w:rFonts w:hint="eastAsia"/>
          <w:color w:val="000000"/>
          <w:sz w:val="24"/>
          <w:szCs w:val="24"/>
        </w:rPr>
        <w:t xml:space="preserve">（5）快递中使用的塑料包装袋不得使用聚氯乙烯作为原料，且原料应为单一材质制成，生物分解率大于60%；</w:t>
      </w:r>
      <w:r/>
    </w:p>
    <w:p>
      <w:pPr>
        <w:pStyle w:val="658"/>
        <w:ind w:firstLine="480"/>
        <w:spacing w:line="560" w:lineRule="exact"/>
        <w:rPr>
          <w:rFonts w:hint="eastAsia"/>
          <w:color w:val="000000"/>
          <w:sz w:val="24"/>
          <w:szCs w:val="24"/>
        </w:rPr>
      </w:pPr>
      <w:r>
        <w:rPr>
          <w:rFonts w:hint="eastAsia"/>
          <w:color w:val="000000"/>
          <w:sz w:val="24"/>
          <w:szCs w:val="24"/>
        </w:rPr>
        <w:t xml:space="preserve">（6）快递中使用的充气类填充物不得使用聚氯乙烯作为原料，且原料为单一材质制成，生物分解率大于60%；</w:t>
      </w:r>
      <w:r/>
    </w:p>
    <w:p>
      <w:pPr>
        <w:pStyle w:val="658"/>
        <w:ind w:firstLine="480"/>
        <w:spacing w:line="560" w:lineRule="exact"/>
        <w:rPr>
          <w:rFonts w:hint="eastAsia"/>
          <w:color w:val="000000"/>
          <w:sz w:val="24"/>
          <w:szCs w:val="24"/>
        </w:rPr>
      </w:pPr>
      <w:r>
        <w:rPr>
          <w:rFonts w:hint="eastAsia"/>
          <w:color w:val="000000"/>
          <w:sz w:val="24"/>
          <w:szCs w:val="24"/>
        </w:rPr>
        <w:t xml:space="preserve">（7）快递中使用的集装袋应为单一材质制成，其重复使用次数应不小于80次；</w:t>
      </w:r>
      <w:r/>
    </w:p>
    <w:p>
      <w:pPr>
        <w:pStyle w:val="658"/>
        <w:ind w:firstLine="480"/>
        <w:spacing w:line="560" w:lineRule="exact"/>
        <w:rPr>
          <w:rFonts w:hint="eastAsia"/>
          <w:color w:val="000000"/>
          <w:sz w:val="24"/>
          <w:szCs w:val="24"/>
        </w:rPr>
      </w:pPr>
      <w:r>
        <w:rPr>
          <w:rFonts w:hint="eastAsia"/>
          <w:color w:val="000000"/>
          <w:sz w:val="24"/>
          <w:szCs w:val="24"/>
        </w:rPr>
        <w:t xml:space="preserve">（8）快递中应使用幅宽不大于45mm的生物降解胶带；</w:t>
      </w:r>
      <w:r/>
    </w:p>
    <w:p>
      <w:pPr>
        <w:pStyle w:val="658"/>
        <w:ind w:firstLine="480"/>
        <w:spacing w:line="560" w:lineRule="exact"/>
        <w:rPr>
          <w:rFonts w:hint="eastAsia"/>
          <w:color w:val="000000"/>
          <w:sz w:val="24"/>
          <w:szCs w:val="24"/>
        </w:rPr>
      </w:pPr>
      <w:r>
        <w:rPr>
          <w:rFonts w:hint="eastAsia"/>
          <w:color w:val="000000"/>
          <w:sz w:val="24"/>
          <w:szCs w:val="24"/>
        </w:rPr>
        <w:t xml:space="preserve">（9）快递包装中不得使用溶剂型胶粘剂；</w:t>
      </w:r>
      <w:r/>
    </w:p>
    <w:p>
      <w:pPr>
        <w:pStyle w:val="658"/>
        <w:ind w:firstLine="480"/>
        <w:spacing w:line="560" w:lineRule="exact"/>
        <w:rPr>
          <w:rFonts w:hint="eastAsia"/>
          <w:color w:val="000000"/>
          <w:sz w:val="24"/>
          <w:szCs w:val="24"/>
        </w:rPr>
      </w:pPr>
      <w:r>
        <w:rPr>
          <w:rFonts w:hint="eastAsia"/>
          <w:color w:val="000000"/>
          <w:sz w:val="24"/>
          <w:szCs w:val="24"/>
        </w:rPr>
        <w:t xml:space="preserve">（11）快递应使用电子面单；</w:t>
      </w:r>
      <w:r/>
    </w:p>
    <w:p>
      <w:pPr>
        <w:pStyle w:val="658"/>
        <w:ind w:firstLine="480"/>
        <w:spacing w:line="560" w:lineRule="exact"/>
        <w:rPr>
          <w:rFonts w:hint="eastAsia"/>
          <w:color w:val="000000"/>
          <w:sz w:val="24"/>
          <w:szCs w:val="24"/>
        </w:rPr>
      </w:pPr>
      <w:r>
        <w:rPr>
          <w:rFonts w:hint="eastAsia"/>
          <w:color w:val="000000"/>
          <w:sz w:val="24"/>
          <w:szCs w:val="24"/>
        </w:rPr>
        <w:t xml:space="preserve">（12）直接使用商品包装作为快递包装的商品，其商品包装满足《商品包装政府采购需求标准（试行）》即可；</w:t>
      </w:r>
      <w:r/>
    </w:p>
    <w:p>
      <w:pPr>
        <w:pStyle w:val="658"/>
        <w:ind w:firstLine="480"/>
        <w:spacing w:line="560" w:lineRule="exact"/>
        <w:rPr>
          <w:rFonts w:hint="eastAsia"/>
          <w:color w:val="000000"/>
          <w:sz w:val="24"/>
          <w:szCs w:val="24"/>
        </w:rPr>
      </w:pPr>
      <w:r>
        <w:rPr>
          <w:rFonts w:hint="eastAsia"/>
          <w:color w:val="000000"/>
          <w:sz w:val="24"/>
          <w:szCs w:val="24"/>
        </w:rPr>
        <w:t xml:space="preserve">（13）快递包装产品质量和封装方式应符合相关国家或行业标准技术指标要求。</w:t>
      </w:r>
      <w:r/>
    </w:p>
    <w:p>
      <w:pPr>
        <w:pStyle w:val="658"/>
        <w:ind w:firstLine="480"/>
        <w:spacing w:line="560" w:lineRule="exact"/>
        <w:rPr>
          <w:rFonts w:hint="eastAsia"/>
          <w:color w:val="000000"/>
          <w:sz w:val="24"/>
          <w:szCs w:val="24"/>
        </w:rPr>
      </w:pPr>
      <w:r>
        <w:rPr>
          <w:rFonts w:hint="eastAsia"/>
          <w:color w:val="000000"/>
          <w:sz w:val="24"/>
          <w:szCs w:val="24"/>
        </w:rPr>
        <w:t xml:space="preserve">7.3绿色数据中心</w:t>
      </w:r>
      <w:r/>
    </w:p>
    <w:p>
      <w:pPr>
        <w:pStyle w:val="658"/>
        <w:ind w:firstLine="480"/>
        <w:spacing w:line="560" w:lineRule="exact"/>
        <w:rPr>
          <w:rFonts w:hint="eastAsia"/>
          <w:color w:val="000000"/>
          <w:sz w:val="24"/>
          <w:szCs w:val="24"/>
        </w:rPr>
      </w:pPr>
      <w:r>
        <w:rPr>
          <w:rFonts w:hint="eastAsia"/>
          <w:color w:val="000000"/>
          <w:sz w:val="24"/>
          <w:szCs w:val="24"/>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658"/>
        <w:ind w:firstLine="480"/>
        <w:spacing w:line="560" w:lineRule="exact"/>
        <w:rPr>
          <w:rFonts w:hint="eastAsia"/>
          <w:color w:val="000000"/>
          <w:sz w:val="24"/>
          <w:szCs w:val="24"/>
        </w:rPr>
      </w:pPr>
      <w:r>
        <w:rPr>
          <w:rFonts w:hint="eastAsia"/>
          <w:color w:val="000000"/>
          <w:sz w:val="24"/>
          <w:szCs w:val="24"/>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658"/>
        <w:ind w:firstLine="480"/>
        <w:spacing w:line="560" w:lineRule="exact"/>
        <w:rPr>
          <w:rFonts w:hint="eastAsia"/>
          <w:color w:val="000000"/>
          <w:sz w:val="24"/>
          <w:szCs w:val="24"/>
        </w:rPr>
      </w:pPr>
      <w:r>
        <w:rPr>
          <w:rFonts w:hint="eastAsia"/>
          <w:color w:val="000000"/>
          <w:sz w:val="24"/>
          <w:szCs w:val="24"/>
        </w:rPr>
        <w:t xml:space="preserve">7.6绿色低碳管理目标和服务要求：在物业、合同能源管理等服务类采购项目需求中，要强化绿色低碳管理目标和服务要求，促进绿色产品和服务推广应用。</w:t>
      </w:r>
      <w:r/>
    </w:p>
    <w:p>
      <w:pPr>
        <w:pStyle w:val="658"/>
        <w:ind w:firstLine="482"/>
        <w:spacing w:line="560" w:lineRule="exact"/>
        <w:rPr>
          <w:rFonts w:hint="eastAsia"/>
          <w:b/>
          <w:sz w:val="24"/>
          <w:szCs w:val="24"/>
        </w:rPr>
      </w:pPr>
      <w:r>
        <w:rPr>
          <w:rFonts w:hint="eastAsia"/>
          <w:b/>
          <w:sz w:val="24"/>
          <w:szCs w:val="24"/>
        </w:rPr>
        <w:t xml:space="preserve">8.（1）非单一产品采购项目，采购标的中的核心产品：</w:t>
      </w:r>
      <w:r/>
    </w:p>
    <w:p>
      <w:pPr>
        <w:pStyle w:val="658"/>
        <w:ind w:firstLine="1325"/>
        <w:spacing w:line="560" w:lineRule="exact"/>
        <w:rPr>
          <w:rFonts w:hint="eastAsia"/>
          <w:b/>
          <w:color w:val="ff0000"/>
          <w:sz w:val="24"/>
          <w:szCs w:val="24"/>
        </w:rPr>
      </w:pPr>
      <w:r>
        <w:rPr>
          <w:rFonts w:hint="eastAsia" w:ascii="宋体" w:hAnsi="宋体"/>
          <w:b/>
          <w:color w:val="ff0000"/>
          <w:sz w:val="24"/>
        </w:rPr>
        <w:t xml:space="preserve">采购包1：数码显微镜，采购包2：PCR仪。</w:t>
      </w:r>
      <w:r>
        <w:rPr>
          <w:rFonts w:hint="eastAsia"/>
          <w:b/>
          <w:color w:val="ff0000"/>
          <w:sz w:val="24"/>
          <w:szCs w:val="24"/>
        </w:rPr>
      </w:r>
      <w:r/>
    </w:p>
    <w:p>
      <w:pPr>
        <w:pStyle w:val="658"/>
        <w:ind w:firstLine="482"/>
        <w:spacing w:line="560" w:lineRule="exact"/>
        <w:rPr>
          <w:rFonts w:hint="eastAsia"/>
          <w:b/>
          <w:sz w:val="24"/>
          <w:szCs w:val="24"/>
        </w:rPr>
      </w:pPr>
      <w:r>
        <w:rPr>
          <w:rFonts w:hint="eastAsia"/>
          <w:b/>
          <w:sz w:val="24"/>
          <w:szCs w:val="24"/>
        </w:rPr>
        <w:t xml:space="preserve">（2）本项目的主要标的：</w:t>
      </w:r>
      <w:r/>
    </w:p>
    <w:p>
      <w:pPr>
        <w:pStyle w:val="658"/>
        <w:ind w:firstLine="1084"/>
        <w:spacing w:line="560" w:lineRule="exact"/>
        <w:rPr>
          <w:rFonts w:hint="eastAsia"/>
          <w:b/>
          <w:color w:val="ff0000"/>
          <w:sz w:val="24"/>
          <w:szCs w:val="24"/>
        </w:rPr>
      </w:pPr>
      <w:r>
        <w:rPr>
          <w:rFonts w:hint="eastAsia"/>
          <w:b/>
          <w:color w:val="ff0000"/>
          <w:sz w:val="24"/>
          <w:szCs w:val="24"/>
        </w:rPr>
        <w:t xml:space="preserve">采购包1：初中物理虚拟现实课堂</w:t>
      </w:r>
      <w:r/>
    </w:p>
    <w:p>
      <w:pPr>
        <w:pStyle w:val="658"/>
        <w:ind w:firstLine="1084"/>
        <w:spacing w:line="560" w:lineRule="exact"/>
        <w:rPr>
          <w:rFonts w:hint="eastAsia"/>
          <w:b/>
          <w:color w:val="ff0000"/>
          <w:sz w:val="24"/>
          <w:szCs w:val="24"/>
        </w:rPr>
      </w:pPr>
      <w:r>
        <w:rPr>
          <w:rFonts w:hint="eastAsia"/>
          <w:b/>
          <w:color w:val="ff0000"/>
          <w:sz w:val="24"/>
          <w:szCs w:val="24"/>
        </w:rPr>
        <w:t xml:space="preserve">采购包2：生物显微镜</w:t>
      </w:r>
      <w:r/>
    </w:p>
    <w:p>
      <w:pPr>
        <w:pStyle w:val="658"/>
        <w:ind w:firstLine="482"/>
        <w:spacing w:line="560" w:lineRule="exact"/>
        <w:rPr>
          <w:rFonts w:hint="eastAsia"/>
          <w:b/>
          <w:sz w:val="24"/>
          <w:szCs w:val="24"/>
        </w:rPr>
      </w:pPr>
      <w:r>
        <w:rPr>
          <w:rFonts w:hint="eastAsia"/>
          <w:b/>
          <w:sz w:val="24"/>
          <w:szCs w:val="24"/>
        </w:rPr>
        <w:t xml:space="preserve">9.采购需求中必须满足的实质性要求：详见第三章项目需求</w:t>
      </w:r>
      <w:r/>
    </w:p>
    <w:p>
      <w:pPr>
        <w:pStyle w:val="658"/>
        <w:ind w:firstLine="482"/>
        <w:spacing w:line="560" w:lineRule="exact"/>
        <w:rPr>
          <w:rFonts w:hint="eastAsia" w:ascii="宋体" w:hAnsi="宋体"/>
          <w:b/>
          <w:sz w:val="24"/>
          <w:szCs w:val="24"/>
        </w:rPr>
      </w:pPr>
      <w:r>
        <w:rPr>
          <w:rFonts w:hint="eastAsia" w:ascii="宋体" w:hAnsi="宋体"/>
          <w:b/>
          <w:sz w:val="24"/>
          <w:szCs w:val="24"/>
        </w:rPr>
        <w:t xml:space="preserve">10.付款方式</w:t>
      </w:r>
      <w:r/>
    </w:p>
    <w:p>
      <w:pPr>
        <w:pStyle w:val="658"/>
        <w:ind w:firstLine="480"/>
        <w:spacing w:line="560" w:lineRule="exact"/>
        <w:rPr>
          <w:rFonts w:ascii="宋体" w:hAnsi="宋体"/>
          <w:color w:val="ff0000"/>
          <w:sz w:val="24"/>
          <w:szCs w:val="24"/>
        </w:rPr>
      </w:pPr>
      <w:r>
        <w:rPr>
          <w:rFonts w:hint="eastAsia" w:ascii="宋体" w:hAnsi="宋体"/>
          <w:color w:val="ff0000"/>
          <w:sz w:val="24"/>
          <w:szCs w:val="24"/>
        </w:rPr>
        <w:t xml:space="preserve">签订合同30日内，预付合同价的30%，待货物和服务到位验收合格后在十个工作日内一次性付清所有款项。</w:t>
      </w:r>
      <w:r>
        <w:rPr>
          <w:rFonts w:ascii="宋体" w:hAnsi="宋体"/>
          <w:color w:val="ff0000"/>
          <w:sz w:val="24"/>
          <w:szCs w:val="24"/>
        </w:rPr>
      </w:r>
      <w:r/>
    </w:p>
    <w:p>
      <w:pPr>
        <w:pStyle w:val="658"/>
        <w:ind w:firstLine="482"/>
        <w:spacing w:line="560" w:lineRule="exact"/>
        <w:rPr>
          <w:rFonts w:hint="eastAsia" w:ascii="宋体" w:hAnsi="宋体"/>
          <w:b/>
          <w:sz w:val="24"/>
          <w:szCs w:val="24"/>
        </w:rPr>
      </w:pPr>
      <w:r>
        <w:rPr>
          <w:rFonts w:hint="eastAsia" w:ascii="宋体" w:hAnsi="宋体"/>
          <w:b/>
          <w:sz w:val="24"/>
          <w:szCs w:val="24"/>
        </w:rPr>
        <w:t xml:space="preserve">11.履约保证金：</w:t>
      </w:r>
      <w:r/>
    </w:p>
    <w:p>
      <w:pPr>
        <w:pStyle w:val="658"/>
        <w:ind w:firstLine="480"/>
        <w:spacing w:line="560" w:lineRule="exact"/>
        <w:rPr>
          <w:rFonts w:hint="eastAsia" w:ascii="宋体" w:hAnsi="宋体"/>
          <w:sz w:val="24"/>
          <w:szCs w:val="24"/>
        </w:rPr>
      </w:pPr>
      <w:r>
        <w:rPr>
          <w:rFonts w:hint="eastAsia" w:ascii="宋体" w:hAnsi="宋体"/>
          <w:sz w:val="24"/>
          <w:szCs w:val="24"/>
        </w:rPr>
        <w:t xml:space="preserve">11.1本项目免收履约保证金。</w:t>
      </w:r>
      <w:r/>
    </w:p>
    <w:p>
      <w:pPr>
        <w:pStyle w:val="658"/>
        <w:ind w:firstLine="482"/>
        <w:spacing w:line="560" w:lineRule="exact"/>
        <w:rPr>
          <w:rFonts w:hint="eastAsia" w:ascii="宋体" w:hAnsi="宋体"/>
          <w:b/>
          <w:color w:val="000000"/>
          <w:sz w:val="24"/>
          <w:szCs w:val="24"/>
        </w:rPr>
      </w:pPr>
      <w:r>
        <w:rPr>
          <w:rFonts w:hint="eastAsia" w:ascii="宋体" w:hAnsi="宋体"/>
          <w:b/>
          <w:sz w:val="24"/>
          <w:szCs w:val="24"/>
        </w:rPr>
        <w:t xml:space="preserve">12.合同条款（详见附件）</w:t>
      </w:r>
      <w:r>
        <w:rPr>
          <w:rFonts w:hint="eastAsia" w:ascii="宋体" w:hAnsi="宋体"/>
          <w:b/>
          <w:color w:val="000000"/>
          <w:sz w:val="24"/>
          <w:szCs w:val="24"/>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jc w:val="center"/>
        <w:keepNext/>
        <w:rPr>
          <w:rFonts w:hint="eastAsia" w:ascii="黑体" w:eastAsia="黑体"/>
          <w:bCs/>
          <w:sz w:val="44"/>
          <w:szCs w:val="28"/>
        </w:rPr>
        <w:outlineLvl w:val="0"/>
      </w:pPr>
      <w:r/>
      <w:bookmarkStart w:id="169" w:name="_Toc120614281"/>
      <w:r>
        <w:rPr>
          <w:rFonts w:hint="eastAsia" w:ascii="黑体" w:eastAsia="黑体"/>
          <w:bCs/>
          <w:sz w:val="44"/>
          <w:szCs w:val="28"/>
        </w:rPr>
        <w:t xml:space="preserve">第四章  </w:t>
      </w:r>
      <w:bookmarkEnd w:id="165"/>
      <w:r/>
      <w:bookmarkEnd w:id="166"/>
      <w:r/>
      <w:bookmarkEnd w:id="169"/>
      <w:r>
        <w:rPr>
          <w:rFonts w:hint="eastAsia" w:ascii="黑体" w:eastAsia="黑体"/>
          <w:bCs/>
          <w:sz w:val="44"/>
          <w:szCs w:val="28"/>
        </w:rPr>
        <w:t xml:space="preserve">响应文件格式 </w:t>
      </w:r>
      <w:r/>
    </w:p>
    <w:p>
      <w:pPr>
        <w:pStyle w:val="658"/>
        <w:jc w:val="center"/>
        <w:rPr>
          <w:rFonts w:hint="eastAsia" w:ascii="宋体" w:hAnsi="宋体"/>
          <w:b/>
          <w:sz w:val="72"/>
          <w:szCs w:val="21"/>
        </w:rPr>
      </w:pPr>
      <w:r/>
      <w:bookmarkStart w:id="170" w:name="_Hlt26671244"/>
      <w:r/>
      <w:bookmarkEnd w:id="170"/>
      <w:r/>
      <w:bookmarkStart w:id="171" w:name="_Hlt26955039"/>
      <w:r/>
      <w:bookmarkEnd w:id="171"/>
      <w:r/>
      <w:bookmarkStart w:id="172" w:name="_Toc120614282"/>
      <w:r/>
      <w:bookmarkStart w:id="173" w:name="_Toc26554094"/>
      <w:r/>
      <w:bookmarkStart w:id="174" w:name="_Toc49090576"/>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t xml:space="preserve">响  应  文  件</w:t>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8"/>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5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5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Cs w:val="21"/>
        </w:rPr>
      </w:pPr>
      <w:r>
        <w:rPr>
          <w:rFonts w:ascii="宋体" w:hAnsi="宋体"/>
          <w:szCs w:val="21"/>
        </w:rPr>
      </w:r>
      <w:r/>
    </w:p>
    <w:p>
      <w:pPr>
        <w:pStyle w:val="658"/>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p>
    <w:p>
      <w:pPr>
        <w:pStyle w:val="658"/>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p>
    <w:p>
      <w:pPr>
        <w:pStyle w:val="658"/>
        <w:ind w:firstLine="480"/>
        <w:spacing w:line="440" w:lineRule="exact"/>
        <w:rPr>
          <w:rFonts w:ascii="宋体" w:hAnsi="宋体"/>
          <w:i/>
          <w:sz w:val="24"/>
          <w:szCs w:val="21"/>
          <w:u w:val="single"/>
        </w:rPr>
      </w:pPr>
      <w:r>
        <w:rPr>
          <w:rFonts w:ascii="宋体" w:hAnsi="宋体"/>
          <w:i/>
          <w:sz w:val="24"/>
          <w:szCs w:val="21"/>
          <w:u w:val="single"/>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8.谈判响应函（格式见附件）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9.采购公告中“二、申请人的资格要求”提供相应的佐证材料；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10.其它需要提交的资格审查证明材料。</w:t>
      </w:r>
      <w:r/>
    </w:p>
    <w:p>
      <w:pPr>
        <w:pStyle w:val="658"/>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pStyle w:val="658"/>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1.报价总表（格式见附件）；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3.中小企业声明函（格式见附件）</w:t>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w:t>
      </w:r>
      <w:r/>
    </w:p>
    <w:p>
      <w:pPr>
        <w:pStyle w:val="658"/>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w:t>
      </w:r>
      <w:r>
        <w:rPr>
          <w:rFonts w:hint="eastAsia" w:ascii="黑体" w:hAnsi="黑体" w:eastAsia="黑体"/>
          <w:color w:val="000000"/>
          <w:sz w:val="32"/>
          <w:szCs w:val="32"/>
          <w:u w:val="single"/>
        </w:rPr>
      </w:r>
      <w:r/>
    </w:p>
    <w:p>
      <w:pPr>
        <w:pStyle w:val="658"/>
        <w:contextualSpacing/>
        <w:spacing w:line="400" w:lineRule="exact"/>
        <w:rPr>
          <w:rFonts w:eastAsia="方正黑体_GBK"/>
          <w:sz w:val="32"/>
          <w:szCs w:val="32"/>
          <w:lang w:val="zh-CN"/>
        </w:rPr>
      </w:pPr>
      <w:r>
        <w:rPr>
          <w:rFonts w:ascii="宋体" w:hAnsi="宋体"/>
          <w:sz w:val="24"/>
          <w:szCs w:val="21"/>
        </w:rPr>
        <w:br w:type="page" w:clear="all"/>
      </w:r>
      <w:r>
        <w:rPr>
          <w:rFonts w:eastAsia="方正黑体_GBK"/>
          <w:sz w:val="32"/>
          <w:szCs w:val="32"/>
          <w:lang w:val="zh-CN"/>
        </w:rPr>
        <w:t xml:space="preserve">附件1</w:t>
      </w:r>
      <w:r/>
    </w:p>
    <w:p>
      <w:pPr>
        <w:pStyle w:val="658"/>
        <w:jc w:val="center"/>
        <w:spacing w:line="8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具备履行合同所必需的设备和专业技术能力的证明材料</w:t>
      </w:r>
      <w:r>
        <w:rPr>
          <w:rFonts w:ascii="宋体" w:hAnsi="宋体"/>
        </w:rPr>
      </w:r>
      <w:r/>
    </w:p>
    <w:p>
      <w:pPr>
        <w:pStyle w:val="658"/>
        <w:spacing w:line="8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spacing w:line="8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rPr>
          <w:rFonts w:ascii="宋体" w:hAnsi="宋体"/>
        </w:rPr>
      </w:r>
      <w:r/>
    </w:p>
    <w:p>
      <w:pPr>
        <w:pStyle w:val="658"/>
        <w:ind w:firstLine="46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我方参加你方的</w:t>
      </w:r>
      <w:r>
        <w:rPr>
          <w:rFonts w:ascii="宋体" w:hAnsi="宋体" w:cs="宋体"/>
          <w:color w:val="000000"/>
          <w:sz w:val="24"/>
          <w:u w:val="single"/>
        </w:rPr>
        <w:t xml:space="preserve">        </w:t>
      </w:r>
      <w:r>
        <w:rPr>
          <w:rFonts w:ascii="宋体" w:hAnsi="宋体" w:cs="宋体"/>
          <w:color w:val="000000"/>
          <w:sz w:val="24"/>
        </w:rPr>
        <w:t xml:space="preserve">（项目名称）</w:t>
      </w:r>
      <w:r>
        <w:rPr>
          <w:rFonts w:hint="eastAsia" w:ascii="宋体" w:hAnsi="宋体" w:cs="宋体"/>
          <w:color w:val="000000"/>
          <w:sz w:val="24"/>
          <w:u w:val="single"/>
        </w:rPr>
        <w:t xml:space="preserve">                    </w:t>
      </w:r>
      <w:r>
        <w:rPr>
          <w:rFonts w:hint="eastAsia" w:ascii="宋体" w:hAnsi="宋体" w:cs="宋体"/>
          <w:color w:val="000000"/>
          <w:sz w:val="24"/>
        </w:rPr>
        <w:t xml:space="preserve">（采购包名称）</w:t>
      </w:r>
      <w:r>
        <w:rPr>
          <w:rFonts w:ascii="宋体" w:hAnsi="宋体" w:cs="宋体"/>
          <w:color w:val="000000"/>
          <w:sz w:val="24"/>
        </w:rPr>
        <w:t xml:space="preserve">的投标，现我方向你方慎重承诺：</w:t>
      </w:r>
      <w:r>
        <w:rPr>
          <w:rFonts w:ascii="宋体" w:hAnsi="宋体"/>
        </w:rPr>
      </w:r>
      <w:r/>
    </w:p>
    <w:p>
      <w:pPr>
        <w:pStyle w:val="658"/>
        <w:ind w:left="44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w:t>
      </w:r>
      <w:r>
        <w:rPr>
          <w:rFonts w:ascii="宋体" w:hAnsi="宋体" w:cs="宋体"/>
          <w:color w:val="000000"/>
          <w:sz w:val="24"/>
          <w:u w:val="single"/>
        </w:rPr>
        <w:t xml:space="preserve">    </w:t>
      </w:r>
      <w:r>
        <w:rPr>
          <w:rFonts w:ascii="宋体" w:hAnsi="宋体" w:cs="宋体"/>
          <w:color w:val="000000"/>
          <w:sz w:val="24"/>
        </w:rPr>
        <w:t xml:space="preserve">具备/不具备）履行合同所必需的设备和专业技术能力。</w:t>
      </w:r>
      <w:r>
        <w:rPr>
          <w:rFonts w:ascii="宋体" w:hAnsi="宋体"/>
        </w:rPr>
      </w:r>
      <w:r/>
    </w:p>
    <w:p>
      <w:pPr>
        <w:pStyle w:val="658"/>
        <w:ind w:right="-512" w:firstLine="31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ind w:right="-512" w:firstLine="384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供应商（盖章）：</w:t>
      </w:r>
      <w:r>
        <w:rPr>
          <w:rFonts w:ascii="宋体" w:hAnsi="宋体"/>
        </w:rPr>
      </w:r>
      <w:r/>
    </w:p>
    <w:p>
      <w:pPr>
        <w:pStyle w:val="658"/>
        <w:ind w:right="-512" w:firstLine="31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法定代表人或其授权委托人（签字或盖章）：</w:t>
      </w:r>
      <w:r>
        <w:rPr>
          <w:rFonts w:ascii="宋体" w:hAnsi="宋体"/>
        </w:rPr>
      </w:r>
      <w:r/>
    </w:p>
    <w:p>
      <w:pPr>
        <w:pStyle w:val="658"/>
        <w:jc w:val="righ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______</w:t>
      </w:r>
      <w:r>
        <w:rPr>
          <w:rFonts w:ascii="宋体" w:hAnsi="宋体" w:cs="宋体"/>
          <w:color w:val="000000"/>
          <w:sz w:val="24"/>
        </w:rPr>
        <w:t xml:space="preserve">年</w:t>
      </w:r>
      <w:r>
        <w:rPr>
          <w:rFonts w:ascii="宋体" w:hAnsi="宋体" w:cs="宋体"/>
          <w:color w:val="000000"/>
          <w:u w:val="single"/>
        </w:rPr>
        <w:t xml:space="preserve">______</w:t>
      </w:r>
      <w:r>
        <w:rPr>
          <w:rFonts w:ascii="宋体" w:hAnsi="宋体" w:cs="宋体"/>
          <w:color w:val="000000"/>
          <w:sz w:val="24"/>
        </w:rPr>
        <w:t xml:space="preserve">月</w:t>
      </w:r>
      <w:r>
        <w:rPr>
          <w:rFonts w:ascii="宋体" w:hAnsi="宋体" w:cs="宋体"/>
          <w:color w:val="000000"/>
          <w:u w:val="single"/>
        </w:rPr>
        <w:t xml:space="preserve">______</w:t>
      </w:r>
      <w:r>
        <w:rPr>
          <w:rFonts w:ascii="宋体" w:hAnsi="宋体" w:cs="宋体"/>
          <w:color w:val="000000"/>
          <w:sz w:val="24"/>
        </w:rPr>
        <w:t xml:space="preserve">日</w:t>
      </w:r>
      <w:r>
        <w:rPr>
          <w:rFonts w:ascii="宋体" w:hAnsi="宋体"/>
        </w:rPr>
      </w:r>
      <w:r/>
    </w:p>
    <w:p>
      <w:pPr>
        <w:pStyle w:val="658"/>
        <w:spacing w:line="400" w:lineRule="atLeast"/>
        <w:rPr>
          <w:rFonts w:eastAsia="方正黑体_GBK"/>
          <w:sz w:val="32"/>
          <w:szCs w:val="32"/>
          <w:lang w:val="zh-CN"/>
        </w:rPr>
        <w:pBdr>
          <w:top w:val="none" w:color="000000" w:sz="0" w:space="0"/>
          <w:left w:val="none" w:color="000000" w:sz="0" w:space="0"/>
          <w:bottom w:val="none" w:color="000000" w:sz="0" w:space="0"/>
          <w:right w:val="none" w:color="000000" w:sz="0" w:space="0"/>
        </w:pBdr>
      </w:pPr>
      <w:r>
        <w:rPr>
          <w:rFonts w:ascii="宋体" w:hAnsi="宋体"/>
        </w:rPr>
        <w:br w:type="page" w:clear="all"/>
      </w:r>
      <w:r>
        <w:rPr>
          <w:rFonts w:eastAsia="方正黑体_GBK"/>
          <w:sz w:val="32"/>
          <w:szCs w:val="32"/>
          <w:lang w:val="zh-CN"/>
        </w:rPr>
        <w:t xml:space="preserve">附件2</w:t>
      </w:r>
      <w:r/>
    </w:p>
    <w:p>
      <w:pPr>
        <w:pStyle w:val="658"/>
        <w:ind w:firstLine="643"/>
        <w:jc w:val="center"/>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参加政府采购活动前3年内在经营活动中没有重大违法记录的书面声明</w:t>
      </w:r>
      <w:r>
        <w:rPr>
          <w:rFonts w:ascii="宋体" w:hAnsi="宋体"/>
        </w:rPr>
      </w:r>
      <w:r/>
    </w:p>
    <w:p>
      <w:pPr>
        <w:pStyle w:val="658"/>
        <w:spacing w:line="46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rPr>
          <w:rFonts w:ascii="宋体" w:hAnsi="宋体"/>
        </w:rPr>
      </w:r>
      <w:r/>
    </w:p>
    <w:p>
      <w:pPr>
        <w:pStyle w:val="658"/>
        <w:ind w:firstLine="881"/>
        <w:jc w:val="center"/>
        <w:spacing w:line="46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我公司</w:t>
      </w:r>
      <w:r>
        <w:rPr>
          <w:rFonts w:hint="eastAsia" w:ascii="宋体" w:hAnsi="宋体" w:cs="宋体"/>
          <w:color w:val="000000"/>
          <w:u w:val="single"/>
        </w:rPr>
        <w:t xml:space="preserve">         </w:t>
      </w:r>
      <w:r>
        <w:rPr>
          <w:rFonts w:ascii="宋体" w:hAnsi="宋体" w:cs="宋体"/>
          <w:color w:val="000000"/>
        </w:rPr>
        <w:t xml:space="preserve">（本人）</w:t>
      </w:r>
      <w:r>
        <w:rPr>
          <w:rFonts w:hint="eastAsia" w:ascii="宋体" w:hAnsi="宋体" w:cs="宋体"/>
          <w:color w:val="000000"/>
          <w:u w:val="single"/>
        </w:rPr>
        <w:t xml:space="preserve">      </w:t>
      </w:r>
      <w:r>
        <w:rPr>
          <w:rFonts w:ascii="宋体" w:hAnsi="宋体" w:cs="宋体"/>
          <w:color w:val="000000"/>
        </w:rPr>
        <w:t xml:space="preserve">郑重声明：参加本次政府采购活动前</w:t>
      </w:r>
      <w:r>
        <w:rPr>
          <w:rFonts w:hint="eastAsia" w:ascii="宋体" w:hAnsi="宋体" w:cs="宋体"/>
          <w:color w:val="000000"/>
        </w:rPr>
        <w:t xml:space="preserve">3</w:t>
      </w:r>
      <w:r>
        <w:rPr>
          <w:rFonts w:ascii="宋体" w:hAnsi="宋体" w:cs="宋体"/>
          <w:color w:val="000000"/>
        </w:rPr>
        <w:t xml:space="preserve">年内，我公司在经营活动中没有因违法经营受到刑事处罚或者责令停产停业、吊销许可证或者执照、较大数额罚款等行政处罚。</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spacing w:line="460" w:lineRule="exact"/>
        <w:rPr>
          <w:rFonts w:ascii="宋体" w:hAnsi="宋体"/>
          <w:bCs/>
          <w:sz w:val="24"/>
        </w:rPr>
      </w:pPr>
      <w:r>
        <w:rPr>
          <w:rFonts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bCs/>
          <w:sz w:val="24"/>
        </w:rPr>
        <w:t xml:space="preserve"> 供应商名称（公章）：</w:t>
      </w:r>
      <w:r>
        <w:rPr>
          <w:rFonts w:ascii="宋体" w:hAnsi="宋体"/>
          <w:bCs/>
          <w:sz w:val="24"/>
        </w:rPr>
      </w:r>
      <w:r/>
    </w:p>
    <w:p>
      <w:pPr>
        <w:pStyle w:val="658"/>
        <w:spacing w:line="460" w:lineRule="exact"/>
        <w:rPr>
          <w:rFonts w:ascii="宋体" w:hAnsi="宋体"/>
          <w:bCs/>
          <w:sz w:val="24"/>
        </w:rPr>
      </w:pPr>
      <w:r>
        <w:rPr>
          <w:rFonts w:hint="eastAsia" w:ascii="宋体" w:hAnsi="宋体"/>
          <w:bCs/>
          <w:sz w:val="24"/>
        </w:rPr>
        <w:t xml:space="preserve">                                 授权代表签字：</w:t>
      </w:r>
      <w:r>
        <w:rPr>
          <w:rFonts w:hint="eastAsia" w:ascii="宋体" w:hAnsi="宋体"/>
          <w:bCs/>
          <w:sz w:val="24"/>
          <w:u w:val="single"/>
        </w:rPr>
        <w:t xml:space="preserve">_______________________</w:t>
      </w:r>
      <w:r>
        <w:rPr>
          <w:rFonts w:ascii="宋体" w:hAnsi="宋体"/>
          <w:bCs/>
          <w:sz w:val="24"/>
        </w:rPr>
      </w:r>
      <w:r/>
    </w:p>
    <w:p>
      <w:pPr>
        <w:pStyle w:val="658"/>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______</w:t>
      </w:r>
      <w:r>
        <w:rPr>
          <w:rFonts w:hint="eastAsia" w:ascii="宋体" w:hAnsi="宋体"/>
          <w:bCs/>
          <w:sz w:val="24"/>
        </w:rPr>
        <w:t xml:space="preserve">年</w:t>
      </w:r>
      <w:r>
        <w:rPr>
          <w:rFonts w:hint="eastAsia" w:ascii="宋体" w:hAnsi="宋体"/>
          <w:bCs/>
          <w:sz w:val="24"/>
          <w:u w:val="single"/>
        </w:rPr>
        <w:t xml:space="preserve">______</w:t>
      </w:r>
      <w:r>
        <w:rPr>
          <w:rFonts w:hint="eastAsia" w:ascii="宋体" w:hAnsi="宋体"/>
          <w:bCs/>
          <w:sz w:val="24"/>
        </w:rPr>
        <w:t xml:space="preserve">月</w:t>
      </w:r>
      <w:r>
        <w:rPr>
          <w:rFonts w:hint="eastAsia" w:ascii="宋体" w:hAnsi="宋体"/>
          <w:bCs/>
          <w:sz w:val="24"/>
          <w:u w:val="single"/>
        </w:rPr>
        <w:t xml:space="preserve">______</w:t>
      </w:r>
      <w:r>
        <w:rPr>
          <w:rFonts w:hint="eastAsia" w:ascii="宋体" w:hAnsi="宋体"/>
          <w:bCs/>
          <w:sz w:val="24"/>
        </w:rPr>
        <w:t xml:space="preserve">日</w:t>
      </w:r>
      <w:r>
        <w:rPr>
          <w:rFonts w:ascii="宋体" w:hAnsi="宋体"/>
          <w:bCs/>
          <w:sz w:val="24"/>
        </w:rPr>
      </w:r>
      <w:r/>
    </w:p>
    <w:p>
      <w:pPr>
        <w:pStyle w:val="658"/>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hint="eastAsia" w:eastAsia="方正黑体_GBK"/>
          <w:sz w:val="32"/>
          <w:szCs w:val="32"/>
          <w:lang w:val="zh-CN"/>
        </w:rPr>
      </w:pPr>
      <w:r>
        <w:rPr>
          <w:rFonts w:hint="eastAsia"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spacing w:line="40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黑体"/>
          <w:color w:val="000000"/>
          <w:sz w:val="32"/>
        </w:rPr>
        <w:t xml:space="preserve">附件</w:t>
      </w:r>
      <w:r>
        <w:rPr>
          <w:rFonts w:ascii="宋体" w:hAnsi="宋体"/>
          <w:color w:val="000000"/>
          <w:sz w:val="32"/>
        </w:rPr>
        <w:t xml:space="preserve">3</w:t>
      </w:r>
      <w:r>
        <w:rPr>
          <w:rFonts w:ascii="宋体" w:hAnsi="宋体"/>
        </w:rPr>
      </w:r>
      <w:r/>
    </w:p>
    <w:p>
      <w:pPr>
        <w:pStyle w:val="658"/>
        <w:jc w:val="center"/>
        <w:spacing w:line="55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法定代表人身份证明</w:t>
      </w:r>
      <w:r>
        <w:rPr>
          <w:rFonts w:ascii="宋体" w:hAnsi="宋体"/>
        </w:rPr>
      </w:r>
      <w:r/>
    </w:p>
    <w:p>
      <w:pPr>
        <w:pStyle w:val="658"/>
        <w:spacing w:line="47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8"/>
        <w:ind w:firstLine="480"/>
        <w:spacing w:line="47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rPr>
          <w:rFonts w:ascii="宋体" w:hAnsi="宋体" w:cs="宋体"/>
          <w:color w:val="000000"/>
          <w:sz w:val="24"/>
        </w:rPr>
        <w:t xml:space="preserve">先生/女士： 现任我单位</w:t>
      </w:r>
      <w:r>
        <w:rPr>
          <w:rFonts w:ascii="宋体" w:hAnsi="宋体" w:cs="宋体"/>
          <w:color w:val="000000"/>
          <w:sz w:val="24"/>
          <w:u w:val="single"/>
        </w:rPr>
        <w:t xml:space="preserve">        </w:t>
      </w:r>
      <w:r>
        <w:rPr>
          <w:rFonts w:ascii="宋体" w:hAnsi="宋体" w:cs="宋体"/>
          <w:color w:val="000000"/>
          <w:sz w:val="24"/>
        </w:rPr>
        <w:t xml:space="preserve">职务，为法定代表人，特此证明。</w:t>
      </w:r>
      <w:r>
        <w:rPr>
          <w:rFonts w:ascii="宋体" w:hAnsi="宋体"/>
        </w:rPr>
      </w:r>
      <w:r/>
    </w:p>
    <w:p>
      <w:pPr>
        <w:pStyle w:val="658"/>
        <w:ind w:firstLine="482"/>
        <w:spacing w:line="47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身份证号码：</w:t>
      </w:r>
      <w:r>
        <w:rPr>
          <w:rFonts w:ascii="宋体" w:hAnsi="宋体" w:cs="宋体"/>
          <w:color w:val="000000"/>
          <w:sz w:val="24"/>
          <w:u w:val="single"/>
        </w:rPr>
        <w:t xml:space="preserve">       </w:t>
      </w:r>
      <w:r>
        <w:rPr>
          <w:rFonts w:ascii="宋体" w:hAnsi="宋体"/>
        </w:rPr>
      </w:r>
      <w:r/>
    </w:p>
    <w:p>
      <w:pPr>
        <w:pStyle w:val="658"/>
        <w:spacing w:line="6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658"/>
        <w:spacing w:line="60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注：提供法定代表人的身份证复印件盖公章</w:t>
      </w:r>
      <w:r>
        <w:rPr>
          <w:rFonts w:ascii="宋体" w:hAnsi="宋体"/>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hint="eastAsia" w:eastAsia="方正黑体_GBK"/>
          <w:sz w:val="32"/>
          <w:szCs w:val="32"/>
          <w:lang w:val="zh-CN"/>
        </w:rPr>
      </w:pPr>
      <w:r>
        <w:rPr>
          <w:rFonts w:hint="eastAsia" w:eastAsia="方正黑体_GBK"/>
          <w:sz w:val="32"/>
          <w:szCs w:val="32"/>
          <w:lang w:val="zh-CN"/>
        </w:rPr>
      </w:r>
      <w:r/>
    </w:p>
    <w:p>
      <w:pPr>
        <w:pStyle w:val="658"/>
        <w:contextualSpacing/>
        <w:spacing w:line="400" w:lineRule="exact"/>
        <w:rPr>
          <w:rFonts w:hint="eastAsia" w:eastAsia="方正黑体_GBK"/>
          <w:sz w:val="32"/>
          <w:szCs w:val="32"/>
          <w:lang w:val="zh-CN"/>
        </w:rPr>
      </w:pPr>
      <w:r>
        <w:rPr>
          <w:rFonts w:hint="eastAsia" w:eastAsia="方正黑体_GBK"/>
          <w:sz w:val="32"/>
          <w:szCs w:val="32"/>
          <w:lang w:val="zh-CN"/>
        </w:rPr>
      </w:r>
      <w:r/>
    </w:p>
    <w:p>
      <w:pPr>
        <w:pStyle w:val="658"/>
        <w:contextualSpacing/>
        <w:spacing w:line="400" w:lineRule="exact"/>
        <w:rPr>
          <w:rFonts w:hint="eastAsia" w:eastAsia="方正黑体_GBK"/>
          <w:sz w:val="32"/>
          <w:szCs w:val="32"/>
          <w:lang w:val="zh-CN"/>
        </w:rPr>
      </w:pPr>
      <w:r>
        <w:rPr>
          <w:rFonts w:hint="eastAsia"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eastAsia="方正黑体_GBK"/>
          <w:sz w:val="32"/>
          <w:szCs w:val="32"/>
          <w:lang w:val="zh-CN"/>
        </w:rPr>
      </w:pPr>
      <w:r>
        <w:rPr>
          <w:rFonts w:eastAsia="方正黑体_GBK"/>
          <w:sz w:val="32"/>
          <w:szCs w:val="32"/>
          <w:lang w:val="zh-CN"/>
        </w:rPr>
      </w:r>
      <w:r/>
    </w:p>
    <w:p>
      <w:pPr>
        <w:pStyle w:val="658"/>
        <w:contextualSpacing/>
        <w:spacing w:line="400" w:lineRule="exact"/>
        <w:rPr>
          <w:rFonts w:hint="eastAsia" w:eastAsia="方正黑体_GBK"/>
          <w:sz w:val="32"/>
          <w:szCs w:val="32"/>
          <w:lang w:val="zh-CN"/>
        </w:rPr>
      </w:pPr>
      <w:r>
        <w:rPr>
          <w:rFonts w:eastAsia="方正黑体_GBK"/>
          <w:sz w:val="32"/>
          <w:szCs w:val="32"/>
          <w:lang w:val="zh-CN"/>
        </w:rPr>
        <w:t xml:space="preserve">附件</w:t>
      </w:r>
      <w:r>
        <w:rPr>
          <w:rFonts w:hint="eastAsia" w:eastAsia="方正黑体_GBK"/>
          <w:sz w:val="32"/>
          <w:szCs w:val="32"/>
        </w:rPr>
        <w:t xml:space="preserve">4</w:t>
      </w:r>
      <w:r>
        <w:rPr>
          <w:rFonts w:hint="eastAsia" w:eastAsia="方正黑体_GBK"/>
          <w:sz w:val="32"/>
          <w:szCs w:val="32"/>
          <w:lang w:val="zh-CN"/>
        </w:rPr>
      </w:r>
      <w:r/>
    </w:p>
    <w:p>
      <w:pPr>
        <w:pStyle w:val="658"/>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pStyle w:val="658"/>
        <w:ind w:firstLine="480"/>
        <w:tabs>
          <w:tab w:val="left" w:pos="360" w:leader="none"/>
        </w:tabs>
        <w:rPr>
          <w:rFonts w:hint="eastAsia"/>
          <w:color w:val="000000"/>
          <w:sz w:val="24"/>
          <w:szCs w:val="24"/>
        </w:rPr>
      </w:pPr>
      <w:r>
        <w:rPr>
          <w:rFonts w:hint="eastAsia"/>
          <w:color w:val="000000"/>
          <w:sz w:val="24"/>
          <w:szCs w:val="24"/>
        </w:rPr>
        <w:t xml:space="preserve">本授权书声明：____________（供应商名称）授权________________（被授权人的姓名）为我方就项目编号：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（项目名称）</w:t>
      </w:r>
      <w:r>
        <w:rPr>
          <w:rFonts w:hint="eastAsia" w:ascii="宋体" w:hAnsi="宋体" w:cs="宋体"/>
          <w:color w:val="000000"/>
          <w:sz w:val="24"/>
          <w:u w:val="single"/>
        </w:rPr>
        <w:t xml:space="preserve">                     </w:t>
      </w:r>
      <w:r>
        <w:rPr>
          <w:rFonts w:hint="eastAsia" w:ascii="宋体" w:hAnsi="宋体" w:cs="宋体"/>
          <w:color w:val="000000"/>
          <w:sz w:val="24"/>
        </w:rPr>
        <w:t xml:space="preserve">（采购包名称）</w:t>
      </w:r>
      <w:r>
        <w:rPr>
          <w:rFonts w:hint="eastAsia"/>
          <w:color w:val="000000"/>
          <w:sz w:val="24"/>
          <w:szCs w:val="24"/>
        </w:rPr>
        <w:t xml:space="preserve">采购活动的合法代理人，以本单位名义全权处理一切与该项目采购有关的事务。</w:t>
      </w:r>
      <w:r/>
    </w:p>
    <w:p>
      <w:pPr>
        <w:pStyle w:val="658"/>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58"/>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58"/>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658"/>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58"/>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658"/>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58"/>
        <w:ind w:firstLine="420"/>
        <w:rPr>
          <w:rFonts w:hint="eastAsia"/>
          <w:i/>
          <w:color w:val="000000"/>
          <w:sz w:val="24"/>
          <w:szCs w:val="24"/>
          <w:u w:val="single"/>
        </w:rPr>
      </w:pPr>
      <w:r>
        <w:rPr>
          <w:rFonts w:hint="eastAsia" w:ascii="宋体" w:hAnsi="宋体"/>
          <w:b/>
          <w:sz w:val="24"/>
          <w:szCs w:val="24"/>
        </w:rPr>
        <w:t xml:space="preserve">注：提供授权委托人身份证复印件盖公章。</w:t>
      </w:r>
      <w:r>
        <w:rPr>
          <w:rFonts w:hint="eastAsia"/>
          <w:i/>
          <w:color w:val="000000"/>
          <w:sz w:val="24"/>
          <w:szCs w:val="24"/>
          <w:u w:val="single"/>
        </w:rPr>
      </w:r>
      <w:r/>
    </w:p>
    <w:p>
      <w:pPr>
        <w:pStyle w:val="658"/>
        <w:rPr>
          <w:rFonts w:hint="eastAsia"/>
          <w:color w:val="000000"/>
          <w:szCs w:val="21"/>
        </w:rPr>
      </w:pPr>
      <w:r>
        <w:rPr>
          <w:rFonts w:hint="eastAsia"/>
          <w:color w:val="000000"/>
          <w:szCs w:val="21"/>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hint="eastAsia" w:eastAsia="方正黑体_GBK"/>
          <w:sz w:val="32"/>
          <w:szCs w:val="32"/>
        </w:rPr>
      </w:pPr>
      <w:r>
        <w:rPr>
          <w:rFonts w:hint="eastAsia" w:eastAsia="方正黑体_GBK"/>
          <w:sz w:val="32"/>
          <w:szCs w:val="32"/>
        </w:rPr>
      </w:r>
      <w:r/>
    </w:p>
    <w:p>
      <w:pPr>
        <w:pStyle w:val="658"/>
        <w:contextualSpacing/>
        <w:spacing w:line="400" w:lineRule="exact"/>
        <w:rPr>
          <w:rFonts w:hint="eastAsia" w:eastAsia="方正黑体_GBK"/>
          <w:sz w:val="32"/>
          <w:szCs w:val="32"/>
        </w:rPr>
      </w:pPr>
      <w:r>
        <w:rPr>
          <w:rFonts w:hint="eastAsia"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eastAsia="方正黑体_GBK"/>
          <w:sz w:val="32"/>
          <w:szCs w:val="32"/>
        </w:rPr>
      </w:pPr>
      <w:r>
        <w:rPr>
          <w:rFonts w:eastAsia="方正黑体_GBK"/>
          <w:sz w:val="32"/>
          <w:szCs w:val="32"/>
        </w:rPr>
      </w:r>
      <w:r/>
    </w:p>
    <w:p>
      <w:pPr>
        <w:pStyle w:val="658"/>
        <w:contextualSpacing/>
        <w:spacing w:line="400" w:lineRule="exact"/>
        <w:rPr>
          <w:rFonts w:hint="eastAsia" w:eastAsia="方正黑体_GBK"/>
          <w:sz w:val="32"/>
          <w:szCs w:val="32"/>
        </w:rPr>
      </w:pPr>
      <w:r>
        <w:rPr>
          <w:rFonts w:eastAsia="方正黑体_GBK"/>
          <w:sz w:val="32"/>
          <w:szCs w:val="32"/>
        </w:rPr>
        <w:t xml:space="preserve">附件</w:t>
      </w:r>
      <w:r>
        <w:rPr>
          <w:rFonts w:hint="eastAsia" w:eastAsia="方正黑体_GBK"/>
          <w:sz w:val="32"/>
          <w:szCs w:val="32"/>
        </w:rPr>
        <w:t xml:space="preserve">5</w:t>
      </w:r>
      <w:r/>
    </w:p>
    <w:p>
      <w:pPr>
        <w:pStyle w:val="658"/>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658"/>
        <w:jc w:val="left"/>
        <w:spacing w:line="420" w:lineRule="exact"/>
        <w:rPr>
          <w:rFonts w:ascii="宋体" w:hAnsi="宋体"/>
          <w:sz w:val="24"/>
          <w:szCs w:val="21"/>
        </w:rPr>
      </w:pPr>
      <w:r>
        <w:rPr>
          <w:rFonts w:hint="eastAsia" w:ascii="宋体" w:hAnsi="宋体"/>
          <w:sz w:val="24"/>
          <w:szCs w:val="21"/>
        </w:rPr>
        <w:t xml:space="preserve">致：海安市教育体育局</w:t>
      </w:r>
      <w:r>
        <w:rPr>
          <w:rFonts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谈判文件，正式授权下述签字人______(姓名)代表我方______________（供应商的名称），全权处理本次项目谈判的有关事宜。</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p>
    <w:p>
      <w:pPr>
        <w:pStyle w:val="65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65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pStyle w:val="65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58"/>
        <w:contextualSpacing/>
        <w:spacing w:line="400" w:lineRule="exact"/>
        <w:rPr>
          <w:rFonts w:ascii="宋体" w:hAnsi="宋体"/>
          <w:bCs/>
          <w:sz w:val="24"/>
          <w:szCs w:val="21"/>
        </w:rPr>
      </w:pPr>
      <w:r>
        <w:rPr>
          <w:rFonts w:ascii="宋体" w:hAnsi="宋体"/>
          <w:bCs/>
          <w:sz w:val="24"/>
          <w:szCs w:val="21"/>
        </w:rPr>
      </w:r>
      <w:r/>
    </w:p>
    <w:p>
      <w:pPr>
        <w:pStyle w:val="658"/>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58"/>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p>
    <w:p>
      <w:pPr>
        <w:pStyle w:val="658"/>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pStyle w:val="658"/>
        <w:spacing w:line="460" w:lineRule="exact"/>
        <w:rPr>
          <w:rFonts w:ascii="宋体" w:hAnsi="宋体"/>
          <w:bCs/>
          <w:sz w:val="24"/>
          <w:szCs w:val="21"/>
        </w:rPr>
      </w:pPr>
      <w:r>
        <w:rPr>
          <w:rFonts w:ascii="宋体" w:hAnsi="宋体"/>
          <w:bCs/>
          <w:sz w:val="24"/>
          <w:szCs w:val="21"/>
        </w:rPr>
      </w:r>
      <w:r/>
    </w:p>
    <w:p>
      <w:pPr>
        <w:pStyle w:val="658"/>
        <w:spacing w:line="460" w:lineRule="exact"/>
        <w:rPr>
          <w:rFonts w:hint="eastAsia"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6</w:t>
      </w:r>
      <w:r/>
    </w:p>
    <w:p>
      <w:pPr>
        <w:pStyle w:val="658"/>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658"/>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3"/>
        <w:gridCol w:w="2679"/>
        <w:gridCol w:w="2339"/>
        <w:gridCol w:w="3019"/>
        <w:gridCol w:w="1662"/>
      </w:tblGrid>
      <w:tr>
        <w:trPr>
          <w:trHeight w:val="994"/>
        </w:trPr>
        <w:tc>
          <w:tcPr>
            <w:tcBorders>
              <w:top w:val="single" w:color="000000" w:sz="12" w:space="0"/>
              <w:left w:val="single" w:color="000000" w:sz="12" w:space="0"/>
              <w:bottom w:val="single" w:color="000000" w:sz="6" w:space="0"/>
              <w:right w:val="single" w:color="000000" w:sz="6" w:space="0"/>
            </w:tcBorders>
            <w:tcW w:w="983"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679"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39"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3019"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662" w:type="dxa"/>
            <w:vAlign w:val="top"/>
            <w:textDirection w:val="lrTb"/>
            <w:noWrap w:val="false"/>
          </w:tcPr>
          <w:p>
            <w:pPr>
              <w:pStyle w:val="658"/>
              <w:jc w:val="center"/>
              <w:spacing w:line="340" w:lineRule="exact"/>
              <w:rPr>
                <w:rFonts w:ascii="宋体" w:hAnsi="宋体"/>
                <w:sz w:val="24"/>
                <w:szCs w:val="24"/>
              </w:rPr>
            </w:pPr>
            <w:r>
              <w:rPr>
                <w:rFonts w:ascii="宋体" w:hAnsi="宋体"/>
                <w:sz w:val="24"/>
                <w:szCs w:val="24"/>
              </w:rPr>
            </w:r>
            <w:r/>
          </w:p>
          <w:p>
            <w:pPr>
              <w:pStyle w:val="658"/>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bl>
    <w:p>
      <w:pPr>
        <w:pStyle w:val="658"/>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2.“偏离说明”一栏选择“正偏离”、“无偏离”、“负偏离”进行填写。正偏离、无偏离的确认和负偏离的是否响应采购文件，由谈判小组认定。</w:t>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pStyle w:val="658"/>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658"/>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hint="eastAsia"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7</w:t>
      </w:r>
      <w:r/>
    </w:p>
    <w:p>
      <w:pPr>
        <w:pStyle w:val="658"/>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658"/>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3"/>
        <w:gridCol w:w="2679"/>
        <w:gridCol w:w="2339"/>
        <w:gridCol w:w="3019"/>
        <w:gridCol w:w="1662"/>
      </w:tblGrid>
      <w:tr>
        <w:trPr>
          <w:trHeight w:val="994"/>
        </w:trPr>
        <w:tc>
          <w:tcPr>
            <w:tcBorders>
              <w:top w:val="single" w:color="000000" w:sz="12" w:space="0"/>
              <w:left w:val="single" w:color="000000" w:sz="12" w:space="0"/>
              <w:bottom w:val="single" w:color="000000" w:sz="6" w:space="0"/>
              <w:right w:val="single" w:color="000000" w:sz="6" w:space="0"/>
            </w:tcBorders>
            <w:tcW w:w="983"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679"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39"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3019"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662" w:type="dxa"/>
            <w:vAlign w:val="top"/>
            <w:textDirection w:val="lrTb"/>
            <w:noWrap w:val="false"/>
          </w:tcPr>
          <w:p>
            <w:pPr>
              <w:pStyle w:val="658"/>
              <w:jc w:val="center"/>
              <w:spacing w:line="340" w:lineRule="exact"/>
              <w:rPr>
                <w:rFonts w:ascii="宋体" w:hAnsi="宋体"/>
                <w:sz w:val="24"/>
                <w:szCs w:val="24"/>
              </w:rPr>
            </w:pPr>
            <w:r>
              <w:rPr>
                <w:rFonts w:ascii="宋体" w:hAnsi="宋体"/>
                <w:sz w:val="24"/>
                <w:szCs w:val="24"/>
              </w:rPr>
            </w:r>
            <w:r/>
          </w:p>
          <w:p>
            <w:pPr>
              <w:pStyle w:val="658"/>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983"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7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39"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019" w:type="dxa"/>
            <w:vAlign w:val="center"/>
            <w:textDirection w:val="lrTb"/>
            <w:noWrap w:val="false"/>
          </w:tcPr>
          <w:p>
            <w:pPr>
              <w:pStyle w:val="658"/>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662" w:type="dxa"/>
            <w:vAlign w:val="top"/>
            <w:textDirection w:val="lrTb"/>
            <w:noWrap w:val="false"/>
          </w:tcPr>
          <w:p>
            <w:pPr>
              <w:pStyle w:val="658"/>
              <w:jc w:val="left"/>
              <w:spacing w:line="340" w:lineRule="exact"/>
              <w:rPr>
                <w:sz w:val="24"/>
                <w:szCs w:val="24"/>
              </w:rPr>
            </w:pPr>
            <w:r>
              <w:rPr>
                <w:sz w:val="24"/>
                <w:szCs w:val="24"/>
              </w:rPr>
            </w:r>
            <w:r/>
          </w:p>
        </w:tc>
      </w:tr>
    </w:tbl>
    <w:p>
      <w:pPr>
        <w:pStyle w:val="658"/>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2.“偏离说明”一栏选择“正偏离”、“无偏离”、“负偏离”进行填写。正偏离、无偏离的确认和负偏离的是否响应采购文件，由谈判小组认定。</w:t>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pStyle w:val="658"/>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hint="eastAsia"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8</w:t>
      </w:r>
      <w:r/>
    </w:p>
    <w:p>
      <w:pPr>
        <w:pStyle w:val="658"/>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58"/>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58"/>
        <w:rPr>
          <w:rFonts w:hint="eastAsia" w:ascii="宋体" w:hAnsi="宋体" w:cs="宋体"/>
          <w:sz w:val="28"/>
          <w:szCs w:val="28"/>
        </w:rPr>
      </w:pPr>
      <w:r>
        <w:rPr>
          <w:rFonts w:ascii="宋体" w:hAnsi="宋体" w:cs="宋体"/>
          <w:sz w:val="28"/>
          <w:szCs w:val="28"/>
        </w:rPr>
        <w:t xml:space="preserve">项目名称：</w:t>
      </w:r>
      <w:r>
        <w:rPr>
          <w:rFonts w:hint="eastAsia" w:ascii="宋体" w:hAnsi="宋体" w:cs="宋体"/>
          <w:sz w:val="28"/>
          <w:szCs w:val="28"/>
        </w:rPr>
        <w:t xml:space="preserve">                 </w:t>
      </w:r>
      <w:r/>
    </w:p>
    <w:p>
      <w:pPr>
        <w:pStyle w:val="658"/>
        <w:rPr>
          <w:rFonts w:ascii="宋体" w:hAnsi="宋体" w:cs="宋体"/>
          <w:color w:val="ff0000"/>
          <w:sz w:val="28"/>
          <w:szCs w:val="28"/>
          <w:u w:val="single"/>
        </w:rPr>
      </w:pPr>
      <w:r>
        <w:rPr>
          <w:rFonts w:hint="eastAsia" w:ascii="宋体" w:hAnsi="宋体" w:cs="宋体"/>
          <w:color w:val="ff0000"/>
          <w:sz w:val="28"/>
          <w:szCs w:val="28"/>
        </w:rPr>
        <w:t xml:space="preserve">采购包名称：</w:t>
      </w:r>
      <w:r>
        <w:rPr>
          <w:rFonts w:ascii="宋体" w:hAnsi="宋体" w:cs="宋体"/>
          <w:color w:val="ff0000"/>
          <w:sz w:val="28"/>
          <w:szCs w:val="28"/>
          <w:u w:val="single"/>
        </w:rPr>
      </w:r>
      <w:r/>
    </w:p>
    <w:p>
      <w:pPr>
        <w:pStyle w:val="658"/>
        <w:rPr>
          <w:rFonts w:ascii="宋体" w:hAnsi="宋体" w:cs="宋体"/>
          <w:sz w:val="28"/>
          <w:szCs w:val="28"/>
        </w:rPr>
      </w:pPr>
      <w:r>
        <w:rPr>
          <w:rFonts w:ascii="宋体" w:hAnsi="宋体" w:cs="宋体"/>
          <w:sz w:val="28"/>
          <w:szCs w:val="28"/>
        </w:rPr>
        <w:t xml:space="preserve">项目编号：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8"/>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8"/>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658"/>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u w:val="single"/>
              </w:rPr>
            </w:pPr>
            <w:r>
              <w:rPr>
                <w:rFonts w:ascii="宋体" w:hAnsi="宋体" w:cs="宋体"/>
                <w:sz w:val="28"/>
                <w:szCs w:val="28"/>
              </w:rPr>
              <w:t xml:space="preserve">大写：</w:t>
              <w:br w:type="textWrapping" w:clear="all"/>
              <w:t xml:space="preserve">小写：元（人民币）</w:t>
            </w:r>
            <w:r>
              <w:rPr>
                <w:rFonts w:ascii="等线" w:hAnsi="等线" w:eastAsia="等线"/>
                <w:u w:val="single"/>
              </w:rPr>
            </w:r>
            <w:r/>
          </w:p>
        </w:tc>
      </w:tr>
      <w:tr>
        <w:trPr/>
        <w:tc>
          <w:tcPr>
            <w:tcW w:w="4148" w:type="dxa"/>
            <w:vAlign w:val="top"/>
            <w:textDirection w:val="lrTb"/>
            <w:noWrap w:val="false"/>
          </w:tcPr>
          <w:p>
            <w:pPr>
              <w:pStyle w:val="658"/>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8"/>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rPr>
            </w:pPr>
            <w:r>
              <w:rPr>
                <w:rFonts w:ascii="等线" w:hAnsi="等线" w:eastAsia="等线"/>
              </w:rPr>
            </w:r>
            <w:r/>
          </w:p>
        </w:tc>
      </w:tr>
    </w:tbl>
    <w:p>
      <w:pPr>
        <w:pStyle w:val="658"/>
        <w:spacing w:line="560" w:lineRule="exact"/>
        <w:rPr>
          <w:rFonts w:ascii="宋体" w:hAnsi="宋体" w:cs="宋体"/>
          <w:sz w:val="28"/>
          <w:szCs w:val="28"/>
        </w:rPr>
      </w:pPr>
      <w:r>
        <w:rPr>
          <w:rFonts w:ascii="宋体" w:hAnsi="宋体" w:cs="宋体"/>
          <w:sz w:val="28"/>
          <w:szCs w:val="28"/>
        </w:rPr>
        <w:t xml:space="preserve">日期：</w:t>
      </w:r>
      <w:r/>
    </w:p>
    <w:p>
      <w:pPr>
        <w:pStyle w:val="658"/>
        <w:spacing w:line="560" w:lineRule="exact"/>
        <w:rPr>
          <w:rFonts w:ascii="宋体" w:hAnsi="宋体" w:cs="宋体"/>
          <w:sz w:val="28"/>
          <w:szCs w:val="28"/>
        </w:rPr>
      </w:pPr>
      <w:r>
        <w:rPr>
          <w:rFonts w:ascii="宋体" w:hAnsi="宋体" w:cs="宋体"/>
          <w:sz w:val="28"/>
          <w:szCs w:val="28"/>
        </w:rPr>
      </w:r>
      <w:r/>
    </w:p>
    <w:p>
      <w:pPr>
        <w:pStyle w:val="658"/>
        <w:spacing w:line="520" w:lineRule="exact"/>
        <w:rPr>
          <w:rFonts w:ascii="宋体" w:hAnsi="宋体" w:cs="宋体"/>
          <w:sz w:val="24"/>
          <w:szCs w:val="24"/>
        </w:rPr>
      </w:pPr>
      <w:r>
        <w:rPr>
          <w:rFonts w:ascii="宋体" w:hAnsi="宋体" w:cs="宋体"/>
          <w:sz w:val="24"/>
          <w:szCs w:val="24"/>
        </w:rPr>
        <w:t xml:space="preserve">填写说明：</w:t>
      </w:r>
      <w:r/>
    </w:p>
    <w:p>
      <w:pPr>
        <w:pStyle w:val="658"/>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pStyle w:val="658"/>
        <w:contextualSpacing/>
        <w:spacing w:line="400" w:lineRule="exact"/>
        <w:rPr>
          <w:rFonts w:hint="eastAsia" w:ascii="宋体" w:hAnsi="宋体"/>
          <w:bCs/>
          <w:color w:val="ff0000"/>
          <w:sz w:val="24"/>
          <w:szCs w:val="21"/>
        </w:rPr>
      </w:pPr>
      <w:r>
        <w:rPr>
          <w:rFonts w:hint="eastAsia" w:ascii="宋体" w:hAnsi="宋体"/>
          <w:bCs/>
          <w:color w:val="ff0000"/>
          <w:sz w:val="24"/>
          <w:szCs w:val="21"/>
        </w:rPr>
        <w:t xml:space="preserve">2、本项目共分2个采购包，供应商投任何一个包的标的，都需</w:t>
      </w:r>
      <w:r>
        <w:rPr>
          <w:rFonts w:hint="eastAsia" w:ascii="宋体" w:hAnsi="宋体"/>
          <w:b/>
          <w:bCs/>
          <w:color w:val="ff0000"/>
          <w:sz w:val="24"/>
          <w:szCs w:val="21"/>
        </w:rPr>
        <w:t xml:space="preserve">单独</w:t>
      </w:r>
      <w:r>
        <w:rPr>
          <w:rFonts w:hint="eastAsia" w:ascii="宋体" w:hAnsi="宋体"/>
          <w:bCs/>
          <w:color w:val="ff0000"/>
          <w:sz w:val="24"/>
          <w:szCs w:val="21"/>
        </w:rPr>
        <w:t xml:space="preserve">填写报价总表。</w:t>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eastAsia="方正黑体_GBK" w:cs="宋体"/>
          <w:sz w:val="28"/>
          <w:szCs w:val="28"/>
        </w:rPr>
      </w:pPr>
      <w:r>
        <w:rPr>
          <w:rFonts w:eastAsia="方正黑体_GBK"/>
          <w:sz w:val="32"/>
          <w:szCs w:val="32"/>
        </w:rPr>
        <w:t xml:space="preserve">附件</w:t>
      </w:r>
      <w:r>
        <w:rPr>
          <w:rFonts w:hint="eastAsia" w:eastAsia="方正黑体_GBK"/>
          <w:sz w:val="32"/>
          <w:szCs w:val="32"/>
        </w:rPr>
        <w:t xml:space="preserve">9</w:t>
      </w:r>
      <w:r>
        <w:rPr>
          <w:rFonts w:hint="eastAsia" w:ascii="宋体" w:hAnsi="宋体" w:eastAsia="方正黑体_GBK" w:cs="宋体"/>
          <w:sz w:val="28"/>
          <w:szCs w:val="28"/>
        </w:rPr>
      </w:r>
      <w:r/>
    </w:p>
    <w:p>
      <w:pPr>
        <w:pStyle w:val="658"/>
        <w:jc w:val="center"/>
        <w:spacing w:line="400" w:lineRule="exact"/>
        <w:rPr>
          <w:sz w:val="32"/>
          <w:szCs w:val="32"/>
        </w:rPr>
      </w:pPr>
      <w:r>
        <w:rPr>
          <w:rFonts w:hint="eastAsia"/>
          <w:b/>
          <w:bCs/>
          <w:sz w:val="32"/>
          <w:szCs w:val="32"/>
        </w:rPr>
        <w:t xml:space="preserve">分项报价明细表（货物类）</w:t>
      </w:r>
      <w:r>
        <w:rPr>
          <w:sz w:val="32"/>
          <w:szCs w:val="32"/>
        </w:rPr>
      </w:r>
      <w:r/>
    </w:p>
    <w:p>
      <w:pPr>
        <w:pStyle w:val="658"/>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98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658"/>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90" w:type="dxa"/>
            <w:vAlign w:val="center"/>
            <w:textDirection w:val="lrTb"/>
            <w:noWrap w:val="false"/>
          </w:tcPr>
          <w:p>
            <w:pPr>
              <w:pStyle w:val="658"/>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658"/>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658"/>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6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pStyle w:val="6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pStyle w:val="658"/>
        <w:spacing w:line="300" w:lineRule="auto"/>
        <w:rPr>
          <w:rFonts w:eastAsia="方正黑体_GBK"/>
          <w:sz w:val="32"/>
          <w:szCs w:val="32"/>
        </w:rPr>
        <w:outlineLvl w:val="0"/>
      </w:pPr>
      <w:r>
        <w:rPr>
          <w:rFonts w:ascii="宋体" w:hAnsi="宋体" w:eastAsia="幼圆" w:cs="Arial"/>
          <w:b/>
          <w:sz w:val="24"/>
          <w:szCs w:val="44"/>
        </w:rPr>
        <w:br w:type="page" w:clear="all"/>
      </w:r>
      <w:r>
        <w:rPr>
          <w:rFonts w:eastAsia="方正黑体_GBK"/>
          <w:sz w:val="32"/>
          <w:szCs w:val="32"/>
        </w:rPr>
        <w:t xml:space="preserve">附件</w:t>
      </w:r>
      <w:r>
        <w:rPr>
          <w:rFonts w:hint="eastAsia" w:eastAsia="方正黑体_GBK"/>
          <w:sz w:val="32"/>
          <w:szCs w:val="32"/>
        </w:rPr>
        <w:t xml:space="preserve">10</w:t>
      </w:r>
      <w:r>
        <w:rPr>
          <w:rFonts w:eastAsia="方正黑体_GBK"/>
          <w:sz w:val="32"/>
          <w:szCs w:val="32"/>
        </w:rPr>
      </w:r>
      <w:r/>
    </w:p>
    <w:p>
      <w:pPr>
        <w:pStyle w:val="658"/>
        <w:jc w:val="center"/>
        <w:spacing w:line="300" w:lineRule="auto"/>
        <w:rPr>
          <w:b/>
          <w:bCs/>
          <w:sz w:val="28"/>
          <w:szCs w:val="28"/>
          <w:lang w:bidi="zh-CN"/>
        </w:rPr>
        <w:outlineLvl w:val="0"/>
      </w:pPr>
      <w:r>
        <w:rPr>
          <w:b/>
          <w:bCs/>
          <w:sz w:val="28"/>
          <w:szCs w:val="28"/>
          <w:lang w:bidi="zh-CN"/>
        </w:rPr>
        <w:t xml:space="preserve">中小企业声明函（货物）</w:t>
      </w:r>
      <w:r/>
    </w:p>
    <w:p>
      <w:pPr>
        <w:pStyle w:val="658"/>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rFonts w:hint="eastAsia"/>
          <w:sz w:val="28"/>
          <w:szCs w:val="28"/>
          <w:u w:val="single"/>
          <w:lang w:bidi="zh-CN"/>
        </w:rPr>
        <w:t xml:space="preserve">    </w:t>
      </w:r>
      <w:r>
        <w:rPr>
          <w:rFonts w:hint="eastAsia"/>
          <w:sz w:val="28"/>
          <w:szCs w:val="28"/>
          <w:u w:val="single"/>
          <w:lang w:bidi="zh-CN"/>
        </w:rPr>
        <w:t xml:space="preserve">    </w:t>
      </w:r>
      <w:r>
        <w:rPr>
          <w:sz w:val="28"/>
          <w:szCs w:val="28"/>
          <w:u w:val="single"/>
          <w:lang w:bidi="zh-CN"/>
        </w:rPr>
        <w:t xml:space="preserve">（</w:t>
      </w:r>
      <w:r>
        <w:rPr>
          <w:sz w:val="28"/>
          <w:szCs w:val="28"/>
          <w:u w:val="single"/>
          <w:lang w:bidi="zh-CN"/>
        </w:rPr>
        <w:t xml:space="preserve">单位名称）</w:t>
      </w:r>
      <w:r>
        <w:rPr>
          <w:sz w:val="28"/>
          <w:szCs w:val="28"/>
          <w:lang w:bidi="zh-CN"/>
        </w:rPr>
        <w:t xml:space="preserve">的</w:t>
      </w:r>
      <w:r>
        <w:rPr>
          <w:rFonts w:hint="eastAsia"/>
          <w:color w:val="ff0000"/>
          <w:sz w:val="28"/>
          <w:szCs w:val="28"/>
          <w:u w:val="single"/>
          <w:lang w:bidi="zh-CN"/>
        </w:rPr>
        <w:t xml:space="preserve">海安市中小学学科类实验室建设项目</w:t>
      </w:r>
      <w:r>
        <w:rPr>
          <w:color w:val="ff0000"/>
          <w:sz w:val="28"/>
          <w:szCs w:val="28"/>
          <w:u w:val="single"/>
          <w:lang w:bidi="zh-CN"/>
        </w:rPr>
        <w:t xml:space="preserve">（项目名称）</w:t>
      </w:r>
      <w:r>
        <w:rPr>
          <w:rFonts w:hint="eastAsia"/>
          <w:color w:val="ff0000"/>
          <w:sz w:val="28"/>
          <w:szCs w:val="28"/>
          <w:u w:val="single"/>
          <w:lang w:bidi="zh-CN"/>
        </w:rPr>
        <w:t xml:space="preserve">、</w:t>
      </w:r>
      <w:r>
        <w:rPr>
          <w:rFonts w:hint="eastAsia"/>
          <w:color w:val="ff0000"/>
          <w:sz w:val="28"/>
          <w:szCs w:val="28"/>
          <w:u w:val="single"/>
          <w:lang w:bidi="zh-CN"/>
        </w:rPr>
        <w:t xml:space="preserve">采购包1：海安市中小学学科类实验室建设项目一</w:t>
      </w:r>
      <w:r>
        <w:rPr>
          <w:rFonts w:hint="eastAsia"/>
          <w:color w:val="ff0000"/>
          <w:sz w:val="28"/>
          <w:szCs w:val="28"/>
          <w:u w:val="single"/>
          <w:lang w:bidi="zh-CN"/>
        </w:rPr>
        <w:t xml:space="preserve">（采购包名称）</w:t>
      </w:r>
      <w:r>
        <w:rPr>
          <w:sz w:val="28"/>
          <w:szCs w:val="28"/>
          <w:lang w:bidi="zh-CN"/>
        </w:rPr>
        <w:t xml:space="preserve">采购活动，提供的货物全部由符合政策要求的中小企业制造。相关企业（含联合体中的中小企业、签订分包意向协议的中小企业</w:t>
      </w:r>
      <w:r>
        <w:rPr>
          <w:rFonts w:hint="eastAsia"/>
          <w:sz w:val="28"/>
          <w:szCs w:val="28"/>
          <w:lang w:bidi="zh-CN"/>
        </w:rPr>
        <w:t xml:space="preserve">）</w:t>
      </w:r>
      <w:r>
        <w:rPr>
          <w:sz w:val="28"/>
          <w:szCs w:val="28"/>
          <w:lang w:bidi="zh-CN"/>
        </w:rPr>
        <w:t xml:space="preserve">的具体情况如下</w:t>
      </w:r>
      <w:r>
        <w:rPr>
          <w:rFonts w:hint="eastAsia"/>
          <w:sz w:val="28"/>
          <w:szCs w:val="28"/>
          <w:lang w:bidi="zh-CN"/>
        </w:rPr>
        <w:t xml:space="preserve">（</w:t>
      </w:r>
      <w:r>
        <w:rPr>
          <w:rFonts w:hint="eastAsia"/>
          <w:sz w:val="28"/>
          <w:szCs w:val="28"/>
          <w:lang w:bidi="zh-CN"/>
        </w:rPr>
        <w:t xml:space="preserve">可用下表直接列出</w:t>
      </w:r>
      <w:r>
        <w:rPr>
          <w:rFonts w:hint="eastAsia"/>
          <w:sz w:val="28"/>
          <w:szCs w:val="28"/>
          <w:lang w:bidi="zh-CN"/>
        </w:rPr>
        <w:t xml:space="preserve">）</w:t>
      </w:r>
      <w:r>
        <w:rPr>
          <w:sz w:val="28"/>
          <w:szCs w:val="28"/>
          <w:lang w:bidi="zh-CN"/>
        </w:rPr>
        <w:t xml:space="preserve">：</w:t>
      </w:r>
      <w:r/>
    </w:p>
    <w:p>
      <w:pPr>
        <w:pStyle w:val="658"/>
        <w:spacing w:line="360" w:lineRule="auto"/>
        <w:rPr>
          <w:rFonts w:hint="eastAsia"/>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rFonts w:hint="eastAsia"/>
          <w:sz w:val="28"/>
          <w:szCs w:val="28"/>
          <w:lang w:bidi="zh-CN"/>
        </w:rPr>
      </w:r>
      <w:r/>
    </w:p>
    <w:p>
      <w:pPr>
        <w:pStyle w:val="658"/>
        <w:spacing w:line="360" w:lineRule="auto"/>
        <w:rPr>
          <w:sz w:val="28"/>
          <w:szCs w:val="28"/>
          <w:lang w:bidi="zh-CN"/>
        </w:rPr>
        <w:outlineLvl w:val="0"/>
      </w:pPr>
      <w:r>
        <w:rPr>
          <w:sz w:val="28"/>
          <w:szCs w:val="28"/>
          <w:lang w:bidi="zh-CN"/>
        </w:rPr>
        <w:t xml:space="preserve">……</w:t>
      </w:r>
      <w:r/>
    </w:p>
    <w:p>
      <w:pPr>
        <w:pStyle w:val="658"/>
        <w:spacing w:line="320" w:lineRule="exact"/>
        <w:rPr>
          <w:rFonts w:hint="eastAsia"/>
          <w:sz w:val="28"/>
          <w:szCs w:val="28"/>
          <w:lang w:bidi="zh-CN"/>
        </w:rPr>
        <w:outlineLvl w:val="0"/>
      </w:pPr>
      <w:r>
        <w:rPr>
          <w:rFonts w:hint="eastAsia"/>
          <w:sz w:val="28"/>
          <w:szCs w:val="28"/>
          <w:lang w:bidi="zh-CN"/>
        </w:rPr>
        <w:t xml:space="preserve">采购包1：海安市中小学学科类实验室建设项目一</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2409"/>
        <w:gridCol w:w="709"/>
        <w:gridCol w:w="1843"/>
        <w:gridCol w:w="992"/>
        <w:gridCol w:w="992"/>
        <w:gridCol w:w="993"/>
        <w:gridCol w:w="2210"/>
      </w:tblGrid>
      <w:tr>
        <w:trPr>
          <w:trHeight w:val="251"/>
        </w:trPr>
        <w:tc>
          <w:tcPr>
            <w:tcW w:w="534"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序号</w:t>
            </w:r>
            <w:r/>
          </w:p>
        </w:tc>
        <w:tc>
          <w:tcPr>
            <w:tcW w:w="2409"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标的名称</w:t>
            </w:r>
            <w:r/>
          </w:p>
        </w:tc>
        <w:tc>
          <w:tcPr>
            <w:tcW w:w="709"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所属行业</w:t>
            </w:r>
            <w:r/>
          </w:p>
        </w:tc>
        <w:tc>
          <w:tcPr>
            <w:tcW w:w="1843" w:type="dxa"/>
            <w:vAlign w:val="center"/>
            <w:textDirection w:val="lrTb"/>
            <w:noWrap w:val="false"/>
          </w:tcPr>
          <w:p>
            <w:pPr>
              <w:pStyle w:val="658"/>
              <w:jc w:val="center"/>
              <w:spacing w:line="320" w:lineRule="exact"/>
              <w:rPr>
                <w:rFonts w:hint="eastAsia" w:ascii="宋体" w:hAnsi="宋体"/>
                <w:color w:val="ff0000"/>
                <w:sz w:val="18"/>
                <w:szCs w:val="18"/>
                <w:lang w:bidi="zh-CN"/>
              </w:rPr>
              <w:outlineLvl w:val="0"/>
            </w:pPr>
            <w:r>
              <w:rPr>
                <w:rFonts w:hint="eastAsia" w:ascii="宋体" w:hAnsi="宋体"/>
                <w:color w:val="ff0000"/>
                <w:sz w:val="18"/>
                <w:szCs w:val="18"/>
                <w:lang w:bidi="zh-CN"/>
              </w:rPr>
              <w:t xml:space="preserve">制造商</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（企业名称）</w:t>
            </w:r>
            <w:r/>
          </w:p>
        </w:tc>
        <w:tc>
          <w:tcPr>
            <w:tcW w:w="992"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从业人员</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（人）</w:t>
            </w:r>
            <w:r/>
          </w:p>
        </w:tc>
        <w:tc>
          <w:tcPr>
            <w:tcW w:w="992"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营业收入</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（万元）</w:t>
            </w:r>
            <w:r/>
          </w:p>
        </w:tc>
        <w:tc>
          <w:tcPr>
            <w:tcW w:w="993"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资产总额</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（万元）</w:t>
            </w:r>
            <w:r/>
          </w:p>
        </w:tc>
        <w:tc>
          <w:tcPr>
            <w:tcW w:w="2210"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属于（中型企业、小型企业、微型企业）</w:t>
            </w:r>
            <w:r>
              <w:rPr>
                <w:rFonts w:hint="eastAsia" w:ascii="宋体" w:hAnsi="宋体"/>
                <w:b/>
                <w:sz w:val="18"/>
                <w:szCs w:val="18"/>
                <w:lang w:bidi="zh-CN"/>
              </w:rPr>
              <w:t xml:space="preserve">三选一</w:t>
            </w:r>
            <w:r>
              <w:rPr>
                <w:rFonts w:hint="eastAsia" w:ascii="宋体" w:hAnsi="宋体"/>
                <w:sz w:val="18"/>
                <w:szCs w:val="18"/>
                <w:lang w:bidi="zh-CN"/>
              </w:rPr>
            </w:r>
            <w:r/>
          </w:p>
        </w:tc>
      </w:tr>
      <w:tr>
        <w:trPr>
          <w:trHeight w:val="276"/>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苏教版三年级上册-科学配套材料箱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苏教版四年级上册-科学配套材料箱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苏教版五年级上册-科学配套材料箱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苏教版三年级下册-科学配套材料箱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苏教版四年级下册-科学配套材料箱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苏教版五年级下册-科学配套材料箱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信息科技学习套装</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智慧教室实验教学终端</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音视频采集器</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远程教学摄像头</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无线图传</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无线麦克风</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手持云台</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无线手写板</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电工工具箱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金工工具箱</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工具墙</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工作台</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移动讲台</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多色3D打印机及套件</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3D打印标准耗材</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3D打印打磨抛光工具</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桌面式激光切割机</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耗材1</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耗材2</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耗材3</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耗材4</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耗材5</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耗材6</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耗材7</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耗材8</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耗材9</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烟雾净化器</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烟雾净化器配套滤芯</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工具包</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热熔枪</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AI互动教学显示终端</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智能教学系统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领航杯B类竞赛机器人套装</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套装配套软件</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小学组场地道具</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赛事无忧升级</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吹吸除尘机</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灭火器</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环境提升</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数码显微镜</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双目显微镜</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生物学图像识别系统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初中物理虚拟现实课堂</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初中生物虚拟现实课堂</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初中化学虚拟现实课堂</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实验云备课系统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实验云备课创作工具</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实验云备课管理系统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实验云教学系统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实验云教学工具</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实验云教学互动系统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实验云教学移动控制系统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实验智能体中心</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数字化实验教研系统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数字化实验教研管理系统</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数字化实验资源平台</w:t>
            </w:r>
            <w:r>
              <w:rPr>
                <w:rFonts w:hint="eastAsia" w:ascii="宋体" w:hAnsi="宋体" w:cs="宋体"/>
                <w:color w:val="000000"/>
                <w:sz w:val="18"/>
                <w:szCs w:val="18"/>
              </w:rPr>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34" w:type="dxa"/>
            <w:vAlign w:val="center"/>
            <w:textDirection w:val="lrTb"/>
            <w:noWrap w:val="false"/>
          </w:tcPr>
          <w:p>
            <w:pPr>
              <w:pStyle w:val="658"/>
              <w:jc w:val="center"/>
              <w:spacing w:line="32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64</w:t>
            </w:r>
            <w:r/>
          </w:p>
        </w:tc>
        <w:tc>
          <w:tcPr>
            <w:tcW w:w="2409" w:type="dxa"/>
            <w:vAlign w:val="center"/>
            <w:textDirection w:val="lrTb"/>
            <w:noWrap w:val="false"/>
          </w:tcPr>
          <w:p>
            <w:pPr>
              <w:pStyle w:val="658"/>
              <w:jc w:val="left"/>
              <w:spacing w:line="32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数字化实验后台管理系统</w:t>
            </w:r>
            <w:r/>
          </w:p>
        </w:tc>
        <w:tc>
          <w:tcPr>
            <w:tcW w:w="709" w:type="dxa"/>
            <w:vAlign w:val="center"/>
            <w:textDirection w:val="lrTb"/>
            <w:noWrap w:val="false"/>
          </w:tcPr>
          <w:p>
            <w:pPr>
              <w:pStyle w:val="658"/>
              <w:jc w:val="center"/>
              <w:spacing w:line="32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工业</w:t>
            </w:r>
            <w:r/>
          </w:p>
        </w:tc>
        <w:tc>
          <w:tcPr>
            <w:tcW w:w="184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2"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3"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21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bl>
    <w:p>
      <w:pPr>
        <w:pStyle w:val="658"/>
        <w:ind w:firstLine="560"/>
        <w:spacing w:line="360" w:lineRule="auto"/>
        <w:rPr>
          <w:rFonts w:hint="eastAsia"/>
          <w:sz w:val="28"/>
          <w:szCs w:val="28"/>
          <w:lang w:bidi="zh-CN"/>
        </w:rPr>
        <w:outlineLvl w:val="0"/>
      </w:pPr>
      <w:r>
        <w:rPr>
          <w:rFonts w:hint="eastAsia"/>
          <w:sz w:val="28"/>
          <w:szCs w:val="28"/>
          <w:lang w:bidi="zh-CN"/>
        </w:rPr>
      </w:r>
      <w:r/>
    </w:p>
    <w:p>
      <w:pPr>
        <w:pStyle w:val="658"/>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658"/>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658"/>
        <w:ind w:firstLine="560"/>
        <w:spacing w:line="360" w:lineRule="auto"/>
        <w:rPr>
          <w:sz w:val="28"/>
          <w:szCs w:val="28"/>
          <w:lang w:bidi="zh-CN"/>
        </w:rPr>
        <w:outlineLvl w:val="0"/>
      </w:pPr>
      <w:r>
        <w:rPr>
          <w:sz w:val="28"/>
          <w:szCs w:val="28"/>
          <w:lang w:bidi="zh-CN"/>
        </w:rPr>
      </w:r>
      <w:r/>
    </w:p>
    <w:p>
      <w:pPr>
        <w:pStyle w:val="65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65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658"/>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658"/>
        <w:ind w:firstLine="420"/>
        <w:spacing w:line="300" w:lineRule="auto"/>
        <w:rPr>
          <w:rFonts w:hint="eastAsia"/>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t xml:space="preserve">                     </w:t>
      </w:r>
      <w:r/>
    </w:p>
    <w:p>
      <w:pPr>
        <w:pStyle w:val="658"/>
        <w:jc w:val="center"/>
        <w:spacing w:line="300" w:lineRule="auto"/>
        <w:rPr>
          <w:rFonts w:hint="eastAsia"/>
          <w:sz w:val="28"/>
          <w:szCs w:val="28"/>
          <w:lang w:bidi="zh-CN"/>
        </w:rPr>
        <w:outlineLvl w:val="0"/>
      </w:pP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日期：</w:t>
      </w:r>
      <w:r>
        <w:rPr>
          <w:rFonts w:hint="eastAsia"/>
          <w:sz w:val="28"/>
          <w:szCs w:val="28"/>
          <w:lang w:bidi="zh-CN"/>
        </w:rPr>
      </w:r>
      <w:r/>
    </w:p>
    <w:p>
      <w:pPr>
        <w:pStyle w:val="658"/>
        <w:spacing w:line="320" w:lineRule="exact"/>
        <w:rPr>
          <w:rFonts w:hint="eastAsia"/>
          <w:sz w:val="28"/>
          <w:szCs w:val="28"/>
          <w:lang w:bidi="zh-CN"/>
        </w:rPr>
        <w:outlineLvl w:val="0"/>
      </w:pPr>
      <w:r>
        <w:rPr>
          <w:rFonts w:hint="eastAsia"/>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b/>
          <w:bCs/>
          <w:sz w:val="28"/>
          <w:szCs w:val="28"/>
          <w:lang w:bidi="zh-CN"/>
        </w:rPr>
        <w:outlineLvl w:val="0"/>
      </w:pPr>
      <w:r>
        <w:rPr>
          <w:b/>
          <w:bCs/>
          <w:sz w:val="28"/>
          <w:szCs w:val="28"/>
          <w:lang w:bidi="zh-CN"/>
        </w:rPr>
        <w:t xml:space="preserve">中小企业声明函（货物）</w:t>
      </w:r>
      <w:r/>
    </w:p>
    <w:p>
      <w:pPr>
        <w:pStyle w:val="658"/>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rFonts w:hint="eastAsia"/>
          <w:sz w:val="28"/>
          <w:szCs w:val="28"/>
          <w:u w:val="single"/>
          <w:lang w:bidi="zh-CN"/>
        </w:rPr>
        <w:t xml:space="preserve">    </w:t>
      </w:r>
      <w:r>
        <w:rPr>
          <w:rFonts w:hint="eastAsia"/>
          <w:sz w:val="28"/>
          <w:szCs w:val="28"/>
          <w:u w:val="single"/>
          <w:lang w:bidi="zh-CN"/>
        </w:rPr>
        <w:t xml:space="preserve">    </w:t>
      </w:r>
      <w:r>
        <w:rPr>
          <w:sz w:val="28"/>
          <w:szCs w:val="28"/>
          <w:u w:val="single"/>
          <w:lang w:bidi="zh-CN"/>
        </w:rPr>
        <w:t xml:space="preserve">（</w:t>
      </w:r>
      <w:r>
        <w:rPr>
          <w:sz w:val="28"/>
          <w:szCs w:val="28"/>
          <w:u w:val="single"/>
          <w:lang w:bidi="zh-CN"/>
        </w:rPr>
        <w:t xml:space="preserve">单位名称）</w:t>
      </w:r>
      <w:r>
        <w:rPr>
          <w:sz w:val="28"/>
          <w:szCs w:val="28"/>
          <w:lang w:bidi="zh-CN"/>
        </w:rPr>
        <w:t xml:space="preserve">的</w:t>
      </w:r>
      <w:r>
        <w:rPr>
          <w:rFonts w:hint="eastAsia"/>
          <w:color w:val="ff0000"/>
          <w:sz w:val="28"/>
          <w:szCs w:val="28"/>
          <w:u w:val="single"/>
          <w:lang w:bidi="zh-CN"/>
        </w:rPr>
        <w:t xml:space="preserve">海安市中小学学科类实验室建设项目</w:t>
      </w:r>
      <w:r>
        <w:rPr>
          <w:color w:val="ff0000"/>
          <w:sz w:val="28"/>
          <w:szCs w:val="28"/>
          <w:u w:val="single"/>
          <w:lang w:bidi="zh-CN"/>
        </w:rPr>
        <w:t xml:space="preserve">（项目名称）</w:t>
      </w:r>
      <w:r>
        <w:rPr>
          <w:rFonts w:hint="eastAsia"/>
          <w:color w:val="ff0000"/>
          <w:sz w:val="28"/>
          <w:szCs w:val="28"/>
          <w:u w:val="single"/>
          <w:lang w:bidi="zh-CN"/>
        </w:rPr>
        <w:t xml:space="preserve">、</w:t>
      </w:r>
      <w:r>
        <w:rPr>
          <w:rFonts w:hint="eastAsia"/>
          <w:color w:val="ff0000"/>
          <w:sz w:val="28"/>
          <w:szCs w:val="28"/>
          <w:u w:val="single"/>
          <w:lang w:bidi="zh-CN"/>
        </w:rPr>
        <w:t xml:space="preserve">采购包2：海安市中小学学科类实验室建设项目二</w:t>
      </w:r>
      <w:r>
        <w:rPr>
          <w:rFonts w:hint="eastAsia"/>
          <w:color w:val="ff0000"/>
          <w:sz w:val="28"/>
          <w:szCs w:val="28"/>
          <w:u w:val="single"/>
          <w:lang w:bidi="zh-CN"/>
        </w:rPr>
        <w:t xml:space="preserve">（采购包名称）</w:t>
      </w:r>
      <w:r>
        <w:rPr>
          <w:sz w:val="28"/>
          <w:szCs w:val="28"/>
          <w:lang w:bidi="zh-CN"/>
        </w:rPr>
        <w:t xml:space="preserve">采购活动，提供的货物全部由符合政策要</w:t>
      </w:r>
      <w:r>
        <w:rPr>
          <w:sz w:val="28"/>
          <w:szCs w:val="28"/>
          <w:lang w:bidi="zh-CN"/>
        </w:rPr>
        <w:t xml:space="preserve">求的中小企业制造。相关企业（含联合体中的中小企业、签订分包意向</w:t>
      </w:r>
      <w:r>
        <w:rPr>
          <w:sz w:val="28"/>
          <w:szCs w:val="28"/>
          <w:lang w:bidi="zh-CN"/>
        </w:rPr>
        <w:t xml:space="preserve">议的中小企业） 的具体情况如下</w:t>
      </w:r>
      <w:r>
        <w:rPr>
          <w:rFonts w:hint="eastAsia"/>
          <w:sz w:val="28"/>
          <w:szCs w:val="28"/>
          <w:lang w:bidi="zh-CN"/>
        </w:rPr>
        <w:t xml:space="preserve">（</w:t>
      </w:r>
      <w:r>
        <w:rPr>
          <w:rFonts w:hint="eastAsia"/>
          <w:sz w:val="28"/>
          <w:szCs w:val="28"/>
          <w:lang w:bidi="zh-CN"/>
        </w:rPr>
        <w:t xml:space="preserve">可用下表直接列出</w:t>
      </w:r>
      <w:r>
        <w:rPr>
          <w:rFonts w:hint="eastAsia"/>
          <w:sz w:val="28"/>
          <w:szCs w:val="28"/>
          <w:lang w:bidi="zh-CN"/>
        </w:rPr>
        <w:t xml:space="preserve">）</w:t>
      </w:r>
      <w:r>
        <w:rPr>
          <w:sz w:val="28"/>
          <w:szCs w:val="28"/>
          <w:lang w:bidi="zh-CN"/>
        </w:rPr>
        <w:t xml:space="preserve">：</w:t>
      </w:r>
      <w:r>
        <w:rPr>
          <w:sz w:val="28"/>
          <w:szCs w:val="28"/>
          <w:lang w:bidi="zh-CN"/>
        </w:rPr>
      </w:r>
      <w:r/>
    </w:p>
    <w:p>
      <w:pPr>
        <w:pStyle w:val="658"/>
        <w:spacing w:line="360" w:lineRule="auto"/>
        <w:rPr>
          <w:rFonts w:hint="eastAsia"/>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rFonts w:hint="eastAsia"/>
          <w:sz w:val="28"/>
          <w:szCs w:val="28"/>
          <w:lang w:bidi="zh-CN"/>
        </w:rPr>
      </w:r>
      <w:r/>
    </w:p>
    <w:p>
      <w:pPr>
        <w:pStyle w:val="658"/>
        <w:spacing w:line="360" w:lineRule="auto"/>
        <w:rPr>
          <w:sz w:val="28"/>
          <w:szCs w:val="28"/>
          <w:lang w:bidi="zh-CN"/>
        </w:rPr>
        <w:outlineLvl w:val="0"/>
      </w:pPr>
      <w:r>
        <w:rPr>
          <w:sz w:val="28"/>
          <w:szCs w:val="28"/>
          <w:lang w:bidi="zh-CN"/>
        </w:rPr>
        <w:t xml:space="preserve">……</w:t>
      </w:r>
      <w:r/>
    </w:p>
    <w:p>
      <w:pPr>
        <w:pStyle w:val="658"/>
        <w:spacing w:line="320" w:lineRule="exact"/>
        <w:rPr>
          <w:rFonts w:hint="eastAsia"/>
          <w:sz w:val="28"/>
          <w:szCs w:val="28"/>
          <w:lang w:bidi="zh-CN"/>
        </w:rPr>
        <w:outlineLvl w:val="0"/>
      </w:pPr>
      <w:r>
        <w:rPr>
          <w:rFonts w:hint="eastAsia"/>
          <w:sz w:val="28"/>
          <w:szCs w:val="28"/>
          <w:lang w:bidi="zh-CN"/>
        </w:rPr>
        <w:t xml:space="preserve">采购包2：海安市中小学学科类实验室建设项目二</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2397"/>
        <w:gridCol w:w="707"/>
        <w:gridCol w:w="1834"/>
        <w:gridCol w:w="990"/>
        <w:gridCol w:w="989"/>
        <w:gridCol w:w="990"/>
        <w:gridCol w:w="2198"/>
      </w:tblGrid>
      <w:tr>
        <w:trPr>
          <w:trHeight w:val="251"/>
        </w:trPr>
        <w:tc>
          <w:tcPr>
            <w:tcW w:w="577"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序号</w:t>
            </w:r>
            <w:r/>
          </w:p>
        </w:tc>
        <w:tc>
          <w:tcPr>
            <w:tcW w:w="2397"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标的名称</w:t>
            </w:r>
            <w:r/>
          </w:p>
        </w:tc>
        <w:tc>
          <w:tcPr>
            <w:tcW w:w="707"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所属行业</w:t>
            </w:r>
            <w:r/>
          </w:p>
        </w:tc>
        <w:tc>
          <w:tcPr>
            <w:tcW w:w="1834" w:type="dxa"/>
            <w:vAlign w:val="center"/>
            <w:textDirection w:val="lrTb"/>
            <w:noWrap w:val="false"/>
          </w:tcPr>
          <w:p>
            <w:pPr>
              <w:pStyle w:val="658"/>
              <w:jc w:val="center"/>
              <w:spacing w:line="320" w:lineRule="exact"/>
              <w:rPr>
                <w:rFonts w:hint="eastAsia" w:ascii="宋体" w:hAnsi="宋体"/>
                <w:color w:val="ff0000"/>
                <w:sz w:val="18"/>
                <w:szCs w:val="18"/>
                <w:lang w:bidi="zh-CN"/>
              </w:rPr>
              <w:outlineLvl w:val="0"/>
            </w:pPr>
            <w:r>
              <w:rPr>
                <w:rFonts w:hint="eastAsia" w:ascii="宋体" w:hAnsi="宋体"/>
                <w:color w:val="ff0000"/>
                <w:sz w:val="18"/>
                <w:szCs w:val="18"/>
                <w:lang w:bidi="zh-CN"/>
              </w:rPr>
              <w:t xml:space="preserve">制造商</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（企业名称）</w:t>
            </w:r>
            <w:r/>
          </w:p>
        </w:tc>
        <w:tc>
          <w:tcPr>
            <w:tcW w:w="990"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从业人员</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（人）</w:t>
            </w:r>
            <w:r/>
          </w:p>
        </w:tc>
        <w:tc>
          <w:tcPr>
            <w:tcW w:w="989"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营业收入</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（万元）</w:t>
            </w:r>
            <w:r/>
          </w:p>
        </w:tc>
        <w:tc>
          <w:tcPr>
            <w:tcW w:w="990"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资产总额</w:t>
            </w:r>
            <w:r/>
          </w:p>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（万元）</w:t>
            </w:r>
            <w:r/>
          </w:p>
        </w:tc>
        <w:tc>
          <w:tcPr>
            <w:tcW w:w="2198" w:type="dxa"/>
            <w:vAlign w:val="center"/>
            <w:textDirection w:val="lrTb"/>
            <w:noWrap w:val="false"/>
          </w:tcPr>
          <w:p>
            <w:pPr>
              <w:pStyle w:val="658"/>
              <w:jc w:val="center"/>
              <w:spacing w:line="320" w:lineRule="exact"/>
              <w:rPr>
                <w:rFonts w:hint="eastAsia" w:ascii="宋体" w:hAnsi="宋体"/>
                <w:sz w:val="18"/>
                <w:szCs w:val="18"/>
                <w:lang w:bidi="zh-CN"/>
              </w:rPr>
              <w:outlineLvl w:val="0"/>
            </w:pPr>
            <w:r>
              <w:rPr>
                <w:rFonts w:hint="eastAsia" w:ascii="宋体" w:hAnsi="宋体"/>
                <w:sz w:val="18"/>
                <w:szCs w:val="18"/>
                <w:lang w:bidi="zh-CN"/>
              </w:rPr>
              <w:t xml:space="preserve">属于（中型企业、小型企业、微型企业）</w:t>
            </w:r>
            <w:r>
              <w:rPr>
                <w:rFonts w:hint="eastAsia" w:ascii="宋体" w:hAnsi="宋体"/>
                <w:b/>
                <w:sz w:val="18"/>
                <w:szCs w:val="18"/>
                <w:lang w:bidi="zh-CN"/>
              </w:rPr>
              <w:t xml:space="preserve">三选一</w:t>
            </w:r>
            <w:r>
              <w:rPr>
                <w:rFonts w:hint="eastAsia" w:ascii="宋体" w:hAnsi="宋体"/>
                <w:sz w:val="18"/>
                <w:szCs w:val="18"/>
                <w:lang w:bidi="zh-CN"/>
              </w:rPr>
            </w:r>
            <w:r/>
          </w:p>
        </w:tc>
      </w:tr>
      <w:tr>
        <w:trPr>
          <w:trHeight w:val="276"/>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力传感器A</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微力传感器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分体式位移传感器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光电门传感器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温度传感器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高温传感器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压强传感器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相对压强传感器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声波/声级</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双量程光照度传感器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电流传感器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微电流传感器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电压传感器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pH传感器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电导率传感器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浊度传感器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氧气传感器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二氧化碳传感器B</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初中生物虚拟现实课堂</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实验云教学系统</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相对湿度传感器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溶解氧传感器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心率传感器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气压传感器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风速传感器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土壤湿度传感器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日照辐射传感器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乙醇传感器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初中化学虚拟现实课堂</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浮力定律实验器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摩擦做功实验器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电阻定律实验器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压缩气体做功实验器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无线智能小车</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实验智能体中心</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传感器数据显示/无线发射一体模块(通用)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网络教室终端</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采集器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系统专用附件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课堂互动软件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拼接桌</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生物显微镜</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学生凳</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文化装饰</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超净工作台</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溶液导电演示器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教师用分子结构模型</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学生用分子结构模型</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学生电源</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原电池实验器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登高梯</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热熔胶枪</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热熔胶棒</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向心力实验器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打点纸带</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墨粉纸</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接线夹导线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接线叉导线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香蕉头导线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电火花计时器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轨道小车</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运动频闪观测仪</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玻意耳定律演示器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电容器实验板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多用电表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翻页笔</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废液分类回收桶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实验服</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防护手套</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一次性手套</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果酒果醋发酵装置</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DNA双螺旋结构模型组件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基因转录和翻译磁片模型</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双面刀片</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研磨过滤器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移液器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涂布器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接种环</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移液器架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血细胞计数板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烧杯</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烧杯</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滴瓶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茶色滴瓶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泡菜坛</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培养皿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培养皿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漏斗</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滴管</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载玻片</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盖玻片</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离心管</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毛细吸管</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移液器吸头盒</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移液器吸头</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塑料多用滴管</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定性滤纸</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仪器车</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托盘</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双缝干涉实验仪</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教师用数码显微镜</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PCR仪</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恒温培养箱</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灵敏电流计</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发波水槽</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液体表面张力演示器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感应起电机</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学生用数码显微镜</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显微镜管理平台</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电泳仪</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水平电泳槽</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数字黑板</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DNA电泳图谱观察仪</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恒温水浴锅</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离心机</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高压灭菌器</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容量瓶</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烧杯</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尿素选择-鉴别培养基试剂</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组织培养基(MS)试剂</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PCR 扩增实验试剂盒</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r>
        <w:trPr>
          <w:trHeight w:val="170"/>
        </w:trPr>
        <w:tc>
          <w:tcPr>
            <w:tcW w:w="57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tcW w:w="2397" w:type="dxa"/>
            <w:vAlign w:val="center"/>
            <w:textDirection w:val="lrTb"/>
            <w:noWrap w:val="false"/>
          </w:tcPr>
          <w:p>
            <w:pPr>
              <w:pStyle w:val="658"/>
              <w:jc w:val="left"/>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琼脂糖凝胶电泳实验试剂盒</w:t>
            </w:r>
            <w:r>
              <w:rPr>
                <w:rFonts w:hint="eastAsia" w:ascii="宋体" w:hAnsi="宋体" w:cs="宋体"/>
                <w:color w:val="000000"/>
                <w:sz w:val="18"/>
                <w:szCs w:val="18"/>
              </w:rPr>
            </w:r>
            <w:r/>
          </w:p>
        </w:tc>
        <w:tc>
          <w:tcPr>
            <w:tcW w:w="707" w:type="dxa"/>
            <w:vAlign w:val="center"/>
            <w:textDirection w:val="lrTb"/>
            <w:noWrap w:val="false"/>
          </w:tcPr>
          <w:p>
            <w:pPr>
              <w:pStyle w:val="658"/>
              <w:jc w:val="center"/>
              <w:spacing w:line="32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工业</w:t>
            </w:r>
            <w:r>
              <w:rPr>
                <w:rFonts w:hint="eastAsia" w:ascii="宋体" w:hAnsi="宋体" w:cs="宋体"/>
                <w:color w:val="000000"/>
                <w:sz w:val="18"/>
                <w:szCs w:val="18"/>
              </w:rPr>
            </w:r>
            <w:r/>
          </w:p>
        </w:tc>
        <w:tc>
          <w:tcPr>
            <w:tcW w:w="1834"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89"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990"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c>
          <w:tcPr>
            <w:tcW w:w="2198" w:type="dxa"/>
            <w:vAlign w:val="top"/>
            <w:textDirection w:val="lrTb"/>
            <w:noWrap w:val="false"/>
          </w:tcPr>
          <w:p>
            <w:pPr>
              <w:pStyle w:val="658"/>
              <w:spacing w:line="320" w:lineRule="exact"/>
              <w:rPr>
                <w:rFonts w:hint="eastAsia" w:ascii="宋体" w:hAnsi="宋体"/>
                <w:sz w:val="18"/>
                <w:szCs w:val="18"/>
                <w:lang w:bidi="zh-CN"/>
              </w:rPr>
              <w:outlineLvl w:val="0"/>
            </w:pPr>
            <w:r>
              <w:rPr>
                <w:rFonts w:hint="eastAsia" w:ascii="宋体" w:hAnsi="宋体"/>
                <w:sz w:val="18"/>
                <w:szCs w:val="18"/>
                <w:lang w:bidi="zh-CN"/>
              </w:rPr>
            </w:r>
            <w:r/>
          </w:p>
        </w:tc>
      </w:tr>
    </w:tbl>
    <w:p>
      <w:pPr>
        <w:pStyle w:val="658"/>
        <w:ind w:firstLine="560"/>
        <w:spacing w:line="360" w:lineRule="auto"/>
        <w:rPr>
          <w:rFonts w:hint="eastAsia"/>
          <w:sz w:val="28"/>
          <w:szCs w:val="28"/>
          <w:lang w:bidi="zh-CN"/>
        </w:rPr>
        <w:outlineLvl w:val="0"/>
      </w:pPr>
      <w:r>
        <w:rPr>
          <w:rFonts w:hint="eastAsia"/>
          <w:sz w:val="28"/>
          <w:szCs w:val="28"/>
          <w:lang w:bidi="zh-CN"/>
        </w:rPr>
      </w:r>
      <w:r/>
    </w:p>
    <w:p>
      <w:pPr>
        <w:pStyle w:val="658"/>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658"/>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658"/>
        <w:ind w:firstLine="560"/>
        <w:spacing w:line="360" w:lineRule="auto"/>
        <w:rPr>
          <w:sz w:val="28"/>
          <w:szCs w:val="28"/>
          <w:lang w:bidi="zh-CN"/>
        </w:rPr>
        <w:outlineLvl w:val="0"/>
      </w:pPr>
      <w:r>
        <w:rPr>
          <w:sz w:val="28"/>
          <w:szCs w:val="28"/>
          <w:lang w:bidi="zh-CN"/>
        </w:rPr>
      </w:r>
      <w:r/>
    </w:p>
    <w:p>
      <w:pPr>
        <w:pStyle w:val="65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65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658"/>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658"/>
        <w:ind w:firstLine="420"/>
        <w:spacing w:line="300" w:lineRule="auto"/>
        <w:rPr>
          <w:rFonts w:hint="eastAsia"/>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t xml:space="preserve">                     </w:t>
      </w:r>
      <w:r/>
    </w:p>
    <w:p>
      <w:pPr>
        <w:pStyle w:val="658"/>
        <w:jc w:val="center"/>
        <w:spacing w:line="300" w:lineRule="auto"/>
        <w:rPr>
          <w:rFonts w:hint="eastAsia"/>
          <w:sz w:val="28"/>
          <w:szCs w:val="28"/>
          <w:lang w:bidi="zh-CN"/>
        </w:rPr>
        <w:outlineLvl w:val="0"/>
      </w:pP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58"/>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日期：</w:t>
      </w:r>
      <w:r>
        <w:rPr>
          <w:rFonts w:hint="eastAsia"/>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left"/>
        <w:spacing w:line="300" w:lineRule="auto"/>
        <w:rPr>
          <w:rFonts w:hint="eastAsia"/>
          <w:b/>
          <w:bCs/>
          <w:color w:val="ff0000"/>
          <w:szCs w:val="21"/>
          <w:lang w:bidi="zh-CN"/>
        </w:rPr>
        <w:outlineLvl w:val="0"/>
      </w:pPr>
      <w:r>
        <w:rPr>
          <w:rFonts w:hint="eastAsia"/>
          <w:b/>
          <w:bCs/>
          <w:color w:val="ff0000"/>
          <w:szCs w:val="21"/>
          <w:lang w:bidi="zh-CN"/>
        </w:rPr>
        <w:t xml:space="preserve">注：本项目共分2个采购包，供应商投任何一个采购包，都需单独填写对应采购包的中小企业声明函。</w:t>
      </w:r>
      <w:r>
        <w:rPr>
          <w:rFonts w:hint="eastAsia"/>
          <w:b/>
          <w:bCs/>
          <w:color w:val="ff0000"/>
          <w:szCs w:val="21"/>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jc w:val="center"/>
        <w:spacing w:line="300" w:lineRule="auto"/>
        <w:rPr>
          <w:rFonts w:hint="eastAsia"/>
          <w:b/>
          <w:bCs/>
          <w:sz w:val="28"/>
          <w:szCs w:val="28"/>
          <w:lang w:bidi="zh-CN"/>
        </w:rPr>
        <w:outlineLvl w:val="0"/>
      </w:pPr>
      <w:r>
        <w:rPr>
          <w:rFonts w:hint="eastAsia"/>
          <w:b/>
          <w:bCs/>
          <w:sz w:val="28"/>
          <w:szCs w:val="28"/>
          <w:lang w:bidi="zh-CN"/>
        </w:rPr>
      </w:r>
      <w:r/>
    </w:p>
    <w:p>
      <w:pPr>
        <w:pStyle w:val="658"/>
        <w:spacing w:line="300" w:lineRule="auto"/>
        <w:rPr>
          <w:rFonts w:eastAsia="方正黑体_GBK"/>
          <w:sz w:val="32"/>
          <w:szCs w:val="32"/>
        </w:rPr>
        <w:outlineLvl w:val="0"/>
      </w:pPr>
      <w:r>
        <w:rPr>
          <w:rFonts w:eastAsia="方正黑体_GBK"/>
          <w:sz w:val="32"/>
          <w:szCs w:val="32"/>
        </w:rPr>
        <w:t xml:space="preserve">附件</w:t>
      </w:r>
      <w:r>
        <w:rPr>
          <w:rFonts w:hint="eastAsia" w:eastAsia="方正黑体_GBK"/>
          <w:sz w:val="32"/>
          <w:szCs w:val="32"/>
        </w:rPr>
        <w:t xml:space="preserve">11</w:t>
      </w:r>
      <w:r>
        <w:rPr>
          <w:rFonts w:eastAsia="方正黑体_GBK"/>
          <w:sz w:val="32"/>
          <w:szCs w:val="32"/>
        </w:rPr>
      </w:r>
      <w:r/>
    </w:p>
    <w:p>
      <w:pPr>
        <w:pStyle w:val="658"/>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658"/>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658"/>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658"/>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58"/>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8"/>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8"/>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hint="eastAsia" w:eastAsia="方正黑体_GBK"/>
          <w:sz w:val="32"/>
          <w:szCs w:val="32"/>
        </w:rPr>
        <w:outlineLvl w:val="0"/>
      </w:pPr>
      <w:r>
        <w:rPr>
          <w:rFonts w:hint="eastAsia" w:eastAsia="方正黑体_GBK"/>
          <w:sz w:val="32"/>
          <w:szCs w:val="32"/>
        </w:rPr>
      </w:r>
      <w:r/>
    </w:p>
    <w:p>
      <w:pPr>
        <w:pStyle w:val="658"/>
        <w:spacing w:line="300" w:lineRule="auto"/>
        <w:rPr>
          <w:rFonts w:eastAsia="方正黑体_GBK"/>
          <w:sz w:val="32"/>
          <w:szCs w:val="32"/>
        </w:rPr>
        <w:outlineLvl w:val="0"/>
      </w:pPr>
      <w:r>
        <w:rPr>
          <w:rFonts w:eastAsia="方正黑体_GBK"/>
          <w:sz w:val="32"/>
          <w:szCs w:val="32"/>
        </w:rPr>
        <w:t xml:space="preserve">附件</w:t>
      </w:r>
      <w:r>
        <w:rPr>
          <w:rFonts w:hint="eastAsia" w:eastAsia="方正黑体_GBK"/>
          <w:sz w:val="32"/>
          <w:szCs w:val="32"/>
        </w:rPr>
        <w:t xml:space="preserve">12</w:t>
      </w:r>
      <w:r>
        <w:rPr>
          <w:rFonts w:eastAsia="方正黑体_GBK"/>
          <w:sz w:val="32"/>
          <w:szCs w:val="32"/>
        </w:rPr>
      </w:r>
      <w:r/>
    </w:p>
    <w:p>
      <w:pPr>
        <w:pStyle w:val="658"/>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58"/>
        <w:ind w:firstLine="496"/>
        <w:spacing w:line="420" w:lineRule="exact"/>
        <w:rPr>
          <w:rFonts w:hint="eastAsia" w:ascii="宋体" w:hAnsi="宋体" w:cs="宋体"/>
          <w:sz w:val="28"/>
          <w:szCs w:val="28"/>
        </w:rPr>
      </w:pPr>
      <w:r>
        <w:rPr>
          <w:rFonts w:hint="eastAsia" w:ascii="宋体" w:hAnsi="宋体" w:cs="宋体"/>
          <w:sz w:val="28"/>
          <w:szCs w:val="28"/>
        </w:rPr>
      </w:r>
      <w:r/>
    </w:p>
    <w:p>
      <w:pPr>
        <w:pStyle w:val="658"/>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658"/>
        <w:ind w:firstLine="496"/>
        <w:spacing w:line="420" w:lineRule="exact"/>
        <w:rPr>
          <w:rFonts w:ascii="宋体" w:hAnsi="宋体" w:cs="宋体"/>
          <w:sz w:val="28"/>
          <w:szCs w:val="28"/>
        </w:rPr>
      </w:pPr>
      <w:r>
        <w:rPr>
          <w:rFonts w:ascii="宋体" w:hAnsi="宋体" w:cs="宋体"/>
          <w:sz w:val="28"/>
          <w:szCs w:val="28"/>
        </w:rPr>
      </w:r>
      <w:r/>
    </w:p>
    <w:p>
      <w:pPr>
        <w:pStyle w:val="658"/>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t xml:space="preserve">注：1、供应商如不提供此声明函，价格将不做相应扣除。</w:t>
      </w:r>
      <w:r/>
    </w:p>
    <w:p>
      <w:pPr>
        <w:pStyle w:val="658"/>
        <w:ind w:firstLine="560"/>
        <w:spacing w:line="300" w:lineRule="auto"/>
        <w:rPr>
          <w:rFonts w:hint="eastAsia"/>
          <w:sz w:val="28"/>
          <w:szCs w:val="28"/>
        </w:rPr>
        <w:outlineLvl w:val="0"/>
      </w:pPr>
      <w:r>
        <w:rPr>
          <w:rFonts w:hint="eastAsia"/>
          <w:sz w:val="28"/>
          <w:szCs w:val="28"/>
        </w:rPr>
        <w:t xml:space="preserve">2、成交供应商为监狱企业的，此声明函将随成交结果同时公告，</w:t>
      </w:r>
      <w:r/>
    </w:p>
    <w:p>
      <w:pPr>
        <w:pStyle w:val="658"/>
        <w:spacing w:line="300" w:lineRule="auto"/>
        <w:rPr>
          <w:rFonts w:hint="eastAsia"/>
          <w:sz w:val="28"/>
          <w:szCs w:val="28"/>
        </w:rPr>
        <w:outlineLvl w:val="0"/>
      </w:pPr>
      <w:r>
        <w:rPr>
          <w:rFonts w:hint="eastAsia"/>
          <w:sz w:val="28"/>
          <w:szCs w:val="28"/>
        </w:rPr>
        <w:t xml:space="preserve">接受社会监督。供应商按照本办法规定提供声明函内容不实的，属于</w:t>
      </w:r>
      <w:r/>
    </w:p>
    <w:p>
      <w:pPr>
        <w:pStyle w:val="658"/>
        <w:spacing w:line="300" w:lineRule="auto"/>
        <w:rPr>
          <w:rFonts w:hint="eastAsia"/>
          <w:sz w:val="28"/>
          <w:szCs w:val="28"/>
        </w:rPr>
        <w:outlineLvl w:val="0"/>
      </w:pPr>
      <w:r>
        <w:rPr>
          <w:rFonts w:hint="eastAsia"/>
          <w:sz w:val="28"/>
          <w:szCs w:val="28"/>
        </w:rPr>
        <w:t xml:space="preserve">提供虚假材料谋取中标、成交，依照《中华人民共和国政府采购法》</w:t>
      </w:r>
      <w:r/>
    </w:p>
    <w:p>
      <w:pPr>
        <w:pStyle w:val="658"/>
        <w:spacing w:line="300" w:lineRule="auto"/>
        <w:rPr>
          <w:rFonts w:hint="eastAsia"/>
          <w:sz w:val="28"/>
          <w:szCs w:val="28"/>
        </w:rPr>
        <w:outlineLvl w:val="0"/>
      </w:pPr>
      <w:r>
        <w:rPr>
          <w:rFonts w:hint="eastAsia"/>
          <w:sz w:val="28"/>
          <w:szCs w:val="28"/>
        </w:rPr>
        <w:t xml:space="preserve">等国家有关规定追究相应责任。</w:t>
      </w:r>
      <w:r/>
    </w:p>
    <w:p>
      <w:pPr>
        <w:pStyle w:val="658"/>
        <w:spacing w:line="300" w:lineRule="auto"/>
        <w:rPr>
          <w:rFonts w:hint="eastAsia"/>
          <w:sz w:val="28"/>
          <w:szCs w:val="28"/>
        </w:rPr>
        <w:outlineLvl w:val="0"/>
      </w:pPr>
      <w:r>
        <w:rPr>
          <w:rFonts w:hint="eastAsia"/>
          <w:sz w:val="28"/>
          <w:szCs w:val="28"/>
        </w:rPr>
      </w:r>
      <w:r/>
    </w:p>
    <w:p>
      <w:pPr>
        <w:pStyle w:val="658"/>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20" w:lineRule="exact"/>
        <w:rPr>
          <w:rFonts w:eastAsia="方正黑体_GBK"/>
          <w:sz w:val="32"/>
          <w:szCs w:val="32"/>
        </w:rPr>
        <w:outlineLvl w:val="0"/>
      </w:pPr>
      <w:r>
        <w:rPr>
          <w:rFonts w:eastAsia="方正黑体_GBK"/>
          <w:sz w:val="32"/>
          <w:szCs w:val="32"/>
        </w:rPr>
        <w:t xml:space="preserve">附件13</w:t>
      </w:r>
      <w:r/>
    </w:p>
    <w:p>
      <w:pPr>
        <w:pStyle w:val="658"/>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8"/>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8"/>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8"/>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300" w:lineRule="auto"/>
        <w:rPr>
          <w:rFonts w:hint="eastAsia" w:ascii="仿宋_GB2312" w:eastAsia="仿宋_GB2312"/>
          <w:b/>
          <w:sz w:val="32"/>
          <w:szCs w:val="32"/>
        </w:rPr>
        <w:outlineLvl w:val="0"/>
      </w:pPr>
      <w:r>
        <w:rPr>
          <w:rFonts w:eastAsia="方正黑体_GBK"/>
          <w:sz w:val="32"/>
          <w:szCs w:val="32"/>
        </w:rPr>
        <w:t xml:space="preserve">附件</w:t>
      </w:r>
      <w:r>
        <w:rPr>
          <w:rFonts w:hint="eastAsia" w:eastAsia="方正黑体_GBK"/>
          <w:sz w:val="32"/>
          <w:szCs w:val="32"/>
        </w:rPr>
        <w:t xml:space="preserve">14</w:t>
      </w:r>
      <w:r>
        <w:rPr>
          <w:rFonts w:hint="eastAsia" w:ascii="仿宋_GB2312" w:eastAsia="仿宋_GB2312"/>
          <w:b/>
          <w:sz w:val="32"/>
          <w:szCs w:val="32"/>
        </w:rPr>
      </w:r>
      <w:r/>
    </w:p>
    <w:p>
      <w:pPr>
        <w:pStyle w:val="658"/>
        <w:jc w:val="center"/>
        <w:spacing w:line="580" w:lineRule="exact"/>
        <w:rPr>
          <w:rFonts w:eastAsia="方正大标宋_GBK"/>
          <w:bCs/>
          <w:sz w:val="44"/>
          <w:szCs w:val="44"/>
        </w:rPr>
      </w:pPr>
      <w:r>
        <w:rPr>
          <w:rFonts w:hint="eastAsia" w:eastAsia="方正大标宋_GBK"/>
          <w:bCs/>
          <w:sz w:val="44"/>
          <w:szCs w:val="44"/>
        </w:rPr>
        <w:t xml:space="preserve">办理政采贷和</w:t>
      </w:r>
      <w:r>
        <w:rPr>
          <w:rFonts w:eastAsia="方正大标宋_GBK"/>
          <w:bCs/>
          <w:sz w:val="44"/>
          <w:szCs w:val="44"/>
        </w:rPr>
        <w:t xml:space="preserve">履</w:t>
      </w:r>
      <w:r>
        <w:rPr>
          <w:rFonts w:hint="eastAsia" w:eastAsia="方正大标宋_GBK"/>
          <w:bCs/>
          <w:sz w:val="44"/>
          <w:szCs w:val="44"/>
        </w:rPr>
        <w:t xml:space="preserve">约保函（</w:t>
      </w:r>
      <w:r>
        <w:rPr>
          <w:rFonts w:eastAsia="方正大标宋_GBK"/>
          <w:bCs/>
          <w:sz w:val="44"/>
          <w:szCs w:val="44"/>
        </w:rPr>
        <w:t xml:space="preserve">保险</w:t>
      </w:r>
      <w:r>
        <w:rPr>
          <w:rFonts w:hint="eastAsia" w:eastAsia="方正大标宋_GBK"/>
          <w:bCs/>
          <w:sz w:val="44"/>
          <w:szCs w:val="44"/>
        </w:rPr>
        <w:t xml:space="preserve">）告知函</w:t>
      </w:r>
      <w:r>
        <w:rPr>
          <w:rFonts w:eastAsia="方正大标宋_GBK"/>
          <w:bCs/>
          <w:sz w:val="44"/>
          <w:szCs w:val="44"/>
        </w:rPr>
      </w:r>
      <w:r/>
    </w:p>
    <w:p>
      <w:pPr>
        <w:pStyle w:val="658"/>
        <w:rPr>
          <w:rFonts w:eastAsia="仿宋_GB2312"/>
          <w:sz w:val="32"/>
        </w:rPr>
      </w:pPr>
      <w:r>
        <w:rPr>
          <w:rFonts w:eastAsia="仿宋_GB2312"/>
          <w:sz w:val="32"/>
        </w:rPr>
      </w:r>
      <w:r/>
    </w:p>
    <w:p>
      <w:pPr>
        <w:pStyle w:val="658"/>
        <w:rPr>
          <w:rFonts w:eastAsia="仿宋_GB2312"/>
          <w:sz w:val="32"/>
        </w:rPr>
      </w:pPr>
      <w:r>
        <w:rPr>
          <w:rFonts w:hint="eastAsia" w:eastAsia="仿宋_GB2312"/>
          <w:sz w:val="32"/>
        </w:rPr>
        <w:t xml:space="preserve">各政府采购供应商：</w:t>
      </w:r>
      <w:r>
        <w:rPr>
          <w:rFonts w:eastAsia="仿宋_GB2312"/>
          <w:sz w:val="32"/>
        </w:rPr>
      </w:r>
      <w:r/>
    </w:p>
    <w:p>
      <w:pPr>
        <w:pStyle w:val="658"/>
        <w:ind w:firstLine="640"/>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658"/>
        <w:ind w:firstLine="640"/>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658"/>
        <w:ind w:firstLine="640"/>
        <w:spacing w:line="580" w:lineRule="exact"/>
        <w:rPr>
          <w:rFonts w:eastAsia="仿宋_GB2312"/>
          <w:sz w:val="32"/>
          <w:szCs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szCs w:val="32"/>
        </w:rPr>
      </w:r>
      <w:r/>
    </w:p>
    <w:p>
      <w:pPr>
        <w:pStyle w:val="658"/>
        <w:ind w:firstLine="560"/>
        <w:jc w:val="left"/>
        <w:widowControl/>
        <w:rPr>
          <w:rFonts w:hint="eastAsia"/>
          <w:sz w:val="28"/>
          <w:szCs w:val="28"/>
        </w:rPr>
      </w:pPr>
      <w:r>
        <w:rPr>
          <w:rFonts w:hint="eastAsia"/>
          <w:sz w:val="28"/>
          <w:szCs w:val="28"/>
        </w:rPr>
      </w:r>
      <w:r/>
    </w:p>
    <w:p>
      <w:pPr>
        <w:pStyle w:val="658"/>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p>
    <w:p>
      <w:pPr>
        <w:pStyle w:val="658"/>
        <w:jc w:val="center"/>
        <w:spacing w:line="560" w:lineRule="exact"/>
      </w:pPr>
      <w:r/>
      <w:r/>
    </w:p>
    <w:p>
      <w:pPr>
        <w:pStyle w:val="658"/>
        <w:ind w:firstLine="720"/>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rPr>
          <w:rFonts w:ascii="仿宋" w:hAnsi="仿宋" w:eastAsia="仿宋"/>
          <w:sz w:val="32"/>
        </w:rPr>
      </w:pPr>
      <w:r/>
      <w:bookmarkEnd w:id="167"/>
      <w:r/>
      <w:bookmarkEnd w:id="168"/>
      <w:r/>
      <w:bookmarkEnd w:id="172"/>
      <w:r/>
      <w:bookmarkEnd w:id="173"/>
      <w:r/>
      <w:bookmarkEnd w:id="174"/>
      <w:r>
        <w:rPr>
          <w:rFonts w:hint="eastAsia" w:ascii="仿宋" w:hAnsi="仿宋" w:eastAsia="仿宋"/>
          <w:sz w:val="32"/>
        </w:rPr>
        <w:t xml:space="preserve">附件15:</w:t>
      </w:r>
      <w:r>
        <w:rPr>
          <w:rFonts w:ascii="仿宋" w:hAnsi="仿宋" w:eastAsia="仿宋"/>
          <w:sz w:val="32"/>
        </w:rPr>
      </w:r>
      <w:r/>
    </w:p>
    <w:p>
      <w:pPr>
        <w:pStyle w:val="658"/>
        <w:rPr>
          <w:rFonts w:ascii="仿宋" w:hAnsi="仿宋" w:eastAsia="仿宋"/>
          <w:sz w:val="24"/>
        </w:rPr>
      </w:pPr>
      <w:r>
        <w:rPr>
          <w:rFonts w:ascii="仿宋" w:hAnsi="仿宋" w:eastAsia="仿宋"/>
          <w:sz w:val="24"/>
        </w:rPr>
      </w:r>
      <w:r/>
    </w:p>
    <w:p>
      <w:pPr>
        <w:pStyle w:val="658"/>
        <w:jc w:val="center"/>
        <w:rPr>
          <w:rFonts w:ascii="仿宋" w:hAnsi="仿宋" w:eastAsia="仿宋"/>
          <w:b/>
          <w:bCs/>
          <w:sz w:val="48"/>
          <w:szCs w:val="48"/>
        </w:rPr>
      </w:pPr>
      <w:r>
        <w:rPr>
          <w:rFonts w:hint="eastAsia" w:ascii="仿宋" w:hAnsi="仿宋" w:eastAsia="仿宋"/>
          <w:b/>
          <w:bCs/>
          <w:sz w:val="48"/>
          <w:szCs w:val="48"/>
        </w:rPr>
        <w:t xml:space="preserve">海安市政府采购合同融资政策告知函</w:t>
      </w:r>
      <w:r>
        <w:rPr>
          <w:rFonts w:ascii="仿宋" w:hAnsi="仿宋" w:eastAsia="仿宋"/>
          <w:b/>
          <w:bCs/>
          <w:sz w:val="48"/>
          <w:szCs w:val="48"/>
        </w:rPr>
      </w:r>
      <w:r/>
    </w:p>
    <w:p>
      <w:pPr>
        <w:pStyle w:val="658"/>
        <w:rPr>
          <w:rFonts w:ascii="仿宋" w:hAnsi="仿宋" w:eastAsia="仿宋"/>
          <w:sz w:val="32"/>
          <w:szCs w:val="32"/>
        </w:rPr>
      </w:pPr>
      <w:r>
        <w:rPr>
          <w:rFonts w:ascii="仿宋" w:hAnsi="仿宋" w:eastAsia="仿宋"/>
          <w:sz w:val="32"/>
          <w:szCs w:val="32"/>
        </w:rPr>
      </w:r>
      <w:r/>
    </w:p>
    <w:p>
      <w:pPr>
        <w:pStyle w:val="658"/>
        <w:spacing w:line="300" w:lineRule="auto"/>
        <w:rPr>
          <w:rFonts w:ascii="仿宋" w:hAnsi="仿宋" w:eastAsia="仿宋"/>
          <w:sz w:val="32"/>
          <w:szCs w:val="32"/>
        </w:rPr>
        <w:outlineLvl w:val="0"/>
      </w:pPr>
      <w:r>
        <w:rPr>
          <w:rFonts w:hint="eastAsia" w:ascii="仿宋" w:hAnsi="仿宋" w:eastAsia="仿宋"/>
          <w:sz w:val="32"/>
          <w:szCs w:val="32"/>
        </w:rPr>
        <w:t xml:space="preserve">各政府采购供应商：</w:t>
      </w:r>
      <w:r>
        <w:rPr>
          <w:rFonts w:ascii="仿宋" w:hAnsi="仿宋" w:eastAsia="仿宋"/>
          <w:sz w:val="32"/>
          <w:szCs w:val="32"/>
        </w:rPr>
      </w:r>
      <w:r/>
    </w:p>
    <w:p>
      <w:pPr>
        <w:pStyle w:val="658"/>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欢迎贵公司参与南通市政府采购活动！</w:t>
      </w:r>
      <w:r>
        <w:rPr>
          <w:rFonts w:ascii="仿宋" w:hAnsi="仿宋" w:eastAsia="仿宋"/>
          <w:sz w:val="32"/>
          <w:szCs w:val="32"/>
        </w:rPr>
      </w:r>
      <w:r/>
    </w:p>
    <w:p>
      <w:pPr>
        <w:pStyle w:val="658"/>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rPr>
          <w:rFonts w:ascii="仿宋" w:hAnsi="仿宋" w:eastAsia="仿宋"/>
          <w:sz w:val="32"/>
          <w:szCs w:val="32"/>
        </w:rPr>
      </w:r>
      <w:r/>
    </w:p>
    <w:p>
      <w:pPr>
        <w:pStyle w:val="658"/>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提供贷款的金融机构，可在江苏省政府采购网-“政采贷”模块查询联系。</w:t>
      </w:r>
      <w:r>
        <w:rPr>
          <w:rFonts w:ascii="仿宋" w:hAnsi="仿宋" w:eastAsia="仿宋"/>
          <w:sz w:val="32"/>
          <w:szCs w:val="32"/>
        </w:rPr>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Cambria Math">
    <w:panose1 w:val="02040503050406030204"/>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９１</w:t>
    </w:r>
    <w:r>
      <w:rPr>
        <w:rFonts w:ascii="宋体" w:hAnsi="宋体"/>
      </w:rPr>
      <w:fldChar w:fldCharType="end"/>
    </w:r>
    <w:r>
      <w:rPr>
        <w:rStyle w:val="732"/>
        <w:rFonts w:ascii="宋体" w:hAnsi="宋体"/>
      </w:rPr>
    </w:r>
    <w:r/>
  </w:p>
  <w:p>
    <w:pPr>
      <w:pStyle w:val="70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8"/>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5"/>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2"/>
      <w:lang w:val="en-US" w:eastAsia="zh-CN" w:bidi="ar-SA"/>
    </w:rPr>
  </w:style>
  <w:style w:type="paragraph" w:styleId="659">
    <w:name w:val="标题 1"/>
    <w:basedOn w:val="658"/>
    <w:next w:val="658"/>
    <w:link w:val="671"/>
    <w:qFormat/>
    <w:pPr>
      <w:jc w:val="center"/>
      <w:keepNext/>
      <w:outlineLvl w:val="0"/>
    </w:pPr>
    <w:rPr>
      <w:rFonts w:ascii="楷体_GB2312" w:eastAsia="楷体_GB2312"/>
      <w:sz w:val="28"/>
      <w:szCs w:val="28"/>
      <w:lang w:val="en-US" w:eastAsia="en-US"/>
    </w:rPr>
  </w:style>
  <w:style w:type="paragraph" w:styleId="660">
    <w:name w:val="标题 2"/>
    <w:basedOn w:val="658"/>
    <w:next w:val="673"/>
    <w:link w:val="67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61">
    <w:name w:val="标题 3"/>
    <w:basedOn w:val="658"/>
    <w:next w:val="673"/>
    <w:link w:val="675"/>
    <w:qFormat/>
    <w:pPr>
      <w:keepLines/>
      <w:keepNext/>
      <w:spacing w:before="260" w:after="260" w:line="416" w:lineRule="auto"/>
      <w:outlineLvl w:val="2"/>
    </w:pPr>
    <w:rPr>
      <w:b/>
      <w:bCs/>
      <w:sz w:val="32"/>
      <w:szCs w:val="32"/>
      <w:lang w:val="en-US" w:eastAsia="en-US"/>
    </w:rPr>
  </w:style>
  <w:style w:type="paragraph" w:styleId="662">
    <w:name w:val="标题 4"/>
    <w:basedOn w:val="658"/>
    <w:next w:val="673"/>
    <w:link w:val="676"/>
    <w:qFormat/>
    <w:pPr>
      <w:keepLines/>
      <w:keepNext/>
      <w:spacing w:before="280" w:after="290" w:line="376" w:lineRule="auto"/>
      <w:outlineLvl w:val="3"/>
    </w:pPr>
    <w:rPr>
      <w:rFonts w:ascii="Arial" w:hAnsi="Arial" w:eastAsia="黑体"/>
      <w:b/>
      <w:bCs/>
      <w:sz w:val="28"/>
      <w:szCs w:val="28"/>
      <w:lang w:val="en-US" w:eastAsia="en-US"/>
    </w:rPr>
  </w:style>
  <w:style w:type="paragraph" w:styleId="663">
    <w:name w:val="标题 5"/>
    <w:basedOn w:val="658"/>
    <w:next w:val="673"/>
    <w:link w:val="677"/>
    <w:qFormat/>
    <w:pPr>
      <w:keepNext/>
      <w:outlineLvl w:val="4"/>
    </w:pPr>
    <w:rPr>
      <w:rFonts w:ascii="宋体"/>
      <w:color w:val="000000"/>
      <w:sz w:val="28"/>
      <w:szCs w:val="28"/>
      <w:lang w:val="en-US" w:eastAsia="en-US"/>
    </w:rPr>
  </w:style>
  <w:style w:type="paragraph" w:styleId="664">
    <w:name w:val="标题 6"/>
    <w:basedOn w:val="658"/>
    <w:next w:val="658"/>
    <w:link w:val="67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5">
    <w:name w:val="标题 7"/>
    <w:basedOn w:val="658"/>
    <w:next w:val="658"/>
    <w:link w:val="679"/>
    <w:qFormat/>
    <w:pPr>
      <w:numPr>
        <w:ilvl w:val="6"/>
        <w:numId w:val="1"/>
      </w:numPr>
      <w:keepLines/>
      <w:keepNext/>
      <w:spacing w:before="240" w:after="64" w:line="320" w:lineRule="auto"/>
      <w:outlineLvl w:val="6"/>
    </w:pPr>
    <w:rPr>
      <w:b/>
      <w:bCs/>
      <w:sz w:val="24"/>
      <w:szCs w:val="24"/>
      <w:lang w:val="en-US" w:eastAsia="en-US"/>
    </w:rPr>
  </w:style>
  <w:style w:type="paragraph" w:styleId="666">
    <w:name w:val="标题 8"/>
    <w:basedOn w:val="658"/>
    <w:next w:val="658"/>
    <w:link w:val="68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7">
    <w:name w:val="标题 9"/>
    <w:basedOn w:val="658"/>
    <w:next w:val="658"/>
    <w:link w:val="681"/>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numbering" w:styleId="670">
    <w:name w:val="无列表"/>
    <w:next w:val="670"/>
    <w:link w:val="658"/>
    <w:uiPriority w:val="99"/>
    <w:semiHidden/>
    <w:unhideWhenUsed/>
  </w:style>
  <w:style w:type="character" w:styleId="671">
    <w:name w:val="标题 1 Char"/>
    <w:next w:val="671"/>
    <w:link w:val="659"/>
    <w:rPr>
      <w:rFonts w:ascii="楷体_GB2312" w:hAnsi="Times New Roman" w:eastAsia="楷体_GB2312" w:cs="Times New Roman"/>
      <w:sz w:val="28"/>
      <w:szCs w:val="28"/>
    </w:rPr>
  </w:style>
  <w:style w:type="character" w:styleId="672">
    <w:name w:val="标题 2 Char"/>
    <w:next w:val="672"/>
    <w:link w:val="660"/>
    <w:rPr>
      <w:rFonts w:ascii="Arial" w:hAnsi="Arial" w:eastAsia="幼圆" w:cs="Arial"/>
      <w:b/>
      <w:bCs/>
      <w:sz w:val="44"/>
      <w:szCs w:val="44"/>
    </w:rPr>
  </w:style>
  <w:style w:type="paragraph" w:styleId="673">
    <w:name w:val="正文缩进"/>
    <w:basedOn w:val="658"/>
    <w:next w:val="673"/>
    <w:link w:val="674"/>
    <w:pPr>
      <w:ind w:firstLine="420"/>
    </w:pPr>
    <w:rPr>
      <w:sz w:val="20"/>
      <w:szCs w:val="21"/>
      <w:lang w:val="en-US" w:eastAsia="en-US"/>
    </w:rPr>
  </w:style>
  <w:style w:type="character" w:styleId="674">
    <w:name w:val="正文缩进 Char"/>
    <w:next w:val="674"/>
    <w:link w:val="673"/>
    <w:rPr>
      <w:szCs w:val="21"/>
    </w:rPr>
  </w:style>
  <w:style w:type="character" w:styleId="675">
    <w:name w:val="标题 3 Char"/>
    <w:next w:val="675"/>
    <w:link w:val="661"/>
    <w:rPr>
      <w:rFonts w:ascii="Times New Roman" w:hAnsi="Times New Roman" w:eastAsia="宋体" w:cs="Times New Roman"/>
      <w:b/>
      <w:bCs/>
      <w:sz w:val="32"/>
      <w:szCs w:val="32"/>
    </w:rPr>
  </w:style>
  <w:style w:type="character" w:styleId="676">
    <w:name w:val="标题 4 Char"/>
    <w:next w:val="676"/>
    <w:link w:val="662"/>
    <w:rPr>
      <w:rFonts w:ascii="Arial" w:hAnsi="Arial" w:eastAsia="黑体" w:cs="Arial"/>
      <w:b/>
      <w:bCs/>
      <w:sz w:val="28"/>
      <w:szCs w:val="28"/>
    </w:rPr>
  </w:style>
  <w:style w:type="character" w:styleId="677">
    <w:name w:val="标题 5 Char"/>
    <w:next w:val="677"/>
    <w:link w:val="663"/>
    <w:rPr>
      <w:rFonts w:ascii="宋体" w:hAnsi="Times New Roman" w:eastAsia="宋体" w:cs="Times New Roman"/>
      <w:color w:val="000000"/>
      <w:sz w:val="28"/>
      <w:szCs w:val="28"/>
    </w:rPr>
  </w:style>
  <w:style w:type="character" w:styleId="678">
    <w:name w:val="标题 6 Char"/>
    <w:next w:val="678"/>
    <w:link w:val="664"/>
    <w:rPr>
      <w:rFonts w:ascii="Arial" w:hAnsi="Arial" w:eastAsia="黑体" w:cs="Times New Roman"/>
      <w:b/>
      <w:bCs/>
      <w:sz w:val="24"/>
      <w:szCs w:val="24"/>
    </w:rPr>
  </w:style>
  <w:style w:type="character" w:styleId="679">
    <w:name w:val="标题 7 Char"/>
    <w:next w:val="679"/>
    <w:link w:val="665"/>
    <w:rPr>
      <w:rFonts w:ascii="Times New Roman" w:hAnsi="Times New Roman" w:eastAsia="宋体" w:cs="Times New Roman"/>
      <w:b/>
      <w:bCs/>
      <w:sz w:val="24"/>
      <w:szCs w:val="24"/>
    </w:rPr>
  </w:style>
  <w:style w:type="character" w:styleId="680">
    <w:name w:val="标题 8 Char"/>
    <w:next w:val="680"/>
    <w:link w:val="666"/>
    <w:rPr>
      <w:rFonts w:ascii="Arial" w:hAnsi="Arial" w:eastAsia="黑体" w:cs="Times New Roman"/>
      <w:sz w:val="24"/>
      <w:szCs w:val="24"/>
    </w:rPr>
  </w:style>
  <w:style w:type="character" w:styleId="681">
    <w:name w:val="标题 9 Char"/>
    <w:next w:val="681"/>
    <w:link w:val="667"/>
    <w:rPr>
      <w:rFonts w:ascii="Arial" w:hAnsi="Arial" w:eastAsia="黑体" w:cs="Times New Roman"/>
      <w:szCs w:val="21"/>
    </w:rPr>
  </w:style>
  <w:style w:type="paragraph" w:styleId="682">
    <w:name w:val="列表 3"/>
    <w:basedOn w:val="658"/>
    <w:next w:val="682"/>
    <w:link w:val="658"/>
    <w:pPr>
      <w:ind w:left="100" w:hanging="200"/>
    </w:pPr>
    <w:rPr>
      <w:rFonts w:ascii="Times New Roman" w:hAnsi="Times New Roman" w:eastAsia="宋体" w:cs="Times New Roman"/>
      <w:szCs w:val="21"/>
    </w:rPr>
  </w:style>
  <w:style w:type="paragraph" w:styleId="683">
    <w:name w:val="目录 7"/>
    <w:basedOn w:val="658"/>
    <w:next w:val="658"/>
    <w:link w:val="658"/>
    <w:semiHidden/>
    <w:pPr>
      <w:ind w:left="1260"/>
      <w:jc w:val="left"/>
    </w:pPr>
    <w:rPr>
      <w:rFonts w:ascii="Times New Roman" w:hAnsi="Times New Roman" w:eastAsia="宋体" w:cs="Times New Roman"/>
      <w:szCs w:val="21"/>
    </w:rPr>
  </w:style>
  <w:style w:type="paragraph" w:styleId="684">
    <w:name w:val="文档结构图"/>
    <w:basedOn w:val="658"/>
    <w:next w:val="684"/>
    <w:link w:val="685"/>
    <w:semiHidden/>
    <w:pPr>
      <w:shd w:val="clear" w:color="auto" w:fill="000080"/>
    </w:pPr>
    <w:rPr>
      <w:sz w:val="20"/>
      <w:szCs w:val="21"/>
      <w:lang w:val="en-US" w:eastAsia="en-US"/>
    </w:rPr>
  </w:style>
  <w:style w:type="character" w:styleId="685">
    <w:name w:val="文档结构图 Char"/>
    <w:next w:val="685"/>
    <w:link w:val="684"/>
    <w:semiHidden/>
    <w:rPr>
      <w:rFonts w:ascii="Times New Roman" w:hAnsi="Times New Roman" w:eastAsia="宋体" w:cs="Times New Roman"/>
      <w:szCs w:val="21"/>
      <w:shd w:val="clear" w:color="auto" w:fill="000080"/>
    </w:rPr>
  </w:style>
  <w:style w:type="paragraph" w:styleId="686">
    <w:name w:val="批注文字"/>
    <w:basedOn w:val="658"/>
    <w:next w:val="686"/>
    <w:link w:val="687"/>
    <w:unhideWhenUsed/>
    <w:pPr>
      <w:jc w:val="left"/>
    </w:pPr>
  </w:style>
  <w:style w:type="character" w:styleId="687">
    <w:name w:val="批注文字 Char"/>
    <w:basedOn w:val="668"/>
    <w:next w:val="687"/>
    <w:link w:val="686"/>
    <w:uiPriority w:val="99"/>
    <w:semiHidden/>
  </w:style>
  <w:style w:type="paragraph" w:styleId="688">
    <w:name w:val="正文文本 3"/>
    <w:basedOn w:val="658"/>
    <w:next w:val="688"/>
    <w:link w:val="689"/>
    <w:rPr>
      <w:rFonts w:ascii="仿宋_GB2312" w:hAnsi="Arial" w:eastAsia="仿宋_GB2312"/>
      <w:sz w:val="32"/>
      <w:szCs w:val="32"/>
      <w:lang w:val="en-US" w:eastAsia="en-US"/>
    </w:rPr>
  </w:style>
  <w:style w:type="character" w:styleId="689">
    <w:name w:val="正文文本 3 Char"/>
    <w:next w:val="689"/>
    <w:link w:val="688"/>
    <w:rPr>
      <w:rFonts w:ascii="仿宋_GB2312" w:hAnsi="Arial" w:eastAsia="仿宋_GB2312" w:cs="Times New Roman"/>
      <w:sz w:val="32"/>
      <w:szCs w:val="32"/>
    </w:rPr>
  </w:style>
  <w:style w:type="paragraph" w:styleId="690">
    <w:name w:val="正文文本"/>
    <w:basedOn w:val="658"/>
    <w:next w:val="690"/>
    <w:link w:val="691"/>
    <w:rPr>
      <w:rFonts w:ascii="楷体_GB2312" w:hAnsi="Arial" w:eastAsia="楷体_GB2312"/>
      <w:sz w:val="28"/>
      <w:szCs w:val="28"/>
      <w:lang w:val="en-US" w:eastAsia="en-US"/>
    </w:rPr>
  </w:style>
  <w:style w:type="character" w:styleId="691">
    <w:name w:val="正文文本 Char"/>
    <w:next w:val="691"/>
    <w:link w:val="690"/>
    <w:rPr>
      <w:rFonts w:ascii="楷体_GB2312" w:hAnsi="Arial" w:eastAsia="楷体_GB2312" w:cs="Times New Roman"/>
      <w:sz w:val="28"/>
      <w:szCs w:val="28"/>
    </w:rPr>
  </w:style>
  <w:style w:type="paragraph" w:styleId="692">
    <w:name w:val="正文文本缩进"/>
    <w:basedOn w:val="658"/>
    <w:next w:val="692"/>
    <w:link w:val="693"/>
    <w:unhideWhenUsed/>
    <w:pPr>
      <w:ind w:left="420"/>
      <w:spacing w:after="120"/>
    </w:pPr>
  </w:style>
  <w:style w:type="character" w:styleId="693">
    <w:name w:val="正文文本缩进 Char"/>
    <w:basedOn w:val="668"/>
    <w:next w:val="693"/>
    <w:link w:val="692"/>
    <w:uiPriority w:val="99"/>
    <w:semiHidden/>
  </w:style>
  <w:style w:type="paragraph" w:styleId="694">
    <w:name w:val="列表 2"/>
    <w:basedOn w:val="658"/>
    <w:next w:val="694"/>
    <w:link w:val="658"/>
    <w:pPr>
      <w:ind w:left="100" w:hanging="200"/>
    </w:pPr>
    <w:rPr>
      <w:rFonts w:ascii="Times New Roman" w:hAnsi="Times New Roman" w:eastAsia="宋体" w:cs="Times New Roman"/>
      <w:szCs w:val="21"/>
    </w:rPr>
  </w:style>
  <w:style w:type="paragraph" w:styleId="695">
    <w:name w:val="文本块"/>
    <w:basedOn w:val="658"/>
    <w:next w:val="695"/>
    <w:link w:val="658"/>
    <w:uiPriority w:val="99"/>
    <w:unhideWhenUsed/>
    <w:qFormat/>
    <w:pPr>
      <w:ind w:left="1440" w:right="1440"/>
      <w:spacing w:after="120"/>
    </w:pPr>
  </w:style>
  <w:style w:type="paragraph" w:styleId="696">
    <w:name w:val="目录 5"/>
    <w:basedOn w:val="658"/>
    <w:next w:val="658"/>
    <w:link w:val="658"/>
    <w:semiHidden/>
    <w:pPr>
      <w:ind w:left="840"/>
      <w:jc w:val="left"/>
    </w:pPr>
    <w:rPr>
      <w:rFonts w:ascii="Times New Roman" w:hAnsi="Times New Roman" w:eastAsia="宋体" w:cs="Times New Roman"/>
      <w:szCs w:val="21"/>
    </w:rPr>
  </w:style>
  <w:style w:type="paragraph" w:styleId="697">
    <w:name w:val="目录 3"/>
    <w:basedOn w:val="658"/>
    <w:next w:val="658"/>
    <w:link w:val="658"/>
    <w:semiHidden/>
    <w:pPr>
      <w:ind w:left="420"/>
      <w:jc w:val="left"/>
    </w:pPr>
    <w:rPr>
      <w:rFonts w:ascii="Times New Roman" w:hAnsi="Times New Roman" w:eastAsia="宋体" w:cs="Times New Roman"/>
      <w:i/>
      <w:iCs/>
      <w:szCs w:val="24"/>
    </w:rPr>
  </w:style>
  <w:style w:type="paragraph" w:styleId="698">
    <w:name w:val="纯文本"/>
    <w:basedOn w:val="658"/>
    <w:next w:val="698"/>
    <w:link w:val="699"/>
    <w:rPr>
      <w:rFonts w:ascii="宋体" w:hAnsi="Courier New"/>
      <w:sz w:val="20"/>
      <w:szCs w:val="21"/>
      <w:lang w:val="en-US" w:eastAsia="en-US"/>
    </w:rPr>
  </w:style>
  <w:style w:type="character" w:styleId="699">
    <w:name w:val="纯文本 Char"/>
    <w:next w:val="699"/>
    <w:link w:val="698"/>
    <w:rPr>
      <w:rFonts w:ascii="宋体" w:hAnsi="Courier New" w:eastAsia="宋体" w:cs="Courier New"/>
      <w:szCs w:val="21"/>
    </w:rPr>
  </w:style>
  <w:style w:type="paragraph" w:styleId="700">
    <w:name w:val="目录 8"/>
    <w:basedOn w:val="658"/>
    <w:next w:val="658"/>
    <w:link w:val="658"/>
    <w:semiHidden/>
    <w:pPr>
      <w:ind w:left="1470"/>
      <w:jc w:val="left"/>
    </w:pPr>
    <w:rPr>
      <w:rFonts w:ascii="Times New Roman" w:hAnsi="Times New Roman" w:eastAsia="宋体" w:cs="Times New Roman"/>
      <w:szCs w:val="21"/>
    </w:rPr>
  </w:style>
  <w:style w:type="paragraph" w:styleId="701">
    <w:name w:val="日期"/>
    <w:basedOn w:val="658"/>
    <w:next w:val="658"/>
    <w:link w:val="702"/>
    <w:rPr>
      <w:sz w:val="24"/>
      <w:szCs w:val="24"/>
      <w:lang w:val="en-US" w:eastAsia="en-US"/>
    </w:rPr>
  </w:style>
  <w:style w:type="character" w:styleId="702">
    <w:name w:val="日期 Char"/>
    <w:next w:val="702"/>
    <w:link w:val="701"/>
    <w:rPr>
      <w:rFonts w:ascii="Times New Roman" w:hAnsi="Times New Roman" w:eastAsia="宋体" w:cs="Times New Roman"/>
      <w:sz w:val="24"/>
      <w:szCs w:val="24"/>
    </w:rPr>
  </w:style>
  <w:style w:type="paragraph" w:styleId="703">
    <w:name w:val="正文文本缩进 2"/>
    <w:basedOn w:val="658"/>
    <w:next w:val="703"/>
    <w:link w:val="704"/>
    <w:pPr>
      <w:ind w:left="630" w:firstLine="645"/>
    </w:pPr>
    <w:rPr>
      <w:rFonts w:ascii="Arial" w:hAnsi="Arial" w:eastAsia="仿宋_GB2312"/>
      <w:sz w:val="32"/>
      <w:szCs w:val="32"/>
      <w:lang w:val="en-US" w:eastAsia="en-US"/>
    </w:rPr>
  </w:style>
  <w:style w:type="character" w:styleId="704">
    <w:name w:val="正文文本缩进 2 Char"/>
    <w:next w:val="704"/>
    <w:link w:val="703"/>
    <w:rPr>
      <w:rFonts w:ascii="Arial" w:hAnsi="Arial" w:eastAsia="仿宋_GB2312" w:cs="Arial"/>
      <w:sz w:val="32"/>
      <w:szCs w:val="32"/>
    </w:rPr>
  </w:style>
  <w:style w:type="paragraph" w:styleId="705">
    <w:name w:val="批注框文本"/>
    <w:basedOn w:val="658"/>
    <w:next w:val="705"/>
    <w:link w:val="706"/>
    <w:semiHidden/>
    <w:rPr>
      <w:sz w:val="18"/>
      <w:szCs w:val="18"/>
      <w:lang w:val="en-US" w:eastAsia="en-US"/>
    </w:rPr>
  </w:style>
  <w:style w:type="character" w:styleId="706">
    <w:name w:val="批注框文本 Char"/>
    <w:next w:val="706"/>
    <w:link w:val="705"/>
    <w:semiHidden/>
    <w:rPr>
      <w:rFonts w:ascii="Times New Roman" w:hAnsi="Times New Roman" w:eastAsia="宋体" w:cs="Times New Roman"/>
      <w:sz w:val="18"/>
      <w:szCs w:val="18"/>
    </w:rPr>
  </w:style>
  <w:style w:type="paragraph" w:styleId="707">
    <w:name w:val="页脚"/>
    <w:basedOn w:val="658"/>
    <w:next w:val="707"/>
    <w:link w:val="708"/>
    <w:pPr>
      <w:jc w:val="left"/>
      <w:tabs>
        <w:tab w:val="center" w:pos="4153" w:leader="none"/>
        <w:tab w:val="right" w:pos="8306" w:leader="none"/>
      </w:tabs>
    </w:pPr>
    <w:rPr>
      <w:sz w:val="18"/>
      <w:szCs w:val="18"/>
      <w:lang w:val="en-US" w:eastAsia="en-US"/>
    </w:rPr>
  </w:style>
  <w:style w:type="character" w:styleId="708">
    <w:name w:val="页脚 Char"/>
    <w:next w:val="708"/>
    <w:link w:val="707"/>
    <w:rPr>
      <w:rFonts w:ascii="Times New Roman" w:hAnsi="Times New Roman" w:eastAsia="宋体" w:cs="Times New Roman"/>
      <w:sz w:val="18"/>
      <w:szCs w:val="18"/>
    </w:rPr>
  </w:style>
  <w:style w:type="paragraph" w:styleId="709">
    <w:name w:val="页眉"/>
    <w:basedOn w:val="658"/>
    <w:next w:val="709"/>
    <w:link w:val="710"/>
    <w:pPr>
      <w:jc w:val="center"/>
      <w:tabs>
        <w:tab w:val="center" w:pos="4153" w:leader="none"/>
        <w:tab w:val="right" w:pos="8306" w:leader="none"/>
      </w:tabs>
      <w:pBdr>
        <w:bottom w:val="single" w:color="000000" w:sz="6" w:space="1"/>
      </w:pBdr>
    </w:pPr>
    <w:rPr>
      <w:sz w:val="18"/>
      <w:szCs w:val="18"/>
      <w:lang w:val="en-US" w:eastAsia="en-US"/>
    </w:rPr>
  </w:style>
  <w:style w:type="character" w:styleId="710">
    <w:name w:val="页眉 Char"/>
    <w:next w:val="710"/>
    <w:link w:val="709"/>
    <w:rPr>
      <w:rFonts w:ascii="Times New Roman" w:hAnsi="Times New Roman" w:eastAsia="宋体" w:cs="Times New Roman"/>
      <w:sz w:val="18"/>
      <w:szCs w:val="18"/>
    </w:rPr>
  </w:style>
  <w:style w:type="paragraph" w:styleId="711">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2">
    <w:name w:val="目录 4"/>
    <w:basedOn w:val="658"/>
    <w:next w:val="658"/>
    <w:link w:val="658"/>
    <w:semiHidden/>
    <w:pPr>
      <w:ind w:left="630"/>
      <w:jc w:val="left"/>
    </w:pPr>
    <w:rPr>
      <w:rFonts w:ascii="Times New Roman" w:hAnsi="Times New Roman" w:eastAsia="宋体" w:cs="Times New Roman"/>
      <w:szCs w:val="21"/>
    </w:rPr>
  </w:style>
  <w:style w:type="paragraph" w:styleId="713">
    <w:name w:val="列表"/>
    <w:basedOn w:val="658"/>
    <w:next w:val="713"/>
    <w:link w:val="658"/>
    <w:pPr>
      <w:ind w:left="200" w:hanging="200"/>
    </w:pPr>
    <w:rPr>
      <w:rFonts w:ascii="Times New Roman" w:hAnsi="Times New Roman" w:eastAsia="宋体" w:cs="Times New Roman"/>
      <w:szCs w:val="21"/>
    </w:rPr>
  </w:style>
  <w:style w:type="paragraph" w:styleId="714">
    <w:name w:val="目录 6"/>
    <w:basedOn w:val="658"/>
    <w:next w:val="658"/>
    <w:link w:val="658"/>
    <w:semiHidden/>
    <w:pPr>
      <w:ind w:left="1050"/>
      <w:jc w:val="left"/>
    </w:pPr>
    <w:rPr>
      <w:rFonts w:ascii="Times New Roman" w:hAnsi="Times New Roman" w:eastAsia="宋体" w:cs="Times New Roman"/>
      <w:szCs w:val="21"/>
    </w:rPr>
  </w:style>
  <w:style w:type="paragraph" w:styleId="715">
    <w:name w:val="正文文本缩进 3"/>
    <w:basedOn w:val="658"/>
    <w:next w:val="715"/>
    <w:link w:val="716"/>
    <w:pPr>
      <w:ind w:left="645" w:firstLine="645"/>
    </w:pPr>
    <w:rPr>
      <w:rFonts w:ascii="Arial" w:hAnsi="Arial" w:eastAsia="仿宋_GB2312"/>
      <w:color w:val="ffff00"/>
      <w:sz w:val="32"/>
      <w:szCs w:val="32"/>
      <w:lang w:val="en-US" w:eastAsia="en-US"/>
    </w:rPr>
  </w:style>
  <w:style w:type="character" w:styleId="716">
    <w:name w:val="正文文本缩进 3 Char"/>
    <w:next w:val="716"/>
    <w:link w:val="715"/>
    <w:rPr>
      <w:rFonts w:ascii="Arial" w:hAnsi="Arial" w:eastAsia="仿宋_GB2312" w:cs="Arial"/>
      <w:color w:val="ffff00"/>
      <w:sz w:val="32"/>
      <w:szCs w:val="32"/>
    </w:rPr>
  </w:style>
  <w:style w:type="paragraph" w:styleId="717">
    <w:name w:val="图表目录"/>
    <w:basedOn w:val="658"/>
    <w:next w:val="658"/>
    <w:link w:val="658"/>
    <w:semiHidden/>
    <w:pPr>
      <w:ind w:left="840" w:hanging="420"/>
    </w:pPr>
    <w:rPr>
      <w:rFonts w:ascii="Times New Roman" w:hAnsi="Times New Roman" w:eastAsia="宋体" w:cs="Times New Roman"/>
      <w:szCs w:val="21"/>
    </w:rPr>
  </w:style>
  <w:style w:type="paragraph" w:styleId="718">
    <w:name w:val="目录 2"/>
    <w:basedOn w:val="658"/>
    <w:next w:val="658"/>
    <w:link w:val="658"/>
    <w:semiHidden/>
    <w:pPr>
      <w:ind w:left="210"/>
      <w:jc w:val="left"/>
    </w:pPr>
    <w:rPr>
      <w:rFonts w:ascii="Times New Roman" w:hAnsi="Times New Roman" w:eastAsia="宋体" w:cs="Times New Roman"/>
      <w:smallCaps/>
      <w:szCs w:val="24"/>
    </w:rPr>
  </w:style>
  <w:style w:type="paragraph" w:styleId="719">
    <w:name w:val="目录 9"/>
    <w:basedOn w:val="658"/>
    <w:next w:val="658"/>
    <w:link w:val="658"/>
    <w:semiHidden/>
    <w:pPr>
      <w:ind w:left="1680"/>
      <w:jc w:val="left"/>
    </w:pPr>
    <w:rPr>
      <w:rFonts w:ascii="Times New Roman" w:hAnsi="Times New Roman" w:eastAsia="宋体" w:cs="Times New Roman"/>
      <w:szCs w:val="21"/>
    </w:rPr>
  </w:style>
  <w:style w:type="paragraph" w:styleId="720">
    <w:name w:val="正文文本 2"/>
    <w:basedOn w:val="658"/>
    <w:next w:val="720"/>
    <w:link w:val="721"/>
    <w:pPr>
      <w:jc w:val="center"/>
      <w:widowControl/>
    </w:pPr>
    <w:rPr>
      <w:rFonts w:ascii="楷体_GB2312" w:eastAsia="楷体_GB2312"/>
      <w:sz w:val="28"/>
      <w:szCs w:val="28"/>
      <w:lang w:val="en-US" w:eastAsia="en-US"/>
    </w:rPr>
  </w:style>
  <w:style w:type="character" w:styleId="721">
    <w:name w:val="正文文本 2 Char"/>
    <w:next w:val="721"/>
    <w:link w:val="720"/>
    <w:rPr>
      <w:rFonts w:ascii="楷体_GB2312" w:hAnsi="Times New Roman" w:eastAsia="楷体_GB2312" w:cs="Times New Roman"/>
      <w:sz w:val="28"/>
      <w:szCs w:val="28"/>
    </w:rPr>
  </w:style>
  <w:style w:type="paragraph" w:styleId="722">
    <w:name w:val="普通(网站)"/>
    <w:basedOn w:val="658"/>
    <w:next w:val="722"/>
    <w:link w:val="658"/>
    <w:uiPriority w:val="99"/>
    <w:pPr>
      <w:jc w:val="left"/>
      <w:spacing w:before="100" w:beforeAutospacing="1" w:after="100" w:afterAutospacing="1"/>
      <w:widowControl/>
    </w:pPr>
    <w:rPr>
      <w:rFonts w:ascii="宋体" w:hAnsi="宋体" w:eastAsia="宋体" w:cs="宋体"/>
      <w:sz w:val="24"/>
      <w:szCs w:val="24"/>
    </w:rPr>
  </w:style>
  <w:style w:type="paragraph" w:styleId="723">
    <w:name w:val="索引 1"/>
    <w:basedOn w:val="658"/>
    <w:next w:val="658"/>
    <w:link w:val="658"/>
    <w:semiHidden/>
    <w:pPr>
      <w:spacing w:line="240" w:lineRule="atLeast"/>
    </w:pPr>
    <w:rPr>
      <w:rFonts w:ascii="Times New Roman" w:hAnsi="Times New Roman" w:eastAsia="宋体" w:cs="Times New Roman"/>
      <w:b/>
      <w:bCs/>
      <w:szCs w:val="21"/>
    </w:rPr>
  </w:style>
  <w:style w:type="paragraph" w:styleId="724">
    <w:name w:val="批注主题"/>
    <w:basedOn w:val="686"/>
    <w:next w:val="686"/>
    <w:link w:val="725"/>
    <w:semiHidden/>
    <w:rPr>
      <w:b/>
      <w:bCs/>
      <w:sz w:val="20"/>
      <w:szCs w:val="21"/>
      <w:lang w:val="en-US" w:eastAsia="en-US"/>
    </w:rPr>
  </w:style>
  <w:style w:type="character" w:styleId="725">
    <w:name w:val="批注主题 Char"/>
    <w:next w:val="725"/>
    <w:link w:val="724"/>
    <w:semiHidden/>
    <w:rPr>
      <w:rFonts w:ascii="Times New Roman" w:hAnsi="Times New Roman" w:eastAsia="宋体" w:cs="Times New Roman"/>
      <w:b/>
      <w:bCs/>
      <w:szCs w:val="21"/>
    </w:rPr>
  </w:style>
  <w:style w:type="paragraph" w:styleId="726">
    <w:name w:val="正文首行缩进"/>
    <w:basedOn w:val="658"/>
    <w:next w:val="726"/>
    <w:link w:val="727"/>
    <w:pPr>
      <w:ind w:firstLine="200"/>
      <w:spacing w:line="360" w:lineRule="auto"/>
    </w:pPr>
    <w:rPr>
      <w:rFonts w:ascii="仿宋_GB2312" w:eastAsia="仿宋_GB2312"/>
      <w:sz w:val="30"/>
      <w:szCs w:val="30"/>
      <w:lang w:val="en-US" w:eastAsia="en-US"/>
    </w:rPr>
  </w:style>
  <w:style w:type="character" w:styleId="727">
    <w:name w:val="正文首行缩进 Char"/>
    <w:next w:val="727"/>
    <w:link w:val="726"/>
    <w:rPr>
      <w:rFonts w:ascii="仿宋_GB2312" w:hAnsi="Times New Roman" w:eastAsia="仿宋_GB2312" w:cs="Times New Roman"/>
      <w:sz w:val="30"/>
      <w:szCs w:val="30"/>
    </w:rPr>
  </w:style>
  <w:style w:type="paragraph" w:styleId="728">
    <w:name w:val="正文首行缩进 2"/>
    <w:basedOn w:val="692"/>
    <w:next w:val="728"/>
    <w:link w:val="729"/>
    <w:pPr>
      <w:ind w:left="0" w:firstLine="420"/>
      <w:spacing w:after="0" w:line="360" w:lineRule="auto"/>
    </w:pPr>
    <w:rPr>
      <w:rFonts w:ascii="宋体" w:hAnsi="宋体"/>
      <w:sz w:val="20"/>
      <w:szCs w:val="20"/>
      <w:lang w:val="en-US" w:eastAsia="en-US"/>
    </w:rPr>
  </w:style>
  <w:style w:type="character" w:styleId="729">
    <w:name w:val="正文首行缩进 2 Char"/>
    <w:next w:val="729"/>
    <w:link w:val="728"/>
    <w:rPr>
      <w:rFonts w:ascii="宋体" w:hAnsi="宋体" w:eastAsia="宋体" w:cs="Times New Roman"/>
      <w:szCs w:val="20"/>
    </w:rPr>
  </w:style>
  <w:style w:type="table" w:styleId="730">
    <w:name w:val="网格型"/>
    <w:basedOn w:val="669"/>
    <w:next w:val="730"/>
    <w:link w:val="658"/>
    <w:pPr>
      <w:jc w:val="both"/>
      <w:widowControl w:val="off"/>
    </w:pPr>
    <w:rPr>
      <w:rFonts w:ascii="Times New Roman" w:hAnsi="Times New Roman" w:eastAsia="宋体" w:cs="Times New Roman"/>
      <w:sz w:val="20"/>
      <w:szCs w:val="20"/>
    </w:rPr>
    <w:tblPr/>
  </w:style>
  <w:style w:type="character" w:styleId="731">
    <w:name w:val="要点"/>
    <w:next w:val="731"/>
    <w:link w:val="658"/>
    <w:qFormat/>
    <w:rPr>
      <w:b/>
      <w:bCs/>
    </w:rPr>
  </w:style>
  <w:style w:type="character" w:styleId="732">
    <w:name w:val="页码"/>
    <w:next w:val="732"/>
    <w:link w:val="658"/>
  </w:style>
  <w:style w:type="character" w:styleId="733">
    <w:name w:val="已访问的超链接"/>
    <w:next w:val="733"/>
    <w:link w:val="658"/>
    <w:rPr>
      <w:color w:val="800080"/>
      <w:u w:val="single"/>
    </w:rPr>
  </w:style>
  <w:style w:type="character" w:styleId="734">
    <w:name w:val="超链接"/>
    <w:next w:val="734"/>
    <w:link w:val="658"/>
    <w:rPr>
      <w:color w:val="0000ff"/>
      <w:u w:val="single"/>
    </w:rPr>
  </w:style>
  <w:style w:type="character" w:styleId="735">
    <w:name w:val="批注引用"/>
    <w:next w:val="735"/>
    <w:link w:val="658"/>
    <w:semiHidden/>
    <w:rPr>
      <w:sz w:val="21"/>
      <w:szCs w:val="21"/>
    </w:rPr>
  </w:style>
  <w:style w:type="character" w:styleId="736">
    <w:name w:val="font5 Char"/>
    <w:next w:val="736"/>
    <w:link w:val="658"/>
    <w:rPr>
      <w:rFonts w:ascii="宋体" w:hAnsi="宋体" w:eastAsia="宋体"/>
      <w:sz w:val="28"/>
      <w:szCs w:val="28"/>
      <w:lang w:val="en-US" w:eastAsia="zh-CN" w:bidi="ar-SA"/>
    </w:rPr>
  </w:style>
  <w:style w:type="character" w:styleId="737">
    <w:name w:val="二级目录 Char"/>
    <w:next w:val="737"/>
    <w:link w:val="738"/>
    <w:rPr>
      <w:b/>
      <w:sz w:val="30"/>
      <w:szCs w:val="28"/>
      <w:lang w:val="en-US" w:eastAsia="zh-CN" w:bidi="ar-SA"/>
    </w:rPr>
  </w:style>
  <w:style w:type="paragraph" w:styleId="738">
    <w:name w:val="二级目录"/>
    <w:next w:val="658"/>
    <w:link w:val="737"/>
    <w:pPr>
      <w:numPr>
        <w:ilvl w:val="0"/>
        <w:numId w:val="2"/>
      </w:numPr>
      <w:tabs>
        <w:tab w:val="left" w:pos="907" w:leader="none"/>
        <w:tab w:val="left" w:pos="1145" w:leader="none"/>
      </w:tabs>
      <w:outlineLvl w:val="1"/>
    </w:pPr>
    <w:rPr>
      <w:b/>
      <w:sz w:val="30"/>
      <w:szCs w:val="28"/>
      <w:lang w:val="en-US" w:eastAsia="zh-CN" w:bidi="ar-SA"/>
    </w:rPr>
  </w:style>
  <w:style w:type="character" w:styleId="739">
    <w:name w:val="列出段落 Char,Bullet List Char,numbered Char,FooterText Char,List Paragraph1 Char,Paragraphe de liste1 Char"/>
    <w:next w:val="739"/>
    <w:link w:val="740"/>
    <w:rPr>
      <w:rFonts w:ascii="Calibri" w:hAnsi="Calibri"/>
      <w:sz w:val="24"/>
      <w:szCs w:val="24"/>
      <w:lang w:eastAsia="en-US" w:bidi="en-US"/>
    </w:rPr>
  </w:style>
  <w:style w:type="paragraph" w:styleId="740">
    <w:name w:val="列出段落1"/>
    <w:basedOn w:val="658"/>
    <w:next w:val="740"/>
    <w:link w:val="739"/>
    <w:qFormat/>
    <w:pPr>
      <w:contextualSpacing/>
      <w:ind w:left="720"/>
      <w:jc w:val="left"/>
      <w:widowControl/>
    </w:pPr>
    <w:rPr>
      <w:rFonts w:ascii="Calibri" w:hAnsi="Calibri"/>
      <w:sz w:val="24"/>
      <w:szCs w:val="24"/>
      <w:lang w:val="en-US" w:eastAsia="en-US" w:bidi="en-US"/>
    </w:rPr>
  </w:style>
  <w:style w:type="paragraph" w:styleId="741">
    <w:name w:val="Body Text(ch)"/>
    <w:basedOn w:val="658"/>
    <w:next w:val="690"/>
    <w:link w:val="658"/>
    <w:pPr>
      <w:spacing w:after="120"/>
    </w:pPr>
    <w:rPr>
      <w:rFonts w:ascii="宋体" w:hAnsi="Arial" w:eastAsia="宋体" w:cs="Times New Roman"/>
      <w:bCs/>
      <w:iCs/>
      <w:szCs w:val="24"/>
    </w:rPr>
  </w:style>
  <w:style w:type="paragraph" w:styleId="742">
    <w:name w:val="xl27"/>
    <w:basedOn w:val="658"/>
    <w:next w:val="742"/>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3">
    <w:name w:val="xl26"/>
    <w:basedOn w:val="658"/>
    <w:next w:val="743"/>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Char"/>
    <w:basedOn w:val="658"/>
    <w:next w:val="744"/>
    <w:link w:val="658"/>
    <w:pPr>
      <w:ind w:firstLine="200"/>
      <w:tabs>
        <w:tab w:val="left" w:pos="360" w:leader="none"/>
      </w:tabs>
    </w:pPr>
    <w:rPr>
      <w:rFonts w:ascii="Times New Roman" w:hAnsi="Times New Roman" w:eastAsia="宋体" w:cs="Times New Roman"/>
      <w:sz w:val="28"/>
      <w:szCs w:val="30"/>
    </w:rPr>
  </w:style>
  <w:style w:type="paragraph" w:styleId="745">
    <w:name w:val=" Char"/>
    <w:basedOn w:val="684"/>
    <w:next w:val="745"/>
    <w:link w:val="658"/>
    <w:rPr>
      <w:rFonts w:ascii="Tahoma" w:hAnsi="Tahoma"/>
      <w:sz w:val="24"/>
      <w:szCs w:val="24"/>
    </w:rPr>
  </w:style>
  <w:style w:type="paragraph" w:styleId="746">
    <w:name w:val="普通正文"/>
    <w:basedOn w:val="658"/>
    <w:next w:val="746"/>
    <w:link w:val="658"/>
    <w:pPr>
      <w:ind w:firstLine="480"/>
      <w:jc w:val="left"/>
      <w:spacing w:before="120" w:after="120" w:line="360" w:lineRule="auto"/>
    </w:pPr>
    <w:rPr>
      <w:rFonts w:ascii="Arial" w:hAnsi="Arial" w:eastAsia="宋体" w:cs="Times New Roman"/>
      <w:sz w:val="24"/>
      <w:szCs w:val="24"/>
    </w:rPr>
  </w:style>
  <w:style w:type="paragraph" w:styleId="747">
    <w:name w:val="table_lines"/>
    <w:basedOn w:val="658"/>
    <w:next w:val="747"/>
    <w:link w:val="658"/>
    <w:pPr>
      <w:jc w:val="left"/>
      <w:widowControl/>
    </w:pPr>
    <w:rPr>
      <w:rFonts w:ascii="Times New Roman" w:hAnsi="Times New Roman" w:eastAsia="宋体" w:cs="Times New Roman"/>
      <w:sz w:val="20"/>
      <w:szCs w:val="20"/>
      <w:lang w:val="de-DE" w:eastAsia="de-DE"/>
    </w:rPr>
  </w:style>
  <w:style w:type="paragraph" w:styleId="748">
    <w:name w:val="附录1"/>
    <w:next w:val="748"/>
    <w:link w:val="658"/>
    <w:pPr>
      <w:numPr>
        <w:ilvl w:val="0"/>
        <w:numId w:val="2"/>
      </w:numPr>
      <w:spacing w:before="240" w:line="600" w:lineRule="atLeast"/>
      <w:tabs>
        <w:tab w:val="left" w:pos="907" w:leader="none"/>
      </w:tabs>
    </w:pPr>
    <w:rPr>
      <w:b/>
      <w:i/>
      <w:sz w:val="28"/>
      <w:lang w:val="en-US" w:eastAsia="zh-CN" w:bidi="ar-SA"/>
    </w:rPr>
  </w:style>
  <w:style w:type="paragraph" w:styleId="749">
    <w:name w:val="font7"/>
    <w:basedOn w:val="658"/>
    <w:next w:val="749"/>
    <w:link w:val="658"/>
    <w:pPr>
      <w:jc w:val="left"/>
      <w:spacing w:before="100" w:beforeAutospacing="1" w:after="100" w:afterAutospacing="1"/>
      <w:widowControl/>
    </w:pPr>
    <w:rPr>
      <w:rFonts w:hint="eastAsia" w:ascii="宋体" w:hAnsi="宋体" w:eastAsia="宋体" w:cs="Times New Roman"/>
      <w:sz w:val="18"/>
      <w:szCs w:val="18"/>
    </w:rPr>
  </w:style>
  <w:style w:type="paragraph" w:styleId="750">
    <w:name w:val=" Char Char Char Char"/>
    <w:basedOn w:val="684"/>
    <w:next w:val="750"/>
    <w:link w:val="658"/>
    <w:pPr>
      <w:spacing w:line="360" w:lineRule="auto"/>
    </w:pPr>
    <w:rPr>
      <w:rFonts w:ascii="Tahoma" w:hAnsi="Tahoma"/>
      <w:sz w:val="24"/>
      <w:szCs w:val="24"/>
    </w:rPr>
  </w:style>
  <w:style w:type="paragraph" w:styleId="751">
    <w:name w:val="列出段落"/>
    <w:basedOn w:val="658"/>
    <w:next w:val="751"/>
    <w:link w:val="658"/>
    <w:qFormat/>
    <w:pPr>
      <w:contextualSpacing/>
      <w:ind w:left="720"/>
      <w:jc w:val="left"/>
      <w:widowControl/>
    </w:pPr>
    <w:rPr>
      <w:rFonts w:ascii="Calibri" w:hAnsi="Calibri" w:eastAsia="宋体" w:cs="Times New Roman"/>
      <w:sz w:val="24"/>
      <w:szCs w:val="24"/>
      <w:lang w:eastAsia="en-US" w:bidi="en-US"/>
    </w:rPr>
  </w:style>
  <w:style w:type="paragraph" w:styleId="752">
    <w:name w:val="4"/>
    <w:basedOn w:val="658"/>
    <w:next w:val="715"/>
    <w:link w:val="658"/>
    <w:pPr>
      <w:ind w:firstLine="420"/>
      <w:spacing w:line="360" w:lineRule="auto"/>
    </w:pPr>
    <w:rPr>
      <w:rFonts w:ascii="Times New Roman" w:hAnsi="Times New Roman" w:eastAsia="宋体" w:cs="Times New Roman"/>
      <w:color w:val="ff0000"/>
      <w:sz w:val="24"/>
      <w:szCs w:val="24"/>
    </w:rPr>
  </w:style>
  <w:style w:type="paragraph" w:styleId="753">
    <w:name w:val="普通 (Web)"/>
    <w:basedOn w:val="658"/>
    <w:next w:val="753"/>
    <w:link w:val="658"/>
    <w:pPr>
      <w:jc w:val="left"/>
      <w:spacing w:before="100" w:beforeAutospacing="1" w:after="100" w:afterAutospacing="1"/>
      <w:widowControl/>
    </w:pPr>
    <w:rPr>
      <w:rFonts w:ascii="宋体" w:hAnsi="宋体" w:eastAsia="宋体" w:cs="Times New Roman"/>
      <w:sz w:val="24"/>
      <w:szCs w:val="24"/>
    </w:rPr>
  </w:style>
  <w:style w:type="paragraph" w:styleId="754">
    <w:name w:val=" Char Char Char Char Char Char Char Char Char Char"/>
    <w:basedOn w:val="658"/>
    <w:next w:val="754"/>
    <w:link w:val="658"/>
    <w:pPr>
      <w:spacing w:line="360" w:lineRule="auto"/>
    </w:pPr>
    <w:rPr>
      <w:rFonts w:ascii="Times New Roman" w:hAnsi="Times New Roman" w:eastAsia="宋体" w:cs="Times New Roman"/>
      <w:sz w:val="24"/>
      <w:szCs w:val="20"/>
    </w:rPr>
  </w:style>
  <w:style w:type="paragraph" w:styleId="755">
    <w:name w:val="样式1"/>
    <w:basedOn w:val="658"/>
    <w:next w:val="755"/>
    <w:link w:val="658"/>
    <w:pPr>
      <w:numPr>
        <w:ilvl w:val="0"/>
        <w:numId w:val="3"/>
      </w:numPr>
      <w:tabs>
        <w:tab w:val="left" w:pos="709" w:leader="none"/>
      </w:tabs>
    </w:pPr>
    <w:rPr>
      <w:rFonts w:ascii="宋体" w:hAnsi="宋体" w:eastAsia="宋体" w:cs="Times New Roman"/>
      <w:szCs w:val="21"/>
    </w:rPr>
  </w:style>
  <w:style w:type="paragraph" w:styleId="756">
    <w:name w:val="font6"/>
    <w:basedOn w:val="658"/>
    <w:next w:val="756"/>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7">
    <w:name w:val="xl25"/>
    <w:basedOn w:val="658"/>
    <w:next w:val="757"/>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8">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9">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0">
    <w:name w:val="xl24"/>
    <w:basedOn w:val="658"/>
    <w:next w:val="760"/>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1">
    <w:name w:val="xl29"/>
    <w:basedOn w:val="658"/>
    <w:next w:val="761"/>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2">
    <w:name w:val="Char Char Char Char Char Char Char Char"/>
    <w:basedOn w:val="658"/>
    <w:next w:val="762"/>
    <w:link w:val="658"/>
    <w:pPr>
      <w:jc w:val="left"/>
      <w:spacing w:after="160" w:line="240" w:lineRule="exact"/>
      <w:widowControl/>
    </w:pPr>
    <w:rPr>
      <w:rFonts w:ascii="Verdana" w:hAnsi="Verdana" w:eastAsia="宋体" w:cs="Times New Roman"/>
      <w:sz w:val="20"/>
      <w:szCs w:val="20"/>
      <w:lang w:eastAsia="en-US"/>
    </w:rPr>
  </w:style>
  <w:style w:type="paragraph" w:styleId="763">
    <w:name w:val="xl28"/>
    <w:basedOn w:val="658"/>
    <w:next w:val="763"/>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4">
    <w:name w:val=" Char Char Char Char Char Char Char Char"/>
    <w:basedOn w:val="658"/>
    <w:next w:val="764"/>
    <w:link w:val="658"/>
    <w:pPr>
      <w:jc w:val="left"/>
      <w:spacing w:after="160" w:line="240" w:lineRule="exact"/>
      <w:widowControl/>
    </w:pPr>
    <w:rPr>
      <w:rFonts w:ascii="Verdana" w:hAnsi="Verdana" w:eastAsia="宋体" w:cs="Times New Roman"/>
      <w:sz w:val="20"/>
      <w:szCs w:val="20"/>
      <w:lang w:eastAsia="en-US"/>
    </w:rPr>
  </w:style>
  <w:style w:type="paragraph" w:styleId="765">
    <w:name w:val="xl30"/>
    <w:basedOn w:val="658"/>
    <w:next w:val="765"/>
    <w:link w:val="658"/>
    <w:pPr>
      <w:jc w:val="center"/>
      <w:spacing w:before="100" w:beforeAutospacing="1" w:after="100" w:afterAutospacing="1"/>
      <w:widowControl/>
    </w:pPr>
    <w:rPr>
      <w:rFonts w:ascii="宋体" w:hAnsi="宋体" w:eastAsia="宋体" w:cs="Times New Roman"/>
      <w:b/>
      <w:bCs/>
      <w:sz w:val="36"/>
      <w:szCs w:val="36"/>
    </w:rPr>
  </w:style>
  <w:style w:type="paragraph" w:styleId="766">
    <w:name w:val="Char Char Char Char"/>
    <w:basedOn w:val="684"/>
    <w:next w:val="766"/>
    <w:link w:val="658"/>
    <w:pPr>
      <w:spacing w:line="360" w:lineRule="auto"/>
    </w:pPr>
    <w:rPr>
      <w:rFonts w:ascii="Tahoma" w:hAnsi="Tahoma"/>
      <w:sz w:val="24"/>
      <w:szCs w:val="24"/>
    </w:rPr>
  </w:style>
  <w:style w:type="paragraph" w:styleId="767">
    <w:name w:val="table_1stline"/>
    <w:basedOn w:val="658"/>
    <w:next w:val="767"/>
    <w:link w:val="658"/>
    <w:pPr>
      <w:jc w:val="left"/>
      <w:spacing w:before="120"/>
      <w:widowControl/>
    </w:pPr>
    <w:rPr>
      <w:rFonts w:ascii="Times New Roman" w:hAnsi="Times New Roman" w:eastAsia="宋体" w:cs="Times New Roman"/>
      <w:bCs/>
      <w:sz w:val="20"/>
      <w:szCs w:val="20"/>
      <w:lang w:val="de-DE" w:eastAsia="de-DE"/>
    </w:rPr>
  </w:style>
  <w:style w:type="paragraph" w:styleId="768">
    <w:name w:val="font5"/>
    <w:basedOn w:val="658"/>
    <w:next w:val="768"/>
    <w:link w:val="658"/>
    <w:pPr>
      <w:jc w:val="left"/>
      <w:spacing w:before="100" w:beforeAutospacing="1" w:after="100" w:afterAutospacing="1"/>
      <w:widowControl/>
    </w:pPr>
    <w:rPr>
      <w:rFonts w:hint="eastAsia" w:ascii="宋体" w:hAnsi="宋体" w:eastAsia="宋体" w:cs="Times New Roman"/>
      <w:sz w:val="28"/>
      <w:szCs w:val="28"/>
    </w:rPr>
  </w:style>
  <w:style w:type="paragraph" w:styleId="769">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0">
    <w:name w:val="修订"/>
    <w:next w:val="770"/>
    <w:link w:val="658"/>
    <w:uiPriority w:val="99"/>
    <w:semiHidden/>
    <w:rPr>
      <w:sz w:val="21"/>
      <w:szCs w:val="21"/>
      <w:lang w:val="en-US" w:eastAsia="zh-CN" w:bidi="ar-SA"/>
    </w:rPr>
  </w:style>
  <w:style w:type="paragraph" w:styleId="771">
    <w:name w:val="无间隔"/>
    <w:next w:val="771"/>
    <w:link w:val="658"/>
    <w:uiPriority w:val="99"/>
    <w:qFormat/>
    <w:pPr>
      <w:jc w:val="both"/>
      <w:widowControl w:val="off"/>
    </w:pPr>
    <w:rPr>
      <w:sz w:val="21"/>
      <w:szCs w:val="21"/>
      <w:lang w:val="en-US" w:eastAsia="zh-CN" w:bidi="ar-SA"/>
    </w:rPr>
  </w:style>
  <w:style w:type="paragraph" w:styleId="772">
    <w:name w:val="文本块1"/>
    <w:basedOn w:val="658"/>
    <w:next w:val="772"/>
    <w:link w:val="658"/>
    <w:uiPriority w:val="99"/>
    <w:unhideWhenUsed/>
    <w:qFormat/>
    <w:pPr>
      <w:ind w:left="1440" w:right="1440"/>
      <w:spacing w:after="120"/>
    </w:pPr>
  </w:style>
  <w:style w:type="character" w:styleId="773">
    <w:name w:val="font91"/>
    <w:next w:val="773"/>
    <w:link w:val="658"/>
    <w:qFormat/>
    <w:rPr>
      <w:rFonts w:hint="eastAsia" w:ascii="宋体" w:hAnsi="宋体" w:eastAsia="宋体" w:cs="宋体"/>
      <w:color w:val="ff0000"/>
      <w:sz w:val="24"/>
      <w:szCs w:val="24"/>
      <w:u w:val="none"/>
    </w:rPr>
  </w:style>
  <w:style w:type="character" w:styleId="774">
    <w:name w:val="font01"/>
    <w:next w:val="774"/>
    <w:link w:val="658"/>
    <w:qFormat/>
    <w:rPr>
      <w:rFonts w:hint="eastAsia" w:ascii="宋体" w:hAnsi="宋体" w:eastAsia="宋体" w:cs="宋体"/>
      <w:color w:val="000000"/>
      <w:sz w:val="24"/>
      <w:szCs w:val="24"/>
      <w:u w:val="none"/>
    </w:rPr>
  </w:style>
  <w:style w:type="character" w:styleId="34029" w:default="1">
    <w:name w:val="Default Paragraph Font"/>
    <w:uiPriority w:val="1"/>
    <w:semiHidden/>
    <w:unhideWhenUsed/>
  </w:style>
  <w:style w:type="numbering" w:styleId="34030" w:default="1">
    <w:name w:val="No List"/>
    <w:uiPriority w:val="99"/>
    <w:semiHidden/>
    <w:unhideWhenUsed/>
  </w:style>
  <w:style w:type="table" w:styleId="34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卢玲</dc:creator>
  <cp:lastModifiedBy>沈露 </cp:lastModifiedBy>
  <cp:revision>29</cp:revision>
  <dcterms:created xsi:type="dcterms:W3CDTF">2023-03-27T07:28:00Z</dcterms:created>
  <dcterms:modified xsi:type="dcterms:W3CDTF">2026-08-13T10:05:47Z</dcterms:modified>
  <cp:version>786432</cp:version>
</cp:coreProperties>
</file>