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Bdr>
          <w:top w:val="none" w:color="000000" w:sz="0" w:space="0"/>
          <w:left w:val="none" w:color="000000" w:sz="0" w:space="0"/>
          <w:bottom w:val="none" w:color="000000" w:sz="0" w:space="0"/>
          <w:right w:val="none" w:color="000000" w:sz="0" w:space="0"/>
        </w:pBdr>
      </w:pPr>
      <w:r>
        <w:rPr>
          <w:rFonts w:hint="eastAsia"/>
        </w:rP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苏 州 市 政 府 采 购</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招</w:t>
      </w:r>
      <w:r>
        <w:rPr>
          <w:rFonts w:hint="eastAsia" w:ascii="宋体" w:hAnsi="宋体" w:eastAsia="宋体" w:cs="宋体"/>
          <w:b/>
          <w:sz w:val="72"/>
        </w:rPr>
        <w:t xml:space="preserve"> </w:t>
      </w:r>
      <w:r>
        <w:rPr>
          <w:rFonts w:ascii="宋体" w:hAnsi="宋体" w:eastAsia="宋体" w:cs="宋体"/>
          <w:b/>
          <w:sz w:val="72"/>
        </w:rPr>
        <w:t xml:space="preserve">标</w:t>
      </w:r>
      <w:r>
        <w:rPr>
          <w:rFonts w:hint="eastAsia" w:ascii="宋体" w:hAnsi="宋体" w:eastAsia="宋体" w:cs="宋体"/>
          <w:b/>
          <w:sz w:val="72"/>
        </w:rPr>
        <w:t xml:space="preserve"> </w:t>
      </w:r>
      <w:r>
        <w:rPr>
          <w:rFonts w:ascii="宋体" w:hAnsi="宋体" w:eastAsia="宋体" w:cs="宋体"/>
          <w:b/>
          <w:sz w:val="72"/>
        </w:rPr>
        <w:t xml:space="preserve">文</w:t>
      </w:r>
      <w:r>
        <w:rPr>
          <w:rFonts w:hint="eastAsia" w:ascii="宋体" w:hAnsi="宋体" w:eastAsia="宋体" w:cs="宋体"/>
          <w:b/>
          <w:sz w:val="72"/>
        </w:rPr>
        <w:t xml:space="preserve"> </w:t>
      </w:r>
      <w:r>
        <w:rPr>
          <w:rFonts w:ascii="宋体" w:hAnsi="宋体" w:eastAsia="宋体" w:cs="宋体"/>
          <w:b/>
          <w:sz w:val="72"/>
        </w:rPr>
        <w:t xml:space="preserve">件</w:t>
      </w:r>
      <w:r/>
    </w:p>
    <w:p>
      <w:pPr>
        <w:jc w:val="both"/>
        <w:pBdr>
          <w:top w:val="none" w:color="000000" w:sz="0" w:space="0"/>
          <w:left w:val="none" w:color="000000" w:sz="0" w:space="0"/>
          <w:bottom w:val="none" w:color="000000" w:sz="0" w:space="0"/>
          <w:right w:val="none" w:color="000000" w:sz="0" w:space="0"/>
        </w:pBdr>
      </w:pPr>
      <w:r/>
      <w:r/>
    </w:p>
    <w:p>
      <w:pPr>
        <w:jc w:val="both"/>
        <w:rPr>
          <w:rFonts w:hint="eastAsia" w:ascii="宋体" w:hAnsi="宋体" w:eastAsia="宋体" w:cs="宋体"/>
          <w:b/>
          <w:sz w:val="7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r>
      <w:r/>
    </w:p>
    <w:p>
      <w:pPr>
        <w:ind w:left="420"/>
        <w:rPr>
          <w:rFonts w:hint="eastAsia" w:ascii="宋体" w:hAnsi="宋体" w:eastAsia="宋体" w:cs="宋体"/>
          <w:b/>
          <w:sz w:val="7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r>
      <w:r/>
    </w:p>
    <w:p>
      <w:pPr>
        <w:ind w:left="420"/>
        <w:pBdr>
          <w:top w:val="none" w:color="000000" w:sz="0" w:space="0"/>
          <w:left w:val="none" w:color="000000" w:sz="0" w:space="0"/>
          <w:bottom w:val="none" w:color="000000" w:sz="0" w:space="0"/>
          <w:right w:val="none" w:color="000000" w:sz="0" w:space="0"/>
        </w:pBdr>
      </w:pPr>
      <w:r/>
      <w:r/>
    </w:p>
    <w:p>
      <w:pPr>
        <w:ind w:left="420"/>
        <w:pBdr>
          <w:top w:val="none" w:color="000000" w:sz="0" w:space="0"/>
          <w:left w:val="none" w:color="000000" w:sz="0" w:space="0"/>
          <w:bottom w:val="none" w:color="000000" w:sz="0" w:space="0"/>
          <w:right w:val="none" w:color="000000" w:sz="0" w:space="0"/>
        </w:pBdr>
      </w:pPr>
      <w:r/>
      <w:r/>
    </w:p>
    <w:p>
      <w:pPr>
        <w:ind w:left="630" w:firstLine="562"/>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招标编号：</w:t>
      </w:r>
      <w:r>
        <w:rPr>
          <w:rFonts w:hint="eastAsia" w:ascii="宋体" w:hAnsi="宋体" w:eastAsia="宋体" w:cs="宋体"/>
          <w:b/>
          <w:sz w:val="28"/>
        </w:rPr>
        <w:t xml:space="preserve">JSZC-320500-JITC-G2026-0251</w:t>
      </w:r>
      <w:r/>
    </w:p>
    <w:p>
      <w:pPr>
        <w:ind w:left="630" w:firstLine="562"/>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采</w:t>
      </w:r>
      <w:r>
        <w:rPr>
          <w:rFonts w:hint="eastAsia" w:ascii="宋体" w:hAnsi="宋体" w:eastAsia="宋体" w:cs="宋体"/>
          <w:b/>
          <w:sz w:val="28"/>
        </w:rPr>
        <w:t xml:space="preserve"> </w:t>
      </w:r>
      <w:r>
        <w:rPr>
          <w:rFonts w:ascii="宋体" w:hAnsi="宋体" w:eastAsia="宋体" w:cs="宋体"/>
          <w:b/>
          <w:sz w:val="28"/>
        </w:rPr>
        <w:t xml:space="preserve">购</w:t>
      </w:r>
      <w:r>
        <w:rPr>
          <w:rFonts w:hint="eastAsia" w:ascii="宋体" w:hAnsi="宋体" w:eastAsia="宋体" w:cs="宋体"/>
          <w:b/>
          <w:sz w:val="28"/>
        </w:rPr>
        <w:t xml:space="preserve"> </w:t>
      </w:r>
      <w:r>
        <w:rPr>
          <w:rFonts w:ascii="宋体" w:hAnsi="宋体" w:eastAsia="宋体" w:cs="宋体"/>
          <w:b/>
          <w:sz w:val="28"/>
        </w:rPr>
        <w:t xml:space="preserve">人：</w:t>
      </w:r>
      <w:r>
        <w:rPr>
          <w:rFonts w:hint="eastAsia" w:ascii="宋体" w:hAnsi="宋体" w:eastAsia="宋体" w:cs="宋体"/>
          <w:b/>
          <w:sz w:val="28"/>
        </w:rPr>
        <w:t xml:space="preserve">苏州科技大学</w:t>
      </w:r>
      <w:r/>
    </w:p>
    <w:p>
      <w:pPr>
        <w:ind w:left="630" w:firstLine="562"/>
        <w:spacing w:line="360" w:lineRule="auto"/>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项目名称</w:t>
      </w:r>
      <w:r>
        <w:rPr>
          <w:rFonts w:hint="eastAsia" w:ascii="宋体" w:hAnsi="宋体" w:eastAsia="宋体" w:cs="宋体"/>
          <w:b/>
          <w:sz w:val="28"/>
        </w:rPr>
        <w:t xml:space="preserve">：</w:t>
      </w:r>
      <w:r>
        <w:rPr>
          <w:rFonts w:ascii="宋体" w:hAnsi="宋体" w:eastAsia="宋体" w:cs="宋体"/>
          <w:b/>
          <w:sz w:val="28"/>
        </w:rPr>
        <w:t xml:space="preserve">CAVE沉浸式虚拟现实行为与认知实验系统</w:t>
      </w:r>
      <w:r/>
    </w:p>
    <w:p>
      <w:pPr>
        <w:ind w:left="630" w:firstLine="56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采购类别：货物类</w:t>
      </w:r>
      <w:r/>
    </w:p>
    <w:p>
      <w:pPr>
        <w:ind w:left="420"/>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pStyle w:val="818"/>
        <w:rPr>
          <w:rFonts w:hint="default"/>
        </w:rPr>
      </w:pPr>
      <w:r>
        <w:rPr>
          <w:rFonts w:hint="default"/>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江苏省招标中心有限公司</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二〇二</w:t>
      </w:r>
      <w:r>
        <w:rPr>
          <w:rFonts w:hint="eastAsia" w:ascii="宋体" w:hAnsi="宋体" w:eastAsia="宋体" w:cs="宋体"/>
          <w:b/>
          <w:sz w:val="28"/>
        </w:rPr>
        <w:t xml:space="preserve">六</w:t>
      </w:r>
      <w:r>
        <w:rPr>
          <w:rFonts w:ascii="宋体" w:hAnsi="宋体" w:eastAsia="宋体" w:cs="宋体"/>
          <w:b/>
          <w:sz w:val="28"/>
        </w:rPr>
        <w:t xml:space="preserve">年</w:t>
      </w:r>
      <w:r>
        <w:rPr>
          <w:rFonts w:ascii="宋体" w:hAnsi="宋体" w:eastAsia="宋体" w:cs="宋体"/>
          <w:b/>
          <w:sz w:val="28"/>
        </w:rPr>
        <w:t xml:space="preserve">八月</w:t>
      </w:r>
      <w:r/>
    </w:p>
    <w:p>
      <w:pPr>
        <w:jc w:val="center"/>
        <w:rPr>
          <w:rFonts w:hint="eastAsia" w:ascii="宋体" w:hAnsi="宋体" w:eastAsia="宋体" w:cs="宋体"/>
          <w:sz w:val="36"/>
        </w:rPr>
        <w:pBdr>
          <w:top w:val="none" w:color="000000" w:sz="0" w:space="0"/>
          <w:left w:val="none" w:color="000000" w:sz="0" w:space="0"/>
          <w:bottom w:val="none" w:color="000000" w:sz="0" w:space="0"/>
          <w:right w:val="none" w:color="000000" w:sz="0" w:space="0"/>
        </w:pBd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417" w:header="851" w:footer="992" w:gutter="0"/>
          <w:cols w:num="1" w:sep="0" w:space="425" w:equalWidth="1"/>
          <w:docGrid w:linePitch="360"/>
          <w:titlePg/>
        </w:sectPr>
      </w:pPr>
      <w:r>
        <w:rPr>
          <w:rFonts w:hint="eastAsia" w:ascii="宋体" w:hAnsi="宋体" w:eastAsia="宋体" w:cs="宋体"/>
          <w:sz w:val="36"/>
        </w:rPr>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目录</w:t>
      </w:r>
      <w:r/>
    </w:p>
    <w:sdt>
      <w:sdtPr>
        <w15:appearance w15:val="boundingBox"/>
        <w:id w:val="147462682"/>
        <w:docPartObj>
          <w:docPartGallery w:val="Table of Contents"/>
          <w:docPartUnique w:val="true"/>
        </w:docPartObj>
        <w:rPr>
          <w:rFonts w:ascii="宋体" w:hAnsi="宋体" w:eastAsia="宋体"/>
        </w:rPr>
      </w:sdtPr>
      <w:sdtContent>
        <w:p>
          <w:pPr>
            <w:jc w:val="center"/>
          </w:pPr>
          <w:r/>
          <w:r/>
        </w:p>
        <w:p>
          <w:pPr>
            <w:pStyle w:val="826"/>
            <w:spacing w:after="0" w:line="480" w:lineRule="auto"/>
            <w:tabs>
              <w:tab w:val="right" w:pos="9355"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hyperlink w:tooltip="#_Toc13036" w:anchor="_Toc13036" w:history="1">
            <w:r>
              <w:rPr>
                <w:rFonts w:hint="eastAsia" w:ascii="宋体" w:hAnsi="宋体" w:eastAsia="宋体" w:cs="宋体"/>
                <w:sz w:val="24"/>
                <w:szCs w:val="24"/>
              </w:rPr>
              <w:t xml:space="preserve">第一章 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_Toc13036 \h </w:instrText>
            </w:r>
            <w:r>
              <w:rPr>
                <w:rFonts w:hint="eastAsia" w:ascii="宋体" w:hAnsi="宋体" w:eastAsia="宋体" w:cs="宋体"/>
                <w:sz w:val="24"/>
                <w:szCs w:val="24"/>
              </w:rPr>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hyperlink>
          <w:r/>
          <w:r/>
        </w:p>
        <w:p>
          <w:pPr>
            <w:pStyle w:val="826"/>
            <w:spacing w:after="0" w:line="480" w:lineRule="auto"/>
            <w:tabs>
              <w:tab w:val="right" w:pos="9355" w:leader="dot"/>
            </w:tabs>
            <w:rPr>
              <w:rFonts w:hint="eastAsia" w:ascii="宋体" w:hAnsi="宋体" w:eastAsia="宋体" w:cs="宋体"/>
              <w:sz w:val="24"/>
              <w:szCs w:val="24"/>
            </w:rPr>
          </w:pPr>
          <w:r/>
          <w:hyperlink w:tooltip="#_Toc22881" w:anchor="_Toc22881" w:history="1">
            <w:r>
              <w:rPr>
                <w:rFonts w:hint="eastAsia" w:ascii="宋体" w:hAnsi="宋体" w:eastAsia="宋体" w:cs="宋体"/>
                <w:sz w:val="24"/>
                <w:szCs w:val="24"/>
              </w:rPr>
              <w:t xml:space="preserve">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_Toc22881 \h </w:instrText>
            </w:r>
            <w:r>
              <w:rPr>
                <w:rFonts w:hint="eastAsia" w:ascii="宋体" w:hAnsi="宋体" w:eastAsia="宋体" w:cs="宋体"/>
                <w:sz w:val="24"/>
                <w:szCs w:val="24"/>
              </w:rPr>
            </w:r>
            <w:r>
              <w:rPr>
                <w:rFonts w:hint="eastAsia" w:ascii="宋体" w:hAnsi="宋体" w:eastAsia="宋体" w:cs="宋体"/>
                <w:sz w:val="24"/>
                <w:szCs w:val="24"/>
              </w:rPr>
              <w:fldChar w:fldCharType="separate"/>
            </w:r>
            <w:r>
              <w:rPr>
                <w:rFonts w:hint="eastAsia" w:ascii="宋体" w:hAnsi="宋体" w:eastAsia="宋体" w:cs="宋体"/>
                <w:sz w:val="24"/>
                <w:szCs w:val="24"/>
              </w:rPr>
              <w:t xml:space="preserve">8</w:t>
            </w:r>
            <w:r>
              <w:rPr>
                <w:rFonts w:hint="eastAsia" w:ascii="宋体" w:hAnsi="宋体" w:eastAsia="宋体" w:cs="宋体"/>
                <w:sz w:val="24"/>
                <w:szCs w:val="24"/>
              </w:rPr>
              <w:fldChar w:fldCharType="end"/>
            </w:r>
          </w:hyperlink>
          <w:r/>
          <w:r/>
        </w:p>
        <w:p>
          <w:pPr>
            <w:pStyle w:val="826"/>
            <w:spacing w:after="0" w:line="480" w:lineRule="auto"/>
            <w:tabs>
              <w:tab w:val="right" w:pos="9355" w:leader="dot"/>
            </w:tabs>
            <w:rPr>
              <w:rFonts w:hint="eastAsia" w:ascii="宋体" w:hAnsi="宋体" w:eastAsia="宋体" w:cs="宋体"/>
              <w:sz w:val="24"/>
              <w:szCs w:val="24"/>
            </w:rPr>
          </w:pPr>
          <w:r/>
          <w:hyperlink w:tooltip="#_Toc8805" w:anchor="_Toc8805" w:history="1">
            <w:r>
              <w:rPr>
                <w:rFonts w:hint="eastAsia" w:ascii="宋体" w:hAnsi="宋体" w:eastAsia="宋体" w:cs="宋体"/>
                <w:sz w:val="24"/>
                <w:szCs w:val="24"/>
              </w:rPr>
              <w:t xml:space="preserve">第三章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_Toc8805 \h </w:instrText>
            </w:r>
            <w:r>
              <w:rPr>
                <w:rFonts w:hint="eastAsia" w:ascii="宋体" w:hAnsi="宋体" w:eastAsia="宋体" w:cs="宋体"/>
                <w:sz w:val="24"/>
                <w:szCs w:val="24"/>
              </w:rPr>
            </w:r>
            <w:r>
              <w:rPr>
                <w:rFonts w:hint="eastAsia" w:ascii="宋体" w:hAnsi="宋体" w:eastAsia="宋体" w:cs="宋体"/>
                <w:sz w:val="24"/>
                <w:szCs w:val="24"/>
              </w:rPr>
              <w:fldChar w:fldCharType="separate"/>
            </w:r>
            <w:r>
              <w:rPr>
                <w:rFonts w:hint="eastAsia" w:ascii="宋体" w:hAnsi="宋体" w:eastAsia="宋体" w:cs="宋体"/>
                <w:sz w:val="24"/>
                <w:szCs w:val="24"/>
              </w:rPr>
              <w:t xml:space="preserve">32</w:t>
            </w:r>
            <w:r>
              <w:rPr>
                <w:rFonts w:hint="eastAsia" w:ascii="宋体" w:hAnsi="宋体" w:eastAsia="宋体" w:cs="宋体"/>
                <w:sz w:val="24"/>
                <w:szCs w:val="24"/>
              </w:rPr>
              <w:fldChar w:fldCharType="end"/>
            </w:r>
          </w:hyperlink>
          <w:r/>
          <w:r/>
        </w:p>
        <w:p>
          <w:pPr>
            <w:pStyle w:val="826"/>
            <w:spacing w:after="0" w:line="480" w:lineRule="auto"/>
            <w:tabs>
              <w:tab w:val="right" w:pos="9355" w:leader="dot"/>
            </w:tabs>
            <w:rPr>
              <w:rFonts w:hint="eastAsia" w:ascii="宋体" w:hAnsi="宋体" w:eastAsia="宋体" w:cs="宋体"/>
              <w:sz w:val="24"/>
              <w:szCs w:val="24"/>
            </w:rPr>
          </w:pPr>
          <w:r/>
          <w:hyperlink w:tooltip="#_Toc9379" w:anchor="_Toc9379" w:history="1">
            <w:r>
              <w:rPr>
                <w:rFonts w:hint="eastAsia" w:ascii="宋体" w:hAnsi="宋体" w:eastAsia="宋体" w:cs="宋体"/>
                <w:sz w:val="24"/>
                <w:szCs w:val="24"/>
              </w:rPr>
              <w:t xml:space="preserve">第四章 采购内容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_Toc9379 \h </w:instrText>
            </w:r>
            <w:r>
              <w:rPr>
                <w:rFonts w:hint="eastAsia" w:ascii="宋体" w:hAnsi="宋体" w:eastAsia="宋体" w:cs="宋体"/>
                <w:sz w:val="24"/>
                <w:szCs w:val="24"/>
              </w:rPr>
            </w:r>
            <w:r>
              <w:rPr>
                <w:rFonts w:hint="eastAsia" w:ascii="宋体" w:hAnsi="宋体" w:eastAsia="宋体" w:cs="宋体"/>
                <w:sz w:val="24"/>
                <w:szCs w:val="24"/>
              </w:rPr>
              <w:fldChar w:fldCharType="separate"/>
            </w:r>
            <w:r>
              <w:rPr>
                <w:rFonts w:hint="eastAsia" w:ascii="宋体" w:hAnsi="宋体" w:eastAsia="宋体" w:cs="宋体"/>
                <w:sz w:val="24"/>
                <w:szCs w:val="24"/>
              </w:rPr>
              <w:t xml:space="preserve">55</w:t>
            </w:r>
            <w:r>
              <w:rPr>
                <w:rFonts w:hint="eastAsia" w:ascii="宋体" w:hAnsi="宋体" w:eastAsia="宋体" w:cs="宋体"/>
                <w:sz w:val="24"/>
                <w:szCs w:val="24"/>
              </w:rPr>
              <w:fldChar w:fldCharType="end"/>
            </w:r>
          </w:hyperlink>
          <w:r/>
          <w:r/>
        </w:p>
        <w:p>
          <w:pPr>
            <w:pStyle w:val="826"/>
            <w:spacing w:after="0" w:line="480" w:lineRule="auto"/>
            <w:tabs>
              <w:tab w:val="right" w:pos="9355" w:leader="dot"/>
            </w:tabs>
            <w:rPr>
              <w:rFonts w:hint="eastAsia" w:ascii="宋体" w:hAnsi="宋体" w:eastAsia="宋体" w:cs="宋体"/>
              <w:sz w:val="24"/>
              <w:szCs w:val="24"/>
            </w:rPr>
          </w:pPr>
          <w:r/>
          <w:hyperlink w:tooltip="#_Toc3769" w:anchor="_Toc3769" w:history="1">
            <w:r>
              <w:rPr>
                <w:rFonts w:hint="eastAsia" w:ascii="宋体" w:hAnsi="宋体" w:eastAsia="宋体" w:cs="宋体"/>
                <w:sz w:val="24"/>
                <w:szCs w:val="24"/>
              </w:rPr>
              <w:t xml:space="preserve">第五章 合同条款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_Toc3769 \h </w:instrText>
            </w:r>
            <w:r>
              <w:rPr>
                <w:rFonts w:hint="eastAsia" w:ascii="宋体" w:hAnsi="宋体" w:eastAsia="宋体" w:cs="宋体"/>
                <w:sz w:val="24"/>
                <w:szCs w:val="24"/>
              </w:rPr>
            </w:r>
            <w:r>
              <w:rPr>
                <w:rFonts w:hint="eastAsia" w:ascii="宋体" w:hAnsi="宋体" w:eastAsia="宋体" w:cs="宋体"/>
                <w:sz w:val="24"/>
                <w:szCs w:val="24"/>
              </w:rPr>
              <w:fldChar w:fldCharType="separate"/>
            </w:r>
            <w:r>
              <w:rPr>
                <w:rFonts w:hint="eastAsia" w:ascii="宋体" w:hAnsi="宋体" w:eastAsia="宋体" w:cs="宋体"/>
                <w:sz w:val="24"/>
                <w:szCs w:val="24"/>
              </w:rPr>
              <w:t xml:space="preserve">80</w:t>
            </w:r>
            <w:r>
              <w:rPr>
                <w:rFonts w:hint="eastAsia" w:ascii="宋体" w:hAnsi="宋体" w:eastAsia="宋体" w:cs="宋体"/>
                <w:sz w:val="24"/>
                <w:szCs w:val="24"/>
              </w:rPr>
              <w:fldChar w:fldCharType="end"/>
            </w:r>
          </w:hyperlink>
          <w:r/>
          <w:r/>
        </w:p>
        <w:p>
          <w:pPr>
            <w:pStyle w:val="826"/>
            <w:spacing w:after="0" w:line="480" w:lineRule="auto"/>
            <w:tabs>
              <w:tab w:val="right" w:pos="9355" w:leader="dot"/>
            </w:tabs>
            <w:rPr>
              <w:rFonts w:hint="eastAsia" w:ascii="宋体" w:hAnsi="宋体" w:eastAsia="宋体" w:cs="宋体"/>
              <w:sz w:val="24"/>
              <w:szCs w:val="24"/>
            </w:rPr>
          </w:pPr>
          <w:r/>
          <w:hyperlink w:tooltip="#_Toc9204" w:anchor="_Toc9204" w:history="1">
            <w:r>
              <w:rPr>
                <w:rFonts w:hint="eastAsia" w:ascii="宋体" w:hAnsi="宋体" w:eastAsia="宋体" w:cs="宋体"/>
                <w:sz w:val="24"/>
                <w:szCs w:val="24"/>
              </w:rPr>
              <w:t xml:space="preserve">第六章 评标办法及标准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_Toc9204 \h </w:instrText>
            </w:r>
            <w:r>
              <w:rPr>
                <w:rFonts w:hint="eastAsia" w:ascii="宋体" w:hAnsi="宋体" w:eastAsia="宋体" w:cs="宋体"/>
                <w:sz w:val="24"/>
                <w:szCs w:val="24"/>
              </w:rPr>
            </w:r>
            <w:r>
              <w:rPr>
                <w:rFonts w:hint="eastAsia" w:ascii="宋体" w:hAnsi="宋体" w:eastAsia="宋体" w:cs="宋体"/>
                <w:sz w:val="24"/>
                <w:szCs w:val="24"/>
              </w:rPr>
              <w:fldChar w:fldCharType="separate"/>
            </w:r>
            <w:r>
              <w:rPr>
                <w:rFonts w:hint="eastAsia" w:ascii="宋体" w:hAnsi="宋体" w:eastAsia="宋体" w:cs="宋体"/>
                <w:sz w:val="24"/>
                <w:szCs w:val="24"/>
              </w:rPr>
              <w:t xml:space="preserve">82</w:t>
            </w:r>
            <w:r>
              <w:rPr>
                <w:rFonts w:hint="eastAsia" w:ascii="宋体" w:hAnsi="宋体" w:eastAsia="宋体" w:cs="宋体"/>
                <w:sz w:val="24"/>
                <w:szCs w:val="24"/>
              </w:rPr>
              <w:fldChar w:fldCharType="end"/>
            </w:r>
          </w:hyperlink>
          <w:r/>
          <w:r/>
        </w:p>
        <w:p>
          <w:pPr>
            <w:spacing w:line="480" w:lineRule="auto"/>
          </w:pPr>
          <w:r>
            <w:rPr>
              <w:rFonts w:hint="eastAsia" w:ascii="宋体" w:hAnsi="宋体" w:eastAsia="宋体" w:cs="宋体"/>
              <w:sz w:val="24"/>
              <w:szCs w:val="24"/>
            </w:rPr>
            <w:fldChar w:fldCharType="end"/>
          </w:r>
          <w:r/>
        </w:p>
      </w:sdtContent>
    </w:sdt>
    <w:p>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86"/>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86"/>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86"/>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86"/>
        <w:jc w:val="center"/>
        <w:spacing w:before="340" w:after="330" w:line="1056" w:lineRule="atLeast"/>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rPr>
        <w:t xml:space="preserve">第一章</w:t>
      </w:r>
      <w:r>
        <w:rPr>
          <w:rFonts w:hint="eastAsia" w:ascii="宋体" w:hAnsi="宋体" w:eastAsia="宋体" w:cs="宋体"/>
          <w:b/>
          <w:sz w:val="44"/>
        </w:rPr>
        <w:t xml:space="preserve"> </w:t>
      </w:r>
      <w:r>
        <w:rPr>
          <w:rFonts w:ascii="宋体" w:hAnsi="宋体" w:eastAsia="宋体" w:cs="宋体"/>
          <w:b/>
          <w:sz w:val="44"/>
        </w:rPr>
        <w:t xml:space="preserve">招标公告</w:t>
      </w:r>
      <w:bookmarkEnd w:id="0"/>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招标公告</w:t>
      </w:r>
      <w:r/>
    </w:p>
    <w:tbl>
      <w:tblPr>
        <w:tblW w:w="5000" w:type="pct"/>
        <w:jc w:val="center"/>
        <w:tblBorders>
          <w:top w:val="single" w:color="999999" w:sz="6" w:space="0"/>
          <w:left w:val="single" w:color="999999"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9132"/>
      </w:tblGrid>
      <w:tr>
        <w:trPr>
          <w:jc w:val="center"/>
          <w:trHeight w:val="846"/>
        </w:trPr>
        <w:tc>
          <w:tcPr>
            <w:tcBorders>
              <w:top w:val="single" w:color="auto" w:sz="6" w:space="0"/>
              <w:left w:val="single" w:color="auto" w:sz="6" w:space="0"/>
              <w:bottom w:val="single" w:color="999999" w:sz="6" w:space="0"/>
              <w:right w:val="single" w:color="999999" w:sz="6" w:space="0"/>
            </w:tcBorders>
            <w:tcMar>
              <w:left w:w="30" w:type="dxa"/>
              <w:top w:w="0" w:type="dxa"/>
              <w:right w:w="30" w:type="dxa"/>
              <w:bottom w:w="0" w:type="dxa"/>
            </w:tcMar>
            <w:tcW w:w="0" w:type="auto"/>
            <w:vAlign w:val="center"/>
            <w:textDirection w:val="lrTb"/>
            <w:noWrap w:val="false"/>
          </w:tcPr>
          <w:p>
            <w:pPr>
              <w:spacing w:line="36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项目概况</w:t>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CAVE沉浸式虚拟现实行为与认知实验系统JSZC-320500-JITC-G2026-0251</w:t>
            </w:r>
            <w:r>
              <w:rPr>
                <w:rFonts w:hint="eastAsia" w:ascii="宋体" w:hAnsi="宋体" w:eastAsia="宋体" w:cs="宋体"/>
                <w:sz w:val="24"/>
              </w:rPr>
              <w:t xml:space="preserve">招标</w:t>
            </w:r>
            <w:r>
              <w:rPr>
                <w:rFonts w:ascii="宋体" w:hAnsi="宋体" w:eastAsia="宋体" w:cs="宋体"/>
                <w:sz w:val="24"/>
              </w:rPr>
              <w:t xml:space="preserve">项目的潜在</w:t>
            </w:r>
            <w:r>
              <w:rPr>
                <w:rFonts w:hint="eastAsia" w:ascii="宋体" w:hAnsi="宋体" w:eastAsia="宋体" w:cs="宋体"/>
                <w:sz w:val="24"/>
              </w:rPr>
              <w:t xml:space="preserve">供应商</w:t>
            </w:r>
            <w:r>
              <w:rPr>
                <w:rFonts w:ascii="宋体" w:hAnsi="宋体" w:eastAsia="宋体" w:cs="宋体"/>
                <w:sz w:val="24"/>
              </w:rPr>
              <w:t xml:space="preserve">应在</w:t>
            </w:r>
            <w:r>
              <w:rPr>
                <w:rFonts w:hint="eastAsia" w:ascii="宋体" w:hAnsi="宋体" w:eastAsia="宋体" w:cs="宋体"/>
                <w:sz w:val="24"/>
              </w:rPr>
              <w:t xml:space="preserve">江苏政府采购网</w:t>
            </w:r>
            <w:r>
              <w:rPr>
                <w:rFonts w:ascii="宋体" w:hAnsi="宋体" w:eastAsia="宋体" w:cs="宋体"/>
                <w:sz w:val="24"/>
              </w:rPr>
              <w:t xml:space="preserve">“苏采云”系统（网址：http://jszfcg.jsczt.cn/） 获取招标文件，并于</w:t>
            </w:r>
            <w:r>
              <w:rPr>
                <w:rFonts w:hint="eastAsia" w:ascii="宋体" w:hAnsi="宋体" w:eastAsia="宋体" w:cs="宋体"/>
                <w:sz w:val="24"/>
              </w:rPr>
              <w:t xml:space="preserve">2026年</w:t>
            </w:r>
            <w:r>
              <w:rPr>
                <w:rFonts w:hint="eastAsia" w:ascii="宋体" w:hAnsi="宋体" w:eastAsia="宋体" w:cs="宋体"/>
                <w:sz w:val="24"/>
              </w:rPr>
              <w:t xml:space="preserve">9</w:t>
            </w:r>
            <w:r>
              <w:rPr>
                <w:rFonts w:hint="eastAsia" w:ascii="宋体" w:hAnsi="宋体" w:eastAsia="宋体" w:cs="宋体"/>
                <w:sz w:val="24"/>
              </w:rPr>
              <w:t xml:space="preserve">月</w:t>
            </w:r>
            <w:r>
              <w:rPr>
                <w:rFonts w:hint="eastAsia" w:ascii="宋体" w:hAnsi="宋体" w:eastAsia="宋体" w:cs="宋体"/>
                <w:sz w:val="24"/>
              </w:rPr>
              <w:t xml:space="preserve">7</w:t>
            </w:r>
            <w:r>
              <w:rPr>
                <w:rFonts w:hint="eastAsia" w:ascii="宋体" w:hAnsi="宋体" w:eastAsia="宋体" w:cs="宋体"/>
                <w:sz w:val="24"/>
              </w:rPr>
              <w:t xml:space="preserve">日</w:t>
            </w:r>
            <w:r>
              <w:rPr>
                <w:rFonts w:hint="eastAsia" w:ascii="宋体" w:hAnsi="宋体" w:eastAsia="宋体" w:cs="宋体"/>
                <w:sz w:val="24"/>
              </w:rPr>
              <w:t xml:space="preserve">09</w:t>
            </w:r>
            <w:r>
              <w:rPr>
                <w:rFonts w:hint="eastAsia" w:ascii="宋体" w:hAnsi="宋体" w:eastAsia="宋体" w:cs="宋体"/>
                <w:sz w:val="24"/>
              </w:rPr>
              <w:t xml:space="preserve">:</w:t>
            </w:r>
            <w:r>
              <w:rPr>
                <w:rFonts w:hint="eastAsia" w:ascii="宋体" w:hAnsi="宋体" w:eastAsia="宋体" w:cs="宋体"/>
                <w:sz w:val="24"/>
              </w:rPr>
              <w:t xml:space="preserve">3</w:t>
            </w:r>
            <w:r>
              <w:rPr>
                <w:rFonts w:hint="eastAsia" w:ascii="宋体" w:hAnsi="宋体" w:eastAsia="宋体" w:cs="宋体"/>
                <w:sz w:val="24"/>
              </w:rPr>
              <w:t xml:space="preserve">0</w:t>
            </w:r>
            <w:r>
              <w:rPr>
                <w:rFonts w:ascii="宋体" w:hAnsi="宋体" w:eastAsia="宋体" w:cs="宋体"/>
                <w:sz w:val="24"/>
              </w:rPr>
              <w:t xml:space="preserve">（北京时间）前递交投标文件。</w:t>
            </w:r>
            <w:r/>
          </w:p>
        </w:tc>
      </w:tr>
    </w:tbl>
    <w:p>
      <w:pPr>
        <w:ind w:firstLine="480"/>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一、项目基本情况</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项目编号：JSZC-320500-JITC-G2026-0251</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项目名称：CAVE沉浸式虚拟现实行为与认知实验系统</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预算金额：</w:t>
      </w:r>
      <w:r>
        <w:rPr>
          <w:rFonts w:hint="eastAsia" w:ascii="宋体" w:hAnsi="宋体" w:eastAsia="宋体" w:cs="宋体"/>
          <w:sz w:val="24"/>
          <w:lang w:val="en"/>
        </w:rPr>
        <w:t xml:space="preserve">170.00</w:t>
      </w:r>
      <w:r>
        <w:rPr>
          <w:rFonts w:ascii="宋体" w:hAnsi="宋体" w:eastAsia="宋体" w:cs="宋体"/>
          <w:sz w:val="24"/>
          <w:lang w:val="en"/>
        </w:rPr>
        <w:t xml:space="preserve">万元 </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最高限价（如有）：人民币</w:t>
      </w:r>
      <w:r>
        <w:rPr>
          <w:rFonts w:ascii="宋体" w:hAnsi="宋体" w:eastAsia="宋体" w:cs="宋体"/>
          <w:sz w:val="24"/>
          <w:lang w:val="en"/>
        </w:rPr>
        <w:t xml:space="preserve">163.29</w:t>
      </w:r>
      <w:r>
        <w:rPr>
          <w:rFonts w:ascii="宋体" w:hAnsi="宋体" w:eastAsia="宋体" w:cs="宋体"/>
          <w:sz w:val="24"/>
          <w:lang w:val="en"/>
        </w:rPr>
        <w:t xml:space="preserve">万元 </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采购需求：</w:t>
      </w:r>
      <w:r>
        <w:rPr>
          <w:rFonts w:ascii="宋体" w:hAnsi="宋体" w:eastAsia="宋体" w:cs="宋体"/>
          <w:sz w:val="24"/>
          <w:lang w:val="en"/>
        </w:rPr>
        <w:t xml:space="preserve">CAVE沉浸式虚拟现实行为与认知实验系统</w:t>
      </w:r>
      <w:r>
        <w:rPr>
          <w:rFonts w:ascii="宋体" w:hAnsi="宋体" w:eastAsia="宋体" w:cs="宋体"/>
          <w:sz w:val="24"/>
          <w:lang w:val="en"/>
        </w:rPr>
        <w:t xml:space="preserve">是服务环境心理学、教育心理学、教师教育及行为科学研究的重要科研平台。系统可构建高沉浸度、可交互、可精确控制的三维虚拟情境，用于开展环境行为、虚拟课堂、社会互动、认知加工及教学技能训练等研究与实践。</w:t>
      </w:r>
      <w:r>
        <w:rPr>
          <w:rFonts w:hint="eastAsia" w:ascii="宋体" w:hAnsi="宋体" w:eastAsia="宋体" w:cs="宋体"/>
          <w:sz w:val="24"/>
          <w:lang w:val="en"/>
        </w:rPr>
        <w:t xml:space="preserve">本项目不接受进口产品投标，具体参数及要求详见采购文件</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合同履行期限：自合同签订之日起，30个日历日内供货到位/完成项目。 </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本项目（是/否）接受联合体投标：否</w:t>
      </w:r>
      <w:r/>
    </w:p>
    <w:p>
      <w:pPr>
        <w:ind w:firstLine="480"/>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二、申请人的资格要求：</w:t>
      </w:r>
      <w:r/>
    </w:p>
    <w:p>
      <w:pPr>
        <w:ind w:firstLine="480"/>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（一）满足《中华人民共和国政府采购法》第二十二条规定：</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1.具有独立承担民事责任的能力（提供法人或其他组织的营业执照）</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2.具有良好的商业信誉和健全的财务会计制度；提供企业2025年度财务审计报告或企业近三个月中任一月份的财务状况报告</w:t>
      </w:r>
      <w:r>
        <w:rPr>
          <w:rFonts w:ascii="宋体" w:hAnsi="宋体" w:eastAsia="宋体" w:cs="宋体"/>
          <w:sz w:val="24"/>
          <w:lang w:val="en"/>
        </w:rPr>
        <w:t xml:space="preserve">扫描</w:t>
      </w:r>
      <w:r>
        <w:rPr>
          <w:rFonts w:ascii="宋体" w:hAnsi="宋体" w:eastAsia="宋体" w:cs="宋体"/>
          <w:sz w:val="24"/>
          <w:lang w:val="en"/>
        </w:rPr>
        <w:t xml:space="preserve">件（至少包括资产负债表和利润表，加盖</w:t>
      </w:r>
      <w:r>
        <w:rPr>
          <w:rFonts w:hint="eastAsia" w:ascii="宋体" w:hAnsi="宋体" w:eastAsia="宋体" w:cs="宋体"/>
          <w:sz w:val="24"/>
          <w:lang w:val="en"/>
        </w:rPr>
        <w:t xml:space="preserve">供应商</w:t>
      </w:r>
      <w:r>
        <w:rPr>
          <w:rFonts w:ascii="宋体" w:hAnsi="宋体" w:eastAsia="宋体" w:cs="宋体"/>
          <w:sz w:val="24"/>
          <w:lang w:val="en"/>
        </w:rPr>
        <w:t xml:space="preserve">公章）（法人或者其他组织成立未满三个月的可以不提供）或其基本开户银行出具的资信证明（距开标时间3个月内开具）</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3.有依法缴纳税收和社会保障资金的良好记录；提供企业近三个月中任一月份依法缴纳税收和社会保障资金的相关凭证材料，依法免缴、迟缴的应提供相应文件证明</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4.具有履行合同所必需的设备和专业技术能力；（根据项目需求提供履行合同所必需的设备和专业技术能力的证明材料或提供承诺书，加盖公章）</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5.参加政府采购活动前三年内，在经营活动中没有重大违法记录；（提供参加本次政府采购活动前3年内在经营活动中没有重大违法记录的书面声明，加盖公章）</w:t>
      </w:r>
      <w:r/>
    </w:p>
    <w:p>
      <w:pPr>
        <w:ind w:firstLine="482"/>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6.</w:t>
      </w:r>
      <w:r>
        <w:rPr>
          <w:rFonts w:hint="eastAsia" w:ascii="宋体" w:hAnsi="宋体" w:eastAsia="宋体" w:cs="宋体"/>
          <w:sz w:val="24"/>
          <w:lang w:val="en"/>
        </w:rPr>
        <w:t xml:space="preserve">供应商</w:t>
      </w:r>
      <w:r>
        <w:rPr>
          <w:rFonts w:ascii="宋体" w:hAnsi="宋体" w:eastAsia="宋体" w:cs="宋体"/>
          <w:sz w:val="24"/>
          <w:lang w:val="en"/>
        </w:rPr>
        <w:t xml:space="preserve">在投标截止时间前</w:t>
      </w:r>
      <w:r>
        <w:rPr>
          <w:rFonts w:ascii="宋体" w:hAnsi="宋体" w:eastAsia="宋体" w:cs="宋体"/>
          <w:sz w:val="24"/>
          <w:lang w:val="en"/>
        </w:rPr>
        <w:t xml:space="preserve">未被“信用中国”网站及“中国政府采购网”列入失信被执行人、重大税收违法失信主体名单、政府采购严重违法失信行为记录名单内；（提供承诺书，格式自拟，需包含此条内容，加盖公章）</w:t>
      </w:r>
      <w:r/>
    </w:p>
    <w:p>
      <w:pPr>
        <w:ind w:firstLine="482"/>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7.本项目不接受任何形式的转包</w:t>
      </w:r>
      <w:r>
        <w:rPr>
          <w:rFonts w:hint="eastAsia" w:ascii="宋体" w:hAnsi="宋体" w:eastAsia="宋体" w:cs="宋体"/>
          <w:sz w:val="24"/>
          <w:lang w:val="en"/>
        </w:rPr>
        <w:t xml:space="preserve">。</w:t>
      </w:r>
      <w:r/>
    </w:p>
    <w:p>
      <w:pPr>
        <w:ind w:firstLine="482"/>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（二）落实政府采购政策需满足的资格要求：</w:t>
      </w:r>
      <w:r/>
    </w:p>
    <w:p>
      <w:pPr>
        <w:ind w:firstLine="482"/>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无</w:t>
      </w:r>
      <w:r/>
    </w:p>
    <w:p>
      <w:pPr>
        <w:ind w:firstLine="482"/>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（三）本项目的特定资格要求：</w:t>
      </w:r>
      <w:r>
        <w:rPr>
          <w:rFonts w:hint="eastAsia" w:ascii="宋体" w:hAnsi="宋体" w:eastAsia="宋体" w:cs="宋体"/>
          <w:b/>
          <w:bCs/>
          <w:sz w:val="24"/>
          <w:lang w:val="en"/>
        </w:rPr>
        <w:t xml:space="preserve">无</w:t>
      </w:r>
      <w:r/>
    </w:p>
    <w:p>
      <w:pPr>
        <w:ind w:firstLine="482"/>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（四）拒绝下述</w:t>
      </w:r>
      <w:r>
        <w:rPr>
          <w:rFonts w:hint="eastAsia" w:ascii="宋体" w:hAnsi="宋体" w:eastAsia="宋体" w:cs="宋体"/>
          <w:b/>
          <w:bCs/>
          <w:sz w:val="24"/>
          <w:lang w:val="en"/>
        </w:rPr>
        <w:t xml:space="preserve">供应商</w:t>
      </w:r>
      <w:r>
        <w:rPr>
          <w:rFonts w:ascii="宋体" w:hAnsi="宋体" w:eastAsia="宋体" w:cs="宋体"/>
          <w:b/>
          <w:bCs/>
          <w:sz w:val="24"/>
          <w:lang w:val="en"/>
        </w:rPr>
        <w:t xml:space="preserve">参加本次招标活动：</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w:t>
      </w:r>
      <w:r>
        <w:rPr>
          <w:rFonts w:ascii="宋体" w:hAnsi="宋体" w:eastAsia="宋体" w:cs="宋体"/>
          <w:sz w:val="24"/>
        </w:rPr>
        <w:t xml:space="preserve">1</w:t>
      </w:r>
      <w:r>
        <w:rPr>
          <w:rFonts w:ascii="宋体" w:hAnsi="宋体" w:eastAsia="宋体" w:cs="宋体"/>
          <w:sz w:val="24"/>
          <w:lang w:val="en"/>
        </w:rPr>
        <w:t xml:space="preserve">）单位负责人为同一人或者存在直接控股、管理关系的不同</w:t>
      </w:r>
      <w:r>
        <w:rPr>
          <w:rFonts w:hint="eastAsia" w:ascii="宋体" w:hAnsi="宋体" w:eastAsia="宋体" w:cs="宋体"/>
          <w:sz w:val="24"/>
          <w:lang w:val="en"/>
        </w:rPr>
        <w:t xml:space="preserve">供应商</w:t>
      </w:r>
      <w:r>
        <w:rPr>
          <w:rFonts w:ascii="宋体" w:hAnsi="宋体" w:eastAsia="宋体" w:cs="宋体"/>
          <w:sz w:val="24"/>
          <w:lang w:val="en"/>
        </w:rPr>
        <w:t xml:space="preserve">，不得参加同一合同项下的政府采购活动。</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w:t>
      </w:r>
      <w:r>
        <w:rPr>
          <w:rFonts w:ascii="宋体" w:hAnsi="宋体" w:eastAsia="宋体" w:cs="宋体"/>
          <w:sz w:val="24"/>
        </w:rPr>
        <w:t xml:space="preserve">2</w:t>
      </w:r>
      <w:r>
        <w:rPr>
          <w:rFonts w:ascii="宋体" w:hAnsi="宋体" w:eastAsia="宋体" w:cs="宋体"/>
          <w:sz w:val="24"/>
          <w:lang w:val="en"/>
        </w:rPr>
        <w:t xml:space="preserve">）除单一来源项目外，凡为采购项目提供整体设计、规范编制或者项目管理、监理、检测等服务的</w:t>
      </w:r>
      <w:r>
        <w:rPr>
          <w:rFonts w:hint="eastAsia" w:ascii="宋体" w:hAnsi="宋体" w:eastAsia="宋体" w:cs="宋体"/>
          <w:sz w:val="24"/>
          <w:lang w:val="en"/>
        </w:rPr>
        <w:t xml:space="preserve">供应商</w:t>
      </w:r>
      <w:r>
        <w:rPr>
          <w:rFonts w:ascii="宋体" w:hAnsi="宋体" w:eastAsia="宋体" w:cs="宋体"/>
          <w:sz w:val="24"/>
          <w:lang w:val="en"/>
        </w:rPr>
        <w:t xml:space="preserve">不得再参加本项目的采购活动。</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sz w:val="24"/>
          <w:lang w:val="en"/>
        </w:rPr>
        <w:t xml:space="preserve">注：</w:t>
      </w:r>
      <w:r>
        <w:rPr>
          <w:rFonts w:hint="eastAsia" w:ascii="宋体" w:hAnsi="宋体" w:eastAsia="宋体" w:cs="宋体"/>
          <w:b/>
          <w:sz w:val="24"/>
          <w:lang w:val="en"/>
        </w:rPr>
        <w:t xml:space="preserve">供应商</w:t>
      </w:r>
      <w:r>
        <w:rPr>
          <w:rFonts w:ascii="宋体" w:hAnsi="宋体" w:eastAsia="宋体" w:cs="宋体"/>
          <w:b/>
          <w:sz w:val="24"/>
          <w:lang w:val="en"/>
        </w:rPr>
        <w:t xml:space="preserve">必须在投标文件中对以上资格要求响应并按要求提供有效证明材料及相关承诺书，否则将导致投标无效。</w:t>
      </w:r>
      <w:r/>
    </w:p>
    <w:p>
      <w:pPr>
        <w:ind w:firstLine="480"/>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三、获取招标文件</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时间：自招标文件公告发布之日起5个工作日 </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地点：江苏政府采购网“苏采云”系统（网址：http://jszfcg.jsczt.cn/） </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方式：登录江苏政府采购网，点击</w:t>
      </w:r>
      <w:r>
        <w:rPr>
          <w:rFonts w:ascii="宋体" w:hAnsi="宋体" w:eastAsia="宋体" w:cs="宋体"/>
          <w:sz w:val="24"/>
          <w:lang w:val="en"/>
        </w:rPr>
        <w:t xml:space="preserve">"苏采云"</w:t>
      </w:r>
      <w:r>
        <w:rPr>
          <w:rFonts w:ascii="宋体" w:hAnsi="宋体" w:eastAsia="宋体" w:cs="宋体"/>
          <w:sz w:val="24"/>
          <w:lang w:val="en"/>
        </w:rPr>
        <w:t xml:space="preserve">使用CA锁登录系统（新用户应进行</w:t>
      </w:r>
      <w:r>
        <w:rPr>
          <w:rFonts w:ascii="宋体" w:hAnsi="宋体" w:eastAsia="宋体" w:cs="宋体"/>
          <w:sz w:val="24"/>
          <w:lang w:val="en"/>
        </w:rPr>
        <w:t xml:space="preserve">"平台</w:t>
      </w:r>
      <w:r>
        <w:rPr>
          <w:rFonts w:ascii="宋体" w:hAnsi="宋体" w:eastAsia="宋体" w:cs="宋体"/>
          <w:sz w:val="24"/>
          <w:lang w:val="en"/>
        </w:rPr>
        <w:t xml:space="preserve">用户</w:t>
      </w:r>
      <w:r>
        <w:rPr>
          <w:rFonts w:ascii="宋体" w:hAnsi="宋体" w:eastAsia="宋体" w:cs="宋体"/>
          <w:sz w:val="24"/>
          <w:lang w:val="en"/>
        </w:rPr>
        <w:t xml:space="preserve">注册"）</w:t>
      </w:r>
      <w:r>
        <w:rPr>
          <w:rFonts w:ascii="宋体" w:hAnsi="宋体" w:eastAsia="宋体" w:cs="宋体"/>
          <w:sz w:val="24"/>
          <w:lang w:val="en"/>
        </w:rPr>
        <w:t xml:space="preserve">，点击</w:t>
      </w:r>
      <w:r>
        <w:rPr>
          <w:rFonts w:ascii="宋体" w:hAnsi="宋体" w:eastAsia="宋体" w:cs="宋体"/>
          <w:sz w:val="24"/>
          <w:lang w:val="en"/>
        </w:rPr>
        <w:t xml:space="preserve">"项目参与"</w:t>
      </w:r>
      <w:r>
        <w:rPr>
          <w:rFonts w:ascii="宋体" w:hAnsi="宋体" w:eastAsia="宋体" w:cs="宋体"/>
          <w:sz w:val="24"/>
          <w:lang w:val="en"/>
        </w:rPr>
        <w:t xml:space="preserve">进行登记，在</w:t>
      </w:r>
      <w:r>
        <w:rPr>
          <w:rFonts w:ascii="宋体" w:hAnsi="宋体" w:eastAsia="宋体" w:cs="宋体"/>
          <w:sz w:val="24"/>
          <w:lang w:val="en"/>
        </w:rPr>
        <w:t xml:space="preserve">"可</w:t>
      </w:r>
      <w:r>
        <w:rPr>
          <w:rFonts w:ascii="宋体" w:hAnsi="宋体" w:eastAsia="宋体" w:cs="宋体"/>
          <w:sz w:val="24"/>
          <w:lang w:val="en"/>
        </w:rPr>
        <w:t xml:space="preserve">参与</w:t>
      </w:r>
      <w:r>
        <w:rPr>
          <w:rFonts w:ascii="宋体" w:hAnsi="宋体" w:eastAsia="宋体" w:cs="宋体"/>
          <w:sz w:val="24"/>
          <w:lang w:val="en"/>
        </w:rPr>
        <w:t xml:space="preserve">项目"</w:t>
      </w:r>
      <w:r>
        <w:rPr>
          <w:rFonts w:ascii="宋体" w:hAnsi="宋体" w:eastAsia="宋体" w:cs="宋体"/>
          <w:sz w:val="24"/>
          <w:lang w:val="en"/>
        </w:rPr>
        <w:t xml:space="preserve">中选择</w:t>
      </w:r>
      <w:r>
        <w:rPr>
          <w:rFonts w:ascii="宋体" w:hAnsi="宋体" w:eastAsia="宋体" w:cs="宋体"/>
          <w:sz w:val="24"/>
          <w:lang w:val="en"/>
        </w:rPr>
        <w:t xml:space="preserve">"我</w:t>
      </w:r>
      <w:r>
        <w:rPr>
          <w:rFonts w:ascii="宋体" w:hAnsi="宋体" w:eastAsia="宋体" w:cs="宋体"/>
          <w:sz w:val="24"/>
          <w:lang w:val="en"/>
        </w:rPr>
        <w:t xml:space="preserve">要</w:t>
      </w:r>
      <w:r>
        <w:rPr>
          <w:rFonts w:ascii="宋体" w:hAnsi="宋体" w:eastAsia="宋体" w:cs="宋体"/>
          <w:sz w:val="24"/>
          <w:lang w:val="en"/>
        </w:rPr>
        <w:t xml:space="preserve">参与"，</w:t>
      </w:r>
      <w:r>
        <w:rPr>
          <w:rFonts w:ascii="宋体" w:hAnsi="宋体" w:eastAsia="宋体" w:cs="宋体"/>
          <w:sz w:val="24"/>
          <w:lang w:val="en"/>
        </w:rPr>
        <w:t xml:space="preserve">参与成功后到</w:t>
      </w:r>
      <w:r>
        <w:rPr>
          <w:rFonts w:ascii="宋体" w:hAnsi="宋体" w:eastAsia="宋体" w:cs="宋体"/>
          <w:sz w:val="24"/>
          <w:lang w:val="en"/>
        </w:rPr>
        <w:t xml:space="preserve">"已</w:t>
      </w:r>
      <w:r>
        <w:rPr>
          <w:rFonts w:ascii="宋体" w:hAnsi="宋体" w:eastAsia="宋体" w:cs="宋体"/>
          <w:sz w:val="24"/>
          <w:lang w:val="en"/>
        </w:rPr>
        <w:t xml:space="preserve">参与</w:t>
      </w:r>
      <w:r>
        <w:rPr>
          <w:rFonts w:ascii="宋体" w:hAnsi="宋体" w:eastAsia="宋体" w:cs="宋体"/>
          <w:sz w:val="24"/>
          <w:lang w:val="en"/>
        </w:rPr>
        <w:t xml:space="preserve">项目"</w:t>
      </w:r>
      <w:r>
        <w:rPr>
          <w:rFonts w:ascii="宋体" w:hAnsi="宋体" w:eastAsia="宋体" w:cs="宋体"/>
          <w:sz w:val="24"/>
          <w:lang w:val="en"/>
        </w:rPr>
        <w:t xml:space="preserve">界面中找到该项目下载文件</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售价：0.00元 </w:t>
      </w:r>
      <w:r/>
    </w:p>
    <w:p>
      <w:pPr>
        <w:ind w:firstLine="480"/>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四、提交投标文件截止时间、开标时间和地点</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时间：</w:t>
      </w:r>
      <w:r>
        <w:rPr>
          <w:rFonts w:hint="eastAsia" w:ascii="宋体" w:hAnsi="宋体" w:eastAsia="宋体" w:cs="宋体"/>
          <w:sz w:val="24"/>
        </w:rPr>
        <w:t xml:space="preserve">2026年</w:t>
      </w:r>
      <w:r>
        <w:rPr>
          <w:rFonts w:hint="eastAsia" w:ascii="宋体" w:hAnsi="宋体" w:eastAsia="宋体" w:cs="宋体"/>
          <w:sz w:val="24"/>
        </w:rPr>
        <w:t xml:space="preserve">9</w:t>
      </w:r>
      <w:r>
        <w:rPr>
          <w:rFonts w:hint="eastAsia" w:ascii="宋体" w:hAnsi="宋体" w:eastAsia="宋体" w:cs="宋体"/>
          <w:sz w:val="24"/>
        </w:rPr>
        <w:t xml:space="preserve">月</w:t>
      </w:r>
      <w:r>
        <w:rPr>
          <w:rFonts w:hint="eastAsia" w:ascii="宋体" w:hAnsi="宋体" w:eastAsia="宋体" w:cs="宋体"/>
          <w:sz w:val="24"/>
        </w:rPr>
        <w:t xml:space="preserve">7</w:t>
      </w:r>
      <w:r>
        <w:rPr>
          <w:rFonts w:hint="eastAsia" w:ascii="宋体" w:hAnsi="宋体" w:eastAsia="宋体" w:cs="宋体"/>
          <w:sz w:val="24"/>
        </w:rPr>
        <w:t xml:space="preserve">日</w:t>
      </w:r>
      <w:r>
        <w:rPr>
          <w:rFonts w:hint="eastAsia" w:ascii="宋体" w:hAnsi="宋体" w:eastAsia="宋体" w:cs="宋体"/>
          <w:sz w:val="24"/>
        </w:rPr>
        <w:t xml:space="preserve">09</w:t>
      </w:r>
      <w:r>
        <w:rPr>
          <w:rFonts w:hint="eastAsia" w:ascii="宋体" w:hAnsi="宋体" w:eastAsia="宋体" w:cs="宋体"/>
          <w:sz w:val="24"/>
        </w:rPr>
        <w:t xml:space="preserve">:</w:t>
      </w:r>
      <w:r>
        <w:rPr>
          <w:rFonts w:hint="eastAsia" w:ascii="宋体" w:hAnsi="宋体" w:eastAsia="宋体" w:cs="宋体"/>
          <w:sz w:val="24"/>
        </w:rPr>
        <w:t xml:space="preserve">3</w:t>
      </w:r>
      <w:r>
        <w:rPr>
          <w:rFonts w:hint="eastAsia" w:ascii="宋体" w:hAnsi="宋体" w:eastAsia="宋体" w:cs="宋体"/>
          <w:sz w:val="24"/>
        </w:rPr>
        <w:t xml:space="preserve">0</w:t>
      </w:r>
      <w:r>
        <w:rPr>
          <w:rFonts w:hint="eastAsia" w:ascii="宋体" w:hAnsi="宋体" w:eastAsia="宋体" w:cs="宋体"/>
          <w:sz w:val="24"/>
          <w:lang w:val="en"/>
        </w:rPr>
        <w:t xml:space="preserve">（北京时间）</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地点：“苏采云”网上开标大厅</w:t>
      </w:r>
      <w:r/>
    </w:p>
    <w:p>
      <w:pPr>
        <w:ind w:firstLine="480"/>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五、公告期限</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自本公告发布之日起5个工作日。</w:t>
      </w:r>
      <w:r/>
    </w:p>
    <w:p>
      <w:pPr>
        <w:ind w:firstLine="480"/>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六、其他补充事宜</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1.线上获取方式：</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（1）CA证书办理</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b/>
          <w:bCs/>
          <w:sz w:val="24"/>
          <w:lang w:val="en"/>
        </w:rPr>
        <w:t xml:space="preserve">苏州现场办理地址：苏州市高新区邓尉路105号狮山科技馆1楼服务大厅，咨询电话：0512-69820834。</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（2）参与采购活动</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供应商插入CA证书</w:t>
      </w:r>
      <w:r>
        <w:rPr>
          <w:rFonts w:ascii="宋体" w:hAnsi="宋体" w:eastAsia="宋体" w:cs="宋体"/>
          <w:sz w:val="24"/>
          <w:lang w:val="en"/>
        </w:rPr>
        <w:t xml:space="preserve">登录</w:t>
      </w:r>
      <w:r>
        <w:rPr>
          <w:rFonts w:ascii="宋体" w:hAnsi="宋体" w:eastAsia="宋体" w:cs="宋体"/>
          <w:sz w:val="24"/>
          <w:lang w:val="en"/>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考虑到熟悉“苏采云”系统、办理CA证书都需要一定的时间，请提早准备以免耽误招标采购活动。</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（3）电子投标准备</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供应商在“苏采云”系统中操作成功参与项目后，必须在“已参与项目”界面中下载电子招标文件（后缀名为“.</w:t>
      </w:r>
      <w:r>
        <w:rPr>
          <w:rFonts w:ascii="宋体" w:hAnsi="宋体" w:eastAsia="宋体" w:cs="宋体"/>
          <w:sz w:val="24"/>
          <w:lang w:val="en"/>
        </w:rPr>
        <w:t xml:space="preserve">kedt</w:t>
      </w:r>
      <w:r>
        <w:rPr>
          <w:rFonts w:ascii="宋体" w:hAnsi="宋体" w:eastAsia="宋体" w:cs="宋体"/>
          <w:sz w:val="24"/>
          <w:lang w:val="en"/>
        </w:rPr>
        <w:t xml:space="preserve">”）并导入政府采购客户端工具后方可进行投标文件制作和提交</w:t>
      </w:r>
      <w:r>
        <w:rPr>
          <w:rFonts w:ascii="宋体" w:hAnsi="宋体" w:eastAsia="宋体" w:cs="宋体"/>
          <w:b/>
          <w:bCs/>
          <w:sz w:val="24"/>
          <w:lang w:val="en"/>
        </w:rPr>
        <w:t xml:space="preserve">（具体详见《苏采云系统供应商操作手册》，网址链接https://czju.suzhou.gov.cn/zfcg/html/content/20231220161910031.shtml）。</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在系统操作过程中如有疑问，请按以下方式联系：</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注册咨询：18261002950；</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CA技术咨询电话：400-608-6099；</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签章使用问题：025-83633811、025-83633812、15380932027、15371015030；</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系统使用指导与咨询：联系电话：18261002950；QQ：3048755361、1315179389、895706745。</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lang w:val="en"/>
        </w:rPr>
        <w:t xml:space="preserve">供应商应充分考虑到网络环境、网络带宽等风险因素，如因供应商自身原因造成的电子投标文件上传不成功由供应商自行承担全部责任。</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3.本项目为不见面开标项目，开标阶段供应商在【供应商解密】环节必须使用 CA证书解密电子投标（响应）文件，如在系统规定的解密时间内未能完成解密的视为放弃投标（响应）。</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请供应商确保电脑、系统及其他设备（视频输入输出设备等）无误，且开标直至项目结束始终保持系统在线状态。</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5.供应商需保持“苏采云”系统不见面开标大厅在线状态，并按要求在规定时间内进行响应。在评审过程中系统如有特殊情况，工作人员会及时通过《投标供应商确认函》或法人授权委托书</w:t>
      </w:r>
      <w:r>
        <w:rPr>
          <w:rFonts w:ascii="宋体" w:hAnsi="宋体" w:eastAsia="宋体" w:cs="宋体"/>
          <w:sz w:val="24"/>
          <w:lang w:val="en"/>
        </w:rPr>
        <w:t xml:space="preserve">(如有)</w:t>
      </w:r>
      <w:r>
        <w:rPr>
          <w:rFonts w:ascii="宋体" w:hAnsi="宋体" w:eastAsia="宋体" w:cs="宋体"/>
          <w:sz w:val="24"/>
          <w:lang w:val="en"/>
        </w:rPr>
        <w:t xml:space="preserve">中留存的手机号与供应商联系。请供应商确保系统在线状态且该手机号开评标当日通讯畅通，否则导致的对供应商不利的后果由供应商自行承担。</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6.本项目获取招标文件截止日期之后仍可以下载招标文件，但截止日期之后下载的招标文件，视为非有效方式且不作为供应商权益受到损害的证明材料和依据。</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7.更正</w:t>
      </w:r>
      <w:r>
        <w:rPr>
          <w:rFonts w:ascii="宋体" w:hAnsi="宋体" w:eastAsia="宋体" w:cs="宋体"/>
          <w:sz w:val="24"/>
          <w:lang w:val="en"/>
        </w:rPr>
        <w:t xml:space="preserve">(补充)</w:t>
      </w:r>
      <w:r>
        <w:rPr>
          <w:rFonts w:ascii="宋体" w:hAnsi="宋体" w:eastAsia="宋体" w:cs="宋体"/>
          <w:sz w:val="24"/>
          <w:lang w:val="en"/>
        </w:rPr>
        <w:t xml:space="preserve">公告及附件的获取：供应商应及时关注政府采购信息发布媒体上发布的更正</w:t>
      </w:r>
      <w:r>
        <w:rPr>
          <w:rFonts w:ascii="宋体" w:hAnsi="宋体" w:eastAsia="宋体" w:cs="宋体"/>
          <w:sz w:val="24"/>
          <w:lang w:val="en"/>
        </w:rPr>
        <w:t xml:space="preserve">(补充)</w:t>
      </w:r>
      <w:r>
        <w:rPr>
          <w:rFonts w:ascii="宋体" w:hAnsi="宋体" w:eastAsia="宋体" w:cs="宋体"/>
          <w:sz w:val="24"/>
          <w:lang w:val="en"/>
        </w:rPr>
        <w:t xml:space="preserve">公告，同时在“苏采云”系统中下载更正</w:t>
      </w:r>
      <w:r>
        <w:rPr>
          <w:rFonts w:ascii="宋体" w:hAnsi="宋体" w:eastAsia="宋体" w:cs="宋体"/>
          <w:sz w:val="24"/>
          <w:lang w:val="en"/>
        </w:rPr>
        <w:t xml:space="preserve">(补充)</w:t>
      </w:r>
      <w:r>
        <w:rPr>
          <w:rFonts w:ascii="宋体" w:hAnsi="宋体" w:eastAsia="宋体" w:cs="宋体"/>
          <w:sz w:val="24"/>
          <w:lang w:val="en"/>
        </w:rPr>
        <w:t xml:space="preserve">资料，如有遗漏</w:t>
      </w:r>
      <w:r>
        <w:rPr>
          <w:rFonts w:ascii="宋体" w:hAnsi="宋体" w:eastAsia="宋体" w:cs="宋体"/>
          <w:sz w:val="24"/>
          <w:lang w:val="en"/>
        </w:rPr>
        <w:t xml:space="preserve">(包括但不限于文件未下载或下载不完整)</w:t>
      </w:r>
      <w:r>
        <w:rPr>
          <w:rFonts w:ascii="宋体" w:hAnsi="宋体" w:eastAsia="宋体" w:cs="宋体"/>
          <w:sz w:val="24"/>
          <w:lang w:val="en"/>
        </w:rPr>
        <w:t xml:space="preserve">，可能无法解密投标（响应）文件，由此所造成的投标失败或损失由供应商自行负责。</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8.政府采购监督管理电话：025-83633058。</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9.本次采购的有关信息将在苏州市政府采购网、江苏政府采购网、中国政府采购网上发布，敬请留意！</w:t>
      </w:r>
      <w:r/>
    </w:p>
    <w:p>
      <w:pPr>
        <w:ind w:firstLine="480"/>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七、对本次招标提出询问，请按以下方式联系。</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1.采购人信息</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名  称</w:t>
      </w:r>
      <w:r>
        <w:rPr>
          <w:rFonts w:hint="eastAsia" w:ascii="宋体" w:hAnsi="宋体" w:eastAsia="宋体" w:cs="宋体"/>
          <w:sz w:val="24"/>
          <w:lang w:val="en"/>
        </w:rPr>
        <w:t xml:space="preserve">：苏州科技大学</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地  址</w:t>
      </w:r>
      <w:r>
        <w:rPr>
          <w:rFonts w:hint="eastAsia" w:ascii="宋体" w:hAnsi="宋体" w:eastAsia="宋体" w:cs="宋体"/>
          <w:sz w:val="24"/>
          <w:lang w:val="en"/>
        </w:rPr>
        <w:t xml:space="preserve">：</w:t>
      </w:r>
      <w:r>
        <w:rPr>
          <w:rFonts w:ascii="宋体" w:hAnsi="宋体" w:eastAsia="宋体" w:cs="宋体"/>
          <w:sz w:val="24"/>
          <w:lang w:val="en"/>
        </w:rPr>
        <w:t xml:space="preserve">苏州市学府路99号</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联系人：</w:t>
      </w:r>
      <w:r>
        <w:rPr>
          <w:rFonts w:ascii="宋体" w:hAnsi="宋体" w:eastAsia="宋体" w:cs="宋体"/>
          <w:sz w:val="24"/>
          <w:lang w:val="en"/>
        </w:rPr>
        <w:t xml:space="preserve">王</w:t>
      </w:r>
      <w:r>
        <w:rPr>
          <w:rFonts w:hint="eastAsia" w:ascii="宋体" w:hAnsi="宋体" w:eastAsia="宋体" w:cs="宋体"/>
          <w:sz w:val="24"/>
          <w:lang w:val="en"/>
        </w:rPr>
        <w:t xml:space="preserve">老师</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联系电话：</w:t>
      </w:r>
      <w:r>
        <w:rPr>
          <w:rFonts w:ascii="宋体" w:hAnsi="宋体" w:eastAsia="宋体" w:cs="宋体"/>
          <w:sz w:val="24"/>
          <w:lang w:val="en"/>
        </w:rPr>
        <w:t xml:space="preserve">0512-69379123</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2.采购代理机构信息</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名  称</w:t>
      </w:r>
      <w:r>
        <w:rPr>
          <w:rFonts w:hint="eastAsia" w:ascii="宋体" w:hAnsi="宋体" w:eastAsia="宋体" w:cs="宋体"/>
          <w:sz w:val="24"/>
          <w:lang w:val="en"/>
        </w:rPr>
        <w:t xml:space="preserve">：江苏省招标中心有限公司</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bookmarkStart w:id="1" w:name="OLE_LINK2"/>
      <w:r>
        <w:rPr>
          <w:rFonts w:hint="eastAsia" w:ascii="宋体" w:hAnsi="宋体" w:eastAsia="宋体" w:cs="宋体"/>
          <w:sz w:val="24"/>
          <w:lang w:val="en"/>
        </w:rPr>
        <w:t xml:space="preserve">地  址</w:t>
      </w:r>
      <w:r>
        <w:rPr>
          <w:rFonts w:hint="eastAsia" w:ascii="宋体" w:hAnsi="宋体" w:eastAsia="宋体" w:cs="宋体"/>
          <w:sz w:val="24"/>
          <w:lang w:val="en"/>
        </w:rPr>
        <w:t xml:space="preserve">：</w:t>
      </w:r>
      <w:bookmarkEnd w:id="1"/>
      <w:r>
        <w:rPr>
          <w:rFonts w:hint="eastAsia" w:ascii="宋体" w:hAnsi="宋体" w:eastAsia="宋体" w:cs="宋体"/>
          <w:sz w:val="24"/>
          <w:lang w:val="en"/>
        </w:rPr>
        <w:t xml:space="preserve">江苏省南京市鼓楼区郑和中路118号D座12楼</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联系方式：潘翰林、姜瑶、陈诚</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电  话</w:t>
      </w:r>
      <w:r>
        <w:rPr>
          <w:rFonts w:hint="eastAsia" w:ascii="宋体" w:hAnsi="宋体" w:eastAsia="宋体" w:cs="宋体"/>
          <w:sz w:val="24"/>
          <w:lang w:val="en"/>
        </w:rPr>
        <w:t xml:space="preserve">：025-83307352、83249926、83248600</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3.项目联系方式</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项目联系人：潘翰林、姜瑶、陈诚</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电  话</w:t>
      </w:r>
      <w:r>
        <w:rPr>
          <w:rFonts w:hint="eastAsia" w:ascii="宋体" w:hAnsi="宋体" w:eastAsia="宋体" w:cs="宋体"/>
          <w:sz w:val="24"/>
          <w:lang w:val="en"/>
        </w:rPr>
        <w:t xml:space="preserve">：025-83307352、83249926、83248600</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r/>
      <w:r/>
    </w:p>
    <w:p>
      <w:r/>
      <w:r/>
    </w:p>
    <w:p>
      <w:r/>
      <w:r/>
    </w:p>
    <w:p>
      <w:r/>
      <w:r/>
    </w:p>
    <w:p>
      <w:r/>
      <w:r/>
    </w:p>
    <w:p>
      <w:r/>
      <w:r/>
    </w:p>
    <w:p>
      <w:r/>
      <w:r/>
    </w:p>
    <w:p>
      <w:r/>
      <w:r/>
    </w:p>
    <w:p>
      <w:r/>
      <w:r/>
    </w:p>
    <w:p>
      <w:r/>
      <w:r/>
    </w:p>
    <w:p>
      <w:r/>
      <w:r/>
    </w:p>
    <w:p>
      <w:r/>
      <w:r/>
    </w:p>
    <w:p>
      <w:r/>
      <w:r/>
    </w:p>
    <w:p>
      <w:r/>
      <w:r/>
    </w:p>
    <w:p>
      <w:pPr>
        <w:pStyle w:val="786"/>
        <w:jc w:val="center"/>
        <w:spacing w:before="340" w:after="330" w:line="1056" w:lineRule="atLeast"/>
        <w:pBdr>
          <w:top w:val="none" w:color="000000" w:sz="0" w:space="0"/>
          <w:left w:val="none" w:color="000000" w:sz="0" w:space="0"/>
          <w:bottom w:val="none" w:color="000000" w:sz="0" w:space="0"/>
          <w:right w:val="none" w:color="000000" w:sz="0" w:space="0"/>
        </w:pBdr>
      </w:pPr>
      <w:r/>
      <w:bookmarkStart w:id="2" w:name="_Toc22881"/>
      <w:r>
        <w:rPr>
          <w:rFonts w:ascii="宋体" w:hAnsi="宋体" w:eastAsia="宋体" w:cs="宋体"/>
          <w:b/>
          <w:sz w:val="44"/>
        </w:rPr>
        <w:t xml:space="preserve">第二章 </w:t>
      </w:r>
      <w:r>
        <w:rPr>
          <w:rFonts w:hint="eastAsia" w:ascii="宋体" w:hAnsi="宋体" w:eastAsia="宋体" w:cs="宋体"/>
          <w:b/>
          <w:sz w:val="44"/>
        </w:rPr>
        <w:t xml:space="preserve">供应商</w:t>
      </w:r>
      <w:r>
        <w:rPr>
          <w:rFonts w:ascii="宋体" w:hAnsi="宋体" w:eastAsia="宋体" w:cs="宋体"/>
          <w:b/>
          <w:sz w:val="44"/>
        </w:rPr>
        <w:t xml:space="preserve">须知</w:t>
      </w:r>
      <w:bookmarkEnd w:id="2"/>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b/>
          <w:bCs/>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rPr>
        <w:t xml:space="preserve">前附表</w:t>
      </w:r>
      <w:r/>
    </w:p>
    <w:tbl>
      <w:tblPr>
        <w:tblStyle w:val="84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7"/>
        <w:gridCol w:w="1708"/>
        <w:gridCol w:w="6816"/>
      </w:tblGrid>
      <w:tr>
        <w:trPr>
          <w:trHeight w:val="579"/>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920"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w:t>
            </w:r>
            <w:r/>
          </w:p>
        </w:tc>
        <w:tc>
          <w:tcPr>
            <w:tcMar>
              <w:left w:w="108" w:type="dxa"/>
              <w:top w:w="0" w:type="dxa"/>
              <w:right w:w="108" w:type="dxa"/>
              <w:bottom w:w="0" w:type="dxa"/>
            </w:tcMar>
            <w:tcW w:w="3672"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r>
      <w:tr>
        <w:trPr>
          <w:trHeight w:val="658"/>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Mar>
              <w:left w:w="108" w:type="dxa"/>
              <w:top w:w="0" w:type="dxa"/>
              <w:right w:w="108" w:type="dxa"/>
              <w:bottom w:w="0" w:type="dxa"/>
            </w:tcMar>
            <w:tcW w:w="3672"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CAVE沉浸式虚拟现实行为与认知实验系统</w:t>
            </w:r>
            <w:r/>
          </w:p>
        </w:tc>
      </w:tr>
      <w:tr>
        <w:trPr>
          <w:trHeight w:val="622"/>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3672"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中标供应商应当在合同签订后</w:t>
            </w:r>
            <w:r>
              <w:rPr>
                <w:rFonts w:ascii="宋体" w:hAnsi="宋体" w:eastAsia="宋体" w:cs="宋体"/>
                <w:sz w:val="24"/>
              </w:rPr>
              <w:t xml:space="preserve">30个日历日</w:t>
            </w:r>
            <w:r>
              <w:rPr>
                <w:rFonts w:hint="eastAsia" w:ascii="宋体" w:hAnsi="宋体" w:eastAsia="宋体" w:cs="宋体"/>
                <w:sz w:val="24"/>
              </w:rPr>
              <w:t xml:space="preserve">内将货物运送至采购人指定地点（采购方另行约定时间的除外）</w:t>
            </w:r>
            <w:r/>
          </w:p>
        </w:tc>
      </w:tr>
      <w:tr>
        <w:trPr>
          <w:trHeight w:val="405"/>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采购预算</w:t>
            </w:r>
            <w:r/>
          </w:p>
        </w:tc>
        <w:tc>
          <w:tcPr>
            <w:tcMar>
              <w:left w:w="108" w:type="dxa"/>
              <w:top w:w="0" w:type="dxa"/>
              <w:right w:w="108" w:type="dxa"/>
              <w:bottom w:w="0" w:type="dxa"/>
            </w:tcMar>
            <w:tcW w:w="3672"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人民币170.00万元</w:t>
            </w:r>
            <w:r/>
          </w:p>
        </w:tc>
      </w:tr>
      <w:tr>
        <w:trPr>
          <w:trHeight w:val="405"/>
        </w:trPr>
        <w:tc>
          <w:tcPr>
            <w:tcMar>
              <w:left w:w="108" w:type="dxa"/>
              <w:top w:w="0" w:type="dxa"/>
              <w:right w:w="108" w:type="dxa"/>
              <w:bottom w:w="0" w:type="dxa"/>
            </w:tcMar>
            <w:tcW w:w="408" w:type="pct"/>
            <w:vAlign w:val="center"/>
            <w:textDirection w:val="lrTb"/>
            <w:noWrap w:val="false"/>
          </w:tcPr>
          <w:p>
            <w:pPr>
              <w:jc w:val="cente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p>
        </w:tc>
        <w:tc>
          <w:tcPr>
            <w:tcMar>
              <w:left w:w="108" w:type="dxa"/>
              <w:top w:w="0" w:type="dxa"/>
              <w:right w:w="108" w:type="dxa"/>
              <w:bottom w:w="0" w:type="dxa"/>
            </w:tcMar>
            <w:tcW w:w="920" w:type="pct"/>
            <w:vAlign w:val="center"/>
            <w:textDirection w:val="lrTb"/>
            <w:noWrap w:val="false"/>
          </w:tcPr>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最高限价</w:t>
            </w:r>
            <w:r/>
          </w:p>
        </w:tc>
        <w:tc>
          <w:tcPr>
            <w:tcMar>
              <w:left w:w="108" w:type="dxa"/>
              <w:top w:w="0" w:type="dxa"/>
              <w:right w:w="108" w:type="dxa"/>
              <w:bottom w:w="0" w:type="dxa"/>
            </w:tcMar>
            <w:tcW w:w="3672" w:type="pct"/>
            <w:vAlign w:val="center"/>
            <w:textDirection w:val="lrTb"/>
            <w:noWrap w:val="false"/>
          </w:tcPr>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人民币</w:t>
            </w:r>
            <w:r>
              <w:rPr>
                <w:rFonts w:ascii="宋体" w:hAnsi="宋体" w:eastAsia="宋体" w:cs="宋体"/>
                <w:sz w:val="24"/>
              </w:rPr>
              <w:t xml:space="preserve">163.29</w:t>
            </w:r>
            <w:r>
              <w:rPr>
                <w:rFonts w:hint="eastAsia" w:ascii="宋体" w:hAnsi="宋体" w:eastAsia="宋体" w:cs="宋体"/>
                <w:sz w:val="24"/>
              </w:rPr>
              <w:t xml:space="preserve">万元</w:t>
            </w:r>
            <w:r/>
          </w:p>
        </w:tc>
      </w:tr>
      <w:tr>
        <w:trPr>
          <w:trHeight w:val="90"/>
        </w:trPr>
        <w:tc>
          <w:tcPr>
            <w:tcMar>
              <w:left w:w="108" w:type="dxa"/>
              <w:top w:w="0" w:type="dxa"/>
              <w:right w:w="108" w:type="dxa"/>
              <w:bottom w:w="0" w:type="dxa"/>
            </w:tcMar>
            <w:tcW w:w="408" w:type="pct"/>
            <w:vAlign w:val="center"/>
            <w:textDirection w:val="lrTb"/>
            <w:noWrap w:val="false"/>
          </w:tcPr>
          <w:p>
            <w:pPr>
              <w:jc w:val="cente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p>
        </w:tc>
        <w:tc>
          <w:tcPr>
            <w:tcMar>
              <w:left w:w="108" w:type="dxa"/>
              <w:top w:w="0" w:type="dxa"/>
              <w:right w:w="108" w:type="dxa"/>
              <w:bottom w:w="0" w:type="dxa"/>
            </w:tcMar>
            <w:tcW w:w="920" w:type="pct"/>
            <w:vAlign w:val="center"/>
            <w:textDirection w:val="lrTb"/>
            <w:noWrap w:val="false"/>
          </w:tcPr>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申请人的资格要求</w:t>
            </w:r>
            <w:r/>
          </w:p>
        </w:tc>
        <w:tc>
          <w:tcPr>
            <w:tcMar>
              <w:left w:w="108" w:type="dxa"/>
              <w:top w:w="0" w:type="dxa"/>
              <w:right w:w="108" w:type="dxa"/>
              <w:bottom w:w="0" w:type="dxa"/>
            </w:tcMar>
            <w:tcW w:w="3672" w:type="pct"/>
            <w:vAlign w:val="center"/>
            <w:textDirection w:val="lrTb"/>
            <w:noWrap w:val="false"/>
          </w:tcPr>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详见招标公告</w:t>
            </w:r>
            <w:r/>
          </w:p>
        </w:tc>
      </w:tr>
      <w:tr>
        <w:trPr>
          <w:trHeight w:val="606"/>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联合体投标</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不接受</w:t>
            </w:r>
            <w:r/>
          </w:p>
        </w:tc>
      </w:tr>
      <w:tr>
        <w:trPr>
          <w:trHeight w:val="550"/>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进口产品</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不</w:t>
            </w:r>
            <w:r>
              <w:rPr>
                <w:rFonts w:ascii="宋体" w:hAnsi="宋体" w:eastAsia="宋体" w:cs="宋体"/>
                <w:sz w:val="24"/>
              </w:rPr>
              <w:t xml:space="preserve">接受</w:t>
            </w:r>
            <w:r/>
          </w:p>
        </w:tc>
      </w:tr>
      <w:tr>
        <w:trPr>
          <w:trHeight w:val="539"/>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现场考察</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不集中组织现场考察</w:t>
            </w:r>
            <w:r/>
          </w:p>
        </w:tc>
      </w:tr>
      <w:tr>
        <w:trPr>
          <w:trHeight w:val="1484"/>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投标答疑会</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不召开</w:t>
            </w:r>
            <w:r>
              <w:rPr>
                <w:rFonts w:hint="eastAsia" w:ascii="宋体" w:hAnsi="宋体" w:eastAsia="宋体" w:cs="宋体"/>
                <w:sz w:val="24"/>
              </w:rPr>
              <w:t xml:space="preserve">，供应商</w:t>
            </w:r>
            <w:r>
              <w:rPr>
                <w:rFonts w:ascii="宋体" w:hAnsi="宋体" w:eastAsia="宋体" w:cs="宋体"/>
                <w:sz w:val="24"/>
              </w:rPr>
              <w:t xml:space="preserve">对招标文件如有疑问，可通过公告中的联系方式及时提出，采购人或采购代理机构将予以解答，但答复内容不得涉及商业秘密。</w:t>
            </w:r>
            <w:r/>
          </w:p>
        </w:tc>
      </w:tr>
      <w:tr>
        <w:trPr>
          <w:trHeight w:val="568"/>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投标货币</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人民币</w:t>
            </w:r>
            <w:r/>
          </w:p>
        </w:tc>
      </w:tr>
      <w:tr>
        <w:trPr>
          <w:trHeight w:val="625"/>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合同方式</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固定总价合同</w:t>
            </w:r>
            <w:r/>
          </w:p>
        </w:tc>
      </w:tr>
      <w:tr>
        <w:trPr>
          <w:trHeight w:val="657"/>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w:t>
            </w:r>
            <w:r/>
          </w:p>
        </w:tc>
        <w:tc>
          <w:tcPr>
            <w:tcMar>
              <w:left w:w="108" w:type="dxa"/>
              <w:top w:w="0" w:type="dxa"/>
              <w:right w:w="108" w:type="dxa"/>
              <w:bottom w:w="0" w:type="dxa"/>
            </w:tcMar>
            <w:tcW w:w="920" w:type="pct"/>
            <w:vAlign w:val="center"/>
            <w:textDirection w:val="lrTb"/>
            <w:noWrap w:val="false"/>
          </w:tcPr>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招标代理费</w:t>
            </w:r>
            <w:r/>
          </w:p>
        </w:tc>
        <w:tc>
          <w:tcPr>
            <w:tcMar>
              <w:left w:w="108" w:type="dxa"/>
              <w:top w:w="0" w:type="dxa"/>
              <w:right w:w="108" w:type="dxa"/>
              <w:bottom w:w="0" w:type="dxa"/>
            </w:tcMar>
            <w:tcW w:w="3672" w:type="pct"/>
            <w:vAlign w:val="center"/>
            <w:textDirection w:val="lrTb"/>
            <w:noWrap w:val="false"/>
          </w:tcPr>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1.支付主体和报价要求：本项目采购代理服务费由中标/成交供应商支付，供应商在报价时应将代理服务费全额包含在投标/响应总价中，采购人不再另行支付。</w:t>
            </w:r>
            <w:r/>
          </w:p>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2.原因：为优化采购资金使用效率，依据《政府采购代理机构管理暂行办法》（财库〔2018〕2号）第十五条规定，经采购人研究确定，本项目代理服务费由中标/成交供应商支付。</w:t>
            </w:r>
            <w:r/>
          </w:p>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3.收取方式：中标/成交供应商在领取中标/成交通知书前，一次性向采购代理机构足额支付；支付方式为银行转账/电汇/现金。</w:t>
            </w:r>
            <w:r/>
          </w:p>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4.收费标准：</w:t>
            </w:r>
            <w:r>
              <w:rPr>
                <w:rFonts w:ascii="宋体" w:hAnsi="宋体" w:eastAsia="宋体" w:cs="宋体"/>
                <w:sz w:val="24"/>
              </w:rPr>
              <w:t xml:space="preserve">《招标代理服务收费管理暂行办法》（计价格</w:t>
            </w:r>
            <w:r>
              <w:rPr>
                <w:rFonts w:ascii="宋体" w:hAnsi="宋体" w:eastAsia="宋体" w:cs="宋体"/>
                <w:sz w:val="24"/>
              </w:rPr>
              <w:t xml:space="preserve">[2002]1980号）所列标准的50%</w:t>
            </w:r>
            <w:r>
              <w:rPr>
                <w:rFonts w:hint="eastAsia" w:ascii="宋体" w:hAnsi="宋体" w:eastAsia="宋体" w:cs="宋体"/>
                <w:sz w:val="24"/>
              </w:rPr>
              <w:t xml:space="preserve">。</w:t>
            </w:r>
            <w:r/>
          </w:p>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5.确定标准的依据：《政府采购代理机构管理暂行办法》（财库〔2018〕2号）、《招标代理服务收费管理暂行办法》（计价格〔2002〕1980号）、本项目委托代理协议。</w:t>
            </w:r>
            <w:r/>
          </w:p>
        </w:tc>
      </w:tr>
      <w:tr>
        <w:trPr>
          <w:trHeight w:val="712"/>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投标保证金</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Cs/>
                <w:sz w:val="24"/>
              </w:rPr>
              <w:t xml:space="preserve">不提交，招标文件内关于投标保证金的相关规定均不适用。</w:t>
            </w:r>
            <w:r/>
          </w:p>
        </w:tc>
      </w:tr>
      <w:tr>
        <w:trPr>
          <w:trHeight w:val="429"/>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w:t>
            </w:r>
            <w:r/>
          </w:p>
        </w:tc>
        <w:tc>
          <w:tcPr>
            <w:tcMar>
              <w:left w:w="108" w:type="dxa"/>
              <w:top w:w="0" w:type="dxa"/>
              <w:right w:w="108" w:type="dxa"/>
              <w:bottom w:w="0" w:type="dxa"/>
            </w:tcMar>
            <w:tcW w:w="920" w:type="pct"/>
            <w:vAlign w:val="center"/>
            <w:textDirection w:val="lrTb"/>
            <w:noWrap w:val="false"/>
          </w:tcPr>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投标文件有效期</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90日历天</w:t>
            </w:r>
            <w:r>
              <w:rPr>
                <w:rFonts w:ascii="宋体" w:hAnsi="宋体" w:eastAsia="宋体" w:cs="宋体"/>
                <w:sz w:val="24"/>
              </w:rPr>
              <w:t xml:space="preserve">（从投标截止之日算起）</w:t>
            </w:r>
            <w:r/>
          </w:p>
        </w:tc>
      </w:tr>
      <w:tr>
        <w:trPr>
          <w:trHeight w:val="564"/>
        </w:trPr>
        <w:tc>
          <w:tcPr>
            <w:tcMar>
              <w:left w:w="108" w:type="dxa"/>
              <w:top w:w="0" w:type="dxa"/>
              <w:right w:w="108" w:type="dxa"/>
              <w:bottom w:w="0" w:type="dxa"/>
            </w:tcMar>
            <w:tcW w:w="408" w:type="pct"/>
            <w:vAlign w:val="center"/>
            <w:vMerge w:val="restart"/>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投标截止时间</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时间：2026年</w:t>
            </w:r>
            <w:r>
              <w:rPr>
                <w:rFonts w:hint="eastAsia" w:ascii="宋体" w:hAnsi="宋体" w:eastAsia="宋体" w:cs="宋体"/>
                <w:sz w:val="24"/>
              </w:rPr>
              <w:t xml:space="preserve">9</w:t>
            </w:r>
            <w:r>
              <w:rPr>
                <w:rFonts w:ascii="宋体" w:hAnsi="宋体" w:eastAsia="宋体" w:cs="宋体"/>
                <w:sz w:val="24"/>
              </w:rPr>
              <w:t xml:space="preserve">月</w:t>
            </w:r>
            <w:r>
              <w:rPr>
                <w:rFonts w:hint="eastAsia" w:ascii="宋体" w:hAnsi="宋体" w:eastAsia="宋体" w:cs="宋体"/>
                <w:sz w:val="24"/>
              </w:rPr>
              <w:t xml:space="preserve">7</w:t>
            </w:r>
            <w:r>
              <w:rPr>
                <w:rFonts w:ascii="宋体" w:hAnsi="宋体" w:eastAsia="宋体" w:cs="宋体"/>
                <w:sz w:val="24"/>
              </w:rPr>
              <w:t xml:space="preserve">日09时30分（北京时间）</w:t>
            </w:r>
            <w:r/>
          </w:p>
        </w:tc>
      </w:tr>
      <w:tr>
        <w:trPr>
          <w:trHeight w:val="399"/>
        </w:trPr>
        <w:tc>
          <w:tcPr>
            <w:tcW w:w="408" w:type="pct"/>
            <w:vAlign w:val="center"/>
            <w:vMerge w:val="continue"/>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投标地点</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7"/>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w:t>
            </w:r>
            <w:r/>
          </w:p>
        </w:tc>
        <w:tc>
          <w:tcPr>
            <w:tcMar>
              <w:left w:w="108" w:type="dxa"/>
              <w:top w:w="0" w:type="dxa"/>
              <w:right w:w="108" w:type="dxa"/>
              <w:bottom w:w="0" w:type="dxa"/>
            </w:tcMar>
            <w:tcW w:w="920" w:type="pct"/>
            <w:vAlign w:val="center"/>
            <w:textDirection w:val="lrTb"/>
            <w:noWrap w:val="false"/>
          </w:tcPr>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开标时间和</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hint="eastAsia" w:ascii="宋体" w:hAnsi="宋体" w:eastAsia="宋体" w:cs="宋体"/>
                <w:sz w:val="24"/>
              </w:rPr>
              <w:t xml:space="preserve">2026年</w:t>
            </w:r>
            <w:r>
              <w:rPr>
                <w:rFonts w:hint="eastAsia" w:ascii="宋体" w:hAnsi="宋体" w:eastAsia="宋体" w:cs="宋体"/>
                <w:sz w:val="24"/>
              </w:rPr>
              <w:t xml:space="preserve">9</w:t>
            </w:r>
            <w:r>
              <w:rPr>
                <w:rFonts w:hint="eastAsia" w:ascii="宋体" w:hAnsi="宋体" w:eastAsia="宋体" w:cs="宋体"/>
                <w:sz w:val="24"/>
              </w:rPr>
              <w:t xml:space="preserve">月</w:t>
            </w:r>
            <w:r>
              <w:rPr>
                <w:rFonts w:hint="eastAsia" w:ascii="宋体" w:hAnsi="宋体" w:eastAsia="宋体" w:cs="宋体"/>
                <w:sz w:val="24"/>
              </w:rPr>
              <w:t xml:space="preserve">7</w:t>
            </w:r>
            <w:r>
              <w:rPr>
                <w:rFonts w:hint="eastAsia" w:ascii="宋体" w:hAnsi="宋体" w:eastAsia="宋体" w:cs="宋体"/>
                <w:sz w:val="24"/>
              </w:rPr>
              <w:t xml:space="preserve">日09时30分（北京时间）</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39"/>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评标办法</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综合评分法</w:t>
            </w:r>
            <w:r/>
          </w:p>
        </w:tc>
      </w:tr>
      <w:tr>
        <w:trPr>
          <w:trHeight w:val="486"/>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18</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定标办法</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w:t>
            </w:r>
            <w:r>
              <w:rPr>
                <w:rFonts w:ascii="宋体" w:hAnsi="宋体" w:eastAsia="宋体" w:cs="宋体"/>
                <w:sz w:val="24"/>
              </w:rPr>
              <w:t xml:space="preserve">授权评标委员会按照</w:t>
            </w:r>
            <w:r>
              <w:rPr>
                <w:rFonts w:hint="eastAsia" w:ascii="宋体" w:hAnsi="宋体" w:eastAsia="宋体" w:cs="宋体"/>
                <w:sz w:val="24"/>
              </w:rPr>
              <w:t xml:space="preserve">招标文件</w:t>
            </w:r>
            <w:r>
              <w:rPr>
                <w:rFonts w:ascii="宋体" w:hAnsi="宋体" w:eastAsia="宋体" w:cs="宋体"/>
                <w:sz w:val="24"/>
              </w:rPr>
              <w:t xml:space="preserve">要求确定中标</w:t>
            </w:r>
            <w:r>
              <w:rPr>
                <w:rFonts w:hint="eastAsia" w:ascii="宋体" w:hAnsi="宋体" w:eastAsia="宋体" w:cs="宋体"/>
                <w:sz w:val="24"/>
              </w:rPr>
              <w:t xml:space="preserve">单位</w:t>
            </w:r>
            <w:r>
              <w:rPr>
                <w:rFonts w:ascii="宋体" w:hAnsi="宋体" w:eastAsia="宋体" w:cs="宋体"/>
                <w:sz w:val="24"/>
              </w:rPr>
              <w:t xml:space="preserve">。</w:t>
            </w:r>
            <w:r/>
          </w:p>
        </w:tc>
      </w:tr>
      <w:tr>
        <w:trPr>
          <w:trHeight w:val="622"/>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无</w:t>
            </w:r>
            <w:r/>
          </w:p>
        </w:tc>
      </w:tr>
      <w:tr>
        <w:trPr>
          <w:trHeight w:val="622"/>
        </w:trPr>
        <w:tc>
          <w:tcPr>
            <w:tcMar>
              <w:left w:w="108" w:type="dxa"/>
              <w:top w:w="0" w:type="dxa"/>
              <w:right w:w="108" w:type="dxa"/>
              <w:bottom w:w="0" w:type="dxa"/>
            </w:tcMar>
            <w:tcW w:w="408" w:type="pct"/>
            <w:vAlign w:val="center"/>
            <w:textDirection w:val="lrTb"/>
            <w:noWrap w:val="false"/>
          </w:tcPr>
          <w:p>
            <w:pPr>
              <w:jc w:val="cente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20</w:t>
            </w:r>
            <w:r/>
          </w:p>
        </w:tc>
        <w:tc>
          <w:tcPr>
            <w:tcMar>
              <w:left w:w="108" w:type="dxa"/>
              <w:top w:w="0" w:type="dxa"/>
              <w:right w:w="108" w:type="dxa"/>
              <w:bottom w:w="0" w:type="dxa"/>
            </w:tcMar>
            <w:tcW w:w="920" w:type="pct"/>
            <w:vAlign w:val="center"/>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w:t>
            </w:r>
            <w:r/>
          </w:p>
        </w:tc>
        <w:tc>
          <w:tcPr>
            <w:tcMar>
              <w:left w:w="108" w:type="dxa"/>
              <w:top w:w="0" w:type="dxa"/>
              <w:right w:w="108" w:type="dxa"/>
              <w:bottom w:w="0" w:type="dxa"/>
            </w:tcMar>
            <w:tcW w:w="3672" w:type="pct"/>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联系部门：江苏省招标中心有限公司</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通讯地址：</w:t>
            </w:r>
            <w:r>
              <w:rPr>
                <w:rFonts w:ascii="宋体" w:hAnsi="宋体" w:eastAsia="宋体" w:cs="宋体"/>
                <w:sz w:val="24"/>
                <w:szCs w:val="24"/>
              </w:rPr>
              <w:t xml:space="preserve">江苏省南京市鼓楼区郑和中路118号D座12楼</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联系方式：潘翰林、姜瑶、陈诚</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  话</w:t>
            </w:r>
            <w:r>
              <w:rPr>
                <w:rFonts w:hint="eastAsia" w:ascii="宋体" w:hAnsi="宋体" w:eastAsia="宋体" w:cs="宋体"/>
                <w:sz w:val="24"/>
                <w:szCs w:val="24"/>
              </w:rPr>
              <w:t xml:space="preserve">：025-83307352、83249926、83248600</w:t>
            </w:r>
            <w:r/>
          </w:p>
        </w:tc>
      </w:tr>
      <w:tr>
        <w:trPr>
          <w:trHeight w:val="571"/>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签订合同</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中标通知书发出之日起</w:t>
            </w:r>
            <w:r>
              <w:rPr>
                <w:rFonts w:hint="eastAsia" w:ascii="宋体" w:hAnsi="宋体" w:eastAsia="宋体" w:cs="宋体"/>
                <w:sz w:val="24"/>
              </w:rPr>
              <w:t xml:space="preserve">30</w:t>
            </w:r>
            <w:r>
              <w:rPr>
                <w:rFonts w:ascii="宋体" w:hAnsi="宋体" w:eastAsia="宋体" w:cs="宋体"/>
                <w:sz w:val="24"/>
              </w:rPr>
              <w:t xml:space="preserve">日内</w:t>
            </w:r>
            <w:r/>
          </w:p>
        </w:tc>
      </w:tr>
      <w:tr>
        <w:trPr>
          <w:trHeight w:val="571"/>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监督电话</w:t>
            </w:r>
            <w:r/>
          </w:p>
        </w:tc>
        <w:tc>
          <w:tcPr>
            <w:tcMar>
              <w:left w:w="108" w:type="dxa"/>
              <w:top w:w="0" w:type="dxa"/>
              <w:right w:w="108" w:type="dxa"/>
              <w:bottom w:w="0" w:type="dxa"/>
            </w:tcMar>
            <w:tcW w:w="3672"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政府采购监督电话：</w:t>
            </w:r>
            <w:r>
              <w:rPr>
                <w:rFonts w:hint="eastAsia" w:ascii="宋体" w:hAnsi="宋体" w:eastAsia="宋体" w:cs="宋体"/>
                <w:sz w:val="24"/>
              </w:rPr>
              <w:t xml:space="preserve">025-83633058</w:t>
            </w:r>
            <w:r/>
          </w:p>
        </w:tc>
      </w:tr>
      <w:tr>
        <w:trPr>
          <w:trHeight w:val="571"/>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w:t>
            </w:r>
            <w:r/>
          </w:p>
        </w:tc>
        <w:tc>
          <w:tcPr>
            <w:tcMar>
              <w:left w:w="108" w:type="dxa"/>
              <w:top w:w="0" w:type="dxa"/>
              <w:right w:w="108" w:type="dxa"/>
              <w:bottom w:w="0" w:type="dxa"/>
            </w:tcMar>
            <w:tcW w:w="920"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特别提醒</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本项目采用电子网上招投标。</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供应商</w:t>
            </w:r>
            <w:r>
              <w:rPr>
                <w:rFonts w:ascii="宋体" w:hAnsi="宋体" w:eastAsia="宋体" w:cs="宋体"/>
                <w:sz w:val="24"/>
              </w:rPr>
              <w:t xml:space="preserve">需要通过CA证书，使用政府采购客户端工具制作电子投标文件，并在提交投标文件上传截止时间之前对投标文件进行加密并上传；</w:t>
            </w:r>
            <w:r/>
          </w:p>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供应商</w:t>
            </w:r>
            <w:r>
              <w:rPr>
                <w:rFonts w:ascii="宋体" w:hAnsi="宋体" w:eastAsia="宋体" w:cs="宋体"/>
                <w:sz w:val="24"/>
              </w:rPr>
              <w:t xml:space="preserve">需携带加密文件的CA证书，在项目开启后，开始解密投标文件，请</w:t>
            </w:r>
            <w:r>
              <w:rPr>
                <w:rFonts w:hint="eastAsia" w:ascii="宋体" w:hAnsi="宋体" w:eastAsia="宋体" w:cs="宋体"/>
                <w:sz w:val="24"/>
              </w:rPr>
              <w:t xml:space="preserve">供应商</w:t>
            </w:r>
            <w:r>
              <w:rPr>
                <w:rFonts w:ascii="宋体" w:hAnsi="宋体" w:eastAsia="宋体" w:cs="宋体"/>
                <w:sz w:val="24"/>
              </w:rPr>
              <w:t xml:space="preserve">预留足够的解密时间。</w:t>
            </w:r>
            <w:r>
              <w:rPr>
                <w:rFonts w:hint="eastAsia" w:ascii="宋体" w:hAnsi="宋体" w:eastAsia="宋体" w:cs="宋体"/>
                <w:sz w:val="24"/>
              </w:rPr>
              <w:t xml:space="preserve">如在系统规定的解密时间内未能完成解密的视为放弃参与本项目。</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3.请供应商确保电脑、系统及其他设备（视频输入输出设备等）无误，且开启直至项目结束始终保持系统在线状态。</w:t>
            </w:r>
            <w:r/>
          </w:p>
        </w:tc>
      </w:tr>
    </w:tbl>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一、说明和释义</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1.说明</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1.1本招标文件仅适用于江苏省招标中心有限公司组织的招标活动。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1.3本招标文件的解释权属于江苏省招标中心有限公司。</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2.词语释义</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2.1采购人：指依法进行政府采购的国家机关、事业单位、团体组织。</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2.2供应商：指向采购人提供货物、工程或服务的法人、其他组织或者自然人。</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2.3供应商：指参加政府采购货物服务投标活动的供应商。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2.4采购代理机构：指依法接受采购人委托，从事货物、工程和服务等政府采购招标代理业务的社会中介机构。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2.5招标采购单位：采购人及采购代理机构的统称。</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2.7响应：供应商根据采购人或采购代理机构发售的招标文件，编制投标文件并按规定投标的行为。</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2.8知识产权：指专利权、商标权、著作权等无形财产专有权的统称。</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2.9天：日历日。</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2.10交货地点：合同中明确约定的乙方提交的货物最终地点。</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2.11不可抗力：不能预见、不能避免并且不能克服的客观情况。</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2.13进口产品：通过中国海关报关验放进入中国境内且产自关境外的产品。</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2.14书面形式：指书面文字、合同书、信件和传真等可以有形地表现所载内容的形式。</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二、供应商</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3.合格供应商的基本条件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3.1详见招标公告。</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4.合格供应商的落实政府采购政策资格要求、特定资格条件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4.1详见招标公告。</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5.供应商必须进入苏采云系统进行网上报名，否则不能参加本次招标活动。</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6.供应商代表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6.1指全权代表供应商参加投标活动并签署投标文件的人，如果供应商代表不是法人代表，须持有《法定代表人授权委托书》（详见统一格式）。</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7.联合投标（本项目不接受联合体投标）</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7.1联合体各方中至少应当有一方符合本招标文件规定的供应商资格条件的特定条件。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7.2联合体各方应签订联合投标协议</w:t>
      </w:r>
      <w:r>
        <w:rPr>
          <w:rFonts w:hint="eastAsia" w:ascii="宋体" w:hAnsi="宋体" w:eastAsia="宋体" w:cs="宋体"/>
          <w:sz w:val="24"/>
          <w:szCs w:val="24"/>
        </w:rPr>
        <w:t xml:space="preserve">（详见统一格式）</w:t>
      </w:r>
      <w:r>
        <w:rPr>
          <w:rFonts w:hint="eastAsia" w:ascii="宋体" w:hAnsi="宋体" w:eastAsia="宋体" w:cs="宋体"/>
          <w:sz w:val="24"/>
          <w:szCs w:val="24"/>
        </w:rPr>
        <w:t xml:space="preserve">，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7.3联合体各成员之间签订的联合体协议书应与投标文件一起递交。</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7.5联合体各方应当共同与采购人签订合同，就采购合同约定的事项对采购人承担连带责任。</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7.6除非另有规定或说明，本文中“供应商”一词亦指联合体各成员。</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8.投标费用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三、招标文件说明</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9.招标文件</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9.1招标文件由招标文件目录所列内容组成，供应商报名确认</w:t>
      </w:r>
      <w:r>
        <w:rPr>
          <w:rFonts w:hint="eastAsia" w:ascii="宋体" w:hAnsi="宋体" w:eastAsia="宋体" w:cs="宋体"/>
          <w:sz w:val="24"/>
          <w:szCs w:val="24"/>
        </w:rPr>
        <w:t xml:space="preserve">并</w:t>
      </w:r>
      <w:r>
        <w:rPr>
          <w:rFonts w:hint="eastAsia" w:ascii="宋体" w:hAnsi="宋体" w:eastAsia="宋体" w:cs="宋体"/>
          <w:sz w:val="24"/>
          <w:szCs w:val="24"/>
        </w:rPr>
        <w:t xml:space="preserve">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w:t>
      </w:r>
      <w:r>
        <w:rPr>
          <w:rFonts w:hint="eastAsia" w:ascii="宋体" w:hAnsi="宋体" w:eastAsia="宋体" w:cs="宋体"/>
          <w:sz w:val="24"/>
          <w:szCs w:val="24"/>
        </w:rPr>
        <w:t xml:space="preserve">文件要求提交全部资料，或投标文件没有对招标文件做出实质性响应，其风险由供应商自行承担，并根据有关条款规定，该投标有可能被拒绝。</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9.2招标文件及其更正文件不是直接从法定渠道获得的，招标采购单位对招标文件及其补遗的真实性、完整性不承担任何责任。</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10.现场考察</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10.2供应商应</w:t>
      </w:r>
      <w:r>
        <w:rPr>
          <w:rFonts w:hint="eastAsia" w:ascii="宋体" w:hAnsi="宋体" w:eastAsia="宋体" w:cs="宋体"/>
          <w:sz w:val="24"/>
          <w:szCs w:val="24"/>
        </w:rPr>
        <w:t xml:space="preserve">按</w:t>
      </w:r>
      <w:r>
        <w:rPr>
          <w:rFonts w:hint="eastAsia" w:ascii="宋体" w:hAnsi="宋体" w:eastAsia="宋体" w:cs="宋体"/>
          <w:sz w:val="24"/>
          <w:szCs w:val="24"/>
        </w:rPr>
        <w:t xml:space="preserve">规定对有关现场和周围环境进行考察，以获取编制投标文件和签署合同所需的信息。考察现场所发生的费用由供应商自己承担。</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11.投标答疑</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11.1供应商如有疑问需要澄清，可通过公告中的联系方式及时提出，采购人或采购代理机构将予以解答，但答复内容不得涉及商业秘密。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11.2迟于前附表规定时间的询问或提交的疑问或未在开标前答疑会提出的，采购人和采购代理机构有权拒绝回答，也不承担由此带来的对供应商投标结果的影响。</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12.招标文件的澄清和修改</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12.3招标文件的更正（含澄清、修改等）内容与原招标文件在同一内容上表述不一致时，以发出日期最接近开标时间的公告为准。</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四、投标文件说明</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13.投标文件计量单位和使用文字</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13.1投标文件中所使用的计量单位，除招标文件中有特殊要求外，均应使用中华人民共和国法定计量单位。</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14.知识产权</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15.投标文件的组成</w:t>
      </w:r>
      <w:r/>
    </w:p>
    <w:p>
      <w:pPr>
        <w:ind w:firstLine="47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基本目录：</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15.1封面</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15.2法定代表人授权委托书（如有授权）；</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15.3法定代表人身份证扫描件、代理人身份证扫描件签公章（如有授权）、代理人社保缴纳证明签公章（如有授权）；</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15.4供应商基本情况表；</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15.5拟用于本项目人员名单；</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15.6企业类似业绩一览表；</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15.7针对本次项目的设备供货安装实施方案，内容包括但不限于设备供货、安装、验收方案（需具体说明交货进度计划、验收的方案等内容）；</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15.8产品质量承诺；</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15.9货物的技术服务、售后服务承诺与售后服务方案等，其中售后服务承诺书格式见投标文件格式；</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15.10满足“节能产品和环境标志产品”政策规定的证明（如属于）；</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15.11招标文件规定提交的其他相关材料（如有）。</w:t>
      </w:r>
      <w:r/>
    </w:p>
    <w:p>
      <w:pPr>
        <w:ind w:firstLine="47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资格条件：</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w:t>
      </w:r>
      <w:r>
        <w:rPr>
          <w:rFonts w:hint="eastAsia" w:ascii="宋体" w:hAnsi="宋体" w:eastAsia="宋体" w:cs="宋体"/>
          <w:spacing w:val="-3"/>
          <w:sz w:val="24"/>
          <w:szCs w:val="24"/>
        </w:rPr>
        <w:t xml:space="preserve">2</w:t>
      </w:r>
      <w:r>
        <w:rPr>
          <w:rFonts w:hint="eastAsia" w:ascii="宋体" w:hAnsi="宋体" w:eastAsia="宋体" w:cs="宋体"/>
          <w:spacing w:val="-3"/>
          <w:sz w:val="24"/>
          <w:szCs w:val="24"/>
        </w:rPr>
        <w:t xml:space="preserve">供应商《营业执照》副本扫描件；</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w:t>
      </w:r>
      <w:r>
        <w:rPr>
          <w:rFonts w:hint="eastAsia" w:ascii="宋体" w:hAnsi="宋体" w:eastAsia="宋体" w:cs="宋体"/>
          <w:spacing w:val="-3"/>
          <w:sz w:val="24"/>
          <w:szCs w:val="24"/>
        </w:rPr>
        <w:t xml:space="preserve">3</w:t>
      </w:r>
      <w:r>
        <w:rPr>
          <w:rFonts w:hint="eastAsia" w:ascii="宋体" w:hAnsi="宋体" w:eastAsia="宋体" w:cs="宋体"/>
          <w:spacing w:val="-3"/>
          <w:sz w:val="24"/>
          <w:szCs w:val="24"/>
        </w:rPr>
        <w:t xml:space="preserve">供应商具有良好的商业信誉和健全的财务会计制度证明：</w:t>
      </w:r>
      <w:r>
        <w:rPr>
          <w:rFonts w:ascii="宋体" w:hAnsi="宋体" w:eastAsia="宋体" w:cs="宋体"/>
          <w:spacing w:val="-3"/>
          <w:sz w:val="24"/>
          <w:szCs w:val="24"/>
        </w:rPr>
        <w:t xml:space="preserve">提供企业2025年度财务审计报告或企业近三个月中任一月份的财务状况报告</w:t>
      </w:r>
      <w:r>
        <w:rPr>
          <w:rFonts w:ascii="宋体" w:hAnsi="宋体" w:eastAsia="宋体" w:cs="宋体"/>
          <w:spacing w:val="-3"/>
          <w:sz w:val="24"/>
          <w:szCs w:val="24"/>
        </w:rPr>
        <w:t xml:space="preserve">扫描</w:t>
      </w:r>
      <w:r>
        <w:rPr>
          <w:rFonts w:ascii="宋体" w:hAnsi="宋体" w:eastAsia="宋体" w:cs="宋体"/>
          <w:spacing w:val="-3"/>
          <w:sz w:val="24"/>
          <w:szCs w:val="24"/>
        </w:rPr>
        <w:t xml:space="preserve">件（至少包括资产负债表和利润表，加盖供应商公章）（法人或者其他组织成立未满三个月的可以不提供）或其基本开户银行出具的资信证明（距开标时间3个月内开具）</w:t>
      </w:r>
      <w:r>
        <w:rPr>
          <w:rFonts w:hint="eastAsia" w:ascii="宋体" w:hAnsi="宋体" w:eastAsia="宋体" w:cs="宋体"/>
          <w:spacing w:val="-3"/>
          <w:sz w:val="24"/>
          <w:szCs w:val="24"/>
        </w:rPr>
        <w:t xml:space="preserve">。</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w:t>
      </w:r>
      <w:r>
        <w:rPr>
          <w:rFonts w:hint="eastAsia" w:ascii="宋体" w:hAnsi="宋体" w:eastAsia="宋体" w:cs="宋体"/>
          <w:spacing w:val="-3"/>
          <w:sz w:val="24"/>
          <w:szCs w:val="24"/>
        </w:rPr>
        <w:t xml:space="preserve">4</w:t>
      </w:r>
      <w:r>
        <w:rPr>
          <w:rFonts w:hint="eastAsia" w:ascii="宋体" w:hAnsi="宋体" w:eastAsia="宋体" w:cs="宋体"/>
          <w:spacing w:val="-3"/>
          <w:sz w:val="24"/>
          <w:szCs w:val="24"/>
        </w:rPr>
        <w:t xml:space="preserve">供应商具有依法缴纳税收和社会保障资金的良好记录：</w:t>
      </w:r>
      <w:r>
        <w:rPr>
          <w:rFonts w:ascii="宋体" w:hAnsi="宋体" w:eastAsia="宋体" w:cs="宋体"/>
          <w:spacing w:val="-3"/>
          <w:sz w:val="24"/>
          <w:szCs w:val="24"/>
        </w:rPr>
        <w:t xml:space="preserve">提供企业近三个月中任一月份依法缴纳税收和社会保障资金的相关凭证材料，依法免缴、迟缴的应提供相应文件证明</w:t>
      </w:r>
      <w:r>
        <w:rPr>
          <w:rFonts w:hint="eastAsia" w:ascii="宋体" w:hAnsi="宋体" w:eastAsia="宋体" w:cs="宋体"/>
          <w:spacing w:val="-3"/>
          <w:sz w:val="24"/>
          <w:szCs w:val="24"/>
        </w:rPr>
        <w:t xml:space="preserve">；</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w:t>
      </w:r>
      <w:r>
        <w:rPr>
          <w:rFonts w:hint="eastAsia" w:ascii="宋体" w:hAnsi="宋体" w:eastAsia="宋体" w:cs="宋体"/>
          <w:spacing w:val="-3"/>
          <w:sz w:val="24"/>
          <w:szCs w:val="24"/>
        </w:rPr>
        <w:t xml:space="preserve">5</w:t>
      </w:r>
      <w:r>
        <w:rPr>
          <w:rFonts w:hint="eastAsia" w:ascii="宋体" w:hAnsi="宋体" w:eastAsia="宋体" w:cs="宋体"/>
          <w:spacing w:val="-3"/>
          <w:sz w:val="24"/>
          <w:szCs w:val="24"/>
        </w:rPr>
        <w:t xml:space="preserve">供应商</w:t>
      </w:r>
      <w:r>
        <w:rPr>
          <w:rFonts w:ascii="宋体" w:hAnsi="宋体" w:eastAsia="宋体" w:cs="宋体"/>
          <w:sz w:val="24"/>
          <w:lang w:val="en"/>
        </w:rPr>
        <w:t xml:space="preserve">具有履行合同所必需的设备和专业技术能力；（根据项目需求提供履行合同所必需的设备和专业技术能力的证明材料或提供承诺书，加盖公章</w:t>
      </w:r>
      <w:r>
        <w:rPr>
          <w:rFonts w:hint="eastAsia" w:ascii="宋体" w:hAnsi="宋体" w:eastAsia="宋体" w:cs="宋体"/>
          <w:spacing w:val="-3"/>
          <w:sz w:val="24"/>
          <w:szCs w:val="24"/>
        </w:rPr>
        <w:t xml:space="preserve">）；</w:t>
      </w:r>
      <w:r/>
    </w:p>
    <w:p>
      <w:pPr>
        <w:ind w:firstLine="468"/>
        <w:jc w:val="both"/>
        <w:spacing w:line="360" w:lineRule="auto"/>
        <w:rPr>
          <w:rFonts w:hint="eastAsia"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w:t>
      </w:r>
      <w:r>
        <w:rPr>
          <w:rFonts w:hint="eastAsia" w:ascii="宋体" w:hAnsi="宋体" w:eastAsia="宋体" w:cs="宋体"/>
          <w:spacing w:val="-3"/>
          <w:sz w:val="24"/>
          <w:szCs w:val="24"/>
        </w:rPr>
        <w:t xml:space="preserve">6</w:t>
      </w:r>
      <w:r>
        <w:rPr>
          <w:rFonts w:hint="eastAsia" w:ascii="宋体" w:hAnsi="宋体" w:eastAsia="宋体" w:cs="宋体"/>
          <w:spacing w:val="-3"/>
          <w:sz w:val="24"/>
          <w:szCs w:val="24"/>
        </w:rPr>
        <w:t xml:space="preserve">供应商</w:t>
      </w:r>
      <w:r>
        <w:rPr>
          <w:rFonts w:ascii="宋体" w:hAnsi="宋体" w:eastAsia="宋体" w:cs="宋体"/>
          <w:spacing w:val="-3"/>
          <w:sz w:val="24"/>
          <w:szCs w:val="24"/>
        </w:rPr>
        <w:t xml:space="preserve">参加政府采购活动前三年内，在经营活动中没有重大违法记录；（提供参加本次政府采购活动前3年内在经营活动中没有重大违法记录的书面声明，加盖公章）</w:t>
      </w:r>
      <w:r>
        <w:rPr>
          <w:rFonts w:hint="eastAsia" w:ascii="宋体" w:hAnsi="宋体" w:eastAsia="宋体" w:cs="宋体"/>
          <w:spacing w:val="-3"/>
          <w:sz w:val="24"/>
          <w:szCs w:val="24"/>
        </w:rPr>
        <w:t xml:space="preserve">；</w:t>
      </w:r>
      <w:r/>
    </w:p>
    <w:p>
      <w:pPr>
        <w:ind w:firstLine="468"/>
        <w:jc w:val="both"/>
        <w:spacing w:line="360" w:lineRule="auto"/>
        <w:rPr>
          <w:rFonts w:hint="eastAsia"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w:t>
      </w:r>
      <w:r>
        <w:rPr>
          <w:rFonts w:hint="eastAsia" w:ascii="宋体" w:hAnsi="宋体" w:eastAsia="宋体" w:cs="宋体"/>
          <w:spacing w:val="-3"/>
          <w:sz w:val="24"/>
          <w:szCs w:val="24"/>
        </w:rPr>
        <w:t xml:space="preserve">7</w:t>
      </w:r>
      <w:r>
        <w:rPr>
          <w:rFonts w:ascii="宋体" w:hAnsi="宋体" w:eastAsia="宋体" w:cs="宋体"/>
          <w:spacing w:val="-3"/>
          <w:sz w:val="24"/>
          <w:szCs w:val="24"/>
        </w:rPr>
        <w:t xml:space="preserve">供应商在投标截止时间前未被“信用中国”网站及“中国政府采购网”列入失信被执行人、重大税收违法失信主体名单、政府采购严重违法失信行为记录名单内；（提供承诺书，格式自拟，需包含此条内容，加盖公章）</w:t>
      </w:r>
      <w:r/>
    </w:p>
    <w:p>
      <w:pPr>
        <w:ind w:firstLine="468"/>
        <w:jc w:val="both"/>
        <w:spacing w:line="360" w:lineRule="auto"/>
        <w:rPr>
          <w:rFonts w:hint="eastAsia"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w:t>
      </w:r>
      <w:r>
        <w:rPr>
          <w:rFonts w:hint="eastAsia" w:ascii="宋体" w:hAnsi="宋体" w:eastAsia="宋体" w:cs="宋体"/>
          <w:spacing w:val="-3"/>
          <w:sz w:val="24"/>
          <w:szCs w:val="24"/>
        </w:rPr>
        <w:t xml:space="preserve">8</w:t>
      </w:r>
      <w:r>
        <w:rPr>
          <w:rFonts w:ascii="宋体" w:hAnsi="宋体" w:eastAsia="宋体" w:cs="宋体"/>
          <w:spacing w:val="-3"/>
          <w:sz w:val="24"/>
          <w:szCs w:val="24"/>
        </w:rPr>
        <w:t xml:space="preserve">本项目其它有关资格证明文件</w:t>
      </w:r>
      <w:r>
        <w:rPr>
          <w:rFonts w:hint="eastAsia" w:ascii="宋体" w:hAnsi="宋体" w:eastAsia="宋体" w:cs="宋体"/>
          <w:spacing w:val="-3"/>
          <w:sz w:val="24"/>
          <w:szCs w:val="24"/>
        </w:rPr>
        <w:t xml:space="preserve">（如有）。</w:t>
      </w:r>
      <w:r/>
    </w:p>
    <w:p>
      <w:pPr>
        <w:ind w:firstLine="47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符合条件：</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rPr>
        <w:t xml:space="preserve">19</w:t>
      </w:r>
      <w:r>
        <w:rPr>
          <w:rFonts w:hint="eastAsia" w:ascii="宋体" w:hAnsi="宋体" w:eastAsia="宋体" w:cs="宋体"/>
          <w:spacing w:val="-3"/>
          <w:sz w:val="24"/>
          <w:szCs w:val="24"/>
        </w:rPr>
        <w:t xml:space="preserve">投标函（详见投标文件格式）；</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w:t>
      </w:r>
      <w:r>
        <w:rPr>
          <w:rFonts w:hint="eastAsia" w:ascii="宋体" w:hAnsi="宋体" w:eastAsia="宋体" w:cs="宋体"/>
          <w:spacing w:val="-3"/>
          <w:sz w:val="24"/>
          <w:szCs w:val="24"/>
        </w:rPr>
        <w:t xml:space="preserve">0</w:t>
      </w:r>
      <w:r>
        <w:rPr>
          <w:rFonts w:hint="eastAsia" w:ascii="宋体" w:hAnsi="宋体" w:eastAsia="宋体" w:cs="宋体"/>
          <w:spacing w:val="-3"/>
          <w:sz w:val="24"/>
          <w:szCs w:val="24"/>
        </w:rPr>
        <w:t xml:space="preserve">《开标一览表》</w:t>
      </w:r>
      <w:r>
        <w:rPr>
          <w:rFonts w:hint="eastAsia" w:ascii="宋体" w:hAnsi="宋体" w:eastAsia="宋体" w:cs="宋体"/>
          <w:spacing w:val="-3"/>
          <w:sz w:val="24"/>
          <w:szCs w:val="24"/>
        </w:rPr>
        <w:t xml:space="preserve">(统一格式)</w:t>
      </w:r>
      <w:r>
        <w:rPr>
          <w:rFonts w:hint="eastAsia" w:ascii="宋体" w:hAnsi="宋体" w:eastAsia="宋体" w:cs="宋体"/>
          <w:spacing w:val="-3"/>
          <w:sz w:val="24"/>
          <w:szCs w:val="24"/>
        </w:rPr>
        <w:t xml:space="preserve">；</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w:t>
      </w:r>
      <w:r>
        <w:rPr>
          <w:rFonts w:hint="eastAsia" w:ascii="宋体" w:hAnsi="宋体" w:eastAsia="宋体" w:cs="宋体"/>
          <w:spacing w:val="-3"/>
          <w:sz w:val="24"/>
          <w:szCs w:val="24"/>
        </w:rPr>
        <w:t xml:space="preserve">1</w:t>
      </w:r>
      <w:r>
        <w:rPr>
          <w:rFonts w:hint="eastAsia" w:ascii="宋体" w:hAnsi="宋体" w:eastAsia="宋体" w:cs="宋体"/>
          <w:spacing w:val="-3"/>
          <w:sz w:val="24"/>
          <w:szCs w:val="24"/>
        </w:rPr>
        <w:t xml:space="preserve">货物清单表（含投标货物名称、数量、材质、规格、品牌型号、性能、技术指标说明与描述、质量要求等）；</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w:t>
      </w:r>
      <w:r>
        <w:rPr>
          <w:rFonts w:hint="eastAsia" w:ascii="宋体" w:hAnsi="宋体" w:eastAsia="宋体" w:cs="宋体"/>
          <w:spacing w:val="-3"/>
          <w:sz w:val="24"/>
          <w:szCs w:val="24"/>
        </w:rPr>
        <w:t xml:space="preserve">2</w:t>
      </w:r>
      <w:r>
        <w:rPr>
          <w:rFonts w:hint="eastAsia" w:ascii="宋体" w:hAnsi="宋体" w:eastAsia="宋体" w:cs="宋体"/>
          <w:spacing w:val="-3"/>
          <w:sz w:val="24"/>
          <w:szCs w:val="24"/>
        </w:rPr>
        <w:t xml:space="preserve">技术规格偏离表和商务条款偏离表（详见投标文件格式）；</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w:t>
      </w:r>
      <w:r>
        <w:rPr>
          <w:rFonts w:hint="eastAsia" w:ascii="宋体" w:hAnsi="宋体" w:eastAsia="宋体" w:cs="宋体"/>
          <w:spacing w:val="-3"/>
          <w:sz w:val="24"/>
          <w:szCs w:val="24"/>
        </w:rPr>
        <w:t xml:space="preserve">3</w:t>
      </w:r>
      <w:r>
        <w:rPr>
          <w:rFonts w:hint="eastAsia" w:ascii="宋体" w:hAnsi="宋体" w:eastAsia="宋体" w:cs="宋体"/>
          <w:spacing w:val="-3"/>
          <w:sz w:val="24"/>
          <w:szCs w:val="24"/>
        </w:rPr>
        <w:t xml:space="preserve">供应商对招标文件其他符合性条款的响应情况（如有）。</w:t>
      </w:r>
      <w:r/>
    </w:p>
    <w:p>
      <w:pPr>
        <w:ind w:firstLine="47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综合评审评分项：</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w:t>
      </w:r>
      <w:r>
        <w:rPr>
          <w:rFonts w:hint="eastAsia" w:ascii="宋体" w:hAnsi="宋体" w:eastAsia="宋体" w:cs="宋体"/>
          <w:spacing w:val="-3"/>
          <w:sz w:val="24"/>
          <w:szCs w:val="24"/>
        </w:rPr>
        <w:t xml:space="preserve">4</w:t>
      </w:r>
      <w:r>
        <w:rPr>
          <w:rFonts w:hint="eastAsia" w:ascii="宋体" w:hAnsi="宋体" w:eastAsia="宋体" w:cs="宋体"/>
          <w:spacing w:val="-3"/>
          <w:sz w:val="24"/>
          <w:szCs w:val="24"/>
        </w:rPr>
        <w:t xml:space="preserve">招标文件评分标准中规定提交的相关材料。</w:t>
      </w:r>
      <w:r/>
    </w:p>
    <w:p>
      <w:pPr>
        <w:ind w:firstLine="468"/>
        <w:jc w:val="both"/>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rPr>
        <w:t xml:space="preserve">价格折扣文件：</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w:t>
      </w:r>
      <w:r>
        <w:rPr>
          <w:rFonts w:hint="eastAsia" w:ascii="宋体" w:hAnsi="宋体" w:eastAsia="宋体" w:cs="宋体"/>
          <w:spacing w:val="-3"/>
          <w:sz w:val="24"/>
          <w:szCs w:val="24"/>
        </w:rPr>
        <w:t xml:space="preserve">5</w:t>
      </w:r>
      <w:r>
        <w:rPr>
          <w:rFonts w:hint="eastAsia" w:ascii="宋体" w:hAnsi="宋体" w:eastAsia="宋体" w:cs="宋体"/>
          <w:spacing w:val="-3"/>
          <w:sz w:val="24"/>
          <w:szCs w:val="24"/>
        </w:rPr>
        <w:t xml:space="preserve">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rPr>
          <w:rFonts w:hint="eastAsia" w:ascii="宋体" w:hAnsi="宋体" w:eastAsia="宋体" w:cs="宋体"/>
          <w:b/>
          <w:sz w:val="24"/>
          <w:szCs w:val="24"/>
        </w:rPr>
        <w:t xml:space="preserve">供应商应完整提交上述资料，</w:t>
      </w:r>
      <w:r>
        <w:rPr>
          <w:rFonts w:hint="eastAsia" w:ascii="宋体" w:hAnsi="宋体" w:eastAsia="宋体"/>
          <w:b/>
          <w:sz w:val="24"/>
          <w:szCs w:val="24"/>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rPr>
        <w:t xml:space="preserve">否则，投标文件将可能因资格性条件不符或符合性审查不符而判定为无效标。</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16.投标文件编制要求</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16.1电子投标（响应）文件制作：本项目为网上招投标项目，请供应商插入CA证书</w:t>
      </w:r>
      <w:r>
        <w:rPr>
          <w:rFonts w:ascii="宋体" w:hAnsi="宋体" w:eastAsia="宋体" w:cs="宋体"/>
          <w:sz w:val="24"/>
          <w:szCs w:val="24"/>
        </w:rPr>
        <w:t xml:space="preserve">登录</w:t>
      </w:r>
      <w:r>
        <w:rPr>
          <w:rFonts w:hint="eastAsia" w:ascii="宋体" w:hAnsi="宋体" w:eastAsia="宋体" w:cs="宋体"/>
          <w:sz w:val="24"/>
          <w:szCs w:val="24"/>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16.2电子投标（</w:t>
      </w:r>
      <w:r>
        <w:rPr>
          <w:rFonts w:hint="eastAsia" w:ascii="宋体" w:hAnsi="宋体" w:eastAsia="宋体" w:cs="宋体"/>
          <w:sz w:val="24"/>
          <w:szCs w:val="24"/>
        </w:rPr>
        <w:t xml:space="preserve">响应)</w:t>
      </w:r>
      <w:r>
        <w:rPr>
          <w:rFonts w:hint="eastAsia" w:ascii="宋体" w:hAnsi="宋体" w:eastAsia="宋体" w:cs="宋体"/>
          <w:sz w:val="24"/>
          <w:szCs w:val="24"/>
        </w:rPr>
        <w:t xml:space="preserve">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投标文件未按照招标文件要求加盖CA电子公章的，投标无效。</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联合体投标：如招标（采购）公告中允许联合体投标，联合体投标的投标（响应）文件制作上传操作如下：</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第一步：在投标（响应）文件中上传联合体投标协议书。</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第二步；在投标（响应）文件中，由联合体中的牵头人制作投标（响应）文件。</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如投标（响应）文件制作机器码信息一致，视为不同投标供应商使用同一台电脑编制投标（响应）文件，投标（响应）无效。</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16.3《开标一览表》为在开标仪式上唱标的内容，要求按格式填写，统一规范，不得自行增减内容。</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17.投标报价（编制）要求的说明</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17.3一项投标内容只允许一个报价，招标采购单位不接受任何有选择性的投标报价。</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17.4投标文件报价中的单价和总价全部采用人民币表示，除非合同的特殊条款另有规定。</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17.5</w:t>
      </w:r>
      <w:r>
        <w:rPr>
          <w:rFonts w:hint="eastAsia" w:ascii="宋体" w:hAnsi="宋体" w:eastAsia="宋体" w:cs="宋体"/>
          <w:b/>
          <w:sz w:val="24"/>
          <w:szCs w:val="24"/>
        </w:rPr>
        <w:t xml:space="preserve">最低报价不能作为中标的保证</w:t>
      </w:r>
      <w:r>
        <w:rPr>
          <w:rFonts w:hint="eastAsia" w:ascii="宋体" w:hAnsi="宋体" w:eastAsia="宋体" w:cs="宋体"/>
          <w:sz w:val="24"/>
          <w:szCs w:val="24"/>
        </w:rPr>
        <w:t xml:space="preserve">。</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w:t>
      </w:r>
      <w:r>
        <w:rPr>
          <w:rFonts w:hint="eastAsia" w:ascii="宋体" w:hAnsi="宋体" w:eastAsia="宋体" w:cs="宋体"/>
          <w:b/>
          <w:sz w:val="24"/>
          <w:szCs w:val="24"/>
        </w:rPr>
        <w:t xml:space="preserve">投标保证金</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本项目不提交，文件内关于投标保证金的相关规定均不适用。</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19.投标文件的有效期</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19.2在特殊情况下，招标采购单位可与供应商协商延长投标书的有效期。这种要求和答复都应以书面形式进行。同意延长有效期的供应商不能修改投标文件，按本须</w:t>
      </w:r>
      <w:r>
        <w:rPr>
          <w:rFonts w:hint="eastAsia" w:ascii="宋体" w:hAnsi="宋体" w:eastAsia="宋体" w:cs="宋体"/>
          <w:sz w:val="24"/>
          <w:szCs w:val="24"/>
        </w:rPr>
        <w:t xml:space="preserve">知规定的投标保证金的有效期也相应延长。拒绝接受延期要求的供应商的投标将被拒绝，但投标保证金不会被没收。</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五、投标文件的递交</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20.投标截止时间</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20.1电子投标文件上传截止时间之前对投标文件进行加密并上传，否则视为放弃参加该采购项目。</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20.2招标采购单位推迟投标截止时间时，应以书面形式通知所有供应商。在这种情况下，招标采购单位和供应商的权利和义务将受到新的截止期的约束。</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20.3在投标截止时间以后送达的投标文件，招标采购单位拒绝接收。</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20.4在投标截止时间招标采购单位收到的投标文件少于三份，招标采购单位有权宣布本次招标失败。</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20.5电子投标文件必须在电子投标文件上传截止时间前完成投标文件上传。</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20.6.投标文件的修改和撤回</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供应商在提交投标文件后可对其投标文件进行修改或撤回，但须在投标截止时间之前。</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六、开标和评标</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21.开标</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21.1开标由采购人或者采购代理机构主持，供应商参加。评标委员会成员不得参加开标活动。</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21.3线上参加（观看）开标（开启）会方式：登录“苏采云”系统，点击“开标大厅”，选择对应项目，点击进入不见面开标系统。</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21.6供应商在“苏采云”系统规定的时间内未成功解密电子投标文件的，投标无效。</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21.8至投标文件提交截止时间，递交投标文件的供应商不足三家的，不得开标。</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21.9供应商未参加开标的，视同认可开标结果。</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22.资格审查</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22.1采购人或采购代理机构在开标后，评标前按照招标文件供应商须知第3款、第4款和第15款资格审查证明文件的规定对供应商的资格进行资格审查。</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22.3采购人或采购代理机构现场告知未通过资格审查的供应商未通过的原因。</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23.评标工作的组织</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采购人或者采购代理机构负责组织评标工作，并履行下列职责：</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23.1核对评审专家身份和采购人代表授权函，对评审专家在政府采购活动中的职责履行情况予以记录，并及时将有关违法违规行为向财政部门报告；</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23.2宣布评标纪律；</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23.3公布供应商名单，告知评审专家应当回避的情形；</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23.4组织评标委员会推选评标组长，采购人代表不得担任组长；</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23.5在评标期间采取必要的通讯管理措施，保证评标活动不受外界干扰；</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23.6根据评标委员会的要求介绍政府采购相关政策法规、招标文件；</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23.7维护评标秩序，监督评标委员会依照招标文件规定的评标程序、方法和标准进行独立评审，及时制止和纠正采购人代表、评审专家的倾向性言论或者违法违规行为；</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23.9评审工作完成后，按照规定向评审专家支付劳务报酬和异地评审差旅费，不得向评审专家以外的其他人员支付评审劳务报酬；</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23.10处理与评标有关的其他事项。</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采购人可以在评标前说明项目背景和采购需求，说明内容不得含有歧视性、倾向性意见，不得超出招标文件所述范围。说明应当提交书面材料，并随招标文件一并存档。</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24.评标委员会</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24.1评标委员会由招标采购单位依法组建，负责本项目的评标事务。</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24.2评标委员会独立履行下列职责：</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24.2.1审查、评价投标文件是否符合招标文件的商务、技术等实质性要求；</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24.2.2要求供应商对投标文件有关事项作出澄清或者说明；</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24.2.3对投标文件进行比较和评价；</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24.2.4确定中标候选人名单，以及根据采购人委托直接确定中标人；</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24.2.5向采购人、采购代理机构或者有关部门报告评标中发现的违法行为。</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24.3评标委员会成员应当履行下列义务：</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24.3.1遵纪守法，客观、公正、廉洁地履行职责；</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24.3.2按照招标文件规定的评标办法和评标标准进行评标，对评审意见承担个人责任；</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24.3.3对评标过程和结果，以及供应商的商业秘密保密；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24.3.4参与评标报告的起草；</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24.3.5配合相关部门的投诉处理工作；</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24.3.6配合招标采购单位答复投标供应商提出的质疑。</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25.评标内容的保密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25.1公开开标后，直到宣布授予中标供应商合同为止，凡属于审查、澄清、评价和比较投标的所有资料，有关授予合同的信息都不应向供应商或与评标无关的其他人泄露。</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25.2在投标文件的审查、澄清、评价和比较以及授予合同的过程中，供应商对招标采购单位和评标委员会成员施加影响的任何行为，都将取消其投标资格。</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25.3在评标期间，招标采购单位将通过指定联络人与供应商进行联系。</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26.符合性审查</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26.1评标委员会依据招标文件的规定对投标文件进行符合性审查。存在以下情形，符合性审查不合格：</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1）投标文件存在招标文件供应商须知第29款“无效投标”规定情形的；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2）投标文件载明的有效期短于招标文件规定；</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3）投标文件载明的交货期限不满足招标文件规定；</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4）投标文件载明的免费质保期限不满足招标文件规定；</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5）投标文件载明的履约保证、付款方式不满足招标文件规定；</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6）投标文件未按招标文件规定的格式填写或递交，内容不全或关键字迹模糊、无法辨认的，从而影响投标文件有效性；</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7）不同供应商的投标文件以及投标文件制作过程出现了评标委员会认为不应当雷同的情况的；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8）不同供应商的投标文件存在“视为串通投标”的情形；</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9）供应商的报价存在选择性的；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10）供应商的报价或响应只响应了项目中部分招标内容；</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11）供应商拒绝修正错误影响评标的；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12）投标文件不符合招标文件规定的其他实质性条款；</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13）不同投标文件存在“机器码”一致情形；</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14）投标文件存在招标文件规定的其他无效投标情形的。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26.2对于不允许偏离的实质性要求和条件，采购人或者采购代理机构应当在招标文件中规定，并以醒目的方式标明。</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26.3供应商不能通过修正或撤销不符之处而使其投标成为实质性响应的投标。</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27.投标澄清</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27.1对于投标文件中含义不明确、同类问题表述不一致或者有明显文字和计算错误的内容，评标委员会应当以书面形式要求供应商作出必要的澄清、说明或者补正。</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27.2本项目采用线上澄清。</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接到评标委员会澄清、说明和更正要求的供应商如未按规定做出澄清、说明和更正，其风险由供应商自行承担。</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28.投标报价评审</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28.1投标文件报价出现前后不一致的，除招标文件另有规定外，按照下列规定修正：</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28.1.1投标文件中开标一览表（报价表）内容与投标文件中相应内容不一致的，以开标一览表（报价表）为准；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28.1.2大写金额和小写金额不一致的，以大写金额为准；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28.1.3单价金额小数点或者百分比有明显错位的，以开标一览表的单价为准，并修改单价；</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28.1.4总价金额与按单价汇总金额不一致的，以单价金额计算结果为准。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28.2价格分应当采用低价优先法计算，即满足招标文件要求且投标价格最低的投标报价为评标基准价，其价格分为满分。其他供应商的价格分统一按照下列公式计算：投标报价得分=</w:t>
      </w:r>
      <w:r>
        <w:rPr>
          <w:rFonts w:hint="eastAsia" w:ascii="宋体" w:hAnsi="宋体" w:eastAsia="宋体" w:cs="宋体"/>
          <w:sz w:val="24"/>
          <w:szCs w:val="24"/>
        </w:rPr>
        <w:t xml:space="preserve">(评标基准价／投标报价)</w:t>
      </w:r>
      <w:r>
        <w:rPr>
          <w:rFonts w:hint="eastAsia" w:ascii="宋体" w:hAnsi="宋体" w:eastAsia="宋体" w:cs="宋体"/>
          <w:sz w:val="24"/>
          <w:szCs w:val="24"/>
        </w:rPr>
        <w:t xml:space="preserve">×100×价格权值</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28.3评标过程中，不得去掉报价中的最高报价和最低报价。因落实政府采购政策进行价格调整的，以调整后的价格计算评标基准价和投标报价。</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29.无效投标</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供应商存在下列情况之一的，投标</w:t>
      </w:r>
      <w:r>
        <w:rPr>
          <w:rFonts w:hint="eastAsia" w:ascii="宋体" w:hAnsi="宋体" w:eastAsia="宋体" w:cs="宋体"/>
          <w:sz w:val="24"/>
          <w:szCs w:val="24"/>
        </w:rPr>
        <w:t xml:space="preserve">无效:</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29.1投标文件未按招标文件要求签署、签章的；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29.2不具备招标文件中规定的资格要求的；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29.3报价超过招标文件中规定的预算金额或者最高限价（如有）的；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29.4投标文件含有采购人不能接受的附加条件的；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29.5法律、法规和招标文件规定的其他无效情形。</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29.6供应商未对电子投标文件进行解密或解密失败的。</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30.废标</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30.1在招标采购中，出现下列情形之一的，应予废标：</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30.1.1符合专业条件的供应商或者对招标文件作实质响应的供应商不足三家的；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30.1.2出现影响采购公正的违法、违规行为的；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30.1.3供应商的报价均超过了采购预算或者最高限价（如有）的，采购人不能支付的；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30.1.4因重大变故，采购任务取消的。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30.2废标后，采购人应当将废标理由通知所有供应商。</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31.投标文件的评价和比较</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31.1评标委员会按招标文件规定的评标方法和标准，仅对资格性检查和符合性检查合格的投标文件进行商务和技术评估，综合比较与评价。</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31.2评价和比较采用的办法：综合评分法，具体内容详见招标文件第六章。</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31.3最低的投标报价或最高的折扣比例是中标的重要条件，但不是唯一条件。</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七、授予合同</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32.中标供应商的确认</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32.1评标委员会按招标文件规定的评标方法和标准进行详细评审后，按招标采购单位的委托向招标采购单位推荐中标候选单位。</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32.3本项目中标供应商数量：1个。</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32.4采购人或者采购代理机构自中标人确定之日起2个工作日内在省级以上财政部门指定的媒体上公告中标结果。中标公告期限为1个工作日。</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33.合同授予标准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33.1招标采购单位将把合同授予其投标文件在实质上响应招标文件要求和按本须知规定评选出的供应商。确定为中标的供应商必须具有实施本合同的能力和资源。</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34.中标通知书</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34.2中标通知书将成为合同的组成部分。</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35.告知招标结果</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35.1对未通过资格审查的供应商，告知其未通过的原因。</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35.2在发放中标通知书的同时，向参与项目评审的未中标供应商发放未中标通知书，告知其评审得分与排名。告知方式为电子邮件，接收方式以供应商投标文件中《投标书》所列电子邮件为准。未中标供应商未按约定的时间和方式获取告知信息的，视为自动放弃并自行承担相应后果。</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36.履约保证金</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36.1详见前附表</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37.合同的签订</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37.2签订合同及合同条款应以招标文件和中标供应商的投标文件及其澄清文件为依据。</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八、其他事项</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38.招标代理服务费</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38.1中标供应商须按前附表的规定，按其预算总金额计算并支付招标代理服务费，该费用应在领取中标通知书时付清。</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38.2中标供应商如果未按规定支付招标代理服务费，招标采购单位将不予退还其投标保证金（如有），并保留诉讼的权利。</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39.监督和公证</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39.1政府有关监督部门将对招投标全过程进行监督。</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39.2招标人的开标、评标过程将通过公证机关进行公证（如有）。</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40.政府采购政策</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40.1</w:t>
      </w:r>
      <w:r>
        <w:rPr>
          <w:rFonts w:hint="eastAsia" w:ascii="宋体" w:hAnsi="宋体" w:eastAsia="宋体" w:cs="宋体"/>
          <w:sz w:val="24"/>
          <w:szCs w:val="24"/>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jc w:val="both"/>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其中，供应商提供的货物既有中小企业制造货物，也有大型企业制造货物的，不享受中小企业扶持政策。</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u w:val="single"/>
        </w:rPr>
        <w:t xml:space="preserve">工业</w:t>
      </w:r>
      <w:r>
        <w:rPr>
          <w:rFonts w:hint="eastAsia" w:ascii="宋体" w:hAnsi="宋体" w:eastAsia="宋体" w:cs="宋体"/>
          <w:b/>
          <w:sz w:val="24"/>
          <w:szCs w:val="24"/>
        </w:rPr>
        <w:t xml:space="preserve">。</w:t>
      </w:r>
      <w:r/>
    </w:p>
    <w:p>
      <w:pPr>
        <w:ind w:firstLine="482"/>
        <w:jc w:val="both"/>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jc w:val="both"/>
        <w:spacing w:line="360" w:lineRule="auto"/>
        <w:rPr>
          <w:rFonts w:hint="eastAsia" w:ascii="宋体" w:hAnsi="宋体" w:eastAsia="宋体" w:cs="宋体"/>
          <w:b/>
          <w:sz w:val="24"/>
          <w:szCs w:val="24"/>
        </w:rPr>
      </w:pPr>
      <w:r>
        <w:rPr>
          <w:rFonts w:hint="eastAsia" w:ascii="宋体" w:hAnsi="宋体"/>
          <w:sz w:val="24"/>
        </w:rPr>
        <w:t xml:space="preserve">价格的折扣：</w:t>
      </w:r>
      <w:r>
        <w:rPr>
          <w:rFonts w:hint="eastAsia" w:ascii="宋体" w:hAnsi="宋体"/>
          <w:b/>
          <w:bCs/>
          <w:sz w:val="24"/>
        </w:rPr>
        <w:t xml:space="preserve">如供应商属于小型或微型企业，对小型和微型企业产品或服务的价格给予10%的扣除，用扣除后的价格参与评审；</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以上规定未尽事项，按《政府采购促进中小企业发展管理办法》等有关制度规定执行。</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40.2促进残疾人就业和支持监狱企业发展有关政策：</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sz w:val="24"/>
        </w:rPr>
        <w:t xml:space="preserve">。</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sz w:val="24"/>
        </w:rPr>
        <w:t xml:space="preserve">。</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40.3信用记录</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40.3.1查询截止时点：投标文件递交截止时间。</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40.3.2查询渠道：</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将通过苏采云系统跳转查询实现，通过“信用中国”及“中国政府采购网”上的信用信息查询供应商的信用记录。</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40.3.3查询证据留存方式：</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对存在失信信息的供应商，评审小组应填写《苏州市级政府采购供应商失信信息确认函》，由失信供应商签名确认。同时，采购代理机构工作人员应根据评审小组确认的失信信息，登</w:t>
      </w:r>
      <w:r>
        <w:rPr>
          <w:rFonts w:hint="eastAsia" w:ascii="宋体" w:hAnsi="宋体" w:eastAsia="宋体" w:cs="宋体"/>
          <w:sz w:val="24"/>
          <w:szCs w:val="24"/>
        </w:rPr>
        <w:t xml:space="preserve">录</w:t>
      </w:r>
      <w:r>
        <w:rPr>
          <w:rFonts w:hint="eastAsia" w:ascii="宋体" w:hAnsi="宋体" w:eastAsia="宋体" w:cs="宋体"/>
          <w:sz w:val="24"/>
          <w:szCs w:val="24"/>
        </w:rPr>
        <w:t xml:space="preserve">到来源网站页面进行复核并打印，作为证据留存。</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40.3.4信用记录使用规则：</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评审小组在对供应商进行资格性审查时，应根据查询结果对供应商的不良信用记录逐项甄别确认。</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40.4招标文件的质疑、澄清</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40.4.2本次招标文件要求供应商在法定质疑期内一次性提出针对同一采购程序环节的质疑。</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40.4.3采购人、采购代理机构收到质疑供应商在法定质疑期内发出的质疑函，应当在收到质疑函后7个工作日内作出答复，并以书面形式通知质疑供应商和其他有关供应商。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40.4.4供应商提出质疑应当提交质疑函、报名确认单和必要的证明材料。质疑函应当包括下列内容：</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（1）供应商的姓名或者名称、地址、邮编、联系人及联系电话；</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（2）质疑项目的名称、编号；</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（3）具体、明确的质疑事项和与质疑事项相关的请求；</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（4）事实依据；</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（5）必要的法律依据；</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（6）提出质疑的日期。</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（7）质疑联系方式详见采购公告。</w:t>
      </w:r>
      <w:r/>
    </w:p>
    <w:p>
      <w:pPr>
        <w:ind w:firstLine="482"/>
        <w:jc w:val="both"/>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40.5根据《关于调整优化节能产品、环境标志产品政府采购执行机制的通知》（财库〔2019〕9号）有关政策规定如下：</w:t>
      </w:r>
      <w:r/>
    </w:p>
    <w:p>
      <w:pPr>
        <w:ind w:firstLine="480"/>
        <w:jc w:val="both"/>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（1）政府采购节能产品、环境标志产品</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jc w:val="both"/>
        <w:spacing w:line="36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41.</w:t>
      </w:r>
      <w:r>
        <w:rPr>
          <w:rFonts w:hint="eastAsia" w:ascii="宋体" w:hAnsi="宋体" w:eastAsia="宋体" w:cs="宋体"/>
          <w:b/>
          <w:bCs/>
          <w:sz w:val="24"/>
        </w:rPr>
        <w:t xml:space="preserve">对本国产品的支持政策</w:t>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根据《国务院办公厅关于在政府采购中实施本国产品标准及相关政策的通知》的相关规定在政府采购活动中，本国产品标准及相关政策如下：</w:t>
      </w:r>
      <w:r/>
    </w:p>
    <w:p>
      <w:pPr>
        <w:pStyle w:val="838"/>
        <w:ind w:firstLine="482"/>
        <w:jc w:val="both"/>
        <w:spacing w:before="0" w:beforeAutospacing="0" w:after="0" w:afterAutospacing="0" w:line="360" w:lineRule="auto"/>
        <w:rPr>
          <w:rFonts w:hint="eastAsia" w:ascii="宋体" w:hAnsi="宋体" w:eastAsia="宋体" w:cs="宋体"/>
          <w:szCs w:val="24"/>
        </w:rPr>
      </w:pPr>
      <w:r>
        <w:rPr>
          <w:rStyle w:val="943"/>
          <w:rFonts w:hint="eastAsia" w:ascii="宋体" w:hAnsi="宋体" w:eastAsia="宋体" w:cs="宋体"/>
          <w:szCs w:val="24"/>
          <w:shd w:val="clear" w:color="auto" w:fill="ffffff"/>
        </w:rPr>
        <w:t xml:space="preserve">41.1本国产品标准</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本国产品应当符合以下条件：</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（1）在中国境内生产</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产品应当在中国境内生产，即在中华人民共和国关境内实现从原材料、组件到产品的属性改变。</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属性改变是指经过制造、加工或者组装等工序，产生完全不同于原材料、组件的新产品，并具有新的名称和特征（用途）。属性改变不包括以下细微操作：</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①为确保产品在运输或者储存期间保持某种状态而进行的操作；</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②为产品运输或者销售进行的包装或者展示；</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③在产品或者其包装上粘贴或者印刷品牌、标志、标识以及其他用于区别的标记；</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④简单的上漆、磨光和分装；</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⑤其他不属于属性改变的情形。</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（2）在中国境内生产的组件成本占比达到规定比例</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产品在中国境内生产的组件成本占比应当达到规定比例，计算公式为：</w:t>
      </w:r>
      <w:r/>
    </w:p>
    <w:p>
      <w:pPr>
        <w:pStyle w:val="838"/>
        <w:jc w:val="both"/>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mc:AlternateContent>
          <mc:Choice Requires="wpg">
            <w:drawing>
              <wp:inline xmlns:wp="http://schemas.openxmlformats.org/drawingml/2006/wordprocessingDrawing" distT="0" distB="0" distL="0" distR="0">
                <wp:extent cx="4829175" cy="762000"/>
                <wp:effectExtent l="0" t="0" r="9525"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9">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80.2pt;height:60.0pt;mso-wrap-distance-left:0.0pt;mso-wrap-distance-top:0.0pt;mso-wrap-distance-right:0.0pt;mso-wrap-distance-bottom:0.0pt;" stroked="f">
                <v:path textboxrect="0,0,0,0"/>
                <v:imagedata r:id="rId19" o:title=""/>
              </v:shape>
            </w:pict>
          </mc:Fallback>
        </mc:AlternateContent>
      </w:r>
      <w:r/>
    </w:p>
    <w:p>
      <w:pPr>
        <w:pStyle w:val="838"/>
        <w:ind w:firstLine="567"/>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shd w:val="clear" w:color="auto" w:fill="ffffff"/>
        </w:rPr>
        <w:t xml:space="preserve">在分产品的中国境内生产的组件成本占比相关要求实施前，符合本政策第一条第</w:t>
      </w:r>
      <w:r>
        <w:rPr>
          <w:rFonts w:ascii="宋体" w:hAnsi="宋体" w:eastAsia="宋体" w:cs="宋体"/>
          <w:b/>
          <w:bCs/>
          <w:szCs w:val="24"/>
          <w:shd w:val="clear" w:color="auto" w:fill="ffffff"/>
        </w:rPr>
        <w:t xml:space="preserve">（一）</w:t>
      </w:r>
      <w:r>
        <w:rPr>
          <w:rFonts w:hint="eastAsia" w:ascii="宋体" w:hAnsi="宋体" w:eastAsia="宋体" w:cs="宋体"/>
          <w:b/>
          <w:bCs/>
          <w:szCs w:val="24"/>
          <w:shd w:val="clear" w:color="auto" w:fill="ffffff"/>
        </w:rPr>
        <w:t xml:space="preserve">项条件的产品在政府采购活动中视同本国产品。</w:t>
      </w:r>
      <w:r/>
    </w:p>
    <w:p>
      <w:pPr>
        <w:pStyle w:val="838"/>
        <w:ind w:firstLine="567"/>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（3）特定产品的关键组件、关键工序符合相关要求</w:t>
      </w:r>
      <w:r/>
    </w:p>
    <w:p>
      <w:pPr>
        <w:pStyle w:val="838"/>
        <w:ind w:firstLine="567"/>
        <w:jc w:val="both"/>
        <w:spacing w:before="0" w:beforeAutospacing="0" w:after="0" w:afterAutospacing="0"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对特定产品，在符合本通知第一条第</w:t>
      </w:r>
      <w:r>
        <w:rPr>
          <w:rFonts w:ascii="宋体" w:hAnsi="宋体" w:eastAsia="宋体" w:cs="宋体"/>
          <w:szCs w:val="24"/>
          <w:shd w:val="clear" w:color="auto" w:fill="ffffff"/>
        </w:rPr>
        <w:t xml:space="preserve">（一）</w:t>
      </w:r>
      <w:r>
        <w:rPr>
          <w:rFonts w:hint="eastAsia" w:ascii="宋体" w:hAnsi="宋体" w:eastAsia="宋体" w:cs="宋体"/>
          <w:szCs w:val="24"/>
          <w:shd w:val="clear" w:color="auto" w:fill="ffffff"/>
        </w:rPr>
        <w:t xml:space="preserve">项和第</w:t>
      </w:r>
      <w:r>
        <w:rPr>
          <w:rFonts w:ascii="宋体" w:hAnsi="宋体" w:eastAsia="宋体" w:cs="宋体"/>
          <w:szCs w:val="24"/>
          <w:shd w:val="clear" w:color="auto" w:fill="ffffff"/>
        </w:rPr>
        <w:t xml:space="preserve">（二）</w:t>
      </w:r>
      <w:r>
        <w:rPr>
          <w:rFonts w:hint="eastAsia" w:ascii="宋体" w:hAnsi="宋体" w:eastAsia="宋体" w:cs="宋体"/>
          <w:szCs w:val="24"/>
          <w:shd w:val="clear" w:color="auto" w:fill="ffffff"/>
        </w:rPr>
        <w:t xml:space="preserve">项条件的基础上，应当符合财政部会同有关行业主管部门确定的其关键组件、关键工序在中国境内生产、完成等要求。</w:t>
      </w:r>
      <w:r/>
    </w:p>
    <w:p>
      <w:pPr>
        <w:pStyle w:val="838"/>
        <w:ind w:firstLine="567"/>
        <w:jc w:val="both"/>
        <w:spacing w:before="0" w:beforeAutospacing="0" w:after="0" w:afterAutospacing="0"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注：产品在中国境内生产的组件成本核算规则。产品在中国境内生产的组件成本，按照《中国境内生产的组件成本核算基本规则》计算。</w:t>
      </w:r>
      <w:r/>
    </w:p>
    <w:p>
      <w:pPr>
        <w:pStyle w:val="838"/>
        <w:jc w:val="both"/>
        <w:spacing w:before="0" w:beforeAutospacing="0" w:after="0" w:afterAutospacing="0" w:line="360" w:lineRule="auto"/>
        <w:rPr>
          <w:rFonts w:hint="eastAsia" w:ascii="宋体" w:hAnsi="宋体" w:eastAsia="宋体" w:cs="宋体"/>
          <w:sz w:val="16"/>
          <w:szCs w:val="16"/>
        </w:rPr>
      </w:pPr>
      <w:r>
        <w:rPr>
          <w:rStyle w:val="943"/>
          <w:rFonts w:hint="eastAsia" w:ascii="宋体" w:hAnsi="宋体" w:eastAsia="宋体" w:cs="宋体"/>
          <w:szCs w:val="24"/>
          <w:shd w:val="clear" w:color="auto" w:fill="ffffff"/>
        </w:rPr>
        <w:t xml:space="preserve">中国境内生产的组件成本核算基本规则</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①产品的一级组件是指直接组成产品的组件。产品的二级组件是指直接组成产品一级组件的组件。一级组件不可分解的，视同二级组件。</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②二级组件在中国境内生产的，其全部成本计入中国境内生产的组件成本；二级组件不在中国境内生产的，其成本不计入中国境内生产的组件成本。</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③产品总成本和组件成本以相关会计核算数据、采购合同、进货记录等为基础进行计算。</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④需要对成本核算规则予以进一步明确的其他有关事项，由财政部会同有关部门另行规定。</w:t>
      </w:r>
      <w:r/>
    </w:p>
    <w:p>
      <w:pPr>
        <w:pStyle w:val="838"/>
        <w:ind w:firstLine="482"/>
        <w:jc w:val="both"/>
        <w:spacing w:before="0" w:beforeAutospacing="0" w:after="0" w:afterAutospacing="0" w:line="360" w:lineRule="auto"/>
        <w:rPr>
          <w:rFonts w:hint="eastAsia" w:ascii="宋体" w:hAnsi="宋体" w:eastAsia="宋体" w:cs="宋体"/>
          <w:szCs w:val="24"/>
        </w:rPr>
      </w:pPr>
      <w:r>
        <w:rPr>
          <w:rStyle w:val="943"/>
          <w:rFonts w:hint="eastAsia" w:ascii="宋体" w:hAnsi="宋体" w:eastAsia="宋体" w:cs="宋体"/>
          <w:szCs w:val="24"/>
          <w:shd w:val="clear" w:color="auto" w:fill="ffffff"/>
        </w:rPr>
        <w:t xml:space="preserve">41.2本国产品标准的适用范围</w:t>
      </w:r>
      <w:r/>
    </w:p>
    <w:p>
      <w:pPr>
        <w:pStyle w:val="838"/>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38"/>
        <w:ind w:firstLine="482"/>
        <w:jc w:val="both"/>
        <w:spacing w:before="0" w:beforeAutospacing="0" w:after="0" w:afterAutospacing="0" w:line="360" w:lineRule="auto"/>
        <w:rPr>
          <w:rFonts w:hint="eastAsia" w:ascii="宋体" w:hAnsi="宋体" w:eastAsia="宋体" w:cs="宋体"/>
          <w:szCs w:val="24"/>
        </w:rPr>
      </w:pPr>
      <w:r>
        <w:rPr>
          <w:rStyle w:val="943"/>
          <w:rFonts w:hint="eastAsia" w:ascii="宋体" w:hAnsi="宋体" w:eastAsia="宋体" w:cs="宋体"/>
          <w:szCs w:val="24"/>
          <w:shd w:val="clear" w:color="auto" w:fill="ffffff"/>
        </w:rPr>
        <w:t xml:space="preserve">41.3对本国产品的支持政策</w:t>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当采购项目或者采购包中含有多种产品，供应商为该采购项目或者采购包提供的</w:t>
      </w:r>
      <w:r>
        <w:rPr>
          <w:rFonts w:hint="eastAsia" w:ascii="宋体" w:hAnsi="宋体" w:eastAsia="宋体" w:cs="宋体"/>
          <w:b/>
          <w:bCs/>
          <w:sz w:val="24"/>
        </w:rPr>
        <w:t xml:space="preserve">符合本国产品标准的产品成本之和占该供应商提供的全部产品成本之和的比例达到80%以上</w:t>
      </w:r>
      <w:r>
        <w:rPr>
          <w:rFonts w:hint="eastAsia" w:ascii="宋体" w:hAnsi="宋体" w:eastAsia="宋体" w:cs="宋体"/>
          <w:sz w:val="24"/>
        </w:rPr>
        <w:t xml:space="preserve">时，依法对该供应商提供的全部产品给予价格评审优惠，即</w:t>
      </w:r>
      <w:r>
        <w:rPr>
          <w:rFonts w:hint="eastAsia" w:ascii="宋体" w:hAnsi="宋体" w:eastAsia="宋体" w:cs="宋体"/>
          <w:b/>
          <w:bCs/>
          <w:sz w:val="24"/>
        </w:rPr>
        <w:t xml:space="preserve">对该供应商提供的全部产品的总报价给予20%的价格扣除</w:t>
      </w:r>
      <w:r>
        <w:rPr>
          <w:rFonts w:hint="eastAsia" w:ascii="宋体" w:hAnsi="宋体" w:eastAsia="宋体" w:cs="宋体"/>
          <w:sz w:val="24"/>
        </w:rPr>
        <w:t xml:space="preserve">，用扣除后的价格参与评审。</w:t>
      </w:r>
      <w:r/>
    </w:p>
    <w:p>
      <w:pPr>
        <w:ind w:firstLine="480"/>
        <w:jc w:val="both"/>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供应商提供的产品出具</w:t>
      </w:r>
      <w:r>
        <w:rPr>
          <w:rFonts w:hint="eastAsia" w:ascii="宋体" w:hAnsi="宋体" w:eastAsia="宋体" w:cs="宋体"/>
          <w:b/>
          <w:bCs/>
          <w:sz w:val="24"/>
        </w:rPr>
        <w:t xml:space="preserve">《关于符合本国产品标准的声明函》</w:t>
      </w:r>
      <w:r>
        <w:rPr>
          <w:rFonts w:hint="eastAsia" w:ascii="宋体" w:hAnsi="宋体" w:eastAsia="宋体" w:cs="宋体"/>
          <w:sz w:val="24"/>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42.未尽事宜</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42.1按《中华人民共和国政府采购法》及其他有关法律法规的规定执行。</w:t>
      </w:r>
      <w:r/>
    </w:p>
    <w:p>
      <w:r>
        <w:rPr>
          <w:rFonts w:hint="eastAsia"/>
        </w:rPr>
        <w:br w:type="page" w:clear="all"/>
      </w:r>
      <w:r/>
    </w:p>
    <w:p>
      <w:pPr>
        <w:pStyle w:val="810"/>
        <w:ind w:left="0"/>
        <w:rPr>
          <w:rFonts w:hint="eastAsia"/>
        </w:rPr>
      </w:pPr>
      <w:r>
        <w:rPr>
          <w:rFonts w:hint="eastAsia"/>
        </w:rPr>
      </w:r>
      <w:r/>
    </w:p>
    <w:p>
      <w:pPr>
        <w:pStyle w:val="786"/>
        <w:jc w:val="center"/>
        <w:spacing w:before="340" w:after="330" w:line="1056" w:lineRule="atLeast"/>
        <w:pBdr>
          <w:top w:val="none" w:color="000000" w:sz="0" w:space="0"/>
          <w:left w:val="none" w:color="000000" w:sz="0" w:space="0"/>
          <w:bottom w:val="none" w:color="000000" w:sz="0" w:space="0"/>
          <w:right w:val="none" w:color="000000" w:sz="0" w:space="0"/>
        </w:pBdr>
      </w:pPr>
      <w:r/>
      <w:bookmarkStart w:id="3" w:name="_Toc8805"/>
      <w:r>
        <w:rPr>
          <w:rFonts w:ascii="宋体" w:hAnsi="宋体" w:eastAsia="宋体" w:cs="宋体"/>
          <w:b/>
          <w:sz w:val="44"/>
        </w:rPr>
        <w:t xml:space="preserve">第三章 投标文件格式</w:t>
      </w:r>
      <w:bookmarkEnd w:id="3"/>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对本章所有的投标书格式，投标方可根据自身情况进行补充和修改，但补充和修改不得造成与本格式内容有实质性的违背。</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一、投标函</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w:t>
      </w:r>
      <w:r>
        <w:rPr>
          <w:rFonts w:hint="eastAsia" w:ascii="宋体" w:hAnsi="宋体" w:eastAsia="宋体" w:cs="宋体"/>
          <w:sz w:val="24"/>
          <w:szCs w:val="24"/>
        </w:rPr>
        <w:t xml:space="preserve">方全面研究了</w:t>
      </w:r>
      <w:r>
        <w:rPr>
          <w:rFonts w:hint="eastAsia" w:ascii="宋体" w:hAnsi="宋体" w:eastAsia="宋体" w:cs="宋体"/>
          <w:b/>
          <w:i/>
          <w:sz w:val="24"/>
          <w:szCs w:val="24"/>
          <w:u w:val="single"/>
        </w:rPr>
        <w:t xml:space="preserve">（招标编号）</w:t>
      </w:r>
      <w:r>
        <w:rPr>
          <w:rFonts w:hint="eastAsia" w:ascii="宋体" w:hAnsi="宋体" w:eastAsia="宋体" w:cs="宋体"/>
          <w:sz w:val="24"/>
          <w:szCs w:val="24"/>
        </w:rPr>
        <w:t xml:space="preserve">项目招标文件，决定参加贵单位组织的本项目的投标。</w:t>
      </w:r>
      <w:r/>
    </w:p>
    <w:p>
      <w:pPr>
        <w:ind w:firstLine="42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2.一旦我方中标，我们将严格履行招标文件中规定的每一项要求，按期、按质、按量履行合同的义务。</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3.我们已详细审查全部招标文件，包括澄清或者修改</w:t>
      </w:r>
      <w:r>
        <w:rPr>
          <w:rFonts w:hint="eastAsia" w:ascii="宋体" w:hAnsi="宋体" w:eastAsia="宋体" w:cs="宋体"/>
          <w:sz w:val="24"/>
          <w:szCs w:val="24"/>
        </w:rPr>
        <w:t xml:space="preserve">(如有)</w:t>
      </w:r>
      <w:r>
        <w:rPr>
          <w:rFonts w:hint="eastAsia" w:ascii="宋体" w:hAnsi="宋体" w:eastAsia="宋体" w:cs="宋体"/>
          <w:sz w:val="24"/>
          <w:szCs w:val="24"/>
        </w:rPr>
        <w:t xml:space="preserve">，对招标文件及澄清或者修改</w:t>
      </w:r>
      <w:r>
        <w:rPr>
          <w:rFonts w:hint="eastAsia" w:ascii="宋体" w:hAnsi="宋体" w:eastAsia="宋体" w:cs="宋体"/>
          <w:sz w:val="24"/>
          <w:szCs w:val="24"/>
        </w:rPr>
        <w:t xml:space="preserve">(如有)</w:t>
      </w:r>
      <w:r>
        <w:rPr>
          <w:rFonts w:hint="eastAsia" w:ascii="宋体" w:hAnsi="宋体" w:eastAsia="宋体" w:cs="宋体"/>
          <w:sz w:val="24"/>
          <w:szCs w:val="24"/>
        </w:rPr>
        <w:t xml:space="preserve">无任何异议。我们完全理解并同意放弃对这方面有不明及误解的</w:t>
      </w:r>
      <w:r>
        <w:rPr>
          <w:rFonts w:hint="eastAsia" w:ascii="宋体" w:hAnsi="宋体" w:eastAsia="宋体" w:cs="宋体"/>
          <w:sz w:val="24"/>
          <w:szCs w:val="24"/>
        </w:rPr>
        <w:t xml:space="preserve">权利</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4.我们同意按招标文件中的规定，本投标书的有效期限为自投标截止之日起____天。</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5.我们愿意提供招标采购单位在招标文件中要求的所有资料。</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6.我们愿意遵守招标公告及招标文件中所列的收费标准。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7.我们承诺该项投标在开标后的全过程中保持有效，不作任何更改和变动。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8.我方愿意提供贵单位可能另外要求的，与投标有关的文件资料，并保证我方已提供和将要提供的文件资料是真实、准确的。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供应商名称：（盖章）</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法定代表人或代理人（签字或盖章）：</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通讯地址：              邮政编码：</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联系电话：传真：</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rPr>
          <w:rFonts w:hint="eastAsia" w:ascii="宋体" w:hAnsi="宋体" w:eastAsia="宋体" w:cs="宋体"/>
          <w:sz w:val="24"/>
          <w:szCs w:val="24"/>
        </w:rP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二、法定代表人授权委托书</w:t>
      </w:r>
      <w:r/>
    </w:p>
    <w:p>
      <w:pPr>
        <w:ind w:firstLine="420"/>
        <w:pBdr>
          <w:top w:val="none" w:color="000000" w:sz="0" w:space="0"/>
          <w:left w:val="none" w:color="000000" w:sz="0" w:space="0"/>
          <w:bottom w:val="none" w:color="000000" w:sz="0" w:space="0"/>
          <w:right w:val="none" w:color="000000" w:sz="0" w:space="0"/>
        </w:pBdr>
      </w:pPr>
      <w:r/>
      <w:r/>
    </w:p>
    <w:p>
      <w:pPr>
        <w:ind w:firstLine="420"/>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本授权委托书声明：我</w:t>
      </w:r>
      <w:r>
        <w:rPr>
          <w:rFonts w:hint="eastAsia" w:ascii="宋体" w:hAnsi="宋体" w:eastAsia="宋体" w:cs="宋体"/>
          <w:sz w:val="24"/>
          <w:u w:val="single"/>
        </w:rPr>
        <w:t xml:space="preserve">      </w:t>
      </w:r>
      <w:r>
        <w:rPr>
          <w:rFonts w:ascii="宋体" w:hAnsi="宋体" w:eastAsia="宋体" w:cs="宋体"/>
          <w:sz w:val="24"/>
        </w:rPr>
        <w:t xml:space="preserve">（姓名）系</w:t>
      </w:r>
      <w:r>
        <w:rPr>
          <w:rFonts w:hint="eastAsia"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名称）的法定代表人，现授权委托</w:t>
      </w:r>
      <w:r>
        <w:rPr>
          <w:rFonts w:hint="eastAsia" w:ascii="宋体" w:hAnsi="宋体" w:eastAsia="宋体" w:cs="宋体"/>
          <w:sz w:val="24"/>
          <w:u w:val="single"/>
        </w:rPr>
        <w:t xml:space="preserve">   </w:t>
      </w:r>
      <w:r>
        <w:rPr>
          <w:rFonts w:ascii="宋体" w:hAnsi="宋体" w:eastAsia="宋体" w:cs="宋体"/>
          <w:sz w:val="24"/>
        </w:rPr>
        <w:t xml:space="preserve">（姓名）为我公司授权代表（即代理人），以本公司的名义参加</w:t>
      </w:r>
      <w:r>
        <w:rPr>
          <w:rFonts w:hint="eastAsia" w:ascii="宋体" w:hAnsi="宋体" w:eastAsia="宋体" w:cs="宋体"/>
          <w:sz w:val="24"/>
          <w:u w:val="single"/>
        </w:rPr>
        <w:t xml:space="preserve">     </w:t>
      </w:r>
      <w:r>
        <w:rPr>
          <w:rFonts w:ascii="宋体" w:hAnsi="宋体" w:eastAsia="宋体" w:cs="宋体"/>
          <w:sz w:val="24"/>
        </w:rPr>
        <w:t xml:space="preserve">(采购代理机构)</w:t>
      </w:r>
      <w:r>
        <w:rPr>
          <w:rFonts w:ascii="宋体" w:hAnsi="宋体" w:eastAsia="宋体" w:cs="宋体"/>
          <w:sz w:val="24"/>
        </w:rPr>
        <w:t xml:space="preserve">组织实施的编号为</w:t>
      </w:r>
      <w:r>
        <w:rPr>
          <w:rFonts w:hint="eastAsia" w:ascii="宋体" w:hAnsi="宋体" w:eastAsia="宋体" w:cs="宋体"/>
          <w:sz w:val="24"/>
          <w:u w:val="single"/>
        </w:rPr>
        <w:t xml:space="preserve">     </w:t>
      </w:r>
      <w:r>
        <w:rPr>
          <w:rFonts w:ascii="宋体" w:hAnsi="宋体" w:eastAsia="宋体" w:cs="宋体"/>
          <w:sz w:val="24"/>
        </w:rPr>
        <w:t xml:space="preserve">号的</w:t>
      </w:r>
      <w:r>
        <w:rPr>
          <w:rFonts w:hint="eastAsia" w:ascii="宋体" w:hAnsi="宋体" w:eastAsia="宋体" w:cs="宋体"/>
          <w:sz w:val="24"/>
          <w:u w:val="single"/>
        </w:rPr>
        <w:t xml:space="preserve">     </w:t>
      </w:r>
      <w:r>
        <w:rPr>
          <w:rFonts w:ascii="宋体" w:hAnsi="宋体" w:eastAsia="宋体" w:cs="宋体"/>
          <w:sz w:val="24"/>
        </w:rPr>
        <w:t xml:space="preserve">（项目名称）招标活动。代理人在开标、评标、合同谈判过程中所签署的一切文件和处理与这有关的一切事务，我均予以承认。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代理人无转委托权。特此委托。</w:t>
      </w:r>
      <w:r/>
    </w:p>
    <w:p>
      <w:pPr>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代理人：（签字或盖章）</w:t>
      </w:r>
      <w:r/>
    </w:p>
    <w:p>
      <w:pPr>
        <w:ind w:firstLine="420"/>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spacing w:after="312"/>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三、开标一览表</w:t>
      </w:r>
      <w:r/>
    </w:p>
    <w:tbl>
      <w:tblPr>
        <w:tblStyle w:val="8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7"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0"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52"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投标总价（人民币大写：</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tc>
      </w:tr>
    </w:tbl>
    <w:p>
      <w:pPr>
        <w:ind w:firstLine="480"/>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ind w:firstLine="482"/>
        <w:jc w:val="both"/>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rPr>
          <w:rFonts w:hint="eastAsia" w:ascii="宋体" w:hAnsi="宋体" w:eastAsia="宋体" w:cs="宋体"/>
          <w:b/>
          <w:bCs/>
          <w:sz w:val="24"/>
          <w:szCs w:val="24"/>
        </w:rPr>
        <w:t xml:space="preserve">1.报价金额全部采</w:t>
      </w:r>
      <w:r>
        <w:rPr>
          <w:rFonts w:hint="eastAsia" w:ascii="宋体" w:hAnsi="宋体" w:eastAsia="宋体" w:cs="宋体"/>
          <w:b/>
          <w:bCs/>
          <w:sz w:val="24"/>
          <w:szCs w:val="24"/>
        </w:rPr>
        <w:t xml:space="preserve">用</w:t>
      </w:r>
      <w:r>
        <w:rPr>
          <w:rFonts w:hint="eastAsia" w:ascii="宋体" w:hAnsi="宋体" w:eastAsia="宋体" w:cs="宋体"/>
          <w:b/>
          <w:bCs/>
          <w:sz w:val="24"/>
          <w:szCs w:val="24"/>
        </w:rPr>
        <w:t xml:space="preserve">人民币表示，响应报价精确到分。</w:t>
      </w:r>
      <w:r/>
    </w:p>
    <w:p>
      <w:pPr>
        <w:ind w:firstLine="482"/>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2.本表投标总价须与苏采云系统内填报的投标总价一致，如不一致，以苏采云系统内填报的投标总价为准。</w:t>
      </w:r>
      <w:r/>
    </w:p>
    <w:p>
      <w:pPr>
        <w:ind w:firstLine="562"/>
        <w:jc w:val="both"/>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r>
      <w:r/>
    </w:p>
    <w:p>
      <w:pPr>
        <w:ind w:firstLine="480"/>
        <w:spacing w:line="4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四、</w:t>
      </w:r>
      <w:r>
        <w:rPr>
          <w:rFonts w:hint="eastAsia" w:ascii="宋体" w:hAnsi="宋体" w:eastAsia="宋体" w:cs="宋体"/>
          <w:b/>
          <w:sz w:val="30"/>
        </w:rPr>
        <w:t xml:space="preserve">货物清单表</w:t>
      </w:r>
      <w:r/>
    </w:p>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货物清单表</w:t>
      </w:r>
      <w:r>
        <w:rPr>
          <w:rFonts w:ascii="宋体" w:hAnsi="宋体" w:eastAsia="宋体" w:cs="宋体"/>
          <w:sz w:val="24"/>
        </w:rPr>
        <w:t xml:space="preserve">（格式）</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rPr>
        <w:t xml:space="preserve">招标编号：</w:t>
      </w:r>
      <w:r/>
    </w:p>
    <w:tbl>
      <w:tblPr>
        <w:tblStyle w:val="84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品牌</w:t>
            </w:r>
            <w:r>
              <w:rPr>
                <w:rFonts w:hint="eastAsia" w:ascii="宋体" w:hAnsi="宋体" w:eastAsia="宋体" w:cs="宋体"/>
                <w:sz w:val="24"/>
              </w:rPr>
              <w:t xml:space="preserve">型号</w:t>
            </w:r>
            <w:r/>
          </w:p>
        </w:tc>
        <w:tc>
          <w:tcPr>
            <w:tcMar>
              <w:left w:w="108" w:type="dxa"/>
              <w:top w:w="0" w:type="dxa"/>
              <w:right w:w="108" w:type="dxa"/>
              <w:bottom w:w="0" w:type="dxa"/>
            </w:tcMar>
            <w:tcW w:w="986" w:type="pct"/>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规格</w:t>
            </w:r>
            <w:r>
              <w:rPr>
                <w:rFonts w:hint="eastAsia" w:ascii="宋体" w:hAnsi="宋体" w:eastAsia="宋体" w:cs="宋体"/>
                <w:sz w:val="24"/>
              </w:rPr>
              <w:t xml:space="preserve">、材质、参数等</w:t>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生产厂家</w:t>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w:t>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数量</w:t>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单价</w:t>
            </w:r>
            <w:r/>
          </w:p>
        </w:tc>
        <w:tc>
          <w:tcPr>
            <w:tcMar>
              <w:left w:w="108" w:type="dxa"/>
              <w:top w:w="0" w:type="dxa"/>
              <w:right w:w="108" w:type="dxa"/>
              <w:bottom w:w="0" w:type="dxa"/>
            </w:tcMar>
            <w:tcW w:w="441" w:type="pct"/>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w:t>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合计金额：</w:t>
            </w:r>
            <w:r>
              <w:rPr>
                <w:rFonts w:hint="eastAsia" w:ascii="宋体" w:hAnsi="宋体" w:eastAsia="宋体" w:cs="宋体"/>
                <w:sz w:val="24"/>
                <w:u w:val="single"/>
              </w:rPr>
              <w:t xml:space="preserve">人民币大写        （￥         </w:t>
            </w:r>
            <w:r>
              <w:rPr>
                <w:rFonts w:hint="eastAsia" w:ascii="宋体" w:hAnsi="宋体" w:eastAsia="宋体" w:cs="宋体"/>
                <w:sz w:val="24"/>
                <w:u w:val="single"/>
              </w:rPr>
              <w:t xml:space="preserve"> ）</w:t>
            </w:r>
            <w:r/>
          </w:p>
        </w:tc>
      </w:tr>
    </w:tbl>
    <w:p>
      <w:pPr>
        <w:ind w:firstLine="480"/>
        <w:spacing w:before="312" w:line="360" w:lineRule="auto"/>
        <w:tabs>
          <w:tab w:val="left" w:pos="7560" w:leader="none"/>
        </w:tabs>
        <w:rPr>
          <w:rFonts w:hint="eastAsia" w:ascii="宋体" w:hAnsi="宋体" w:cs="宋体"/>
          <w:sz w:val="24"/>
          <w:szCs w:val="24"/>
        </w:rPr>
      </w:pPr>
      <w:r>
        <w:rPr>
          <w:rFonts w:hint="eastAsia" w:ascii="宋体" w:hAnsi="宋体" w:cs="宋体"/>
          <w:sz w:val="24"/>
          <w:szCs w:val="24"/>
        </w:rPr>
        <w:t xml:space="preserve">注：1.各供应商可按照招标文件要求参照上述格式自制《货物清单表》投标</w:t>
      </w:r>
      <w:r>
        <w:rPr>
          <w:rFonts w:hint="eastAsia" w:ascii="宋体" w:hAnsi="宋体" w:cs="宋体"/>
          <w:bCs/>
          <w:sz w:val="24"/>
          <w:szCs w:val="24"/>
        </w:rPr>
        <w:t xml:space="preserve">，根据自身情况</w:t>
      </w:r>
      <w:r>
        <w:rPr>
          <w:rFonts w:hint="eastAsia" w:ascii="宋体" w:hAnsi="宋体" w:cs="宋体"/>
          <w:sz w:val="24"/>
          <w:szCs w:val="24"/>
        </w:rPr>
        <w:t xml:space="preserve">详细报出分项</w:t>
      </w:r>
      <w:r>
        <w:rPr>
          <w:rFonts w:hint="eastAsia" w:ascii="宋体" w:hAnsi="宋体" w:eastAsia="宋体" w:cs="宋体"/>
          <w:sz w:val="24"/>
          <w:szCs w:val="24"/>
        </w:rPr>
        <w:t xml:space="preserve">价格，但不得修改实质性内容</w:t>
      </w:r>
      <w:r>
        <w:rPr>
          <w:rFonts w:hint="eastAsia" w:ascii="宋体" w:hAnsi="宋体" w:cs="宋体"/>
          <w:sz w:val="24"/>
          <w:szCs w:val="24"/>
        </w:rPr>
        <w:t xml:space="preserve">。</w:t>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1808"/>
        <w:jc w:val="both"/>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五、投入的实施、交货、安装、验收方案</w:t>
      </w:r>
      <w:r/>
    </w:p>
    <w:tbl>
      <w:tblPr>
        <w:tblStyle w:val="8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w:t>
            </w:r>
            <w:r>
              <w:rPr>
                <w:rFonts w:hint="eastAsia" w:ascii="宋体" w:hAnsi="宋体" w:eastAsia="宋体" w:cs="宋体"/>
                <w:sz w:val="24"/>
                <w:szCs w:val="24"/>
              </w:rPr>
              <w:t xml:space="preserve">示：</w:t>
            </w:r>
            <w:r/>
          </w:p>
          <w:p>
            <w:pPr>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1.供应商应针对本次采购项目特点编写中标后拟投入的实施、交货、安装、验收方案及相关保证措施等；</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2.供应商可根据自身情况编</w:t>
            </w:r>
            <w:r>
              <w:rPr>
                <w:rFonts w:ascii="宋体" w:hAnsi="宋体" w:eastAsia="宋体" w:cs="宋体"/>
                <w:sz w:val="24"/>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pBdr>
                <w:top w:val="none" w:color="000000" w:sz="0" w:space="0"/>
                <w:left w:val="none" w:color="000000" w:sz="0" w:space="0"/>
                <w:bottom w:val="none" w:color="000000" w:sz="0" w:space="0"/>
                <w:right w:val="none" w:color="000000" w:sz="0" w:space="0"/>
              </w:pBdr>
            </w:pPr>
            <w:r/>
            <w:r/>
          </w:p>
          <w:p>
            <w:pPr>
              <w:ind w:firstLine="3840"/>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210"/>
              <w:jc w:val="both"/>
              <w:spacing w:line="85" w:lineRule="atLeast"/>
              <w:pBdr>
                <w:top w:val="none" w:color="000000" w:sz="0" w:space="0"/>
                <w:left w:val="none" w:color="000000" w:sz="0" w:space="0"/>
                <w:bottom w:val="none" w:color="000000" w:sz="0" w:space="0"/>
                <w:right w:val="none" w:color="000000" w:sz="0" w:space="0"/>
              </w:pBdr>
            </w:pPr>
            <w:r/>
            <w:r/>
          </w:p>
          <w:p>
            <w:pPr>
              <w:spacing w:before="200" w:after="200"/>
              <w:pBdr>
                <w:top w:val="none" w:color="000000" w:sz="0" w:space="0"/>
                <w:left w:val="none" w:color="000000" w:sz="0" w:space="0"/>
                <w:bottom w:val="none" w:color="000000" w:sz="0" w:space="0"/>
                <w:right w:val="none" w:color="000000" w:sz="0" w:space="0"/>
              </w:pBdr>
            </w:pPr>
            <w:r/>
            <w:r/>
          </w:p>
        </w:tc>
      </w:tr>
    </w:tbl>
    <w:p>
      <w:pPr>
        <w:spacing w:line="113" w:lineRule="atLeast"/>
        <w:pBdr>
          <w:top w:val="none" w:color="000000" w:sz="0" w:space="0"/>
          <w:left w:val="none" w:color="000000" w:sz="0" w:space="0"/>
          <w:bottom w:val="none" w:color="000000" w:sz="0" w:space="0"/>
          <w:right w:val="none" w:color="000000" w:sz="0" w:space="0"/>
        </w:pBdr>
      </w:pPr>
      <w:r/>
      <w:r/>
    </w:p>
    <w:p>
      <w:pPr>
        <w:ind w:firstLine="570"/>
        <w:jc w:val="both"/>
        <w:pBdr>
          <w:top w:val="none" w:color="000000" w:sz="0" w:space="0"/>
          <w:left w:val="none" w:color="000000" w:sz="0" w:space="0"/>
          <w:bottom w:val="none" w:color="000000" w:sz="0" w:space="0"/>
          <w:right w:val="none" w:color="000000" w:sz="0" w:space="0"/>
        </w:pBdr>
      </w:pPr>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六、拟用于本项目人员名单</w:t>
      </w:r>
      <w:r/>
    </w:p>
    <w:tbl>
      <w:tblPr>
        <w:tblStyle w:val="84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2"/>
        <w:gridCol w:w="909"/>
        <w:gridCol w:w="1041"/>
        <w:gridCol w:w="1040"/>
        <w:gridCol w:w="804"/>
        <w:gridCol w:w="2296"/>
        <w:gridCol w:w="2280"/>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曾</w:t>
            </w:r>
            <w:r>
              <w:rPr>
                <w:rFonts w:hint="eastAsia" w:ascii="宋体" w:hAnsi="宋体" w:eastAsia="宋体" w:cs="宋体"/>
                <w:sz w:val="24"/>
                <w:szCs w:val="24"/>
              </w:rPr>
              <w:t xml:space="preserve">参与过</w:t>
            </w:r>
            <w:r>
              <w:rPr>
                <w:rFonts w:ascii="宋体" w:hAnsi="宋体" w:eastAsia="宋体" w:cs="宋体"/>
                <w:sz w:val="24"/>
                <w:szCs w:val="24"/>
              </w:rPr>
              <w:t xml:space="preserve">的</w:t>
            </w:r>
            <w:r>
              <w:rPr>
                <w:rFonts w:hint="eastAsia" w:ascii="宋体" w:hAnsi="宋体" w:eastAsia="宋体" w:cs="宋体"/>
                <w:sz w:val="24"/>
                <w:szCs w:val="24"/>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bl>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rPr>
          <w:rFonts w:hint="eastAsia" w:ascii="宋体" w:hAnsi="宋体" w:eastAsia="宋体" w:cs="宋体"/>
          <w:sz w:val="28"/>
        </w:rPr>
      </w:pPr>
      <w:r>
        <w:rPr>
          <w:rFonts w:ascii="宋体" w:hAnsi="宋体" w:eastAsia="宋体" w:cs="宋体"/>
          <w:sz w:val="28"/>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七、资格证明文件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1.</w:t>
      </w:r>
      <w:r>
        <w:rPr>
          <w:rFonts w:ascii="宋体" w:hAnsi="宋体" w:eastAsia="宋体" w:cs="宋体"/>
          <w:b/>
          <w:sz w:val="24"/>
        </w:rPr>
        <w:t xml:space="preserve">关于资格文件的声明函</w:t>
      </w:r>
      <w:r/>
    </w:p>
    <w:p>
      <w:pPr>
        <w:ind w:firstLine="420"/>
        <w:jc w:val="center"/>
        <w:pBdr>
          <w:top w:val="none" w:color="000000" w:sz="0" w:space="0"/>
          <w:left w:val="none" w:color="000000" w:sz="0" w:space="0"/>
          <w:bottom w:val="none" w:color="000000" w:sz="0" w:space="0"/>
          <w:right w:val="none" w:color="000000" w:sz="0" w:space="0"/>
        </w:pBdr>
      </w:pPr>
      <w:r/>
      <w:r/>
    </w:p>
    <w:p>
      <w:pPr>
        <w:ind w:firstLine="420"/>
        <w:jc w:val="center"/>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本公司愿就由贵公司组织实施的编号为</w:t>
      </w:r>
      <w:r>
        <w:rPr>
          <w:rFonts w:ascii="宋体" w:hAnsi="宋体" w:eastAsia="宋体" w:cs="宋体"/>
          <w:sz w:val="24"/>
          <w:u w:val="single"/>
        </w:rPr>
        <w:t xml:space="preserve">（招标编号）</w:t>
      </w:r>
      <w:r>
        <w:rPr>
          <w:rFonts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我方已知晓</w:t>
      </w:r>
      <w:r>
        <w:rPr>
          <w:rFonts w:hint="eastAsia" w:ascii="宋体" w:hAnsi="宋体" w:eastAsia="宋体" w:cs="宋体"/>
          <w:sz w:val="24"/>
        </w:rPr>
        <w:t xml:space="preserve">招标</w:t>
      </w:r>
      <w:r>
        <w:rPr>
          <w:rFonts w:ascii="宋体" w:hAnsi="宋体" w:eastAsia="宋体" w:cs="宋体"/>
          <w:sz w:val="24"/>
        </w:rPr>
        <w:t xml:space="preserve">文件要求并认真审核自身情况，在此郑重声明，我方遵守如下条款的规定：</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（2）除单一来源项目外，凡为采购项目提供整体设计、规范编制或者项目管理、监理、检测等服务的供应商不得再参加本项目的采购活动。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本声明如有虚假或不实之处，我方将失去合格供应商资格。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）法定代表人（签字或盖章）：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：（单位盖章）：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144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spacing w:before="240" w:after="240"/>
        <w:pBdr>
          <w:top w:val="none" w:color="000000" w:sz="0" w:space="0"/>
          <w:left w:val="none" w:color="000000" w:sz="0" w:space="0"/>
          <w:bottom w:val="none" w:color="000000" w:sz="0" w:space="0"/>
          <w:right w:val="none" w:color="000000" w:sz="0" w:space="0"/>
        </w:pBdr>
      </w:pPr>
      <w:r>
        <w:br w:type="page" w:clear="all"/>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2</w:t>
      </w:r>
      <w:r>
        <w:rPr>
          <w:rFonts w:hint="eastAsia" w:ascii="宋体" w:hAnsi="宋体" w:eastAsia="宋体" w:cs="宋体"/>
          <w:b/>
          <w:sz w:val="24"/>
        </w:rPr>
        <w:t xml:space="preserve"> </w:t>
      </w:r>
      <w:r>
        <w:rPr>
          <w:rFonts w:ascii="宋体" w:hAnsi="宋体" w:eastAsia="宋体" w:cs="宋体"/>
          <w:b/>
          <w:sz w:val="24"/>
        </w:rPr>
        <w:t xml:space="preserve">具有独立承担民事责任的能力（提供法人或其他组织的营业执照）</w:t>
      </w:r>
      <w:r/>
    </w:p>
    <w:p>
      <w:pPr>
        <w:jc w:val="both"/>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3</w:t>
      </w:r>
      <w:r>
        <w:rPr>
          <w:rFonts w:hint="eastAsia" w:ascii="宋体" w:hAnsi="宋体" w:eastAsia="宋体" w:cs="宋体"/>
          <w:b/>
          <w:sz w:val="24"/>
        </w:rPr>
        <w:t xml:space="preserve"> </w:t>
      </w:r>
      <w:r>
        <w:rPr>
          <w:rFonts w:ascii="宋体" w:hAnsi="宋体" w:eastAsia="宋体" w:cs="宋体"/>
          <w:b/>
          <w:sz w:val="24"/>
        </w:rPr>
        <w:t xml:space="preserve">具有良好的商业信誉和健全的财务会计制度；提供企业2025年度财务审计报告或企业近三个月中任一月份的财务状况报告</w:t>
      </w:r>
      <w:r>
        <w:rPr>
          <w:rFonts w:ascii="宋体" w:hAnsi="宋体" w:eastAsia="宋体" w:cs="宋体"/>
          <w:b/>
          <w:sz w:val="24"/>
        </w:rPr>
        <w:t xml:space="preserve">扫描</w:t>
      </w:r>
      <w:r>
        <w:rPr>
          <w:rFonts w:ascii="宋体" w:hAnsi="宋体" w:eastAsia="宋体" w:cs="宋体"/>
          <w:b/>
          <w:sz w:val="24"/>
        </w:rPr>
        <w:t xml:space="preserve">件（至少包括资产负债表和利润表，加盖供应商公章）（法人或者其他组织成立未满三个月的可以不提供）或其基本开户银行出具的资信证明（距开标时间3个月内开具）</w:t>
      </w:r>
      <w:r/>
    </w:p>
    <w:p>
      <w:pPr>
        <w:jc w:val="both"/>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4</w:t>
      </w:r>
      <w:r>
        <w:rPr>
          <w:rFonts w:hint="eastAsia" w:ascii="宋体" w:hAnsi="宋体" w:eastAsia="宋体" w:cs="宋体"/>
          <w:b/>
          <w:sz w:val="24"/>
        </w:rPr>
        <w:t xml:space="preserve"> </w:t>
      </w:r>
      <w:r>
        <w:rPr>
          <w:rFonts w:ascii="宋体" w:hAnsi="宋体" w:eastAsia="宋体" w:cs="宋体"/>
          <w:b/>
          <w:sz w:val="24"/>
        </w:rPr>
        <w:t xml:space="preserve">有依法缴纳税收和社会保障资金的良好记录；提供企业近三个月中任一月份依法缴纳税收和社会保障资金的相关凭证材料，依法免缴、迟缴的应提供相应文件证明</w:t>
      </w:r>
      <w:r/>
    </w:p>
    <w:p>
      <w:pPr>
        <w:jc w:val="both"/>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5</w:t>
      </w:r>
      <w:r>
        <w:rPr>
          <w:rFonts w:hint="eastAsia" w:ascii="宋体" w:hAnsi="宋体" w:eastAsia="宋体" w:cs="宋体"/>
          <w:b/>
          <w:sz w:val="24"/>
        </w:rPr>
        <w:t xml:space="preserve"> </w:t>
      </w:r>
      <w:r>
        <w:rPr>
          <w:rFonts w:ascii="宋体" w:hAnsi="宋体" w:eastAsia="宋体" w:cs="宋体"/>
          <w:b/>
          <w:sz w:val="24"/>
        </w:rPr>
        <w:t xml:space="preserve">具有履行合同所必需的设备和专业技术能力；（根据项目需求提供履行合同所必需的设备和专业技术能力的证明材料或提供承诺书，加盖公章</w:t>
      </w:r>
      <w:r>
        <w:rPr>
          <w:rFonts w:hint="eastAsia" w:ascii="宋体" w:hAnsi="宋体" w:eastAsia="宋体" w:cs="宋体"/>
          <w:b/>
          <w:sz w:val="24"/>
        </w:rPr>
        <w:t xml:space="preserve">）</w:t>
      </w:r>
      <w:r/>
    </w:p>
    <w:p>
      <w:pPr>
        <w:jc w:val="both"/>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6</w:t>
      </w:r>
      <w:r>
        <w:rPr>
          <w:rFonts w:hint="eastAsia" w:ascii="宋体" w:hAnsi="宋体" w:eastAsia="宋体" w:cs="宋体"/>
          <w:b/>
          <w:sz w:val="24"/>
        </w:rPr>
        <w:t xml:space="preserve"> </w:t>
      </w:r>
      <w:r>
        <w:rPr>
          <w:rFonts w:ascii="宋体" w:hAnsi="宋体" w:eastAsia="宋体" w:cs="宋体"/>
          <w:b/>
          <w:sz w:val="24"/>
        </w:rPr>
        <w:t xml:space="preserve">参加政府采购活动前三年内，在经营活动中没有重大违法记录；（提供参加本次政府采购活动前3年内在经营活动中没有重大违法记录的书面声明，加盖公章</w:t>
      </w:r>
      <w:r>
        <w:rPr>
          <w:rFonts w:hint="eastAsia" w:ascii="宋体" w:hAnsi="宋体" w:eastAsia="宋体" w:cs="宋体"/>
          <w:b/>
          <w:sz w:val="24"/>
        </w:rPr>
        <w:t xml:space="preserve">）</w:t>
      </w:r>
      <w:r/>
    </w:p>
    <w:p>
      <w:pPr>
        <w:jc w:val="both"/>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7</w:t>
      </w:r>
      <w:r>
        <w:rPr>
          <w:rFonts w:hint="eastAsia" w:ascii="宋体" w:hAnsi="宋体" w:eastAsia="宋体" w:cs="宋体"/>
          <w:b/>
          <w:sz w:val="24"/>
        </w:rPr>
        <w:t xml:space="preserve"> </w:t>
      </w:r>
      <w:r>
        <w:rPr>
          <w:rFonts w:ascii="宋体" w:hAnsi="宋体" w:eastAsia="宋体" w:cs="宋体"/>
          <w:b/>
          <w:sz w:val="24"/>
        </w:rPr>
        <w:t xml:space="preserve">供应商在投标截止时间前未被“信用中国”网站及“中国政府采购网”列入失信被执行人、重大税收违法失信主体名单、政府采购严重违法失信行为记录名单内；（提供承诺书，格式自拟，需包含此条内容，加盖公章）</w:t>
      </w:r>
      <w:r/>
    </w:p>
    <w:p>
      <w:pPr>
        <w:jc w:val="both"/>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8</w:t>
      </w:r>
      <w:r>
        <w:rPr>
          <w:rFonts w:hint="eastAsia" w:ascii="宋体" w:hAnsi="宋体" w:eastAsia="宋体" w:cs="宋体"/>
          <w:b/>
          <w:sz w:val="24"/>
        </w:rPr>
        <w:t xml:space="preserve"> </w:t>
      </w:r>
      <w:r>
        <w:rPr>
          <w:rFonts w:ascii="宋体" w:hAnsi="宋体" w:eastAsia="宋体" w:cs="宋体"/>
          <w:b/>
          <w:sz w:val="24"/>
        </w:rPr>
        <w:t xml:space="preserve">本项目不接受任何形式的转包</w:t>
      </w:r>
      <w:r/>
    </w:p>
    <w:p>
      <w:pPr>
        <w:jc w:val="both"/>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center"/>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八、</w:t>
      </w:r>
      <w:r>
        <w:rPr>
          <w:rFonts w:hint="eastAsia" w:ascii="宋体" w:hAnsi="宋体" w:eastAsia="宋体" w:cs="宋体"/>
          <w:b/>
          <w:sz w:val="30"/>
        </w:rPr>
        <w:t xml:space="preserve">供应商</w:t>
      </w:r>
      <w:r>
        <w:rPr>
          <w:rFonts w:ascii="宋体" w:hAnsi="宋体" w:eastAsia="宋体" w:cs="宋体"/>
          <w:b/>
          <w:sz w:val="30"/>
        </w:rPr>
        <w:t xml:space="preserve">基本情况表</w:t>
      </w:r>
      <w:r/>
    </w:p>
    <w:tbl>
      <w:tblPr>
        <w:tblW w:w="4998"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2677"/>
        <w:gridCol w:w="1952"/>
        <w:gridCol w:w="1473"/>
        <w:gridCol w:w="1940"/>
        <w:gridCol w:w="1242"/>
      </w:tblGrid>
      <w:tr>
        <w:trPr>
          <w:cantSplit/>
        </w:trPr>
        <w:tc>
          <w:tcPr>
            <w:tcW w:w="144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法定代表人</w:t>
            </w:r>
            <w:r/>
          </w:p>
        </w:tc>
        <w:tc>
          <w:tcPr>
            <w:tcW w:w="105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r>
            <w:r/>
          </w:p>
        </w:tc>
        <w:tc>
          <w:tcPr>
            <w:tcW w:w="793"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成立日期</w:t>
            </w:r>
            <w:r/>
          </w:p>
        </w:tc>
        <w:tc>
          <w:tcPr>
            <w:gridSpan w:val="2"/>
            <w:tcW w:w="1714"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企业地址</w:t>
            </w:r>
            <w:r/>
          </w:p>
        </w:tc>
        <w:tc>
          <w:tcPr>
            <w:tcW w:w="105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r>
            <w:r/>
          </w:p>
        </w:tc>
        <w:tc>
          <w:tcPr>
            <w:tcW w:w="793"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注册资本</w:t>
            </w:r>
            <w:r/>
          </w:p>
        </w:tc>
        <w:tc>
          <w:tcPr>
            <w:gridSpan w:val="2"/>
            <w:tcW w:w="1714" w:type="pct"/>
            <w:vAlign w:val="center"/>
            <w:textDirection w:val="lrTb"/>
            <w:noWrap w:val="false"/>
          </w:tcPr>
          <w:p>
            <w:pPr>
              <w:pStyle w:val="803"/>
              <w:ind w:firstLine="960"/>
              <w:rPr>
                <w:rFonts w:hint="eastAsia" w:ascii="宋体" w:hAnsi="宋体" w:eastAsia="宋体" w:cs="宋体"/>
              </w:rPr>
            </w:pPr>
            <w:r>
              <w:rPr>
                <w:rFonts w:hint="eastAsia" w:ascii="宋体" w:hAnsi="宋体" w:eastAsia="宋体" w:cs="宋体"/>
              </w:rPr>
              <w:t xml:space="preserve">万元</w:t>
            </w:r>
            <w:r/>
          </w:p>
        </w:tc>
      </w:tr>
      <w:tr>
        <w:trPr>
          <w:cantSplit/>
        </w:trPr>
        <w:tc>
          <w:tcPr>
            <w:tcW w:w="144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经营范围</w:t>
            </w:r>
            <w:r/>
          </w:p>
        </w:tc>
        <w:tc>
          <w:tcPr>
            <w:gridSpan w:val="4"/>
            <w:tcW w:w="3558"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职工人数</w:t>
            </w:r>
            <w:r/>
          </w:p>
        </w:tc>
        <w:tc>
          <w:tcPr>
            <w:tcW w:w="105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r>
            <w:r/>
          </w:p>
        </w:tc>
        <w:tc>
          <w:tcPr>
            <w:gridSpan w:val="2"/>
            <w:tcW w:w="1838"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其中：有中高级以上职称的人数</w:t>
            </w:r>
            <w:r/>
          </w:p>
        </w:tc>
        <w:tc>
          <w:tcPr>
            <w:tcW w:w="668"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03"/>
              <w:ind w:firstLine="0"/>
              <w:jc w:val="both"/>
              <w:rPr>
                <w:rFonts w:hint="eastAsia" w:ascii="宋体" w:hAnsi="宋体" w:eastAsia="宋体" w:cs="宋体"/>
              </w:rPr>
            </w:pPr>
            <w:r>
              <w:rPr>
                <w:rFonts w:hint="eastAsia" w:ascii="宋体" w:hAnsi="宋体" w:eastAsia="宋体" w:cs="宋体"/>
              </w:rPr>
              <w:t xml:space="preserve">资产总计</w:t>
            </w:r>
            <w:r/>
          </w:p>
        </w:tc>
        <w:tc>
          <w:tcPr>
            <w:tcW w:w="1051" w:type="pct"/>
            <w:vAlign w:val="center"/>
            <w:textDirection w:val="lrTb"/>
            <w:noWrap w:val="false"/>
          </w:tcPr>
          <w:p>
            <w:pPr>
              <w:pStyle w:val="803"/>
              <w:ind w:firstLine="0"/>
              <w:jc w:val="center"/>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803"/>
              <w:ind w:firstLine="0"/>
              <w:jc w:val="both"/>
              <w:rPr>
                <w:rFonts w:hint="eastAsia" w:ascii="宋体" w:hAnsi="宋体" w:eastAsia="宋体" w:cs="宋体"/>
              </w:rPr>
            </w:pPr>
            <w:r>
              <w:rPr>
                <w:rFonts w:hint="eastAsia" w:ascii="宋体" w:hAnsi="宋体" w:eastAsia="宋体" w:cs="宋体"/>
              </w:rPr>
              <w:t xml:space="preserve">净资产</w:t>
            </w:r>
            <w:r/>
          </w:p>
        </w:tc>
        <w:tc>
          <w:tcPr>
            <w:gridSpan w:val="2"/>
            <w:tcW w:w="1714" w:type="pct"/>
            <w:vAlign w:val="center"/>
            <w:textDirection w:val="lrTb"/>
            <w:noWrap w:val="false"/>
          </w:tcPr>
          <w:p>
            <w:pPr>
              <w:pStyle w:val="803"/>
              <w:ind w:firstLine="0"/>
              <w:jc w:val="center"/>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Height w:val="462"/>
        </w:trPr>
        <w:tc>
          <w:tcPr>
            <w:tcW w:w="1441" w:type="pct"/>
            <w:vAlign w:val="center"/>
            <w:textDirection w:val="lrTb"/>
            <w:noWrap w:val="false"/>
          </w:tcPr>
          <w:p>
            <w:pPr>
              <w:pStyle w:val="803"/>
              <w:ind w:firstLine="0"/>
              <w:jc w:val="both"/>
              <w:rPr>
                <w:rFonts w:hint="eastAsia" w:ascii="宋体" w:hAnsi="宋体" w:eastAsia="宋体" w:cs="宋体"/>
              </w:rPr>
            </w:pPr>
            <w:r>
              <w:rPr>
                <w:rFonts w:hint="eastAsia" w:ascii="宋体" w:hAnsi="宋体" w:eastAsia="宋体" w:cs="宋体"/>
              </w:rPr>
              <w:t xml:space="preserve">股东权益</w:t>
            </w:r>
            <w:r/>
          </w:p>
        </w:tc>
        <w:tc>
          <w:tcPr>
            <w:tcW w:w="1051" w:type="pct"/>
            <w:vAlign w:val="center"/>
            <w:textDirection w:val="lrTb"/>
            <w:noWrap w:val="false"/>
          </w:tcPr>
          <w:p>
            <w:pPr>
              <w:pStyle w:val="803"/>
              <w:ind w:firstLine="0"/>
              <w:jc w:val="center"/>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803"/>
              <w:ind w:firstLine="0"/>
              <w:jc w:val="both"/>
              <w:rPr>
                <w:rFonts w:hint="eastAsia" w:ascii="宋体" w:hAnsi="宋体" w:eastAsia="宋体" w:cs="宋体"/>
              </w:rPr>
            </w:pPr>
            <w:r>
              <w:rPr>
                <w:rFonts w:hint="eastAsia" w:ascii="宋体" w:hAnsi="宋体" w:eastAsia="宋体" w:cs="宋体"/>
              </w:rPr>
              <w:t xml:space="preserve">销售收入</w:t>
            </w:r>
            <w:r/>
          </w:p>
        </w:tc>
        <w:tc>
          <w:tcPr>
            <w:gridSpan w:val="2"/>
            <w:tcW w:w="1714" w:type="pct"/>
            <w:vAlign w:val="center"/>
            <w:textDirection w:val="lrTb"/>
            <w:noWrap w:val="false"/>
          </w:tcPr>
          <w:p>
            <w:pPr>
              <w:pStyle w:val="803"/>
              <w:ind w:firstLine="0"/>
              <w:jc w:val="center"/>
              <w:rPr>
                <w:rFonts w:hint="eastAsia"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Height w:val="553"/>
        </w:trPr>
        <w:tc>
          <w:tcPr>
            <w:tcW w:w="144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实现利润</w:t>
            </w:r>
            <w:r/>
          </w:p>
        </w:tc>
        <w:tc>
          <w:tcPr>
            <w:tcW w:w="105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rPr>
              <w:t xml:space="preserve">  万元</w:t>
            </w:r>
            <w:r/>
          </w:p>
        </w:tc>
        <w:tc>
          <w:tcPr>
            <w:tcW w:w="793"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r>
            <w:r/>
          </w:p>
        </w:tc>
        <w:tc>
          <w:tcPr>
            <w:gridSpan w:val="2"/>
            <w:tcW w:w="1714"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营业面积（含厂房面积）</w:t>
            </w:r>
            <w:r/>
          </w:p>
        </w:tc>
        <w:tc>
          <w:tcPr>
            <w:tcW w:w="1051" w:type="pct"/>
            <w:vAlign w:val="center"/>
            <w:textDirection w:val="lrTb"/>
            <w:noWrap w:val="false"/>
          </w:tcPr>
          <w:p>
            <w:pPr>
              <w:pStyle w:val="803"/>
              <w:ind w:firstLine="0"/>
              <w:jc w:val="both"/>
              <w:rPr>
                <w:rFonts w:hint="eastAsia" w:ascii="宋体" w:hAnsi="宋体" w:eastAsia="宋体" w:cs="宋体"/>
              </w:rPr>
            </w:pPr>
            <w:r>
              <w:rPr>
                <w:rFonts w:hint="eastAsia" w:ascii="宋体" w:hAnsi="宋体" w:eastAsia="宋体" w:cs="宋体"/>
              </w:rPr>
              <w:t xml:space="preserve">        平方米</w:t>
            </w:r>
            <w:r/>
          </w:p>
        </w:tc>
        <w:tc>
          <w:tcPr>
            <w:tcW w:w="793"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其中：</w:t>
            </w:r>
            <w:r/>
          </w:p>
        </w:tc>
        <w:tc>
          <w:tcPr>
            <w:gridSpan w:val="2"/>
            <w:tcW w:w="1714"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自有面积</w:t>
            </w:r>
            <w:r>
              <w:rPr>
                <w:rFonts w:hint="eastAsia" w:ascii="宋体" w:hAnsi="宋体" w:eastAsia="宋体" w:cs="宋体"/>
                <w:u w:val="single"/>
              </w:rPr>
              <w:t xml:space="preserve">      </w:t>
            </w:r>
            <w:r>
              <w:rPr>
                <w:rFonts w:hint="eastAsia" w:ascii="宋体" w:hAnsi="宋体" w:eastAsia="宋体" w:cs="宋体"/>
              </w:rPr>
              <w:t xml:space="preserve">平方米</w:t>
            </w:r>
            <w:r/>
          </w:p>
          <w:p>
            <w:pPr>
              <w:pStyle w:val="803"/>
              <w:ind w:firstLine="0"/>
              <w:rPr>
                <w:rFonts w:hint="eastAsia" w:ascii="宋体" w:hAnsi="宋体" w:eastAsia="宋体" w:cs="宋体"/>
              </w:rPr>
            </w:pPr>
            <w:r>
              <w:rPr>
                <w:rFonts w:hint="eastAsia" w:ascii="宋体" w:hAnsi="宋体" w:eastAsia="宋体" w:cs="宋体"/>
              </w:rPr>
              <w:t xml:space="preserve">承租面积</w:t>
            </w:r>
            <w:r>
              <w:rPr>
                <w:rFonts w:hint="eastAsia" w:ascii="宋体" w:hAnsi="宋体" w:eastAsia="宋体" w:cs="宋体"/>
                <w:u w:val="single"/>
              </w:rPr>
              <w:t xml:space="preserve">      </w:t>
            </w:r>
            <w:r>
              <w:rPr>
                <w:rFonts w:hint="eastAsia" w:ascii="宋体" w:hAnsi="宋体" w:eastAsia="宋体" w:cs="宋体"/>
              </w:rPr>
              <w:t xml:space="preserve">平方米</w:t>
            </w:r>
            <w:r/>
          </w:p>
        </w:tc>
      </w:tr>
      <w:tr>
        <w:trPr>
          <w:cantSplit/>
          <w:trHeight w:val="747"/>
        </w:trPr>
        <w:tc>
          <w:tcPr>
            <w:tcW w:w="144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单位简历及内设机构情况</w:t>
            </w:r>
            <w:r/>
          </w:p>
        </w:tc>
        <w:tc>
          <w:tcPr>
            <w:gridSpan w:val="4"/>
            <w:tcW w:w="3558"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单位优势及特长</w:t>
            </w:r>
            <w:r/>
          </w:p>
        </w:tc>
        <w:tc>
          <w:tcPr>
            <w:gridSpan w:val="4"/>
            <w:tcW w:w="3558"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是否处于被行政或司法机关责令停业或停止承接工程任务或停止投标资格</w:t>
            </w:r>
            <w:r/>
          </w:p>
        </w:tc>
        <w:tc>
          <w:tcPr>
            <w:gridSpan w:val="4"/>
            <w:tcW w:w="3558"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最近2年内在经营过程中受到何种奖励或处分（包括情况和结果）</w:t>
            </w:r>
            <w:r/>
          </w:p>
        </w:tc>
        <w:tc>
          <w:tcPr>
            <w:gridSpan w:val="4"/>
            <w:tcW w:w="3558"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最近3年内有无因售假、售劣或是其他原因被消费者投诉或起诉的情况及说明（包括解决方式和结果）</w:t>
            </w:r>
            <w:r/>
          </w:p>
        </w:tc>
        <w:tc>
          <w:tcPr>
            <w:gridSpan w:val="4"/>
            <w:tcW w:w="3558"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最近3年内主要负责人有无因经济犯罪被司法机关追究的情况及说明</w:t>
            </w:r>
            <w:r/>
          </w:p>
        </w:tc>
        <w:tc>
          <w:tcPr>
            <w:gridSpan w:val="4"/>
            <w:tcW w:w="3558"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获得技术认证的工程师及简介</w:t>
            </w:r>
            <w:r/>
          </w:p>
        </w:tc>
        <w:tc>
          <w:tcPr>
            <w:gridSpan w:val="4"/>
            <w:tcW w:w="3558"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r>
            <w:r/>
          </w:p>
        </w:tc>
      </w:tr>
      <w:tr>
        <w:trPr>
          <w:cantSplit/>
          <w:trHeight w:val="560"/>
        </w:trPr>
        <w:tc>
          <w:tcPr>
            <w:tcW w:w="1441"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t xml:space="preserve">其他需要说明的情况</w:t>
            </w:r>
            <w:r/>
          </w:p>
        </w:tc>
        <w:tc>
          <w:tcPr>
            <w:gridSpan w:val="4"/>
            <w:tcW w:w="3558" w:type="pct"/>
            <w:vAlign w:val="center"/>
            <w:textDirection w:val="lrTb"/>
            <w:noWrap w:val="false"/>
          </w:tcPr>
          <w:p>
            <w:pPr>
              <w:pStyle w:val="803"/>
              <w:ind w:firstLine="0"/>
              <w:rPr>
                <w:rFonts w:hint="eastAsia" w:ascii="宋体" w:hAnsi="宋体" w:eastAsia="宋体" w:cs="宋体"/>
              </w:rPr>
            </w:pPr>
            <w:r>
              <w:rPr>
                <w:rFonts w:hint="eastAsia" w:ascii="宋体" w:hAnsi="宋体" w:eastAsia="宋体" w:cs="宋体"/>
              </w:rPr>
            </w:r>
            <w:r/>
          </w:p>
        </w:tc>
      </w:tr>
    </w:tbl>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（本页不够可另加页附后）</w:t>
      </w:r>
      <w:r/>
    </w:p>
    <w:p>
      <w:pPr>
        <w:ind w:firstLine="420"/>
        <w:spacing w:line="400" w:lineRule="atLeast"/>
        <w:pBdr>
          <w:top w:val="none" w:color="000000" w:sz="0" w:space="0"/>
          <w:left w:val="none" w:color="000000" w:sz="0" w:space="0"/>
          <w:bottom w:val="none" w:color="000000" w:sz="0" w:space="0"/>
          <w:right w:val="none" w:color="000000" w:sz="0" w:space="0"/>
        </w:pBdr>
      </w:pPr>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九、技术规格、商务偏离表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（一）技术规格偏离表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844"/>
        <w:tblW w:w="50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5"/>
        <w:gridCol w:w="2116"/>
        <w:gridCol w:w="2086"/>
        <w:gridCol w:w="2087"/>
        <w:gridCol w:w="2087"/>
      </w:tblGrid>
      <w:tr>
        <w:trPr>
          <w:trHeight w:val="455"/>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131" w:type="pct"/>
            <w:vAlign w:val="center"/>
            <w:textDirection w:val="lrTb"/>
            <w:noWrap w:val="false"/>
          </w:tcPr>
          <w:p>
            <w:pPr>
              <w:ind w:left="54"/>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r>
      <w:tr>
        <w:trPr>
          <w:trHeight w:val="455"/>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131"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rHeight w:val="455"/>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131"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rHeight w:val="455"/>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131"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rHeight w:val="439"/>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131"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rHeight w:val="455"/>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Mar>
              <w:left w:w="108" w:type="dxa"/>
              <w:top w:w="0" w:type="dxa"/>
              <w:right w:w="108" w:type="dxa"/>
              <w:bottom w:w="0" w:type="dxa"/>
            </w:tcMar>
            <w:tcW w:w="1131"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rHeight w:val="360"/>
        </w:trPr>
        <w:tc>
          <w:tcPr>
            <w:tcMar>
              <w:left w:w="108" w:type="dxa"/>
              <w:top w:w="0" w:type="dxa"/>
              <w:right w:w="108" w:type="dxa"/>
              <w:bottom w:w="0" w:type="dxa"/>
            </w:tcMar>
            <w:tcW w:w="521" w:type="pct"/>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31"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jc w:val="center"/>
        <w:spacing w:line="360" w:lineRule="auto"/>
        <w:rPr>
          <w:rFonts w:hint="eastAsia"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（二）商务条款偏离表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8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9"/>
        <w:gridCol w:w="2995"/>
        <w:gridCol w:w="1989"/>
        <w:gridCol w:w="1870"/>
        <w:gridCol w:w="1601"/>
      </w:tblGrid>
      <w:tr>
        <w:trPr>
          <w:trHeight w:val="32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招标文件要求</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90"/>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交货地点</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付款方式</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售后服务承诺</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其他商务要求</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供应商</w:t>
      </w:r>
      <w:r>
        <w:rPr>
          <w:rFonts w:ascii="宋体" w:hAnsi="宋体" w:eastAsia="宋体" w:cs="宋体"/>
          <w:sz w:val="24"/>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2.若事项较多，</w:t>
      </w:r>
      <w:r>
        <w:rPr>
          <w:rFonts w:hint="eastAsia" w:ascii="宋体" w:hAnsi="宋体" w:eastAsia="宋体" w:cs="宋体"/>
          <w:sz w:val="24"/>
        </w:rPr>
        <w:t xml:space="preserve">供应商</w:t>
      </w:r>
      <w:r>
        <w:rPr>
          <w:rFonts w:ascii="宋体" w:hAnsi="宋体" w:eastAsia="宋体" w:cs="宋体"/>
          <w:sz w:val="24"/>
        </w:rPr>
        <w:t xml:space="preserve">可根据投标内容的实际情况另纸说明。</w:t>
      </w:r>
      <w:r/>
    </w:p>
    <w:p>
      <w:r>
        <w:rPr>
          <w:rFonts w:ascii="宋体" w:hAnsi="宋体" w:eastAsia="宋体" w:cs="宋体"/>
          <w:b/>
          <w:sz w:val="30"/>
        </w:rPr>
        <w:br w:type="page" w:clear="all"/>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十、企业类似业绩一览表</w:t>
      </w:r>
      <w:r/>
    </w:p>
    <w:p>
      <w:pPr>
        <w:pStyle w:val="803"/>
        <w:ind w:firstLine="0"/>
        <w:spacing w:after="312"/>
        <w:rPr>
          <w:rFonts w:hint="eastAsia" w:ascii="宋体" w:hAnsi="宋体" w:eastAsia="宋体" w:cs="宋体"/>
        </w:rPr>
      </w:pPr>
      <w:r>
        <w:rPr>
          <w:rFonts w:hint="eastAsia" w:ascii="宋体" w:hAnsi="宋体" w:eastAsia="宋体" w:cs="宋体"/>
        </w:rPr>
        <w:t xml:space="preserve">招标编号：</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8"/>
        <w:gridCol w:w="2816"/>
        <w:gridCol w:w="1765"/>
        <w:gridCol w:w="2669"/>
        <w:gridCol w:w="963"/>
      </w:tblGrid>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516"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950"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合同签订时间</w:t>
            </w:r>
            <w:r/>
          </w:p>
        </w:tc>
        <w:tc>
          <w:tcPr>
            <w:tcW w:w="1437"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甲方（业主）单位名称</w:t>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供应商名称：（单位盖章）</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before="100" w:beforeAutospacing="1" w:after="100" w:afterAutospacing="1"/>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85" w:lineRule="atLeas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r>
      <w:r/>
    </w:p>
    <w:p>
      <w:pPr>
        <w:jc w:val="center"/>
        <w:spacing w:line="85"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r>
      <w:r/>
    </w:p>
    <w:p>
      <w:pPr>
        <w:rPr>
          <w:rFonts w:hint="eastAsia" w:ascii="宋体" w:hAnsi="宋体" w:eastAsia="宋体" w:cs="宋体"/>
          <w:b/>
          <w:sz w:val="30"/>
        </w:rPr>
      </w:pPr>
      <w:r>
        <w:rPr>
          <w:rFonts w:ascii="宋体" w:hAnsi="宋体" w:eastAsia="宋体" w:cs="宋体"/>
          <w:b/>
          <w:sz w:val="30"/>
        </w:rPr>
        <w:br w:type="page" w:clear="all"/>
      </w:r>
      <w:r/>
    </w:p>
    <w:p>
      <w:pPr>
        <w:jc w:val="center"/>
        <w:spacing w:line="85"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一</w:t>
      </w:r>
      <w:r>
        <w:rPr>
          <w:rFonts w:ascii="宋体" w:hAnsi="宋体" w:eastAsia="宋体" w:cs="宋体"/>
          <w:b/>
          <w:sz w:val="30"/>
        </w:rPr>
        <w:t xml:space="preserve">、售后服务承诺书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w:t>
      </w:r>
      <w:r/>
    </w:p>
    <w:tbl>
      <w:tblPr>
        <w:tblStyle w:val="8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8"/>
        <w:gridCol w:w="3506"/>
        <w:gridCol w:w="2353"/>
        <w:gridCol w:w="2477"/>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响应后</w:t>
            </w:r>
            <w:r>
              <w:rPr>
                <w:rFonts w:ascii="宋体" w:hAnsi="宋体" w:eastAsia="宋体" w:cs="宋体"/>
                <w:sz w:val="24"/>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bl>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w:t>
      </w:r>
      <w:r>
        <w:rPr>
          <w:rFonts w:ascii="宋体" w:hAnsi="宋体" w:eastAsia="宋体" w:cs="宋体"/>
          <w:sz w:val="24"/>
        </w:rPr>
        <w:t xml:space="preserve">针对服务内容有必须说明的事项，请在“备注”栏目内注明；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如有其它售后服务内容，可自行参照填写。</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w:t>
      </w:r>
      <w:r>
        <w:rPr>
          <w:rFonts w:hint="eastAsia" w:ascii="宋体" w:hAnsi="宋体" w:eastAsia="宋体" w:cs="宋体"/>
          <w:sz w:val="24"/>
          <w:szCs w:val="24"/>
        </w:rPr>
        <w:t xml:space="preserve">代理人</w:t>
      </w:r>
      <w:r>
        <w:rPr>
          <w:rFonts w:ascii="宋体" w:hAnsi="宋体" w:eastAsia="宋体" w:cs="宋体"/>
          <w:sz w:val="24"/>
        </w:rPr>
        <w:t xml:space="preserve">：（签字或签章）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二</w:t>
      </w:r>
      <w:r>
        <w:rPr>
          <w:rFonts w:ascii="宋体" w:hAnsi="宋体" w:eastAsia="宋体" w:cs="宋体"/>
          <w:b/>
          <w:sz w:val="30"/>
        </w:rPr>
        <w:t xml:space="preserve">、中小企业声明函</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本公司（联合体）郑重声明，根据《政府采购促进中小企业发展管理办法》（财库﹝2020﹞46 号）的规定，本公司（联合体）参加</w:t>
      </w:r>
      <w:r>
        <w:rPr>
          <w:rFonts w:ascii="宋体" w:hAnsi="宋体" w:eastAsia="宋体" w:cs="宋体"/>
          <w:sz w:val="24"/>
          <w:szCs w:val="24"/>
          <w:u w:val="single"/>
        </w:rPr>
        <w:t xml:space="preserve">（单位名称）</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ascii="宋体" w:hAnsi="宋体" w:eastAsia="宋体" w:cs="宋体"/>
          <w:sz w:val="24"/>
          <w:szCs w:val="24"/>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本企业对上述声明内容的真实性负责。如有虚假，将依法承担相应责任。</w:t>
      </w:r>
      <w:r/>
    </w:p>
    <w:p>
      <w:pPr>
        <w:ind w:firstLine="480"/>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企业名称（盖章）：</w:t>
      </w:r>
      <w:r/>
    </w:p>
    <w:p>
      <w:pPr>
        <w:ind w:firstLine="40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p>
    <w:p>
      <w:pPr>
        <w:ind w:firstLine="482"/>
        <w:jc w:val="both"/>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p>
    <w:p>
      <w:pPr>
        <w:ind w:firstLine="482"/>
        <w:jc w:val="both"/>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w:t>
      </w:r>
      <w:r>
        <w:rPr>
          <w:rFonts w:ascii="宋体" w:hAnsi="宋体" w:eastAsia="宋体" w:cs="宋体"/>
          <w:b/>
          <w:bCs/>
          <w:sz w:val="24"/>
          <w:szCs w:val="24"/>
        </w:rPr>
        <w:t xml:space="preserve">中小企业划分标准详见“工信部联企业〔2011〕300号通知中的《中小企业划型标准规定》”。</w:t>
      </w:r>
      <w:r/>
    </w:p>
    <w:p>
      <w:pPr>
        <w:ind w:firstLine="482"/>
        <w:jc w:val="both"/>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ascii="宋体" w:hAnsi="宋体" w:eastAsia="宋体" w:cs="宋体"/>
          <w:b/>
          <w:bCs/>
          <w:sz w:val="24"/>
          <w:szCs w:val="24"/>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rPr>
        <w:t xml:space="preserve">。</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w:t>
      </w:r>
      <w:r>
        <w:rPr>
          <w:rFonts w:ascii="宋体" w:hAnsi="宋体" w:eastAsia="宋体" w:cs="宋体"/>
          <w:b/>
          <w:bCs/>
          <w:sz w:val="24"/>
          <w:szCs w:val="24"/>
        </w:rPr>
        <w:t xml:space="preserve">从</w:t>
      </w:r>
      <w:r>
        <w:rPr>
          <w:rFonts w:ascii="宋体" w:hAnsi="宋体" w:eastAsia="宋体" w:cs="宋体"/>
          <w:b/>
          <w:sz w:val="24"/>
          <w:szCs w:val="24"/>
        </w:rPr>
        <w:t xml:space="preserve">业人员、营业收入、资产总额填报上一年度数据，无上一年度数据的新成立企业可不填报。</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4</w:t>
      </w:r>
      <w:r>
        <w:rPr>
          <w:rFonts w:hint="eastAsia" w:ascii="宋体" w:hAnsi="宋体" w:eastAsia="宋体" w:cs="宋体"/>
          <w:b/>
          <w:sz w:val="24"/>
          <w:szCs w:val="24"/>
        </w:rPr>
        <w:t xml:space="preserve">.供应商</w:t>
      </w:r>
      <w:r>
        <w:rPr>
          <w:rFonts w:ascii="宋体" w:hAnsi="宋体" w:eastAsia="宋体" w:cs="宋体"/>
          <w:b/>
          <w:sz w:val="24"/>
          <w:szCs w:val="24"/>
        </w:rPr>
        <w:t xml:space="preserve">所投不同货物的生产制造商信息均需填报。</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5</w:t>
      </w:r>
      <w:r>
        <w:rPr>
          <w:rFonts w:hint="eastAsia" w:ascii="宋体" w:hAnsi="宋体" w:eastAsia="宋体" w:cs="宋体"/>
          <w:b/>
          <w:sz w:val="24"/>
          <w:szCs w:val="24"/>
        </w:rPr>
        <w:t xml:space="preserve">.</w:t>
      </w:r>
      <w:r>
        <w:rPr>
          <w:rFonts w:ascii="宋体" w:hAnsi="宋体" w:eastAsia="宋体" w:cs="宋体"/>
          <w:b/>
          <w:sz w:val="24"/>
          <w:szCs w:val="24"/>
        </w:rPr>
        <w:t xml:space="preserve">供应商应对照中小企业划分标准和采购标的所属行业：</w:t>
      </w:r>
      <w:r>
        <w:rPr>
          <w:rFonts w:ascii="宋体" w:hAnsi="宋体" w:eastAsia="宋体" w:cs="宋体"/>
          <w:b/>
          <w:sz w:val="24"/>
          <w:szCs w:val="24"/>
          <w:u w:val="single"/>
        </w:rPr>
        <w:t xml:space="preserve">工业</w:t>
      </w:r>
      <w:r>
        <w:rPr>
          <w:rFonts w:ascii="宋体" w:hAnsi="宋体" w:eastAsia="宋体" w:cs="宋体"/>
          <w:b/>
          <w:sz w:val="24"/>
          <w:szCs w:val="24"/>
        </w:rPr>
        <w:t xml:space="preserve">，如实、完整填报《中小企业声明函》，如未对（</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中型企业、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小型企业、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微型企业</w:t>
      </w:r>
      <w:r>
        <w:rPr>
          <w:rFonts w:ascii="宋体" w:hAnsi="宋体" w:eastAsia="宋体" w:cs="宋体"/>
          <w:b/>
          <w:sz w:val="24"/>
          <w:szCs w:val="24"/>
        </w:rPr>
        <w:t xml:space="preserve">）进行勾选，视同非中、小、微企业，不享受相应扶持政策。</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r>
        <w:rPr>
          <w:rFonts w:ascii="宋体" w:hAnsi="宋体" w:eastAsia="宋体" w:cs="宋体"/>
          <w:b/>
          <w:sz w:val="30"/>
        </w:rPr>
        <w:br w:type="page" w:clear="all"/>
      </w:r>
      <w:r/>
    </w:p>
    <w:p>
      <w:pPr>
        <w:jc w:val="center"/>
        <w:spacing w:line="85"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十三、残疾人福利性单位声明函</w:t>
      </w:r>
      <w:r/>
    </w:p>
    <w:p>
      <w:pPr>
        <w:jc w:val="both"/>
        <w:spacing w:line="5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u w:val="single"/>
        </w:rPr>
        <w:t xml:space="preserve">               </w:t>
      </w:r>
      <w:r>
        <w:rPr>
          <w:rFonts w:ascii="宋体" w:hAnsi="宋体" w:eastAsia="宋体" w:cs="宋体"/>
          <w:b/>
          <w:spacing w:val="6"/>
          <w:sz w:val="24"/>
          <w:u w:val="single"/>
        </w:rPr>
        <w:t xml:space="preserve">：</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本单位郑重声明，根据《财政部民政部中国残疾人联合会关于促进残疾人就业政府采购政策的通知》（财库</w:t>
      </w:r>
      <w:r>
        <w:rPr>
          <w:rFonts w:ascii="宋体" w:hAnsi="宋体" w:eastAsia="宋体" w:cs="宋体"/>
          <w:sz w:val="24"/>
        </w:rPr>
        <w:t xml:space="preserve">〔2017〕141</w:t>
      </w:r>
      <w:r>
        <w:rPr>
          <w:rFonts w:ascii="宋体" w:hAnsi="宋体" w:eastAsia="宋体" w:cs="宋体"/>
          <w:spacing w:val="6"/>
          <w:sz w:val="24"/>
        </w:rPr>
        <w:t xml:space="preserve">号）的规定，本单位为符合条件的残疾人福利性单位，且本单位参加</w:t>
      </w:r>
      <w:r>
        <w:rPr>
          <w:rFonts w:ascii="宋体" w:hAnsi="宋体" w:eastAsia="宋体" w:cs="宋体"/>
          <w:spacing w:val="6"/>
          <w:sz w:val="24"/>
          <w:u w:val="single"/>
        </w:rPr>
        <w:t xml:space="preserve">（采购单位）</w:t>
      </w:r>
      <w:r>
        <w:rPr>
          <w:rFonts w:ascii="宋体" w:hAnsi="宋体" w:eastAsia="宋体" w:cs="宋体"/>
          <w:spacing w:val="6"/>
          <w:sz w:val="24"/>
        </w:rPr>
        <w:t xml:space="preserve">的</w:t>
      </w:r>
      <w:r>
        <w:rPr>
          <w:rFonts w:ascii="宋体" w:hAnsi="宋体" w:eastAsia="宋体" w:cs="宋体"/>
          <w:sz w:val="24"/>
          <w:u w:val="single"/>
        </w:rPr>
        <w:t xml:space="preserve">（招标编号及项目名称）</w:t>
      </w:r>
      <w:r>
        <w:rPr>
          <w:rFonts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本单位对上述声明的真实性负责。如有虚假，将依法承担相应责任。</w:t>
      </w:r>
      <w:r/>
    </w:p>
    <w:p>
      <w:pPr>
        <w:ind w:firstLine="504"/>
        <w:jc w:val="both"/>
        <w:spacing w:line="579" w:lineRule="atLeast"/>
        <w:pBdr>
          <w:top w:val="none" w:color="000000" w:sz="0" w:space="0"/>
          <w:left w:val="none" w:color="000000" w:sz="0" w:space="0"/>
          <w:bottom w:val="none" w:color="000000" w:sz="0" w:space="0"/>
          <w:right w:val="none" w:color="000000" w:sz="0" w:space="0"/>
        </w:pBdr>
      </w:pPr>
      <w:r/>
      <w:r/>
    </w:p>
    <w:p>
      <w:pPr>
        <w:ind w:firstLine="504"/>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jc w:val="right"/>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w:t>
      </w:r>
      <w:r>
        <w:rPr>
          <w:rFonts w:ascii="宋体" w:hAnsi="宋体" w:eastAsia="宋体" w:cs="宋体"/>
          <w:sz w:val="24"/>
          <w:szCs w:val="24"/>
        </w:rPr>
        <w:t xml:space="preserve">：（单位盖章）</w:t>
      </w:r>
      <w:r/>
    </w:p>
    <w:p>
      <w:pPr>
        <w:ind w:firstLine="480"/>
        <w:jc w:val="right"/>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rPr>
          <w:rFonts w:ascii="宋体" w:hAnsi="宋体" w:eastAsia="宋体" w:cs="宋体"/>
          <w:sz w:val="24"/>
        </w:rPr>
        <w:t xml:space="preserve">年月日</w:t>
      </w:r>
      <w:r/>
    </w:p>
    <w:p>
      <w:pPr>
        <w:ind w:firstLine="480"/>
        <w:jc w:val="right"/>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br w:type="page" w:clear="all"/>
      </w:r>
      <w:r/>
    </w:p>
    <w:p>
      <w:pPr>
        <w:jc w:val="center"/>
        <w:spacing w:line="85" w:lineRule="atLeast"/>
        <w:rPr>
          <w:rFonts w:hint="eastAsia" w:ascii="宋体" w:hAnsi="宋体" w:eastAsia="宋体" w:cs="宋体"/>
          <w:b/>
          <w:bCs/>
          <w:sz w:val="30"/>
        </w:rPr>
        <w:pBdr>
          <w:top w:val="none" w:color="000000" w:sz="0" w:space="0"/>
          <w:left w:val="none" w:color="000000" w:sz="0" w:space="0"/>
          <w:bottom w:val="none" w:color="000000" w:sz="0" w:space="0"/>
          <w:right w:val="none" w:color="000000" w:sz="0" w:space="0"/>
        </w:pBdr>
      </w:pPr>
      <w:r>
        <w:rPr>
          <w:rFonts w:ascii="宋体" w:hAnsi="宋体" w:eastAsia="宋体" w:cs="宋体"/>
          <w:b/>
          <w:bCs/>
          <w:sz w:val="30"/>
        </w:rPr>
        <w:t xml:space="preserve">十</w:t>
      </w:r>
      <w:r>
        <w:rPr>
          <w:rFonts w:hint="eastAsia" w:ascii="宋体" w:hAnsi="宋体" w:eastAsia="宋体" w:cs="宋体"/>
          <w:b/>
          <w:bCs/>
          <w:sz w:val="30"/>
        </w:rPr>
        <w:t xml:space="preserve">四</w:t>
      </w:r>
      <w:r>
        <w:rPr>
          <w:rFonts w:ascii="宋体" w:hAnsi="宋体" w:eastAsia="宋体" w:cs="宋体"/>
          <w:b/>
          <w:bCs/>
          <w:sz w:val="30"/>
        </w:rPr>
        <w:t xml:space="preserve">、关于符合本国产品标准的声明函</w:t>
      </w:r>
      <w:r/>
    </w:p>
    <w:p>
      <w:pPr>
        <w:pStyle w:val="838"/>
        <w:ind w:firstLine="420"/>
        <w:spacing w:before="20" w:beforeAutospacing="0" w:after="20" w:afterAutospacing="0" w:line="320" w:lineRule="atLeast"/>
        <w:rPr>
          <w:rFonts w:hint="eastAsia" w:ascii="宋体" w:hAnsi="宋体" w:eastAsia="宋体" w:cs="宋体"/>
          <w:szCs w:val="24"/>
        </w:rPr>
      </w:pPr>
      <w:r>
        <w:rPr>
          <w:rFonts w:hint="eastAsia" w:ascii="宋体" w:hAnsi="宋体" w:eastAsia="宋体" w:cs="宋体"/>
          <w:szCs w:val="24"/>
        </w:rPr>
      </w:r>
      <w:r/>
    </w:p>
    <w:p>
      <w:pPr>
        <w:pStyle w:val="838"/>
        <w:ind w:firstLine="567"/>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8"/>
        <w:ind w:firstLine="567"/>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1.</w:t>
      </w:r>
      <w:r>
        <w:rPr>
          <w:rStyle w:val="945"/>
          <w:rFonts w:hint="eastAsia" w:ascii="宋体" w:hAnsi="宋体" w:eastAsia="宋体" w:cs="宋体"/>
          <w:i w:val="0"/>
          <w:szCs w:val="24"/>
          <w:u w:val="single"/>
          <w:shd w:val="clear" w:color="auto" w:fill="ffffff"/>
        </w:rPr>
        <w:t xml:space="preserve">（产品名称1）</w:t>
      </w:r>
      <w:r>
        <w:rPr>
          <w:rStyle w:val="945"/>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945"/>
          <w:rFonts w:hint="eastAsia" w:ascii="宋体" w:hAnsi="宋体" w:eastAsia="宋体" w:cs="宋体"/>
          <w:i w:val="0"/>
          <w:szCs w:val="24"/>
          <w:u w:val="single"/>
          <w:shd w:val="clear" w:color="auto" w:fill="ffffff"/>
        </w:rPr>
        <w:t xml:space="preserve">（厂名）</w:t>
      </w:r>
      <w:r>
        <w:rPr>
          <w:rStyle w:val="945"/>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945"/>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945"/>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的中国境内生产的组件成本占比≥</w:t>
      </w:r>
      <w:r>
        <w:rPr>
          <w:rStyle w:val="945"/>
          <w:rFonts w:hint="eastAsia" w:ascii="宋体" w:hAnsi="宋体" w:eastAsia="宋体" w:cs="宋体"/>
          <w:i w:val="0"/>
          <w:szCs w:val="24"/>
          <w:u w:val="single"/>
          <w:shd w:val="clear" w:color="auto" w:fill="ffffff"/>
        </w:rPr>
        <w:t xml:space="preserve">（规定比例）</w:t>
      </w:r>
      <w:r>
        <w:rPr>
          <w:rStyle w:val="945"/>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945"/>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945"/>
          <w:rFonts w:hint="eastAsia" w:ascii="宋体" w:hAnsi="宋体" w:eastAsia="宋体" w:cs="宋体"/>
          <w:i w:val="0"/>
          <w:szCs w:val="24"/>
          <w:u w:val="single"/>
          <w:shd w:val="clear" w:color="auto" w:fill="ffffff"/>
        </w:rPr>
        <w:t xml:space="preserve">（关键组件）</w:t>
      </w:r>
      <w:r>
        <w:rPr>
          <w:rStyle w:val="945"/>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945"/>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945"/>
          <w:rFonts w:hint="eastAsia" w:ascii="宋体" w:hAnsi="宋体" w:eastAsia="宋体" w:cs="宋体"/>
          <w:i w:val="0"/>
          <w:szCs w:val="24"/>
          <w:u w:val="single"/>
          <w:shd w:val="clear" w:color="auto" w:fill="ffffff"/>
        </w:rPr>
        <w:t xml:space="preserve">（关键工序）</w:t>
      </w:r>
      <w:r>
        <w:rPr>
          <w:rStyle w:val="945"/>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838"/>
        <w:ind w:firstLine="567"/>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2.</w:t>
      </w:r>
      <w:r>
        <w:rPr>
          <w:rStyle w:val="945"/>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，生产厂为</w:t>
      </w:r>
      <w:r>
        <w:rPr>
          <w:rStyle w:val="945"/>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945"/>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945"/>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945"/>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945"/>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945"/>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945"/>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945"/>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838"/>
        <w:ind w:firstLine="567"/>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w:t>
      </w:r>
      <w:r/>
    </w:p>
    <w:p>
      <w:pPr>
        <w:pStyle w:val="838"/>
        <w:ind w:firstLine="420"/>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838"/>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rPr>
      </w:r>
      <w:r/>
    </w:p>
    <w:p>
      <w:pPr>
        <w:pStyle w:val="838"/>
        <w:jc w:val="right"/>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公司（单位）名称（盖章）：</w:t>
      </w:r>
      <w:r/>
    </w:p>
    <w:p>
      <w:pPr>
        <w:pStyle w:val="838"/>
        <w:jc w:val="right"/>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日期：　年　月　日</w:t>
      </w:r>
      <w:r/>
    </w:p>
    <w:p>
      <w:pPr>
        <w:pStyle w:val="838"/>
        <w:spacing w:before="20" w:beforeAutospacing="0" w:after="20" w:afterAutospacing="0" w:line="320" w:lineRule="atLeast"/>
        <w:rPr>
          <w:rFonts w:hint="eastAsia" w:ascii="宋体" w:hAnsi="宋体" w:eastAsia="宋体" w:cs="宋体"/>
          <w:szCs w:val="24"/>
        </w:rPr>
      </w:pPr>
      <w:r>
        <w:rPr>
          <w:rFonts w:hint="eastAsia" w:ascii="宋体" w:hAnsi="宋体" w:eastAsia="宋体" w:cs="宋体"/>
          <w:szCs w:val="24"/>
        </w:rPr>
      </w:r>
      <w:r/>
    </w:p>
    <w:p>
      <w:pPr>
        <w:pStyle w:val="838"/>
        <w:ind w:firstLine="420"/>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838"/>
        <w:ind w:firstLine="420"/>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838"/>
        <w:ind w:firstLine="420"/>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838"/>
        <w:ind w:firstLine="420"/>
        <w:spacing w:before="20" w:beforeAutospacing="0" w:after="20" w:afterAutospacing="0"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4.该产品的关键组件要求实施前，“关键组件”栏可不填，下同。</w:t>
      </w:r>
      <w:r/>
    </w:p>
    <w:p>
      <w:pPr>
        <w:pStyle w:val="838"/>
        <w:ind w:firstLine="420"/>
        <w:spacing w:before="20" w:beforeAutospacing="0" w:after="20" w:afterAutospacing="0"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right"/>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20"/>
        <w:jc w:val="both"/>
        <w:spacing w:line="439" w:lineRule="atLeast"/>
        <w:pBdr>
          <w:top w:val="none" w:color="000000" w:sz="0" w:space="0"/>
          <w:left w:val="none" w:color="000000" w:sz="0" w:space="0"/>
          <w:bottom w:val="none" w:color="000000" w:sz="0" w:space="0"/>
          <w:right w:val="none" w:color="000000" w:sz="0" w:space="0"/>
        </w:pBdr>
      </w:pPr>
      <w:r>
        <w:br w:type="page" w:clear="all"/>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pStyle w:val="786"/>
        <w:jc w:val="center"/>
        <w:spacing w:before="340" w:after="330" w:line="1056" w:lineRule="atLeast"/>
        <w:pBdr>
          <w:top w:val="none" w:color="000000" w:sz="0" w:space="0"/>
          <w:left w:val="none" w:color="000000" w:sz="0" w:space="0"/>
          <w:bottom w:val="none" w:color="000000" w:sz="0" w:space="0"/>
          <w:right w:val="none" w:color="000000" w:sz="0" w:space="0"/>
        </w:pBdr>
      </w:pPr>
      <w:r/>
      <w:bookmarkStart w:id="4" w:name="_Toc9379"/>
      <w:r>
        <w:rPr>
          <w:rFonts w:ascii="宋体" w:hAnsi="宋体" w:eastAsia="宋体" w:cs="宋体"/>
          <w:b/>
          <w:sz w:val="44"/>
        </w:rPr>
        <w:t xml:space="preserve">第四章 采购内容</w:t>
      </w:r>
      <w:bookmarkEnd w:id="4"/>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sectPr>
          <w:footerReference w:type="default" r:id="rId15"/>
          <w:footerReference w:type="first" r:id="rId16"/>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hint="eastAsia" w:ascii="宋体" w:hAnsi="宋体" w:eastAsia="宋体" w:cs="宋体"/>
          <w:sz w:val="24"/>
        </w:rPr>
      </w:r>
      <w:r/>
    </w:p>
    <w:p>
      <w:pPr>
        <w:ind w:firstLine="482"/>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受</w:t>
      </w:r>
      <w:r>
        <w:rPr>
          <w:rFonts w:hint="eastAsia" w:ascii="宋体" w:hAnsi="宋体" w:eastAsia="宋体" w:cs="宋体"/>
          <w:b/>
          <w:bCs/>
          <w:sz w:val="24"/>
          <w:szCs w:val="24"/>
          <w:u w:val="single"/>
        </w:rPr>
        <w:t xml:space="preserve">苏州科技大学</w:t>
      </w:r>
      <w:r>
        <w:rPr>
          <w:rFonts w:ascii="宋体" w:hAnsi="宋体" w:eastAsia="宋体" w:cs="宋体"/>
          <w:b/>
          <w:bCs/>
          <w:sz w:val="24"/>
          <w:szCs w:val="24"/>
        </w:rPr>
        <w:t xml:space="preserve">的委托，</w:t>
      </w:r>
      <w:r>
        <w:rPr>
          <w:rFonts w:hint="eastAsia" w:ascii="宋体" w:hAnsi="宋体" w:eastAsia="宋体" w:cs="宋体"/>
          <w:b/>
          <w:bCs/>
          <w:sz w:val="24"/>
          <w:szCs w:val="24"/>
        </w:rPr>
        <w:t xml:space="preserve">江苏省招标中心有限公司</w:t>
      </w:r>
      <w:r>
        <w:rPr>
          <w:rFonts w:ascii="宋体" w:hAnsi="宋体" w:eastAsia="宋体" w:cs="宋体"/>
          <w:b/>
          <w:bCs/>
          <w:sz w:val="24"/>
          <w:szCs w:val="24"/>
        </w:rPr>
        <w:t xml:space="preserve">作为</w:t>
      </w:r>
      <w:r>
        <w:rPr>
          <w:rFonts w:hint="eastAsia" w:ascii="宋体" w:hAnsi="宋体" w:eastAsia="宋体" w:cs="宋体"/>
          <w:b/>
          <w:bCs/>
          <w:sz w:val="24"/>
          <w:szCs w:val="24"/>
        </w:rPr>
        <w:t xml:space="preserve">采购代理机构，就其</w:t>
      </w:r>
      <w:r>
        <w:rPr>
          <w:rFonts w:hint="eastAsia" w:ascii="宋体" w:hAnsi="宋体" w:eastAsia="宋体" w:cs="宋体"/>
          <w:b/>
          <w:bCs/>
          <w:sz w:val="24"/>
          <w:szCs w:val="24"/>
          <w:u w:val="single"/>
        </w:rPr>
        <w:t xml:space="preserve">CAVE沉浸式虚拟现实行为与认知实验系统</w:t>
      </w:r>
      <w:r>
        <w:rPr>
          <w:rFonts w:hint="eastAsia" w:ascii="宋体" w:hAnsi="宋体" w:eastAsia="宋体" w:cs="宋体"/>
          <w:b/>
          <w:bCs/>
          <w:sz w:val="24"/>
          <w:szCs w:val="24"/>
        </w:rPr>
        <w:t xml:space="preserve">进行国内公开招标。</w:t>
      </w:r>
      <w:r/>
    </w:p>
    <w:p>
      <w:pPr>
        <w:ind w:firstLine="48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一、招标编号：</w:t>
      </w:r>
      <w:r>
        <w:rPr>
          <w:rFonts w:hint="eastAsia" w:ascii="宋体" w:hAnsi="宋体" w:eastAsia="宋体" w:cs="宋体"/>
          <w:bCs/>
          <w:sz w:val="24"/>
          <w:szCs w:val="24"/>
        </w:rPr>
        <w:t xml:space="preserve">JSZC-320500-JITC-G2026-0251</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二、招标内容：</w:t>
      </w:r>
      <w:r>
        <w:rPr>
          <w:rFonts w:hint="eastAsia" w:ascii="宋体" w:hAnsi="宋体" w:eastAsia="宋体" w:cs="Times New Roman"/>
          <w:b/>
          <w:bCs/>
          <w:sz w:val="24"/>
          <w:szCs w:val="24"/>
        </w:rPr>
        <w:t xml:space="preserve">CAVE沉浸式虚拟现实行为与认知实验系统 </w:t>
      </w:r>
      <w:r>
        <w:rPr>
          <w:rFonts w:ascii="宋体" w:hAnsi="宋体" w:eastAsia="宋体" w:cs="Times New Roman"/>
          <w:b/>
          <w:bCs/>
          <w:sz w:val="24"/>
          <w:szCs w:val="24"/>
        </w:rPr>
        <w:t xml:space="preserve">  1</w:t>
      </w:r>
      <w:r>
        <w:rPr>
          <w:rFonts w:hint="eastAsia" w:ascii="宋体" w:hAnsi="宋体" w:eastAsia="宋体" w:cs="Times New Roman"/>
          <w:b/>
          <w:bCs/>
          <w:sz w:val="24"/>
          <w:szCs w:val="24"/>
        </w:rPr>
        <w:t xml:space="preserve">套</w:t>
      </w:r>
      <w:r/>
    </w:p>
    <w:p>
      <w:pPr>
        <w:ind w:firstLine="48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三、预算金额：</w:t>
      </w:r>
      <w:r>
        <w:rPr>
          <w:rFonts w:hint="eastAsia" w:ascii="宋体" w:hAnsi="宋体" w:eastAsia="宋体" w:cs="宋体"/>
          <w:sz w:val="24"/>
          <w:szCs w:val="24"/>
        </w:rPr>
        <w:t xml:space="preserve">人民币170万元；最高限价：人民币</w:t>
      </w:r>
      <w:r>
        <w:rPr>
          <w:rFonts w:ascii="宋体" w:hAnsi="宋体" w:eastAsia="宋体" w:cs="宋体"/>
          <w:sz w:val="24"/>
          <w:szCs w:val="24"/>
        </w:rPr>
        <w:t xml:space="preserve">163.29</w:t>
      </w:r>
      <w:r>
        <w:rPr>
          <w:rFonts w:hint="eastAsia" w:ascii="宋体" w:hAnsi="宋体" w:eastAsia="宋体" w:cs="宋体"/>
          <w:sz w:val="24"/>
          <w:szCs w:val="24"/>
        </w:rPr>
        <w:t xml:space="preserve">万元</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四、采购内容</w:t>
      </w:r>
      <w:r/>
    </w:p>
    <w:p>
      <w:pPr>
        <w:ind w:firstLine="482"/>
        <w:spacing w:line="360" w:lineRule="auto"/>
        <w:rPr>
          <w:rFonts w:hint="eastAsia" w:ascii="宋体" w:hAnsi="宋体" w:eastAsia="宋体" w:cs="宋体"/>
          <w:b/>
          <w:bCs/>
          <w:sz w:val="24"/>
          <w:szCs w:val="24"/>
        </w:rPr>
      </w:pPr>
      <w:r/>
      <w:bookmarkStart w:id="5" w:name="OLE_LINK1"/>
      <w:r>
        <w:rPr>
          <w:rFonts w:hint="eastAsia" w:ascii="宋体" w:hAnsi="宋体" w:eastAsia="宋体" w:cs="宋体"/>
          <w:b/>
          <w:bCs/>
          <w:sz w:val="24"/>
          <w:szCs w:val="24"/>
        </w:rPr>
        <w:t xml:space="preserve">（一）</w:t>
      </w:r>
      <w:r>
        <w:rPr>
          <w:rFonts w:ascii="宋体" w:hAnsi="宋体" w:eastAsia="宋体" w:cs="宋体"/>
          <w:b/>
          <w:bCs/>
          <w:sz w:val="24"/>
          <w:szCs w:val="24"/>
        </w:rPr>
        <w:t xml:space="preserve">采购明细清单</w:t>
      </w:r>
      <w:bookmarkEnd w:id="5"/>
      <w:r/>
      <w:r/>
    </w:p>
    <w:tbl>
      <w:tblPr>
        <w:tblStyle w:val="844"/>
        <w:tblW w:w="0" w:type="auto"/>
        <w:jc w:val="center"/>
        <w:tblInd w:w="0" w:type="dxa"/>
        <w:tblLook w:val="04A0" w:firstRow="1" w:lastRow="0" w:firstColumn="1" w:lastColumn="0" w:noHBand="0" w:noVBand="1"/>
      </w:tblPr>
      <w:tblGrid>
        <w:gridCol w:w="1056"/>
        <w:gridCol w:w="2341"/>
        <w:gridCol w:w="3402"/>
        <w:gridCol w:w="993"/>
        <w:gridCol w:w="850"/>
      </w:tblGrid>
      <w:tr>
        <w:trPr>
          <w:jc w:val="center"/>
          <w:tblHead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b/>
                <w:szCs w:val="21"/>
              </w:rPr>
              <w:t xml:space="preserve">序号</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b/>
                <w:szCs w:val="21"/>
              </w:rPr>
              <w:t xml:space="preserve">系统类别</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b/>
                <w:szCs w:val="21"/>
              </w:rPr>
              <w:t xml:space="preserve">采购内容</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b/>
                <w:szCs w:val="21"/>
              </w:rPr>
              <w:t xml:space="preserve">单位</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b/>
                <w:szCs w:val="21"/>
              </w:rPr>
              <w:t xml:space="preserve">数量</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CAVE显示系统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主动立体仿真工程投影机</w:t>
            </w:r>
            <w:r/>
          </w:p>
          <w:p>
            <w:pPr>
              <w:jc w:val="center"/>
              <w:rPr>
                <w:rFonts w:hint="eastAsia" w:ascii="宋体" w:hAnsi="宋体" w:eastAsia="宋体" w:cs="Times New Roman"/>
                <w:b/>
                <w:bCs/>
                <w:szCs w:val="21"/>
              </w:rPr>
            </w:pPr>
            <w:r>
              <w:rPr>
                <w:rFonts w:hint="eastAsia" w:ascii="宋体" w:hAnsi="宋体" w:eastAsia="宋体" w:cs="Times New Roman"/>
                <w:b/>
                <w:bCs/>
                <w:szCs w:val="21"/>
              </w:rPr>
              <w:t xml:space="preserve">（核心产品）</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7</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CAVE显示系统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超短焦投影镜头</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支</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7</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CAVE显示系统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几何校正与融合软件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通道</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7</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4</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CAVE显示系统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立体信号发射器</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5</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CAVE显示系统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主动立体眼镜</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副</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20</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6</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CAVE显示系统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显示屏幕及结构</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7</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行为记录系统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高清摄像机</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4</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8</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行为记录系统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视频采集与存储设备</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9</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行为记录系统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影视素材专业摄像机</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10</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多感交互系统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5D动感平台/座椅</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11</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多感交互系统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动感平台控制终端</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12</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定位与动作捕捉系统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有标记动作捕捉摄像机</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10</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13</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定位与动作捕捉系统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有标记动作捕捉操作及分析处理软件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14</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定位与动作捕捉系统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无标记动作捕捉摄像机</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5</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15</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定位与动作捕捉系统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无标记动作捕捉服务器</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16</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定位与动作捕捉系统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无标记动作捕捉操作及分析处理软件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17</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计算与渲染系统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VR主控服务器</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18</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计算与渲染系统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VR渲染工作站</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19</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头戴式VR</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一体式头显设备</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4</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20</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头戴式VR</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头显驱动工作站</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4</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21</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软件平台</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VR开发平台软件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22</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软件平台</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专业图形化实验软件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23</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软件平台</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多模态硬件同步与触发模块</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24</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中控系统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中控主机</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25</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中控系统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中控软件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26</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中控系统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中控平板电脑</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27</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中控系统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多源内容沉浸空间桥接软件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28</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中控系统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多源内容沉浸空间播放软件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29</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音频与环境控制系统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音响系统</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30</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音频与环境控制系统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LED环境光系统</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31</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辅助系统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无线路由器</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32</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辅助系统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网络交换机</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33</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辅助系统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服务器机柜</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34</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辅助系统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控制台</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35</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辅助系统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实验桌椅</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36</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辅助系统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智能配电柜</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37</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辅助系统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UPS电源系统</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38</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早期电气火灾预警系统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热源/离子探测器</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39</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早期电气火灾预警系统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预警系统数据平台</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40</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内容定制</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CAVE沉浸式虚拟现实行为与认知实验环境定制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41</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内容资源</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国内景点虚拟环境资源</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项</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42</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演示软件</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CAVE系统三维场景演示软件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43</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演示软件</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CAVE系统全景视频</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bl>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w:t>
      </w:r>
      <w:r>
        <w:rPr>
          <w:rFonts w:ascii="宋体" w:hAnsi="宋体" w:eastAsia="宋体" w:cs="宋体"/>
          <w:b/>
          <w:bCs/>
          <w:sz w:val="24"/>
          <w:szCs w:val="24"/>
        </w:rPr>
        <w:t xml:space="preserve">技术参数</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包括但不限于主要用途、技术方案（配置）、工艺要求、技术指标、技术规格以及相关图纸等。本部分技术参数与第一部分采购明细清单应保持一致，作为投标响应、评审和验收的共同依据。</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 技</w:t>
      </w:r>
      <w:r>
        <w:rPr>
          <w:rFonts w:hint="eastAsia" w:ascii="宋体" w:hAnsi="宋体" w:eastAsia="宋体" w:cs="Times New Roman"/>
          <w:szCs w:val="21"/>
        </w:rPr>
        <w:t xml:space="preserve">术要求</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 系</w:t>
      </w:r>
      <w:r>
        <w:rPr>
          <w:rFonts w:hint="eastAsia" w:ascii="宋体" w:hAnsi="宋体" w:eastAsia="宋体" w:cs="Times New Roman"/>
          <w:szCs w:val="21"/>
        </w:rPr>
        <w:t xml:space="preserve">统组成</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整体系统主要由CAVE显示系统、行为记录系统、多感交互系统、定位与动作捕捉系统、计算与渲染系统、头戴式VR、软件平台、中控系统、音频与环境控制系统、辅助系统、早期电气火灾预警系统、内容定制及演示软件组成。</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1.1.1 CAVE</w:t>
      </w:r>
      <w:r>
        <w:rPr>
          <w:rFonts w:hint="eastAsia" w:ascii="宋体" w:hAnsi="宋体" w:eastAsia="宋体" w:cs="Times New Roman"/>
          <w:szCs w:val="21"/>
        </w:rPr>
        <w:t xml:space="preserve">显示系统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CAVE显示系统的沉浸显示环境为7米（宽）×4米（深），图像覆盖左幕、正幕、右幕以及地幕。正幕图像尺寸为7米（宽）×2.5米（高），左幕及右幕图像尺寸为4米（宽）×2.5米（高），地幕图像尺寸为7米（宽）×4米（深），系统可显示平面及立体图像。</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a.主动立体仿真工程投影机：</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bookmarkStart w:id="6" w:name="OLE_LINK89"/>
      <w:r>
        <w:rPr>
          <w:rFonts w:hint="eastAsia" w:ascii="宋体" w:hAnsi="宋体" w:eastAsia="宋体" w:cs="Times New Roman"/>
          <w:szCs w:val="21"/>
        </w:rPr>
        <w:t xml:space="preserve">包括≥7台主动立体仿真工程投影机</w:t>
      </w:r>
      <w:bookmarkEnd w:id="6"/>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bookmarkStart w:id="7" w:name="OLE_LINK109"/>
      <w:r>
        <w:rPr>
          <w:rFonts w:hint="eastAsia" w:ascii="宋体" w:hAnsi="宋体" w:eastAsia="宋体" w:cs="Times New Roman"/>
          <w:szCs w:val="21"/>
        </w:rPr>
        <w:t xml:space="preserve">品质要求</w:t>
      </w:r>
      <w:r>
        <w:rPr>
          <w:rFonts w:ascii="宋体" w:hAnsi="宋体" w:eastAsia="宋体" w:cs="Times New Roman"/>
          <w:szCs w:val="21"/>
        </w:rPr>
        <w:t xml:space="preserve">：</w:t>
      </w:r>
      <w:r>
        <w:rPr>
          <w:rFonts w:hint="eastAsia" w:ascii="宋体" w:hAnsi="宋体" w:eastAsia="宋体" w:cs="Times New Roman"/>
          <w:szCs w:val="21"/>
        </w:rPr>
        <w:t xml:space="preserve">设备推荐选用巴可、科视、爱普生、光峰或同等品牌。</w:t>
      </w:r>
      <w:r/>
    </w:p>
    <w:p>
      <w:pPr>
        <w:ind w:firstLine="420"/>
        <w:jc w:val="both"/>
        <w:spacing w:line="360" w:lineRule="auto"/>
        <w:rPr>
          <w:rFonts w:hint="eastAsia" w:ascii="宋体" w:hAnsi="宋体" w:eastAsia="宋体" w:cs="Times New Roman"/>
          <w:szCs w:val="21"/>
        </w:rPr>
      </w:pPr>
      <w:r/>
      <w:bookmarkStart w:id="8" w:name="OLE_LINK102"/>
      <w:r/>
      <w:bookmarkEnd w:id="7"/>
      <w:r>
        <w:rPr>
          <w:rFonts w:hint="eastAsia" w:ascii="宋体" w:hAnsi="宋体" w:eastAsia="宋体" w:cs="Times New Roman"/>
          <w:szCs w:val="21"/>
        </w:rPr>
        <w:t xml:space="preserve">3</w:t>
      </w:r>
      <w:bookmarkStart w:id="9" w:name="OLE_LINK16"/>
      <w:r>
        <w:rPr>
          <w:rFonts w:hint="eastAsia" w:ascii="宋体" w:hAnsi="宋体" w:eastAsia="宋体" w:cs="Times New Roman"/>
          <w:szCs w:val="21"/>
        </w:rPr>
        <w:t xml:space="preserve">）</w:t>
      </w:r>
      <w:bookmarkStart w:id="10" w:name="OLE_LINK106"/>
      <w:r/>
      <w:bookmarkEnd w:id="9"/>
      <w:r>
        <w:rPr>
          <w:rFonts w:hint="eastAsia" w:ascii="宋体" w:hAnsi="宋体" w:eastAsia="宋体" w:cs="Times New Roman"/>
          <w:szCs w:val="21"/>
        </w:rPr>
        <w:t xml:space="preserve">★</w:t>
      </w:r>
      <w:bookmarkEnd w:id="10"/>
      <w:r>
        <w:rPr>
          <w:rFonts w:hint="eastAsia" w:ascii="宋体" w:hAnsi="宋体" w:eastAsia="宋体" w:cs="Times New Roman"/>
          <w:szCs w:val="21"/>
        </w:rPr>
        <w:t xml:space="preserve">光引擎采用DLP技术，DMD芯片尺寸≥0.67”； </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bookmarkStart w:id="11" w:name="OLE_LINK108"/>
      <w:r>
        <w:rPr>
          <w:rFonts w:hint="eastAsia" w:ascii="宋体" w:hAnsi="宋体" w:eastAsia="宋体" w:cs="Times New Roman"/>
          <w:szCs w:val="21"/>
        </w:rPr>
        <w:t xml:space="preserve">★</w:t>
      </w:r>
      <w:bookmarkEnd w:id="11"/>
      <w:r>
        <w:rPr>
          <w:rFonts w:hint="eastAsia" w:ascii="宋体" w:hAnsi="宋体" w:eastAsia="宋体" w:cs="Times New Roman"/>
          <w:szCs w:val="21"/>
        </w:rPr>
        <w:t xml:space="preserve">亮度输出≥8900 ISO流明（非中心亮度）；</w:t>
      </w:r>
      <w:r/>
    </w:p>
    <w:p>
      <w:pPr>
        <w:ind w:firstLine="420"/>
        <w:jc w:val="both"/>
        <w:spacing w:line="360" w:lineRule="auto"/>
        <w:rPr>
          <w:rFonts w:hint="eastAsia" w:ascii="宋体" w:hAnsi="宋体" w:eastAsia="宋体" w:cs="Times New Roman"/>
          <w:szCs w:val="21"/>
        </w:rPr>
      </w:pPr>
      <w:r/>
      <w:bookmarkStart w:id="12" w:name="OLE_LINK23"/>
      <w:r/>
      <w:bookmarkStart w:id="13" w:name="OLE_LINK96"/>
      <w:r>
        <w:rPr>
          <w:rFonts w:hint="eastAsia" w:ascii="宋体" w:hAnsi="宋体" w:eastAsia="宋体" w:cs="Times New Roman"/>
          <w:szCs w:val="21"/>
        </w:rPr>
        <w:t xml:space="preserve">5）对比度：≥700,000:1</w:t>
      </w:r>
      <w:r>
        <w:rPr>
          <w:rFonts w:hint="eastAsia" w:ascii="宋体" w:hAnsi="宋体" w:eastAsia="宋体" w:cs="Times New Roman"/>
          <w:szCs w:val="21"/>
        </w:rPr>
        <w:t xml:space="preserve">(极黑)</w:t>
      </w:r>
      <w:r>
        <w:rPr>
          <w:rFonts w:hint="eastAsia" w:ascii="宋体" w:hAnsi="宋体" w:eastAsia="宋体" w:cs="Times New Roman"/>
          <w:szCs w:val="21"/>
        </w:rPr>
        <w:t xml:space="preserve">、≥6000:1</w:t>
      </w:r>
      <w:r>
        <w:rPr>
          <w:rFonts w:hint="eastAsia" w:ascii="宋体" w:hAnsi="宋体" w:eastAsia="宋体" w:cs="Times New Roman"/>
          <w:szCs w:val="21"/>
        </w:rPr>
        <w:t xml:space="preserve">(动态)</w:t>
      </w:r>
      <w:r>
        <w:rPr>
          <w:rFonts w:hint="eastAsia" w:ascii="宋体" w:hAnsi="宋体" w:eastAsia="宋体" w:cs="Times New Roman"/>
          <w:szCs w:val="21"/>
        </w:rPr>
        <w:t xml:space="preserve">、≥1200:1（顺序）；</w:t>
      </w:r>
      <w:bookmarkEnd w:id="12"/>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w:t>
      </w:r>
      <w:r>
        <w:rPr>
          <w:rFonts w:hint="eastAsia" w:ascii="宋体" w:hAnsi="宋体" w:eastAsia="宋体" w:cs="Times New Roman"/>
          <w:szCs w:val="21"/>
        </w:rPr>
        <w:t xml:space="preserve">分辨率：≥1920 x 1200，2D模式下支持1080@120Hz和4096×2160@60Hz；</w:t>
      </w:r>
      <w:bookmarkEnd w:id="13"/>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w:t>
      </w:r>
      <w:bookmarkStart w:id="14" w:name="OLE_LINK11"/>
      <w:r>
        <w:rPr>
          <w:rFonts w:hint="eastAsia" w:ascii="宋体" w:hAnsi="宋体" w:eastAsia="宋体" w:cs="Times New Roman"/>
          <w:szCs w:val="21"/>
        </w:rPr>
        <w:t xml:space="preserve">▲机身体积（宽×长×高）: ≤486×376×181.2 mm </w:t>
      </w:r>
      <w:r>
        <w:rPr>
          <w:rFonts w:hint="eastAsia" w:ascii="宋体" w:hAnsi="宋体" w:eastAsia="宋体" w:cs="Times New Roman"/>
          <w:szCs w:val="21"/>
        </w:rPr>
        <w:t xml:space="preserve">(不包括脚垫)</w:t>
      </w:r>
      <w:r>
        <w:rPr>
          <w:rFonts w:hint="eastAsia" w:ascii="宋体" w:hAnsi="宋体" w:eastAsia="宋体" w:cs="Times New Roman"/>
          <w:szCs w:val="21"/>
        </w:rPr>
        <w:t xml:space="preserve">；</w:t>
      </w:r>
      <w:bookmarkEnd w:id="14"/>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8）▲机身重量：≤14KG</w:t>
      </w:r>
      <w:r/>
    </w:p>
    <w:p>
      <w:pPr>
        <w:ind w:firstLine="420"/>
        <w:jc w:val="both"/>
        <w:spacing w:line="360" w:lineRule="auto"/>
        <w:rPr>
          <w:rFonts w:hint="eastAsia" w:ascii="宋体" w:hAnsi="宋体" w:eastAsia="宋体" w:cs="Times New Roman"/>
          <w:szCs w:val="21"/>
        </w:rPr>
      </w:pPr>
      <w:r/>
      <w:bookmarkStart w:id="15" w:name="OLE_LINK103"/>
      <w:r>
        <w:rPr>
          <w:rFonts w:hint="eastAsia" w:ascii="宋体" w:hAnsi="宋体" w:eastAsia="宋体" w:cs="Times New Roman"/>
          <w:szCs w:val="21"/>
        </w:rPr>
        <w:t xml:space="preserve">9）▲整机功率</w:t>
      </w:r>
      <w:r>
        <w:rPr>
          <w:rFonts w:hint="eastAsia" w:ascii="宋体" w:hAnsi="宋体" w:eastAsia="宋体" w:cs="Times New Roman"/>
          <w:szCs w:val="21"/>
        </w:rPr>
        <w:t xml:space="preserve">(220V标准模式下平均值)</w:t>
      </w:r>
      <w:r>
        <w:rPr>
          <w:rFonts w:hint="eastAsia" w:ascii="宋体" w:hAnsi="宋体" w:eastAsia="宋体" w:cs="Times New Roman"/>
          <w:szCs w:val="21"/>
        </w:rPr>
        <w:t xml:space="preserve">：≤490W；</w:t>
      </w:r>
      <w:bookmarkEnd w:id="15"/>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10）</w:t>
      </w:r>
      <w:bookmarkStart w:id="16" w:name="OLE_LINK12"/>
      <w:r>
        <w:rPr>
          <w:rFonts w:hint="eastAsia" w:ascii="宋体" w:hAnsi="宋体" w:eastAsia="宋体" w:cs="Times New Roman"/>
          <w:szCs w:val="21"/>
        </w:rPr>
        <w:t xml:space="preserve">▲支持不少于17x17几何校正及内置M×N边缘融合功能，且可</w:t>
      </w:r>
      <w:r>
        <w:rPr>
          <w:rFonts w:hint="eastAsia" w:ascii="宋体" w:hAnsi="宋体" w:eastAsia="宋体" w:cs="Times New Roman"/>
          <w:szCs w:val="21"/>
        </w:rPr>
        <w:t xml:space="preserve">通</w:t>
      </w:r>
      <w:r>
        <w:rPr>
          <w:rFonts w:hint="eastAsia" w:ascii="宋体" w:hAnsi="宋体" w:eastAsia="宋体" w:cs="Times New Roman"/>
          <w:szCs w:val="21"/>
        </w:rPr>
        <w:t xml:space="preserve">过菜单进行设置；</w:t>
      </w:r>
      <w:bookmarkEnd w:id="16"/>
      <w:r/>
      <w:r/>
    </w:p>
    <w:p>
      <w:pPr>
        <w:ind w:firstLine="420"/>
        <w:jc w:val="both"/>
        <w:spacing w:line="360" w:lineRule="auto"/>
        <w:rPr>
          <w:rFonts w:hint="eastAsia" w:ascii="宋体" w:hAnsi="宋体" w:eastAsia="宋体" w:cs="Times New Roman"/>
          <w:szCs w:val="21"/>
        </w:rPr>
      </w:pPr>
      <w:r/>
      <w:bookmarkStart w:id="17" w:name="_Toc229292481"/>
      <w:r>
        <w:rPr>
          <w:rFonts w:hint="eastAsia" w:ascii="宋体" w:hAnsi="宋体" w:eastAsia="宋体" w:cs="Times New Roman"/>
          <w:szCs w:val="21"/>
        </w:rPr>
        <w:t xml:space="preserve">11）光源寿命不低于20000小时；</w:t>
      </w:r>
      <w:bookmarkEnd w:id="17"/>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12）镜头偏移：≥+/-100% 垂直 </w:t>
      </w:r>
      <w:r>
        <w:rPr>
          <w:rFonts w:hint="eastAsia" w:ascii="宋体" w:hAnsi="宋体" w:eastAsia="宋体" w:cs="Times New Roman"/>
          <w:szCs w:val="21"/>
        </w:rPr>
        <w:t xml:space="preserve">(+/-600 像素)</w:t>
      </w:r>
      <w:r>
        <w:rPr>
          <w:rFonts w:hint="eastAsia" w:ascii="宋体" w:hAnsi="宋体" w:eastAsia="宋体" w:cs="Times New Roman"/>
          <w:szCs w:val="21"/>
        </w:rPr>
        <w:t xml:space="preserve">；≥+/-30% 水平 </w:t>
      </w:r>
      <w:r>
        <w:rPr>
          <w:rFonts w:hint="eastAsia" w:ascii="宋体" w:hAnsi="宋体" w:eastAsia="宋体" w:cs="Times New Roman"/>
          <w:szCs w:val="21"/>
        </w:rPr>
        <w:t xml:space="preserve">(+/-288 像素)</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13）可更换镜头，镜头投射比完全覆盖从0.37-5.50:1范围；</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14）标配信号输入/输出接口：HDMI2.0-IN×2、HDMI OUT×1、DISPLAYPORT×1、</w:t>
      </w:r>
      <w:r>
        <w:rPr>
          <w:rFonts w:hint="eastAsia" w:ascii="宋体" w:hAnsi="宋体" w:eastAsia="宋体" w:cs="Times New Roman"/>
          <w:szCs w:val="21"/>
        </w:rPr>
        <w:t xml:space="preserve">HDbaseT</w:t>
      </w:r>
      <w:r>
        <w:rPr>
          <w:rFonts w:hint="eastAsia" w:ascii="宋体" w:hAnsi="宋体" w:eastAsia="宋体" w:cs="Times New Roman"/>
          <w:szCs w:val="21"/>
        </w:rPr>
        <w:t xml:space="preserve">×1、3D Sync in×1、3D Sync out×1、USB-type A×1、标配控制接口：RJ45×1、Remote IN×1；</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15）支持左右、上下、帧连续格式主动立体，主动3D支持1080@120Hz；</w:t>
      </w:r>
      <w:r/>
    </w:p>
    <w:p>
      <w:pPr>
        <w:ind w:firstLine="420"/>
        <w:jc w:val="both"/>
        <w:spacing w:line="360" w:lineRule="auto"/>
        <w:rPr>
          <w:rFonts w:hint="eastAsia" w:ascii="宋体" w:hAnsi="宋体" w:eastAsia="宋体" w:cs="Times New Roman"/>
          <w:szCs w:val="21"/>
        </w:rPr>
      </w:pPr>
      <w:r/>
      <w:bookmarkStart w:id="18" w:name="OLE_LINK21"/>
      <w:r>
        <w:rPr>
          <w:rFonts w:hint="eastAsia" w:ascii="宋体" w:hAnsi="宋体" w:eastAsia="宋体" w:cs="Times New Roman"/>
          <w:szCs w:val="21"/>
        </w:rPr>
        <w:t xml:space="preserve">16）</w:t>
      </w:r>
      <w:bookmarkStart w:id="19" w:name="OLE_LINK92"/>
      <w:r>
        <w:rPr>
          <w:rFonts w:hint="eastAsia" w:ascii="宋体" w:hAnsi="宋体" w:eastAsia="宋体" w:cs="Times New Roman"/>
          <w:szCs w:val="21"/>
        </w:rPr>
        <w:t xml:space="preserve">▲</w:t>
      </w:r>
      <w:bookmarkEnd w:id="19"/>
      <w:r>
        <w:rPr>
          <w:rFonts w:hint="eastAsia" w:ascii="宋体" w:hAnsi="宋体" w:eastAsia="宋体" w:cs="Times New Roman"/>
          <w:szCs w:val="21"/>
        </w:rPr>
        <w:t xml:space="preserve">支持日程设置，可在设定的时间点自动执行相应的操作；</w:t>
      </w:r>
      <w:bookmarkEnd w:id="18"/>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17）包含超短焦镜头1支，投射比0.5-0.7:1范围</w:t>
      </w:r>
      <w:r>
        <w:rPr>
          <w:rFonts w:hint="eastAsia" w:ascii="宋体" w:hAnsi="宋体" w:eastAsia="宋体" w:cs="Times New Roman"/>
          <w:szCs w:val="21"/>
        </w:rPr>
        <w:t xml:space="preserve">内,</w:t>
      </w:r>
      <w:r>
        <w:rPr>
          <w:rFonts w:hint="eastAsia" w:ascii="宋体" w:hAnsi="宋体" w:eastAsia="宋体" w:cs="Times New Roman"/>
          <w:szCs w:val="21"/>
        </w:rPr>
        <w:t xml:space="preserve">透光率≥93%；</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18）包含投影机支架1副，6自由度可调。</w:t>
      </w:r>
      <w:bookmarkEnd w:id="8"/>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超短焦投影镜头：</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7支</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投射比0.5–0.7:1，透光率≥93%，适配所投投影机；如投影机原厂配置已包含同等镜头，可在投标文件中合并说明。</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c. 几何校正与融合软件：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1）数量：</w:t>
      </w:r>
      <w:r>
        <w:rPr>
          <w:rFonts w:ascii="宋体" w:hAnsi="宋体" w:eastAsia="宋体" w:cs="Times New Roman"/>
          <w:szCs w:val="21"/>
        </w:rPr>
        <w:t xml:space="preserve">1套，授权节点数量</w:t>
      </w:r>
      <w:r>
        <w:rPr>
          <w:rFonts w:hint="eastAsia" w:ascii="宋体" w:hAnsi="宋体" w:eastAsia="宋体" w:cs="Times New Roman"/>
          <w:szCs w:val="21"/>
        </w:rPr>
        <w:t xml:space="preserve">≥</w:t>
      </w:r>
      <w:r>
        <w:rPr>
          <w:rFonts w:ascii="宋体" w:hAnsi="宋体" w:eastAsia="宋体" w:cs="Times New Roman"/>
          <w:szCs w:val="21"/>
        </w:rPr>
        <w:t xml:space="preserve">7；</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支持柱幕、球幕及多面CAVE系统；</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★支持工作站集群部署；</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支持自动/手动几何校正、边缘融合、多窗口融合及高刷新率显示。</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d. 立体信号发射器：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工作频率2.4GHz–2.5GHz；</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发射角度≥360°；</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发射距离≥100m；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刷新率支持96–240Hz。</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e. 主动立体眼镜：</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20副；</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对比度≥1000:1；</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液晶刷新频率支持96–480Hz；</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连续工作时间≥40小时</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5）响应时间：≦2毫秒；</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6）眼镜重量：≤46g±2g。</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f. 显示屏幕及结构：</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1）提供屏幕结构、施工工艺、光路设计图、平面布局图等设计文件，并做详细说明，保证显示系统亮度、融合、立体效果和维护空间满足项目需求。</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1.1.2 行</w:t>
      </w:r>
      <w:r>
        <w:rPr>
          <w:rFonts w:hint="eastAsia" w:ascii="宋体" w:hAnsi="宋体" w:eastAsia="宋体" w:cs="Times New Roman"/>
          <w:szCs w:val="21"/>
        </w:rPr>
        <w:t xml:space="preserve">为记录系统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高清摄像机：</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4台；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▲传感器尺寸≥1/1.8英寸；</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▲最低照度彩色≤0.002Lux；</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最大图像尺寸≥3840×2160；</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支持区域入侵侦测、越界侦测、人脸检测及POE供电。</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bookmarkStart w:id="20" w:name="OLE_LINK112"/>
      <w:r>
        <w:rPr>
          <w:rFonts w:ascii="宋体" w:hAnsi="宋体" w:eastAsia="宋体" w:cs="Times New Roman"/>
          <w:szCs w:val="21"/>
        </w:rPr>
        <w:t xml:space="preserve">▲</w:t>
      </w:r>
      <w:bookmarkEnd w:id="20"/>
      <w:r>
        <w:rPr>
          <w:rFonts w:hint="eastAsia" w:ascii="宋体" w:hAnsi="宋体" w:eastAsia="宋体" w:cs="Times New Roman"/>
          <w:szCs w:val="21"/>
        </w:rPr>
        <w:t xml:space="preserve">焦距≤2.8mm；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w:t>
      </w:r>
      <w:bookmarkStart w:id="21" w:name="OLE_LINK29"/>
      <w:r>
        <w:rPr>
          <w:rFonts w:hint="eastAsia" w:ascii="宋体" w:hAnsi="宋体" w:eastAsia="宋体" w:cs="Times New Roman"/>
          <w:szCs w:val="21"/>
        </w:rPr>
        <w:t xml:space="preserve">主码流分辨率≥50HZ：20fps（3840×2160）；</w:t>
      </w:r>
      <w:bookmarkEnd w:id="21"/>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8）高清摄像机具有补光功能，可以补红外光及白光；</w:t>
      </w:r>
      <w:r/>
    </w:p>
    <w:p>
      <w:pPr>
        <w:ind w:firstLine="420"/>
        <w:jc w:val="both"/>
        <w:spacing w:line="360" w:lineRule="auto"/>
        <w:rPr>
          <w:rFonts w:hint="eastAsia" w:ascii="宋体" w:hAnsi="宋体" w:eastAsia="宋体" w:cs="Times New Roman"/>
          <w:szCs w:val="21"/>
        </w:rPr>
      </w:pPr>
      <w:r/>
      <w:bookmarkStart w:id="22" w:name="OLE_LINK32"/>
      <w:r>
        <w:rPr>
          <w:rFonts w:hint="eastAsia" w:ascii="宋体" w:hAnsi="宋体" w:eastAsia="宋体" w:cs="Times New Roman"/>
          <w:szCs w:val="21"/>
        </w:rPr>
        <w:t xml:space="preserve">9）调节角度：水平≥0-360</w:t>
      </w:r>
      <w:r>
        <w:rPr>
          <w:rFonts w:hint="eastAsia" w:ascii="宋体" w:hAnsi="宋体" w:eastAsia="宋体" w:cs="Times New Roman"/>
          <w:szCs w:val="21"/>
        </w:rPr>
        <w:t xml:space="preserve">°,</w:t>
      </w:r>
      <w:r>
        <w:rPr>
          <w:rFonts w:hint="eastAsia" w:ascii="宋体" w:hAnsi="宋体" w:eastAsia="宋体" w:cs="Times New Roman"/>
          <w:szCs w:val="21"/>
        </w:rPr>
        <w:t xml:space="preserve">垂直：≥0-75</w:t>
      </w:r>
      <w:r>
        <w:rPr>
          <w:rFonts w:hint="eastAsia" w:ascii="宋体" w:hAnsi="宋体" w:eastAsia="宋体" w:cs="Times New Roman"/>
          <w:szCs w:val="21"/>
        </w:rPr>
        <w:t xml:space="preserve">°,</w:t>
      </w:r>
      <w:r>
        <w:rPr>
          <w:rFonts w:hint="eastAsia" w:ascii="宋体" w:hAnsi="宋体" w:eastAsia="宋体" w:cs="Times New Roman"/>
          <w:szCs w:val="21"/>
        </w:rPr>
        <w:t xml:space="preserve">旋转：≥0-360°；</w:t>
      </w:r>
      <w:bookmarkEnd w:id="22"/>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视频采集与存储设备：</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★视频接入路数≥4路；</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硬盘容量≥4TB；</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POE接口数量≥4；</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具备智能分析功能。</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c. 影视素材专业摄像机：包括但不限于</w:t>
      </w:r>
      <w:r>
        <w:rPr>
          <w:rFonts w:hint="eastAsia" w:ascii="宋体" w:hAnsi="宋体" w:eastAsia="宋体" w:cs="Times New Roman"/>
          <w:szCs w:val="21"/>
        </w:rPr>
        <w:t xml:space="preserve">人脸名单库、人脸对比、人脸检索、人脸抓拍。</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★有效像素≥6</w:t>
      </w:r>
      <w:r>
        <w:rPr>
          <w:rFonts w:hint="eastAsia" w:ascii="宋体" w:hAnsi="宋体" w:eastAsia="宋体" w:cs="Times New Roman"/>
          <w:szCs w:val="21"/>
        </w:rPr>
        <w:t xml:space="preserve">0</w:t>
      </w:r>
      <w:r>
        <w:rPr>
          <w:rFonts w:ascii="宋体" w:hAnsi="宋体" w:eastAsia="宋体" w:cs="Times New Roman"/>
          <w:szCs w:val="21"/>
        </w:rPr>
        <w:t xml:space="preserve">00万；</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支持8K 24p、4K 60p视频录制，支持10-bit</w:t>
      </w:r>
      <w:r>
        <w:rPr>
          <w:rFonts w:hint="eastAsia" w:ascii="宋体" w:hAnsi="宋体" w:eastAsia="宋体" w:cs="Times New Roman"/>
          <w:szCs w:val="21"/>
        </w:rPr>
        <w:t xml:space="preserve"> 4:2:2内录</w:t>
      </w:r>
      <w:r>
        <w:rPr>
          <w:rFonts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4）配备原厂全画幅</w:t>
      </w:r>
      <w:r>
        <w:rPr>
          <w:rFonts w:ascii="宋体" w:hAnsi="宋体" w:eastAsia="宋体" w:cs="Times New Roman"/>
          <w:szCs w:val="21"/>
        </w:rPr>
        <w:t xml:space="preserve">E</w:t>
      </w:r>
      <w:r>
        <w:rPr>
          <w:rFonts w:hint="eastAsia" w:ascii="宋体" w:hAnsi="宋体" w:eastAsia="宋体" w:cs="Times New Roman"/>
          <w:szCs w:val="21"/>
        </w:rPr>
        <w:t xml:space="preserve">卡口标准变焦镜头，焦距范围</w:t>
      </w:r>
      <w:r>
        <w:rPr>
          <w:rFonts w:ascii="宋体" w:hAnsi="宋体" w:eastAsia="宋体" w:cs="Times New Roman"/>
          <w:szCs w:val="21"/>
        </w:rPr>
        <w:t xml:space="preserve">24–105mm</w:t>
      </w:r>
      <w:r>
        <w:rPr>
          <w:rFonts w:hint="eastAsia" w:ascii="宋体" w:hAnsi="宋体" w:eastAsia="宋体" w:cs="Times New Roman"/>
          <w:szCs w:val="21"/>
        </w:rPr>
        <w:t xml:space="preserve">，最大光圈</w:t>
      </w:r>
      <w:r>
        <w:rPr>
          <w:rFonts w:ascii="宋体" w:hAnsi="宋体" w:eastAsia="宋体" w:cs="Times New Roman"/>
          <w:szCs w:val="21"/>
        </w:rPr>
        <w:t xml:space="preserve">F4</w:t>
      </w:r>
      <w:r>
        <w:rPr>
          <w:rFonts w:hint="eastAsia" w:ascii="宋体" w:hAnsi="宋体" w:eastAsia="宋体" w:cs="Times New Roman"/>
          <w:szCs w:val="21"/>
        </w:rPr>
        <w:t xml:space="preserve">或同等规格；</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5）影像处理系统</w:t>
      </w:r>
      <w:r>
        <w:rPr>
          <w:rFonts w:ascii="宋体" w:hAnsi="宋体" w:eastAsia="宋体" w:cs="Times New Roman"/>
          <w:szCs w:val="21"/>
        </w:rPr>
        <w:t xml:space="preserve"> </w:t>
      </w:r>
      <w:r>
        <w:rPr>
          <w:rFonts w:hint="eastAsia" w:ascii="宋体" w:hAnsi="宋体" w:eastAsia="宋体" w:cs="Times New Roman"/>
          <w:szCs w:val="21"/>
        </w:rPr>
        <w:t xml:space="preserve">搭载独立</w:t>
      </w:r>
      <w:r>
        <w:rPr>
          <w:rFonts w:ascii="宋体" w:hAnsi="宋体" w:eastAsia="宋体" w:cs="Times New Roman"/>
          <w:szCs w:val="21"/>
        </w:rPr>
        <w:t xml:space="preserve">AI</w:t>
      </w:r>
      <w:r>
        <w:rPr>
          <w:rFonts w:hint="eastAsia" w:ascii="宋体" w:hAnsi="宋体" w:eastAsia="宋体" w:cs="Times New Roman"/>
          <w:szCs w:val="21"/>
        </w:rPr>
        <w:t xml:space="preserve">处理单元（</w:t>
      </w:r>
      <w:r>
        <w:rPr>
          <w:rFonts w:ascii="宋体" w:hAnsi="宋体" w:eastAsia="宋体" w:cs="Times New Roman"/>
          <w:szCs w:val="21"/>
        </w:rPr>
        <w:t xml:space="preserve">AI Processing Unit</w:t>
      </w:r>
      <w:r>
        <w:rPr>
          <w:rFonts w:hint="eastAsia" w:ascii="宋体" w:hAnsi="宋体" w:eastAsia="宋体" w:cs="Times New Roman"/>
          <w:szCs w:val="21"/>
        </w:rPr>
        <w:t xml:space="preserve">），实现人体姿态识别及多种主体智能识别；</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1.1.3 多感交互系</w:t>
      </w:r>
      <w:r>
        <w:rPr>
          <w:rFonts w:hint="eastAsia" w:ascii="宋体" w:hAnsi="宋体" w:eastAsia="宋体" w:cs="Times New Roman"/>
          <w:szCs w:val="21"/>
        </w:rPr>
        <w:t xml:space="preserve">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5D动感平台/座椅：</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▲座位数量≥3个；</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采用</w:t>
      </w:r>
      <w:r>
        <w:rPr>
          <w:rFonts w:hint="eastAsia" w:ascii="宋体" w:hAnsi="宋体" w:eastAsia="宋体" w:cs="Times New Roman"/>
          <w:szCs w:val="21"/>
        </w:rPr>
        <w:t xml:space="preserve">3</w:t>
      </w:r>
      <w:r>
        <w:rPr>
          <w:rFonts w:ascii="宋体" w:hAnsi="宋体" w:eastAsia="宋体" w:cs="Times New Roman"/>
          <w:szCs w:val="21"/>
        </w:rPr>
        <w:t xml:space="preserve">自由度结构，可实现升降、俯仰、左右倾斜运动；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bookmarkStart w:id="23" w:name="OLE_LINK130"/>
      <w:r/>
      <w:bookmarkStart w:id="24" w:name="OLE_LINK128"/>
      <w:r>
        <w:rPr>
          <w:rFonts w:ascii="宋体" w:hAnsi="宋体" w:eastAsia="宋体" w:cs="Times New Roman"/>
          <w:szCs w:val="21"/>
        </w:rPr>
        <w:t xml:space="preserve">▲</w:t>
      </w:r>
      <w:bookmarkEnd w:id="23"/>
      <w:r/>
      <w:bookmarkEnd w:id="24"/>
      <w:r>
        <w:rPr>
          <w:rFonts w:ascii="宋体" w:hAnsi="宋体" w:eastAsia="宋体" w:cs="Times New Roman"/>
          <w:szCs w:val="21"/>
        </w:rPr>
        <w:t xml:space="preserve">有效载荷≥450kg；</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具备风效、震动等环境特效联动能力；</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具备漏电保护、紧急停止等安全功能</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7</w:t>
      </w:r>
      <w:r>
        <w:rPr>
          <w:rFonts w:hint="eastAsia" w:ascii="宋体" w:hAnsi="宋体" w:eastAsia="宋体" w:cs="Times New Roman"/>
          <w:szCs w:val="21"/>
        </w:rPr>
        <w:t xml:space="preserve">）配置静音空压机：功率≥</w:t>
      </w:r>
      <w:r>
        <w:rPr>
          <w:rFonts w:ascii="宋体" w:hAnsi="宋体" w:eastAsia="宋体" w:cs="Times New Roman"/>
          <w:szCs w:val="21"/>
        </w:rPr>
        <w:t xml:space="preserve">1.5kw</w:t>
      </w:r>
      <w:r>
        <w:rPr>
          <w:rFonts w:hint="eastAsia" w:ascii="宋体" w:hAnsi="宋体" w:eastAsia="宋体" w:cs="Times New Roman"/>
          <w:szCs w:val="21"/>
        </w:rPr>
        <w:t xml:space="preserve">、排气量≥</w:t>
      </w:r>
      <w:r>
        <w:rPr>
          <w:rFonts w:ascii="宋体" w:hAnsi="宋体" w:eastAsia="宋体" w:cs="Times New Roman"/>
          <w:szCs w:val="21"/>
        </w:rPr>
        <w:t xml:space="preserve">150L/min</w:t>
      </w:r>
      <w:r>
        <w:rPr>
          <w:rFonts w:hint="eastAsia" w:ascii="宋体" w:hAnsi="宋体" w:eastAsia="宋体" w:cs="Times New Roman"/>
          <w:szCs w:val="21"/>
        </w:rPr>
        <w:t xml:space="preserve">、电压：</w:t>
      </w:r>
      <w:r>
        <w:rPr>
          <w:rFonts w:ascii="宋体" w:hAnsi="宋体" w:eastAsia="宋体" w:cs="Times New Roman"/>
          <w:szCs w:val="21"/>
        </w:rPr>
        <w:t xml:space="preserve">220V/50Hz</w:t>
      </w:r>
      <w:r>
        <w:rPr>
          <w:rFonts w:hint="eastAsia" w:ascii="宋体" w:hAnsi="宋体" w:eastAsia="宋体" w:cs="Times New Roman"/>
          <w:szCs w:val="21"/>
        </w:rPr>
        <w:t xml:space="preserve">、噪音：≤</w:t>
      </w:r>
      <w:r>
        <w:rPr>
          <w:rFonts w:ascii="宋体" w:hAnsi="宋体" w:eastAsia="宋体" w:cs="Times New Roman"/>
          <w:szCs w:val="21"/>
        </w:rPr>
        <w:t xml:space="preserve">80dB</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w:t>
      </w:r>
      <w:r>
        <w:rPr>
          <w:rFonts w:ascii="宋体" w:hAnsi="宋体" w:eastAsia="宋体" w:cs="Times New Roman"/>
          <w:szCs w:val="21"/>
        </w:rPr>
        <w:t xml:space="preserve">▲</w:t>
      </w:r>
      <w:r>
        <w:rPr>
          <w:rFonts w:hint="eastAsia" w:ascii="宋体" w:hAnsi="宋体" w:eastAsia="宋体" w:cs="Times New Roman"/>
          <w:szCs w:val="21"/>
        </w:rPr>
        <w:t xml:space="preserve">控制模块集成启停、加减速、状态检测与位置实时监测功能，支持多协议通讯，可提供程序开发服务，实现与特效系统联动控制。</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动感平台控制终端：</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4D</w:t>
      </w:r>
      <w:bookmarkStart w:id="25" w:name="OLE_LINK42"/>
      <w:r>
        <w:rPr>
          <w:rFonts w:ascii="宋体" w:hAnsi="宋体" w:eastAsia="宋体" w:cs="Times New Roman"/>
          <w:szCs w:val="21"/>
        </w:rPr>
        <w:t xml:space="preserve">影院播放系统、特效控制系统、动感影院主控同步系统、动作采集软件</w:t>
      </w:r>
      <w:bookmarkEnd w:id="25"/>
      <w:r>
        <w:rPr>
          <w:rFonts w:ascii="宋体" w:hAnsi="宋体" w:eastAsia="宋体" w:cs="Times New Roman"/>
          <w:szCs w:val="21"/>
        </w:rPr>
        <w:t xml:space="preserve">及控制平板电脑，支持视频、图片、播放进度、音量及设备开关控制。</w:t>
      </w:r>
      <w:bookmarkStart w:id="26" w:name="OLE_LINK120"/>
      <w:r/>
      <w:bookmarkStart w:id="27" w:name="OLE_LINK121"/>
      <w:r>
        <w:rPr>
          <w:rFonts w:hint="eastAsia" w:ascii="宋体" w:hAnsi="宋体" w:eastAsia="宋体" w:cs="Times New Roman"/>
          <w:b/>
          <w:bCs/>
          <w:szCs w:val="21"/>
        </w:rPr>
        <w:t xml:space="preserve">【</w:t>
      </w:r>
      <w:r>
        <w:rPr>
          <w:rFonts w:hint="eastAsia" w:ascii="宋体" w:hAnsi="宋体" w:eastAsia="宋体" w:cs="Times New Roman"/>
          <w:b/>
          <w:bCs/>
          <w:szCs w:val="21"/>
        </w:rPr>
        <w:t xml:space="preserve">供应商</w:t>
      </w:r>
      <w:r>
        <w:rPr>
          <w:rFonts w:hint="eastAsia" w:ascii="宋体" w:hAnsi="宋体" w:eastAsia="宋体" w:cs="Times New Roman"/>
          <w:b/>
          <w:bCs/>
          <w:szCs w:val="21"/>
        </w:rPr>
        <w:t xml:space="preserve">须在投标文件中提供产品系统对应（影院播放系统、特效控制系统、动感影院主控同步系统、动作采集软件</w:t>
      </w:r>
      <w:r>
        <w:rPr>
          <w:rFonts w:ascii="宋体" w:hAnsi="宋体" w:eastAsia="宋体" w:cs="Times New Roman"/>
          <w:b/>
          <w:bCs/>
          <w:szCs w:val="21"/>
        </w:rPr>
        <w:t xml:space="preserve">4</w:t>
      </w:r>
      <w:r>
        <w:rPr>
          <w:rFonts w:hint="eastAsia" w:ascii="宋体" w:hAnsi="宋体" w:eastAsia="宋体" w:cs="Times New Roman"/>
          <w:b/>
          <w:bCs/>
          <w:szCs w:val="21"/>
        </w:rPr>
        <w:t xml:space="preserve">个系统工具的软件截图）】</w:t>
      </w:r>
      <w:bookmarkEnd w:id="26"/>
      <w:r/>
      <w:bookmarkEnd w:id="27"/>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1.1.4 定位与</w:t>
      </w:r>
      <w:r>
        <w:rPr>
          <w:rFonts w:hint="eastAsia" w:ascii="宋体" w:hAnsi="宋体" w:eastAsia="宋体" w:cs="Times New Roman"/>
          <w:szCs w:val="21"/>
        </w:rPr>
        <w:t xml:space="preserve">动作捕捉系统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有标记动作捕捉摄像机：</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10台，有效覆盖7米（宽）×4米（深）×2.5米（高）空间；</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★最大分辨率≥130万像素；</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▲最大分辨率下的最大频率≥120FPS；</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▲视场角≥95°×74°；</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▲延迟≤5.5ms；</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）含安装云台、吊装框架、标定设备、交换机及反光球。</w:t>
      </w:r>
      <w:r/>
    </w:p>
    <w:p>
      <w:pPr>
        <w:ind w:firstLine="420"/>
        <w:jc w:val="both"/>
        <w:spacing w:line="360" w:lineRule="auto"/>
        <w:rPr>
          <w:rFonts w:hint="eastAsia" w:ascii="宋体" w:hAnsi="宋体" w:eastAsia="宋体" w:cs="Times New Roman"/>
          <w:szCs w:val="21"/>
        </w:rPr>
      </w:pPr>
      <w:r/>
      <w:bookmarkStart w:id="28" w:name="OLE_LINK126"/>
      <w:r>
        <w:rPr>
          <w:rFonts w:ascii="宋体" w:hAnsi="宋体" w:eastAsia="宋体" w:cs="Times New Roman"/>
          <w:szCs w:val="21"/>
        </w:rPr>
        <w:t xml:space="preserve">b. 有标记动作捕捉操作及分析处理软件：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bookmarkStart w:id="29" w:name="OLE_LINK91"/>
      <w:r/>
      <w:bookmarkStart w:id="30" w:name="OLE_LINK93"/>
      <w:r>
        <w:rPr>
          <w:rFonts w:hint="eastAsia" w:ascii="宋体" w:hAnsi="宋体" w:eastAsia="宋体" w:cs="Times New Roman"/>
          <w:szCs w:val="21"/>
        </w:rPr>
        <w:t xml:space="preserve">2）▲系统支持VRPN协议，该软件应具有自主知识产权。并且能通过VRPN协议传输标记点和刚体的速度和加速度信息和手柄按键信息。</w:t>
      </w:r>
      <w:bookmarkStart w:id="31" w:name="OLE_LINK122"/>
      <w:r>
        <w:rPr>
          <w:rFonts w:hint="eastAsia" w:ascii="宋体" w:hAnsi="宋体" w:eastAsia="宋体" w:cs="Times New Roman"/>
          <w:b/>
          <w:bCs/>
          <w:szCs w:val="21"/>
        </w:rPr>
        <w:t xml:space="preserve">【</w:t>
      </w:r>
      <w:r>
        <w:rPr>
          <w:rFonts w:hint="eastAsia" w:ascii="宋体" w:hAnsi="宋体" w:eastAsia="宋体" w:cs="Times New Roman"/>
          <w:b/>
          <w:bCs/>
          <w:szCs w:val="21"/>
        </w:rPr>
        <w:t xml:space="preserve">供应商</w:t>
      </w:r>
      <w:r>
        <w:rPr>
          <w:rFonts w:hint="eastAsia" w:ascii="宋体" w:hAnsi="宋体" w:eastAsia="宋体" w:cs="Times New Roman"/>
          <w:b/>
          <w:bCs/>
          <w:szCs w:val="21"/>
        </w:rPr>
        <w:t xml:space="preserve">须在投标文件中提供上述软件的由国家版权局颁布的计算机软件著作权登记证书】</w:t>
      </w:r>
      <w:bookmarkEnd w:id="31"/>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b/>
          <w:bCs/>
          <w:szCs w:val="21"/>
        </w:rPr>
      </w:pPr>
      <w:r>
        <w:rPr>
          <w:rFonts w:hint="eastAsia" w:ascii="宋体" w:hAnsi="宋体" w:eastAsia="宋体" w:cs="Times New Roman"/>
          <w:szCs w:val="21"/>
        </w:rPr>
        <w:t xml:space="preserve">3）▲系统需具备呼吸测量工具VMSS:支持加载动捕系统生成的Marker点阵坐标数据(三维数</w:t>
      </w:r>
      <w:r>
        <w:rPr>
          <w:rFonts w:hint="eastAsia" w:ascii="宋体" w:hAnsi="宋体" w:eastAsia="宋体" w:cs="Times New Roman"/>
          <w:szCs w:val="21"/>
        </w:rPr>
        <w:t xml:space="preserve">据</w:t>
      </w:r>
      <w:r>
        <w:rPr>
          <w:rFonts w:hint="eastAsia" w:ascii="宋体" w:hAnsi="宋体" w:eastAsia="宋体" w:cs="Times New Roman"/>
          <w:szCs w:val="21"/>
        </w:rPr>
        <w:t xml:space="preserve">并基于点阵数据自动计算胸腔或其他目标区域体积变化</w:t>
      </w:r>
      <w:r>
        <w:rPr>
          <w:rFonts w:hint="eastAsia" w:ascii="宋体" w:hAnsi="宋体" w:eastAsia="宋体" w:cs="Times New Roman"/>
          <w:szCs w:val="21"/>
        </w:rPr>
        <w:t xml:space="preserve">(V)</w:t>
      </w:r>
      <w:r>
        <w:rPr>
          <w:rFonts w:hint="eastAsia" w:ascii="宋体" w:hAnsi="宋体" w:eastAsia="宋体" w:cs="Times New Roman"/>
          <w:szCs w:val="21"/>
        </w:rPr>
        <w:t xml:space="preserve">，且自动生成呼吸频率并</w:t>
      </w:r>
      <w:r>
        <w:rPr>
          <w:rFonts w:hint="eastAsia" w:ascii="宋体" w:hAnsi="宋体" w:eastAsia="宋体" w:cs="Times New Roman"/>
          <w:szCs w:val="21"/>
        </w:rPr>
        <w:t xml:space="preserve">显示)。</w:t>
      </w:r>
      <w:r>
        <w:rPr>
          <w:rFonts w:hint="eastAsia" w:ascii="宋体" w:hAnsi="宋体" w:eastAsia="宋体" w:cs="Times New Roman"/>
          <w:b/>
          <w:bCs/>
          <w:szCs w:val="21"/>
        </w:rPr>
        <w:t xml:space="preserve">【</w:t>
      </w:r>
      <w:r>
        <w:rPr>
          <w:rFonts w:hint="eastAsia" w:ascii="宋体" w:hAnsi="宋体" w:eastAsia="宋体" w:cs="Times New Roman"/>
          <w:b/>
          <w:bCs/>
          <w:szCs w:val="21"/>
        </w:rPr>
        <w:t xml:space="preserve">供应商</w:t>
      </w:r>
      <w:r>
        <w:rPr>
          <w:rFonts w:hint="eastAsia" w:ascii="宋体" w:hAnsi="宋体" w:eastAsia="宋体" w:cs="Times New Roman"/>
          <w:b/>
          <w:bCs/>
          <w:szCs w:val="21"/>
        </w:rPr>
        <w:t xml:space="preserve">须在投标文件中提供产品系统此项工具的软件截图】。</w:t>
      </w:r>
      <w:bookmarkEnd w:id="29"/>
      <w:r/>
      <w:bookmarkEnd w:id="30"/>
      <w:r/>
      <w:bookmarkEnd w:id="28"/>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c. 无标记动作捕捉摄像机：</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5台，有效覆盖7米（宽）×4米（深）×2.5米（高）空间；</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★捕捉技术为RGB视觉+主动红外立体视觉；</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深度精度4米处＜3%；</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深度分辨率≥1280×720；</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深度帧速率≥90fps；</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w:t>
      </w:r>
      <w:r>
        <w:rPr>
          <w:rFonts w:ascii="宋体" w:hAnsi="宋体" w:eastAsia="宋体" w:cs="Times New Roman"/>
          <w:szCs w:val="21"/>
        </w:rPr>
        <w:t xml:space="preserve">RGB</w:t>
      </w:r>
      <w:r>
        <w:rPr>
          <w:rFonts w:hint="eastAsia" w:ascii="宋体" w:hAnsi="宋体" w:eastAsia="宋体" w:cs="Times New Roman"/>
          <w:szCs w:val="21"/>
        </w:rPr>
        <w:t xml:space="preserve">分辨率和帧</w:t>
      </w:r>
      <w:r>
        <w:rPr>
          <w:rFonts w:hint="eastAsia" w:ascii="宋体" w:hAnsi="宋体" w:eastAsia="宋体" w:cs="Times New Roman"/>
          <w:szCs w:val="21"/>
        </w:rPr>
        <w:t xml:space="preserve">率</w:t>
      </w:r>
      <w:r>
        <w:rPr>
          <w:rFonts w:ascii="宋体" w:hAnsi="宋体" w:eastAsia="宋体" w:cs="Times New Roman"/>
          <w:szCs w:val="21"/>
        </w:rPr>
        <w:t xml:space="preserve">:</w:t>
      </w:r>
      <w:r>
        <w:rPr>
          <w:rFonts w:hint="eastAsia" w:ascii="宋体" w:hAnsi="宋体" w:eastAsia="宋体" w:cs="Times New Roman"/>
          <w:szCs w:val="21"/>
        </w:rPr>
        <w:t xml:space="preserve">≥</w:t>
      </w:r>
      <w:r>
        <w:rPr>
          <w:rFonts w:ascii="宋体" w:hAnsi="宋体" w:eastAsia="宋体" w:cs="Times New Roman"/>
          <w:szCs w:val="21"/>
        </w:rPr>
        <w:t xml:space="preserve">1280*800</w:t>
      </w:r>
      <w:r>
        <w:rPr>
          <w:rFonts w:hint="eastAsia" w:ascii="宋体" w:hAnsi="宋体" w:eastAsia="宋体" w:cs="Times New Roman"/>
          <w:szCs w:val="21"/>
        </w:rPr>
        <w:t xml:space="preserve">，</w:t>
      </w:r>
      <w:r>
        <w:rPr>
          <w:rFonts w:ascii="宋体" w:hAnsi="宋体" w:eastAsia="宋体" w:cs="Times New Roman"/>
          <w:szCs w:val="21"/>
        </w:rPr>
        <w:t xml:space="preserve">30fps</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w:t>
      </w:r>
      <w:r>
        <w:rPr>
          <w:rFonts w:ascii="宋体" w:hAnsi="宋体" w:eastAsia="宋体" w:cs="Times New Roman"/>
          <w:szCs w:val="21"/>
        </w:rPr>
        <w:t xml:space="preserve">★适用范围≥0.6米至6米。</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d. 无标记动作捕捉服务器：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CPU≥8核16线程；</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内存≥64GB；</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存储≥1TB且支持</w:t>
      </w:r>
      <w:r>
        <w:rPr>
          <w:rFonts w:ascii="宋体" w:hAnsi="宋体" w:eastAsia="宋体" w:cs="Times New Roman"/>
          <w:szCs w:val="21"/>
        </w:rPr>
        <w:t xml:space="preserve">NVMe</w:t>
      </w:r>
      <w:r>
        <w:rPr>
          <w:rFonts w:ascii="宋体" w:hAnsi="宋体" w:eastAsia="宋体" w:cs="Times New Roman"/>
          <w:szCs w:val="21"/>
        </w:rPr>
        <w:t xml:space="preserve">协议；</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GPU CUDA核心数≥8400个，显存容量≥16GB，显存带宽≥670GB/s。</w:t>
      </w:r>
      <w:r/>
    </w:p>
    <w:p>
      <w:pPr>
        <w:ind w:firstLine="420"/>
        <w:jc w:val="both"/>
        <w:spacing w:line="360" w:lineRule="auto"/>
        <w:rPr>
          <w:rFonts w:hint="eastAsia" w:ascii="宋体" w:hAnsi="宋体" w:eastAsia="宋体" w:cs="Times New Roman"/>
          <w:szCs w:val="21"/>
        </w:rPr>
      </w:pPr>
      <w:r/>
      <w:bookmarkStart w:id="32" w:name="OLE_LINK124"/>
      <w:r>
        <w:rPr>
          <w:rFonts w:ascii="宋体" w:hAnsi="宋体" w:eastAsia="宋体" w:cs="Times New Roman"/>
          <w:szCs w:val="21"/>
        </w:rPr>
        <w:t xml:space="preserve">e. 无标记动作捕捉操作及分析处理软件：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1）数量：1套；</w:t>
      </w:r>
      <w:r/>
    </w:p>
    <w:p>
      <w:pPr>
        <w:ind w:firstLine="422"/>
        <w:jc w:val="both"/>
        <w:spacing w:line="360" w:lineRule="auto"/>
        <w:rPr>
          <w:rFonts w:hint="eastAsia" w:ascii="宋体" w:hAnsi="宋体" w:eastAsia="宋体" w:cs="Times New Roman"/>
          <w:b/>
          <w:bCs/>
          <w:szCs w:val="21"/>
        </w:rPr>
      </w:pPr>
      <w:r/>
      <w:bookmarkStart w:id="33" w:name="OLE_LINK123"/>
      <w:r>
        <w:rPr>
          <w:rFonts w:hint="eastAsia" w:ascii="宋体" w:hAnsi="宋体" w:eastAsia="宋体" w:cs="Times New Roman"/>
          <w:b/>
          <w:bCs/>
          <w:szCs w:val="21"/>
        </w:rPr>
        <w:t xml:space="preserve">2）</w:t>
      </w:r>
      <w:r>
        <w:rPr>
          <w:rFonts w:ascii="宋体" w:hAnsi="宋体" w:eastAsia="宋体" w:cs="Times New Roman"/>
          <w:b/>
          <w:bCs/>
          <w:szCs w:val="21"/>
        </w:rPr>
        <w:t xml:space="preserve">▲至少支持5人ID识别；【</w:t>
      </w:r>
      <w:r>
        <w:rPr>
          <w:rFonts w:hint="eastAsia" w:ascii="宋体" w:hAnsi="宋体" w:eastAsia="宋体" w:cs="Times New Roman"/>
          <w:b/>
          <w:bCs/>
          <w:szCs w:val="21"/>
        </w:rPr>
        <w:t xml:space="preserve">提供视频演示</w:t>
      </w:r>
      <w:r>
        <w:rPr>
          <w:rFonts w:ascii="宋体" w:hAnsi="宋体" w:eastAsia="宋体" w:cs="Times New Roman"/>
          <w:b/>
          <w:bCs/>
          <w:szCs w:val="21"/>
        </w:rPr>
        <w:t xml:space="preserve">】</w:t>
      </w:r>
      <w:r/>
    </w:p>
    <w:p>
      <w:pPr>
        <w:ind w:firstLine="422"/>
        <w:jc w:val="both"/>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3）</w:t>
      </w:r>
      <w:r>
        <w:rPr>
          <w:rFonts w:ascii="宋体" w:hAnsi="宋体" w:eastAsia="宋体" w:cs="Times New Roman"/>
          <w:b/>
          <w:bCs/>
          <w:szCs w:val="21"/>
        </w:rPr>
        <w:t xml:space="preserve">▲支持5种肢体识别、2种手势识别；【</w:t>
      </w:r>
      <w:r>
        <w:rPr>
          <w:rFonts w:hint="eastAsia" w:ascii="宋体" w:hAnsi="宋体" w:eastAsia="宋体" w:cs="Times New Roman"/>
          <w:b/>
          <w:bCs/>
          <w:szCs w:val="21"/>
        </w:rPr>
        <w:t xml:space="preserve">提供视频演示</w:t>
      </w:r>
      <w:r>
        <w:rPr>
          <w:rFonts w:ascii="宋体" w:hAnsi="宋体" w:eastAsia="宋体" w:cs="Times New Roman"/>
          <w:b/>
          <w:bCs/>
          <w:szCs w:val="21"/>
        </w:rPr>
        <w:t xml:space="preserve">】</w:t>
      </w:r>
      <w:r/>
    </w:p>
    <w:p>
      <w:pPr>
        <w:ind w:firstLine="422"/>
        <w:jc w:val="both"/>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4）</w:t>
      </w:r>
      <w:r>
        <w:rPr>
          <w:rFonts w:ascii="宋体" w:hAnsi="宋体" w:eastAsia="宋体" w:cs="Times New Roman"/>
          <w:b/>
          <w:bCs/>
          <w:szCs w:val="21"/>
        </w:rPr>
        <w:t xml:space="preserve">▲</w:t>
      </w:r>
      <w:r>
        <w:rPr>
          <w:rFonts w:hint="eastAsia" w:ascii="宋体" w:hAnsi="宋体" w:eastAsia="宋体" w:cs="Times New Roman"/>
          <w:b/>
          <w:bCs/>
          <w:szCs w:val="21"/>
        </w:rPr>
        <w:t xml:space="preserve">支持三维场景视角跟随被识别人物的位置移动实时变换与移动</w:t>
      </w:r>
      <w:r>
        <w:rPr>
          <w:rFonts w:ascii="宋体" w:hAnsi="宋体" w:eastAsia="宋体" w:cs="Times New Roman"/>
          <w:b/>
          <w:bCs/>
          <w:szCs w:val="21"/>
        </w:rPr>
        <w:t xml:space="preserve">【</w:t>
      </w:r>
      <w:r>
        <w:rPr>
          <w:rFonts w:hint="eastAsia" w:ascii="宋体" w:hAnsi="宋体" w:eastAsia="宋体" w:cs="Times New Roman"/>
          <w:b/>
          <w:bCs/>
          <w:szCs w:val="21"/>
        </w:rPr>
        <w:t xml:space="preserve">提供视频演示</w:t>
      </w:r>
      <w:r>
        <w:rPr>
          <w:rFonts w:ascii="宋体" w:hAnsi="宋体" w:eastAsia="宋体" w:cs="Times New Roman"/>
          <w:b/>
          <w:bCs/>
          <w:szCs w:val="21"/>
        </w:rPr>
        <w:t xml:space="preserve">】</w:t>
      </w:r>
      <w:r>
        <w:rPr>
          <w:rFonts w:hint="eastAsia" w:ascii="宋体" w:hAnsi="宋体" w:eastAsia="宋体" w:cs="Times New Roman"/>
          <w:b/>
          <w:bCs/>
          <w:szCs w:val="21"/>
        </w:rPr>
        <w:t xml:space="preserve">；</w:t>
      </w:r>
      <w:bookmarkEnd w:id="33"/>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支持定位、跟踪、2D姿态估计及3D姿态估计AI算法；</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支持VRPN协议。</w:t>
      </w:r>
      <w:bookmarkEnd w:id="32"/>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1.1.5 </w:t>
      </w:r>
      <w:r>
        <w:rPr>
          <w:rFonts w:hint="eastAsia" w:ascii="宋体" w:hAnsi="宋体" w:eastAsia="宋体" w:cs="Times New Roman"/>
          <w:szCs w:val="21"/>
        </w:rPr>
        <w:t xml:space="preserve">计算与渲染系统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VR主控服务器：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bookmarkStart w:id="34" w:name="OLE_LINK84"/>
      <w:r>
        <w:rPr>
          <w:rFonts w:hint="eastAsia" w:ascii="宋体" w:hAnsi="宋体" w:eastAsia="宋体" w:cs="Times New Roman"/>
          <w:szCs w:val="21"/>
        </w:rPr>
        <w:t xml:space="preserve">2）</w:t>
      </w:r>
      <w:r>
        <w:rPr>
          <w:rFonts w:ascii="宋体" w:hAnsi="宋体" w:eastAsia="宋体" w:cs="Times New Roman"/>
          <w:szCs w:val="21"/>
        </w:rPr>
        <w:t xml:space="preserve">品质要求：</w:t>
      </w:r>
      <w:bookmarkStart w:id="35" w:name="OLE_LINK127"/>
      <w:r>
        <w:rPr>
          <w:rFonts w:hint="eastAsia" w:ascii="宋体" w:hAnsi="宋体" w:eastAsia="宋体" w:cs="Times New Roman"/>
          <w:szCs w:val="21"/>
        </w:rPr>
        <w:t xml:space="preserve">主机为整机，推荐惠普、联想、戴尔或同等品牌</w:t>
      </w:r>
      <w:bookmarkEnd w:id="35"/>
      <w:r>
        <w:rPr>
          <w:rFonts w:ascii="宋体" w:hAnsi="宋体" w:eastAsia="宋体" w:cs="Times New Roman"/>
          <w:szCs w:val="21"/>
        </w:rPr>
        <w:t xml:space="preserve">；可在原厂整机基础上少量改装，不接受非标组装机</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bookmarkStart w:id="36" w:name="OLE_LINK97"/>
      <w:r/>
      <w:bookmarkEnd w:id="34"/>
      <w:r>
        <w:rPr>
          <w:rFonts w:hint="eastAsia" w:ascii="宋体" w:hAnsi="宋体" w:eastAsia="宋体" w:cs="Times New Roman"/>
          <w:szCs w:val="21"/>
        </w:rPr>
        <w:t xml:space="preserve">3）</w:t>
      </w:r>
      <w:bookmarkEnd w:id="36"/>
      <w:r>
        <w:rPr>
          <w:rFonts w:hint="eastAsia" w:ascii="宋体" w:hAnsi="宋体" w:eastAsia="宋体" w:cs="Times New Roman"/>
          <w:szCs w:val="21"/>
        </w:rPr>
        <w:t xml:space="preserve">处理器</w:t>
      </w:r>
      <w:r>
        <w:rPr>
          <w:rFonts w:ascii="宋体" w:hAnsi="宋体" w:eastAsia="宋体" w:cs="Times New Roman"/>
          <w:szCs w:val="21"/>
        </w:rPr>
        <w:t xml:space="preserve">(CPU)</w:t>
      </w:r>
      <w:r>
        <w:rPr>
          <w:rFonts w:hint="eastAsia" w:ascii="宋体" w:hAnsi="宋体" w:eastAsia="宋体" w:cs="Times New Roman"/>
          <w:szCs w:val="21"/>
        </w:rPr>
        <w:t xml:space="preserve">：核心数≥24核，</w:t>
      </w:r>
      <w:r>
        <w:rPr>
          <w:rFonts w:ascii="宋体" w:hAnsi="宋体" w:eastAsia="宋体" w:cs="Times New Roman"/>
          <w:szCs w:val="21"/>
        </w:rPr>
        <w:t xml:space="preserve"> </w:t>
      </w:r>
      <w:r>
        <w:rPr>
          <w:rFonts w:hint="eastAsia" w:ascii="宋体" w:hAnsi="宋体" w:eastAsia="宋体" w:cs="Times New Roman"/>
          <w:szCs w:val="21"/>
        </w:rPr>
        <w:t xml:space="preserve">总线程数≥32线程，最高睿频≥5</w:t>
      </w:r>
      <w:r>
        <w:rPr>
          <w:rFonts w:ascii="宋体" w:hAnsi="宋体" w:eastAsia="宋体" w:cs="Times New Roman"/>
          <w:szCs w:val="21"/>
        </w:rPr>
        <w:t xml:space="preserve">.</w:t>
      </w:r>
      <w:r>
        <w:rPr>
          <w:rFonts w:hint="eastAsia" w:ascii="宋体" w:hAnsi="宋体" w:eastAsia="宋体" w:cs="Times New Roman"/>
          <w:szCs w:val="21"/>
        </w:rPr>
        <w:t xml:space="preserve">7</w:t>
      </w:r>
      <w:r>
        <w:rPr>
          <w:rFonts w:ascii="宋体" w:hAnsi="宋体" w:eastAsia="宋体" w:cs="Times New Roman"/>
          <w:szCs w:val="21"/>
        </w:rPr>
        <w:t xml:space="preserve">GHz</w:t>
      </w:r>
      <w:r>
        <w:rPr>
          <w:rFonts w:hint="eastAsia" w:ascii="宋体" w:hAnsi="宋体" w:eastAsia="宋体" w:cs="Times New Roman"/>
          <w:szCs w:val="21"/>
        </w:rPr>
        <w:t xml:space="preserve">；</w:t>
      </w:r>
      <w:r>
        <w:rPr>
          <w:rFonts w:ascii="宋体" w:hAnsi="宋体" w:eastAsia="宋体" w:cs="Times New Roman"/>
          <w:szCs w:val="21"/>
        </w:rPr>
        <w:t xml:space="preserve"> </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4）内存配置：配置≥64</w:t>
      </w:r>
      <w:r>
        <w:rPr>
          <w:rFonts w:ascii="宋体" w:hAnsi="宋体" w:eastAsia="宋体" w:cs="Times New Roman"/>
          <w:szCs w:val="21"/>
        </w:rPr>
        <w:t xml:space="preserve">GB</w:t>
      </w:r>
      <w:r>
        <w:rPr>
          <w:rFonts w:hint="eastAsia" w:ascii="宋体" w:hAnsi="宋体" w:eastAsia="宋体" w:cs="Times New Roman"/>
          <w:szCs w:val="21"/>
        </w:rPr>
        <w:t xml:space="preserve">内存，</w:t>
      </w:r>
      <w:bookmarkStart w:id="37" w:name="OLE_LINK51"/>
      <w:r/>
      <w:bookmarkStart w:id="38" w:name="OLE_LINK50"/>
      <w:r>
        <w:rPr>
          <w:rFonts w:hint="eastAsia" w:ascii="宋体" w:hAnsi="宋体" w:eastAsia="宋体" w:cs="Times New Roman"/>
          <w:szCs w:val="21"/>
        </w:rPr>
        <w:t xml:space="preserve">运行频率≥</w:t>
      </w:r>
      <w:r>
        <w:rPr>
          <w:rFonts w:ascii="宋体" w:hAnsi="宋体" w:eastAsia="宋体" w:cs="Times New Roman"/>
          <w:szCs w:val="21"/>
        </w:rPr>
        <w:t xml:space="preserve">5600MHz</w:t>
      </w:r>
      <w:r>
        <w:rPr>
          <w:rFonts w:hint="eastAsia" w:ascii="宋体" w:hAnsi="宋体" w:eastAsia="宋体" w:cs="Times New Roman"/>
          <w:szCs w:val="21"/>
        </w:rPr>
        <w:t xml:space="preserve">，或满足当下主流</w:t>
      </w:r>
      <w:r>
        <w:rPr>
          <w:rFonts w:ascii="宋体" w:hAnsi="宋体" w:eastAsia="宋体" w:cs="Times New Roman"/>
          <w:szCs w:val="21"/>
        </w:rPr>
        <w:t xml:space="preserve">DDR5</w:t>
      </w:r>
      <w:r>
        <w:rPr>
          <w:rFonts w:hint="eastAsia" w:ascii="宋体" w:hAnsi="宋体" w:eastAsia="宋体" w:cs="Times New Roman"/>
          <w:szCs w:val="21"/>
        </w:rPr>
        <w:t xml:space="preserve">更高频率标准；</w:t>
      </w:r>
      <w:bookmarkEnd w:id="37"/>
      <w:r/>
      <w:bookmarkEnd w:id="38"/>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w:t>
      </w:r>
      <w:r>
        <w:rPr>
          <w:rFonts w:hint="eastAsia" w:ascii="宋体" w:hAnsi="宋体" w:eastAsia="宋体" w:cs="Times New Roman"/>
          <w:szCs w:val="21"/>
        </w:rPr>
        <w:t xml:space="preserve">显卡</w:t>
      </w:r>
      <w:r>
        <w:rPr>
          <w:rFonts w:ascii="宋体" w:hAnsi="宋体" w:eastAsia="宋体" w:cs="Times New Roman"/>
          <w:szCs w:val="21"/>
        </w:rPr>
        <w:t xml:space="preserve">(GPU)</w:t>
      </w:r>
      <w:r>
        <w:rPr>
          <w:rFonts w:hint="eastAsia" w:ascii="宋体" w:hAnsi="宋体" w:eastAsia="宋体" w:cs="Times New Roman"/>
          <w:szCs w:val="21"/>
        </w:rPr>
        <w:t xml:space="preserve">：配置专业独立图形显卡，独立显存容量≥48</w:t>
      </w:r>
      <w:r>
        <w:rPr>
          <w:rFonts w:ascii="宋体" w:hAnsi="宋体" w:eastAsia="宋体" w:cs="Times New Roman"/>
          <w:szCs w:val="21"/>
        </w:rPr>
        <w:t xml:space="preserve">GB</w:t>
      </w:r>
      <w:r>
        <w:rPr>
          <w:rFonts w:hint="eastAsia" w:ascii="宋体" w:hAnsi="宋体" w:eastAsia="宋体" w:cs="Times New Roman"/>
          <w:szCs w:val="21"/>
        </w:rPr>
        <w:t xml:space="preserve">；具备同等算力级别的高性能图形渲染与计算单元（统一计算架构核心数量≥14000个</w:t>
      </w:r>
      <w:r>
        <w:rPr>
          <w:rFonts w:ascii="宋体" w:hAnsi="宋体" w:eastAsia="宋体" w:cs="Times New Roman"/>
          <w:szCs w:val="21"/>
        </w:rPr>
        <w:t xml:space="preserve">,RT Core</w:t>
      </w:r>
      <w:r>
        <w:rPr>
          <w:rFonts w:hint="eastAsia" w:ascii="宋体" w:hAnsi="宋体" w:eastAsia="宋体" w:cs="Times New Roman"/>
          <w:szCs w:val="21"/>
        </w:rPr>
        <w:t xml:space="preserve">≥110个，张量核心≥440个，</w:t>
      </w:r>
      <w:r>
        <w:rPr>
          <w:rFonts w:ascii="宋体" w:hAnsi="宋体" w:eastAsia="宋体" w:cs="Times New Roman"/>
          <w:szCs w:val="21"/>
        </w:rPr>
        <w:t xml:space="preserve">AI</w:t>
      </w:r>
      <w:r>
        <w:rPr>
          <w:rFonts w:hint="eastAsia" w:ascii="宋体" w:hAnsi="宋体" w:eastAsia="宋体" w:cs="Times New Roman"/>
          <w:szCs w:val="21"/>
        </w:rPr>
        <w:t xml:space="preserve">性能≥2142AI</w:t>
      </w:r>
      <w:r>
        <w:rPr>
          <w:rFonts w:ascii="宋体" w:hAnsi="宋体" w:eastAsia="宋体" w:cs="Times New Roman"/>
          <w:szCs w:val="21"/>
        </w:rPr>
        <w:t xml:space="preserve"> TOPS</w:t>
      </w:r>
      <w:r>
        <w:rPr>
          <w:rFonts w:hint="eastAsia" w:ascii="宋体" w:hAnsi="宋体" w:eastAsia="宋体" w:cs="Times New Roman"/>
          <w:szCs w:val="21"/>
        </w:rPr>
        <w:t xml:space="preserve">,</w:t>
      </w:r>
      <w:r>
        <w:rPr>
          <w:rFonts w:ascii="宋体" w:hAnsi="宋体" w:eastAsia="宋体" w:cs="Times New Roman"/>
          <w:szCs w:val="21"/>
        </w:rPr>
        <w:t xml:space="preserve">显存带宽</w:t>
      </w:r>
      <w:r>
        <w:rPr>
          <w:rFonts w:hint="eastAsia" w:ascii="宋体" w:hAnsi="宋体" w:eastAsia="宋体" w:cs="Times New Roman"/>
          <w:szCs w:val="21"/>
        </w:rPr>
        <w:t xml:space="preserve">≥</w:t>
      </w:r>
      <w:r>
        <w:rPr>
          <w:rFonts w:ascii="宋体" w:hAnsi="宋体" w:eastAsia="宋体" w:cs="Times New Roman"/>
          <w:szCs w:val="21"/>
        </w:rPr>
        <w:t xml:space="preserve">1,344 GB/s</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6）主板与声网卡：集成或配置支持</w:t>
      </w:r>
      <w:r>
        <w:rPr>
          <w:rFonts w:ascii="宋体" w:hAnsi="宋体" w:eastAsia="宋体" w:cs="Times New Roman"/>
          <w:szCs w:val="21"/>
        </w:rPr>
        <w:t xml:space="preserve"> 5.1 </w:t>
      </w:r>
      <w:r>
        <w:rPr>
          <w:rFonts w:hint="eastAsia" w:ascii="宋体" w:hAnsi="宋体" w:eastAsia="宋体" w:cs="Times New Roman"/>
          <w:szCs w:val="21"/>
        </w:rPr>
        <w:t xml:space="preserve">声道声卡；集成千兆</w:t>
      </w:r>
      <w:r>
        <w:rPr>
          <w:rFonts w:ascii="宋体" w:hAnsi="宋体" w:eastAsia="宋体" w:cs="Times New Roman"/>
          <w:szCs w:val="21"/>
        </w:rPr>
        <w:t xml:space="preserve"> </w:t>
      </w:r>
      <w:r>
        <w:rPr>
          <w:rFonts w:hint="eastAsia" w:ascii="宋体" w:hAnsi="宋体" w:eastAsia="宋体" w:cs="Times New Roman"/>
          <w:szCs w:val="21"/>
        </w:rPr>
        <w:t xml:space="preserve">（</w:t>
      </w:r>
      <w:r>
        <w:rPr>
          <w:rFonts w:ascii="宋体" w:hAnsi="宋体" w:eastAsia="宋体" w:cs="Times New Roman"/>
          <w:szCs w:val="21"/>
        </w:rPr>
        <w:t xml:space="preserve">10/100/1000M</w:t>
      </w:r>
      <w:r>
        <w:rPr>
          <w:rFonts w:hint="eastAsia" w:ascii="宋体" w:hAnsi="宋体" w:eastAsia="宋体" w:cs="Times New Roman"/>
          <w:szCs w:val="21"/>
        </w:rPr>
        <w:t xml:space="preserve">）自适应以太网卡；主板具备良好的扩展性，提供</w:t>
      </w:r>
      <w:r>
        <w:rPr>
          <w:rFonts w:ascii="宋体" w:hAnsi="宋体" w:eastAsia="宋体" w:cs="Times New Roman"/>
          <w:szCs w:val="21"/>
        </w:rPr>
        <w:t xml:space="preserve"> </w:t>
      </w:r>
      <w:r>
        <w:rPr>
          <w:rFonts w:hint="eastAsia" w:ascii="宋体" w:hAnsi="宋体" w:eastAsia="宋体" w:cs="Times New Roman"/>
          <w:szCs w:val="21"/>
        </w:rPr>
        <w:t xml:space="preserve">≥4个</w:t>
      </w:r>
      <w:r>
        <w:rPr>
          <w:rFonts w:ascii="宋体" w:hAnsi="宋体" w:eastAsia="宋体" w:cs="Times New Roman"/>
          <w:szCs w:val="21"/>
        </w:rPr>
        <w:t xml:space="preserve">PCIe</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7）存储配置：①固态硬盘≥</w:t>
      </w:r>
      <w:r>
        <w:rPr>
          <w:rFonts w:ascii="宋体" w:hAnsi="宋体" w:eastAsia="宋体" w:cs="Times New Roman"/>
          <w:szCs w:val="21"/>
        </w:rPr>
        <w:t xml:space="preserve">1TB M.2</w:t>
      </w:r>
      <w:r>
        <w:rPr>
          <w:rFonts w:hint="eastAsia" w:ascii="宋体" w:hAnsi="宋体" w:eastAsia="宋体" w:cs="Times New Roman"/>
          <w:szCs w:val="21"/>
        </w:rPr>
        <w:t xml:space="preserve">接口</w:t>
      </w:r>
      <w:r>
        <w:rPr>
          <w:rFonts w:ascii="宋体" w:hAnsi="宋体" w:eastAsia="宋体" w:cs="Times New Roman"/>
          <w:szCs w:val="21"/>
        </w:rPr>
        <w:t xml:space="preserve"> </w:t>
      </w:r>
      <w:r>
        <w:rPr>
          <w:rFonts w:ascii="宋体" w:hAnsi="宋体" w:eastAsia="宋体" w:cs="Times New Roman"/>
          <w:szCs w:val="21"/>
        </w:rPr>
        <w:t xml:space="preserve">NVMe</w:t>
      </w:r>
      <w:r>
        <w:rPr>
          <w:rFonts w:hint="eastAsia" w:ascii="宋体" w:hAnsi="宋体" w:eastAsia="宋体" w:cs="Times New Roman"/>
          <w:szCs w:val="21"/>
        </w:rPr>
        <w:t xml:space="preserve">；②机械硬盘≥2</w:t>
      </w:r>
      <w:r>
        <w:rPr>
          <w:rFonts w:ascii="宋体" w:hAnsi="宋体" w:eastAsia="宋体" w:cs="Times New Roman"/>
          <w:szCs w:val="21"/>
        </w:rPr>
        <w:t xml:space="preserve">T</w:t>
      </w:r>
      <w:r>
        <w:rPr>
          <w:rFonts w:hint="eastAsia" w:ascii="宋体" w:hAnsi="宋体" w:eastAsia="宋体" w:cs="Times New Roman"/>
          <w:szCs w:val="21"/>
        </w:rPr>
        <w:t xml:space="preserve">，7200RPM；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8）显示设备：≥</w:t>
      </w:r>
      <w:r>
        <w:rPr>
          <w:rFonts w:ascii="宋体" w:hAnsi="宋体" w:eastAsia="宋体" w:cs="Times New Roman"/>
          <w:szCs w:val="21"/>
        </w:rPr>
        <w:t xml:space="preserve">23</w:t>
      </w:r>
      <w:r>
        <w:rPr>
          <w:rFonts w:hint="eastAsia" w:ascii="宋体" w:hAnsi="宋体" w:eastAsia="宋体" w:cs="Times New Roman"/>
          <w:szCs w:val="21"/>
        </w:rPr>
        <w:t xml:space="preserve">英寸液晶显示器一台，分辨率≥</w:t>
      </w:r>
      <w:r>
        <w:rPr>
          <w:rFonts w:ascii="宋体" w:hAnsi="宋体" w:eastAsia="宋体" w:cs="Times New Roman"/>
          <w:szCs w:val="21"/>
        </w:rPr>
        <w:t xml:space="preserve">1920x1080</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9）接口与外设扩展：具备强大的外设接驳能力，机箱前后置及主板原生配备充足的接口总数，满足</w:t>
      </w:r>
      <w:r>
        <w:rPr>
          <w:rFonts w:ascii="宋体" w:hAnsi="宋体" w:eastAsia="宋体" w:cs="Times New Roman"/>
          <w:szCs w:val="21"/>
        </w:rPr>
        <w:t xml:space="preserve">USB</w:t>
      </w:r>
      <w:r>
        <w:rPr>
          <w:rFonts w:hint="eastAsia" w:ascii="宋体" w:hAnsi="宋体" w:eastAsia="宋体" w:cs="Times New Roman"/>
          <w:szCs w:val="21"/>
        </w:rPr>
        <w:t xml:space="preserve">、</w:t>
      </w:r>
      <w:r>
        <w:rPr>
          <w:rFonts w:ascii="宋体" w:hAnsi="宋体" w:eastAsia="宋体" w:cs="Times New Roman"/>
          <w:szCs w:val="21"/>
        </w:rPr>
        <w:t xml:space="preserve">HDMI</w:t>
      </w:r>
      <w:r>
        <w:rPr>
          <w:rFonts w:hint="eastAsia" w:ascii="宋体" w:hAnsi="宋体" w:eastAsia="宋体" w:cs="Times New Roman"/>
          <w:szCs w:val="21"/>
        </w:rPr>
        <w:t xml:space="preserve">、</w:t>
      </w:r>
      <w:r>
        <w:rPr>
          <w:rFonts w:ascii="宋体" w:hAnsi="宋体" w:eastAsia="宋体" w:cs="Times New Roman"/>
          <w:szCs w:val="21"/>
        </w:rPr>
        <w:t xml:space="preserve">DP</w:t>
      </w:r>
      <w:r>
        <w:rPr>
          <w:rFonts w:hint="eastAsia" w:ascii="宋体" w:hAnsi="宋体" w:eastAsia="宋体" w:cs="Times New Roman"/>
          <w:szCs w:val="21"/>
        </w:rPr>
        <w:t xml:space="preserve">等丰富接口组合；</w:t>
      </w:r>
      <w:r>
        <w:rPr>
          <w:rFonts w:ascii="宋体" w:hAnsi="宋体" w:eastAsia="宋体" w:cs="Times New Roman"/>
          <w:szCs w:val="21"/>
        </w:rPr>
        <w:t xml:space="preserve"> </w:t>
      </w:r>
      <w:r/>
    </w:p>
    <w:p>
      <w:pPr>
        <w:ind w:firstLine="420"/>
        <w:jc w:val="both"/>
        <w:spacing w:line="360" w:lineRule="auto"/>
        <w:rPr>
          <w:rFonts w:hint="eastAsia" w:ascii="宋体" w:hAnsi="宋体" w:eastAsia="宋体" w:cs="Times New Roman"/>
          <w:szCs w:val="21"/>
        </w:rPr>
      </w:pPr>
      <w:r/>
      <w:bookmarkStart w:id="39" w:name="OLE_LINK98"/>
      <w:r>
        <w:rPr>
          <w:rFonts w:hint="eastAsia" w:ascii="宋体" w:hAnsi="宋体" w:eastAsia="宋体" w:cs="Times New Roman"/>
          <w:szCs w:val="21"/>
        </w:rPr>
        <w:t xml:space="preserve">10）电源与机箱：配置节能高效电源；采用标准商用塔式机箱，免工具拆卸。</w:t>
      </w:r>
      <w:bookmarkEnd w:id="39"/>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VR渲染工作站：</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2台（无显示器）；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2）品质要求：主机为整机，推荐惠普、联想、戴尔或同等品牌；可在原厂整机基础上少量改装，不接受非标组装机；</w:t>
      </w:r>
      <w:r/>
    </w:p>
    <w:p>
      <w:pPr>
        <w:ind w:firstLine="420"/>
        <w:jc w:val="both"/>
        <w:spacing w:line="360" w:lineRule="auto"/>
        <w:rPr>
          <w:rFonts w:hint="eastAsia" w:ascii="宋体" w:hAnsi="宋体" w:eastAsia="宋体" w:cs="Times New Roman"/>
          <w:szCs w:val="21"/>
        </w:rPr>
      </w:pPr>
      <w:r/>
      <w:bookmarkStart w:id="40" w:name="OLE_LINK100"/>
      <w:r>
        <w:rPr>
          <w:rFonts w:hint="eastAsia" w:ascii="宋体" w:hAnsi="宋体" w:eastAsia="宋体" w:cs="Times New Roman"/>
          <w:szCs w:val="21"/>
        </w:rPr>
        <w:t xml:space="preserve">3）处理器</w:t>
      </w:r>
      <w:r>
        <w:rPr>
          <w:rFonts w:ascii="宋体" w:hAnsi="宋体" w:eastAsia="宋体" w:cs="Times New Roman"/>
          <w:szCs w:val="21"/>
        </w:rPr>
        <w:t xml:space="preserve">(CPU)</w:t>
      </w:r>
      <w:r>
        <w:rPr>
          <w:rFonts w:hint="eastAsia" w:ascii="宋体" w:hAnsi="宋体" w:eastAsia="宋体" w:cs="Times New Roman"/>
          <w:szCs w:val="21"/>
        </w:rPr>
        <w:t xml:space="preserve">：核心数≥24核，</w:t>
      </w:r>
      <w:r>
        <w:rPr>
          <w:rFonts w:ascii="宋体" w:hAnsi="宋体" w:eastAsia="宋体" w:cs="Times New Roman"/>
          <w:szCs w:val="21"/>
        </w:rPr>
        <w:t xml:space="preserve"> </w:t>
      </w:r>
      <w:r>
        <w:rPr>
          <w:rFonts w:hint="eastAsia" w:ascii="宋体" w:hAnsi="宋体" w:eastAsia="宋体" w:cs="Times New Roman"/>
          <w:szCs w:val="21"/>
        </w:rPr>
        <w:t xml:space="preserve">总线程数≥32线程，最高睿频≥5</w:t>
      </w:r>
      <w:r>
        <w:rPr>
          <w:rFonts w:ascii="宋体" w:hAnsi="宋体" w:eastAsia="宋体" w:cs="Times New Roman"/>
          <w:szCs w:val="21"/>
        </w:rPr>
        <w:t xml:space="preserve">.</w:t>
      </w:r>
      <w:r>
        <w:rPr>
          <w:rFonts w:hint="eastAsia" w:ascii="宋体" w:hAnsi="宋体" w:eastAsia="宋体" w:cs="Times New Roman"/>
          <w:szCs w:val="21"/>
        </w:rPr>
        <w:t xml:space="preserve">7</w:t>
      </w:r>
      <w:r>
        <w:rPr>
          <w:rFonts w:ascii="宋体" w:hAnsi="宋体" w:eastAsia="宋体" w:cs="Times New Roman"/>
          <w:szCs w:val="21"/>
        </w:rPr>
        <w:t xml:space="preserve">GHz</w:t>
      </w:r>
      <w:r>
        <w:rPr>
          <w:rFonts w:hint="eastAsia" w:ascii="宋体" w:hAnsi="宋体" w:eastAsia="宋体" w:cs="Times New Roman"/>
          <w:szCs w:val="21"/>
        </w:rPr>
        <w:t xml:space="preserve">；</w:t>
      </w:r>
      <w:r>
        <w:rPr>
          <w:rFonts w:ascii="宋体" w:hAnsi="宋体" w:eastAsia="宋体" w:cs="Times New Roman"/>
          <w:szCs w:val="21"/>
        </w:rPr>
        <w:t xml:space="preserve"> </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4）内存配置：配置≥128</w:t>
      </w:r>
      <w:r>
        <w:rPr>
          <w:rFonts w:ascii="宋体" w:hAnsi="宋体" w:eastAsia="宋体" w:cs="Times New Roman"/>
          <w:szCs w:val="21"/>
        </w:rPr>
        <w:t xml:space="preserve">GB</w:t>
      </w:r>
      <w:r>
        <w:rPr>
          <w:rFonts w:hint="eastAsia" w:ascii="宋体" w:hAnsi="宋体" w:eastAsia="宋体" w:cs="Times New Roman"/>
          <w:szCs w:val="21"/>
        </w:rPr>
        <w:t xml:space="preserve">内存，运行频率≥</w:t>
      </w:r>
      <w:r>
        <w:rPr>
          <w:rFonts w:ascii="宋体" w:hAnsi="宋体" w:eastAsia="宋体" w:cs="Times New Roman"/>
          <w:szCs w:val="21"/>
        </w:rPr>
        <w:t xml:space="preserve">5600MHz</w:t>
      </w:r>
      <w:r>
        <w:rPr>
          <w:rFonts w:hint="eastAsia" w:ascii="宋体" w:hAnsi="宋体" w:eastAsia="宋体" w:cs="Times New Roman"/>
          <w:szCs w:val="21"/>
        </w:rPr>
        <w:t xml:space="preserve">，或满足当下主流</w:t>
      </w:r>
      <w:r>
        <w:rPr>
          <w:rFonts w:ascii="宋体" w:hAnsi="宋体" w:eastAsia="宋体" w:cs="Times New Roman"/>
          <w:szCs w:val="21"/>
        </w:rPr>
        <w:t xml:space="preserve">DDR5</w:t>
      </w:r>
      <w:r>
        <w:rPr>
          <w:rFonts w:hint="eastAsia" w:ascii="宋体" w:hAnsi="宋体" w:eastAsia="宋体" w:cs="Times New Roman"/>
          <w:szCs w:val="21"/>
        </w:rPr>
        <w:t xml:space="preserve">更高频率标准；</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bookmarkStart w:id="41" w:name="OLE_LINK53"/>
      <w:r/>
      <w:bookmarkStart w:id="42" w:name="OLE_LINK52"/>
      <w:r>
        <w:rPr>
          <w:rFonts w:ascii="宋体" w:hAnsi="宋体" w:eastAsia="宋体" w:cs="Times New Roman"/>
          <w:szCs w:val="21"/>
        </w:rPr>
        <w:t xml:space="preserve">▲</w:t>
      </w:r>
      <w:r>
        <w:rPr>
          <w:rFonts w:hint="eastAsia" w:ascii="宋体" w:hAnsi="宋体" w:eastAsia="宋体" w:cs="Times New Roman"/>
          <w:szCs w:val="21"/>
        </w:rPr>
        <w:t xml:space="preserve">显卡</w:t>
      </w:r>
      <w:r>
        <w:rPr>
          <w:rFonts w:ascii="宋体" w:hAnsi="宋体" w:eastAsia="宋体" w:cs="Times New Roman"/>
          <w:szCs w:val="21"/>
        </w:rPr>
        <w:t xml:space="preserve">(GPU)</w:t>
      </w:r>
      <w:r>
        <w:rPr>
          <w:rFonts w:hint="eastAsia" w:ascii="宋体" w:hAnsi="宋体" w:eastAsia="宋体" w:cs="Times New Roman"/>
          <w:szCs w:val="21"/>
        </w:rPr>
        <w:t xml:space="preserve">：配置专业独立图形显卡，独立显存容量≥48</w:t>
      </w:r>
      <w:r>
        <w:rPr>
          <w:rFonts w:ascii="宋体" w:hAnsi="宋体" w:eastAsia="宋体" w:cs="Times New Roman"/>
          <w:szCs w:val="21"/>
        </w:rPr>
        <w:t xml:space="preserve">GB</w:t>
      </w:r>
      <w:r>
        <w:rPr>
          <w:rFonts w:hint="eastAsia" w:ascii="宋体" w:hAnsi="宋体" w:eastAsia="宋体" w:cs="Times New Roman"/>
          <w:szCs w:val="21"/>
        </w:rPr>
        <w:t xml:space="preserve">；</w:t>
      </w:r>
      <w:bookmarkStart w:id="43" w:name="OLE_LINK54"/>
      <w:r>
        <w:rPr>
          <w:rFonts w:hint="eastAsia" w:ascii="宋体" w:hAnsi="宋体" w:eastAsia="宋体" w:cs="Times New Roman"/>
          <w:szCs w:val="21"/>
        </w:rPr>
        <w:t xml:space="preserve">具备同等算力级别的高性能图形渲染与计算单元（统一计算架构核心数量≥14000</w:t>
      </w:r>
      <w:r>
        <w:rPr>
          <w:rFonts w:hint="eastAsia" w:ascii="宋体" w:hAnsi="宋体" w:eastAsia="宋体" w:cs="Times New Roman"/>
          <w:szCs w:val="21"/>
        </w:rPr>
        <w:t xml:space="preserve">个</w:t>
      </w:r>
      <w:r>
        <w:rPr>
          <w:rFonts w:ascii="宋体" w:hAnsi="宋体" w:eastAsia="宋体" w:cs="Times New Roman"/>
          <w:szCs w:val="21"/>
        </w:rPr>
        <w:t xml:space="preserve">,</w:t>
      </w:r>
      <w:r>
        <w:rPr>
          <w:rFonts w:hint="eastAsia" w:ascii="宋体" w:hAnsi="宋体" w:eastAsia="宋体" w:cs="Times New Roman"/>
          <w:szCs w:val="21"/>
        </w:rPr>
        <w:t xml:space="preserve">张量核心≥440个，</w:t>
      </w:r>
      <w:r>
        <w:rPr>
          <w:rFonts w:ascii="宋体" w:hAnsi="宋体" w:eastAsia="宋体" w:cs="Times New Roman"/>
          <w:szCs w:val="21"/>
        </w:rPr>
        <w:t xml:space="preserve">AI</w:t>
      </w:r>
      <w:r>
        <w:rPr>
          <w:rFonts w:hint="eastAsia" w:ascii="宋体" w:hAnsi="宋体" w:eastAsia="宋体" w:cs="Times New Roman"/>
          <w:szCs w:val="21"/>
        </w:rPr>
        <w:t xml:space="preserve">性能≥2142AI</w:t>
      </w:r>
      <w:r>
        <w:rPr>
          <w:rFonts w:ascii="宋体" w:hAnsi="宋体" w:eastAsia="宋体" w:cs="Times New Roman"/>
          <w:szCs w:val="21"/>
        </w:rPr>
        <w:t xml:space="preserve"> TOPS</w:t>
      </w:r>
      <w:r>
        <w:rPr>
          <w:rFonts w:hint="eastAsia" w:ascii="宋体" w:hAnsi="宋体" w:eastAsia="宋体" w:cs="Times New Roman"/>
          <w:szCs w:val="21"/>
        </w:rPr>
        <w:t xml:space="preserve">,</w:t>
      </w:r>
      <w:r>
        <w:rPr>
          <w:rFonts w:ascii="宋体" w:hAnsi="宋体" w:eastAsia="宋体" w:cs="Times New Roman"/>
          <w:szCs w:val="21"/>
        </w:rPr>
        <w:t xml:space="preserve">显存带宽</w:t>
      </w:r>
      <w:r>
        <w:rPr>
          <w:rFonts w:hint="eastAsia" w:ascii="宋体" w:hAnsi="宋体" w:eastAsia="宋体" w:cs="Times New Roman"/>
          <w:szCs w:val="21"/>
        </w:rPr>
        <w:t xml:space="preserve">≥</w:t>
      </w:r>
      <w:r>
        <w:rPr>
          <w:rFonts w:ascii="宋体" w:hAnsi="宋体" w:eastAsia="宋体" w:cs="Times New Roman"/>
          <w:szCs w:val="21"/>
        </w:rPr>
        <w:t xml:space="preserve">1,344 GB/s</w:t>
      </w:r>
      <w:r>
        <w:rPr>
          <w:rFonts w:hint="eastAsia" w:ascii="宋体" w:hAnsi="宋体" w:eastAsia="宋体" w:cs="Times New Roman"/>
          <w:szCs w:val="21"/>
        </w:rPr>
        <w:t xml:space="preserve">）；</w:t>
      </w:r>
      <w:bookmarkEnd w:id="41"/>
      <w:r/>
      <w:bookmarkEnd w:id="42"/>
      <w:r/>
      <w:bookmarkEnd w:id="43"/>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6）同步卡：配置专业独立图形显卡同步卡；具备网络及</w:t>
      </w:r>
      <w:r>
        <w:rPr>
          <w:rFonts w:ascii="宋体" w:hAnsi="宋体" w:eastAsia="宋体" w:cs="Times New Roman"/>
          <w:szCs w:val="21"/>
        </w:rPr>
        <w:t xml:space="preserve">BNC</w:t>
      </w:r>
      <w:r>
        <w:rPr>
          <w:rFonts w:hint="eastAsia" w:ascii="宋体" w:hAnsi="宋体" w:eastAsia="宋体" w:cs="Times New Roman"/>
          <w:szCs w:val="21"/>
        </w:rPr>
        <w:t xml:space="preserve">接口；</w:t>
      </w:r>
      <w:r/>
    </w:p>
    <w:p>
      <w:pPr>
        <w:ind w:firstLine="420"/>
        <w:jc w:val="both"/>
        <w:spacing w:line="360" w:lineRule="auto"/>
        <w:rPr>
          <w:rFonts w:hint="eastAsia" w:ascii="宋体" w:hAnsi="宋体" w:eastAsia="宋体" w:cs="Times New Roman"/>
          <w:szCs w:val="21"/>
        </w:rPr>
      </w:pPr>
      <w:r/>
      <w:bookmarkStart w:id="44" w:name="OLE_LINK55"/>
      <w:r>
        <w:rPr>
          <w:rFonts w:hint="eastAsia" w:ascii="宋体" w:hAnsi="宋体" w:eastAsia="宋体" w:cs="Times New Roman"/>
          <w:szCs w:val="21"/>
        </w:rPr>
        <w:t xml:space="preserve">7）主板与声网卡：集成或配置支持</w:t>
      </w:r>
      <w:r>
        <w:rPr>
          <w:rFonts w:ascii="宋体" w:hAnsi="宋体" w:eastAsia="宋体" w:cs="Times New Roman"/>
          <w:szCs w:val="21"/>
        </w:rPr>
        <w:t xml:space="preserve"> 5.1 </w:t>
      </w:r>
      <w:r>
        <w:rPr>
          <w:rFonts w:hint="eastAsia" w:ascii="宋体" w:hAnsi="宋体" w:eastAsia="宋体" w:cs="Times New Roman"/>
          <w:szCs w:val="21"/>
        </w:rPr>
        <w:t xml:space="preserve">声道声卡；集成千兆</w:t>
      </w:r>
      <w:r>
        <w:rPr>
          <w:rFonts w:ascii="宋体" w:hAnsi="宋体" w:eastAsia="宋体" w:cs="Times New Roman"/>
          <w:szCs w:val="21"/>
        </w:rPr>
        <w:t xml:space="preserve"> </w:t>
      </w:r>
      <w:r>
        <w:rPr>
          <w:rFonts w:hint="eastAsia" w:ascii="宋体" w:hAnsi="宋体" w:eastAsia="宋体" w:cs="Times New Roman"/>
          <w:szCs w:val="21"/>
        </w:rPr>
        <w:t xml:space="preserve">（</w:t>
      </w:r>
      <w:r>
        <w:rPr>
          <w:rFonts w:ascii="宋体" w:hAnsi="宋体" w:eastAsia="宋体" w:cs="Times New Roman"/>
          <w:szCs w:val="21"/>
        </w:rPr>
        <w:t xml:space="preserve">10/100/1000M</w:t>
      </w:r>
      <w:r>
        <w:rPr>
          <w:rFonts w:hint="eastAsia" w:ascii="宋体" w:hAnsi="宋体" w:eastAsia="宋体" w:cs="Times New Roman"/>
          <w:szCs w:val="21"/>
        </w:rPr>
        <w:t xml:space="preserve">）自适应以太网卡；主板具备良好的扩展性，提供≥4个</w:t>
      </w:r>
      <w:r>
        <w:rPr>
          <w:rFonts w:ascii="宋体" w:hAnsi="宋体" w:eastAsia="宋体" w:cs="Times New Roman"/>
          <w:szCs w:val="21"/>
        </w:rPr>
        <w:t xml:space="preserve"> PCIe</w:t>
      </w:r>
      <w:r>
        <w:rPr>
          <w:rFonts w:hint="eastAsia" w:ascii="宋体" w:hAnsi="宋体" w:eastAsia="宋体" w:cs="Times New Roman"/>
          <w:szCs w:val="21"/>
        </w:rPr>
        <w:t xml:space="preserve">扩展槽位；</w:t>
      </w:r>
      <w:r/>
    </w:p>
    <w:p>
      <w:pPr>
        <w:ind w:firstLine="420"/>
        <w:jc w:val="both"/>
        <w:spacing w:line="360" w:lineRule="auto"/>
        <w:rPr>
          <w:rFonts w:hint="eastAsia" w:ascii="宋体" w:hAnsi="宋体" w:eastAsia="宋体" w:cs="Times New Roman"/>
          <w:szCs w:val="21"/>
        </w:rPr>
      </w:pPr>
      <w:r/>
      <w:bookmarkStart w:id="45" w:name="OLE_LINK57"/>
      <w:r/>
      <w:bookmarkStart w:id="46" w:name="OLE_LINK56"/>
      <w:r/>
      <w:bookmarkEnd w:id="44"/>
      <w:r>
        <w:rPr>
          <w:rFonts w:hint="eastAsia" w:ascii="宋体" w:hAnsi="宋体" w:eastAsia="宋体" w:cs="Times New Roman"/>
          <w:szCs w:val="21"/>
        </w:rPr>
        <w:t xml:space="preserve">8）存储配置：①固态硬盘≥2</w:t>
      </w:r>
      <w:r>
        <w:rPr>
          <w:rFonts w:ascii="宋体" w:hAnsi="宋体" w:eastAsia="宋体" w:cs="Times New Roman"/>
          <w:szCs w:val="21"/>
        </w:rPr>
        <w:t xml:space="preserve">TB M.2</w:t>
      </w:r>
      <w:r>
        <w:rPr>
          <w:rFonts w:hint="eastAsia" w:ascii="宋体" w:hAnsi="宋体" w:eastAsia="宋体" w:cs="Times New Roman"/>
          <w:szCs w:val="21"/>
        </w:rPr>
        <w:t xml:space="preserve">接口</w:t>
      </w:r>
      <w:r>
        <w:rPr>
          <w:rFonts w:ascii="宋体" w:hAnsi="宋体" w:eastAsia="宋体" w:cs="Times New Roman"/>
          <w:szCs w:val="21"/>
        </w:rPr>
        <w:t xml:space="preserve"> </w:t>
      </w:r>
      <w:r>
        <w:rPr>
          <w:rFonts w:ascii="宋体" w:hAnsi="宋体" w:eastAsia="宋体" w:cs="Times New Roman"/>
          <w:szCs w:val="21"/>
        </w:rPr>
        <w:t xml:space="preserve">NVMe</w:t>
      </w:r>
      <w:r>
        <w:rPr>
          <w:rFonts w:hint="eastAsia" w:ascii="宋体" w:hAnsi="宋体" w:eastAsia="宋体" w:cs="Times New Roman"/>
          <w:szCs w:val="21"/>
        </w:rPr>
        <w:t xml:space="preserve">；②</w:t>
      </w:r>
      <w:bookmarkStart w:id="47" w:name="OLE_LINK59"/>
      <w:r/>
      <w:bookmarkStart w:id="48" w:name="OLE_LINK58"/>
      <w:r>
        <w:rPr>
          <w:rFonts w:hint="eastAsia" w:ascii="宋体" w:hAnsi="宋体" w:eastAsia="宋体" w:cs="Times New Roman"/>
          <w:szCs w:val="21"/>
        </w:rPr>
        <w:t xml:space="preserve">机械硬盘≥</w:t>
      </w:r>
      <w:r>
        <w:rPr>
          <w:rFonts w:ascii="宋体" w:hAnsi="宋体" w:eastAsia="宋体" w:cs="Times New Roman"/>
          <w:szCs w:val="21"/>
        </w:rPr>
        <w:t xml:space="preserve">4T</w:t>
      </w:r>
      <w:r>
        <w:rPr>
          <w:rFonts w:hint="eastAsia" w:ascii="宋体" w:hAnsi="宋体" w:eastAsia="宋体" w:cs="Times New Roman"/>
          <w:szCs w:val="21"/>
        </w:rPr>
        <w:t xml:space="preserve">B，7200RPM；</w:t>
      </w:r>
      <w:bookmarkEnd w:id="47"/>
      <w:r/>
      <w:bookmarkEnd w:id="48"/>
      <w:r/>
      <w:bookmarkEnd w:id="45"/>
      <w:r/>
      <w:bookmarkEnd w:id="46"/>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9）接口与外设扩展：具备强大的外设接驳能力，机箱前后置及主板</w:t>
      </w:r>
      <w:r>
        <w:rPr>
          <w:rFonts w:ascii="宋体" w:hAnsi="宋体" w:eastAsia="宋体" w:cs="Times New Roman"/>
          <w:szCs w:val="21"/>
        </w:rPr>
        <w:t xml:space="preserve"> </w:t>
      </w:r>
      <w:r>
        <w:rPr>
          <w:rFonts w:hint="eastAsia" w:ascii="宋体" w:hAnsi="宋体" w:eastAsia="宋体" w:cs="Times New Roman"/>
          <w:szCs w:val="21"/>
        </w:rPr>
        <w:t xml:space="preserve">原生配备充足的接口总数，满足</w:t>
      </w:r>
      <w:r>
        <w:rPr>
          <w:rFonts w:ascii="宋体" w:hAnsi="宋体" w:eastAsia="宋体" w:cs="Times New Roman"/>
          <w:szCs w:val="21"/>
        </w:rPr>
        <w:t xml:space="preserve">USB</w:t>
      </w:r>
      <w:r>
        <w:rPr>
          <w:rFonts w:hint="eastAsia" w:ascii="宋体" w:hAnsi="宋体" w:eastAsia="宋体" w:cs="Times New Roman"/>
          <w:szCs w:val="21"/>
        </w:rPr>
        <w:t xml:space="preserve">、</w:t>
      </w:r>
      <w:r>
        <w:rPr>
          <w:rFonts w:ascii="宋体" w:hAnsi="宋体" w:eastAsia="宋体" w:cs="Times New Roman"/>
          <w:szCs w:val="21"/>
        </w:rPr>
        <w:t xml:space="preserve">HDMI</w:t>
      </w:r>
      <w:r>
        <w:rPr>
          <w:rFonts w:hint="eastAsia" w:ascii="宋体" w:hAnsi="宋体" w:eastAsia="宋体" w:cs="Times New Roman"/>
          <w:szCs w:val="21"/>
        </w:rPr>
        <w:t xml:space="preserve">、</w:t>
      </w:r>
      <w:r>
        <w:rPr>
          <w:rFonts w:ascii="宋体" w:hAnsi="宋体" w:eastAsia="宋体" w:cs="Times New Roman"/>
          <w:szCs w:val="21"/>
        </w:rPr>
        <w:t xml:space="preserve">DP</w:t>
      </w:r>
      <w:r>
        <w:rPr>
          <w:rFonts w:hint="eastAsia" w:ascii="宋体" w:hAnsi="宋体" w:eastAsia="宋体" w:cs="Times New Roman"/>
          <w:szCs w:val="21"/>
        </w:rPr>
        <w:t xml:space="preserve">等丰富接口组合；</w:t>
      </w:r>
      <w:r>
        <w:rPr>
          <w:rFonts w:ascii="宋体" w:hAnsi="宋体" w:eastAsia="宋体" w:cs="Times New Roman"/>
          <w:szCs w:val="21"/>
        </w:rPr>
        <w:t xml:space="preserve"> </w:t>
      </w:r>
      <w:r/>
    </w:p>
    <w:p>
      <w:pPr>
        <w:ind w:firstLine="420"/>
        <w:jc w:val="both"/>
        <w:spacing w:line="360" w:lineRule="auto"/>
        <w:rPr>
          <w:rFonts w:hint="eastAsia" w:ascii="宋体" w:hAnsi="宋体" w:eastAsia="宋体" w:cs="Times New Roman"/>
          <w:szCs w:val="21"/>
        </w:rPr>
      </w:pPr>
      <w:r/>
      <w:bookmarkStart w:id="49" w:name="OLE_LINK61"/>
      <w:r/>
      <w:bookmarkStart w:id="50" w:name="OLE_LINK60"/>
      <w:r>
        <w:rPr>
          <w:rFonts w:hint="eastAsia" w:ascii="宋体" w:hAnsi="宋体" w:eastAsia="宋体" w:cs="Times New Roman"/>
          <w:szCs w:val="21"/>
        </w:rPr>
        <w:t xml:space="preserve">10）电源与机箱：配置节能高效电源；采用标准商用塔式机箱，免工具拆卸。</w:t>
      </w:r>
      <w:bookmarkEnd w:id="40"/>
      <w:r/>
      <w:bookmarkEnd w:id="49"/>
      <w:r/>
      <w:bookmarkEnd w:id="50"/>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1.1.6 </w:t>
      </w:r>
      <w:r>
        <w:rPr>
          <w:rFonts w:hint="eastAsia" w:ascii="宋体" w:hAnsi="宋体" w:eastAsia="宋体" w:cs="Times New Roman"/>
          <w:szCs w:val="21"/>
        </w:rPr>
        <w:t xml:space="preserve">头戴式</w:t>
      </w:r>
      <w:r>
        <w:rPr>
          <w:rFonts w:ascii="宋体" w:hAnsi="宋体" w:eastAsia="宋体" w:cs="Times New Roman"/>
          <w:szCs w:val="21"/>
        </w:rPr>
        <w:t xml:space="preserve">VR</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一体式头显设备：</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4</w:t>
      </w:r>
      <w:r>
        <w:rPr>
          <w:rFonts w:hint="eastAsia" w:ascii="宋体" w:hAnsi="宋体" w:eastAsia="宋体" w:cs="Times New Roman"/>
          <w:szCs w:val="21"/>
        </w:rPr>
        <w:t xml:space="preserve">套，</w:t>
      </w:r>
      <w:r>
        <w:rPr>
          <w:rFonts w:ascii="宋体" w:hAnsi="宋体" w:eastAsia="宋体" w:cs="Times New Roman"/>
          <w:szCs w:val="21"/>
        </w:rPr>
        <w:t xml:space="preserve">LCD面板数量≥2块；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▲单眼分辨率</w:t>
      </w:r>
      <w:r>
        <w:rPr>
          <w:rFonts w:hint="eastAsia" w:ascii="宋体" w:hAnsi="宋体" w:eastAsia="宋体" w:cs="Times New Roman"/>
          <w:szCs w:val="21"/>
        </w:rPr>
        <w:t xml:space="preserve">≥</w:t>
      </w:r>
      <w:r>
        <w:rPr>
          <w:rFonts w:ascii="宋体" w:hAnsi="宋体" w:eastAsia="宋体" w:cs="Times New Roman"/>
          <w:szCs w:val="21"/>
        </w:rPr>
        <w:t xml:space="preserve">2448×2448，双眼分辨率</w:t>
      </w:r>
      <w:r>
        <w:rPr>
          <w:rFonts w:hint="eastAsia" w:ascii="宋体" w:hAnsi="宋体" w:eastAsia="宋体" w:cs="Times New Roman"/>
          <w:szCs w:val="21"/>
        </w:rPr>
        <w:t xml:space="preserve">≥</w:t>
      </w:r>
      <w:r>
        <w:rPr>
          <w:rFonts w:ascii="宋体" w:hAnsi="宋体" w:eastAsia="宋体" w:cs="Times New Roman"/>
          <w:szCs w:val="21"/>
        </w:rPr>
        <w:t xml:space="preserve">4896×2448；</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▲DisplayPort模式下支持刷新率</w:t>
      </w:r>
      <w:r>
        <w:rPr>
          <w:rFonts w:hint="eastAsia" w:ascii="宋体" w:hAnsi="宋体" w:eastAsia="宋体" w:cs="Times New Roman"/>
          <w:szCs w:val="21"/>
        </w:rPr>
        <w:t xml:space="preserve">≥</w:t>
      </w:r>
      <w:r>
        <w:rPr>
          <w:rFonts w:ascii="宋体" w:hAnsi="宋体" w:eastAsia="宋体" w:cs="Times New Roman"/>
          <w:szCs w:val="21"/>
        </w:rPr>
        <w:t xml:space="preserve">120Hz；</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w:t>
      </w:r>
      <w:r>
        <w:rPr>
          <w:rFonts w:hint="eastAsia" w:ascii="宋体" w:hAnsi="宋体" w:eastAsia="宋体" w:cs="Times New Roman"/>
          <w:szCs w:val="21"/>
        </w:rPr>
        <w:t xml:space="preserve">视场角</w:t>
      </w:r>
      <w:r>
        <w:rPr>
          <w:rFonts w:ascii="宋体" w:hAnsi="宋体" w:eastAsia="宋体" w:cs="Times New Roman"/>
          <w:szCs w:val="21"/>
        </w:rPr>
        <w:t xml:space="preserve">≥115°；</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5）处理器：采用高通骁龙</w:t>
      </w:r>
      <w:r>
        <w:rPr>
          <w:rFonts w:ascii="宋体" w:hAnsi="宋体" w:eastAsia="宋体" w:cs="Times New Roman"/>
          <w:szCs w:val="21"/>
        </w:rPr>
        <w:t xml:space="preserve">XR2</w:t>
      </w:r>
      <w:r>
        <w:rPr>
          <w:rFonts w:hint="eastAsia" w:ascii="宋体" w:hAnsi="宋体" w:eastAsia="宋体" w:cs="Times New Roman"/>
          <w:szCs w:val="21"/>
        </w:rPr>
        <w:t xml:space="preserve">或同等级及以上性能的处理器，具备独立完成</w:t>
      </w:r>
      <w:r>
        <w:rPr>
          <w:rFonts w:ascii="宋体" w:hAnsi="宋体" w:eastAsia="宋体" w:cs="Times New Roman"/>
          <w:szCs w:val="21"/>
        </w:rPr>
        <w:t xml:space="preserve">VR/MR</w:t>
      </w:r>
      <w:r>
        <w:rPr>
          <w:rFonts w:hint="eastAsia" w:ascii="宋体" w:hAnsi="宋体" w:eastAsia="宋体" w:cs="Times New Roman"/>
          <w:szCs w:val="21"/>
        </w:rPr>
        <w:t xml:space="preserve">应用所需渲染、追踪、交互处理的能力，无需连接</w:t>
      </w:r>
      <w:r>
        <w:rPr>
          <w:rFonts w:ascii="宋体" w:hAnsi="宋体" w:eastAsia="宋体" w:cs="Times New Roman"/>
          <w:szCs w:val="21"/>
        </w:rPr>
        <w:t xml:space="preserve">PC</w:t>
      </w:r>
      <w:r>
        <w:rPr>
          <w:rFonts w:hint="eastAsia" w:ascii="宋体" w:hAnsi="宋体" w:eastAsia="宋体" w:cs="Times New Roman"/>
          <w:szCs w:val="21"/>
        </w:rPr>
        <w:t xml:space="preserve">、手机或主机即可正常运行；</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6）内存与存储：</w:t>
      </w:r>
      <w:r>
        <w:rPr>
          <w:rFonts w:ascii="宋体" w:hAnsi="宋体" w:eastAsia="宋体" w:cs="Times New Roman"/>
          <w:szCs w:val="21"/>
        </w:rPr>
        <w:t xml:space="preserve">RAM</w:t>
      </w:r>
      <w:r>
        <w:rPr>
          <w:rFonts w:hint="eastAsia" w:ascii="宋体" w:hAnsi="宋体" w:eastAsia="宋体" w:cs="Times New Roman"/>
          <w:szCs w:val="21"/>
        </w:rPr>
        <w:t xml:space="preserve">不低于</w:t>
      </w:r>
      <w:r>
        <w:rPr>
          <w:rFonts w:ascii="宋体" w:hAnsi="宋体" w:eastAsia="宋体" w:cs="Times New Roman"/>
          <w:szCs w:val="21"/>
        </w:rPr>
        <w:t xml:space="preserve">12GB LPDDR5</w:t>
      </w:r>
      <w:r>
        <w:rPr>
          <w:rFonts w:hint="eastAsia" w:ascii="宋体" w:hAnsi="宋体" w:eastAsia="宋体" w:cs="Times New Roman"/>
          <w:szCs w:val="21"/>
        </w:rPr>
        <w:t xml:space="preserve">；</w:t>
      </w:r>
      <w:r>
        <w:rPr>
          <w:rFonts w:ascii="宋体" w:hAnsi="宋体" w:eastAsia="宋体" w:cs="Times New Roman"/>
          <w:szCs w:val="21"/>
        </w:rPr>
        <w:t xml:space="preserve">ROM</w:t>
      </w:r>
      <w:r>
        <w:rPr>
          <w:rFonts w:hint="eastAsia" w:ascii="宋体" w:hAnsi="宋体" w:eastAsia="宋体" w:cs="Times New Roman"/>
          <w:szCs w:val="21"/>
        </w:rPr>
        <w:t xml:space="preserve">不低于</w:t>
      </w:r>
      <w:r>
        <w:rPr>
          <w:rFonts w:ascii="宋体" w:hAnsi="宋体" w:eastAsia="宋体" w:cs="Times New Roman"/>
          <w:szCs w:val="21"/>
        </w:rPr>
        <w:t xml:space="preserve">128GB</w:t>
      </w:r>
      <w:r>
        <w:rPr>
          <w:rFonts w:hint="eastAsia" w:ascii="宋体" w:hAnsi="宋体" w:eastAsia="宋体" w:cs="Times New Roman"/>
          <w:szCs w:val="21"/>
        </w:rPr>
        <w:t xml:space="preserve">；支持通过</w:t>
      </w:r>
      <w:r>
        <w:rPr>
          <w:rFonts w:ascii="宋体" w:hAnsi="宋体" w:eastAsia="宋体" w:cs="Times New Roman"/>
          <w:szCs w:val="21"/>
        </w:rPr>
        <w:t xml:space="preserve">MicroSD</w:t>
      </w:r>
      <w:r>
        <w:rPr>
          <w:rFonts w:hint="eastAsia" w:ascii="宋体" w:hAnsi="宋体" w:eastAsia="宋体" w:cs="Times New Roman"/>
          <w:szCs w:val="21"/>
        </w:rPr>
        <w:t xml:space="preserve">卡扩展至最高</w:t>
      </w:r>
      <w:r>
        <w:rPr>
          <w:rFonts w:ascii="宋体" w:hAnsi="宋体" w:eastAsia="宋体" w:cs="Times New Roman"/>
          <w:szCs w:val="21"/>
        </w:rPr>
        <w:t xml:space="preserve">2TB</w:t>
      </w:r>
      <w:r>
        <w:rPr>
          <w:rFonts w:hint="eastAsia" w:ascii="宋体" w:hAnsi="宋体" w:eastAsia="宋体" w:cs="Times New Roman"/>
          <w:szCs w:val="21"/>
        </w:rPr>
        <w:t xml:space="preserve">（</w:t>
      </w:r>
      <w:r>
        <w:rPr>
          <w:rFonts w:ascii="宋体" w:hAnsi="宋体" w:eastAsia="宋体" w:cs="Times New Roman"/>
          <w:szCs w:val="21"/>
        </w:rPr>
        <w:t xml:space="preserve">MicroSD</w:t>
      </w:r>
      <w:r>
        <w:rPr>
          <w:rFonts w:hint="eastAsia" w:ascii="宋体" w:hAnsi="宋体" w:eastAsia="宋体" w:cs="Times New Roman"/>
          <w:szCs w:val="21"/>
        </w:rPr>
        <w:t xml:space="preserve">卡不包含在设备内），可独立安装、存储和运行</w:t>
      </w:r>
      <w:r>
        <w:rPr>
          <w:rFonts w:ascii="宋体" w:hAnsi="宋体" w:eastAsia="宋体" w:cs="Times New Roman"/>
          <w:szCs w:val="21"/>
        </w:rPr>
        <w:t xml:space="preserve">VR/MR</w:t>
      </w:r>
      <w:r>
        <w:rPr>
          <w:rFonts w:hint="eastAsia" w:ascii="宋体" w:hAnsi="宋体" w:eastAsia="宋体" w:cs="Times New Roman"/>
          <w:szCs w:val="21"/>
        </w:rPr>
        <w:t xml:space="preserve">应用程序，不依赖外部计算设备；</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w:t>
      </w:r>
      <w:r>
        <w:rPr>
          <w:rFonts w:ascii="宋体" w:hAnsi="宋体" w:eastAsia="宋体" w:cs="Times New Roman"/>
          <w:szCs w:val="21"/>
        </w:rPr>
        <w:t xml:space="preserve">▲</w:t>
      </w:r>
      <w:r>
        <w:rPr>
          <w:rFonts w:hint="eastAsia" w:ascii="宋体" w:hAnsi="宋体" w:eastAsia="宋体" w:cs="Times New Roman"/>
          <w:szCs w:val="21"/>
        </w:rPr>
        <w:t xml:space="preserve">传感器：包含至少</w:t>
      </w:r>
      <w:r>
        <w:rPr>
          <w:rFonts w:ascii="宋体" w:hAnsi="宋体" w:eastAsia="宋体" w:cs="Times New Roman"/>
          <w:szCs w:val="21"/>
        </w:rPr>
        <w:t xml:space="preserve">4</w:t>
      </w:r>
      <w:r>
        <w:rPr>
          <w:rFonts w:hint="eastAsia" w:ascii="宋体" w:hAnsi="宋体" w:eastAsia="宋体" w:cs="Times New Roman"/>
          <w:szCs w:val="21"/>
        </w:rPr>
        <w:t xml:space="preserve">个追踪摄像头、眼球追踪摄像头数量≥</w:t>
      </w:r>
      <w:r>
        <w:rPr>
          <w:rFonts w:ascii="宋体" w:hAnsi="宋体" w:eastAsia="宋体" w:cs="Times New Roman"/>
          <w:szCs w:val="21"/>
        </w:rPr>
        <w:t xml:space="preserve">2</w:t>
      </w:r>
      <w:r>
        <w:rPr>
          <w:rFonts w:hint="eastAsia" w:ascii="宋体" w:hAnsi="宋体" w:eastAsia="宋体" w:cs="Times New Roman"/>
          <w:szCs w:val="21"/>
        </w:rPr>
        <w:t xml:space="preserve">个、高分辨率全彩透视摄像头数量≥</w:t>
      </w:r>
      <w:r>
        <w:rPr>
          <w:rFonts w:ascii="宋体" w:hAnsi="宋体" w:eastAsia="宋体" w:cs="Times New Roman"/>
          <w:szCs w:val="21"/>
        </w:rPr>
        <w:t xml:space="preserve">2</w:t>
      </w:r>
      <w:r>
        <w:rPr>
          <w:rFonts w:hint="eastAsia" w:ascii="宋体" w:hAnsi="宋体" w:eastAsia="宋体" w:cs="Times New Roman"/>
          <w:szCs w:val="21"/>
        </w:rPr>
        <w:t xml:space="preserve">个；具备</w:t>
      </w:r>
      <w:r>
        <w:rPr>
          <w:rFonts w:ascii="宋体" w:hAnsi="宋体" w:eastAsia="宋体" w:cs="Times New Roman"/>
          <w:szCs w:val="21"/>
        </w:rPr>
        <w:t xml:space="preserve">G-sensor</w:t>
      </w:r>
      <w:r>
        <w:rPr>
          <w:rFonts w:hint="eastAsia" w:ascii="宋体" w:hAnsi="宋体" w:eastAsia="宋体" w:cs="Times New Roman"/>
          <w:szCs w:val="21"/>
        </w:rPr>
        <w:t xml:space="preserve">校正、距离传感器、深度传感器、红外照明灯、陀螺仪；</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w:t>
      </w:r>
      <w:r>
        <w:rPr>
          <w:rFonts w:ascii="宋体" w:hAnsi="宋体" w:eastAsia="宋体" w:cs="Times New Roman"/>
          <w:szCs w:val="21"/>
        </w:rPr>
        <w:t xml:space="preserve">★</w:t>
      </w:r>
      <w:r>
        <w:rPr>
          <w:rFonts w:hint="eastAsia" w:ascii="宋体" w:hAnsi="宋体" w:eastAsia="宋体" w:cs="Times New Roman"/>
          <w:szCs w:val="21"/>
        </w:rPr>
        <w:t xml:space="preserve">眼球追踪：注视数据输出频率</w:t>
      </w:r>
      <w:r>
        <w:rPr>
          <w:rFonts w:hint="eastAsia" w:ascii="宋体" w:hAnsi="宋体" w:eastAsia="宋体" w:cs="Times New Roman"/>
          <w:szCs w:val="21"/>
        </w:rPr>
        <w:t xml:space="preserve">≥</w:t>
      </w:r>
      <w:r>
        <w:rPr>
          <w:rFonts w:ascii="宋体" w:hAnsi="宋体" w:eastAsia="宋体" w:cs="Times New Roman"/>
          <w:szCs w:val="21"/>
        </w:rPr>
        <w:t xml:space="preserve">120Hz</w:t>
      </w:r>
      <w:r>
        <w:rPr>
          <w:rFonts w:hint="eastAsia" w:ascii="宋体" w:hAnsi="宋体" w:eastAsia="宋体" w:cs="Times New Roman"/>
          <w:szCs w:val="21"/>
        </w:rPr>
        <w:t xml:space="preserve">（双眼）；在</w:t>
      </w:r>
      <w:r>
        <w:rPr>
          <w:rFonts w:ascii="宋体" w:hAnsi="宋体" w:eastAsia="宋体" w:cs="Times New Roman"/>
          <w:szCs w:val="21"/>
        </w:rPr>
        <w:t xml:space="preserve">20°</w:t>
      </w:r>
      <w:r>
        <w:rPr>
          <w:rFonts w:hint="eastAsia" w:ascii="宋体" w:hAnsi="宋体" w:eastAsia="宋体" w:cs="Times New Roman"/>
          <w:szCs w:val="21"/>
        </w:rPr>
        <w:t xml:space="preserve">视场角范围内，精准度达到</w:t>
      </w:r>
      <w:r>
        <w:rPr>
          <w:rFonts w:ascii="宋体" w:hAnsi="宋体" w:eastAsia="宋体" w:cs="Times New Roman"/>
          <w:szCs w:val="21"/>
        </w:rPr>
        <w:t xml:space="preserve">0.5°</w:t>
      </w:r>
      <w:r>
        <w:rPr>
          <w:rFonts w:hint="eastAsia" w:ascii="宋体" w:hAnsi="宋体" w:eastAsia="宋体" w:cs="Times New Roman"/>
          <w:szCs w:val="21"/>
        </w:rPr>
        <w:t xml:space="preserve">至</w:t>
      </w:r>
      <w:r>
        <w:rPr>
          <w:rFonts w:ascii="宋体" w:hAnsi="宋体" w:eastAsia="宋体" w:cs="Times New Roman"/>
          <w:szCs w:val="21"/>
        </w:rPr>
        <w:t xml:space="preserve">1.1°</w:t>
      </w:r>
      <w:r>
        <w:rPr>
          <w:rFonts w:hint="eastAsia" w:ascii="宋体" w:hAnsi="宋体" w:eastAsia="宋体" w:cs="Times New Roman"/>
          <w:szCs w:val="21"/>
        </w:rPr>
        <w:t xml:space="preserve">；支持校准点位数量≥</w:t>
      </w:r>
      <w:r>
        <w:rPr>
          <w:rFonts w:ascii="宋体" w:hAnsi="宋体" w:eastAsia="宋体" w:cs="Times New Roman"/>
          <w:szCs w:val="21"/>
        </w:rPr>
        <w:t xml:space="preserve">5</w:t>
      </w:r>
      <w:r>
        <w:rPr>
          <w:rFonts w:hint="eastAsia" w:ascii="宋体" w:hAnsi="宋体" w:eastAsia="宋体" w:cs="Times New Roman"/>
          <w:szCs w:val="21"/>
        </w:rPr>
        <w:t xml:space="preserve">；支持自动瞳距（</w:t>
      </w:r>
      <w:r>
        <w:rPr>
          <w:rFonts w:ascii="宋体" w:hAnsi="宋体" w:eastAsia="宋体" w:cs="Times New Roman"/>
          <w:szCs w:val="21"/>
        </w:rPr>
        <w:t xml:space="preserve">IPD</w:t>
      </w:r>
      <w:r>
        <w:rPr>
          <w:rFonts w:hint="eastAsia" w:ascii="宋体" w:hAnsi="宋体" w:eastAsia="宋体" w:cs="Times New Roman"/>
          <w:szCs w:val="21"/>
        </w:rPr>
        <w:t xml:space="preserve">）调节；</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9）电池：除内置电池外，每一个一体式头显设备配置一块可拆卸、可更换电池，单次续航时间不低于</w:t>
      </w:r>
      <w:r>
        <w:rPr>
          <w:rFonts w:ascii="宋体" w:hAnsi="宋体" w:eastAsia="宋体" w:cs="Times New Roman"/>
          <w:szCs w:val="21"/>
        </w:rPr>
        <w:t xml:space="preserve">2</w:t>
      </w:r>
      <w:r>
        <w:rPr>
          <w:rFonts w:hint="eastAsia" w:ascii="宋体" w:hAnsi="宋体" w:eastAsia="宋体" w:cs="Times New Roman"/>
          <w:szCs w:val="21"/>
        </w:rPr>
        <w:t xml:space="preserve">小时； </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0）每一个一体式头显设备须包含</w:t>
      </w:r>
      <w:r>
        <w:rPr>
          <w:rFonts w:ascii="宋体" w:hAnsi="宋体" w:eastAsia="宋体" w:cs="Times New Roman"/>
          <w:szCs w:val="21"/>
        </w:rPr>
        <w:t xml:space="preserve">串流线套装1套</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头显驱动工作站：</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4台（无显示器</w:t>
      </w:r>
      <w:r>
        <w:rPr>
          <w:rFonts w:hint="eastAsia" w:ascii="宋体" w:hAnsi="宋体" w:eastAsia="宋体" w:cs="Times New Roman"/>
          <w:szCs w:val="21"/>
        </w:rPr>
        <w:t xml:space="preserve">）</w:t>
      </w:r>
      <w:r>
        <w:rPr>
          <w:rFonts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2）要求为国产原厂正品品牌图形工作站，不接受非标组装机；</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3）处理器</w:t>
      </w:r>
      <w:r>
        <w:rPr>
          <w:rFonts w:ascii="宋体" w:hAnsi="宋体" w:eastAsia="宋体" w:cs="Times New Roman"/>
          <w:szCs w:val="21"/>
        </w:rPr>
        <w:t xml:space="preserve">(CPU)</w:t>
      </w:r>
      <w:r>
        <w:rPr>
          <w:rFonts w:hint="eastAsia" w:ascii="宋体" w:hAnsi="宋体" w:eastAsia="宋体" w:cs="Times New Roman"/>
          <w:szCs w:val="21"/>
        </w:rPr>
        <w:t xml:space="preserve">：核心数≥24核，</w:t>
      </w:r>
      <w:r>
        <w:rPr>
          <w:rFonts w:ascii="宋体" w:hAnsi="宋体" w:eastAsia="宋体" w:cs="Times New Roman"/>
          <w:szCs w:val="21"/>
        </w:rPr>
        <w:t xml:space="preserve"> </w:t>
      </w:r>
      <w:r>
        <w:rPr>
          <w:rFonts w:hint="eastAsia" w:ascii="宋体" w:hAnsi="宋体" w:eastAsia="宋体" w:cs="Times New Roman"/>
          <w:szCs w:val="21"/>
        </w:rPr>
        <w:t xml:space="preserve">总线程数≥32线程，最高睿频≥5</w:t>
      </w:r>
      <w:r>
        <w:rPr>
          <w:rFonts w:ascii="宋体" w:hAnsi="宋体" w:eastAsia="宋体" w:cs="Times New Roman"/>
          <w:szCs w:val="21"/>
        </w:rPr>
        <w:t xml:space="preserve">.</w:t>
      </w:r>
      <w:r>
        <w:rPr>
          <w:rFonts w:hint="eastAsia" w:ascii="宋体" w:hAnsi="宋体" w:eastAsia="宋体" w:cs="Times New Roman"/>
          <w:szCs w:val="21"/>
        </w:rPr>
        <w:t xml:space="preserve">7</w:t>
      </w:r>
      <w:r>
        <w:rPr>
          <w:rFonts w:ascii="宋体" w:hAnsi="宋体" w:eastAsia="宋体" w:cs="Times New Roman"/>
          <w:szCs w:val="21"/>
        </w:rPr>
        <w:t xml:space="preserve">GHz</w:t>
      </w:r>
      <w:r>
        <w:rPr>
          <w:rFonts w:hint="eastAsia" w:ascii="宋体" w:hAnsi="宋体" w:eastAsia="宋体" w:cs="Times New Roman"/>
          <w:szCs w:val="21"/>
        </w:rPr>
        <w:t xml:space="preserve">；</w:t>
      </w:r>
      <w:r>
        <w:rPr>
          <w:rFonts w:ascii="宋体" w:hAnsi="宋体" w:eastAsia="宋体" w:cs="Times New Roman"/>
          <w:szCs w:val="21"/>
        </w:rPr>
        <w:t xml:space="preserve"> </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4）内存配置：配置≥64</w:t>
      </w:r>
      <w:r>
        <w:rPr>
          <w:rFonts w:ascii="宋体" w:hAnsi="宋体" w:eastAsia="宋体" w:cs="Times New Roman"/>
          <w:szCs w:val="21"/>
        </w:rPr>
        <w:t xml:space="preserve">GB</w:t>
      </w:r>
      <w:r>
        <w:rPr>
          <w:rFonts w:hint="eastAsia" w:ascii="宋体" w:hAnsi="宋体" w:eastAsia="宋体" w:cs="Times New Roman"/>
          <w:szCs w:val="21"/>
        </w:rPr>
        <w:t xml:space="preserve">内存，运行频率≥</w:t>
      </w:r>
      <w:r>
        <w:rPr>
          <w:rFonts w:ascii="宋体" w:hAnsi="宋体" w:eastAsia="宋体" w:cs="Times New Roman"/>
          <w:szCs w:val="21"/>
        </w:rPr>
        <w:t xml:space="preserve">5600MHz</w:t>
      </w:r>
      <w:r>
        <w:rPr>
          <w:rFonts w:hint="eastAsia" w:ascii="宋体" w:hAnsi="宋体" w:eastAsia="宋体" w:cs="Times New Roman"/>
          <w:szCs w:val="21"/>
        </w:rPr>
        <w:t xml:space="preserve">，或满足当下主流</w:t>
      </w:r>
      <w:r>
        <w:rPr>
          <w:rFonts w:ascii="宋体" w:hAnsi="宋体" w:eastAsia="宋体" w:cs="Times New Roman"/>
          <w:szCs w:val="21"/>
        </w:rPr>
        <w:t xml:space="preserve">DDR5</w:t>
      </w:r>
      <w:r>
        <w:rPr>
          <w:rFonts w:hint="eastAsia" w:ascii="宋体" w:hAnsi="宋体" w:eastAsia="宋体" w:cs="Times New Roman"/>
          <w:szCs w:val="21"/>
        </w:rPr>
        <w:t xml:space="preserve">更高频率标准；</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w:t>
      </w:r>
      <w:r>
        <w:rPr>
          <w:rFonts w:hint="eastAsia" w:ascii="宋体" w:hAnsi="宋体" w:eastAsia="宋体" w:cs="Times New Roman"/>
          <w:szCs w:val="21"/>
        </w:rPr>
        <w:t xml:space="preserve">显卡</w:t>
      </w:r>
      <w:r>
        <w:rPr>
          <w:rFonts w:ascii="宋体" w:hAnsi="宋体" w:eastAsia="宋体" w:cs="Times New Roman"/>
          <w:szCs w:val="21"/>
        </w:rPr>
        <w:t xml:space="preserve">(GPU)</w:t>
      </w:r>
      <w:r>
        <w:rPr>
          <w:rFonts w:hint="eastAsia" w:ascii="宋体" w:hAnsi="宋体" w:eastAsia="宋体" w:cs="Times New Roman"/>
          <w:szCs w:val="21"/>
        </w:rPr>
        <w:t xml:space="preserve">：配置专业独立图形显卡，独立显存容量≥24</w:t>
      </w:r>
      <w:r>
        <w:rPr>
          <w:rFonts w:ascii="宋体" w:hAnsi="宋体" w:eastAsia="宋体" w:cs="Times New Roman"/>
          <w:szCs w:val="21"/>
        </w:rPr>
        <w:t xml:space="preserve">GB</w:t>
      </w:r>
      <w:r>
        <w:rPr>
          <w:rFonts w:hint="eastAsia" w:ascii="宋体" w:hAnsi="宋体" w:eastAsia="宋体" w:cs="Times New Roman"/>
          <w:szCs w:val="21"/>
        </w:rPr>
        <w:t xml:space="preserve">；具备同等算力级别的高性能图形渲染与计算单元（统一计算架构核心数量≥21760个，张量核心≥680个，</w:t>
      </w:r>
      <w:r>
        <w:rPr>
          <w:rFonts w:ascii="宋体" w:hAnsi="宋体" w:eastAsia="宋体" w:cs="Times New Roman"/>
          <w:szCs w:val="21"/>
        </w:rPr>
        <w:t xml:space="preserve">显存带宽</w:t>
      </w:r>
      <w:r>
        <w:rPr>
          <w:rFonts w:hint="eastAsia" w:ascii="宋体" w:hAnsi="宋体" w:eastAsia="宋体" w:cs="Times New Roman"/>
          <w:szCs w:val="21"/>
        </w:rPr>
        <w:t xml:space="preserve">≥</w:t>
      </w:r>
      <w:r>
        <w:rPr>
          <w:rFonts w:ascii="宋体" w:hAnsi="宋体" w:eastAsia="宋体" w:cs="Times New Roman"/>
          <w:szCs w:val="21"/>
        </w:rPr>
        <w:t xml:space="preserve">1,344 GB/s</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6）主板与声网卡：集成或配置支持</w:t>
      </w:r>
      <w:r>
        <w:rPr>
          <w:rFonts w:ascii="宋体" w:hAnsi="宋体" w:eastAsia="宋体" w:cs="Times New Roman"/>
          <w:szCs w:val="21"/>
        </w:rPr>
        <w:t xml:space="preserve"> 5.1 </w:t>
      </w:r>
      <w:r>
        <w:rPr>
          <w:rFonts w:hint="eastAsia" w:ascii="宋体" w:hAnsi="宋体" w:eastAsia="宋体" w:cs="Times New Roman"/>
          <w:szCs w:val="21"/>
        </w:rPr>
        <w:t xml:space="preserve">声道声卡；集成千兆（</w:t>
      </w:r>
      <w:r>
        <w:rPr>
          <w:rFonts w:ascii="宋体" w:hAnsi="宋体" w:eastAsia="宋体" w:cs="Times New Roman"/>
          <w:szCs w:val="21"/>
        </w:rPr>
        <w:t xml:space="preserve">10/100/1000M</w:t>
      </w:r>
      <w:r>
        <w:rPr>
          <w:rFonts w:hint="eastAsia" w:ascii="宋体" w:hAnsi="宋体" w:eastAsia="宋体" w:cs="Times New Roman"/>
          <w:szCs w:val="21"/>
        </w:rPr>
        <w:t xml:space="preserve">）自适应以太网卡；主板具备良好的扩展性，提供≥4个</w:t>
      </w:r>
      <w:r>
        <w:rPr>
          <w:rFonts w:ascii="宋体" w:hAnsi="宋体" w:eastAsia="宋体" w:cs="Times New Roman"/>
          <w:szCs w:val="21"/>
        </w:rPr>
        <w:t xml:space="preserve">PCIe</w:t>
      </w:r>
      <w:bookmarkStart w:id="51" w:name="OLE_LINK66"/>
      <w:r/>
      <w:bookmarkStart w:id="52" w:name="OLE_LINK67"/>
      <w:r>
        <w:rPr>
          <w:rFonts w:hint="eastAsia" w:ascii="宋体" w:hAnsi="宋体" w:eastAsia="宋体" w:cs="Times New Roman"/>
          <w:szCs w:val="21"/>
        </w:rPr>
        <w:t xml:space="preserve">扩展槽位</w:t>
      </w:r>
      <w:bookmarkEnd w:id="51"/>
      <w:r/>
      <w:bookmarkEnd w:id="52"/>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7）存储配置：①固态硬盘≥2</w:t>
      </w:r>
      <w:r>
        <w:rPr>
          <w:rFonts w:ascii="宋体" w:hAnsi="宋体" w:eastAsia="宋体" w:cs="Times New Roman"/>
          <w:szCs w:val="21"/>
        </w:rPr>
        <w:t xml:space="preserve">TB M.2</w:t>
      </w:r>
      <w:r>
        <w:rPr>
          <w:rFonts w:hint="eastAsia" w:ascii="宋体" w:hAnsi="宋体" w:eastAsia="宋体" w:cs="Times New Roman"/>
          <w:szCs w:val="21"/>
        </w:rPr>
        <w:t xml:space="preserve">接口</w:t>
      </w:r>
      <w:r>
        <w:rPr>
          <w:rFonts w:ascii="宋体" w:hAnsi="宋体" w:eastAsia="宋体" w:cs="Times New Roman"/>
          <w:szCs w:val="21"/>
        </w:rPr>
        <w:t xml:space="preserve"> </w:t>
      </w:r>
      <w:r>
        <w:rPr>
          <w:rFonts w:ascii="宋体" w:hAnsi="宋体" w:eastAsia="宋体" w:cs="Times New Roman"/>
          <w:szCs w:val="21"/>
        </w:rPr>
        <w:t xml:space="preserve">NVMe</w:t>
      </w:r>
      <w:r>
        <w:rPr>
          <w:rFonts w:hint="eastAsia" w:ascii="宋体" w:hAnsi="宋体" w:eastAsia="宋体" w:cs="Times New Roman"/>
          <w:szCs w:val="21"/>
        </w:rPr>
        <w:t xml:space="preserve">；②机械硬盘≥2</w:t>
      </w:r>
      <w:r>
        <w:rPr>
          <w:rFonts w:ascii="宋体" w:hAnsi="宋体" w:eastAsia="宋体" w:cs="Times New Roman"/>
          <w:szCs w:val="21"/>
        </w:rPr>
        <w:t xml:space="preserve">T</w:t>
      </w:r>
      <w:r>
        <w:rPr>
          <w:rFonts w:hint="eastAsia" w:ascii="宋体" w:hAnsi="宋体" w:eastAsia="宋体" w:cs="Times New Roman"/>
          <w:szCs w:val="21"/>
        </w:rPr>
        <w:t xml:space="preserve">B，7200RPM；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8）接口与外设扩展：具备强大的外设接驳能力，机箱前后置及主板</w:t>
      </w:r>
      <w:r>
        <w:rPr>
          <w:rFonts w:ascii="宋体" w:hAnsi="宋体" w:eastAsia="宋体" w:cs="Times New Roman"/>
          <w:szCs w:val="21"/>
        </w:rPr>
        <w:t xml:space="preserve"> </w:t>
      </w:r>
      <w:r>
        <w:rPr>
          <w:rFonts w:hint="eastAsia" w:ascii="宋体" w:hAnsi="宋体" w:eastAsia="宋体" w:cs="Times New Roman"/>
          <w:szCs w:val="21"/>
        </w:rPr>
        <w:t xml:space="preserve">原生配备充足的接口总数，满足</w:t>
      </w:r>
      <w:r>
        <w:rPr>
          <w:rFonts w:ascii="宋体" w:hAnsi="宋体" w:eastAsia="宋体" w:cs="Times New Roman"/>
          <w:szCs w:val="21"/>
        </w:rPr>
        <w:t xml:space="preserve">USB</w:t>
      </w:r>
      <w:r>
        <w:rPr>
          <w:rFonts w:hint="eastAsia" w:ascii="宋体" w:hAnsi="宋体" w:eastAsia="宋体" w:cs="Times New Roman"/>
          <w:szCs w:val="21"/>
        </w:rPr>
        <w:t xml:space="preserve">、</w:t>
      </w:r>
      <w:r>
        <w:rPr>
          <w:rFonts w:ascii="宋体" w:hAnsi="宋体" w:eastAsia="宋体" w:cs="Times New Roman"/>
          <w:szCs w:val="21"/>
        </w:rPr>
        <w:t xml:space="preserve">HDMI</w:t>
      </w:r>
      <w:r>
        <w:rPr>
          <w:rFonts w:hint="eastAsia" w:ascii="宋体" w:hAnsi="宋体" w:eastAsia="宋体" w:cs="Times New Roman"/>
          <w:szCs w:val="21"/>
        </w:rPr>
        <w:t xml:space="preserve">、</w:t>
      </w:r>
      <w:r>
        <w:rPr>
          <w:rFonts w:ascii="宋体" w:hAnsi="宋体" w:eastAsia="宋体" w:cs="Times New Roman"/>
          <w:szCs w:val="21"/>
        </w:rPr>
        <w:t xml:space="preserve">DP</w:t>
      </w:r>
      <w:r>
        <w:rPr>
          <w:rFonts w:hint="eastAsia" w:ascii="宋体" w:hAnsi="宋体" w:eastAsia="宋体" w:cs="Times New Roman"/>
          <w:szCs w:val="21"/>
        </w:rPr>
        <w:t xml:space="preserve">等丰富接口组合；</w:t>
      </w:r>
      <w:r>
        <w:rPr>
          <w:rFonts w:ascii="宋体" w:hAnsi="宋体" w:eastAsia="宋体" w:cs="Times New Roman"/>
          <w:szCs w:val="21"/>
        </w:rPr>
        <w:t xml:space="preserve"> </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9）电源与机箱：配置节能高效电源；采用标准商用塔式机箱，免工具拆卸。</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1.1.7 </w:t>
      </w:r>
      <w:r>
        <w:rPr>
          <w:rFonts w:hint="eastAsia" w:ascii="宋体" w:hAnsi="宋体" w:eastAsia="宋体" w:cs="Times New Roman"/>
          <w:szCs w:val="21"/>
        </w:rPr>
        <w:t xml:space="preserve">软件平台</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VR开发平台软件：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rPr>
        <w:t xml:space="preserve"> 数量1套，授权节点≥3</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2）总体要求：虚拟现实（</w:t>
      </w:r>
      <w:r>
        <w:rPr>
          <w:rFonts w:ascii="宋体" w:hAnsi="宋体" w:eastAsia="宋体" w:cs="Times New Roman"/>
          <w:szCs w:val="21"/>
        </w:rPr>
        <w:t xml:space="preserve">VR/AR/MR</w:t>
      </w:r>
      <w:r>
        <w:rPr>
          <w:rFonts w:hint="eastAsia" w:ascii="宋体" w:hAnsi="宋体" w:eastAsia="宋体" w:cs="Times New Roman"/>
          <w:szCs w:val="21"/>
        </w:rPr>
        <w:t xml:space="preserve">）开发平台，用于快速构建沉浸式、可交互的</w:t>
      </w:r>
      <w:r>
        <w:rPr>
          <w:rFonts w:ascii="宋体" w:hAnsi="宋体" w:eastAsia="宋体" w:cs="Times New Roman"/>
          <w:szCs w:val="21"/>
        </w:rPr>
        <w:t xml:space="preserve"> VR </w:t>
      </w:r>
      <w:r>
        <w:rPr>
          <w:rFonts w:hint="eastAsia" w:ascii="宋体" w:hAnsi="宋体" w:eastAsia="宋体" w:cs="Times New Roman"/>
          <w:szCs w:val="21"/>
        </w:rPr>
        <w:t xml:space="preserve">应用，进行心理学领域的行为实验。平台提供完整的</w:t>
      </w:r>
      <w:r>
        <w:rPr>
          <w:rFonts w:ascii="宋体" w:hAnsi="宋体" w:eastAsia="宋体" w:cs="Times New Roman"/>
          <w:szCs w:val="21"/>
        </w:rPr>
        <w:t xml:space="preserve"> 3D </w:t>
      </w:r>
      <w:r>
        <w:rPr>
          <w:rFonts w:hint="eastAsia" w:ascii="宋体" w:hAnsi="宋体" w:eastAsia="宋体" w:cs="Times New Roman"/>
          <w:szCs w:val="21"/>
        </w:rPr>
        <w:t xml:space="preserve">渲染、硬件互联、实验控制、数据采集与分布式同步能力，全品类</w:t>
      </w:r>
      <w:r>
        <w:rPr>
          <w:rFonts w:ascii="宋体" w:hAnsi="宋体" w:eastAsia="宋体" w:cs="Times New Roman"/>
          <w:szCs w:val="21"/>
        </w:rPr>
        <w:t xml:space="preserve"> VR/AR </w:t>
      </w:r>
      <w:r>
        <w:rPr>
          <w:rFonts w:hint="eastAsia" w:ascii="宋体" w:hAnsi="宋体" w:eastAsia="宋体" w:cs="Times New Roman"/>
          <w:szCs w:val="21"/>
        </w:rPr>
        <w:t xml:space="preserve">外设兼；</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3）提供可视化编辑器，支持快速原型设计和迭代；</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4）支持立体显示，兼容主动立体、被动立体、多通道投影、</w:t>
      </w:r>
      <w:r>
        <w:rPr>
          <w:rFonts w:ascii="宋体" w:hAnsi="宋体" w:eastAsia="宋体" w:cs="Times New Roman"/>
          <w:szCs w:val="21"/>
        </w:rPr>
        <w:t xml:space="preserve">CAVE </w:t>
      </w:r>
      <w:r>
        <w:rPr>
          <w:rFonts w:hint="eastAsia" w:ascii="宋体" w:hAnsi="宋体" w:eastAsia="宋体" w:cs="Times New Roman"/>
          <w:szCs w:val="21"/>
        </w:rPr>
        <w:t xml:space="preserve">环幕系统；</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5）内置驱动支持所有主流</w:t>
      </w:r>
      <w:r>
        <w:rPr>
          <w:rFonts w:ascii="宋体" w:hAnsi="宋体" w:eastAsia="宋体" w:cs="Times New Roman"/>
          <w:szCs w:val="21"/>
        </w:rPr>
        <w:t xml:space="preserve"> VR </w:t>
      </w:r>
      <w:r>
        <w:rPr>
          <w:rFonts w:hint="eastAsia" w:ascii="宋体" w:hAnsi="宋体" w:eastAsia="宋体" w:cs="Times New Roman"/>
          <w:szCs w:val="21"/>
        </w:rPr>
        <w:t xml:space="preserve">头显、动捕、眼动仪、生理采集设备；</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6）支持</w:t>
      </w:r>
      <w:r>
        <w:rPr>
          <w:rFonts w:ascii="宋体" w:hAnsi="宋体" w:eastAsia="宋体" w:cs="Times New Roman"/>
          <w:szCs w:val="21"/>
        </w:rPr>
        <w:t xml:space="preserve"> VRPN</w:t>
      </w:r>
      <w:r>
        <w:rPr>
          <w:rFonts w:hint="eastAsia" w:ascii="宋体" w:hAnsi="宋体" w:eastAsia="宋体" w:cs="Times New Roman"/>
          <w:szCs w:val="21"/>
        </w:rPr>
        <w:t xml:space="preserve">、</w:t>
      </w:r>
      <w:r>
        <w:rPr>
          <w:rFonts w:ascii="宋体" w:hAnsi="宋体" w:eastAsia="宋体" w:cs="Times New Roman"/>
          <w:szCs w:val="21"/>
        </w:rPr>
        <w:t xml:space="preserve">TTL </w:t>
      </w:r>
      <w:r>
        <w:rPr>
          <w:rFonts w:hint="eastAsia" w:ascii="宋体" w:hAnsi="宋体" w:eastAsia="宋体" w:cs="Times New Roman"/>
          <w:szCs w:val="21"/>
        </w:rPr>
        <w:t xml:space="preserve">硬件触发、串口、网络同步，兼容</w:t>
      </w:r>
      <w:bookmarkStart w:id="53" w:name="OLE_LINK10"/>
      <w:r>
        <w:rPr>
          <w:rFonts w:ascii="宋体" w:hAnsi="宋体" w:eastAsia="宋体" w:cs="Times New Roman"/>
          <w:szCs w:val="21"/>
        </w:rPr>
        <w:t xml:space="preserve">USB-</w:t>
      </w:r>
      <w:r>
        <w:rPr>
          <w:rFonts w:hint="eastAsia" w:ascii="宋体" w:hAnsi="宋体" w:eastAsia="宋体" w:cs="Times New Roman"/>
          <w:szCs w:val="21"/>
        </w:rPr>
        <w:t xml:space="preserve">并行端口转换</w:t>
      </w:r>
      <w:bookmarkEnd w:id="53"/>
      <w:r>
        <w:rPr>
          <w:rFonts w:hint="eastAsia" w:ascii="宋体" w:hAnsi="宋体" w:eastAsia="宋体" w:cs="Times New Roman"/>
          <w:szCs w:val="21"/>
        </w:rPr>
        <w:t xml:space="preserve">设备</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7）支持多机集群（</w:t>
      </w:r>
      <w:r>
        <w:rPr>
          <w:rFonts w:ascii="宋体" w:hAnsi="宋体" w:eastAsia="宋体" w:cs="Times New Roman"/>
          <w:szCs w:val="21"/>
        </w:rPr>
        <w:t xml:space="preserve">Cluster</w:t>
      </w:r>
      <w:r>
        <w:rPr>
          <w:rFonts w:hint="eastAsia" w:ascii="宋体" w:hAnsi="宋体" w:eastAsia="宋体" w:cs="Times New Roman"/>
          <w:szCs w:val="21"/>
        </w:rPr>
        <w:t xml:space="preserve">）部署；</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8）支持实时动捕数据流输入、全身虚拟人实时驱动、多用户协同；</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9）支持</w:t>
      </w:r>
      <w:r>
        <w:rPr>
          <w:rFonts w:ascii="宋体" w:hAnsi="宋体" w:eastAsia="宋体" w:cs="Times New Roman"/>
          <w:szCs w:val="21"/>
        </w:rPr>
        <w:t xml:space="preserve"> FBX</w:t>
      </w:r>
      <w:r>
        <w:rPr>
          <w:rFonts w:hint="eastAsia" w:ascii="宋体" w:hAnsi="宋体" w:eastAsia="宋体" w:cs="Times New Roman"/>
          <w:szCs w:val="21"/>
        </w:rPr>
        <w:t xml:space="preserve">、</w:t>
      </w:r>
      <w:r>
        <w:rPr>
          <w:rFonts w:ascii="宋体" w:hAnsi="宋体" w:eastAsia="宋体" w:cs="Times New Roman"/>
          <w:szCs w:val="21"/>
        </w:rPr>
        <w:t xml:space="preserve">OBJ</w:t>
      </w:r>
      <w:r>
        <w:rPr>
          <w:rFonts w:hint="eastAsia" w:ascii="宋体" w:hAnsi="宋体" w:eastAsia="宋体" w:cs="Times New Roman"/>
          <w:szCs w:val="21"/>
        </w:rPr>
        <w:t xml:space="preserve">、</w:t>
      </w:r>
      <w:r>
        <w:rPr>
          <w:rFonts w:ascii="宋体" w:hAnsi="宋体" w:eastAsia="宋体" w:cs="Times New Roman"/>
          <w:szCs w:val="21"/>
        </w:rPr>
        <w:t xml:space="preserve">3DS</w:t>
      </w:r>
      <w:r>
        <w:rPr>
          <w:rFonts w:hint="eastAsia" w:ascii="宋体" w:hAnsi="宋体" w:eastAsia="宋体" w:cs="Times New Roman"/>
          <w:szCs w:val="21"/>
        </w:rPr>
        <w:t xml:space="preserve">、</w:t>
      </w:r>
      <w:r>
        <w:rPr>
          <w:rFonts w:ascii="宋体" w:hAnsi="宋体" w:eastAsia="宋体" w:cs="Times New Roman"/>
          <w:szCs w:val="21"/>
        </w:rPr>
        <w:t xml:space="preserve">DAE</w:t>
      </w:r>
      <w:r>
        <w:rPr>
          <w:rFonts w:hint="eastAsia" w:ascii="宋体" w:hAnsi="宋体" w:eastAsia="宋体" w:cs="Times New Roman"/>
          <w:szCs w:val="21"/>
        </w:rPr>
        <w:t xml:space="preserve">、</w:t>
      </w:r>
      <w:r>
        <w:rPr>
          <w:rFonts w:ascii="宋体" w:hAnsi="宋体" w:eastAsia="宋体" w:cs="Times New Roman"/>
          <w:szCs w:val="21"/>
        </w:rPr>
        <w:t xml:space="preserve">OSG </w:t>
      </w:r>
      <w:r>
        <w:rPr>
          <w:rFonts w:hint="eastAsia" w:ascii="宋体" w:hAnsi="宋体" w:eastAsia="宋体" w:cs="Times New Roman"/>
          <w:szCs w:val="21"/>
        </w:rPr>
        <w:t xml:space="preserve">等主流</w:t>
      </w:r>
      <w:r>
        <w:rPr>
          <w:rFonts w:ascii="宋体" w:hAnsi="宋体" w:eastAsia="宋体" w:cs="Times New Roman"/>
          <w:szCs w:val="21"/>
        </w:rPr>
        <w:t xml:space="preserve"> 3D </w:t>
      </w:r>
      <w:r>
        <w:rPr>
          <w:rFonts w:hint="eastAsia" w:ascii="宋体" w:hAnsi="宋体" w:eastAsia="宋体" w:cs="Times New Roman"/>
          <w:szCs w:val="21"/>
        </w:rPr>
        <w:t xml:space="preserve">格式与视频纹理；</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10）提供完整</w:t>
      </w:r>
      <w:r>
        <w:rPr>
          <w:rFonts w:ascii="宋体" w:hAnsi="宋体" w:eastAsia="宋体" w:cs="Times New Roman"/>
          <w:szCs w:val="21"/>
        </w:rPr>
        <w:t xml:space="preserve"> SDK</w:t>
      </w:r>
      <w:r>
        <w:rPr>
          <w:rFonts w:hint="eastAsia" w:ascii="宋体" w:hAnsi="宋体" w:eastAsia="宋体" w:cs="Times New Roman"/>
          <w:szCs w:val="21"/>
        </w:rPr>
        <w:t xml:space="preserve">，支持自定义渲染插件、设备驱动、场景处理器；</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1）支持实验控制，提供随机化、试次块、条件变量、刺激触发、行为数据记录与导出功能；</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专业图形化实验软件：</w:t>
      </w:r>
      <w:r/>
    </w:p>
    <w:p>
      <w:pPr>
        <w:ind w:firstLine="420"/>
        <w:jc w:val="both"/>
        <w:spacing w:line="360" w:lineRule="auto"/>
        <w:rPr>
          <w:rFonts w:hint="eastAsia" w:ascii="宋体" w:hAnsi="宋体" w:eastAsia="宋体" w:cs="Times New Roman"/>
          <w:szCs w:val="21"/>
        </w:rPr>
      </w:pPr>
      <w:r/>
      <w:bookmarkStart w:id="54" w:name="OLE_LINK68"/>
      <w:r>
        <w:rPr>
          <w:rFonts w:ascii="宋体" w:hAnsi="宋体" w:eastAsia="宋体" w:cs="Times New Roman"/>
          <w:szCs w:val="21"/>
        </w:rPr>
        <w:t xml:space="preserve">1</w:t>
      </w:r>
      <w:r>
        <w:rPr>
          <w:rFonts w:hint="eastAsia" w:ascii="宋体" w:hAnsi="宋体" w:eastAsia="宋体" w:cs="Times New Roman"/>
          <w:szCs w:val="21"/>
        </w:rPr>
        <w:t xml:space="preserve">）数量：1套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2）总体要求：可视化实验设计与数据采集工具软件，无需编程即可快速搭建高精度、可复用的刺激呈现与行为实验流程，兼容主流虚拟现实（</w:t>
      </w:r>
      <w:r>
        <w:rPr>
          <w:rFonts w:ascii="宋体" w:hAnsi="宋体" w:eastAsia="宋体" w:cs="Times New Roman"/>
          <w:szCs w:val="21"/>
        </w:rPr>
        <w:t xml:space="preserve">VR</w:t>
      </w:r>
      <w:r>
        <w:rPr>
          <w:rFonts w:hint="eastAsia" w:ascii="宋体" w:hAnsi="宋体" w:eastAsia="宋体" w:cs="Times New Roman"/>
          <w:szCs w:val="21"/>
        </w:rPr>
        <w:t xml:space="preserve">）引擎与外设，支持认知、注意、反应时、记忆、情绪、决策等全品类科研实验；</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hint="eastAsia" w:ascii="宋体" w:hAnsi="宋体" w:eastAsia="宋体" w:cs="Times New Roman"/>
          <w:szCs w:val="21"/>
        </w:rPr>
        <w:t xml:space="preserve">）可以进行零代码</w:t>
      </w:r>
      <w:r>
        <w:rPr>
          <w:rFonts w:ascii="宋体" w:hAnsi="宋体" w:eastAsia="宋体" w:cs="Times New Roman"/>
          <w:szCs w:val="21"/>
        </w:rPr>
        <w:t xml:space="preserve">/</w:t>
      </w:r>
      <w:r>
        <w:rPr>
          <w:rFonts w:hint="eastAsia" w:ascii="宋体" w:hAnsi="宋体" w:eastAsia="宋体" w:cs="Times New Roman"/>
          <w:szCs w:val="21"/>
        </w:rPr>
        <w:t xml:space="preserve">低代码图形化拖拽编辑，可视化流程设计；</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hint="eastAsia" w:ascii="宋体" w:hAnsi="宋体" w:eastAsia="宋体" w:cs="Times New Roman"/>
          <w:szCs w:val="21"/>
        </w:rPr>
        <w:t xml:space="preserve">）支持串联、并联、嵌套、分支、循环等复杂范式；</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hint="eastAsia" w:ascii="宋体" w:hAnsi="宋体" w:eastAsia="宋体" w:cs="Times New Roman"/>
          <w:szCs w:val="21"/>
        </w:rPr>
        <w:t xml:space="preserve">）兼容图片、视频、文本、音频、</w:t>
      </w:r>
      <w:r>
        <w:rPr>
          <w:rFonts w:ascii="宋体" w:hAnsi="宋体" w:eastAsia="宋体" w:cs="Times New Roman"/>
          <w:szCs w:val="21"/>
        </w:rPr>
        <w:t xml:space="preserve">3D </w:t>
      </w:r>
      <w:r>
        <w:rPr>
          <w:rFonts w:hint="eastAsia" w:ascii="宋体" w:hAnsi="宋体" w:eastAsia="宋体" w:cs="Times New Roman"/>
          <w:szCs w:val="21"/>
        </w:rPr>
        <w:t xml:space="preserve">模型、</w:t>
      </w:r>
      <w:r>
        <w:rPr>
          <w:rFonts w:ascii="宋体" w:hAnsi="宋体" w:eastAsia="宋体" w:cs="Times New Roman"/>
          <w:szCs w:val="21"/>
        </w:rPr>
        <w:t xml:space="preserve">VR </w:t>
      </w:r>
      <w:r>
        <w:rPr>
          <w:rFonts w:hint="eastAsia" w:ascii="宋体" w:hAnsi="宋体" w:eastAsia="宋体" w:cs="Times New Roman"/>
          <w:szCs w:val="21"/>
        </w:rPr>
        <w:t xml:space="preserve">场景、动态序列刺激；</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hint="eastAsia" w:ascii="宋体" w:hAnsi="宋体" w:eastAsia="宋体" w:cs="Times New Roman"/>
          <w:szCs w:val="21"/>
        </w:rPr>
        <w:t xml:space="preserve">）采集数据应包括反应时、正确率、按键、眼动、生理信号、</w:t>
      </w:r>
      <w:r>
        <w:rPr>
          <w:rFonts w:ascii="宋体" w:hAnsi="宋体" w:eastAsia="宋体" w:cs="Times New Roman"/>
          <w:szCs w:val="21"/>
        </w:rPr>
        <w:t xml:space="preserve">VR </w:t>
      </w:r>
      <w:r>
        <w:rPr>
          <w:rFonts w:hint="eastAsia" w:ascii="宋体" w:hAnsi="宋体" w:eastAsia="宋体" w:cs="Times New Roman"/>
          <w:szCs w:val="21"/>
        </w:rPr>
        <w:t xml:space="preserve">行为多维度数据；</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w:t>
      </w:r>
      <w:r>
        <w:rPr>
          <w:rFonts w:hint="eastAsia" w:ascii="宋体" w:hAnsi="宋体" w:eastAsia="宋体" w:cs="Times New Roman"/>
          <w:szCs w:val="21"/>
        </w:rPr>
        <w:t xml:space="preserve">）应深度对接主流</w:t>
      </w:r>
      <w:r>
        <w:rPr>
          <w:rFonts w:ascii="宋体" w:hAnsi="宋体" w:eastAsia="宋体" w:cs="Times New Roman"/>
          <w:szCs w:val="21"/>
        </w:rPr>
        <w:t xml:space="preserve">VR</w:t>
      </w:r>
      <w:r>
        <w:rPr>
          <w:rFonts w:hint="eastAsia" w:ascii="宋体" w:hAnsi="宋体" w:eastAsia="宋体" w:cs="Times New Roman"/>
          <w:szCs w:val="21"/>
        </w:rPr>
        <w:t xml:space="preserve">引擎，实现场景触发、刺激同步、数据互通；</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w:t>
      </w:r>
      <w:r>
        <w:rPr>
          <w:rFonts w:hint="eastAsia" w:ascii="宋体" w:hAnsi="宋体" w:eastAsia="宋体" w:cs="Times New Roman"/>
          <w:szCs w:val="21"/>
        </w:rPr>
        <w:t xml:space="preserve">）支持</w:t>
      </w:r>
      <w:r>
        <w:rPr>
          <w:rFonts w:ascii="宋体" w:hAnsi="宋体" w:eastAsia="宋体" w:cs="Times New Roman"/>
          <w:szCs w:val="21"/>
        </w:rPr>
        <w:t xml:space="preserve"> TTL</w:t>
      </w:r>
      <w:r>
        <w:rPr>
          <w:rFonts w:hint="eastAsia" w:ascii="宋体" w:hAnsi="宋体" w:eastAsia="宋体" w:cs="Times New Roman"/>
          <w:szCs w:val="21"/>
        </w:rPr>
        <w:t xml:space="preserve">、</w:t>
      </w:r>
      <w:r>
        <w:rPr>
          <w:rFonts w:ascii="宋体" w:hAnsi="宋体" w:eastAsia="宋体" w:cs="Times New Roman"/>
          <w:szCs w:val="21"/>
        </w:rPr>
        <w:t xml:space="preserve">ParallelBox</w:t>
      </w:r>
      <w:r>
        <w:rPr>
          <w:rFonts w:hint="eastAsia" w:ascii="宋体" w:hAnsi="宋体" w:eastAsia="宋体" w:cs="Times New Roman"/>
          <w:szCs w:val="21"/>
        </w:rPr>
        <w:t xml:space="preserve">、串口、网络、</w:t>
      </w:r>
      <w:r>
        <w:rPr>
          <w:rFonts w:ascii="宋体" w:hAnsi="宋体" w:eastAsia="宋体" w:cs="Times New Roman"/>
          <w:szCs w:val="21"/>
        </w:rPr>
        <w:t xml:space="preserve">BNC </w:t>
      </w:r>
      <w:r>
        <w:rPr>
          <w:rFonts w:hint="eastAsia" w:ascii="宋体" w:hAnsi="宋体" w:eastAsia="宋体" w:cs="Times New Roman"/>
          <w:szCs w:val="21"/>
        </w:rPr>
        <w:t xml:space="preserve">硬件触发与精准时序对齐；</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w:t>
      </w:r>
      <w:r>
        <w:rPr>
          <w:rFonts w:hint="eastAsia" w:ascii="宋体" w:hAnsi="宋体" w:eastAsia="宋体" w:cs="Times New Roman"/>
          <w:szCs w:val="21"/>
        </w:rPr>
        <w:t xml:space="preserve">）适配所有主流眼动仪、脑电仪、生理信号仪、反应盒、</w:t>
      </w:r>
      <w:r>
        <w:rPr>
          <w:rFonts w:ascii="宋体" w:hAnsi="宋体" w:eastAsia="宋体" w:cs="Times New Roman"/>
          <w:szCs w:val="21"/>
        </w:rPr>
        <w:t xml:space="preserve">VR </w:t>
      </w:r>
      <w:r>
        <w:rPr>
          <w:rFonts w:hint="eastAsia" w:ascii="宋体" w:hAnsi="宋体" w:eastAsia="宋体" w:cs="Times New Roman"/>
          <w:szCs w:val="21"/>
        </w:rPr>
        <w:t xml:space="preserve">外设；</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10</w:t>
      </w:r>
      <w:r>
        <w:rPr>
          <w:rFonts w:hint="eastAsia" w:ascii="宋体" w:hAnsi="宋体" w:eastAsia="宋体" w:cs="Times New Roman"/>
          <w:szCs w:val="21"/>
        </w:rPr>
        <w:t xml:space="preserve">）提供实验进程、试次进度、数据状态、同步质量实时可视化监控功能；</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w:t>
      </w:r>
      <w:r>
        <w:rPr>
          <w:rFonts w:hint="eastAsia" w:ascii="宋体" w:hAnsi="宋体" w:eastAsia="宋体" w:cs="Times New Roman"/>
          <w:szCs w:val="21"/>
        </w:rPr>
        <w:t xml:space="preserve">）支持认知实验、反应时实验、眼动</w:t>
      </w:r>
      <w:r>
        <w:rPr>
          <w:rFonts w:ascii="宋体" w:hAnsi="宋体" w:eastAsia="宋体" w:cs="Times New Roman"/>
          <w:szCs w:val="21"/>
        </w:rPr>
        <w:t xml:space="preserve">/</w:t>
      </w:r>
      <w:r>
        <w:rPr>
          <w:rFonts w:hint="eastAsia" w:ascii="宋体" w:hAnsi="宋体" w:eastAsia="宋体" w:cs="Times New Roman"/>
          <w:szCs w:val="21"/>
        </w:rPr>
        <w:t xml:space="preserve">脑电同步实验、</w:t>
      </w:r>
      <w:r>
        <w:rPr>
          <w:rFonts w:ascii="宋体" w:hAnsi="宋体" w:eastAsia="宋体" w:cs="Times New Roman"/>
          <w:szCs w:val="21"/>
        </w:rPr>
        <w:t xml:space="preserve">VR </w:t>
      </w:r>
      <w:r>
        <w:rPr>
          <w:rFonts w:hint="eastAsia" w:ascii="宋体" w:hAnsi="宋体" w:eastAsia="宋体" w:cs="Times New Roman"/>
          <w:szCs w:val="21"/>
        </w:rPr>
        <w:t xml:space="preserve">沉浸实验、多刺激序列实验；</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2</w:t>
      </w:r>
      <w:r>
        <w:rPr>
          <w:rFonts w:hint="eastAsia" w:ascii="宋体" w:hAnsi="宋体" w:eastAsia="宋体" w:cs="Times New Roman"/>
          <w:szCs w:val="21"/>
        </w:rPr>
        <w:t xml:space="preserve">）可以进行试次控制：试次定义、条件变量、随机化、重复、间隔时间、延时触发；</w:t>
      </w:r>
      <w:bookmarkEnd w:id="54"/>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c. 多模态硬件同步与触发模块：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1）数量：1套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2）总体要求：此硬件实现将</w:t>
      </w:r>
      <w:r>
        <w:rPr>
          <w:rFonts w:ascii="宋体" w:hAnsi="宋体" w:eastAsia="宋体" w:cs="Times New Roman"/>
          <w:szCs w:val="21"/>
        </w:rPr>
        <w:t xml:space="preserve"> USB </w:t>
      </w:r>
      <w:r>
        <w:rPr>
          <w:rFonts w:hint="eastAsia" w:ascii="宋体" w:hAnsi="宋体" w:eastAsia="宋体" w:cs="Times New Roman"/>
          <w:szCs w:val="21"/>
        </w:rPr>
        <w:t xml:space="preserve">接口模拟传统并口，输出</w:t>
      </w:r>
      <w:r>
        <w:rPr>
          <w:rFonts w:ascii="宋体" w:hAnsi="宋体" w:eastAsia="宋体" w:cs="Times New Roman"/>
          <w:szCs w:val="21"/>
        </w:rPr>
        <w:t xml:space="preserve"> 8 </w:t>
      </w:r>
      <w:r>
        <w:rPr>
          <w:rFonts w:hint="eastAsia" w:ascii="宋体" w:hAnsi="宋体" w:eastAsia="宋体" w:cs="Times New Roman"/>
          <w:szCs w:val="21"/>
        </w:rPr>
        <w:t xml:space="preserve">路</w:t>
      </w:r>
      <w:r>
        <w:rPr>
          <w:rFonts w:ascii="宋体" w:hAnsi="宋体" w:eastAsia="宋体" w:cs="Times New Roman"/>
          <w:szCs w:val="21"/>
        </w:rPr>
        <w:t xml:space="preserve"> TTL</w:t>
      </w:r>
      <w:r>
        <w:rPr>
          <w:rFonts w:hint="eastAsia" w:ascii="宋体" w:hAnsi="宋体" w:eastAsia="宋体" w:cs="Times New Roman"/>
          <w:szCs w:val="21"/>
        </w:rPr>
        <w:t xml:space="preserve">信号功能，具备高精度、低延迟特性，用于解决电脑与脑电（</w:t>
      </w:r>
      <w:r>
        <w:rPr>
          <w:rFonts w:ascii="宋体" w:hAnsi="宋体" w:eastAsia="宋体" w:cs="Times New Roman"/>
          <w:szCs w:val="21"/>
        </w:rPr>
        <w:t xml:space="preserve">EEG</w:t>
      </w:r>
      <w:r>
        <w:rPr>
          <w:rFonts w:hint="eastAsia" w:ascii="宋体" w:hAnsi="宋体" w:eastAsia="宋体" w:cs="Times New Roman"/>
          <w:szCs w:val="21"/>
        </w:rPr>
        <w:t xml:space="preserve">）、眼动仪、生理仪、电刺激器、</w:t>
      </w:r>
      <w:r>
        <w:rPr>
          <w:rFonts w:ascii="宋体" w:hAnsi="宋体" w:eastAsia="宋体" w:cs="Times New Roman"/>
          <w:szCs w:val="21"/>
        </w:rPr>
        <w:t xml:space="preserve">VR </w:t>
      </w:r>
      <w:r>
        <w:rPr>
          <w:rFonts w:hint="eastAsia" w:ascii="宋体" w:hAnsi="宋体" w:eastAsia="宋体" w:cs="Times New Roman"/>
          <w:szCs w:val="21"/>
        </w:rPr>
        <w:t xml:space="preserve">引擎等多设备间的精准时序对齐问题，深度兼容主流科研软件；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hint="eastAsia" w:ascii="宋体" w:hAnsi="宋体" w:eastAsia="宋体" w:cs="Times New Roman"/>
          <w:szCs w:val="21"/>
        </w:rPr>
        <w:t xml:space="preserve">）通信方式：</w:t>
      </w:r>
      <w:r>
        <w:rPr>
          <w:rFonts w:ascii="宋体" w:hAnsi="宋体" w:eastAsia="宋体" w:cs="Times New Roman"/>
          <w:szCs w:val="21"/>
        </w:rPr>
        <w:t xml:space="preserve">USB 2.0 </w:t>
      </w:r>
      <w:r>
        <w:rPr>
          <w:rFonts w:hint="eastAsia" w:ascii="宋体" w:hAnsi="宋体" w:eastAsia="宋体" w:cs="Times New Roman"/>
          <w:szCs w:val="21"/>
        </w:rPr>
        <w:t xml:space="preserve">即插即用，免驱，模拟</w:t>
      </w:r>
      <w:r>
        <w:rPr>
          <w:rFonts w:ascii="宋体" w:hAnsi="宋体" w:eastAsia="宋体" w:cs="Times New Roman"/>
          <w:szCs w:val="21"/>
        </w:rPr>
        <w:t xml:space="preserve"> 8 </w:t>
      </w:r>
      <w:r>
        <w:rPr>
          <w:rFonts w:hint="eastAsia" w:ascii="宋体" w:hAnsi="宋体" w:eastAsia="宋体" w:cs="Times New Roman"/>
          <w:szCs w:val="21"/>
        </w:rPr>
        <w:t xml:space="preserve">位并口通信；</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hint="eastAsia" w:ascii="宋体" w:hAnsi="宋体" w:eastAsia="宋体" w:cs="Times New Roman"/>
          <w:szCs w:val="21"/>
        </w:rPr>
        <w:t xml:space="preserve">）信号规格：</w:t>
      </w:r>
      <w:r>
        <w:rPr>
          <w:rFonts w:ascii="宋体" w:hAnsi="宋体" w:eastAsia="宋体" w:cs="Times New Roman"/>
          <w:szCs w:val="21"/>
        </w:rPr>
        <w:t xml:space="preserve">8 </w:t>
      </w:r>
      <w:r>
        <w:rPr>
          <w:rFonts w:hint="eastAsia" w:ascii="宋体" w:hAnsi="宋体" w:eastAsia="宋体" w:cs="Times New Roman"/>
          <w:szCs w:val="21"/>
        </w:rPr>
        <w:t xml:space="preserve">通道独立</w:t>
      </w:r>
      <w:r>
        <w:rPr>
          <w:rFonts w:ascii="宋体" w:hAnsi="宋体" w:eastAsia="宋体" w:cs="Times New Roman"/>
          <w:szCs w:val="21"/>
        </w:rPr>
        <w:t xml:space="preserve"> TTL </w:t>
      </w:r>
      <w:r>
        <w:rPr>
          <w:rFonts w:hint="eastAsia" w:ascii="宋体" w:hAnsi="宋体" w:eastAsia="宋体" w:cs="Times New Roman"/>
          <w:szCs w:val="21"/>
        </w:rPr>
        <w:t xml:space="preserve">输出，电平</w:t>
      </w:r>
      <w:r>
        <w:rPr>
          <w:rFonts w:ascii="宋体" w:hAnsi="宋体" w:eastAsia="宋体" w:cs="Times New Roman"/>
          <w:szCs w:val="21"/>
        </w:rPr>
        <w:t xml:space="preserve"> 0</w:t>
      </w:r>
      <w:r>
        <w:rPr>
          <w:rFonts w:hint="eastAsia" w:ascii="宋体" w:hAnsi="宋体" w:eastAsia="宋体" w:cs="Times New Roman"/>
          <w:szCs w:val="21"/>
        </w:rPr>
        <w:t xml:space="preserve">–</w:t>
      </w:r>
      <w:r>
        <w:rPr>
          <w:rFonts w:ascii="宋体" w:hAnsi="宋体" w:eastAsia="宋体" w:cs="Times New Roman"/>
          <w:szCs w:val="21"/>
        </w:rPr>
        <w:t xml:space="preserve">3.3V</w:t>
      </w:r>
      <w:r>
        <w:rPr>
          <w:rFonts w:hint="eastAsia" w:ascii="宋体" w:hAnsi="宋体" w:eastAsia="宋体" w:cs="Times New Roman"/>
          <w:szCs w:val="21"/>
        </w:rPr>
        <w:t xml:space="preserve">，通道隔离；</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hint="eastAsia" w:ascii="宋体" w:hAnsi="宋体" w:eastAsia="宋体" w:cs="Times New Roman"/>
          <w:szCs w:val="21"/>
        </w:rPr>
        <w:t xml:space="preserve">）延迟指标：总传输延迟</w:t>
      </w:r>
      <w:r>
        <w:rPr>
          <w:rFonts w:ascii="宋体" w:hAnsi="宋体" w:eastAsia="宋体" w:cs="Times New Roman"/>
          <w:szCs w:val="21"/>
        </w:rPr>
        <w:t xml:space="preserve"> &lt;1ms</w:t>
      </w:r>
      <w:r>
        <w:rPr>
          <w:rFonts w:hint="eastAsia" w:ascii="宋体" w:hAnsi="宋体" w:eastAsia="宋体" w:cs="Times New Roman"/>
          <w:szCs w:val="21"/>
        </w:rPr>
        <w:t xml:space="preserve">，通道间延迟</w:t>
      </w:r>
      <w:r>
        <w:rPr>
          <w:rFonts w:ascii="宋体" w:hAnsi="宋体" w:eastAsia="宋体" w:cs="Times New Roman"/>
          <w:szCs w:val="21"/>
        </w:rPr>
        <w:t xml:space="preserve"> &lt;10ns</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hint="eastAsia" w:ascii="宋体" w:hAnsi="宋体" w:eastAsia="宋体" w:cs="Times New Roman"/>
          <w:szCs w:val="21"/>
        </w:rPr>
        <w:t xml:space="preserve">）接口配置：输出</w:t>
      </w:r>
      <w:r>
        <w:rPr>
          <w:rFonts w:ascii="宋体" w:hAnsi="宋体" w:eastAsia="宋体" w:cs="Times New Roman"/>
          <w:szCs w:val="21"/>
        </w:rPr>
        <w:t xml:space="preserve"> DB25 </w:t>
      </w:r>
      <w:r>
        <w:rPr>
          <w:rFonts w:hint="eastAsia" w:ascii="宋体" w:hAnsi="宋体" w:eastAsia="宋体" w:cs="Times New Roman"/>
          <w:szCs w:val="21"/>
        </w:rPr>
        <w:t xml:space="preserve">并口</w:t>
      </w:r>
      <w:r>
        <w:rPr>
          <w:rFonts w:ascii="宋体" w:hAnsi="宋体" w:eastAsia="宋体" w:cs="Times New Roman"/>
          <w:szCs w:val="21"/>
        </w:rPr>
        <w:t xml:space="preserve"> + 8 </w:t>
      </w:r>
      <w:r>
        <w:rPr>
          <w:rFonts w:hint="eastAsia" w:ascii="宋体" w:hAnsi="宋体" w:eastAsia="宋体" w:cs="Times New Roman"/>
          <w:szCs w:val="21"/>
        </w:rPr>
        <w:t xml:space="preserve">路</w:t>
      </w:r>
      <w:r>
        <w:rPr>
          <w:rFonts w:ascii="宋体" w:hAnsi="宋体" w:eastAsia="宋体" w:cs="Times New Roman"/>
          <w:szCs w:val="21"/>
        </w:rPr>
        <w:t xml:space="preserve"> BNC </w:t>
      </w:r>
      <w:r>
        <w:rPr>
          <w:rFonts w:hint="eastAsia" w:ascii="宋体" w:hAnsi="宋体" w:eastAsia="宋体" w:cs="Times New Roman"/>
          <w:szCs w:val="21"/>
        </w:rPr>
        <w:t xml:space="preserve">接口，双接口兼容；</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w:t>
      </w:r>
      <w:r>
        <w:rPr>
          <w:rFonts w:hint="eastAsia" w:ascii="宋体" w:hAnsi="宋体" w:eastAsia="宋体" w:cs="Times New Roman"/>
          <w:szCs w:val="21"/>
        </w:rPr>
        <w:t xml:space="preserve">）校验功能：支持自校验模式，可检测信号发送与设备连接状态；</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w:t>
      </w:r>
      <w:r>
        <w:rPr>
          <w:rFonts w:hint="eastAsia" w:ascii="宋体" w:hAnsi="宋体" w:eastAsia="宋体" w:cs="Times New Roman"/>
          <w:szCs w:val="21"/>
        </w:rPr>
        <w:t xml:space="preserve">）开发支持：提供</w:t>
      </w:r>
      <w:r>
        <w:rPr>
          <w:rFonts w:ascii="宋体" w:hAnsi="宋体" w:eastAsia="宋体" w:cs="Times New Roman"/>
          <w:szCs w:val="21"/>
        </w:rPr>
        <w:t xml:space="preserve"> Python/C++/C# SDK</w:t>
      </w:r>
      <w:r>
        <w:rPr>
          <w:rFonts w:hint="eastAsia" w:ascii="宋体" w:hAnsi="宋体" w:eastAsia="宋体" w:cs="Times New Roman"/>
          <w:szCs w:val="21"/>
        </w:rPr>
        <w:t xml:space="preserve">、控制库、示例脚本；</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w:t>
      </w:r>
      <w:r>
        <w:rPr>
          <w:rFonts w:hint="eastAsia" w:ascii="宋体" w:hAnsi="宋体" w:eastAsia="宋体" w:cs="Times New Roman"/>
          <w:szCs w:val="21"/>
        </w:rPr>
        <w:t xml:space="preserve">）适配兼容：</w:t>
      </w:r>
      <w:r>
        <w:rPr>
          <w:rFonts w:ascii="宋体" w:hAnsi="宋体" w:eastAsia="宋体" w:cs="Times New Roman"/>
          <w:szCs w:val="21"/>
        </w:rPr>
        <w:t xml:space="preserve">EEG</w:t>
      </w:r>
      <w:r>
        <w:rPr>
          <w:rFonts w:hint="eastAsia" w:ascii="宋体" w:hAnsi="宋体" w:eastAsia="宋体" w:cs="Times New Roman"/>
          <w:szCs w:val="21"/>
        </w:rPr>
        <w:t xml:space="preserve">、眼动仪、生理仪、电刺激器、反应盒硬件触发模块，系统支持，</w:t>
      </w:r>
      <w:r>
        <w:rPr>
          <w:rFonts w:ascii="宋体" w:hAnsi="宋体" w:eastAsia="宋体" w:cs="Times New Roman"/>
          <w:szCs w:val="21"/>
        </w:rPr>
        <w:t xml:space="preserve">Windows 7/8/10/11 64 </w:t>
      </w:r>
      <w:r>
        <w:rPr>
          <w:rFonts w:hint="eastAsia" w:ascii="宋体" w:hAnsi="宋体" w:eastAsia="宋体" w:cs="Times New Roman"/>
          <w:szCs w:val="21"/>
        </w:rPr>
        <w:t xml:space="preserve">位全兼容。</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1.1.8 中控系</w:t>
      </w:r>
      <w:r>
        <w:rPr>
          <w:rFonts w:hint="eastAsia" w:ascii="宋体" w:hAnsi="宋体" w:eastAsia="宋体" w:cs="Times New Roman"/>
          <w:szCs w:val="21"/>
        </w:rPr>
        <w:t xml:space="preserve">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中控主机：</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ARM架构，≥4核64位；</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支持</w:t>
      </w:r>
      <w:r>
        <w:rPr>
          <w:rFonts w:ascii="宋体" w:hAnsi="宋体" w:eastAsia="宋体" w:cs="Times New Roman"/>
          <w:szCs w:val="21"/>
        </w:rPr>
        <w:t xml:space="preserve">OpenGLES</w:t>
      </w:r>
      <w:r>
        <w:rPr>
          <w:rFonts w:ascii="宋体" w:hAnsi="宋体" w:eastAsia="宋体" w:cs="Times New Roman"/>
          <w:szCs w:val="21"/>
        </w:rPr>
        <w:t xml:space="preserve">、OpenCL、Vulkan等图形接口；</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hint="eastAsia" w:ascii="宋体" w:hAnsi="宋体" w:eastAsia="宋体" w:cs="Times New Roman"/>
          <w:szCs w:val="21"/>
        </w:rPr>
        <w:t xml:space="preserve">）神经网络处理</w:t>
      </w:r>
      <w:r>
        <w:rPr>
          <w:rFonts w:ascii="宋体" w:hAnsi="宋体" w:eastAsia="宋体" w:cs="Times New Roman"/>
          <w:szCs w:val="21"/>
        </w:rPr>
        <w:t xml:space="preserve">NPU</w:t>
      </w:r>
      <w:r>
        <w:rPr>
          <w:rFonts w:hint="eastAsia" w:ascii="宋体" w:hAnsi="宋体" w:eastAsia="宋体" w:cs="Times New Roman"/>
          <w:szCs w:val="21"/>
        </w:rPr>
        <w:t xml:space="preserve">：内嵌，支持</w:t>
      </w:r>
      <w:r>
        <w:rPr>
          <w:rFonts w:ascii="宋体" w:hAnsi="宋体" w:eastAsia="宋体" w:cs="Times New Roman"/>
          <w:szCs w:val="21"/>
        </w:rPr>
        <w:t xml:space="preserve">Caffe/</w:t>
      </w:r>
      <w:r>
        <w:rPr>
          <w:rFonts w:ascii="宋体" w:hAnsi="宋体" w:eastAsia="宋体" w:cs="Times New Roman"/>
          <w:szCs w:val="21"/>
        </w:rPr>
        <w:t xml:space="preserve">Mxnet</w:t>
      </w:r>
      <w:r>
        <w:rPr>
          <w:rFonts w:ascii="宋体" w:hAnsi="宋体" w:eastAsia="宋体" w:cs="Times New Roman"/>
          <w:szCs w:val="21"/>
        </w:rPr>
        <w:t xml:space="preserve">/TensorFlow/</w:t>
      </w:r>
      <w:r>
        <w:rPr>
          <w:rFonts w:ascii="宋体" w:hAnsi="宋体" w:eastAsia="宋体" w:cs="Times New Roman"/>
          <w:szCs w:val="21"/>
        </w:rPr>
        <w:t xml:space="preserve">TFLite</w:t>
      </w:r>
      <w:r>
        <w:rPr>
          <w:rFonts w:ascii="宋体" w:hAnsi="宋体" w:eastAsia="宋体" w:cs="Times New Roman"/>
          <w:szCs w:val="21"/>
        </w:rPr>
        <w:t xml:space="preserve">/ONNX/Darknet</w:t>
      </w:r>
      <w:r>
        <w:rPr>
          <w:rFonts w:hint="eastAsia" w:ascii="宋体" w:hAnsi="宋体" w:eastAsia="宋体" w:cs="Times New Roman"/>
          <w:szCs w:val="21"/>
        </w:rPr>
        <w:t xml:space="preserve">等模型；</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hint="eastAsia" w:ascii="宋体" w:hAnsi="宋体" w:eastAsia="宋体" w:cs="Times New Roman"/>
          <w:szCs w:val="21"/>
        </w:rPr>
        <w:t xml:space="preserve">）</w:t>
      </w:r>
      <w:r>
        <w:rPr>
          <w:rFonts w:ascii="宋体" w:hAnsi="宋体" w:eastAsia="宋体" w:cs="Times New Roman"/>
          <w:szCs w:val="21"/>
        </w:rPr>
        <w:t xml:space="preserve">内存≥4GB DDR4；</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hint="eastAsia" w:ascii="宋体" w:hAnsi="宋体" w:eastAsia="宋体" w:cs="Times New Roman"/>
          <w:szCs w:val="21"/>
        </w:rPr>
        <w:t xml:space="preserve">）</w:t>
      </w:r>
      <w:r>
        <w:rPr>
          <w:rFonts w:ascii="宋体" w:hAnsi="宋体" w:eastAsia="宋体" w:cs="Times New Roman"/>
          <w:szCs w:val="21"/>
        </w:rPr>
        <w:t xml:space="preserve">存储≥32GB。</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中控软件：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至少支持串口、TCP、UDP等协议；</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3）支持设备远程开/关机及发送键盘按键行为，可以实现对</w:t>
      </w:r>
      <w:r>
        <w:rPr>
          <w:rFonts w:ascii="宋体" w:hAnsi="宋体" w:eastAsia="宋体" w:cs="Times New Roman"/>
          <w:szCs w:val="21"/>
        </w:rPr>
        <w:t xml:space="preserve">CAVE</w:t>
      </w:r>
      <w:r>
        <w:rPr>
          <w:rFonts w:hint="eastAsia" w:ascii="宋体" w:hAnsi="宋体" w:eastAsia="宋体" w:cs="Times New Roman"/>
          <w:szCs w:val="21"/>
        </w:rPr>
        <w:t xml:space="preserve">显示系统、多感交互系统、定位与动作捕捉系统、计算与渲染系统、音频与环境控制系统的控制；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w:t>
      </w:r>
      <w:r>
        <w:rPr>
          <w:rFonts w:hint="eastAsia" w:ascii="宋体" w:hAnsi="宋体" w:eastAsia="宋体" w:cs="Times New Roman"/>
          <w:szCs w:val="21"/>
        </w:rPr>
        <w:t xml:space="preserve">支持应用程序控制，工作站应用程序的配置，如在中控系统中新增、删除、切换工作站应用程序；</w:t>
      </w:r>
      <w:r>
        <w:rPr>
          <w:rFonts w:ascii="宋体" w:hAnsi="宋体" w:eastAsia="宋体" w:cs="Times New Roman"/>
          <w:b/>
          <w:bCs/>
          <w:szCs w:val="21"/>
        </w:rPr>
        <w:t xml:space="preserve">【提供软件界面截图或实际使用拍摄图（配套提供对应参数说明文件）】</w:t>
      </w:r>
      <w:r/>
    </w:p>
    <w:p>
      <w:pPr>
        <w:ind w:firstLine="420"/>
        <w:jc w:val="both"/>
        <w:spacing w:line="360" w:lineRule="auto"/>
        <w:rPr>
          <w:rFonts w:hint="eastAsia" w:ascii="宋体" w:hAnsi="宋体" w:eastAsia="宋体" w:cs="Times New Roman"/>
          <w:b/>
          <w:bCs/>
          <w:szCs w:val="21"/>
        </w:rPr>
      </w:pPr>
      <w:r>
        <w:rPr>
          <w:rFonts w:hint="eastAsia" w:ascii="宋体" w:hAnsi="宋体" w:eastAsia="宋体" w:cs="Times New Roman"/>
          <w:szCs w:val="21"/>
        </w:rPr>
        <w:t xml:space="preserve">5）</w:t>
      </w:r>
      <w:r>
        <w:rPr>
          <w:rFonts w:ascii="宋体" w:hAnsi="宋体" w:eastAsia="宋体" w:cs="Times New Roman"/>
          <w:szCs w:val="21"/>
        </w:rPr>
        <w:t xml:space="preserve">▲</w:t>
      </w:r>
      <w:r>
        <w:rPr>
          <w:rFonts w:hint="eastAsia" w:ascii="宋体" w:hAnsi="宋体" w:eastAsia="宋体" w:cs="Times New Roman"/>
          <w:szCs w:val="21"/>
        </w:rPr>
        <w:t xml:space="preserve">支持</w:t>
      </w:r>
      <w:r>
        <w:rPr>
          <w:rFonts w:ascii="宋体" w:hAnsi="宋体" w:eastAsia="宋体" w:cs="Times New Roman"/>
          <w:szCs w:val="21"/>
        </w:rPr>
        <w:t xml:space="preserve">CAVE</w:t>
      </w:r>
      <w:r>
        <w:rPr>
          <w:rFonts w:hint="eastAsia" w:ascii="宋体" w:hAnsi="宋体" w:eastAsia="宋体" w:cs="Times New Roman"/>
          <w:szCs w:val="21"/>
        </w:rPr>
        <w:t xml:space="preserve">设备运维，管理硬件资产及软件内容，支持</w:t>
      </w:r>
      <w:r>
        <w:rPr>
          <w:rFonts w:ascii="宋体" w:hAnsi="宋体" w:eastAsia="宋体" w:cs="Times New Roman"/>
          <w:szCs w:val="21"/>
        </w:rPr>
        <w:t xml:space="preserve">CAVE</w:t>
      </w:r>
      <w:r>
        <w:rPr>
          <w:rFonts w:hint="eastAsia" w:ascii="宋体" w:hAnsi="宋体" w:eastAsia="宋体" w:cs="Times New Roman"/>
          <w:szCs w:val="21"/>
        </w:rPr>
        <w:t xml:space="preserve">三维场景素材及多通道配置文件的统一版本管理，可按展演日程自动加载对应内容包；</w:t>
      </w:r>
      <w:r>
        <w:rPr>
          <w:rFonts w:ascii="宋体" w:hAnsi="宋体" w:eastAsia="宋体" w:cs="Times New Roman"/>
          <w:b/>
          <w:bCs/>
          <w:szCs w:val="21"/>
        </w:rPr>
        <w:t xml:space="preserve">【提供软件界面截图或实际使用拍摄图（配套提供对应参数说明文件）】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▲支持对CAVE内展示的三维模型内容进行实时交互控制，包括模型旋转、平移、缩放及动画播放/暂停等操作</w:t>
      </w:r>
      <w:r>
        <w:rPr>
          <w:rFonts w:hint="eastAsia" w:ascii="宋体" w:hAnsi="宋体" w:eastAsia="宋体" w:cs="Times New Roman"/>
          <w:szCs w:val="21"/>
        </w:rPr>
        <w:t xml:space="preserve">；</w:t>
      </w:r>
      <w:r>
        <w:rPr>
          <w:rFonts w:ascii="宋体" w:hAnsi="宋体" w:eastAsia="宋体" w:cs="Times New Roman"/>
          <w:b/>
          <w:bCs/>
          <w:szCs w:val="21"/>
        </w:rPr>
        <w:t xml:space="preserve">【提供软件界面截图或实际使用拍摄图（配套提供对应参数说明文件）】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7）支持二次开发并提供</w:t>
      </w:r>
      <w:r>
        <w:rPr>
          <w:rFonts w:ascii="宋体" w:hAnsi="宋体" w:eastAsia="宋体" w:cs="Times New Roman"/>
          <w:szCs w:val="21"/>
        </w:rPr>
        <w:t xml:space="preserve">SDK</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c. 中控平板电脑：</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尺寸≥12英寸；</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内存≥12GB；</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存储容量≥512GB；</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Windows操作系统；</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配套键盘。</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d. 多源内容沉浸空间桥接软件：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bookmarkStart w:id="55" w:name="OLE_LINK135"/>
      <w:r/>
      <w:bookmarkStart w:id="56" w:name="OLE_LINK80"/>
      <w:r>
        <w:rPr>
          <w:rFonts w:hint="eastAsia" w:ascii="宋体" w:hAnsi="宋体" w:eastAsia="宋体" w:cs="Times New Roman"/>
          <w:szCs w:val="21"/>
        </w:rPr>
        <w:t xml:space="preserve">2）▲支持</w:t>
      </w:r>
      <w:r>
        <w:rPr>
          <w:rFonts w:ascii="宋体" w:hAnsi="宋体" w:eastAsia="宋体" w:cs="Times New Roman"/>
          <w:szCs w:val="21"/>
        </w:rPr>
        <w:t xml:space="preserve">CAVE</w:t>
      </w:r>
      <w:r>
        <w:rPr>
          <w:rFonts w:hint="eastAsia" w:ascii="宋体" w:hAnsi="宋体" w:eastAsia="宋体" w:cs="Times New Roman"/>
          <w:szCs w:val="21"/>
        </w:rPr>
        <w:t xml:space="preserve">屏幕阵列独立配置，对应选择不同朝向的屏幕进行独立参数设置（如独立配置地面屏、左侧屏、右侧屏、正面屏等）；且支持动态增删</w:t>
      </w:r>
      <w:r>
        <w:rPr>
          <w:rFonts w:ascii="宋体" w:hAnsi="宋体" w:eastAsia="宋体" w:cs="Times New Roman"/>
          <w:szCs w:val="21"/>
        </w:rPr>
        <w:t xml:space="preserve"> CAVE </w:t>
      </w:r>
      <w:r>
        <w:rPr>
          <w:rFonts w:hint="eastAsia" w:ascii="宋体" w:hAnsi="宋体" w:eastAsia="宋体" w:cs="Times New Roman"/>
          <w:szCs w:val="21"/>
        </w:rPr>
        <w:t xml:space="preserve">系统的渲染屏幕配置</w:t>
      </w:r>
      <w:bookmarkStart w:id="57" w:name="OLE_LINK129"/>
      <w:r>
        <w:rPr>
          <w:rFonts w:hint="eastAsia" w:ascii="宋体" w:hAnsi="宋体" w:eastAsia="宋体" w:cs="Times New Roman"/>
          <w:szCs w:val="21"/>
        </w:rPr>
        <w:t xml:space="preserve">；</w:t>
      </w:r>
      <w:r>
        <w:rPr>
          <w:rFonts w:hint="eastAsia" w:ascii="宋体" w:hAnsi="宋体" w:eastAsia="宋体" w:cs="Times New Roman"/>
          <w:b/>
          <w:bCs/>
          <w:szCs w:val="21"/>
        </w:rPr>
        <w:t xml:space="preserve">【提供软件界面截图或实际使用拍摄图（配套提供对应参数说明文件）】</w:t>
      </w:r>
      <w:bookmarkEnd w:id="57"/>
      <w:r>
        <w:rPr>
          <w:rFonts w:ascii="宋体" w:hAnsi="宋体" w:eastAsia="宋体" w:cs="Times New Roman"/>
          <w:szCs w:val="21"/>
        </w:rPr>
        <w:t xml:space="preserve"> </w:t>
      </w:r>
      <w:r/>
    </w:p>
    <w:p>
      <w:pPr>
        <w:ind w:firstLine="420"/>
        <w:jc w:val="both"/>
        <w:spacing w:line="360" w:lineRule="auto"/>
        <w:rPr>
          <w:rFonts w:hint="eastAsia" w:ascii="宋体" w:hAnsi="宋体" w:eastAsia="宋体" w:cs="Times New Roman"/>
          <w:b/>
          <w:bCs/>
          <w:szCs w:val="21"/>
        </w:rPr>
      </w:pPr>
      <w:r>
        <w:rPr>
          <w:rFonts w:hint="eastAsia" w:ascii="宋体" w:hAnsi="宋体" w:eastAsia="宋体" w:cs="Times New Roman"/>
          <w:szCs w:val="21"/>
        </w:rPr>
        <w:t xml:space="preserve">3）</w:t>
      </w:r>
      <w:r>
        <w:rPr>
          <w:rFonts w:ascii="宋体" w:hAnsi="宋体" w:eastAsia="宋体" w:cs="Times New Roman"/>
          <w:szCs w:val="21"/>
        </w:rPr>
        <w:t xml:space="preserve">▲</w:t>
      </w:r>
      <w:r>
        <w:rPr>
          <w:rFonts w:hint="eastAsia" w:ascii="宋体" w:hAnsi="宋体" w:eastAsia="宋体" w:cs="Times New Roman"/>
          <w:szCs w:val="21"/>
        </w:rPr>
        <w:t xml:space="preserve">支持多机集群（</w:t>
      </w:r>
      <w:r>
        <w:rPr>
          <w:rFonts w:ascii="宋体" w:hAnsi="宋体" w:eastAsia="宋体" w:cs="Times New Roman"/>
          <w:szCs w:val="21"/>
        </w:rPr>
        <w:t xml:space="preserve">Cluster</w:t>
      </w:r>
      <w:r>
        <w:rPr>
          <w:rFonts w:hint="eastAsia" w:ascii="宋体" w:hAnsi="宋体" w:eastAsia="宋体" w:cs="Times New Roman"/>
          <w:szCs w:val="21"/>
        </w:rPr>
        <w:t xml:space="preserve">）部署；</w:t>
      </w:r>
      <w:r>
        <w:rPr>
          <w:rFonts w:ascii="宋体" w:hAnsi="宋体" w:eastAsia="宋体" w:cs="Times New Roman"/>
          <w:b/>
          <w:bCs/>
          <w:szCs w:val="21"/>
        </w:rPr>
        <w:t xml:space="preserve">【提供软件界面截图或实际使用拍摄图（配套提供对应参数说明文件）】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4）支持坐标系归一化转换，可对各种外设传入的位置坐标数据进行自动坐标系转换计算，将各类硬件设备的位置姿态统一精准映射到三维引擎的世界坐标系中；</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w:t>
      </w:r>
      <w:r>
        <w:rPr>
          <w:rFonts w:hint="eastAsia" w:ascii="宋体" w:hAnsi="宋体" w:eastAsia="宋体" w:cs="Times New Roman"/>
          <w:szCs w:val="21"/>
        </w:rPr>
        <w:t xml:space="preserve">支持对</w:t>
      </w:r>
      <w:r>
        <w:rPr>
          <w:rFonts w:ascii="宋体" w:hAnsi="宋体" w:eastAsia="宋体" w:cs="Times New Roman"/>
          <w:szCs w:val="21"/>
        </w:rPr>
        <w:t xml:space="preserve"> 3D </w:t>
      </w:r>
      <w:r>
        <w:rPr>
          <w:rFonts w:hint="eastAsia" w:ascii="宋体" w:hAnsi="宋体" w:eastAsia="宋体" w:cs="Times New Roman"/>
          <w:szCs w:val="21"/>
        </w:rPr>
        <w:t xml:space="preserve">显示屏幕视窗参数进行精准设置，包含对屏幕朝向、中心</w:t>
      </w:r>
      <w:r>
        <w:rPr>
          <w:rFonts w:ascii="宋体" w:hAnsi="宋体" w:eastAsia="宋体" w:cs="Times New Roman"/>
          <w:szCs w:val="21"/>
        </w:rPr>
        <w:t xml:space="preserve">XYZ</w:t>
      </w:r>
      <w:r>
        <w:rPr>
          <w:rFonts w:hint="eastAsia" w:ascii="宋体" w:hAnsi="宋体" w:eastAsia="宋体" w:cs="Times New Roman"/>
          <w:szCs w:val="21"/>
        </w:rPr>
        <w:t xml:space="preserve">坐标、屏幕姿态四元数、双眼瞳距、远裁剪面、物理分辨率、屏幕宽高比等极客参数的精细化配置</w:t>
      </w:r>
      <w:bookmarkStart w:id="58" w:name="OLE_LINK125"/>
      <w:r>
        <w:rPr>
          <w:rFonts w:hint="eastAsia" w:ascii="宋体" w:hAnsi="宋体" w:eastAsia="宋体" w:cs="Times New Roman"/>
          <w:szCs w:val="21"/>
        </w:rPr>
        <w:t xml:space="preserve">；</w:t>
      </w:r>
      <w:r>
        <w:rPr>
          <w:rFonts w:ascii="宋体" w:hAnsi="宋体" w:eastAsia="宋体" w:cs="Times New Roman"/>
          <w:b/>
          <w:bCs/>
          <w:szCs w:val="21"/>
        </w:rPr>
        <w:t xml:space="preserve">【提供软件界面截图或实际使用拍摄图（配套提供对应参数说明文件）】</w:t>
      </w:r>
      <w:bookmarkEnd w:id="58"/>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w:t>
      </w:r>
      <w:r>
        <w:rPr>
          <w:rFonts w:hint="eastAsia" w:ascii="宋体" w:hAnsi="宋体" w:eastAsia="宋体" w:cs="Times New Roman"/>
          <w:szCs w:val="21"/>
        </w:rPr>
        <w:t xml:space="preserve">可</w:t>
      </w:r>
      <w:r>
        <w:rPr>
          <w:rFonts w:ascii="宋体" w:hAnsi="宋体" w:eastAsia="宋体" w:cs="Times New Roman"/>
          <w:szCs w:val="21"/>
        </w:rPr>
        <w:t xml:space="preserve">支持适配第三方应用内容，提供Unity引擎对应的底层开发插件，并集成 XR/3D 全息应用的虚拟交互操作基础功能</w:t>
      </w:r>
      <w:bookmarkEnd w:id="55"/>
      <w:r>
        <w:rPr>
          <w:rFonts w:hint="eastAsia" w:ascii="宋体" w:hAnsi="宋体" w:eastAsia="宋体" w:cs="Times New Roman"/>
          <w:szCs w:val="21"/>
        </w:rPr>
        <w:t xml:space="preserve">。</w:t>
      </w:r>
      <w:r>
        <w:rPr>
          <w:rFonts w:hint="eastAsia" w:ascii="宋体" w:hAnsi="宋体" w:eastAsia="宋体" w:cs="Times New Roman"/>
          <w:b/>
          <w:bCs/>
          <w:szCs w:val="21"/>
        </w:rPr>
        <w:t xml:space="preserve">【投标方提供开发插件说明文档】</w:t>
      </w:r>
      <w:bookmarkEnd w:id="56"/>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e. 多源内容沉浸空间播放软件：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支持超高清全景视频解码；</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▲支持全景视频/照片及高斯扫描模型播放；</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▲支持无标记动捕播放控制及二次开发。</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1.1.9 音</w:t>
      </w:r>
      <w:r>
        <w:rPr>
          <w:rFonts w:hint="eastAsia" w:ascii="宋体" w:hAnsi="宋体" w:eastAsia="宋体" w:cs="Times New Roman"/>
          <w:szCs w:val="21"/>
        </w:rPr>
        <w:t xml:space="preserve">频与环境控制系统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w:t>
      </w:r>
      <w:r>
        <w:rPr>
          <w:rFonts w:hint="eastAsia" w:ascii="宋体" w:hAnsi="宋体" w:eastAsia="宋体" w:cs="Times New Roman"/>
          <w:szCs w:val="21"/>
        </w:rPr>
        <w:t xml:space="preserve">音响系统：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）数量：</w:t>
      </w:r>
      <w:r>
        <w:rPr>
          <w:rFonts w:ascii="宋体" w:hAnsi="宋体" w:eastAsia="宋体" w:cs="Times New Roman"/>
          <w:szCs w:val="21"/>
        </w:rPr>
        <w:t xml:space="preserve">1</w:t>
      </w:r>
      <w:r>
        <w:rPr>
          <w:rFonts w:hint="eastAsia" w:ascii="宋体" w:hAnsi="宋体" w:eastAsia="宋体" w:cs="Times New Roman"/>
          <w:szCs w:val="21"/>
        </w:rPr>
        <w:t xml:space="preserve">套</w:t>
      </w:r>
      <w:r>
        <w:rPr>
          <w:rFonts w:ascii="宋体" w:hAnsi="宋体" w:eastAsia="宋体" w:cs="Times New Roman"/>
          <w:szCs w:val="21"/>
        </w:rPr>
        <w:t xml:space="preserve">，</w:t>
      </w:r>
      <w:r>
        <w:rPr>
          <w:rFonts w:hint="eastAsia" w:ascii="宋体" w:hAnsi="宋体" w:eastAsia="宋体" w:cs="Times New Roman"/>
          <w:szCs w:val="21"/>
        </w:rPr>
        <w:t xml:space="preserve">高保真音响系统包括功率放大器和扩音器阵列；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2）功率放大器与扩音器阵列品质要求：</w:t>
      </w:r>
      <w:bookmarkStart w:id="59" w:name="OLE_LINK118"/>
      <w:r>
        <w:rPr>
          <w:rFonts w:hint="eastAsia" w:ascii="宋体" w:hAnsi="宋体" w:eastAsia="宋体" w:cs="Times New Roman"/>
          <w:szCs w:val="21"/>
        </w:rPr>
        <w:t xml:space="preserve">推荐JBL、BOSE、索尼、漫步者、雅马哈、飞利浦、舒尔、铁三角或同等品牌；</w:t>
      </w:r>
      <w:bookmarkEnd w:id="59"/>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3）★功率放大器解码声道数量：</w:t>
      </w:r>
      <w:r>
        <w:rPr>
          <w:rFonts w:hint="eastAsia" w:ascii="宋体" w:hAnsi="宋体" w:eastAsia="宋体" w:cs="Times New Roman"/>
          <w:szCs w:val="21"/>
        </w:rPr>
        <w:t xml:space="preserve">≥</w:t>
      </w:r>
      <w:r>
        <w:rPr>
          <w:rFonts w:hint="eastAsia" w:ascii="宋体" w:hAnsi="宋体" w:eastAsia="宋体" w:cs="Times New Roman"/>
          <w:szCs w:val="21"/>
        </w:rPr>
        <w:t xml:space="preserve">5.2声道；</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4）功率放大器额定输出功率：≥80W(6ohms,0.9%THD)，≥100W(8ohms,0.06%THD)</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5）功率放大器环绕声处理：至少支持8种环绕声模式（CINEMA DSP、DSP程序、虚拟丽声音箱、SILENT CINEMA/虚拟 CINEMA DSP、Dolby </w:t>
      </w:r>
      <w:r>
        <w:rPr>
          <w:rFonts w:hint="eastAsia" w:ascii="宋体" w:hAnsi="宋体" w:eastAsia="宋体" w:cs="Times New Roman"/>
          <w:szCs w:val="21"/>
        </w:rPr>
        <w:t xml:space="preserve">TrueHD</w:t>
      </w:r>
      <w:r>
        <w:rPr>
          <w:rFonts w:hint="eastAsia" w:ascii="宋体" w:hAnsi="宋体" w:eastAsia="宋体" w:cs="Times New Roman"/>
          <w:szCs w:val="21"/>
        </w:rPr>
        <w:t xml:space="preserve">、水平对白调整、Dolby Digital）；</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6）功率放大器应具备至少8种扩展接口HDMI输入/输出、USB输入、网络端口、WIFI、蓝牙、前面板AV输入、数字音频输入/输出光纤、数字音频输入/输出同轴；</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7）功率放大器应具备前面板屏幕操作功能，支持APP控制；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8）应包含高保真中置音箱1台，品质要求同功率放大器，参数要求如下：</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-频率响应：≥65Hz-26KHz；</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rPr>
        <w:t xml:space="preserve">灵敏度:</w:t>
      </w:r>
      <w:r>
        <w:rPr>
          <w:rFonts w:hint="eastAsia" w:ascii="宋体" w:hAnsi="宋体" w:eastAsia="宋体" w:cs="Times New Roman"/>
          <w:szCs w:val="21"/>
        </w:rPr>
        <w:t xml:space="preserve">≥87dB/2.83V/1m；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rPr>
        <w:t xml:space="preserve">功率:</w:t>
      </w:r>
      <w:r>
        <w:rPr>
          <w:rFonts w:hint="eastAsia" w:ascii="宋体" w:hAnsi="宋体" w:eastAsia="宋体" w:cs="Times New Roman"/>
          <w:szCs w:val="21"/>
        </w:rPr>
        <w:t xml:space="preserve">≥80W；</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-额定阻抗：8Ω；</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-高音</w:t>
      </w:r>
      <w:r>
        <w:rPr>
          <w:rFonts w:hint="eastAsia" w:ascii="宋体" w:hAnsi="宋体" w:eastAsia="宋体" w:cs="Times New Roman"/>
          <w:szCs w:val="21"/>
        </w:rPr>
        <w:t xml:space="preserve">单元:</w:t>
      </w:r>
      <w:r>
        <w:rPr>
          <w:rFonts w:hint="eastAsia" w:ascii="宋体" w:hAnsi="宋体" w:eastAsia="宋体" w:cs="Times New Roman"/>
          <w:szCs w:val="21"/>
        </w:rPr>
        <w:t xml:space="preserve">应采用1"Dhorm </w:t>
      </w:r>
      <w:r>
        <w:rPr>
          <w:rFonts w:hint="eastAsia" w:ascii="宋体" w:hAnsi="宋体" w:eastAsia="宋体" w:cs="Times New Roman"/>
          <w:szCs w:val="21"/>
        </w:rPr>
        <w:t xml:space="preserve">Tweete</w:t>
      </w:r>
      <w:r>
        <w:rPr>
          <w:rFonts w:hint="eastAsia" w:ascii="宋体" w:hAnsi="宋体" w:eastAsia="宋体" w:cs="Times New Roman"/>
          <w:szCs w:val="21"/>
        </w:rPr>
        <w:t xml:space="preserve">材质；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-低音</w:t>
      </w:r>
      <w:r>
        <w:rPr>
          <w:rFonts w:hint="eastAsia" w:ascii="宋体" w:hAnsi="宋体" w:eastAsia="宋体" w:cs="Times New Roman"/>
          <w:szCs w:val="21"/>
        </w:rPr>
        <w:t xml:space="preserve">单元:</w:t>
      </w:r>
      <w:r>
        <w:rPr>
          <w:rFonts w:hint="eastAsia" w:ascii="宋体" w:hAnsi="宋体" w:eastAsia="宋体" w:cs="Times New Roman"/>
          <w:szCs w:val="21"/>
        </w:rPr>
        <w:t xml:space="preserve">应采用 大于2*5"聚苯乙烯纤维材质扬声器；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9）应包含发烧级高保真主音箱4台，品质要求同功率放大器，参数要求如下：</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-频率响应：≥68Hz-21KHz±3dB；</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rPr>
        <w:t xml:space="preserve">灵敏度:</w:t>
      </w:r>
      <w:r>
        <w:rPr>
          <w:rFonts w:hint="eastAsia" w:ascii="宋体" w:hAnsi="宋体" w:eastAsia="宋体" w:cs="Times New Roman"/>
          <w:szCs w:val="21"/>
        </w:rPr>
        <w:t xml:space="preserve">≥90dB/2.83V/1m；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rPr>
        <w:t xml:space="preserve">功率:</w:t>
      </w:r>
      <w:r>
        <w:rPr>
          <w:rFonts w:hint="eastAsia" w:ascii="宋体" w:hAnsi="宋体" w:eastAsia="宋体" w:cs="Times New Roman"/>
          <w:szCs w:val="21"/>
        </w:rPr>
        <w:t xml:space="preserve">≥50W/200W；</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-额定</w:t>
      </w:r>
      <w:r>
        <w:rPr>
          <w:rFonts w:hint="eastAsia" w:ascii="宋体" w:hAnsi="宋体" w:eastAsia="宋体" w:cs="Times New Roman"/>
          <w:szCs w:val="21"/>
        </w:rPr>
        <w:t xml:space="preserve">阻抗:</w:t>
      </w:r>
      <w:r>
        <w:rPr>
          <w:rFonts w:hint="eastAsia" w:ascii="宋体" w:hAnsi="宋体" w:eastAsia="宋体" w:cs="Times New Roman"/>
          <w:szCs w:val="21"/>
        </w:rPr>
        <w:t xml:space="preserve"> 8Ω；</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-高音</w:t>
      </w:r>
      <w:r>
        <w:rPr>
          <w:rFonts w:hint="eastAsia" w:ascii="宋体" w:hAnsi="宋体" w:eastAsia="宋体" w:cs="Times New Roman"/>
          <w:szCs w:val="21"/>
        </w:rPr>
        <w:t xml:space="preserve">单元:</w:t>
      </w:r>
      <w:r>
        <w:rPr>
          <w:rFonts w:hint="eastAsia" w:ascii="宋体" w:hAnsi="宋体" w:eastAsia="宋体" w:cs="Times New Roman"/>
          <w:szCs w:val="21"/>
        </w:rPr>
        <w:t xml:space="preserve"> 采用1"LTS钛高音，混合截面号角；</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-低音</w:t>
      </w:r>
      <w:r>
        <w:rPr>
          <w:rFonts w:hint="eastAsia" w:ascii="宋体" w:hAnsi="宋体" w:eastAsia="宋体" w:cs="Times New Roman"/>
          <w:szCs w:val="21"/>
        </w:rPr>
        <w:t xml:space="preserve">单元:</w:t>
      </w:r>
      <w:r>
        <w:rPr>
          <w:rFonts w:hint="eastAsia" w:ascii="宋体" w:hAnsi="宋体" w:eastAsia="宋体" w:cs="Times New Roman"/>
          <w:szCs w:val="21"/>
        </w:rPr>
        <w:t xml:space="preserve">采用4”旋铜低音单元</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10）应包含发烧级超重低音音箱1台，品质要求同功率放大器，参数要求如下：</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-频率响应：32Hz-120Hz；</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-输出声压：≥112dB；</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rPr>
        <w:t xml:space="preserve">功率:</w:t>
      </w:r>
      <w:r>
        <w:rPr>
          <w:rFonts w:hint="eastAsia" w:ascii="宋体" w:hAnsi="宋体" w:eastAsia="宋体" w:cs="Times New Roman"/>
          <w:szCs w:val="21"/>
        </w:rPr>
        <w:t xml:space="preserve">≥150W/300W；</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-驱动</w:t>
      </w:r>
      <w:r>
        <w:rPr>
          <w:rFonts w:hint="eastAsia" w:ascii="宋体" w:hAnsi="宋体" w:eastAsia="宋体" w:cs="Times New Roman"/>
          <w:szCs w:val="21"/>
        </w:rPr>
        <w:t xml:space="preserve">单元:</w:t>
      </w:r>
      <w:r>
        <w:rPr>
          <w:rFonts w:hint="eastAsia" w:ascii="宋体" w:hAnsi="宋体" w:eastAsia="宋体" w:cs="Times New Roman"/>
          <w:szCs w:val="21"/>
        </w:rPr>
        <w:t xml:space="preserve"> 采用≥10寸（25.4厘米）的长冲程前置式低音单元；</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-具备相位调节功能，在0-180度间可调；</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LED</w:t>
      </w:r>
      <w:r>
        <w:rPr>
          <w:rFonts w:hint="eastAsia" w:ascii="宋体" w:hAnsi="宋体" w:eastAsia="宋体" w:cs="Times New Roman"/>
          <w:szCs w:val="21"/>
        </w:rPr>
        <w:t xml:space="preserve">环境光系统：</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可编程RGB，支持DMX控制，可控制亮度、照度及场景联动。</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1.1.10 </w:t>
      </w:r>
      <w:r>
        <w:rPr>
          <w:rFonts w:hint="eastAsia" w:ascii="宋体" w:hAnsi="宋体" w:eastAsia="宋体" w:cs="Times New Roman"/>
          <w:szCs w:val="21"/>
        </w:rPr>
        <w:t xml:space="preserve">辅助系统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无线路由器：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至少具备1个千兆WAN口和8个千兆LAN口。</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网络交换机：</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10/100/1000Base-T电口≥24个，1000Base-X SFP端口≥2个；</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交换容量≥52Gbps；</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机架式安装。</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c. 服务器机柜：</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尺寸≥600mm（宽）×1000mm（深）×2055mm（高）；</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优质冷轧钢；风扇≥2个；</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▲插排数量≥2个（4kW容量/个）；</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托盘≥5个。</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d. 控制台：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尺寸≥3600×800×900mm；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微弧形台面；</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4）台面板：台面木质环保颗粒板贴防火板，整体厚度不低于</w:t>
      </w:r>
      <w:r>
        <w:rPr>
          <w:rFonts w:ascii="宋体" w:hAnsi="宋体" w:eastAsia="宋体" w:cs="Times New Roman"/>
          <w:szCs w:val="21"/>
        </w:rPr>
        <w:t xml:space="preserve">25mm</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含键盘抽屉、托盘、走线孔；</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▲显示屏挂架≥4套，可承载15–32英寸显示器。</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e. 实验桌椅：</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含折叠培训桌，尺寸≥1400×600×750mm；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采用E0级环保板材；</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含4套人体工学座椅。</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f. 智能配电柜：</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为系统供电，具备PLC功能，支持手动/自动开关切换，容量</w:t>
      </w:r>
      <w:r>
        <w:rPr>
          <w:rFonts w:hint="eastAsia" w:ascii="宋体" w:hAnsi="宋体" w:eastAsia="宋体" w:cs="Times New Roman"/>
          <w:szCs w:val="21"/>
        </w:rPr>
        <w:t xml:space="preserve">≥</w:t>
      </w:r>
      <w:r>
        <w:rPr>
          <w:rFonts w:ascii="宋体" w:hAnsi="宋体" w:eastAsia="宋体" w:cs="Times New Roman"/>
          <w:szCs w:val="21"/>
        </w:rPr>
        <w:t xml:space="preserve">15kW。</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g. UPS电源系统：</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2）额定容量：≥</w:t>
      </w:r>
      <w:r>
        <w:rPr>
          <w:rFonts w:ascii="宋体" w:hAnsi="宋体" w:eastAsia="宋体" w:cs="Times New Roman"/>
          <w:szCs w:val="21"/>
        </w:rPr>
        <w:t xml:space="preserve">20KVA</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3）输入电压：</w:t>
      </w:r>
      <w:r>
        <w:rPr>
          <w:rFonts w:ascii="宋体" w:hAnsi="宋体" w:eastAsia="宋体" w:cs="Times New Roman"/>
          <w:szCs w:val="21"/>
        </w:rPr>
        <w:t xml:space="preserve">380V/220V</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4）输出电压及输出失真度：</w:t>
      </w:r>
      <w:r>
        <w:rPr>
          <w:rFonts w:ascii="宋体" w:hAnsi="宋体" w:eastAsia="宋体" w:cs="Times New Roman"/>
          <w:szCs w:val="21"/>
        </w:rPr>
        <w:t xml:space="preserve">220V/240V</w:t>
      </w:r>
      <w:r>
        <w:rPr>
          <w:rFonts w:hint="eastAsia" w:ascii="宋体" w:hAnsi="宋体" w:eastAsia="宋体" w:cs="Times New Roman"/>
          <w:szCs w:val="21"/>
        </w:rPr>
        <w:t xml:space="preserve">±</w:t>
      </w:r>
      <w:r>
        <w:rPr>
          <w:rFonts w:ascii="宋体" w:hAnsi="宋体" w:eastAsia="宋体" w:cs="Times New Roman"/>
          <w:szCs w:val="21"/>
        </w:rPr>
        <w:t xml:space="preserve">1% THDU</w:t>
      </w:r>
      <w:r>
        <w:rPr>
          <w:rFonts w:hint="eastAsia" w:ascii="宋体" w:hAnsi="宋体" w:eastAsia="宋体" w:cs="Times New Roman"/>
          <w:szCs w:val="21"/>
        </w:rPr>
        <w:t xml:space="preserve">＜</w:t>
      </w:r>
      <w:r>
        <w:rPr>
          <w:rFonts w:ascii="宋体" w:hAnsi="宋体" w:eastAsia="宋体" w:cs="Times New Roman"/>
          <w:szCs w:val="21"/>
        </w:rPr>
        <w:t xml:space="preserve">2%</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w:t>
      </w:r>
      <w:r>
        <w:rPr>
          <w:rFonts w:hint="eastAsia" w:ascii="宋体" w:hAnsi="宋体" w:eastAsia="宋体" w:cs="Times New Roman"/>
          <w:szCs w:val="21"/>
        </w:rPr>
        <w:t xml:space="preserve">效率：＞</w:t>
      </w:r>
      <w:r>
        <w:rPr>
          <w:rFonts w:ascii="宋体" w:hAnsi="宋体" w:eastAsia="宋体" w:cs="Times New Roman"/>
          <w:szCs w:val="21"/>
        </w:rPr>
        <w:t xml:space="preserve">93.5%</w:t>
      </w:r>
      <w:r>
        <w:rPr>
          <w:rFonts w:hint="eastAsia" w:ascii="宋体" w:hAnsi="宋体" w:eastAsia="宋体" w:cs="Times New Roman"/>
          <w:szCs w:val="21"/>
        </w:rPr>
        <w:t xml:space="preserve">（在线模式），＞</w:t>
      </w:r>
      <w:r>
        <w:rPr>
          <w:rFonts w:ascii="宋体" w:hAnsi="宋体" w:eastAsia="宋体" w:cs="Times New Roman"/>
          <w:szCs w:val="21"/>
        </w:rPr>
        <w:t xml:space="preserve">98%</w:t>
      </w:r>
      <w:r>
        <w:rPr>
          <w:rFonts w:hint="eastAsia" w:ascii="宋体" w:hAnsi="宋体" w:eastAsia="宋体" w:cs="Times New Roman"/>
          <w:szCs w:val="21"/>
        </w:rPr>
        <w:t xml:space="preserve">（</w:t>
      </w:r>
      <w:r>
        <w:rPr>
          <w:rFonts w:ascii="宋体" w:hAnsi="宋体" w:eastAsia="宋体" w:cs="Times New Roman"/>
          <w:szCs w:val="21"/>
        </w:rPr>
        <w:t xml:space="preserve">ECO</w:t>
      </w:r>
      <w:r>
        <w:rPr>
          <w:rFonts w:hint="eastAsia" w:ascii="宋体" w:hAnsi="宋体" w:eastAsia="宋体" w:cs="Times New Roman"/>
          <w:szCs w:val="21"/>
        </w:rPr>
        <w:t xml:space="preserve">模式）</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w:t>
      </w:r>
      <w:r>
        <w:rPr>
          <w:rFonts w:hint="eastAsia" w:ascii="宋体" w:hAnsi="宋体" w:eastAsia="宋体" w:cs="Times New Roman"/>
          <w:szCs w:val="21"/>
        </w:rPr>
        <w:t xml:space="preserve">过载能力：≥10分钟</w:t>
      </w:r>
      <w:r>
        <w:rPr>
          <w:rFonts w:hint="eastAsia" w:ascii="宋体" w:hAnsi="宋体" w:eastAsia="宋体" w:cs="Times New Roman"/>
          <w:szCs w:val="21"/>
        </w:rPr>
        <w:t xml:space="preserve">(</w:t>
      </w:r>
      <w:r>
        <w:rPr>
          <w:rFonts w:ascii="宋体" w:hAnsi="宋体" w:eastAsia="宋体" w:cs="Times New Roman"/>
          <w:szCs w:val="21"/>
        </w:rPr>
        <w:t xml:space="preserve">105%-125%</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7）噪声：≤</w:t>
      </w:r>
      <w:r>
        <w:rPr>
          <w:rFonts w:ascii="宋体" w:hAnsi="宋体" w:eastAsia="宋体" w:cs="Times New Roman"/>
          <w:szCs w:val="21"/>
        </w:rPr>
        <w:t xml:space="preserve">50dB</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8）尺寸：≤</w:t>
      </w:r>
      <w:r>
        <w:rPr>
          <w:rFonts w:ascii="宋体" w:hAnsi="宋体" w:eastAsia="宋体" w:cs="Times New Roman"/>
          <w:szCs w:val="21"/>
        </w:rPr>
        <w:t xml:space="preserve">248mm</w:t>
      </w:r>
      <w:r>
        <w:rPr>
          <w:rFonts w:hint="eastAsia" w:ascii="宋体" w:hAnsi="宋体" w:eastAsia="宋体" w:cs="Times New Roman"/>
          <w:szCs w:val="21"/>
        </w:rPr>
        <w:t xml:space="preserve">×</w:t>
      </w:r>
      <w:r>
        <w:rPr>
          <w:rFonts w:ascii="宋体" w:hAnsi="宋体" w:eastAsia="宋体" w:cs="Times New Roman"/>
          <w:szCs w:val="21"/>
        </w:rPr>
        <w:t xml:space="preserve">565mm</w:t>
      </w:r>
      <w:r>
        <w:rPr>
          <w:rFonts w:hint="eastAsia" w:ascii="宋体" w:hAnsi="宋体" w:eastAsia="宋体" w:cs="Times New Roman"/>
          <w:szCs w:val="21"/>
        </w:rPr>
        <w:t xml:space="preserve">×</w:t>
      </w:r>
      <w:r>
        <w:rPr>
          <w:rFonts w:ascii="宋体" w:hAnsi="宋体" w:eastAsia="宋体" w:cs="Times New Roman"/>
          <w:szCs w:val="21"/>
        </w:rPr>
        <w:t xml:space="preserve">500mm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9）重量：≤</w:t>
      </w:r>
      <w:r>
        <w:rPr>
          <w:rFonts w:ascii="宋体" w:hAnsi="宋体" w:eastAsia="宋体" w:cs="Times New Roman"/>
          <w:szCs w:val="21"/>
        </w:rPr>
        <w:t xml:space="preserve">31</w:t>
      </w:r>
      <w:r>
        <w:rPr>
          <w:rFonts w:hint="eastAsia" w:ascii="宋体" w:hAnsi="宋体" w:eastAsia="宋体" w:cs="Times New Roman"/>
          <w:szCs w:val="21"/>
        </w:rPr>
        <w:t xml:space="preserve">公斤</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10）</w:t>
      </w:r>
      <w:r>
        <w:rPr>
          <w:rFonts w:ascii="宋体" w:hAnsi="宋体" w:eastAsia="宋体" w:cs="Times New Roman"/>
          <w:szCs w:val="21"/>
        </w:rPr>
        <w:t xml:space="preserve">▲</w:t>
      </w:r>
      <w:r>
        <w:rPr>
          <w:rFonts w:hint="eastAsia" w:ascii="宋体" w:hAnsi="宋体" w:eastAsia="宋体" w:cs="Times New Roman"/>
          <w:szCs w:val="21"/>
        </w:rPr>
        <w:t xml:space="preserve">后备延时时间：≥30分钟</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11）包含电池柜：1台</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1.1.11 早期</w:t>
      </w:r>
      <w:r>
        <w:rPr>
          <w:rFonts w:hint="eastAsia" w:ascii="宋体" w:hAnsi="宋体" w:eastAsia="宋体" w:cs="Times New Roman"/>
          <w:szCs w:val="21"/>
        </w:rPr>
        <w:t xml:space="preserve">电气火灾预警系统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热源/离子探测器：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2）▲预警系统采用烟雾探测技术对热过载故障情况进行判断并预警；能够分析探测，在还未产生烟雾阶段进行预警，能提前探测到电池过充情况，在电池未发生爆炸之前进行预警</w:t>
      </w:r>
      <w:r>
        <w:rPr>
          <w:rFonts w:hint="eastAsia" w:ascii="宋体" w:hAnsi="宋体" w:eastAsia="宋体" w:cs="Times New Roman"/>
          <w:szCs w:val="21"/>
        </w:rPr>
        <w:t xml:space="preserve">；</w:t>
      </w:r>
      <w:r>
        <w:rPr>
          <w:rFonts w:hint="eastAsia" w:ascii="宋体" w:hAnsi="宋体" w:eastAsia="宋体" w:cs="Times New Roman"/>
          <w:b/>
          <w:bCs/>
          <w:szCs w:val="21"/>
        </w:rPr>
        <w:t xml:space="preserve">【</w:t>
      </w:r>
      <w:r>
        <w:rPr>
          <w:rFonts w:ascii="宋体" w:hAnsi="宋体" w:eastAsia="宋体" w:cs="Times New Roman"/>
          <w:b/>
          <w:bCs/>
          <w:szCs w:val="21"/>
        </w:rPr>
        <w:t xml:space="preserve">提供第三方检测机构出具的检测报告</w:t>
      </w:r>
      <w:r>
        <w:rPr>
          <w:rFonts w:ascii="宋体" w:hAnsi="宋体" w:eastAsia="宋体" w:cs="Times New Roman"/>
          <w:b/>
          <w:bCs/>
          <w:szCs w:val="21"/>
        </w:rPr>
        <w:t xml:space="preserve">扫描</w:t>
      </w:r>
      <w:r>
        <w:rPr>
          <w:rFonts w:ascii="宋体" w:hAnsi="宋体" w:eastAsia="宋体" w:cs="Times New Roman"/>
          <w:b/>
          <w:bCs/>
          <w:szCs w:val="21"/>
        </w:rPr>
        <w:t xml:space="preserve">件</w:t>
      </w:r>
      <w:r>
        <w:rPr>
          <w:rFonts w:hint="eastAsia"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3）输入电压：额定电压24V</w:t>
      </w:r>
      <w:r>
        <w:rPr>
          <w:rFonts w:hint="eastAsia" w:ascii="宋体" w:hAnsi="宋体" w:eastAsia="宋体" w:cs="Times New Roman"/>
          <w:szCs w:val="21"/>
        </w:rPr>
        <w:t xml:space="preserve">(-15%~+10%)</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4）灵敏度范围：0.001%～20%obs/m</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hint="eastAsia" w:ascii="宋体" w:hAnsi="宋体" w:eastAsia="宋体" w:cs="Times New Roman"/>
          <w:szCs w:val="21"/>
        </w:rPr>
        <w:t xml:space="preserve">）联网方式:RS485/CN、蓝牙、4G</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hint="eastAsia" w:ascii="宋体" w:hAnsi="宋体" w:eastAsia="宋体" w:cs="Times New Roman"/>
          <w:szCs w:val="21"/>
        </w:rPr>
        <w:t xml:space="preserve">）▲探测器根据洁净、普通、复杂及严苛四个环境调整报警灵敏度，以满足各种场所对火灾监控的要求；根据不同烟雾浓度发出相应警报</w:t>
      </w:r>
      <w:r>
        <w:rPr>
          <w:rFonts w:hint="eastAsia" w:ascii="宋体" w:hAnsi="宋体" w:eastAsia="宋体" w:cs="Times New Roman"/>
          <w:szCs w:val="21"/>
        </w:rPr>
        <w:t xml:space="preserve">；</w:t>
      </w:r>
      <w:r>
        <w:rPr>
          <w:rFonts w:hint="eastAsia" w:ascii="宋体" w:hAnsi="宋体" w:eastAsia="宋体" w:cs="Times New Roman"/>
          <w:b/>
          <w:bCs/>
          <w:szCs w:val="21"/>
        </w:rPr>
        <w:t xml:space="preserve">【</w:t>
      </w:r>
      <w:r>
        <w:rPr>
          <w:rFonts w:ascii="宋体" w:hAnsi="宋体" w:eastAsia="宋体" w:cs="Times New Roman"/>
          <w:b/>
          <w:bCs/>
          <w:szCs w:val="21"/>
        </w:rPr>
        <w:t xml:space="preserve">提供第三方检测机构出具的检测报告</w:t>
      </w:r>
      <w:r>
        <w:rPr>
          <w:rFonts w:ascii="宋体" w:hAnsi="宋体" w:eastAsia="宋体" w:cs="Times New Roman"/>
          <w:b/>
          <w:bCs/>
          <w:szCs w:val="21"/>
        </w:rPr>
        <w:t xml:space="preserve">扫描</w:t>
      </w:r>
      <w:r>
        <w:rPr>
          <w:rFonts w:ascii="宋体" w:hAnsi="宋体" w:eastAsia="宋体" w:cs="Times New Roman"/>
          <w:b/>
          <w:bCs/>
          <w:szCs w:val="21"/>
        </w:rPr>
        <w:t xml:space="preserve">件</w:t>
      </w:r>
      <w:r>
        <w:rPr>
          <w:rFonts w:hint="eastAsia"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w:t>
      </w:r>
      <w:r>
        <w:rPr>
          <w:rFonts w:hint="eastAsia" w:ascii="宋体" w:hAnsi="宋体" w:eastAsia="宋体" w:cs="Times New Roman"/>
          <w:szCs w:val="21"/>
        </w:rPr>
        <w:t xml:space="preserve">）▲探测器具有显示屏，具有无线通信功能，支持现场操作和测试，探测器能连接到智能终端（如手机），并能及时显示烟雾浓度、特征气体浓度、温湿度等参数，方便在智能终端上查看烟雾浓度的变化趋势</w:t>
      </w:r>
      <w:bookmarkStart w:id="60" w:name="OLE_LINK116"/>
      <w:r>
        <w:rPr>
          <w:rFonts w:hint="eastAsia" w:ascii="宋体" w:hAnsi="宋体" w:eastAsia="宋体" w:cs="Times New Roman"/>
          <w:szCs w:val="21"/>
        </w:rPr>
        <w:t xml:space="preserve">；</w:t>
      </w:r>
      <w:bookmarkEnd w:id="60"/>
      <w:r>
        <w:rPr>
          <w:rFonts w:hint="eastAsia" w:ascii="宋体" w:hAnsi="宋体" w:eastAsia="宋体" w:cs="Times New Roman"/>
          <w:b/>
          <w:bCs/>
          <w:szCs w:val="21"/>
        </w:rPr>
        <w:t xml:space="preserve">【</w:t>
      </w:r>
      <w:r>
        <w:rPr>
          <w:rFonts w:ascii="宋体" w:hAnsi="宋体" w:eastAsia="宋体" w:cs="Times New Roman"/>
          <w:b/>
          <w:bCs/>
          <w:szCs w:val="21"/>
        </w:rPr>
        <w:t xml:space="preserve">提供第三方检测机构出具的检测报告</w:t>
      </w:r>
      <w:r>
        <w:rPr>
          <w:rFonts w:ascii="宋体" w:hAnsi="宋体" w:eastAsia="宋体" w:cs="Times New Roman"/>
          <w:b/>
          <w:bCs/>
          <w:szCs w:val="21"/>
        </w:rPr>
        <w:t xml:space="preserve">扫描</w:t>
      </w:r>
      <w:r>
        <w:rPr>
          <w:rFonts w:ascii="宋体" w:hAnsi="宋体" w:eastAsia="宋体" w:cs="Times New Roman"/>
          <w:b/>
          <w:bCs/>
          <w:szCs w:val="21"/>
        </w:rPr>
        <w:t xml:space="preserve">件</w:t>
      </w:r>
      <w:r>
        <w:rPr>
          <w:rFonts w:hint="eastAsia"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w:t>
      </w:r>
      <w:r>
        <w:rPr>
          <w:rFonts w:hint="eastAsia" w:ascii="宋体" w:hAnsi="宋体" w:eastAsia="宋体" w:cs="Times New Roman"/>
          <w:szCs w:val="21"/>
        </w:rPr>
        <w:t xml:space="preserve">）探测器具有 RS485 通信功能，支持 MODBUS 协议，具有 2 路干接点输出功能</w:t>
      </w:r>
      <w:r>
        <w:rPr>
          <w:rFonts w:hint="eastAsia" w:ascii="宋体" w:hAnsi="宋体" w:eastAsia="宋体" w:cs="Times New Roman"/>
          <w:szCs w:val="21"/>
        </w:rPr>
        <w:t xml:space="preserve">；</w:t>
      </w:r>
      <w:r>
        <w:rPr>
          <w:rFonts w:hint="eastAsia" w:ascii="宋体" w:hAnsi="宋体" w:eastAsia="宋体" w:cs="Times New Roman"/>
          <w:szCs w:val="21"/>
        </w:rPr>
        <w:t xml:space="preserve"> </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w:t>
      </w:r>
      <w:r>
        <w:rPr>
          <w:rFonts w:hint="eastAsia" w:ascii="宋体" w:hAnsi="宋体" w:eastAsia="宋体" w:cs="Times New Roman"/>
          <w:szCs w:val="21"/>
        </w:rPr>
        <w:t xml:space="preserve">）▲为防止长时悬浮的粉尘影响探测器报警准确率，探测器需经不间断 5 分钟的灰尘和水雾测试不报警、不报故障；</w:t>
      </w:r>
      <w:r>
        <w:rPr>
          <w:rFonts w:hint="eastAsia" w:ascii="宋体" w:hAnsi="宋体" w:eastAsia="宋体" w:cs="Times New Roman"/>
          <w:b/>
          <w:bCs/>
          <w:szCs w:val="21"/>
        </w:rPr>
        <w:t xml:space="preserve">【</w:t>
      </w:r>
      <w:r>
        <w:rPr>
          <w:rFonts w:ascii="宋体" w:hAnsi="宋体" w:eastAsia="宋体" w:cs="Times New Roman"/>
          <w:b/>
          <w:bCs/>
          <w:szCs w:val="21"/>
        </w:rPr>
        <w:t xml:space="preserve">提供第三方检测机构出具的检测报告</w:t>
      </w:r>
      <w:r>
        <w:rPr>
          <w:rFonts w:ascii="宋体" w:hAnsi="宋体" w:eastAsia="宋体" w:cs="Times New Roman"/>
          <w:b/>
          <w:bCs/>
          <w:szCs w:val="21"/>
        </w:rPr>
        <w:t xml:space="preserve">扫描</w:t>
      </w:r>
      <w:r>
        <w:rPr>
          <w:rFonts w:ascii="宋体" w:hAnsi="宋体" w:eastAsia="宋体" w:cs="Times New Roman"/>
          <w:b/>
          <w:bCs/>
          <w:szCs w:val="21"/>
        </w:rPr>
        <w:t xml:space="preserve">件</w:t>
      </w:r>
      <w:r>
        <w:rPr>
          <w:rFonts w:hint="eastAsia"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rPr>
        <w:t xml:space="preserve">0</w:t>
      </w:r>
      <w:r>
        <w:rPr>
          <w:rFonts w:hint="eastAsia" w:ascii="宋体" w:hAnsi="宋体" w:eastAsia="宋体" w:cs="Times New Roman"/>
          <w:szCs w:val="21"/>
        </w:rPr>
        <w:t xml:space="preserve">）▲产品具有静电放电抗扰度测试、电快速瞬变脉冲群抗扰度测试、浪涌（冲击）抗扰度测试、射频场感应的传导骚扰抗扰度测试</w:t>
      </w:r>
      <w:r>
        <w:rPr>
          <w:rFonts w:hint="eastAsia" w:ascii="宋体" w:hAnsi="宋体" w:eastAsia="宋体" w:cs="Times New Roman"/>
          <w:szCs w:val="21"/>
        </w:rPr>
        <w:t xml:space="preserve">；</w:t>
      </w:r>
      <w:r>
        <w:rPr>
          <w:rFonts w:hint="eastAsia" w:ascii="宋体" w:hAnsi="宋体" w:eastAsia="宋体" w:cs="Times New Roman"/>
          <w:b/>
          <w:bCs/>
          <w:szCs w:val="21"/>
        </w:rPr>
        <w:t xml:space="preserve">【</w:t>
      </w:r>
      <w:r>
        <w:rPr>
          <w:rFonts w:ascii="宋体" w:hAnsi="宋体" w:eastAsia="宋体" w:cs="Times New Roman"/>
          <w:b/>
          <w:bCs/>
          <w:szCs w:val="21"/>
        </w:rPr>
        <w:t xml:space="preserve">提供第三方检测机构出具的检测报告</w:t>
      </w:r>
      <w:r>
        <w:rPr>
          <w:rFonts w:ascii="宋体" w:hAnsi="宋体" w:eastAsia="宋体" w:cs="Times New Roman"/>
          <w:b/>
          <w:bCs/>
          <w:szCs w:val="21"/>
        </w:rPr>
        <w:t xml:space="preserve">扫描</w:t>
      </w:r>
      <w:r>
        <w:rPr>
          <w:rFonts w:ascii="宋体" w:hAnsi="宋体" w:eastAsia="宋体" w:cs="Times New Roman"/>
          <w:b/>
          <w:bCs/>
          <w:szCs w:val="21"/>
        </w:rPr>
        <w:t xml:space="preserve">件</w:t>
      </w:r>
      <w:r>
        <w:rPr>
          <w:rFonts w:hint="eastAsia"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11</w:t>
      </w:r>
      <w:r>
        <w:rPr>
          <w:rFonts w:hint="eastAsia" w:ascii="宋体" w:hAnsi="宋体" w:eastAsia="宋体" w:cs="Times New Roman"/>
          <w:szCs w:val="21"/>
        </w:rPr>
        <w:t xml:space="preserve">）探测器系统具有查询当前告警，历史告警以及事件记录（包括告警事件、控制操作及其发生时间和其他信息）</w:t>
      </w:r>
      <w:r>
        <w:rPr>
          <w:rFonts w:hint="eastAsia" w:ascii="宋体" w:hAnsi="宋体" w:eastAsia="宋体" w:cs="Times New Roman"/>
          <w:szCs w:val="21"/>
        </w:rPr>
        <w:t xml:space="preserve">，</w:t>
      </w:r>
      <w:r>
        <w:rPr>
          <w:rFonts w:hint="eastAsia" w:ascii="宋体" w:hAnsi="宋体" w:eastAsia="宋体" w:cs="Times New Roman"/>
          <w:szCs w:val="21"/>
        </w:rPr>
        <w:t xml:space="preserve">告警记录达到 32000 条；</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12</w:t>
      </w:r>
      <w:r>
        <w:rPr>
          <w:rFonts w:hint="eastAsia" w:ascii="宋体" w:hAnsi="宋体" w:eastAsia="宋体" w:cs="Times New Roman"/>
          <w:szCs w:val="21"/>
        </w:rPr>
        <w:t xml:space="preserve">）探测器应做屏蔽设计，以确保系统在强电磁辐射环境下的可靠运行。</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预警系统数据平台：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数据查看与状态识别：能以监视图、数据表格、曲线等方式实时动态显示所监测的数据和状态，并能手动修改/操作需查看数据的类型、时间、变化趋势等；能够根据设置的阈值自动识别正常运行和安全隐患、火警等状态。</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3）远程管理：能查看保护空间内所有探测器或终端的信息及实时运行状态，并能通过软件对其工作方式、灵敏度、预警等级等进行远程调试。</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4）▲历史告警：可查询所有设备的告警信息，也可筛选单台设备，可筛选告警类型，可自定义查询起止时间，所查询数据可执行打印和保存到本地等操作</w:t>
      </w:r>
      <w:r>
        <w:rPr>
          <w:rFonts w:hint="eastAsia" w:ascii="宋体" w:hAnsi="宋体" w:eastAsia="宋体" w:cs="Times New Roman"/>
          <w:szCs w:val="21"/>
        </w:rPr>
        <w:t xml:space="preserve">；</w:t>
      </w:r>
      <w:r>
        <w:rPr>
          <w:rFonts w:hint="eastAsia" w:ascii="宋体" w:hAnsi="宋体" w:eastAsia="宋体" w:cs="Times New Roman"/>
          <w:b/>
          <w:bCs/>
          <w:szCs w:val="21"/>
        </w:rPr>
        <w:t xml:space="preserve">【</w:t>
      </w:r>
      <w:r>
        <w:rPr>
          <w:rFonts w:ascii="宋体" w:hAnsi="宋体" w:eastAsia="宋体" w:cs="Times New Roman"/>
          <w:b/>
          <w:bCs/>
          <w:szCs w:val="21"/>
        </w:rPr>
        <w:t xml:space="preserve">提供软件历史告警界面功能截图</w:t>
      </w:r>
      <w:r>
        <w:rPr>
          <w:rFonts w:hint="eastAsia"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5）运行设备异常趋势预警：软件系统应将前端采集到的热释离子和温度值等数据，结合大数据算法，定期总结被保护区运行设备的状态，当存在异常趋势时提前通知用户采取相应手段。</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6）▲报表查询：可查询显示该设备所探测特征产物的历史浓度值，并将数据生成日报表、月报表、年报表，可对所查询报表执行打印和保存到本地等操作</w:t>
      </w:r>
      <w:r>
        <w:rPr>
          <w:rFonts w:hint="eastAsia" w:ascii="宋体" w:hAnsi="宋体" w:eastAsia="宋体" w:cs="Times New Roman"/>
          <w:szCs w:val="21"/>
        </w:rPr>
        <w:t xml:space="preserve">；</w:t>
      </w:r>
      <w:r>
        <w:rPr>
          <w:rFonts w:hint="eastAsia" w:ascii="宋体" w:hAnsi="宋体" w:eastAsia="宋体" w:cs="Times New Roman"/>
          <w:b/>
          <w:bCs/>
          <w:szCs w:val="21"/>
        </w:rPr>
        <w:t xml:space="preserve">【</w:t>
      </w:r>
      <w:r>
        <w:rPr>
          <w:rFonts w:ascii="宋体" w:hAnsi="宋体" w:eastAsia="宋体" w:cs="Times New Roman"/>
          <w:b/>
          <w:bCs/>
          <w:szCs w:val="21"/>
        </w:rPr>
        <w:t xml:space="preserve">提供软件报表查询功能截图</w:t>
      </w:r>
      <w:r>
        <w:rPr>
          <w:rFonts w:hint="eastAsia"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7）▲历史曲线：可查询显示该设备所探测特征产物的历史曲线图，可以更直观的了解数据的变化趋势，可自定义选择查询的起止时间</w:t>
      </w:r>
      <w:r>
        <w:rPr>
          <w:rFonts w:hint="eastAsia" w:ascii="宋体" w:hAnsi="宋体" w:eastAsia="宋体" w:cs="Times New Roman"/>
          <w:szCs w:val="21"/>
        </w:rPr>
        <w:t xml:space="preserve">；</w:t>
      </w:r>
      <w:r>
        <w:rPr>
          <w:rFonts w:hint="eastAsia" w:ascii="宋体" w:hAnsi="宋体" w:eastAsia="宋体" w:cs="Times New Roman"/>
          <w:b/>
          <w:bCs/>
          <w:szCs w:val="21"/>
        </w:rPr>
        <w:t xml:space="preserve">【</w:t>
      </w:r>
      <w:r>
        <w:rPr>
          <w:rFonts w:hint="eastAsia" w:ascii="宋体" w:hAnsi="宋体" w:eastAsia="宋体" w:cs="Times New Roman"/>
          <w:szCs w:val="21"/>
        </w:rPr>
        <w:t xml:space="preserve">提供软件功能截图</w:t>
      </w:r>
      <w:r>
        <w:rPr>
          <w:rFonts w:hint="eastAsia"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8）▲设备状态汇总：设备状态汇总展示栏会实时显示处于当前状态的前端设备数量。且设备列表也会以颜色同步显示此设备的状态，黄色代表故障，红色代表告警</w:t>
      </w:r>
      <w:r>
        <w:rPr>
          <w:rFonts w:hint="eastAsia" w:ascii="宋体" w:hAnsi="宋体" w:eastAsia="宋体" w:cs="Times New Roman"/>
          <w:szCs w:val="21"/>
        </w:rPr>
        <w:t xml:space="preserve">；</w:t>
      </w:r>
      <w:r>
        <w:rPr>
          <w:rFonts w:hint="eastAsia" w:ascii="宋体" w:hAnsi="宋体" w:eastAsia="宋体" w:cs="Times New Roman"/>
          <w:b/>
          <w:bCs/>
          <w:szCs w:val="21"/>
        </w:rPr>
        <w:t xml:space="preserve">【</w:t>
      </w:r>
      <w:r>
        <w:rPr>
          <w:rFonts w:hint="eastAsia" w:ascii="宋体" w:hAnsi="宋体" w:eastAsia="宋体" w:cs="Times New Roman"/>
          <w:szCs w:val="21"/>
        </w:rPr>
        <w:t xml:space="preserve">提供软件功能截图</w:t>
      </w:r>
      <w:r>
        <w:rPr>
          <w:rFonts w:hint="eastAsia"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1.1.12 沉浸式虚</w:t>
      </w:r>
      <w:r>
        <w:rPr>
          <w:rFonts w:hint="eastAsia" w:ascii="宋体" w:hAnsi="宋体" w:eastAsia="宋体" w:cs="Times New Roman"/>
          <w:szCs w:val="21"/>
        </w:rPr>
        <w:t xml:space="preserve">拟现实行为与认知实验环境定制</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苏州拙政园场景定制：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定制苏州拙政园古典园林CAVE沉浸式虚拟环境，复刻亭台楼阁、曲水回廊、假山绿植、造景布局等核心元素，支持自由漫游、细节观测和行为交互实验。</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1.1.13 演示</w:t>
      </w:r>
      <w:r>
        <w:rPr>
          <w:rFonts w:hint="eastAsia" w:ascii="宋体" w:hAnsi="宋体" w:eastAsia="宋体" w:cs="Times New Roman"/>
          <w:szCs w:val="21"/>
        </w:rPr>
        <w:t xml:space="preserve">软件</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CAVE系统三维场景演示软件：</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提供5个三维场景演示软件；</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支持在CAVE内适配播放，适配至少三面或四面加地面的投影结构；</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支持六自由度漫游及基础交互。</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CAVE系统全景视频：</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★提供分辨率</w:t>
      </w:r>
      <w:r>
        <w:rPr>
          <w:rFonts w:hint="eastAsia" w:ascii="宋体" w:hAnsi="宋体" w:eastAsia="宋体" w:cs="Times New Roman"/>
          <w:szCs w:val="21"/>
        </w:rPr>
        <w:t xml:space="preserve">≥</w:t>
      </w:r>
      <w:r>
        <w:rPr>
          <w:rFonts w:ascii="宋体" w:hAnsi="宋体" w:eastAsia="宋体" w:cs="Times New Roman"/>
          <w:szCs w:val="21"/>
        </w:rPr>
        <w:t xml:space="preserve">8K的全景视频，数量≥20个。</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1.2 </w:t>
      </w:r>
      <w:r>
        <w:rPr>
          <w:rFonts w:hint="eastAsia" w:ascii="宋体" w:hAnsi="宋体" w:eastAsia="宋体" w:cs="Times New Roman"/>
          <w:szCs w:val="21"/>
        </w:rPr>
        <w:t xml:space="preserve">质量控制要求</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在方案设计阶段、验收阶段设置质量控制点，须生成所需文档，并实施严格评审程序。</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测试结果需满足任务书内规定的技术指标、技术要求、安全性可靠性及维修性要求，测试覆盖率应达到100%。</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研制过程如出现技术状态更改，应按书面流程提交更改申请，经采购人确认后实施。</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1.3 安全性、可靠性与</w:t>
      </w:r>
      <w:r>
        <w:rPr>
          <w:rFonts w:hint="eastAsia" w:ascii="宋体" w:hAnsi="宋体" w:eastAsia="宋体" w:cs="Times New Roman"/>
          <w:szCs w:val="21"/>
        </w:rPr>
        <w:t xml:space="preserve">维修性要求</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系统使用过程中应满足房间承重、电气安全、机械安全及人员操作安全要求。</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系统整体免费质保期为3年，投影机质保期为5年。</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设备布局应考虑检修空间、操作可达性和后期维护便利性；提供维护保养要求、设计寿命说明及易损件清单。</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1.4 文件、</w:t>
      </w:r>
      <w:r>
        <w:rPr>
          <w:rFonts w:hint="eastAsia" w:ascii="宋体" w:hAnsi="宋体" w:eastAsia="宋体" w:cs="Times New Roman"/>
          <w:szCs w:val="21"/>
        </w:rPr>
        <w:t xml:space="preserve">测试、验收与交付要求</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供应商</w:t>
      </w:r>
      <w:r>
        <w:rPr>
          <w:rFonts w:ascii="宋体" w:hAnsi="宋体" w:eastAsia="宋体" w:cs="Times New Roman"/>
          <w:szCs w:val="21"/>
        </w:rPr>
        <w:t xml:space="preserve">需提供方案设计报告、测试报告、使用和维护手册、交付清单等文件。</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系统验收时，</w:t>
      </w:r>
      <w:r>
        <w:rPr>
          <w:rFonts w:hint="eastAsia" w:ascii="宋体" w:hAnsi="宋体" w:eastAsia="宋体" w:cs="Times New Roman"/>
          <w:szCs w:val="21"/>
        </w:rPr>
        <w:t xml:space="preserve">供应商</w:t>
      </w:r>
      <w:r>
        <w:rPr>
          <w:rFonts w:ascii="宋体" w:hAnsi="宋体" w:eastAsia="宋体" w:cs="Times New Roman"/>
          <w:szCs w:val="21"/>
        </w:rPr>
        <w:t xml:space="preserve">需完成全部设备交付、安装调试、规定测试及技术文件编写。</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交付内容包括本文件第一部分采购明细清单所列全部硬件、软件、内容资源、文档、附件、线材及配套服务。</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1.5 技</w:t>
      </w:r>
      <w:r>
        <w:rPr>
          <w:rFonts w:hint="eastAsia" w:ascii="宋体" w:hAnsi="宋体" w:eastAsia="宋体" w:cs="Times New Roman"/>
          <w:szCs w:val="21"/>
        </w:rPr>
        <w:t xml:space="preserve">术服务要求</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系统交付后，由</w:t>
      </w:r>
      <w:r>
        <w:rPr>
          <w:rFonts w:hint="eastAsia" w:ascii="宋体" w:hAnsi="宋体" w:eastAsia="宋体" w:cs="Times New Roman"/>
          <w:szCs w:val="21"/>
        </w:rPr>
        <w:t xml:space="preserve">供应商</w:t>
      </w:r>
      <w:r>
        <w:rPr>
          <w:rFonts w:ascii="宋体" w:hAnsi="宋体" w:eastAsia="宋体" w:cs="Times New Roman"/>
          <w:szCs w:val="21"/>
        </w:rPr>
        <w:t xml:space="preserve">提供系统使用培训，培训费用包含在投标报价内。</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系统交付使用后，</w:t>
      </w:r>
      <w:r>
        <w:rPr>
          <w:rFonts w:hint="eastAsia" w:ascii="宋体" w:hAnsi="宋体" w:eastAsia="宋体" w:cs="Times New Roman"/>
          <w:szCs w:val="21"/>
        </w:rPr>
        <w:t xml:space="preserve">供应商</w:t>
      </w:r>
      <w:r>
        <w:rPr>
          <w:rFonts w:ascii="宋体" w:hAnsi="宋体" w:eastAsia="宋体" w:cs="Times New Roman"/>
          <w:szCs w:val="21"/>
        </w:rPr>
        <w:t xml:space="preserve">应提供现场技术支持；售后响应和到场要求应与评标方法及服务要求保持一致。</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系统扩展升级时，</w:t>
      </w:r>
      <w:r>
        <w:rPr>
          <w:rFonts w:hint="eastAsia" w:ascii="宋体" w:hAnsi="宋体" w:eastAsia="宋体" w:cs="Times New Roman"/>
          <w:szCs w:val="21"/>
        </w:rPr>
        <w:t xml:space="preserve">供应商</w:t>
      </w:r>
      <w:r>
        <w:rPr>
          <w:rFonts w:ascii="宋体" w:hAnsi="宋体" w:eastAsia="宋体" w:cs="Times New Roman"/>
          <w:szCs w:val="21"/>
        </w:rPr>
        <w:t xml:space="preserve">须提供必要技术支持。</w:t>
      </w:r>
      <w:r/>
    </w:p>
    <w:p>
      <w:pPr>
        <w:ind w:firstLine="241"/>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w:t>
      </w:r>
      <w:r>
        <w:rPr>
          <w:rFonts w:ascii="宋体" w:hAnsi="宋体" w:eastAsia="宋体" w:cs="宋体"/>
          <w:b/>
          <w:bCs/>
          <w:sz w:val="24"/>
          <w:szCs w:val="24"/>
        </w:rPr>
        <w:t xml:space="preserve">服务要求</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所有报价设备的生产、制造、安装等，各项技术标准应当符合国家（强制性）标准、各项规范要求；国家没有相应标准、规范的，可使用行业标准、规定；非标设备按采购文件约定的技术要求和规范，所有报价设备技术参数应达到采购文件要求。</w:t>
      </w:r>
      <w:r>
        <w:rPr>
          <w:rFonts w:ascii="宋体" w:hAnsi="宋体" w:eastAsia="宋体" w:cs="Times New Roman"/>
          <w:szCs w:val="21"/>
        </w:rPr>
        <w:t xml:space="preserve">本采购文件所引用的相关标准、规范，如有关机构发布最新版本的，以最新版本为准。</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（2）报价设备是全新的、未使用过的、原厂包装未拆封的商品，完全符合采购设备规定的质量、规格和性能的要求，</w:t>
      </w:r>
      <w:r>
        <w:rPr>
          <w:rFonts w:hint="eastAsia" w:ascii="宋体" w:hAnsi="宋体" w:eastAsia="宋体" w:cs="Times New Roman"/>
          <w:szCs w:val="21"/>
        </w:rPr>
        <w:t xml:space="preserve">供应商</w:t>
      </w:r>
      <w:r>
        <w:rPr>
          <w:rFonts w:hint="eastAsia" w:ascii="宋体" w:hAnsi="宋体" w:eastAsia="宋体" w:cs="Times New Roman"/>
          <w:szCs w:val="21"/>
        </w:rPr>
        <w:t xml:space="preserve">应保证其提供的设备在正确安装、正常使用和保养条件下，在规定的使用寿命期内具有满意的</w:t>
      </w:r>
      <w:r>
        <w:rPr>
          <w:rFonts w:hint="eastAsia" w:ascii="宋体" w:hAnsi="宋体" w:eastAsia="宋体" w:cs="Times New Roman"/>
          <w:szCs w:val="21"/>
        </w:rPr>
        <w:t xml:space="preserve">性能,</w:t>
      </w:r>
      <w:r>
        <w:rPr>
          <w:rFonts w:hint="eastAsia" w:ascii="宋体" w:hAnsi="宋体" w:eastAsia="宋体" w:cs="Times New Roman"/>
          <w:szCs w:val="21"/>
        </w:rPr>
        <w:t xml:space="preserve"> 并提供所有产品的附件、说明书。</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（3）质保期限及售后服务要求：提供</w:t>
      </w:r>
      <w:r>
        <w:rPr>
          <w:rFonts w:ascii="宋体" w:hAnsi="宋体" w:eastAsia="宋体" w:cs="Times New Roman"/>
          <w:szCs w:val="21"/>
        </w:rPr>
        <w:t xml:space="preserve">系统整体免费质保期为3年，投影机质保期为5年</w:t>
      </w:r>
      <w:r>
        <w:rPr>
          <w:rFonts w:hint="eastAsia" w:ascii="宋体" w:hAnsi="宋体" w:eastAsia="宋体" w:cs="Times New Roman"/>
          <w:szCs w:val="21"/>
        </w:rPr>
        <w:t xml:space="preserve">，质保期自最终验收合格并交付使用之日起计算。在产品保修期内，一旦发生质量问题，</w:t>
      </w:r>
      <w:r>
        <w:rPr>
          <w:rFonts w:hint="eastAsia" w:ascii="宋体" w:hAnsi="宋体" w:eastAsia="宋体" w:cs="Times New Roman"/>
          <w:szCs w:val="21"/>
        </w:rPr>
        <w:t xml:space="preserve">供应商</w:t>
      </w:r>
      <w:r>
        <w:rPr>
          <w:rFonts w:hint="eastAsia" w:ascii="宋体" w:hAnsi="宋体" w:eastAsia="宋体" w:cs="Times New Roman"/>
          <w:szCs w:val="21"/>
        </w:rPr>
        <w:t xml:space="preserve">保证在接到通知2小时内响应，24小时内赶到现场进行修理，费用由</w:t>
      </w:r>
      <w:r>
        <w:rPr>
          <w:rFonts w:hint="eastAsia" w:ascii="宋体" w:hAnsi="宋体" w:eastAsia="宋体" w:cs="Times New Roman"/>
          <w:szCs w:val="21"/>
        </w:rPr>
        <w:t xml:space="preserve">供应商</w:t>
      </w:r>
      <w:r>
        <w:rPr>
          <w:rFonts w:hint="eastAsia" w:ascii="宋体" w:hAnsi="宋体" w:eastAsia="宋体" w:cs="Times New Roman"/>
          <w:szCs w:val="21"/>
        </w:rPr>
        <w:t xml:space="preserve">负责。设备质保期按国家、厂商、行业标准执行，质保期由设备安装调试合格后开始计算。</w:t>
      </w:r>
      <w:r/>
    </w:p>
    <w:p>
      <w:pPr>
        <w:ind w:firstLine="241"/>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六、付款方式</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合同生效后，</w:t>
      </w:r>
      <w:r>
        <w:rPr>
          <w:rFonts w:hint="eastAsia" w:ascii="宋体" w:hAnsi="宋体" w:eastAsia="宋体" w:cs="Times New Roman"/>
          <w:szCs w:val="21"/>
        </w:rPr>
        <w:t xml:space="preserve">采购人</w:t>
      </w:r>
      <w:r>
        <w:rPr>
          <w:rFonts w:ascii="宋体" w:hAnsi="宋体" w:eastAsia="宋体" w:cs="Times New Roman"/>
          <w:szCs w:val="21"/>
        </w:rPr>
        <w:t xml:space="preserve">向</w:t>
      </w:r>
      <w:r>
        <w:rPr>
          <w:rFonts w:hint="eastAsia" w:ascii="宋体" w:hAnsi="宋体" w:eastAsia="宋体" w:cs="Times New Roman"/>
          <w:szCs w:val="21"/>
        </w:rPr>
        <w:t xml:space="preserve">供应商</w:t>
      </w:r>
      <w:r>
        <w:rPr>
          <w:rFonts w:ascii="宋体" w:hAnsi="宋体" w:eastAsia="宋体" w:cs="Times New Roman"/>
          <w:szCs w:val="21"/>
        </w:rPr>
        <w:t xml:space="preserve">支付合同总价40％的预付款，</w:t>
      </w:r>
      <w:r>
        <w:rPr>
          <w:rFonts w:hint="eastAsia" w:ascii="宋体" w:hAnsi="宋体" w:eastAsia="宋体" w:cs="Times New Roman"/>
          <w:szCs w:val="21"/>
        </w:rPr>
        <w:t xml:space="preserve">供应商</w:t>
      </w:r>
      <w:r>
        <w:rPr>
          <w:rFonts w:ascii="宋体" w:hAnsi="宋体" w:eastAsia="宋体" w:cs="Times New Roman"/>
          <w:szCs w:val="21"/>
        </w:rPr>
        <w:t xml:space="preserve">在合同规定时间内将此批合同标的物送到苏州科技大学指定地点，并安装调试，</w:t>
      </w:r>
      <w:r>
        <w:rPr>
          <w:rFonts w:hint="eastAsia" w:ascii="宋体" w:hAnsi="宋体" w:eastAsia="宋体" w:cs="Times New Roman"/>
          <w:szCs w:val="21"/>
        </w:rPr>
        <w:t xml:space="preserve">采购人</w:t>
      </w:r>
      <w:r>
        <w:rPr>
          <w:rFonts w:ascii="宋体" w:hAnsi="宋体" w:eastAsia="宋体" w:cs="Times New Roman"/>
          <w:szCs w:val="21"/>
        </w:rPr>
        <w:t xml:space="preserve">验收合格后向</w:t>
      </w:r>
      <w:r>
        <w:rPr>
          <w:rFonts w:hint="eastAsia" w:ascii="宋体" w:hAnsi="宋体" w:eastAsia="宋体" w:cs="Times New Roman"/>
          <w:szCs w:val="21"/>
        </w:rPr>
        <w:t xml:space="preserve">供应商</w:t>
      </w:r>
      <w:r>
        <w:rPr>
          <w:rFonts w:ascii="宋体" w:hAnsi="宋体" w:eastAsia="宋体" w:cs="Times New Roman"/>
          <w:szCs w:val="21"/>
        </w:rPr>
        <w:t xml:space="preserve">支付50％的货款，质量确认保证无误后支付剩余10％的货款</w:t>
      </w:r>
      <w:r>
        <w:rPr>
          <w:rFonts w:hint="eastAsia" w:ascii="宋体" w:hAnsi="宋体" w:eastAsia="宋体" w:cs="Times New Roman"/>
          <w:szCs w:val="21"/>
        </w:rPr>
        <w:t xml:space="preserve">。</w:t>
      </w:r>
      <w:r/>
    </w:p>
    <w:p>
      <w:pPr>
        <w:ind w:firstLine="241"/>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七、验收标准</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1、按照苏州科技大学仪器设备验收标</w:t>
      </w:r>
      <w:r>
        <w:rPr>
          <w:rFonts w:hint="eastAsia" w:ascii="宋体" w:hAnsi="宋体" w:eastAsia="宋体" w:cs="Times New Roman"/>
          <w:szCs w:val="21"/>
        </w:rPr>
        <w:t xml:space="preserve">准</w:t>
      </w:r>
      <w:r>
        <w:rPr>
          <w:rFonts w:hint="eastAsia" w:ascii="宋体" w:hAnsi="宋体" w:eastAsia="宋体" w:cs="Times New Roman"/>
          <w:szCs w:val="21"/>
        </w:rPr>
        <w:t xml:space="preserve">进行验收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2、①要求投标商</w:t>
      </w:r>
      <w:r>
        <w:rPr>
          <w:rFonts w:hint="eastAsia" w:ascii="宋体" w:hAnsi="宋体" w:eastAsia="宋体" w:cs="Times New Roman"/>
          <w:szCs w:val="21"/>
        </w:rPr>
        <w:t xml:space="preserve">开具</w:t>
      </w:r>
      <w:r>
        <w:rPr>
          <w:rFonts w:hint="eastAsia" w:ascii="宋体" w:hAnsi="宋体" w:eastAsia="宋体" w:cs="Times New Roman"/>
          <w:szCs w:val="21"/>
        </w:rPr>
        <w:t xml:space="preserve">增值税专用发票（有发票联、抵扣联）</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②开票信息如下：</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名称：苏州科技大学</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识别号：12320000466011617U</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地址、电话：苏州市滨河路298号，0512-69379071</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开户行：工行苏州市新区支行   </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账号： 1102021109002045964</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pStyle w:val="786"/>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86"/>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86"/>
        <w:jc w:val="center"/>
        <w:spacing w:before="340" w:after="330" w:line="1056" w:lineRule="atLeast"/>
        <w:pBdr>
          <w:top w:val="none" w:color="000000" w:sz="0" w:space="0"/>
          <w:left w:val="none" w:color="000000" w:sz="0" w:space="0"/>
          <w:bottom w:val="none" w:color="000000" w:sz="0" w:space="0"/>
          <w:right w:val="none" w:color="000000" w:sz="0" w:space="0"/>
        </w:pBdr>
      </w:pPr>
      <w:r/>
      <w:bookmarkStart w:id="61" w:name="_Toc3769"/>
      <w:r>
        <w:rPr>
          <w:rFonts w:ascii="宋体" w:hAnsi="宋体" w:eastAsia="宋体" w:cs="宋体"/>
          <w:b/>
          <w:sz w:val="44"/>
        </w:rPr>
        <w:t xml:space="preserve">第五章</w:t>
      </w:r>
      <w:r>
        <w:rPr>
          <w:rFonts w:hint="eastAsia" w:ascii="宋体" w:hAnsi="宋体" w:eastAsia="宋体" w:cs="宋体"/>
          <w:b/>
          <w:sz w:val="44"/>
        </w:rPr>
        <w:t xml:space="preserve"> </w:t>
      </w:r>
      <w:r>
        <w:rPr>
          <w:rFonts w:ascii="宋体" w:hAnsi="宋体" w:eastAsia="宋体" w:cs="宋体"/>
          <w:b/>
          <w:sz w:val="44"/>
        </w:rPr>
        <w:t xml:space="preserve">合同条款</w:t>
      </w:r>
      <w:bookmarkEnd w:id="61"/>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80"/>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rPr>
          <w:rFonts w:hint="eastAsia" w:ascii="宋体" w:hAnsi="宋体"/>
          <w:b/>
          <w:bCs/>
          <w:sz w:val="32"/>
          <w:szCs w:val="32"/>
        </w:rPr>
      </w:pPr>
      <w:r>
        <w:rPr>
          <w:rFonts w:hint="eastAsia" w:ascii="宋体" w:hAnsi="宋体"/>
          <w:b/>
          <w:bCs/>
          <w:sz w:val="32"/>
          <w:szCs w:val="32"/>
        </w:rPr>
        <w:t xml:space="preserve">合同主要条款</w:t>
      </w:r>
      <w:r/>
    </w:p>
    <w:p>
      <w:pPr>
        <w:ind w:firstLine="425"/>
        <w:spacing w:line="400" w:lineRule="exact"/>
        <w:rPr>
          <w:rFonts w:hint="eastAsia" w:ascii="宋体" w:hAnsi="宋体" w:cs="宋体"/>
          <w:szCs w:val="21"/>
        </w:rPr>
      </w:pPr>
      <w:r>
        <w:rPr>
          <w:rFonts w:hint="eastAsia" w:ascii="宋体" w:hAnsi="宋体" w:cs="宋体"/>
          <w:szCs w:val="21"/>
        </w:rPr>
      </w:r>
      <w:r/>
    </w:p>
    <w:p>
      <w:pPr>
        <w:jc w:val="center"/>
        <w:spacing w:line="380" w:lineRule="exact"/>
        <w:rPr>
          <w:rFonts w:eastAsia="楷体_GB2312"/>
          <w:b/>
          <w:sz w:val="36"/>
          <w:szCs w:val="36"/>
        </w:rPr>
        <w:outlineLvl w:val="0"/>
      </w:pPr>
      <w:r>
        <w:rPr>
          <w:rFonts w:hint="eastAsia" w:eastAsia="楷体_GB2312"/>
          <w:b/>
          <w:sz w:val="36"/>
          <w:szCs w:val="36"/>
        </w:rPr>
        <w:t xml:space="preserve">苏州科技大学采购合同书</w:t>
      </w:r>
      <w:r/>
    </w:p>
    <w:p>
      <w:pPr>
        <w:jc w:val="center"/>
        <w:spacing w:line="380" w:lineRule="exact"/>
        <w:rPr>
          <w:rFonts w:eastAsia="楷体_GB2312"/>
          <w:b/>
          <w:sz w:val="36"/>
          <w:szCs w:val="36"/>
        </w:rPr>
        <w:outlineLvl w:val="0"/>
      </w:pPr>
      <w:r>
        <w:rPr>
          <w:rFonts w:eastAsia="楷体_GB2312"/>
          <w:b/>
          <w:sz w:val="36"/>
          <w:szCs w:val="36"/>
        </w:rPr>
      </w:r>
      <w:r/>
    </w:p>
    <w:p>
      <w:pPr>
        <w:spacing w:line="360" w:lineRule="auto"/>
        <w:tabs>
          <w:tab w:val="left" w:pos="8625" w:leader="none"/>
        </w:tabs>
        <w:rPr>
          <w:rFonts w:hint="eastAsia" w:ascii="宋体" w:hAnsi="宋体" w:eastAsia="宋体"/>
          <w:szCs w:val="21"/>
        </w:rPr>
      </w:pPr>
      <w:r>
        <w:rPr>
          <w:rFonts w:hint="eastAsia" w:ascii="宋体" w:hAnsi="宋体" w:eastAsia="宋体"/>
          <w:szCs w:val="21"/>
        </w:rPr>
        <w:t xml:space="preserve">甲方（采购方）：苏州科技大学</w:t>
      </w:r>
      <w:r>
        <w:rPr>
          <w:rFonts w:ascii="宋体" w:hAnsi="宋体" w:eastAsia="宋体"/>
          <w:szCs w:val="21"/>
        </w:rPr>
        <w:tab/>
      </w:r>
      <w:r/>
    </w:p>
    <w:p>
      <w:pPr>
        <w:spacing w:line="360" w:lineRule="auto"/>
        <w:rPr>
          <w:rFonts w:hint="eastAsia" w:ascii="宋体" w:hAnsi="宋体" w:eastAsia="宋体"/>
          <w:szCs w:val="21"/>
        </w:rPr>
      </w:pPr>
      <w:r>
        <w:rPr>
          <w:rFonts w:hint="eastAsia" w:ascii="宋体" w:hAnsi="宋体" w:eastAsia="宋体"/>
          <w:szCs w:val="21"/>
        </w:rPr>
        <w:t xml:space="preserve">联系人：                                   </w:t>
      </w:r>
      <w:r/>
    </w:p>
    <w:p>
      <w:pPr>
        <w:spacing w:line="360" w:lineRule="auto"/>
        <w:rPr>
          <w:rFonts w:hint="eastAsia" w:ascii="宋体" w:hAnsi="宋体" w:eastAsia="宋体"/>
          <w:szCs w:val="21"/>
        </w:rPr>
      </w:pPr>
      <w:r>
        <w:rPr>
          <w:rFonts w:hint="eastAsia" w:ascii="宋体" w:hAnsi="宋体" w:eastAsia="宋体"/>
          <w:szCs w:val="21"/>
        </w:rPr>
        <w:t xml:space="preserve">联系电话：</w:t>
      </w:r>
      <w:r/>
    </w:p>
    <w:p>
      <w:pPr>
        <w:spacing w:line="360" w:lineRule="auto"/>
        <w:rPr>
          <w:rFonts w:hint="eastAsia" w:ascii="宋体" w:hAnsi="宋体" w:eastAsia="宋体"/>
          <w:szCs w:val="21"/>
        </w:rPr>
      </w:pPr>
      <w:r>
        <w:rPr>
          <w:rFonts w:hint="eastAsia" w:ascii="宋体" w:hAnsi="宋体" w:eastAsia="宋体"/>
          <w:szCs w:val="21"/>
        </w:rPr>
        <w:t xml:space="preserve">乙方（供应方）：</w:t>
      </w:r>
      <w:r/>
    </w:p>
    <w:p>
      <w:pPr>
        <w:spacing w:line="360" w:lineRule="auto"/>
        <w:rPr>
          <w:rFonts w:hint="eastAsia" w:ascii="宋体" w:hAnsi="宋体" w:eastAsia="宋体"/>
          <w:szCs w:val="21"/>
        </w:rPr>
      </w:pPr>
      <w:r>
        <w:rPr>
          <w:rFonts w:hint="eastAsia" w:ascii="宋体" w:hAnsi="宋体" w:eastAsia="宋体"/>
          <w:szCs w:val="21"/>
        </w:rPr>
        <w:t xml:space="preserve">联系人： 　　　　　　　　　　      　      </w:t>
      </w:r>
      <w:r/>
    </w:p>
    <w:p>
      <w:pPr>
        <w:spacing w:line="360" w:lineRule="auto"/>
        <w:rPr>
          <w:rFonts w:hint="eastAsia" w:ascii="宋体" w:hAnsi="宋体" w:eastAsia="宋体"/>
          <w:szCs w:val="21"/>
        </w:rPr>
      </w:pPr>
      <w:r>
        <w:rPr>
          <w:rFonts w:hint="eastAsia" w:ascii="宋体" w:hAnsi="宋体" w:eastAsia="宋体"/>
          <w:szCs w:val="21"/>
        </w:rPr>
        <w:t xml:space="preserve">联系电话：</w:t>
      </w:r>
      <w:r/>
    </w:p>
    <w:p>
      <w:pPr>
        <w:ind w:firstLine="420"/>
        <w:spacing w:line="360" w:lineRule="auto"/>
        <w:rPr>
          <w:rFonts w:hint="eastAsia" w:ascii="宋体" w:hAnsi="宋体" w:eastAsia="宋体"/>
          <w:szCs w:val="21"/>
        </w:rPr>
      </w:pPr>
      <w:r>
        <w:rPr>
          <w:rFonts w:hint="eastAsia" w:ascii="宋体" w:hAnsi="宋体" w:eastAsia="宋体"/>
          <w:szCs w:val="21"/>
        </w:rPr>
        <w:t xml:space="preserve">根据苏州科技大学仪器设备公开招标招标文件（编号为              号）及该文件相关的投标文件，甲乙双方就本次：</w:t>
      </w:r>
      <w:r>
        <w:rPr>
          <w:rFonts w:ascii="宋体" w:hAnsi="宋体" w:eastAsia="宋体"/>
          <w:szCs w:val="21"/>
        </w:rPr>
        <w:t xml:space="preserve">CAVE沉浸式虚拟现实行为与认知实验系统</w:t>
      </w:r>
      <w:r>
        <w:rPr>
          <w:rFonts w:hint="eastAsia" w:ascii="宋体" w:hAnsi="宋体" w:eastAsia="宋体"/>
          <w:szCs w:val="21"/>
        </w:rPr>
        <w:t xml:space="preserve">购销事宜，签订本合同书。</w:t>
      </w:r>
      <w:r/>
    </w:p>
    <w:p>
      <w:pPr>
        <w:ind w:firstLine="480"/>
        <w:spacing w:line="360" w:lineRule="auto"/>
        <w:rPr>
          <w:rFonts w:hint="eastAsia" w:ascii="宋体" w:hAnsi="宋体" w:eastAsia="宋体"/>
          <w:b/>
          <w:szCs w:val="21"/>
        </w:rPr>
      </w:pPr>
      <w:r>
        <w:rPr>
          <w:rFonts w:hint="eastAsia" w:ascii="宋体" w:hAnsi="宋体" w:eastAsia="宋体"/>
          <w:b/>
          <w:szCs w:val="21"/>
        </w:rPr>
        <w:t xml:space="preserve">一、合同的标的物</w:t>
      </w:r>
      <w:r/>
    </w:p>
    <w:p>
      <w:pPr>
        <w:ind w:firstLine="420"/>
        <w:jc w:val="both"/>
        <w:spacing w:line="360" w:lineRule="auto"/>
        <w:rPr>
          <w:szCs w:val="21"/>
        </w:rPr>
      </w:pPr>
      <w:r>
        <w:rPr>
          <w:rFonts w:hint="eastAsia" w:ascii="宋体" w:hAnsi="宋体" w:eastAsia="宋体"/>
          <w:szCs w:val="21"/>
        </w:rPr>
        <w:t xml:space="preserve">1.1 甲方向乙方采购</w:t>
      </w:r>
      <w:r>
        <w:rPr>
          <w:rFonts w:ascii="宋体" w:hAnsi="宋体" w:eastAsia="宋体"/>
          <w:szCs w:val="21"/>
        </w:rPr>
        <w:t xml:space="preserve">CAVE沉浸式虚拟现实行为与认知实验系统</w:t>
      </w:r>
      <w:r>
        <w:rPr>
          <w:rFonts w:hint="eastAsia" w:ascii="宋体" w:hAnsi="宋体" w:eastAsia="宋体"/>
          <w:szCs w:val="21"/>
        </w:rPr>
        <w:t xml:space="preserve">，具体的名称、规格要求如下</w:t>
      </w:r>
      <w:r>
        <w:rPr>
          <w:rFonts w:hint="eastAsia"/>
          <w:szCs w:val="21"/>
        </w:rPr>
        <w:t xml:space="preserve">：</w:t>
      </w:r>
      <w:r/>
    </w:p>
    <w:tbl>
      <w:tblPr>
        <w:tblW w:w="9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2522"/>
        <w:gridCol w:w="1890"/>
        <w:gridCol w:w="787"/>
        <w:gridCol w:w="850"/>
        <w:gridCol w:w="1134"/>
        <w:gridCol w:w="1134"/>
        <w:gridCol w:w="903"/>
      </w:tblGrid>
      <w:tr>
        <w:trPr>
          <w:cantSplit/>
          <w:jc w:val="center"/>
          <w:trHeight w:val="730" w:hRule="exact"/>
        </w:trPr>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ind w:right="-5"/>
              <w:jc w:val="center"/>
              <w:rPr>
                <w:rFonts w:hint="eastAsia"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ind w:right="-5"/>
              <w:jc w:val="center"/>
              <w:rPr>
                <w:rFonts w:hint="eastAsia" w:ascii="宋体" w:hAnsi="宋体"/>
                <w:b/>
                <w:bCs/>
                <w:szCs w:val="21"/>
              </w:rPr>
            </w:pPr>
            <w:r>
              <w:rPr>
                <w:rFonts w:hint="eastAsia" w:ascii="宋体" w:hAnsi="宋体"/>
                <w:b/>
                <w:bCs/>
                <w:szCs w:val="21"/>
              </w:rPr>
              <w:t xml:space="preserve">标的物名称</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ind w:right="-5"/>
              <w:jc w:val="center"/>
              <w:rPr>
                <w:rFonts w:hint="eastAsia" w:ascii="宋体" w:hAnsi="宋体"/>
                <w:b/>
                <w:bCs/>
                <w:szCs w:val="21"/>
              </w:rPr>
            </w:pPr>
            <w:r>
              <w:rPr>
                <w:rFonts w:hint="eastAsia" w:ascii="宋体" w:hAnsi="宋体"/>
                <w:b/>
                <w:bCs/>
                <w:szCs w:val="21"/>
              </w:rPr>
              <w:t xml:space="preserve">品牌、规格/型号</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right="-5"/>
              <w:jc w:val="center"/>
              <w:rPr>
                <w:rFonts w:hint="eastAsia" w:ascii="宋体" w:hAnsi="宋体"/>
                <w:b/>
                <w:bCs/>
                <w:szCs w:val="21"/>
              </w:rPr>
            </w:pPr>
            <w:r>
              <w:rPr>
                <w:rFonts w:hint="eastAsia" w:ascii="宋体" w:hAnsi="宋体"/>
                <w:b/>
                <w:bCs/>
                <w:szCs w:val="21"/>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right="-5"/>
              <w:jc w:val="center"/>
              <w:rPr>
                <w:rFonts w:hint="eastAsia" w:ascii="宋体" w:hAnsi="宋体"/>
                <w:b/>
                <w:bCs/>
                <w:szCs w:val="21"/>
              </w:rPr>
            </w:pPr>
            <w:r>
              <w:rPr>
                <w:rFonts w:hint="eastAsia" w:ascii="宋体" w:hAnsi="宋体"/>
                <w:b/>
                <w:bCs/>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right="-5"/>
              <w:jc w:val="center"/>
              <w:rPr>
                <w:rFonts w:hint="eastAsia" w:ascii="宋体" w:hAnsi="宋体"/>
                <w:b/>
                <w:bCs/>
                <w:szCs w:val="21"/>
              </w:rPr>
            </w:pPr>
            <w:r>
              <w:rPr>
                <w:rFonts w:hint="eastAsia" w:ascii="宋体" w:hAnsi="宋体"/>
                <w:b/>
                <w:bCs/>
                <w:szCs w:val="21"/>
              </w:rPr>
              <w:t xml:space="preserve">单价（元）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right="-5"/>
              <w:jc w:val="center"/>
              <w:rPr>
                <w:rFonts w:hint="eastAsia" w:ascii="宋体" w:hAnsi="宋体"/>
                <w:b/>
                <w:bCs/>
                <w:szCs w:val="21"/>
              </w:rPr>
            </w:pPr>
            <w:r>
              <w:rPr>
                <w:rFonts w:hint="eastAsia" w:ascii="宋体" w:hAnsi="宋体"/>
                <w:b/>
                <w:bCs/>
                <w:szCs w:val="21"/>
              </w:rPr>
              <w:t xml:space="preserve">总价（元）</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ind w:right="-5"/>
              <w:jc w:val="center"/>
              <w:rPr>
                <w:rFonts w:hint="eastAsia" w:ascii="宋体" w:hAnsi="宋体"/>
                <w:b/>
                <w:bCs/>
                <w:szCs w:val="21"/>
              </w:rPr>
            </w:pPr>
            <w:r>
              <w:rPr>
                <w:rFonts w:hint="eastAsia" w:ascii="宋体" w:hAnsi="宋体"/>
                <w:b/>
                <w:bCs/>
                <w:szCs w:val="21"/>
              </w:rPr>
              <w:t xml:space="preserve">备注</w:t>
            </w:r>
            <w:r/>
          </w:p>
        </w:tc>
      </w:tr>
      <w:tr>
        <w:trPr>
          <w:cantSplit/>
          <w:jc w:val="center"/>
          <w:trHeight w:val="450" w:hRule="exact"/>
        </w:trPr>
        <w:tc>
          <w:tcPr>
            <w:tcBorders>
              <w:top w:val="single" w:color="auto" w:sz="4" w:space="0"/>
              <w:left w:val="single" w:color="auto" w:sz="4" w:space="0"/>
              <w:right w:val="single" w:color="auto" w:sz="4" w:space="0"/>
            </w:tcBorders>
            <w:tcW w:w="640" w:type="dxa"/>
            <w:vAlign w:val="center"/>
            <w:textDirection w:val="lrTb"/>
            <w:noWrap w:val="false"/>
          </w:tcPr>
          <w:p>
            <w:pPr>
              <w:pStyle w:val="1159"/>
              <w:jc w:val="center"/>
              <w:spacing w:before="120" w:after="120"/>
              <w:rPr>
                <w:rFonts w:hint="eastAsia" w:hAnsi="宋体" w:cs="宋体"/>
                <w:szCs w:val="21"/>
              </w:rPr>
            </w:pPr>
            <w:r>
              <w:rPr>
                <w:rFonts w:hint="eastAsia" w:hAnsi="宋体" w:cs="宋体"/>
                <w:sz w:val="18"/>
                <w:szCs w:val="18"/>
              </w:rPr>
              <w:t xml:space="preserve">1</w:t>
            </w:r>
            <w:r/>
          </w:p>
        </w:tc>
        <w:tc>
          <w:tcPr>
            <w:tcBorders>
              <w:top w:val="single" w:color="auto" w:sz="4" w:space="0"/>
              <w:left w:val="single" w:color="auto" w:sz="4" w:space="0"/>
              <w:right w:val="single" w:color="auto" w:sz="4" w:space="0"/>
            </w:tcBorders>
            <w:tcW w:w="2522"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1890" w:type="dxa"/>
            <w:vAlign w:val="center"/>
            <w:textDirection w:val="lrTb"/>
            <w:noWrap w:val="false"/>
          </w:tcPr>
          <w:p>
            <w:pPr>
              <w:pStyle w:val="1159"/>
              <w:jc w:val="center"/>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right w:val="single" w:color="auto" w:sz="4" w:space="0"/>
            </w:tcBorders>
            <w:tcW w:w="787"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1134" w:type="dxa"/>
            <w:vAlign w:val="center"/>
            <w:textDirection w:val="lrTb"/>
            <w:noWrap w:val="false"/>
          </w:tcPr>
          <w:p>
            <w:pPr>
              <w:pStyle w:val="1159"/>
              <w:jc w:val="center"/>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59"/>
              <w:jc w:val="center"/>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right w:val="single" w:color="auto" w:sz="4" w:space="0"/>
            </w:tcBorders>
            <w:tcW w:w="903" w:type="dxa"/>
            <w:vAlign w:val="center"/>
            <w:textDirection w:val="lrTb"/>
            <w:noWrap w:val="false"/>
          </w:tcPr>
          <w:p>
            <w:pPr>
              <w:rPr>
                <w:rFonts w:hint="eastAsia" w:ascii="宋体" w:hAnsi="宋体" w:cs="Arial"/>
                <w:sz w:val="18"/>
                <w:szCs w:val="18"/>
              </w:rPr>
            </w:pPr>
            <w:r>
              <w:rPr>
                <w:rFonts w:hint="eastAsia" w:ascii="宋体" w:hAnsi="宋体" w:cs="Arial"/>
                <w:sz w:val="18"/>
                <w:szCs w:val="18"/>
              </w:rPr>
            </w:r>
            <w:r/>
          </w:p>
        </w:tc>
      </w:tr>
      <w:tr>
        <w:trPr>
          <w:cantSplit/>
          <w:jc w:val="center"/>
          <w:trHeight w:val="450" w:hRule="exact"/>
        </w:trPr>
        <w:tc>
          <w:tcPr>
            <w:tcBorders>
              <w:top w:val="single" w:color="auto" w:sz="4" w:space="0"/>
              <w:left w:val="single" w:color="auto" w:sz="4" w:space="0"/>
              <w:right w:val="single" w:color="auto" w:sz="4" w:space="0"/>
            </w:tcBorders>
            <w:tcW w:w="640" w:type="dxa"/>
            <w:vAlign w:val="center"/>
            <w:textDirection w:val="lrTb"/>
            <w:noWrap w:val="false"/>
          </w:tcPr>
          <w:p>
            <w:pPr>
              <w:pStyle w:val="1159"/>
              <w:jc w:val="center"/>
              <w:spacing w:before="120" w:after="120"/>
              <w:rPr>
                <w:rFonts w:hint="eastAsia" w:hAnsi="宋体" w:cs="宋体"/>
                <w:szCs w:val="21"/>
              </w:rPr>
            </w:pPr>
            <w:r>
              <w:rPr>
                <w:rFonts w:hint="eastAsia" w:hAnsi="宋体" w:cs="宋体"/>
                <w:sz w:val="18"/>
                <w:szCs w:val="18"/>
              </w:rPr>
              <w:t xml:space="preserve">2</w:t>
            </w:r>
            <w:r/>
          </w:p>
        </w:tc>
        <w:tc>
          <w:tcPr>
            <w:tcBorders>
              <w:top w:val="single" w:color="auto" w:sz="4" w:space="0"/>
              <w:left w:val="single" w:color="auto" w:sz="4" w:space="0"/>
              <w:right w:val="single" w:color="auto" w:sz="4" w:space="0"/>
            </w:tcBorders>
            <w:tcW w:w="2522"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1890" w:type="dxa"/>
            <w:vAlign w:val="center"/>
            <w:textDirection w:val="lrTb"/>
            <w:noWrap w:val="false"/>
          </w:tcPr>
          <w:p>
            <w:pPr>
              <w:pStyle w:val="1159"/>
              <w:jc w:val="center"/>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right w:val="single" w:color="auto" w:sz="4" w:space="0"/>
            </w:tcBorders>
            <w:tcW w:w="787"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1134" w:type="dxa"/>
            <w:vAlign w:val="center"/>
            <w:textDirection w:val="lrTb"/>
            <w:noWrap w:val="false"/>
          </w:tcPr>
          <w:p>
            <w:pPr>
              <w:pStyle w:val="1159"/>
              <w:jc w:val="center"/>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59"/>
              <w:jc w:val="center"/>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right w:val="single" w:color="auto" w:sz="4" w:space="0"/>
            </w:tcBorders>
            <w:tcW w:w="903" w:type="dxa"/>
            <w:vAlign w:val="center"/>
            <w:textDirection w:val="lrTb"/>
            <w:noWrap w:val="false"/>
          </w:tcPr>
          <w:p>
            <w:pPr>
              <w:rPr>
                <w:rFonts w:hint="eastAsia" w:ascii="宋体" w:hAnsi="宋体" w:cs="Arial"/>
                <w:sz w:val="18"/>
                <w:szCs w:val="18"/>
              </w:rPr>
            </w:pPr>
            <w:r>
              <w:rPr>
                <w:rFonts w:hint="eastAsia" w:ascii="宋体" w:hAnsi="宋体" w:cs="Arial"/>
                <w:sz w:val="18"/>
                <w:szCs w:val="18"/>
              </w:rPr>
            </w:r>
            <w:r/>
          </w:p>
        </w:tc>
      </w:tr>
      <w:tr>
        <w:trPr>
          <w:cantSplit/>
          <w:jc w:val="center"/>
          <w:trHeight w:val="445" w:hRule="exact"/>
        </w:trPr>
        <w:tc>
          <w:tcPr>
            <w:tcBorders>
              <w:top w:val="single" w:color="auto" w:sz="4" w:space="0"/>
              <w:left w:val="single" w:color="auto" w:sz="4" w:space="0"/>
              <w:right w:val="single" w:color="auto" w:sz="4" w:space="0"/>
            </w:tcBorders>
            <w:tcW w:w="640" w:type="dxa"/>
            <w:vAlign w:val="center"/>
            <w:textDirection w:val="lrTb"/>
            <w:noWrap w:val="false"/>
          </w:tcPr>
          <w:p>
            <w:pPr>
              <w:pStyle w:val="1159"/>
              <w:jc w:val="center"/>
              <w:spacing w:before="120" w:after="120"/>
              <w:rPr>
                <w:rFonts w:hint="eastAsia" w:hAnsi="宋体" w:cs="宋体"/>
                <w:szCs w:val="21"/>
              </w:rPr>
            </w:pPr>
            <w:r>
              <w:rPr>
                <w:rFonts w:hint="eastAsia" w:hAnsi="宋体" w:cs="宋体"/>
                <w:sz w:val="18"/>
                <w:szCs w:val="18"/>
              </w:rPr>
              <w:t xml:space="preserve">3</w:t>
            </w:r>
            <w:r/>
          </w:p>
        </w:tc>
        <w:tc>
          <w:tcPr>
            <w:tcBorders>
              <w:top w:val="single" w:color="auto" w:sz="4" w:space="0"/>
              <w:left w:val="single" w:color="auto" w:sz="4" w:space="0"/>
              <w:right w:val="single" w:color="auto" w:sz="4" w:space="0"/>
            </w:tcBorders>
            <w:tcW w:w="2522"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1890" w:type="dxa"/>
            <w:vAlign w:val="center"/>
            <w:textDirection w:val="lrTb"/>
            <w:noWrap w:val="false"/>
          </w:tcPr>
          <w:p>
            <w:pPr>
              <w:pStyle w:val="1159"/>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right w:val="single" w:color="auto" w:sz="4" w:space="0"/>
            </w:tcBorders>
            <w:tcW w:w="787"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1134" w:type="dxa"/>
            <w:vAlign w:val="center"/>
            <w:textDirection w:val="lrTb"/>
            <w:noWrap w:val="false"/>
          </w:tcPr>
          <w:p>
            <w:pPr>
              <w:pStyle w:val="1159"/>
              <w:jc w:val="center"/>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59"/>
              <w:jc w:val="center"/>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right w:val="single" w:color="auto" w:sz="4" w:space="0"/>
            </w:tcBorders>
            <w:tcW w:w="903" w:type="dxa"/>
            <w:vAlign w:val="center"/>
            <w:textDirection w:val="lrTb"/>
            <w:noWrap w:val="false"/>
          </w:tcPr>
          <w:p>
            <w:pPr>
              <w:rPr>
                <w:rFonts w:hint="eastAsia" w:ascii="宋体" w:hAnsi="宋体" w:cs="Arial"/>
                <w:sz w:val="18"/>
                <w:szCs w:val="18"/>
              </w:rPr>
            </w:pPr>
            <w:r>
              <w:rPr>
                <w:rFonts w:hint="eastAsia" w:ascii="宋体" w:hAnsi="宋体" w:cs="Arial"/>
                <w:sz w:val="18"/>
                <w:szCs w:val="18"/>
              </w:rPr>
            </w:r>
            <w:r/>
          </w:p>
        </w:tc>
      </w:tr>
      <w:tr>
        <w:trPr>
          <w:cantSplit/>
          <w:jc w:val="center"/>
          <w:trHeight w:val="432" w:hRule="exact"/>
        </w:trPr>
        <w:tc>
          <w:tcPr>
            <w:gridSpan w:val="8"/>
            <w:tcBorders>
              <w:top w:val="single" w:color="auto" w:sz="4" w:space="0"/>
              <w:left w:val="single" w:color="auto" w:sz="4" w:space="0"/>
              <w:bottom w:val="single" w:color="auto" w:sz="4" w:space="0"/>
              <w:right w:val="single" w:color="auto" w:sz="4" w:space="0"/>
            </w:tcBorders>
            <w:tcW w:w="9860" w:type="dxa"/>
            <w:vAlign w:val="center"/>
            <w:textDirection w:val="lrTb"/>
            <w:noWrap w:val="false"/>
          </w:tcPr>
          <w:p>
            <w:pPr>
              <w:pStyle w:val="1159"/>
              <w:jc w:val="left"/>
              <w:rPr>
                <w:rFonts w:hint="eastAsia" w:hAnsi="宋体"/>
                <w:b/>
                <w:bCs/>
                <w:szCs w:val="21"/>
              </w:rPr>
            </w:pPr>
            <w:r>
              <w:rPr>
                <w:rFonts w:hint="eastAsia" w:hAnsi="宋体"/>
                <w:b/>
                <w:bCs/>
                <w:szCs w:val="21"/>
              </w:rPr>
              <w:t xml:space="preserve">合计（人民币大写）：             （¥：         元）</w:t>
            </w:r>
            <w:r/>
          </w:p>
        </w:tc>
      </w:tr>
    </w:tbl>
    <w:p>
      <w:pPr>
        <w:ind w:firstLine="420"/>
        <w:jc w:val="both"/>
        <w:spacing w:line="360" w:lineRule="auto"/>
        <w:rPr>
          <w:rFonts w:hint="eastAsia" w:ascii="宋体" w:hAnsi="宋体" w:eastAsia="宋体"/>
          <w:szCs w:val="21"/>
        </w:rPr>
      </w:pPr>
      <w:r>
        <w:rPr>
          <w:rFonts w:hint="eastAsia" w:ascii="宋体" w:hAnsi="宋体" w:eastAsia="宋体"/>
          <w:szCs w:val="21"/>
        </w:rPr>
        <w:t xml:space="preserve">1.2 乙方对提供的标的物应当拥有完整的物权，并且负有保证第三人不得向甲方主张任何权利（包括知识产权）的义务。</w:t>
      </w:r>
      <w:r/>
    </w:p>
    <w:p>
      <w:pPr>
        <w:ind w:firstLine="200"/>
        <w:jc w:val="both"/>
        <w:spacing w:line="360" w:lineRule="auto"/>
        <w:rPr>
          <w:rFonts w:hint="eastAsia" w:ascii="宋体" w:hAnsi="宋体" w:eastAsia="宋体"/>
          <w:b/>
          <w:szCs w:val="21"/>
        </w:rPr>
      </w:pPr>
      <w:r>
        <w:rPr>
          <w:rFonts w:hint="eastAsia" w:ascii="宋体" w:hAnsi="宋体" w:eastAsia="宋体"/>
          <w:b/>
          <w:szCs w:val="21"/>
        </w:rPr>
        <w:t xml:space="preserve">二、合同价格与支付</w:t>
      </w:r>
      <w:r/>
    </w:p>
    <w:p>
      <w:pPr>
        <w:jc w:val="both"/>
        <w:spacing w:line="360" w:lineRule="auto"/>
        <w:rPr>
          <w:rFonts w:hint="eastAsia" w:ascii="宋体" w:hAnsi="宋体" w:eastAsia="宋体"/>
          <w:szCs w:val="21"/>
        </w:rPr>
      </w:pPr>
      <w:r>
        <w:rPr>
          <w:rFonts w:hint="eastAsia" w:ascii="宋体" w:hAnsi="宋体" w:eastAsia="宋体"/>
          <w:szCs w:val="21"/>
        </w:rPr>
        <w:t xml:space="preserve">2.1 合同价格按此次中标价格执行，合同总金额为人民币</w:t>
      </w:r>
      <w:r>
        <w:rPr>
          <w:rFonts w:hint="eastAsia" w:ascii="宋体" w:hAnsi="宋体" w:eastAsia="宋体" w:cs="Times New Roman"/>
          <w:szCs w:val="21"/>
          <w:u w:val="single"/>
        </w:rPr>
        <w:t xml:space="preserve">              </w:t>
      </w:r>
      <w:r>
        <w:rPr>
          <w:rFonts w:hint="eastAsia" w:ascii="宋体" w:hAnsi="宋体" w:eastAsia="宋体"/>
          <w:b/>
          <w:bCs/>
          <w:szCs w:val="21"/>
        </w:rPr>
        <w:t xml:space="preserve">（</w:t>
      </w:r>
      <w:r>
        <w:rPr>
          <w:rFonts w:hint="eastAsia" w:ascii="宋体" w:hAnsi="宋体" w:eastAsia="宋体"/>
          <w:szCs w:val="21"/>
        </w:rPr>
        <w:t xml:space="preserve">含主件、配件、运输、税金、保险、售后服务等一切费用）。</w:t>
      </w:r>
      <w:r/>
    </w:p>
    <w:p>
      <w:pPr>
        <w:jc w:val="both"/>
        <w:spacing w:line="360" w:lineRule="auto"/>
        <w:rPr>
          <w:rFonts w:hint="eastAsia" w:ascii="宋体" w:hAnsi="宋体" w:eastAsia="宋体"/>
          <w:szCs w:val="21"/>
        </w:rPr>
      </w:pPr>
      <w:r>
        <w:rPr>
          <w:rFonts w:hint="eastAsia" w:ascii="宋体" w:hAnsi="宋体" w:eastAsia="宋体"/>
          <w:szCs w:val="21"/>
        </w:rPr>
        <w:t xml:space="preserve">2.2付款步骤：</w:t>
      </w:r>
      <w:r>
        <w:rPr>
          <w:rFonts w:ascii="宋体" w:hAnsi="宋体" w:eastAsia="宋体"/>
          <w:szCs w:val="21"/>
        </w:rPr>
        <w:t xml:space="preserve">合同生效后，甲方向乙方支付合同总价40％的预付款，乙方在合同规定时间内将此批合同标的物送到苏州科技大学指定地点，并安装调试，甲方验收合格后向乙方支付50％的货款，质量确认保证无误后支付剩余10％的货款</w:t>
      </w:r>
      <w:r>
        <w:rPr>
          <w:rFonts w:hint="eastAsia" w:ascii="宋体" w:hAnsi="宋体" w:eastAsia="宋体"/>
          <w:szCs w:val="21"/>
        </w:rPr>
        <w:t xml:space="preserve">。</w:t>
      </w:r>
      <w:r/>
    </w:p>
    <w:p>
      <w:pPr>
        <w:jc w:val="both"/>
        <w:spacing w:line="360" w:lineRule="auto"/>
        <w:rPr>
          <w:rFonts w:hint="eastAsia" w:ascii="宋体" w:hAnsi="宋体" w:eastAsia="宋体" w:cs="宋体"/>
          <w:szCs w:val="21"/>
        </w:rPr>
      </w:pPr>
      <w:r>
        <w:rPr>
          <w:rFonts w:hint="eastAsia" w:ascii="宋体" w:hAnsi="宋体" w:eastAsia="宋体"/>
          <w:szCs w:val="21"/>
        </w:rPr>
        <w:t xml:space="preserve">①要求投标商</w:t>
      </w:r>
      <w:r>
        <w:rPr>
          <w:rFonts w:hint="eastAsia" w:ascii="宋体" w:hAnsi="宋体" w:eastAsia="宋体"/>
          <w:szCs w:val="21"/>
        </w:rPr>
        <w:t xml:space="preserve">开具</w:t>
      </w:r>
      <w:r>
        <w:rPr>
          <w:rFonts w:hint="eastAsia" w:ascii="宋体" w:hAnsi="宋体" w:eastAsia="宋体"/>
          <w:szCs w:val="21"/>
        </w:rPr>
        <w:t xml:space="preserve">增值税专用发票</w:t>
      </w:r>
      <w:r>
        <w:rPr>
          <w:rFonts w:hint="eastAsia" w:ascii="宋体" w:hAnsi="宋体" w:eastAsia="宋体" w:cs="宋体"/>
          <w:szCs w:val="21"/>
        </w:rPr>
        <w:t xml:space="preserve">（有发票联、抵扣联），“货物或应税劳务、服务名称”栏（或</w:t>
      </w:r>
      <w:r>
        <w:rPr>
          <w:rFonts w:ascii="宋体" w:hAnsi="宋体" w:eastAsia="宋体" w:cs="宋体"/>
          <w:szCs w:val="21"/>
        </w:rPr>
        <w:t xml:space="preserve"> “</w:t>
      </w:r>
      <w:r>
        <w:rPr>
          <w:rFonts w:hint="eastAsia" w:ascii="宋体" w:hAnsi="宋体" w:eastAsia="宋体" w:cs="宋体"/>
          <w:szCs w:val="21"/>
        </w:rPr>
        <w:t xml:space="preserve">项目名称”栏）需填列货物名称，不可填开“详见销货清单”。</w:t>
      </w:r>
      <w:r/>
    </w:p>
    <w:p>
      <w:pPr>
        <w:jc w:val="both"/>
        <w:spacing w:line="360" w:lineRule="auto"/>
        <w:rPr>
          <w:rFonts w:hint="eastAsia" w:ascii="宋体" w:hAnsi="宋体" w:eastAsia="宋体" w:cs="宋体"/>
          <w:szCs w:val="21"/>
        </w:rPr>
      </w:pPr>
      <w:r>
        <w:rPr>
          <w:rFonts w:hint="eastAsia" w:ascii="宋体" w:hAnsi="宋体" w:eastAsia="宋体" w:cs="宋体"/>
          <w:szCs w:val="21"/>
        </w:rPr>
        <w:t xml:space="preserve">②开票信息如下：</w:t>
      </w:r>
      <w:r/>
    </w:p>
    <w:p>
      <w:pPr>
        <w:jc w:val="both"/>
        <w:spacing w:line="360" w:lineRule="auto"/>
        <w:rPr>
          <w:rFonts w:hint="eastAsia" w:ascii="宋体" w:hAnsi="宋体" w:eastAsia="宋体" w:cs="宋体"/>
          <w:szCs w:val="21"/>
        </w:rPr>
      </w:pPr>
      <w:r>
        <w:rPr>
          <w:rFonts w:hint="eastAsia" w:ascii="宋体" w:hAnsi="宋体" w:eastAsia="宋体" w:cs="宋体"/>
          <w:szCs w:val="21"/>
        </w:rPr>
        <w:t xml:space="preserve">名称：苏州科技大学</w:t>
      </w:r>
      <w:r/>
    </w:p>
    <w:p>
      <w:pPr>
        <w:jc w:val="both"/>
        <w:spacing w:line="360" w:lineRule="auto"/>
        <w:rPr>
          <w:rFonts w:hint="eastAsia" w:ascii="宋体" w:hAnsi="宋体" w:eastAsia="宋体" w:cs="宋体"/>
          <w:szCs w:val="21"/>
        </w:rPr>
      </w:pPr>
      <w:r>
        <w:rPr>
          <w:rFonts w:hint="eastAsia" w:ascii="宋体" w:hAnsi="宋体" w:eastAsia="宋体" w:cs="宋体"/>
          <w:szCs w:val="21"/>
        </w:rPr>
        <w:t xml:space="preserve">识别号：12320000466011617U</w:t>
      </w:r>
      <w:r/>
    </w:p>
    <w:p>
      <w:pPr>
        <w:jc w:val="both"/>
        <w:spacing w:line="360" w:lineRule="auto"/>
        <w:rPr>
          <w:rFonts w:hint="eastAsia" w:ascii="宋体" w:hAnsi="宋体" w:eastAsia="宋体" w:cs="宋体"/>
          <w:szCs w:val="21"/>
        </w:rPr>
      </w:pPr>
      <w:r>
        <w:rPr>
          <w:rFonts w:hint="eastAsia" w:ascii="宋体" w:hAnsi="宋体" w:eastAsia="宋体" w:cs="宋体"/>
          <w:szCs w:val="21"/>
        </w:rPr>
        <w:t xml:space="preserve">地址、电话：苏州市滨河路298号，0512-69379071</w:t>
      </w:r>
      <w:r/>
    </w:p>
    <w:p>
      <w:pPr>
        <w:jc w:val="both"/>
        <w:spacing w:line="360" w:lineRule="auto"/>
        <w:rPr>
          <w:rFonts w:hint="eastAsia" w:ascii="宋体" w:hAnsi="宋体" w:eastAsia="宋体" w:cs="宋体"/>
          <w:szCs w:val="21"/>
        </w:rPr>
      </w:pPr>
      <w:r>
        <w:rPr>
          <w:rFonts w:hint="eastAsia" w:ascii="宋体" w:hAnsi="宋体" w:eastAsia="宋体" w:cs="宋体"/>
          <w:szCs w:val="21"/>
        </w:rPr>
        <w:t xml:space="preserve">开户行及帐号：工行苏州市新区支行   账号：  1102021109002045964</w:t>
      </w:r>
      <w:r/>
    </w:p>
    <w:p>
      <w:pPr>
        <w:jc w:val="both"/>
        <w:spacing w:line="360" w:lineRule="auto"/>
        <w:rPr>
          <w:rFonts w:hint="eastAsia" w:ascii="宋体" w:hAnsi="宋体" w:eastAsia="宋体"/>
          <w:szCs w:val="21"/>
        </w:rPr>
      </w:pPr>
      <w:r>
        <w:rPr>
          <w:rFonts w:hint="eastAsia" w:ascii="宋体" w:hAnsi="宋体" w:eastAsia="宋体"/>
          <w:szCs w:val="21"/>
        </w:rPr>
        <w:t xml:space="preserve">2.3 乙方按期交货时须向甲方提供下列单据：质量保证书及随产品附带的所有有关资料。</w:t>
      </w:r>
      <w:r/>
    </w:p>
    <w:p>
      <w:pPr>
        <w:jc w:val="both"/>
        <w:spacing w:line="360" w:lineRule="auto"/>
        <w:rPr>
          <w:rFonts w:hint="eastAsia" w:ascii="宋体" w:hAnsi="宋体" w:eastAsia="宋体"/>
          <w:szCs w:val="21"/>
        </w:rPr>
      </w:pPr>
      <w:r>
        <w:rPr>
          <w:rFonts w:hint="eastAsia" w:ascii="宋体" w:hAnsi="宋体" w:eastAsia="宋体"/>
          <w:szCs w:val="21"/>
        </w:rPr>
        <w:t xml:space="preserve">2.4 根据现行税法对甲方征收的与本合同有关的一切税费均由甲方承担；根据现行税法对乙方征收的与本合同有关的一切税费均由乙方承担。</w:t>
      </w:r>
      <w:r/>
    </w:p>
    <w:p>
      <w:pPr>
        <w:jc w:val="both"/>
        <w:spacing w:line="360" w:lineRule="auto"/>
        <w:rPr>
          <w:rFonts w:hint="eastAsia" w:ascii="宋体" w:hAnsi="宋体" w:eastAsia="宋体" w:cs="宋体"/>
          <w:szCs w:val="21"/>
        </w:rPr>
      </w:pPr>
      <w:r>
        <w:rPr>
          <w:rFonts w:hint="eastAsia" w:ascii="宋体" w:hAnsi="宋体" w:eastAsia="宋体" w:cs="宋体"/>
          <w:szCs w:val="21"/>
        </w:rPr>
        <w:t xml:space="preserve">2.5 支付方式：银行转帐。</w:t>
      </w:r>
      <w:r/>
    </w:p>
    <w:p>
      <w:pPr>
        <w:jc w:val="both"/>
        <w:spacing w:line="360" w:lineRule="auto"/>
        <w:rPr>
          <w:rFonts w:hint="eastAsia" w:ascii="宋体" w:hAnsi="宋体" w:eastAsia="宋体"/>
          <w:b/>
          <w:szCs w:val="21"/>
        </w:rPr>
      </w:pPr>
      <w:r>
        <w:rPr>
          <w:rFonts w:hint="eastAsia" w:ascii="宋体" w:hAnsi="宋体" w:eastAsia="宋体"/>
          <w:b/>
          <w:szCs w:val="21"/>
        </w:rPr>
        <w:t xml:space="preserve">三、质量保证</w:t>
      </w:r>
      <w:r/>
    </w:p>
    <w:p>
      <w:pPr>
        <w:jc w:val="both"/>
        <w:spacing w:line="360" w:lineRule="auto"/>
        <w:rPr>
          <w:rFonts w:hint="eastAsia" w:ascii="宋体" w:hAnsi="宋体" w:eastAsia="宋体"/>
          <w:szCs w:val="21"/>
        </w:rPr>
      </w:pPr>
      <w:r>
        <w:rPr>
          <w:rFonts w:hint="eastAsia" w:ascii="宋体" w:hAnsi="宋体" w:eastAsia="宋体"/>
          <w:szCs w:val="21"/>
        </w:rPr>
        <w:t xml:space="preserve">3.1 乙方应保证所提供的标的物是</w:t>
      </w:r>
      <w:r>
        <w:rPr>
          <w:rFonts w:ascii="宋体" w:hAnsi="宋体" w:eastAsia="宋体"/>
          <w:szCs w:val="21"/>
        </w:rPr>
        <w:t xml:space="preserve">全新的、未使用过的、原厂包装未拆封的商品，完全符合采购设备规定的质量、规格和性能的要求</w:t>
      </w:r>
      <w:r>
        <w:rPr>
          <w:rFonts w:hint="eastAsia" w:ascii="宋体" w:hAnsi="宋体" w:eastAsia="宋体"/>
          <w:szCs w:val="21"/>
        </w:rPr>
        <w:t xml:space="preserve">，乙方应保证其提供的标的物在正确安装、正常使用和保养条件下，在其标称的使用寿命期内应具有满意的性能</w:t>
      </w:r>
      <w:r>
        <w:rPr>
          <w:rFonts w:hint="eastAsia" w:ascii="宋体" w:hAnsi="宋体" w:eastAsia="宋体"/>
          <w:szCs w:val="21"/>
        </w:rPr>
        <w:t xml:space="preserve">，</w:t>
      </w:r>
      <w:r>
        <w:rPr>
          <w:rFonts w:ascii="宋体" w:hAnsi="宋体" w:eastAsia="宋体"/>
          <w:szCs w:val="21"/>
        </w:rPr>
        <w:t xml:space="preserve">并提供所有产品的附件、说明书</w:t>
      </w:r>
      <w:r>
        <w:rPr>
          <w:rFonts w:hint="eastAsia" w:ascii="宋体" w:hAnsi="宋体" w:eastAsia="宋体"/>
          <w:szCs w:val="21"/>
        </w:rPr>
        <w:t xml:space="preserve">。在乙方承诺的质量保证期限内，乙方应对由于设计、工艺或材料的缺陷及伴随服务而造成的任何不足或故障负责。标的物质量出现问题，乙方应负责包修、包退、包换，费用由乙方承担。</w:t>
      </w:r>
      <w:r/>
    </w:p>
    <w:p>
      <w:pPr>
        <w:jc w:val="both"/>
        <w:spacing w:line="360" w:lineRule="auto"/>
        <w:rPr>
          <w:rFonts w:hint="eastAsia" w:ascii="宋体" w:hAnsi="宋体" w:eastAsia="宋体"/>
          <w:szCs w:val="21"/>
        </w:rPr>
      </w:pPr>
      <w:r>
        <w:rPr>
          <w:rFonts w:hint="eastAsia" w:ascii="宋体" w:hAnsi="宋体" w:eastAsia="宋体"/>
          <w:szCs w:val="21"/>
        </w:rPr>
        <w:t xml:space="preserve">3.2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jc w:val="both"/>
        <w:spacing w:line="360" w:lineRule="auto"/>
        <w:rPr>
          <w:rFonts w:hint="eastAsia" w:ascii="宋体" w:hAnsi="宋体" w:eastAsia="宋体"/>
          <w:szCs w:val="21"/>
        </w:rPr>
      </w:pPr>
      <w:r>
        <w:rPr>
          <w:rFonts w:hint="eastAsia" w:ascii="宋体" w:hAnsi="宋体" w:eastAsia="宋体"/>
          <w:szCs w:val="21"/>
        </w:rPr>
        <w:t xml:space="preserve">3.3 除特别约定外，合同条款中标的物的质量保证期均自标的物通过验收之日起计算，且质量保证期为乙方承诺期限。</w:t>
      </w:r>
      <w:r/>
    </w:p>
    <w:p>
      <w:pPr>
        <w:jc w:val="both"/>
        <w:spacing w:line="360" w:lineRule="auto"/>
        <w:rPr>
          <w:rFonts w:hint="eastAsia" w:ascii="宋体" w:hAnsi="宋体" w:eastAsia="宋体"/>
          <w:b/>
          <w:szCs w:val="21"/>
        </w:rPr>
      </w:pPr>
      <w:r>
        <w:rPr>
          <w:rFonts w:hint="eastAsia" w:ascii="宋体" w:hAnsi="宋体" w:eastAsia="宋体"/>
          <w:b/>
          <w:szCs w:val="21"/>
        </w:rPr>
        <w:t xml:space="preserve">四、包装</w:t>
      </w:r>
      <w:r/>
    </w:p>
    <w:p>
      <w:pPr>
        <w:jc w:val="both"/>
        <w:spacing w:line="360" w:lineRule="auto"/>
        <w:rPr>
          <w:rFonts w:hint="eastAsia" w:ascii="宋体" w:hAnsi="宋体" w:eastAsia="宋体"/>
          <w:szCs w:val="21"/>
        </w:rPr>
      </w:pPr>
      <w:r>
        <w:rPr>
          <w:rFonts w:hint="eastAsia" w:ascii="宋体" w:hAnsi="宋体" w:eastAsia="宋体"/>
          <w:szCs w:val="21"/>
        </w:rPr>
        <w:t xml:space="preserve">乙方应当按照约定的包装方式交付标的物。对包装方式没有约定或约定不明的，应当按照双方补充协议约定的方式包装，或者按照通用的方式包装，没有通用方式的，应当采取足以保护标的物的包装方式。</w:t>
      </w:r>
      <w:r/>
    </w:p>
    <w:p>
      <w:pPr>
        <w:jc w:val="both"/>
        <w:spacing w:line="360" w:lineRule="auto"/>
        <w:tabs>
          <w:tab w:val="left" w:pos="480" w:leader="none"/>
        </w:tabs>
        <w:rPr>
          <w:rFonts w:hint="eastAsia" w:ascii="宋体" w:hAnsi="宋体" w:eastAsia="宋体"/>
          <w:b/>
          <w:szCs w:val="21"/>
        </w:rPr>
      </w:pPr>
      <w:r>
        <w:rPr>
          <w:rFonts w:hint="eastAsia" w:ascii="宋体" w:hAnsi="宋体" w:eastAsia="宋体"/>
          <w:b/>
          <w:szCs w:val="21"/>
        </w:rPr>
        <w:t xml:space="preserve">五、标的物的交付</w:t>
      </w:r>
      <w:r/>
    </w:p>
    <w:p>
      <w:pPr>
        <w:jc w:val="both"/>
        <w:spacing w:line="360" w:lineRule="auto"/>
        <w:rPr>
          <w:rFonts w:hint="eastAsia" w:ascii="宋体" w:hAnsi="宋体" w:eastAsia="宋体"/>
          <w:szCs w:val="21"/>
        </w:rPr>
      </w:pPr>
      <w:r>
        <w:rPr>
          <w:rFonts w:hint="eastAsia" w:ascii="宋体" w:hAnsi="宋体" w:eastAsia="宋体"/>
          <w:szCs w:val="21"/>
        </w:rPr>
        <w:t xml:space="preserve">5.1 标的物的所有权自标的物交付时转移。</w:t>
      </w:r>
      <w:r/>
    </w:p>
    <w:p>
      <w:pPr>
        <w:jc w:val="both"/>
        <w:spacing w:line="360" w:lineRule="auto"/>
        <w:rPr>
          <w:rFonts w:hint="eastAsia" w:ascii="宋体" w:hAnsi="宋体" w:eastAsia="宋体"/>
          <w:szCs w:val="21"/>
        </w:rPr>
      </w:pPr>
      <w:r>
        <w:rPr>
          <w:rFonts w:hint="eastAsia" w:ascii="宋体" w:hAnsi="宋体" w:eastAsia="宋体"/>
          <w:szCs w:val="21"/>
        </w:rPr>
        <w:t xml:space="preserve">5.2 乙方应当按照约定的期限和约定的地点交付标的物。</w:t>
      </w:r>
      <w:r/>
    </w:p>
    <w:p>
      <w:pPr>
        <w:jc w:val="both"/>
        <w:spacing w:line="360" w:lineRule="auto"/>
        <w:rPr>
          <w:rFonts w:hint="eastAsia" w:ascii="宋体" w:hAnsi="宋体" w:eastAsia="宋体"/>
          <w:szCs w:val="21"/>
        </w:rPr>
      </w:pPr>
      <w:r>
        <w:rPr>
          <w:rFonts w:hint="eastAsia" w:ascii="宋体" w:hAnsi="宋体" w:eastAsia="宋体"/>
          <w:szCs w:val="21"/>
        </w:rPr>
        <w:t xml:space="preserve">5.3 乙方应当按照约定或者交易习惯向甲方交付提取标的物单证以外的有关单证和资料。</w:t>
      </w:r>
      <w:r/>
    </w:p>
    <w:p>
      <w:pPr>
        <w:jc w:val="both"/>
        <w:spacing w:line="360" w:lineRule="auto"/>
        <w:rPr>
          <w:rFonts w:hint="eastAsia" w:ascii="宋体" w:hAnsi="宋体" w:eastAsia="宋体"/>
          <w:szCs w:val="21"/>
        </w:rPr>
      </w:pPr>
      <w:r>
        <w:rPr>
          <w:rFonts w:hint="eastAsia" w:ascii="宋体" w:hAnsi="宋体" w:eastAsia="宋体"/>
          <w:szCs w:val="21"/>
        </w:rPr>
        <w:t xml:space="preserve">5.4 交货时间：合同签订后</w:t>
      </w:r>
      <w:r>
        <w:rPr>
          <w:rFonts w:ascii="宋体" w:hAnsi="宋体" w:eastAsia="宋体"/>
          <w:szCs w:val="21"/>
        </w:rPr>
        <w:t xml:space="preserve">30个日历日内供货到位</w:t>
      </w:r>
      <w:r>
        <w:rPr>
          <w:rFonts w:hint="eastAsia" w:ascii="宋体" w:hAnsi="宋体" w:eastAsia="宋体"/>
          <w:szCs w:val="21"/>
        </w:rPr>
        <w:t xml:space="preserve">（具体时间以甲方通知为准）。</w:t>
      </w:r>
      <w:r/>
    </w:p>
    <w:p>
      <w:pPr>
        <w:jc w:val="both"/>
        <w:spacing w:line="360" w:lineRule="auto"/>
        <w:rPr>
          <w:rFonts w:hint="eastAsia" w:ascii="宋体" w:hAnsi="宋体" w:eastAsia="宋体"/>
          <w:szCs w:val="21"/>
        </w:rPr>
      </w:pPr>
      <w:r>
        <w:rPr>
          <w:rFonts w:hint="eastAsia" w:ascii="宋体" w:hAnsi="宋体" w:eastAsia="宋体"/>
          <w:szCs w:val="21"/>
        </w:rPr>
        <w:t xml:space="preserve">5.5 交货地点：苏州科技大学石湖校区，具体地点由甲方通知。</w:t>
      </w:r>
      <w:r/>
    </w:p>
    <w:p>
      <w:pPr>
        <w:jc w:val="both"/>
        <w:spacing w:line="360" w:lineRule="auto"/>
        <w:rPr>
          <w:rFonts w:hint="eastAsia" w:ascii="宋体" w:hAnsi="宋体" w:eastAsia="宋体"/>
          <w:b/>
          <w:szCs w:val="21"/>
        </w:rPr>
      </w:pPr>
      <w:r>
        <w:rPr>
          <w:rFonts w:hint="eastAsia" w:ascii="宋体" w:hAnsi="宋体" w:eastAsia="宋体"/>
          <w:b/>
          <w:szCs w:val="21"/>
        </w:rPr>
        <w:t xml:space="preserve">六、伴随服务</w:t>
      </w:r>
      <w:r/>
    </w:p>
    <w:p>
      <w:pPr>
        <w:jc w:val="both"/>
        <w:spacing w:line="360" w:lineRule="auto"/>
        <w:rPr>
          <w:rFonts w:hint="eastAsia" w:ascii="宋体" w:hAnsi="宋体" w:eastAsia="宋体"/>
          <w:szCs w:val="21"/>
        </w:rPr>
      </w:pPr>
      <w:r>
        <w:rPr>
          <w:rFonts w:hint="eastAsia" w:ascii="宋体" w:hAnsi="宋体" w:eastAsia="宋体"/>
          <w:szCs w:val="21"/>
        </w:rPr>
        <w:t xml:space="preserve">6.1 乙方除应履行按期按量交付合格标的物的义务外，还应当提供下列服务：</w:t>
      </w:r>
      <w:r/>
    </w:p>
    <w:p>
      <w:pPr>
        <w:jc w:val="both"/>
        <w:spacing w:line="360" w:lineRule="auto"/>
        <w:rPr>
          <w:rFonts w:hint="eastAsia" w:ascii="宋体" w:hAnsi="宋体" w:eastAsia="宋体"/>
          <w:szCs w:val="21"/>
        </w:rPr>
      </w:pPr>
      <w:r>
        <w:rPr>
          <w:rFonts w:hint="eastAsia" w:ascii="宋体" w:hAnsi="宋体" w:eastAsia="宋体"/>
          <w:szCs w:val="21"/>
        </w:rPr>
        <w:t xml:space="preserve">6.1.1 配合甲方对标的物的现场调试；</w:t>
      </w:r>
      <w:r/>
    </w:p>
    <w:p>
      <w:pPr>
        <w:jc w:val="both"/>
        <w:spacing w:line="360" w:lineRule="auto"/>
        <w:rPr>
          <w:rFonts w:hint="eastAsia" w:ascii="宋体" w:hAnsi="宋体" w:eastAsia="宋体"/>
          <w:szCs w:val="21"/>
        </w:rPr>
      </w:pPr>
      <w:r>
        <w:rPr>
          <w:rFonts w:hint="eastAsia" w:ascii="宋体" w:hAnsi="宋体" w:eastAsia="宋体"/>
          <w:szCs w:val="21"/>
        </w:rPr>
        <w:t xml:space="preserve">6.1.2 在合同规定的期限内对所提供的标的物实行维修服务的前提条件是该服务并不能免除乙方在质量保证期内所承担的义务；</w:t>
      </w:r>
      <w:r/>
    </w:p>
    <w:p>
      <w:pPr>
        <w:jc w:val="both"/>
        <w:spacing w:line="360" w:lineRule="auto"/>
        <w:rPr>
          <w:rFonts w:hint="eastAsia" w:ascii="宋体" w:hAnsi="宋体" w:eastAsia="宋体"/>
          <w:szCs w:val="21"/>
        </w:rPr>
      </w:pPr>
      <w:r>
        <w:rPr>
          <w:rFonts w:hint="eastAsia" w:ascii="宋体" w:hAnsi="宋体" w:eastAsia="宋体"/>
          <w:szCs w:val="21"/>
        </w:rPr>
        <w:t xml:space="preserve">6.2 除合同另有规定之外，伴随服务的费用均已含在合同价款中，甲方不再另行支付。</w:t>
      </w:r>
      <w:r/>
    </w:p>
    <w:p>
      <w:pPr>
        <w:jc w:val="both"/>
        <w:spacing w:line="360" w:lineRule="auto"/>
        <w:rPr>
          <w:rFonts w:hint="eastAsia" w:ascii="宋体" w:hAnsi="宋体" w:eastAsia="宋体"/>
          <w:b/>
          <w:szCs w:val="21"/>
        </w:rPr>
      </w:pPr>
      <w:r>
        <w:rPr>
          <w:rFonts w:hint="eastAsia" w:ascii="宋体" w:hAnsi="宋体" w:eastAsia="宋体"/>
          <w:b/>
          <w:szCs w:val="21"/>
        </w:rPr>
        <w:t xml:space="preserve">七、标的物的检验和验收</w:t>
      </w:r>
      <w:r/>
    </w:p>
    <w:p>
      <w:pPr>
        <w:jc w:val="both"/>
        <w:spacing w:line="360" w:lineRule="auto"/>
        <w:rPr>
          <w:rFonts w:hint="eastAsia" w:ascii="宋体" w:hAnsi="宋体" w:eastAsia="宋体"/>
          <w:szCs w:val="21"/>
        </w:rPr>
      </w:pPr>
      <w:r>
        <w:rPr>
          <w:rFonts w:hint="eastAsia" w:ascii="宋体" w:hAnsi="宋体" w:eastAsia="宋体"/>
          <w:szCs w:val="21"/>
        </w:rPr>
        <w:t xml:space="preserve">1、验收主体：甲方；甲方有权邀请国家认可的质量、技术检测机构和社会监督人参与验收。乙方无正当理由拒绝到场参与验收的，甲方有权单方组织验收，验收结果对乙方具有约束力。</w:t>
      </w:r>
      <w:r/>
    </w:p>
    <w:p>
      <w:pPr>
        <w:jc w:val="both"/>
        <w:spacing w:line="360" w:lineRule="auto"/>
        <w:rPr>
          <w:rFonts w:hint="eastAsia" w:ascii="宋体" w:hAnsi="宋体" w:eastAsia="宋体"/>
          <w:szCs w:val="21"/>
        </w:rPr>
      </w:pPr>
      <w:r>
        <w:rPr>
          <w:rFonts w:hint="eastAsia" w:ascii="宋体" w:hAnsi="宋体" w:eastAsia="宋体"/>
          <w:szCs w:val="21"/>
        </w:rPr>
        <w:t xml:space="preserve">2、验收方式和验收程序：</w:t>
      </w:r>
      <w:r/>
    </w:p>
    <w:p>
      <w:pPr>
        <w:jc w:val="both"/>
        <w:spacing w:line="360" w:lineRule="auto"/>
        <w:rPr>
          <w:rFonts w:hint="eastAsia" w:ascii="宋体" w:hAnsi="宋体" w:eastAsia="宋体"/>
          <w:szCs w:val="21"/>
        </w:rPr>
      </w:pPr>
      <w:r>
        <w:rPr>
          <w:rFonts w:hint="eastAsia" w:ascii="宋体" w:hAnsi="宋体" w:eastAsia="宋体"/>
          <w:szCs w:val="21"/>
        </w:rPr>
        <w:t xml:space="preserve">（1）生产期间检验□；</w:t>
      </w:r>
      <w:r/>
    </w:p>
    <w:p>
      <w:pPr>
        <w:jc w:val="both"/>
        <w:spacing w:line="360" w:lineRule="auto"/>
        <w:rPr>
          <w:rFonts w:hint="eastAsia" w:ascii="宋体" w:hAnsi="宋体" w:eastAsia="宋体"/>
          <w:szCs w:val="21"/>
        </w:rPr>
      </w:pPr>
      <w:r>
        <w:rPr>
          <w:rFonts w:hint="eastAsia" w:ascii="宋体" w:hAnsi="宋体" w:eastAsia="宋体"/>
          <w:szCs w:val="21"/>
        </w:rPr>
        <w:t xml:space="preserve">产品生产期间，甲方将不定期到生产现场进行突击检验，费用由甲方自行承担。</w:t>
      </w:r>
      <w:r/>
    </w:p>
    <w:p>
      <w:pPr>
        <w:jc w:val="both"/>
        <w:spacing w:line="360" w:lineRule="auto"/>
        <w:rPr>
          <w:rFonts w:hint="eastAsia" w:ascii="宋体" w:hAnsi="宋体" w:eastAsia="宋体"/>
          <w:szCs w:val="21"/>
        </w:rPr>
      </w:pPr>
      <w:r>
        <w:rPr>
          <w:rFonts w:hint="eastAsia" w:ascii="宋体" w:hAnsi="宋体" w:eastAsia="宋体"/>
          <w:szCs w:val="21"/>
        </w:rPr>
        <w:t xml:space="preserve">（2）出厂检验□；</w:t>
      </w:r>
      <w:r/>
    </w:p>
    <w:p>
      <w:pPr>
        <w:jc w:val="both"/>
        <w:spacing w:line="360" w:lineRule="auto"/>
        <w:rPr>
          <w:rFonts w:hint="eastAsia" w:ascii="宋体" w:hAnsi="宋体" w:eastAsia="宋体"/>
          <w:szCs w:val="21"/>
        </w:rPr>
      </w:pPr>
      <w:r>
        <w:rPr>
          <w:rFonts w:hint="eastAsia" w:ascii="宋体" w:hAnsi="宋体" w:eastAsia="宋体"/>
          <w:szCs w:val="21"/>
        </w:rPr>
        <w:t xml:space="preserve">产品出厂前，乙方提前通知甲方，甲方到现场进行检验。</w:t>
      </w:r>
      <w:r/>
    </w:p>
    <w:p>
      <w:pPr>
        <w:jc w:val="both"/>
        <w:spacing w:line="360" w:lineRule="auto"/>
        <w:rPr>
          <w:rFonts w:hint="eastAsia" w:ascii="宋体" w:hAnsi="宋体" w:eastAsia="宋体"/>
          <w:szCs w:val="21"/>
        </w:rPr>
      </w:pPr>
      <w:r>
        <w:rPr>
          <w:rFonts w:hint="eastAsia" w:ascii="宋体" w:hAnsi="宋体" w:eastAsia="宋体"/>
          <w:szCs w:val="21"/>
        </w:rPr>
        <w:t xml:space="preserve">（3）到货检验□；</w:t>
      </w:r>
      <w:r/>
    </w:p>
    <w:p>
      <w:pPr>
        <w:jc w:val="both"/>
        <w:spacing w:line="360" w:lineRule="auto"/>
        <w:rPr>
          <w:rFonts w:hint="eastAsia" w:ascii="宋体" w:hAnsi="宋体" w:eastAsia="宋体"/>
          <w:szCs w:val="21"/>
        </w:rPr>
      </w:pPr>
      <w:r>
        <w:rPr>
          <w:rFonts w:hint="eastAsia" w:ascii="宋体" w:hAnsi="宋体" w:eastAsia="宋体"/>
          <w:szCs w:val="21"/>
        </w:rPr>
        <w:t xml:space="preserve">产品到达交货地点后，甲方组织验收。</w:t>
      </w:r>
      <w:r/>
    </w:p>
    <w:p>
      <w:pPr>
        <w:jc w:val="both"/>
        <w:spacing w:line="360" w:lineRule="auto"/>
        <w:rPr>
          <w:rFonts w:hint="eastAsia" w:ascii="宋体" w:hAnsi="宋体" w:eastAsia="宋体"/>
          <w:szCs w:val="21"/>
        </w:rPr>
      </w:pPr>
      <w:r>
        <w:rPr>
          <w:rFonts w:hint="eastAsia" w:ascii="宋体" w:hAnsi="宋体" w:eastAsia="宋体"/>
          <w:szCs w:val="21"/>
        </w:rPr>
        <w:t xml:space="preserve">（4）安装调试、试运行验收□；</w:t>
      </w:r>
      <w:r/>
    </w:p>
    <w:p>
      <w:pPr>
        <w:jc w:val="both"/>
        <w:spacing w:line="360" w:lineRule="auto"/>
        <w:rPr>
          <w:rFonts w:hint="eastAsia" w:ascii="宋体" w:hAnsi="宋体" w:eastAsia="宋体"/>
          <w:szCs w:val="21"/>
        </w:rPr>
      </w:pPr>
      <w:r>
        <w:rPr>
          <w:rFonts w:hint="eastAsia" w:ascii="宋体" w:hAnsi="宋体" w:eastAsia="宋体"/>
          <w:szCs w:val="21"/>
        </w:rPr>
        <w:t xml:space="preserve">产品安装完成后，甲方组织调试或试运行验收。</w:t>
      </w:r>
      <w:r/>
    </w:p>
    <w:p>
      <w:pPr>
        <w:jc w:val="both"/>
        <w:spacing w:line="360" w:lineRule="auto"/>
        <w:rPr>
          <w:rFonts w:hint="eastAsia" w:ascii="宋体" w:hAnsi="宋体" w:eastAsia="宋体"/>
          <w:szCs w:val="21"/>
        </w:rPr>
      </w:pPr>
      <w:r>
        <w:rPr>
          <w:rFonts w:hint="eastAsia" w:ascii="宋体" w:hAnsi="宋体" w:eastAsia="宋体"/>
          <w:szCs w:val="21"/>
        </w:rPr>
        <w:t xml:space="preserve">（5）其他□</w:t>
      </w:r>
      <w:r/>
    </w:p>
    <w:p>
      <w:pPr>
        <w:jc w:val="both"/>
        <w:spacing w:line="360" w:lineRule="auto"/>
        <w:rPr>
          <w:rFonts w:hint="eastAsia" w:ascii="宋体" w:hAnsi="宋体" w:eastAsia="宋体"/>
          <w:szCs w:val="21"/>
        </w:rPr>
      </w:pPr>
      <w:r>
        <w:rPr>
          <w:rFonts w:hint="eastAsia" w:ascii="宋体" w:hAnsi="宋体" w:eastAsia="宋体"/>
          <w:szCs w:val="21"/>
        </w:rPr>
        <w:t xml:space="preserve">                。</w:t>
      </w:r>
      <w:r/>
    </w:p>
    <w:p>
      <w:pPr>
        <w:jc w:val="both"/>
        <w:spacing w:line="360" w:lineRule="auto"/>
        <w:rPr>
          <w:rFonts w:hint="eastAsia" w:ascii="宋体" w:hAnsi="宋体" w:eastAsia="宋体"/>
          <w:szCs w:val="21"/>
        </w:rPr>
      </w:pPr>
      <w:r>
        <w:rPr>
          <w:rFonts w:hint="eastAsia" w:ascii="宋体" w:hAnsi="宋体" w:eastAsia="宋体"/>
          <w:szCs w:val="21"/>
        </w:rPr>
        <w:t xml:space="preserve">3、验收内容：</w:t>
      </w:r>
      <w:r/>
    </w:p>
    <w:p>
      <w:pPr>
        <w:jc w:val="both"/>
        <w:spacing w:line="360" w:lineRule="auto"/>
        <w:rPr>
          <w:rFonts w:hint="eastAsia" w:ascii="宋体" w:hAnsi="宋体" w:eastAsia="宋体"/>
          <w:szCs w:val="21"/>
        </w:rPr>
      </w:pPr>
      <w:r>
        <w:rPr>
          <w:rFonts w:hint="eastAsia" w:ascii="宋体" w:hAnsi="宋体" w:eastAsia="宋体"/>
          <w:szCs w:val="21"/>
        </w:rPr>
        <w:t xml:space="preserve">（1）产品的数量、包装；</w:t>
      </w:r>
      <w:r/>
    </w:p>
    <w:p>
      <w:pPr>
        <w:jc w:val="both"/>
        <w:spacing w:line="360" w:lineRule="auto"/>
        <w:rPr>
          <w:rFonts w:hint="eastAsia" w:ascii="宋体" w:hAnsi="宋体" w:eastAsia="宋体"/>
          <w:szCs w:val="21"/>
        </w:rPr>
      </w:pPr>
      <w:r>
        <w:rPr>
          <w:rFonts w:hint="eastAsia" w:ascii="宋体" w:hAnsi="宋体" w:eastAsia="宋体"/>
          <w:szCs w:val="21"/>
        </w:rPr>
        <w:t xml:space="preserve">（2）所有技术和商务要求的履约情况；</w:t>
      </w:r>
      <w:r/>
    </w:p>
    <w:p>
      <w:pPr>
        <w:jc w:val="both"/>
        <w:spacing w:line="360" w:lineRule="auto"/>
        <w:rPr>
          <w:rFonts w:hint="eastAsia" w:ascii="宋体" w:hAnsi="宋体" w:eastAsia="宋体"/>
          <w:szCs w:val="21"/>
        </w:rPr>
      </w:pPr>
      <w:r>
        <w:rPr>
          <w:rFonts w:hint="eastAsia" w:ascii="宋体" w:hAnsi="宋体" w:eastAsia="宋体"/>
          <w:szCs w:val="21"/>
        </w:rPr>
        <w:t xml:space="preserve">（3）甲乙双方提供的测试样本不同，导致验收结论不同的，以甲方提供的测试样本的验收结论为准；</w:t>
      </w:r>
      <w:r/>
    </w:p>
    <w:p>
      <w:pPr>
        <w:jc w:val="both"/>
        <w:spacing w:line="360" w:lineRule="auto"/>
        <w:rPr>
          <w:rFonts w:hint="eastAsia" w:ascii="宋体" w:hAnsi="宋体" w:eastAsia="宋体"/>
          <w:szCs w:val="21"/>
        </w:rPr>
      </w:pPr>
      <w:r>
        <w:rPr>
          <w:rFonts w:hint="eastAsia" w:ascii="宋体" w:hAnsi="宋体" w:eastAsia="宋体"/>
          <w:szCs w:val="21"/>
        </w:rPr>
        <w:t xml:space="preserve">（4）其他              </w:t>
      </w:r>
      <w:r>
        <w:rPr>
          <w:rFonts w:hint="eastAsia" w:ascii="宋体" w:hAnsi="宋体" w:eastAsia="宋体"/>
          <w:szCs w:val="21"/>
        </w:rPr>
        <w:t xml:space="preserve"> 。</w:t>
      </w:r>
      <w:r/>
    </w:p>
    <w:p>
      <w:pPr>
        <w:jc w:val="both"/>
        <w:spacing w:line="360" w:lineRule="auto"/>
        <w:rPr>
          <w:rFonts w:hint="eastAsia" w:ascii="宋体" w:hAnsi="宋体" w:eastAsia="宋体"/>
          <w:szCs w:val="21"/>
        </w:rPr>
      </w:pPr>
      <w:r>
        <w:rPr>
          <w:rFonts w:hint="eastAsia" w:ascii="宋体" w:hAnsi="宋体" w:eastAsia="宋体"/>
          <w:szCs w:val="21"/>
        </w:rPr>
        <w:t xml:space="preserve">4、验收标准：</w:t>
      </w:r>
      <w:r/>
    </w:p>
    <w:p>
      <w:pPr>
        <w:jc w:val="both"/>
        <w:spacing w:line="360" w:lineRule="auto"/>
        <w:rPr>
          <w:rFonts w:hint="eastAsia" w:ascii="宋体" w:hAnsi="宋体" w:eastAsia="宋体"/>
          <w:szCs w:val="21"/>
        </w:rPr>
      </w:pPr>
      <w:r>
        <w:rPr>
          <w:rFonts w:hint="eastAsia" w:ascii="宋体" w:hAnsi="宋体" w:eastAsia="宋体"/>
          <w:szCs w:val="21"/>
        </w:rPr>
        <w:t xml:space="preserve">（1）国家或行业相关标准（如有）；</w:t>
      </w:r>
      <w:r/>
    </w:p>
    <w:p>
      <w:pPr>
        <w:jc w:val="both"/>
        <w:spacing w:line="360" w:lineRule="auto"/>
        <w:rPr>
          <w:rFonts w:hint="eastAsia" w:ascii="宋体" w:hAnsi="宋体" w:eastAsia="宋体"/>
          <w:szCs w:val="21"/>
        </w:rPr>
      </w:pPr>
      <w:r>
        <w:rPr>
          <w:rFonts w:hint="eastAsia" w:ascii="宋体" w:hAnsi="宋体" w:eastAsia="宋体"/>
          <w:szCs w:val="21"/>
        </w:rPr>
        <w:t xml:space="preserve">（2）合同、招标采购文件的要求、投标/响应等文件的承诺；</w:t>
      </w:r>
      <w:r/>
    </w:p>
    <w:p>
      <w:pPr>
        <w:jc w:val="both"/>
        <w:spacing w:line="360" w:lineRule="auto"/>
        <w:rPr>
          <w:rFonts w:hint="eastAsia" w:ascii="宋体" w:hAnsi="宋体" w:eastAsia="宋体"/>
          <w:szCs w:val="21"/>
        </w:rPr>
      </w:pPr>
      <w:r>
        <w:rPr>
          <w:rFonts w:hint="eastAsia" w:ascii="宋体" w:hAnsi="宋体" w:eastAsia="宋体"/>
          <w:szCs w:val="21"/>
        </w:rPr>
        <w:t xml:space="preserve">（3）已封存的样品（如有）；</w:t>
      </w:r>
      <w:r/>
    </w:p>
    <w:p>
      <w:pPr>
        <w:jc w:val="both"/>
        <w:spacing w:line="360" w:lineRule="auto"/>
        <w:rPr>
          <w:rFonts w:hint="eastAsia" w:ascii="宋体" w:hAnsi="宋体" w:eastAsia="宋体"/>
          <w:szCs w:val="21"/>
        </w:rPr>
      </w:pPr>
      <w:r>
        <w:rPr>
          <w:rFonts w:hint="eastAsia" w:ascii="宋体" w:hAnsi="宋体" w:eastAsia="宋体"/>
          <w:szCs w:val="21"/>
        </w:rPr>
        <w:t xml:space="preserve">（4）其他              </w:t>
      </w:r>
      <w:r>
        <w:rPr>
          <w:rFonts w:hint="eastAsia" w:ascii="宋体" w:hAnsi="宋体" w:eastAsia="宋体"/>
          <w:szCs w:val="21"/>
        </w:rPr>
        <w:t xml:space="preserve"> 。</w:t>
      </w:r>
      <w:r/>
    </w:p>
    <w:p>
      <w:pPr>
        <w:jc w:val="both"/>
        <w:spacing w:line="360" w:lineRule="auto"/>
        <w:rPr>
          <w:rFonts w:hint="eastAsia" w:ascii="宋体" w:hAnsi="宋体" w:eastAsia="宋体"/>
          <w:szCs w:val="21"/>
        </w:rPr>
      </w:pPr>
      <w:r>
        <w:rPr>
          <w:rFonts w:hint="eastAsia" w:ascii="宋体" w:hAnsi="宋体" w:eastAsia="宋体"/>
          <w:szCs w:val="21"/>
        </w:rPr>
        <w:t xml:space="preserve">5、其他验收要求：</w:t>
      </w:r>
      <w:r/>
    </w:p>
    <w:p>
      <w:pPr>
        <w:jc w:val="both"/>
        <w:spacing w:line="360" w:lineRule="auto"/>
        <w:rPr>
          <w:rFonts w:hint="eastAsia" w:ascii="宋体" w:hAnsi="宋体" w:eastAsia="宋体"/>
          <w:szCs w:val="21"/>
        </w:rPr>
      </w:pPr>
      <w:r>
        <w:rPr>
          <w:rFonts w:hint="eastAsia" w:ascii="宋体" w:hAnsi="宋体" w:eastAsia="宋体"/>
          <w:szCs w:val="21"/>
        </w:rPr>
        <w:t xml:space="preserve">（1）乙方应按照本合同规定的时间、地点和方式向甲方交付货物；货到现场后，双方签署书面交接记录，明确货物基本情况（型号、外包装、规格情况）、签收时间等。</w:t>
      </w:r>
      <w:r/>
    </w:p>
    <w:p>
      <w:pPr>
        <w:jc w:val="both"/>
        <w:spacing w:line="360" w:lineRule="auto"/>
        <w:rPr>
          <w:rFonts w:hint="eastAsia" w:ascii="宋体" w:hAnsi="宋体" w:eastAsia="宋体"/>
          <w:szCs w:val="21"/>
        </w:rPr>
      </w:pPr>
      <w:r>
        <w:rPr>
          <w:rFonts w:hint="eastAsia" w:ascii="宋体" w:hAnsi="宋体" w:eastAsia="宋体"/>
          <w:szCs w:val="21"/>
        </w:rPr>
        <w:t xml:space="preserve">（2）乙方提供的货物不符合合同规定的，甲方有权拒收货物，并有权解除合同和索赔。在乙方承诺的质量保证期内，达不到质量要求的，乙方应负责维修或更换，因此造成损失的，甲方将有权提出索赔；对现场临时抽样送检的</w:t>
      </w:r>
      <w:r>
        <w:rPr>
          <w:rFonts w:hint="eastAsia" w:ascii="宋体" w:hAnsi="宋体" w:eastAsia="宋体"/>
          <w:szCs w:val="21"/>
        </w:rPr>
        <w:t xml:space="preserve">产品,</w:t>
      </w:r>
      <w:r>
        <w:rPr>
          <w:rFonts w:hint="eastAsia" w:ascii="宋体" w:hAnsi="宋体" w:eastAsia="宋体"/>
          <w:szCs w:val="21"/>
        </w:rPr>
        <w:t xml:space="preserve">抽检不合格的，由乙方无条件自行清场运回，并承担检测费用及由此所造成的一切损失；抽检合格的，检测费用由甲方承担。</w:t>
      </w:r>
      <w:r/>
    </w:p>
    <w:p>
      <w:pPr>
        <w:jc w:val="both"/>
        <w:spacing w:line="360" w:lineRule="auto"/>
        <w:rPr>
          <w:rFonts w:hint="eastAsia" w:ascii="宋体" w:hAnsi="宋体" w:eastAsia="宋体"/>
          <w:szCs w:val="21"/>
        </w:rPr>
      </w:pPr>
      <w:r>
        <w:rPr>
          <w:rFonts w:hint="eastAsia" w:ascii="宋体" w:hAnsi="宋体" w:eastAsia="宋体"/>
          <w:szCs w:val="21"/>
        </w:rPr>
        <w:t xml:space="preserve">（3）货到现场后，由乙方负责货物的现场安装，并在日内完成安装，甲方需按乙方要求准备安装场地；甲方应当在货物签收后日内对货物进行验收，验收包括但不限于：型号、规格、数量、外观质量、及货物包装是否完好，安装调试是否合格；所提供货物的装箱清单、用户手册、原厂保修卡、随机资料及配件、随机工具等是否齐全。如果甲方发现乙方交付的货物、附随文件、备件不符合合同约定的，</w:t>
      </w:r>
      <w:r>
        <w:rPr>
          <w:rFonts w:hint="eastAsia" w:ascii="宋体" w:hAnsi="宋体" w:eastAsia="宋体"/>
          <w:szCs w:val="21"/>
        </w:rPr>
        <w:t xml:space="preserve">甲方应以书面形式通知乙方验收结果，且甲方可以拒收或解除合同或要求乙方按照合同约定更换或补足，相应货物验收期限按照完成更换或补足的时间重新计算。更换或补足的时间超出合同约定的交货时间，视为逾期交货，乙方应承担违约责任。乙方在约定的时间内未能弥补缺陷，甲方可采取必要的补救措施，但其风险和费用将由乙方承担，甲方根据合同约定对乙方行使的其他权利不受影响。</w:t>
      </w:r>
      <w:r/>
    </w:p>
    <w:p>
      <w:pPr>
        <w:jc w:val="both"/>
        <w:spacing w:line="360" w:lineRule="auto"/>
        <w:rPr>
          <w:rFonts w:hint="eastAsia" w:ascii="宋体" w:hAnsi="宋体" w:eastAsia="宋体"/>
          <w:szCs w:val="21"/>
        </w:rPr>
      </w:pPr>
      <w:r>
        <w:rPr>
          <w:rFonts w:hint="eastAsia" w:ascii="宋体" w:hAnsi="宋体" w:eastAsia="宋体"/>
          <w:szCs w:val="21"/>
        </w:rPr>
        <w:t xml:space="preserve">（4）生产期间检验、出厂检验、到货检验和安装调试、试运行验收合格后，视为货物最终验收合格。</w:t>
      </w:r>
      <w:r/>
    </w:p>
    <w:p>
      <w:pPr>
        <w:jc w:val="both"/>
        <w:spacing w:line="360" w:lineRule="auto"/>
        <w:rPr>
          <w:rFonts w:hint="eastAsia" w:ascii="宋体" w:hAnsi="宋体" w:eastAsia="宋体"/>
          <w:szCs w:val="21"/>
        </w:rPr>
      </w:pPr>
      <w:r>
        <w:rPr>
          <w:rFonts w:hint="eastAsia" w:ascii="宋体" w:hAnsi="宋体" w:eastAsia="宋体"/>
          <w:szCs w:val="21"/>
        </w:rPr>
        <w:t xml:space="preserve">（5）验收过程中乙方无正当理由拒签任何验收文件的，甲方可通过拍照、录像、第三方见证等方式留存验收记录，该记录作为验收结果的有效依据，甲方有权据此暂停支付相应款项，直至乙方配合完成验收手续。</w:t>
      </w:r>
      <w:r/>
    </w:p>
    <w:p>
      <w:pPr>
        <w:jc w:val="both"/>
        <w:spacing w:line="360" w:lineRule="auto"/>
        <w:rPr>
          <w:rFonts w:hint="eastAsia" w:ascii="宋体" w:hAnsi="宋体" w:eastAsia="宋体"/>
          <w:szCs w:val="21"/>
        </w:rPr>
      </w:pPr>
      <w:r>
        <w:rPr>
          <w:rFonts w:hint="eastAsia" w:ascii="宋体" w:hAnsi="宋体" w:eastAsia="宋体"/>
          <w:szCs w:val="21"/>
        </w:rPr>
        <w:t xml:space="preserve">（6）因验收争议导致项目停滞的，甲方有权按照合同约定解除合同，乙方应承担由此产生的全部责任和损失。</w:t>
      </w:r>
      <w:r/>
    </w:p>
    <w:p>
      <w:pPr>
        <w:jc w:val="both"/>
        <w:spacing w:line="360" w:lineRule="auto"/>
        <w:rPr>
          <w:rFonts w:hint="eastAsia" w:ascii="宋体" w:hAnsi="宋体" w:eastAsia="宋体"/>
          <w:szCs w:val="21"/>
        </w:rPr>
      </w:pPr>
      <w:r>
        <w:rPr>
          <w:rFonts w:hint="eastAsia" w:ascii="宋体" w:hAnsi="宋体" w:eastAsia="宋体"/>
          <w:szCs w:val="21"/>
        </w:rPr>
        <w:t xml:space="preserve">6、验收不通过处理流程</w:t>
      </w:r>
      <w:r/>
    </w:p>
    <w:p>
      <w:pPr>
        <w:jc w:val="both"/>
        <w:spacing w:line="360" w:lineRule="auto"/>
        <w:rPr>
          <w:rFonts w:hint="eastAsia" w:ascii="宋体" w:hAnsi="宋体" w:eastAsia="宋体"/>
          <w:szCs w:val="21"/>
        </w:rPr>
      </w:pPr>
      <w:r>
        <w:rPr>
          <w:rFonts w:hint="eastAsia" w:ascii="宋体" w:hAnsi="宋体" w:eastAsia="宋体"/>
          <w:szCs w:val="21"/>
        </w:rPr>
        <w:t xml:space="preserve">（1）甲方验收发现货物/服务不符合合同约定的，应当在验收结束后7个工作日内以书面形式（包括但不限于加盖公章的函件、甲方官方邮箱、双方确认的工作微信/钉钉）告知乙方。</w:t>
      </w:r>
      <w:r/>
    </w:p>
    <w:p>
      <w:pPr>
        <w:jc w:val="both"/>
        <w:spacing w:line="360" w:lineRule="auto"/>
        <w:rPr>
          <w:rFonts w:hint="eastAsia" w:ascii="宋体" w:hAnsi="宋体" w:eastAsia="宋体"/>
          <w:szCs w:val="21"/>
        </w:rPr>
      </w:pPr>
      <w:r>
        <w:rPr>
          <w:rFonts w:hint="eastAsia" w:ascii="宋体" w:hAnsi="宋体" w:eastAsia="宋体"/>
          <w:szCs w:val="21"/>
        </w:rPr>
        <w:t xml:space="preserve">（2）甲方同意整改的，乙方应在甲方指定的整改期限内提交详细整改方案、完成整改并重新提请验收；整改仅限一次，整改后仍不合格或乙方逾期未完成整改的，视为乙方根本性违约，甲方有权单方解除本合同。</w:t>
      </w:r>
      <w:r/>
    </w:p>
    <w:p>
      <w:pPr>
        <w:jc w:val="both"/>
        <w:spacing w:line="360" w:lineRule="auto"/>
        <w:rPr>
          <w:rFonts w:hint="eastAsia" w:ascii="宋体" w:hAnsi="宋体" w:eastAsia="宋体"/>
          <w:szCs w:val="21"/>
        </w:rPr>
      </w:pPr>
      <w:r>
        <w:rPr>
          <w:rFonts w:hint="eastAsia" w:ascii="宋体" w:hAnsi="宋体" w:eastAsia="宋体"/>
          <w:szCs w:val="21"/>
        </w:rPr>
        <w:t xml:space="preserve">（3）若甲方经审查认为乙方提出的整改方案无法达到合同约定的验收标准，或整改将导致项目合同目的无法实现、产生不可挽回的损失的，甲方有权拒绝乙方整改要求并立即发出书面解除合同通知。合同自该通知送达乙方之日起解除，乙方不得就合同解除提出任何异议，且不得要求甲方继续履行合同或主张任何补偿。</w:t>
      </w:r>
      <w:r/>
    </w:p>
    <w:p>
      <w:pPr>
        <w:jc w:val="both"/>
        <w:spacing w:line="360" w:lineRule="auto"/>
        <w:rPr>
          <w:rFonts w:hint="eastAsia" w:ascii="宋体" w:hAnsi="宋体" w:eastAsia="宋体"/>
          <w:szCs w:val="21"/>
        </w:rPr>
      </w:pPr>
      <w:r>
        <w:rPr>
          <w:rFonts w:hint="eastAsia" w:ascii="宋体" w:hAnsi="宋体" w:eastAsia="宋体"/>
          <w:szCs w:val="21"/>
        </w:rPr>
        <w:t xml:space="preserve">（4）乙方应在甲方发出解除合同通知后7个工作日内无条件清场并运回所有货物，退还甲方已支付的全部款项，并承担由此给甲方造成的一切损失（包括但不限于支付给甲方2倍合同总价款的违约金）。如乙方在约定时间内未完成退款及违约金的支付，甲方将通过法律途径维护权益。</w:t>
      </w:r>
      <w:r/>
    </w:p>
    <w:p>
      <w:pPr>
        <w:jc w:val="both"/>
        <w:spacing w:line="360" w:lineRule="auto"/>
        <w:rPr>
          <w:rFonts w:hint="eastAsia" w:ascii="宋体" w:hAnsi="宋体" w:eastAsia="宋体"/>
          <w:szCs w:val="21"/>
        </w:rPr>
      </w:pPr>
      <w:r>
        <w:rPr>
          <w:rFonts w:hint="eastAsia" w:ascii="宋体" w:hAnsi="宋体" w:eastAsia="宋体"/>
          <w:szCs w:val="21"/>
        </w:rPr>
        <w:t xml:space="preserve">（5）乙方逾期未清场的，甲方有权自行处置货物，产生的搬运、仓储等全部费用由乙方承担。</w:t>
      </w:r>
      <w:r/>
    </w:p>
    <w:p>
      <w:pPr>
        <w:jc w:val="both"/>
        <w:spacing w:line="360" w:lineRule="auto"/>
        <w:rPr>
          <w:rFonts w:hint="eastAsia" w:ascii="宋体" w:hAnsi="宋体" w:eastAsia="宋体"/>
          <w:b/>
          <w:szCs w:val="21"/>
        </w:rPr>
      </w:pPr>
      <w:r>
        <w:rPr>
          <w:rFonts w:hint="eastAsia" w:ascii="宋体" w:hAnsi="宋体" w:eastAsia="宋体"/>
          <w:b/>
          <w:szCs w:val="21"/>
        </w:rPr>
        <w:t xml:space="preserve">八、标的物提出异议的时间和办法</w:t>
      </w:r>
      <w:r/>
    </w:p>
    <w:p>
      <w:pPr>
        <w:jc w:val="both"/>
        <w:spacing w:line="360" w:lineRule="auto"/>
        <w:rPr>
          <w:rFonts w:hint="eastAsia" w:ascii="宋体" w:hAnsi="宋体" w:eastAsia="宋体"/>
          <w:szCs w:val="21"/>
        </w:rPr>
      </w:pPr>
      <w:r>
        <w:rPr>
          <w:rFonts w:hint="eastAsia" w:ascii="宋体" w:hAnsi="宋体" w:eastAsia="宋体"/>
          <w:szCs w:val="21"/>
        </w:rPr>
        <w:t xml:space="preserve">8.1 甲方在验收过程中，应当于双方约定的检验期间内将标的物的数量或质量不符合约定的情况及处理方式以书面方式通知乙方。</w:t>
      </w:r>
      <w:r/>
    </w:p>
    <w:p>
      <w:pPr>
        <w:jc w:val="both"/>
        <w:spacing w:line="360" w:lineRule="auto"/>
        <w:rPr>
          <w:rFonts w:hint="eastAsia" w:ascii="宋体" w:hAnsi="宋体" w:eastAsia="宋体"/>
          <w:szCs w:val="21"/>
        </w:rPr>
      </w:pPr>
      <w:r>
        <w:rPr>
          <w:rFonts w:hint="eastAsia" w:ascii="宋体" w:hAnsi="宋体" w:eastAsia="宋体"/>
          <w:szCs w:val="21"/>
        </w:rPr>
        <w:t xml:space="preserve">8.2 如果甲方在验收期满后，既不出具验收合格证明又未提出书面异议的视为乙方所交标的物符合合同规定。</w:t>
      </w:r>
      <w:r/>
    </w:p>
    <w:p>
      <w:pPr>
        <w:jc w:val="both"/>
        <w:spacing w:line="360" w:lineRule="auto"/>
        <w:rPr>
          <w:rFonts w:hint="eastAsia" w:ascii="宋体" w:hAnsi="宋体" w:eastAsia="宋体"/>
          <w:szCs w:val="21"/>
        </w:rPr>
      </w:pPr>
      <w:r>
        <w:rPr>
          <w:rFonts w:hint="eastAsia" w:ascii="宋体" w:hAnsi="宋体" w:eastAsia="宋体"/>
          <w:szCs w:val="21"/>
        </w:rPr>
        <w:t xml:space="preserve">8.3 乙方应在收到甲方书面异议后七天内负责处理问题，否则将视为默认甲方提出的异议和处理意见。</w:t>
      </w:r>
      <w:r>
        <w:rPr>
          <w:rFonts w:hint="eastAsia" w:ascii="宋体" w:hAnsi="宋体" w:eastAsia="宋体"/>
          <w:b/>
          <w:szCs w:val="21"/>
        </w:rPr>
        <w:t xml:space="preserve">九、售后服务</w:t>
      </w:r>
      <w:r/>
    </w:p>
    <w:p>
      <w:pPr>
        <w:jc w:val="both"/>
        <w:spacing w:line="360" w:lineRule="auto"/>
        <w:rPr>
          <w:rFonts w:hint="eastAsia" w:ascii="宋体" w:hAnsi="宋体" w:eastAsia="宋体"/>
          <w:szCs w:val="21"/>
        </w:rPr>
      </w:pPr>
      <w:r>
        <w:rPr>
          <w:rFonts w:hint="eastAsia" w:ascii="宋体" w:hAnsi="宋体" w:eastAsia="宋体"/>
          <w:szCs w:val="21"/>
        </w:rPr>
        <w:t xml:space="preserve">1、乙方应按照国家有关法律法规规章和“三包”规定以及乙方提供的“服务承诺”提供服务。所有货物保修服务方式均为乙方上门保修，即由乙方派员到货物使用现场维修，由此产生的一切费用均由乙方承担。</w:t>
      </w:r>
      <w:r/>
    </w:p>
    <w:p>
      <w:pPr>
        <w:jc w:val="both"/>
        <w:spacing w:line="360" w:lineRule="auto"/>
        <w:rPr>
          <w:rFonts w:hint="eastAsia" w:ascii="宋体" w:hAnsi="宋体" w:eastAsia="宋体"/>
          <w:szCs w:val="21"/>
        </w:rPr>
      </w:pPr>
      <w:r>
        <w:rPr>
          <w:rFonts w:hint="eastAsia" w:ascii="宋体" w:hAnsi="宋体" w:eastAsia="宋体"/>
          <w:szCs w:val="21"/>
        </w:rPr>
        <w:t xml:space="preserve">2、在质保期内，乙方接到甲方求助电话后</w:t>
      </w:r>
      <w:r>
        <w:rPr>
          <w:rFonts w:hint="eastAsia" w:ascii="宋体" w:hAnsi="宋体" w:eastAsia="宋体"/>
          <w:szCs w:val="21"/>
        </w:rPr>
        <w:t xml:space="preserve">_____</w:t>
      </w:r>
      <w:r>
        <w:rPr>
          <w:rFonts w:hint="eastAsia" w:ascii="宋体" w:hAnsi="宋体" w:eastAsia="宋体"/>
          <w:szCs w:val="21"/>
        </w:rPr>
        <w:t xml:space="preserve">小时内给予答复，      小时内到达现场，提供服务。（可根据投标文件实际响应填写）</w:t>
      </w:r>
      <w:r/>
    </w:p>
    <w:p>
      <w:pPr>
        <w:jc w:val="both"/>
        <w:spacing w:line="360" w:lineRule="auto"/>
        <w:rPr>
          <w:rFonts w:hint="eastAsia" w:ascii="宋体" w:hAnsi="宋体" w:eastAsia="宋体"/>
          <w:szCs w:val="21"/>
        </w:rPr>
      </w:pPr>
      <w:r>
        <w:rPr>
          <w:rFonts w:hint="eastAsia" w:ascii="宋体" w:hAnsi="宋体" w:eastAsia="宋体"/>
          <w:szCs w:val="21"/>
        </w:rPr>
        <w:t xml:space="preserve">3、在质保期内，乙方应对甲方提供以下培训服务（如有）：</w:t>
      </w:r>
      <w:r/>
    </w:p>
    <w:p>
      <w:pPr>
        <w:jc w:val="both"/>
        <w:spacing w:line="360" w:lineRule="auto"/>
        <w:rPr>
          <w:rFonts w:hint="eastAsia" w:ascii="宋体" w:hAnsi="宋体" w:eastAsia="宋体"/>
          <w:szCs w:val="21"/>
        </w:rPr>
      </w:pPr>
      <w:r>
        <w:rPr>
          <w:rFonts w:hint="eastAsia" w:ascii="宋体" w:hAnsi="宋体" w:eastAsia="宋体"/>
          <w:szCs w:val="21"/>
        </w:rPr>
        <w:t xml:space="preserve">（1）乙方负责对甲方相关人员提供产品及配套产品的使用培训。</w:t>
      </w:r>
      <w:r/>
    </w:p>
    <w:p>
      <w:pPr>
        <w:jc w:val="both"/>
        <w:spacing w:line="360" w:lineRule="auto"/>
        <w:rPr>
          <w:rFonts w:hint="eastAsia" w:ascii="宋体" w:hAnsi="宋体" w:eastAsia="宋体"/>
          <w:szCs w:val="21"/>
        </w:rPr>
      </w:pPr>
      <w:r>
        <w:rPr>
          <w:rFonts w:hint="eastAsia" w:ascii="宋体" w:hAnsi="宋体" w:eastAsia="宋体"/>
          <w:szCs w:val="21"/>
        </w:rPr>
        <w:t xml:space="preserve">（2）对管理员提供针对于平台的、来自厂家的技术支持和培训服务；对最终用户提供技术支持和使用培训。</w:t>
      </w:r>
      <w:r/>
    </w:p>
    <w:p>
      <w:pPr>
        <w:jc w:val="both"/>
        <w:spacing w:line="360" w:lineRule="auto"/>
        <w:rPr>
          <w:rFonts w:hint="eastAsia" w:ascii="宋体" w:hAnsi="宋体" w:eastAsia="宋体"/>
          <w:szCs w:val="21"/>
        </w:rPr>
      </w:pPr>
      <w:r>
        <w:rPr>
          <w:rFonts w:hint="eastAsia" w:ascii="宋体" w:hAnsi="宋体" w:eastAsia="宋体"/>
          <w:szCs w:val="21"/>
        </w:rPr>
        <w:t xml:space="preserve">4、在质保期内，乙方应对相关产品及配套软件提供以下免费支持（如有）：</w:t>
      </w:r>
      <w:r/>
    </w:p>
    <w:p>
      <w:pPr>
        <w:jc w:val="both"/>
        <w:spacing w:line="360" w:lineRule="auto"/>
        <w:rPr>
          <w:rFonts w:hint="eastAsia" w:ascii="宋体" w:hAnsi="宋体" w:eastAsia="宋体"/>
          <w:szCs w:val="21"/>
        </w:rPr>
      </w:pPr>
      <w:r>
        <w:rPr>
          <w:rFonts w:hint="eastAsia" w:ascii="宋体" w:hAnsi="宋体" w:eastAsia="宋体"/>
          <w:szCs w:val="21"/>
        </w:rPr>
        <w:t xml:space="preserve">（1）提供免费的软件产品支持；</w:t>
      </w:r>
      <w:r/>
    </w:p>
    <w:p>
      <w:pPr>
        <w:jc w:val="both"/>
        <w:spacing w:line="360" w:lineRule="auto"/>
        <w:rPr>
          <w:rFonts w:hint="eastAsia" w:ascii="宋体" w:hAnsi="宋体" w:eastAsia="宋体"/>
          <w:szCs w:val="21"/>
        </w:rPr>
      </w:pPr>
      <w:r>
        <w:rPr>
          <w:rFonts w:hint="eastAsia" w:ascii="宋体" w:hAnsi="宋体" w:eastAsia="宋体"/>
          <w:szCs w:val="21"/>
        </w:rPr>
        <w:t xml:space="preserve">（2）软件系统实施指导；</w:t>
      </w:r>
      <w:r/>
    </w:p>
    <w:p>
      <w:pPr>
        <w:jc w:val="both"/>
        <w:spacing w:line="360" w:lineRule="auto"/>
        <w:rPr>
          <w:rFonts w:hint="eastAsia" w:ascii="宋体" w:hAnsi="宋体" w:eastAsia="宋体"/>
          <w:szCs w:val="21"/>
        </w:rPr>
      </w:pPr>
      <w:r>
        <w:rPr>
          <w:rFonts w:hint="eastAsia" w:ascii="宋体" w:hAnsi="宋体" w:eastAsia="宋体"/>
          <w:szCs w:val="21"/>
        </w:rPr>
        <w:t xml:space="preserve">（3）软件产品的介质、附属产品的保修服务；</w:t>
      </w:r>
      <w:r/>
    </w:p>
    <w:p>
      <w:pPr>
        <w:jc w:val="both"/>
        <w:spacing w:line="360" w:lineRule="auto"/>
        <w:rPr>
          <w:rFonts w:hint="eastAsia" w:ascii="宋体" w:hAnsi="宋体" w:eastAsia="宋体"/>
          <w:szCs w:val="21"/>
        </w:rPr>
      </w:pPr>
      <w:r>
        <w:rPr>
          <w:rFonts w:hint="eastAsia" w:ascii="宋体" w:hAnsi="宋体" w:eastAsia="宋体"/>
          <w:szCs w:val="21"/>
        </w:rPr>
        <w:t xml:space="preserve">（4）版本软件升级服务。</w:t>
      </w:r>
      <w:r/>
    </w:p>
    <w:p>
      <w:pPr>
        <w:jc w:val="both"/>
        <w:spacing w:line="360" w:lineRule="auto"/>
        <w:rPr>
          <w:rFonts w:hint="eastAsia" w:ascii="宋体" w:hAnsi="宋体" w:eastAsia="宋体"/>
          <w:szCs w:val="21"/>
        </w:rPr>
      </w:pPr>
      <w:r>
        <w:rPr>
          <w:rFonts w:hint="eastAsia" w:ascii="宋体" w:hAnsi="宋体" w:eastAsia="宋体"/>
          <w:szCs w:val="21"/>
        </w:rPr>
        <w:t xml:space="preserve">5、其他：                                  </w:t>
      </w:r>
      <w:r>
        <w:rPr>
          <w:rFonts w:hint="eastAsia" w:ascii="宋体" w:hAnsi="宋体" w:eastAsia="宋体"/>
          <w:szCs w:val="21"/>
        </w:rPr>
        <w:t xml:space="preserve"> 。</w:t>
      </w:r>
      <w:r/>
    </w:p>
    <w:p>
      <w:pPr>
        <w:jc w:val="both"/>
        <w:spacing w:line="360" w:lineRule="auto"/>
        <w:rPr>
          <w:rFonts w:hint="eastAsia" w:ascii="宋体" w:hAnsi="宋体" w:eastAsia="宋体"/>
          <w:b/>
          <w:szCs w:val="21"/>
        </w:rPr>
      </w:pPr>
      <w:r>
        <w:rPr>
          <w:rFonts w:hint="eastAsia" w:ascii="宋体" w:hAnsi="宋体" w:eastAsia="宋体"/>
          <w:b/>
          <w:szCs w:val="21"/>
        </w:rPr>
        <w:t xml:space="preserve">十、违约责任</w:t>
      </w:r>
      <w:r/>
    </w:p>
    <w:p>
      <w:pPr>
        <w:jc w:val="both"/>
        <w:spacing w:line="360" w:lineRule="auto"/>
        <w:rPr>
          <w:rFonts w:hint="eastAsia" w:ascii="宋体" w:hAnsi="宋体" w:eastAsia="宋体"/>
          <w:szCs w:val="21"/>
        </w:rPr>
      </w:pPr>
      <w:r>
        <w:rPr>
          <w:rFonts w:hint="eastAsia" w:ascii="宋体" w:hAnsi="宋体" w:eastAsia="宋体"/>
          <w:szCs w:val="21"/>
        </w:rPr>
        <w:t xml:space="preserve">合同一方不履行合同义务或者履行合同义务不符合约定的，应当承担继续履行、采取补救措施或赔偿损失等违约责任。赔偿</w:t>
      </w:r>
      <w:r>
        <w:rPr>
          <w:rFonts w:ascii="宋体" w:hAnsi="宋体" w:eastAsia="宋体"/>
          <w:szCs w:val="21"/>
        </w:rPr>
        <w:t xml:space="preserve">的损失包括但不限于守约方为主张权利所支出的律师费、诉讼费、担保费、保全费等</w:t>
      </w:r>
      <w:r>
        <w:rPr>
          <w:rFonts w:ascii="宋体" w:hAnsi="宋体" w:eastAsia="宋体"/>
          <w:szCs w:val="21"/>
        </w:rPr>
        <w:t xml:space="preserve">，如使用其他担保形式的（含预付款保函），扣除损失后，退还担保</w:t>
      </w:r>
      <w:r>
        <w:rPr>
          <w:rFonts w:ascii="宋体" w:hAnsi="宋体" w:eastAsia="宋体"/>
          <w:szCs w:val="21"/>
        </w:rPr>
        <w:t xml:space="preserve">。</w:t>
      </w:r>
      <w:r/>
    </w:p>
    <w:p>
      <w:pPr>
        <w:jc w:val="both"/>
        <w:spacing w:line="360" w:lineRule="auto"/>
        <w:rPr>
          <w:rFonts w:hint="eastAsia" w:ascii="宋体" w:hAnsi="宋体" w:eastAsia="宋体"/>
          <w:szCs w:val="21"/>
        </w:rPr>
      </w:pPr>
      <w:r>
        <w:rPr>
          <w:rFonts w:hint="eastAsia" w:ascii="宋体" w:hAnsi="宋体" w:eastAsia="宋体"/>
          <w:szCs w:val="21"/>
        </w:rPr>
        <w:t xml:space="preserve">10.1 甲方违约责任</w:t>
      </w:r>
      <w:r/>
    </w:p>
    <w:p>
      <w:pPr>
        <w:jc w:val="both"/>
        <w:spacing w:line="360" w:lineRule="auto"/>
        <w:rPr>
          <w:rFonts w:hint="eastAsia" w:ascii="宋体" w:hAnsi="宋体" w:eastAsia="宋体"/>
          <w:szCs w:val="21"/>
        </w:rPr>
      </w:pPr>
      <w:r>
        <w:rPr>
          <w:rFonts w:hint="eastAsia" w:ascii="宋体" w:hAnsi="宋体" w:eastAsia="宋体"/>
          <w:szCs w:val="21"/>
        </w:rPr>
        <w:t xml:space="preserve">10.1.1在合同生效后，甲方无正当理由要求退货的，应向乙方偿付合同总价款的2%，作为违约金，违约金不足以补偿损失的，乙方有权要求甲方补足。</w:t>
      </w:r>
      <w:r/>
    </w:p>
    <w:p>
      <w:pPr>
        <w:jc w:val="both"/>
        <w:spacing w:line="360" w:lineRule="auto"/>
        <w:rPr>
          <w:rFonts w:hint="eastAsia" w:ascii="宋体" w:hAnsi="宋体" w:eastAsia="宋体"/>
          <w:szCs w:val="21"/>
        </w:rPr>
      </w:pPr>
      <w:r>
        <w:rPr>
          <w:rFonts w:hint="eastAsia" w:ascii="宋体" w:hAnsi="宋体" w:eastAsia="宋体"/>
          <w:szCs w:val="21"/>
        </w:rPr>
        <w:t xml:space="preserve">10.1.2 甲方逾期支付货款的应按照逾期付款金额的每天</w:t>
      </w:r>
      <w:r>
        <w:rPr>
          <w:rFonts w:hint="eastAsia" w:ascii="宋体" w:hAnsi="宋体" w:eastAsia="宋体"/>
          <w:szCs w:val="21"/>
        </w:rPr>
        <w:t xml:space="preserve">0.4</w:t>
      </w:r>
      <w:r>
        <w:rPr>
          <w:rFonts w:ascii="宋体" w:hAnsi="宋体" w:eastAsia="宋体"/>
          <w:szCs w:val="21"/>
        </w:rPr>
        <w:t xml:space="preserve">‰</w:t>
      </w:r>
      <w:r>
        <w:rPr>
          <w:rFonts w:hint="eastAsia" w:ascii="宋体" w:hAnsi="宋体" w:eastAsia="宋体"/>
          <w:szCs w:val="21"/>
        </w:rPr>
        <w:t xml:space="preserve">支付逾期付款违约金。</w:t>
      </w:r>
      <w:r/>
    </w:p>
    <w:p>
      <w:pPr>
        <w:jc w:val="both"/>
        <w:spacing w:line="360" w:lineRule="auto"/>
        <w:rPr>
          <w:rFonts w:hint="eastAsia" w:ascii="宋体" w:hAnsi="宋体" w:eastAsia="宋体"/>
          <w:szCs w:val="21"/>
        </w:rPr>
      </w:pPr>
      <w:r>
        <w:rPr>
          <w:rFonts w:hint="eastAsia" w:ascii="宋体" w:hAnsi="宋体" w:eastAsia="宋体"/>
          <w:szCs w:val="21"/>
        </w:rPr>
        <w:t xml:space="preserve">10.1.3 甲方违反合同规定，拒绝接收乙方交付的合格标的物，应当承担乙方由此造成的损失。</w:t>
      </w:r>
      <w:r/>
    </w:p>
    <w:p>
      <w:pPr>
        <w:jc w:val="both"/>
        <w:spacing w:line="360" w:lineRule="auto"/>
        <w:rPr>
          <w:rFonts w:hint="eastAsia" w:ascii="宋体" w:hAnsi="宋体" w:eastAsia="宋体"/>
          <w:szCs w:val="21"/>
        </w:rPr>
      </w:pPr>
      <w:r>
        <w:rPr>
          <w:rFonts w:hint="eastAsia" w:ascii="宋体" w:hAnsi="宋体" w:eastAsia="宋体"/>
          <w:szCs w:val="21"/>
        </w:rPr>
        <w:t xml:space="preserve">10.2 乙方违约责任</w:t>
      </w:r>
      <w:r/>
    </w:p>
    <w:p>
      <w:pPr>
        <w:jc w:val="both"/>
        <w:spacing w:line="360" w:lineRule="auto"/>
        <w:rPr>
          <w:rFonts w:hint="eastAsia" w:ascii="宋体" w:hAnsi="宋体" w:eastAsia="宋体"/>
          <w:szCs w:val="21"/>
        </w:rPr>
      </w:pPr>
      <w:r>
        <w:rPr>
          <w:rFonts w:hint="eastAsia" w:ascii="宋体" w:hAnsi="宋体" w:eastAsia="宋体"/>
          <w:szCs w:val="21"/>
        </w:rPr>
        <w:t xml:space="preserve">10.2.1 乙方无正当理由不能交货，或交货不合格从而影响甲方按期正常使用的，应向甲方偿付合同总价款2%的违约金，违约金不足以补偿损失的，甲方有权要求乙方补足。</w:t>
      </w:r>
      <w:r/>
    </w:p>
    <w:p>
      <w:pPr>
        <w:jc w:val="both"/>
        <w:spacing w:line="360" w:lineRule="auto"/>
        <w:rPr>
          <w:rFonts w:hint="eastAsia" w:ascii="宋体" w:hAnsi="宋体" w:eastAsia="宋体"/>
          <w:szCs w:val="21"/>
        </w:rPr>
      </w:pPr>
      <w:r>
        <w:rPr>
          <w:rFonts w:hint="eastAsia" w:ascii="宋体" w:hAnsi="宋体" w:eastAsia="宋体"/>
          <w:szCs w:val="21"/>
        </w:rPr>
        <w:t xml:space="preserve">10.2.2 乙方逾期交货的 ，应在发货前与甲方协商，甲方仍需求的，乙方应立即发货，按照逾期交货部分货款的每天</w:t>
      </w:r>
      <w:r>
        <w:rPr>
          <w:rFonts w:ascii="宋体" w:hAnsi="宋体" w:eastAsia="宋体"/>
          <w:szCs w:val="21"/>
        </w:rPr>
        <w:t xml:space="preserve">0.4‰</w:t>
      </w:r>
      <w:r>
        <w:rPr>
          <w:rFonts w:hint="eastAsia" w:ascii="宋体" w:hAnsi="宋体" w:eastAsia="宋体"/>
          <w:szCs w:val="21"/>
        </w:rPr>
        <w:t xml:space="preserve">支付逾期交货违约金，同时承担甲方因此遭致的损失费用。</w:t>
      </w:r>
      <w:r/>
    </w:p>
    <w:p>
      <w:pPr>
        <w:jc w:val="both"/>
        <w:spacing w:line="360" w:lineRule="auto"/>
        <w:rPr>
          <w:rFonts w:hint="eastAsia" w:ascii="宋体" w:hAnsi="宋体" w:eastAsia="宋体"/>
          <w:b/>
          <w:szCs w:val="21"/>
        </w:rPr>
      </w:pPr>
      <w:r>
        <w:rPr>
          <w:rFonts w:hint="eastAsia" w:ascii="宋体" w:hAnsi="宋体" w:eastAsia="宋体"/>
          <w:b/>
          <w:szCs w:val="21"/>
        </w:rPr>
        <w:t xml:space="preserve">十一、不可抗力</w:t>
      </w:r>
      <w:r/>
    </w:p>
    <w:p>
      <w:pPr>
        <w:jc w:val="both"/>
        <w:spacing w:line="360" w:lineRule="auto"/>
        <w:rPr>
          <w:rFonts w:hint="eastAsia" w:ascii="宋体" w:hAnsi="宋体" w:eastAsia="宋体"/>
          <w:szCs w:val="21"/>
        </w:rPr>
      </w:pPr>
      <w:r>
        <w:rPr>
          <w:rFonts w:hint="eastAsia" w:ascii="宋体" w:hAnsi="宋体" w:eastAsia="宋体"/>
          <w:szCs w:val="21"/>
        </w:rPr>
        <w:t xml:space="preserve">11.1 因不可抗力不能履行合同的，根据不可抗力的影响，部分或者全部免除责任。但合同一方延迟履行后发生不可抗力的，不能免除责任。</w:t>
      </w:r>
      <w:r/>
    </w:p>
    <w:p>
      <w:pPr>
        <w:jc w:val="both"/>
        <w:spacing w:line="360" w:lineRule="auto"/>
        <w:rPr>
          <w:rFonts w:hint="eastAsia" w:ascii="宋体" w:hAnsi="宋体" w:eastAsia="宋体"/>
          <w:szCs w:val="21"/>
        </w:rPr>
      </w:pPr>
      <w:r>
        <w:rPr>
          <w:rFonts w:hint="eastAsia" w:ascii="宋体" w:hAnsi="宋体" w:eastAsia="宋体"/>
          <w:szCs w:val="21"/>
        </w:rPr>
        <w:t xml:space="preserve">11.2 合同一方因不可抗力不能履行合同的，应当及时通知对方，以减轻可能给对方造成的损失，并应当在合理期限内提供证明。</w:t>
      </w:r>
      <w:r/>
    </w:p>
    <w:p>
      <w:pPr>
        <w:jc w:val="both"/>
        <w:spacing w:line="360" w:lineRule="auto"/>
        <w:rPr>
          <w:rFonts w:hint="eastAsia" w:ascii="宋体" w:hAnsi="宋体" w:eastAsia="宋体"/>
          <w:b/>
          <w:szCs w:val="21"/>
        </w:rPr>
      </w:pPr>
      <w:r>
        <w:rPr>
          <w:rFonts w:hint="eastAsia" w:ascii="宋体" w:hAnsi="宋体" w:eastAsia="宋体"/>
          <w:b/>
          <w:szCs w:val="21"/>
        </w:rPr>
        <w:t xml:space="preserve">十二、索赔</w:t>
      </w:r>
      <w:r/>
    </w:p>
    <w:p>
      <w:pPr>
        <w:jc w:val="both"/>
        <w:spacing w:line="360" w:lineRule="auto"/>
        <w:rPr>
          <w:rFonts w:hint="eastAsia" w:ascii="宋体" w:hAnsi="宋体" w:eastAsia="宋体"/>
          <w:szCs w:val="21"/>
        </w:rPr>
      </w:pPr>
      <w:r>
        <w:rPr>
          <w:rFonts w:hint="eastAsia" w:ascii="宋体" w:hAnsi="宋体" w:eastAsia="宋体"/>
          <w:szCs w:val="21"/>
        </w:rPr>
        <w:t xml:space="preserve">12.1 甲方有权根据当地产品质量检验机构或其他有权部门出具的检验证书向乙方提出索赔。</w:t>
      </w:r>
      <w:r/>
    </w:p>
    <w:p>
      <w:pPr>
        <w:jc w:val="both"/>
        <w:spacing w:line="360" w:lineRule="auto"/>
        <w:rPr>
          <w:rFonts w:hint="eastAsia" w:ascii="宋体" w:hAnsi="宋体" w:eastAsia="宋体"/>
          <w:szCs w:val="21"/>
        </w:rPr>
      </w:pPr>
      <w:r>
        <w:rPr>
          <w:rFonts w:hint="eastAsia" w:ascii="宋体" w:hAnsi="宋体" w:eastAsia="宋体"/>
          <w:szCs w:val="21"/>
        </w:rPr>
        <w:t xml:space="preserve">12.2 在本合同规定的检验期限和质量保证期内，如果乙方对甲方提出的索赔或差异有责任，则乙方应按甲方同意的下列一种或多种方式解决索赔事宜：</w:t>
      </w:r>
      <w:r/>
    </w:p>
    <w:p>
      <w:pPr>
        <w:jc w:val="both"/>
        <w:spacing w:line="360" w:lineRule="auto"/>
        <w:rPr>
          <w:rFonts w:hint="eastAsia" w:ascii="宋体" w:hAnsi="宋体" w:eastAsia="宋体"/>
          <w:szCs w:val="21"/>
        </w:rPr>
      </w:pPr>
      <w:r>
        <w:rPr>
          <w:rFonts w:hint="eastAsia" w:ascii="宋体" w:hAnsi="宋体" w:eastAsia="宋体"/>
          <w:szCs w:val="21"/>
        </w:rPr>
        <w:t xml:space="preserve">12.2.1 乙方同意退货，并按合同规定的货币将货款退还给甲方，并且承担由此发生的一切损失和费用，包括利息、银行手续费、运费、保险费、检验费、仓储费、装卸费以及为保护退回标的物所需的其他必要费用。</w:t>
      </w:r>
      <w:r/>
    </w:p>
    <w:p>
      <w:pPr>
        <w:jc w:val="both"/>
        <w:spacing w:line="360" w:lineRule="auto"/>
        <w:rPr>
          <w:rFonts w:hint="eastAsia" w:ascii="宋体" w:hAnsi="宋体" w:eastAsia="宋体"/>
          <w:szCs w:val="21"/>
        </w:rPr>
      </w:pPr>
      <w:r>
        <w:rPr>
          <w:rFonts w:hint="eastAsia" w:ascii="宋体" w:hAnsi="宋体" w:eastAsia="宋体"/>
          <w:szCs w:val="21"/>
        </w:rPr>
        <w:t xml:space="preserve">12.2.2 根据标的物的低劣程度、损坏程度以及甲方遭受损失的数额，双方协商确定降低标的物的价格。</w:t>
      </w:r>
      <w:r/>
    </w:p>
    <w:p>
      <w:pPr>
        <w:jc w:val="both"/>
        <w:spacing w:line="360" w:lineRule="auto"/>
        <w:rPr>
          <w:rFonts w:hint="eastAsia" w:ascii="宋体" w:hAnsi="宋体" w:eastAsia="宋体"/>
          <w:szCs w:val="21"/>
        </w:rPr>
      </w:pPr>
      <w:r>
        <w:rPr>
          <w:rFonts w:hint="eastAsia" w:ascii="宋体" w:hAnsi="宋体" w:eastAsia="宋体"/>
          <w:szCs w:val="21"/>
        </w:rPr>
        <w:t xml:space="preserve">12.2.3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jc w:val="both"/>
        <w:spacing w:line="360" w:lineRule="auto"/>
        <w:rPr>
          <w:rFonts w:hint="eastAsia" w:ascii="宋体" w:hAnsi="宋体" w:eastAsia="宋体"/>
          <w:szCs w:val="21"/>
        </w:rPr>
      </w:pPr>
      <w:r>
        <w:rPr>
          <w:rFonts w:hint="eastAsia" w:ascii="宋体" w:hAnsi="宋体" w:eastAsia="宋体"/>
          <w:szCs w:val="21"/>
        </w:rPr>
        <w:t xml:space="preserve">12.3 如果在甲方发出索赔通知后七天内，乙方未能答复，上述索赔应视为已被乙方接受。若乙方未在甲方提出索赔通知后七天内或甲方同意的更长时间内，按照合同规定的任何一种方法解决索赔事宜。甲方将从未付款或质量保证金中扣回索赔金额，如果这些金额不足以补偿索赔金额，甲方有权向乙方提出对不足部分的补偿。 </w:t>
      </w:r>
      <w:r/>
    </w:p>
    <w:p>
      <w:pPr>
        <w:jc w:val="both"/>
        <w:spacing w:line="360" w:lineRule="auto"/>
        <w:rPr>
          <w:rFonts w:hint="eastAsia" w:ascii="宋体" w:hAnsi="宋体" w:eastAsia="宋体"/>
          <w:b/>
          <w:szCs w:val="21"/>
        </w:rPr>
      </w:pPr>
      <w:r>
        <w:rPr>
          <w:rFonts w:hint="eastAsia" w:ascii="宋体" w:hAnsi="宋体" w:eastAsia="宋体"/>
          <w:b/>
          <w:szCs w:val="21"/>
        </w:rPr>
        <w:t xml:space="preserve">十三、合同的解除和转让</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3</w:t>
      </w:r>
      <w:r>
        <w:rPr>
          <w:rFonts w:hint="eastAsia" w:ascii="宋体" w:hAnsi="宋体" w:eastAsia="宋体"/>
          <w:szCs w:val="21"/>
        </w:rPr>
        <w:t xml:space="preserve">.1 甲方和乙方协商一致，可以解除合同。</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3</w:t>
      </w:r>
      <w:r>
        <w:rPr>
          <w:rFonts w:hint="eastAsia" w:ascii="宋体" w:hAnsi="宋体" w:eastAsia="宋体"/>
          <w:szCs w:val="21"/>
        </w:rPr>
        <w:t xml:space="preserve">.2 有下列情形之一，合同一方可以解除合同：</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3</w:t>
      </w:r>
      <w:r>
        <w:rPr>
          <w:rFonts w:hint="eastAsia" w:ascii="宋体" w:hAnsi="宋体" w:eastAsia="宋体"/>
          <w:szCs w:val="21"/>
        </w:rPr>
        <w:t xml:space="preserve">.2.1 因不可抗力致使不能实现合同目的，未受不可抗力影响的一方有权解除合同；</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3</w:t>
      </w:r>
      <w:r>
        <w:rPr>
          <w:rFonts w:hint="eastAsia" w:ascii="宋体" w:hAnsi="宋体" w:eastAsia="宋体"/>
          <w:szCs w:val="21"/>
        </w:rPr>
        <w:t xml:space="preserve">.2.2 因合同一方违约导致合同不能履行，另一方有权解除合同；</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3</w:t>
      </w:r>
      <w:r>
        <w:rPr>
          <w:rFonts w:hint="eastAsia" w:ascii="宋体" w:hAnsi="宋体" w:eastAsia="宋体"/>
          <w:szCs w:val="21"/>
        </w:rPr>
        <w:t xml:space="preserve">.2.3 有权解除合同的一方，应当在违约事实或不可抗力发生之后三十天内书面通知对方以主张解除合同，合同在书面通知到达对方时解除。</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3</w:t>
      </w:r>
      <w:r>
        <w:rPr>
          <w:rFonts w:hint="eastAsia" w:ascii="宋体" w:hAnsi="宋体" w:eastAsia="宋体"/>
          <w:szCs w:val="21"/>
        </w:rPr>
        <w:t xml:space="preserve">.3 合同的部分和全部都不得转让。</w:t>
      </w:r>
      <w:r/>
    </w:p>
    <w:p>
      <w:pPr>
        <w:jc w:val="both"/>
        <w:spacing w:line="360" w:lineRule="auto"/>
        <w:rPr>
          <w:rFonts w:hint="eastAsia" w:ascii="宋体" w:hAnsi="宋体" w:eastAsia="宋体"/>
          <w:b/>
          <w:szCs w:val="21"/>
        </w:rPr>
      </w:pPr>
      <w:r>
        <w:rPr>
          <w:rFonts w:hint="eastAsia" w:ascii="宋体" w:hAnsi="宋体" w:eastAsia="宋体"/>
          <w:b/>
          <w:szCs w:val="21"/>
        </w:rPr>
        <w:t xml:space="preserve">十四、合同的生效</w:t>
      </w:r>
      <w:r/>
    </w:p>
    <w:p>
      <w:pPr>
        <w:pStyle w:val="820"/>
        <w:ind w:left="0"/>
        <w:jc w:val="both"/>
        <w:spacing w:after="0" w:line="360" w:lineRule="auto"/>
        <w:rPr>
          <w:rFonts w:hint="eastAsia" w:ascii="宋体" w:hAnsi="宋体" w:eastAsia="宋体"/>
          <w:szCs w:val="21"/>
        </w:rPr>
      </w:pPr>
      <w:r>
        <w:rPr>
          <w:rFonts w:hint="eastAsia" w:ascii="宋体" w:hAnsi="宋体" w:eastAsia="宋体"/>
          <w:szCs w:val="21"/>
        </w:rPr>
        <w:t xml:space="preserve">本合同在双方签字盖章后即生效。</w:t>
      </w:r>
      <w:r/>
    </w:p>
    <w:p>
      <w:pPr>
        <w:jc w:val="both"/>
        <w:spacing w:line="360" w:lineRule="auto"/>
        <w:rPr>
          <w:rFonts w:hint="eastAsia" w:ascii="宋体" w:hAnsi="宋体" w:eastAsia="宋体"/>
          <w:b/>
          <w:szCs w:val="21"/>
        </w:rPr>
      </w:pPr>
      <w:r>
        <w:rPr>
          <w:rFonts w:hint="eastAsia" w:ascii="宋体" w:hAnsi="宋体" w:eastAsia="宋体"/>
          <w:b/>
          <w:szCs w:val="21"/>
        </w:rPr>
        <w:t xml:space="preserve">十五、争议的解决</w:t>
      </w:r>
      <w:r/>
    </w:p>
    <w:p>
      <w:pPr>
        <w:pStyle w:val="810"/>
        <w:ind w:left="0"/>
        <w:jc w:val="both"/>
        <w:spacing w:line="360" w:lineRule="auto"/>
        <w:rPr>
          <w:rFonts w:hint="eastAsia" w:ascii="宋体" w:hAnsi="宋体" w:eastAsia="宋体"/>
          <w:sz w:val="21"/>
          <w:szCs w:val="21"/>
        </w:rPr>
      </w:pPr>
      <w:r>
        <w:rPr>
          <w:rFonts w:hint="eastAsia" w:ascii="宋体" w:hAnsi="宋体" w:eastAsia="宋体"/>
          <w:sz w:val="21"/>
          <w:szCs w:val="21"/>
        </w:rPr>
        <w:t xml:space="preserve">甲乙双方因合同发生争议，应在招标机构的主持下进行调解，协商不成，任何一方可以向甲方所在地人民法院起诉。</w:t>
      </w:r>
      <w:r/>
    </w:p>
    <w:p>
      <w:pPr>
        <w:jc w:val="both"/>
        <w:spacing w:line="360" w:lineRule="auto"/>
        <w:rPr>
          <w:rFonts w:hint="eastAsia" w:ascii="宋体" w:hAnsi="宋体" w:eastAsia="宋体"/>
          <w:b/>
          <w:szCs w:val="21"/>
        </w:rPr>
      </w:pPr>
      <w:r>
        <w:rPr>
          <w:rFonts w:hint="eastAsia" w:ascii="宋体" w:hAnsi="宋体" w:eastAsia="宋体"/>
          <w:b/>
          <w:szCs w:val="21"/>
        </w:rPr>
        <w:t xml:space="preserve">十六、附则</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6</w:t>
      </w:r>
      <w:r>
        <w:rPr>
          <w:rFonts w:hint="eastAsia" w:ascii="宋体" w:hAnsi="宋体" w:eastAsia="宋体"/>
          <w:szCs w:val="21"/>
        </w:rPr>
        <w:t xml:space="preserve">.1 合同份数：本合同一式四份，甲方三份，乙方一份。</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6</w:t>
      </w:r>
      <w:r>
        <w:rPr>
          <w:rFonts w:hint="eastAsia" w:ascii="宋体" w:hAnsi="宋体" w:eastAsia="宋体"/>
          <w:szCs w:val="21"/>
        </w:rPr>
        <w:t xml:space="preserve">.2 本合同文件使用中文书写、解释和说明。</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6</w:t>
      </w:r>
      <w:r>
        <w:rPr>
          <w:rFonts w:hint="eastAsia" w:ascii="宋体" w:hAnsi="宋体" w:eastAsia="宋体"/>
          <w:szCs w:val="21"/>
        </w:rPr>
        <w:t xml:space="preserve">.3 本合同履行过程中产生的纪要、协议以及中标通知书、投标书、招标文件为本合同的附件，与合同具有同等效力。</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6</w:t>
      </w:r>
      <w:r>
        <w:rPr>
          <w:rFonts w:hint="eastAsia" w:ascii="宋体" w:hAnsi="宋体" w:eastAsia="宋体"/>
          <w:szCs w:val="21"/>
        </w:rPr>
        <w:t xml:space="preserve">.4 未尽事宜</w:t>
      </w:r>
      <w:r/>
    </w:p>
    <w:p>
      <w:pPr>
        <w:jc w:val="both"/>
        <w:spacing w:line="360" w:lineRule="auto"/>
        <w:rPr>
          <w:rFonts w:hint="eastAsia" w:ascii="宋体" w:hAnsi="宋体" w:eastAsia="宋体"/>
          <w:szCs w:val="21"/>
        </w:rPr>
      </w:pPr>
      <w:r>
        <w:rPr>
          <w:rFonts w:hint="eastAsia" w:ascii="宋体" w:hAnsi="宋体" w:eastAsia="宋体"/>
          <w:szCs w:val="21"/>
        </w:rPr>
        <w:t xml:space="preserve">本合同未尽事宜应按照《中华人民共和国民法典》、《中华人民共和国产品质量法》之规定解释。</w:t>
      </w:r>
      <w:r/>
    </w:p>
    <w:p>
      <w:pPr>
        <w:ind w:firstLine="200"/>
        <w:jc w:val="both"/>
        <w:spacing w:line="360" w:lineRule="auto"/>
        <w:rPr>
          <w:rFonts w:hint="eastAsia" w:ascii="宋体" w:hAnsi="宋体" w:eastAsia="宋体"/>
          <w:szCs w:val="21"/>
        </w:rPr>
      </w:pPr>
      <w:r>
        <w:rPr>
          <w:rFonts w:hint="eastAsia" w:ascii="宋体" w:hAnsi="宋体" w:eastAsia="宋体"/>
          <w:szCs w:val="21"/>
        </w:rPr>
      </w:r>
      <w:r/>
    </w:p>
    <w:p>
      <w:pPr>
        <w:ind w:left="5670" w:hanging="5670"/>
        <w:jc w:val="both"/>
        <w:spacing w:line="360" w:lineRule="auto"/>
        <w:rPr>
          <w:rFonts w:hint="eastAsia" w:ascii="宋体" w:hAnsi="宋体" w:eastAsia="宋体"/>
          <w:szCs w:val="21"/>
        </w:rPr>
      </w:pPr>
      <w:r>
        <w:rPr>
          <w:rFonts w:hint="eastAsia" w:ascii="宋体" w:hAnsi="宋体" w:eastAsia="宋体"/>
          <w:szCs w:val="21"/>
        </w:rPr>
        <w:t xml:space="preserve">甲方（盖章）：苏州科技大学                   乙方（盖章）：</w:t>
      </w:r>
      <w:r/>
    </w:p>
    <w:p>
      <w:pPr>
        <w:ind w:firstLine="200"/>
        <w:jc w:val="both"/>
        <w:spacing w:line="360" w:lineRule="auto"/>
        <w:rPr>
          <w:rFonts w:hint="eastAsia" w:ascii="宋体" w:hAnsi="宋体" w:eastAsia="宋体"/>
          <w:szCs w:val="21"/>
        </w:rPr>
      </w:pPr>
      <w:r>
        <w:rPr>
          <w:rFonts w:hint="eastAsia" w:ascii="宋体" w:hAnsi="宋体" w:eastAsia="宋体"/>
          <w:szCs w:val="21"/>
        </w:rPr>
      </w:r>
      <w:r/>
    </w:p>
    <w:p>
      <w:pPr>
        <w:ind w:firstLine="200"/>
        <w:jc w:val="both"/>
        <w:spacing w:line="360" w:lineRule="auto"/>
        <w:rPr>
          <w:rFonts w:hint="eastAsia" w:ascii="宋体" w:hAnsi="宋体" w:eastAsia="宋体"/>
          <w:szCs w:val="21"/>
        </w:rPr>
      </w:pPr>
      <w:r>
        <w:rPr>
          <w:rFonts w:hint="eastAsia" w:ascii="宋体" w:hAnsi="宋体" w:eastAsia="宋体"/>
          <w:szCs w:val="21"/>
        </w:rPr>
      </w:r>
      <w:r/>
    </w:p>
    <w:p>
      <w:pPr>
        <w:jc w:val="both"/>
        <w:spacing w:line="360" w:lineRule="auto"/>
        <w:rPr>
          <w:rFonts w:hint="eastAsia" w:ascii="宋体" w:hAnsi="宋体" w:eastAsia="宋体"/>
          <w:szCs w:val="21"/>
        </w:rPr>
      </w:pPr>
      <w:r>
        <w:rPr>
          <w:rFonts w:hint="eastAsia" w:ascii="宋体" w:hAnsi="宋体" w:eastAsia="宋体"/>
          <w:szCs w:val="21"/>
        </w:rPr>
        <w:t xml:space="preserve">负责人或授权代表（签字）：                  法定代表人或授权代表（签字）：</w:t>
      </w:r>
      <w:r/>
    </w:p>
    <w:p>
      <w:pPr>
        <w:ind w:firstLine="420"/>
        <w:jc w:val="both"/>
        <w:spacing w:line="360" w:lineRule="auto"/>
        <w:rPr>
          <w:rFonts w:hint="eastAsia" w:ascii="宋体" w:hAnsi="宋体" w:eastAsia="宋体"/>
          <w:szCs w:val="21"/>
        </w:rPr>
      </w:pPr>
      <w:r>
        <w:rPr>
          <w:rFonts w:hint="eastAsia" w:ascii="宋体" w:hAnsi="宋体" w:eastAsia="宋体"/>
          <w:szCs w:val="21"/>
        </w:rPr>
      </w:r>
      <w:r/>
    </w:p>
    <w:p>
      <w:pPr>
        <w:jc w:val="both"/>
        <w:spacing w:line="360" w:lineRule="auto"/>
        <w:rPr>
          <w:rFonts w:hint="eastAsia" w:ascii="宋体" w:hAnsi="宋体" w:eastAsia="宋体"/>
          <w:szCs w:val="21"/>
        </w:rPr>
      </w:pPr>
      <w:r>
        <w:rPr>
          <w:rFonts w:hint="eastAsia" w:ascii="宋体" w:hAnsi="宋体" w:eastAsia="宋体"/>
          <w:szCs w:val="21"/>
        </w:rPr>
        <w:t xml:space="preserve">签订日期：      年   月   日                         签订日期：  年   月    日</w:t>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pStyle w:val="786"/>
        <w:jc w:val="center"/>
        <w:spacing w:before="340" w:after="330" w:line="1056"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bookmarkStart w:id="62" w:name="_Toc9204"/>
      <w:r/>
      <w:r/>
    </w:p>
    <w:p>
      <w:pPr>
        <w:pStyle w:val="786"/>
        <w:jc w:val="center"/>
        <w:spacing w:before="340" w:after="330" w:line="1056"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r>
      <w:r/>
    </w:p>
    <w:p>
      <w:pPr>
        <w:pStyle w:val="786"/>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第六章 评标办法及标准</w:t>
      </w:r>
      <w:bookmarkEnd w:id="62"/>
      <w:r/>
      <w:r/>
    </w:p>
    <w:p>
      <w:pPr>
        <w:ind w:firstLine="1968"/>
        <w:jc w:val="both"/>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一、评标办法：</w:t>
      </w:r>
      <w:r/>
    </w:p>
    <w:p>
      <w:pPr>
        <w:ind w:firstLine="480"/>
        <w:jc w:val="both"/>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w:t>
      </w:r>
      <w:r>
        <w:rPr>
          <w:rFonts w:ascii="宋体" w:hAnsi="宋体" w:eastAsia="宋体"/>
          <w:sz w:val="24"/>
          <w:szCs w:val="24"/>
        </w:rPr>
        <w:t xml:space="preserve">本次招标评标采用综合评分法，即在满足招标文件实质性要求前提下，评标委员会按照招标文件中规定的评分标准和各项因素进行综合评审后，按评标总得分高低顺序推荐中标候选供应商。</w:t>
      </w:r>
      <w:r>
        <w:rPr>
          <w:rFonts w:hint="eastAsia" w:ascii="宋体" w:hAnsi="宋体" w:eastAsia="宋体"/>
          <w:sz w:val="24"/>
          <w:szCs w:val="24"/>
        </w:rPr>
        <w:t xml:space="preserve">得分相同的，按投标报价由低到高顺序排列。得分且投标报价相同的并列。投标文件满足招标文件全部实质性要求，且按照评审因素的量化指标评审得分最高的</w:t>
      </w:r>
      <w:r>
        <w:rPr>
          <w:rFonts w:hint="eastAsia" w:ascii="宋体" w:hAnsi="宋体" w:eastAsia="宋体"/>
          <w:sz w:val="24"/>
          <w:szCs w:val="24"/>
        </w:rPr>
        <w:t xml:space="preserve">供应商</w:t>
      </w:r>
      <w:r>
        <w:rPr>
          <w:rFonts w:hint="eastAsia" w:ascii="宋体" w:hAnsi="宋体" w:eastAsia="宋体"/>
          <w:sz w:val="24"/>
          <w:szCs w:val="24"/>
        </w:rPr>
        <w:t xml:space="preserve">为排名第一的中标候选人。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评标时，评标委员会成员按照招标文件规定的评分标准，独立对每个</w:t>
      </w:r>
      <w:r>
        <w:rPr>
          <w:rFonts w:hint="eastAsia" w:ascii="宋体" w:hAnsi="宋体" w:eastAsia="宋体" w:cs="宋体"/>
          <w:sz w:val="24"/>
        </w:rPr>
        <w:t xml:space="preserve">供应商</w:t>
      </w:r>
      <w:r>
        <w:rPr>
          <w:rFonts w:ascii="宋体" w:hAnsi="宋体" w:eastAsia="宋体" w:cs="宋体"/>
          <w:sz w:val="24"/>
        </w:rPr>
        <w:t xml:space="preserve">的投标文件进行评价、打分。将评委对投标文件的除价格部分外的其他因素评分，并按算术平均法汇总，计算出每个</w:t>
      </w:r>
      <w:r>
        <w:rPr>
          <w:rFonts w:hint="eastAsia" w:ascii="宋体" w:hAnsi="宋体" w:eastAsia="宋体" w:cs="宋体"/>
          <w:sz w:val="24"/>
        </w:rPr>
        <w:t xml:space="preserve">供应商</w:t>
      </w:r>
      <w:r>
        <w:rPr>
          <w:rFonts w:ascii="宋体" w:hAnsi="宋体" w:eastAsia="宋体" w:cs="宋体"/>
          <w:sz w:val="24"/>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rPr>
        <w:t xml:space="preserve">供应商</w:t>
      </w:r>
      <w:r>
        <w:rPr>
          <w:rFonts w:ascii="宋体" w:hAnsi="宋体" w:eastAsia="宋体" w:cs="宋体"/>
          <w:sz w:val="24"/>
        </w:rPr>
        <w:t xml:space="preserve">的评标总得分。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hint="eastAsia"/>
        </w:rPr>
        <w:t xml:space="preserve"> </w:t>
      </w:r>
      <w:r>
        <w:rPr>
          <w:rFonts w:ascii="宋体" w:hAnsi="宋体" w:eastAsia="宋体" w:cs="宋体"/>
          <w:sz w:val="24"/>
        </w:rPr>
        <w:t xml:space="preserve">若有不同供应商提供相同品牌的</w:t>
      </w:r>
      <w:r>
        <w:rPr>
          <w:rFonts w:ascii="宋体" w:hAnsi="宋体" w:eastAsia="宋体" w:cs="宋体"/>
          <w:b/>
          <w:bCs/>
          <w:sz w:val="24"/>
        </w:rPr>
        <w:t xml:space="preserve">核心产品（主动立体仿真工程投影机）</w:t>
      </w:r>
      <w:r>
        <w:rPr>
          <w:rFonts w:ascii="宋体" w:hAnsi="宋体" w:eastAsia="宋体" w:cs="宋体"/>
          <w:sz w:val="24"/>
        </w:rPr>
        <w:t xml:space="preserve">且通过资格性审查、符合性审查的不同供应商参加同一合同项下投标的，按一家供应商计算，评审后得分最高的同品牌供应商获得中标人推荐资格；评审得分相同的，投标报价最低者获得中标人推荐资格；评标得分且投标报价均相同的，则按技术评审分数得分最高者获得中标人推荐资格。</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w:t>
      </w:r>
      <w:r>
        <w:rPr>
          <w:rFonts w:hint="eastAsia" w:ascii="宋体" w:hAnsi="宋体" w:eastAsia="宋体" w:cs="宋体"/>
          <w:b/>
          <w:sz w:val="24"/>
        </w:rPr>
        <w:t xml:space="preserve">评审要求</w:t>
      </w:r>
      <w:r>
        <w:rPr>
          <w:rFonts w:ascii="宋体" w:hAnsi="宋体" w:eastAsia="宋体" w:cs="宋体"/>
          <w:b/>
          <w:sz w:val="24"/>
        </w:rPr>
        <w:t xml:space="preserve">：</w:t>
      </w:r>
      <w:r/>
    </w:p>
    <w:p>
      <w:pPr>
        <w:ind w:firstLine="482"/>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1.政府采购评审中出现下列情形之一的，评审委员会应当启动异常低价投标（响应）审查程序：</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（1）投标（响应）报价低于全部通过符合性审查供应商投标（响应）报价平均值</w:t>
      </w:r>
      <w:r>
        <w:rPr>
          <w:rFonts w:hint="eastAsia" w:ascii="宋体" w:hAnsi="宋体" w:eastAsia="宋体" w:cs="宋体"/>
          <w:sz w:val="24"/>
          <w:szCs w:val="24"/>
        </w:rPr>
        <w:t xml:space="preserve">65</w:t>
      </w:r>
      <w:r>
        <w:rPr>
          <w:rFonts w:hint="eastAsia" w:ascii="宋体" w:hAnsi="宋体" w:eastAsia="宋体" w:cs="宋体"/>
          <w:sz w:val="24"/>
          <w:szCs w:val="24"/>
        </w:rPr>
        <w:t xml:space="preserve">%的，即投标（响应）报价&lt;全部通过符合性审查供应商投标（响应）报价平均值×</w:t>
      </w:r>
      <w:r>
        <w:rPr>
          <w:rFonts w:hint="eastAsia" w:ascii="宋体" w:hAnsi="宋体" w:eastAsia="宋体" w:cs="宋体"/>
          <w:sz w:val="24"/>
          <w:szCs w:val="24"/>
        </w:rPr>
        <w:t xml:space="preserve">65</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（2）投标（响应）报价低于通过符合性审查的次低报价供应商投标（响应）报价</w:t>
      </w:r>
      <w:r>
        <w:rPr>
          <w:rFonts w:hint="eastAsia" w:ascii="宋体" w:hAnsi="宋体" w:eastAsia="宋体" w:cs="宋体"/>
          <w:sz w:val="24"/>
          <w:szCs w:val="24"/>
        </w:rPr>
        <w:t xml:space="preserve">65</w:t>
      </w:r>
      <w:r>
        <w:rPr>
          <w:rFonts w:hint="eastAsia" w:ascii="宋体" w:hAnsi="宋体" w:eastAsia="宋体" w:cs="宋体"/>
          <w:sz w:val="24"/>
          <w:szCs w:val="24"/>
        </w:rPr>
        <w:t xml:space="preserve">%的，即投标（响应）报价&lt;通过符合性审查的次低报价供应商投标（响应）报价×</w:t>
      </w:r>
      <w:r>
        <w:rPr>
          <w:rFonts w:hint="eastAsia" w:ascii="宋体" w:hAnsi="宋体" w:eastAsia="宋体" w:cs="宋体"/>
          <w:sz w:val="24"/>
          <w:szCs w:val="24"/>
        </w:rPr>
        <w:t xml:space="preserve">65</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（3）投标（响应）报价低于采购项目最高限价45%的，即投标（响应）报价&lt;采购项目最高限价×</w:t>
      </w:r>
      <w:r>
        <w:rPr>
          <w:rFonts w:hint="eastAsia" w:ascii="宋体" w:hAnsi="宋体" w:eastAsia="宋体" w:cs="宋体"/>
          <w:sz w:val="24"/>
          <w:szCs w:val="24"/>
        </w:rPr>
        <w:t xml:space="preserve">65</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14"/>
        <w:ind w:left="0" w:right="0" w:firstLine="482"/>
        <w:rPr>
          <w:rFonts w:ascii="宋体" w:hAnsi="宋体" w:eastAsia="宋体" w:cs="宋体"/>
          <w:b/>
          <w:bCs/>
          <w:sz w:val="24"/>
          <w:szCs w:val="24"/>
        </w:rPr>
      </w:pPr>
      <w:r>
        <w:rPr>
          <w:rFonts w:ascii="宋体" w:hAnsi="宋体" w:eastAsia="宋体" w:cs="宋体"/>
          <w:b/>
          <w:bCs/>
          <w:sz w:val="24"/>
          <w:szCs w:val="24"/>
        </w:rPr>
        <w:t xml:space="preserve">2.针对中小型企业、残疾人福利企业和监狱企业的评审：</w:t>
      </w:r>
      <w:r/>
    </w:p>
    <w:p>
      <w:pPr>
        <w:pStyle w:val="814"/>
        <w:ind w:left="0" w:right="0" w:firstLine="480"/>
        <w:rPr>
          <w:rFonts w:ascii="宋体" w:hAnsi="宋体" w:eastAsia="宋体" w:cs="宋体"/>
          <w:b/>
          <w:bCs/>
          <w:sz w:val="24"/>
          <w:szCs w:val="24"/>
        </w:rPr>
      </w:pPr>
      <w:r>
        <w:rPr>
          <w:rFonts w:ascii="宋体" w:hAnsi="宋体" w:eastAsia="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w:t>
      </w:r>
      <w:r>
        <w:rPr>
          <w:rFonts w:ascii="宋体" w:hAnsi="宋体" w:eastAsia="宋体" w:cs="宋体"/>
          <w:sz w:val="24"/>
          <w:szCs w:val="24"/>
        </w:rPr>
        <w:t xml:space="preserve">意见&gt;</w:t>
      </w:r>
      <w:r>
        <w:rPr>
          <w:rFonts w:ascii="宋体" w:hAnsi="宋体" w:eastAsia="宋体" w:cs="宋体"/>
          <w:sz w:val="24"/>
          <w:szCs w:val="24"/>
        </w:rPr>
        <w:t xml:space="preserve">的通知》（苏财购〔2022〕16号）的有关规定，如供应商属于小型或微型企业，</w:t>
      </w:r>
      <w:r>
        <w:rPr>
          <w:rFonts w:ascii="宋体" w:hAnsi="宋体" w:eastAsia="宋体" w:cs="宋体"/>
          <w:b/>
          <w:bCs/>
          <w:sz w:val="24"/>
          <w:szCs w:val="24"/>
        </w:rPr>
        <w:t xml:space="preserve">对小型和微型企业产品或服务的价格给予10%的扣除，用扣除后的价格参与评审；</w:t>
      </w:r>
      <w:r/>
    </w:p>
    <w:p>
      <w:pPr>
        <w:pStyle w:val="814"/>
        <w:ind w:left="0" w:right="0" w:firstLine="482"/>
        <w:rPr>
          <w:rFonts w:ascii="宋体" w:hAnsi="宋体" w:eastAsia="宋体" w:cs="宋体"/>
          <w:b/>
          <w:bCs/>
          <w:sz w:val="24"/>
          <w:szCs w:val="24"/>
        </w:rPr>
      </w:pPr>
      <w:r>
        <w:rPr>
          <w:rFonts w:ascii="宋体" w:hAnsi="宋体" w:eastAsia="宋体" w:cs="宋体"/>
          <w:b/>
          <w:bCs/>
          <w:sz w:val="24"/>
          <w:szCs w:val="24"/>
        </w:rPr>
        <w:t xml:space="preserve">3.</w:t>
      </w:r>
      <w:r>
        <w:rPr>
          <w:rStyle w:val="943"/>
          <w:rFonts w:ascii="宋体" w:hAnsi="宋体" w:eastAsia="宋体" w:cs="宋体"/>
          <w:sz w:val="24"/>
          <w:szCs w:val="24"/>
          <w:shd w:val="clear" w:color="auto" w:fill="ffffff"/>
        </w:rPr>
        <w:t xml:space="preserve">对本国产品的支持政策</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pStyle w:val="814"/>
        <w:ind w:left="0" w:right="0" w:firstLine="480"/>
        <w:rPr>
          <w:rFonts w:ascii="宋体" w:hAnsi="宋体" w:eastAsia="宋体" w:cs="宋体"/>
          <w:sz w:val="24"/>
          <w:szCs w:val="24"/>
        </w:rPr>
      </w:pPr>
      <w:r>
        <w:rPr>
          <w:rFonts w:ascii="宋体" w:hAnsi="宋体" w:eastAsia="宋体" w:cs="宋体"/>
          <w:sz w:val="24"/>
        </w:rPr>
        <w:t xml:space="preserve">当采购项目或者采购包中含有多种产品，供应商为该采购项目或者采购包提供的</w:t>
      </w:r>
      <w:r>
        <w:rPr>
          <w:rFonts w:ascii="宋体" w:hAnsi="宋体" w:eastAsia="宋体" w:cs="宋体"/>
          <w:b/>
          <w:bCs/>
          <w:sz w:val="24"/>
        </w:rPr>
        <w:t xml:space="preserve">符合本国产品标准的产品成本之和占该供应商提供的全部产品成本之和的比例达到80%以上</w:t>
      </w:r>
      <w:r>
        <w:rPr>
          <w:rFonts w:ascii="宋体" w:hAnsi="宋体" w:eastAsia="宋体" w:cs="宋体"/>
          <w:sz w:val="24"/>
        </w:rPr>
        <w:t xml:space="preserve">时，依法对该供应商提供的全部产品给予价格评审优惠，即</w:t>
      </w:r>
      <w:r>
        <w:rPr>
          <w:rFonts w:ascii="宋体" w:hAnsi="宋体" w:eastAsia="宋体" w:cs="宋体"/>
          <w:b/>
          <w:bCs/>
          <w:sz w:val="24"/>
        </w:rPr>
        <w:t xml:space="preserve">对该供应商提供的全部产品的总报价给予20%的价格扣除</w:t>
      </w:r>
      <w:r>
        <w:rPr>
          <w:rFonts w:ascii="宋体" w:hAnsi="宋体" w:eastAsia="宋体" w:cs="宋体"/>
          <w:sz w:val="24"/>
        </w:rPr>
        <w:t xml:space="preserve">，用扣除后的价格参与评审。</w:t>
      </w:r>
      <w:r/>
    </w:p>
    <w:p>
      <w:pPr>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clear="all"/>
      </w:r>
      <w:r>
        <w:rPr>
          <w:rFonts w:hint="eastAsia" w:ascii="宋体" w:hAnsi="宋体" w:eastAsia="宋体" w:cs="宋体"/>
          <w:b/>
          <w:bCs/>
          <w:sz w:val="24"/>
          <w:szCs w:val="24"/>
        </w:rPr>
        <w:t xml:space="preserve">三、评分标准</w:t>
      </w:r>
      <w:r/>
    </w:p>
    <w:p>
      <w:pPr>
        <w:ind w:firstLine="480"/>
        <w:jc w:val="both"/>
        <w:spacing w:line="360" w:lineRule="auto"/>
        <w:widowControl w:val="off"/>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（一）价格（30分）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价格最低的最终有效投标报价为评审基准价，其价格分为30分。其他有效报价的价格分统一按照下列公式计算：</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报价得分=(评审基准价／报价)×30；</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有效投标报价是指实质上响应采购文件要求并通过实质性审核未被作投标无效处理的所有供应商的最终报价。</w:t>
      </w:r>
      <w:r/>
    </w:p>
    <w:p>
      <w:pPr>
        <w:ind w:firstLine="480"/>
        <w:jc w:val="both"/>
        <w:spacing w:line="360" w:lineRule="auto"/>
        <w:widowControl w:val="off"/>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（二）技术参数及技术方案（52分）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1、技术参数及配置（46分）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投标产品技术参数响应情况占46分，具体由评标委员会根据供应商的投标文件中《</w:t>
      </w:r>
      <w:r>
        <w:rPr>
          <w:rFonts w:ascii="宋体" w:hAnsi="宋体" w:eastAsia="宋体" w:cs="宋体"/>
          <w:bCs/>
          <w:sz w:val="24"/>
        </w:rPr>
        <w:t xml:space="preserve">技术规格偏离表</w:t>
      </w:r>
      <w:r>
        <w:rPr>
          <w:rFonts w:hint="eastAsia" w:ascii="宋体" w:hAnsi="宋体" w:eastAsia="宋体" w:cs="宋体"/>
          <w:bCs/>
          <w:sz w:val="24"/>
        </w:rPr>
        <w:t xml:space="preserve">》等有关资料打分。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其中：完全满足采购文件技术参数要求的得46分；在此基础上，采购文件中标注“★”的内容为实质性要求，有一项负偏离的，作投标无效处理；标注“▲”的内容为重要参数，有一项负偏离的，则每项扣0.5分；其他非重要参数和商务条款负偏离的，则每项扣0.1分；以上分值扣完为止。正偏离不加分，缺项漏项视为负偏离。</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所有标注“★”和“▲”的技术参数，均须提供支撑资料：有具体要求的，应按照要求提供支撑资料；无具体要求的，均须提供明确说明该技术内容的官网相关截图（含链接），或者公开发行的彩页/产品说明书，或第三方检测机构出具的检测报告。自拟无效，否则视为未实质性响应。</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因未在《</w:t>
      </w:r>
      <w:r>
        <w:rPr>
          <w:rFonts w:ascii="宋体" w:hAnsi="宋体" w:eastAsia="宋体" w:cs="宋体"/>
          <w:bCs/>
          <w:sz w:val="24"/>
        </w:rPr>
        <w:t xml:space="preserve">技术规格偏离表</w:t>
      </w:r>
      <w:r>
        <w:rPr>
          <w:rFonts w:hint="eastAsia" w:ascii="宋体" w:hAnsi="宋体" w:eastAsia="宋体" w:cs="宋体"/>
          <w:bCs/>
          <w:sz w:val="24"/>
        </w:rPr>
        <w:t xml:space="preserve">》注明支撑资料具体位置（如页码或序号）导致评审不得分的，评标委员会概不负责。</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2、技术方案（3分）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供应商提供为实现本项目招标文件技术参数要求而制定的技术方案。</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技术方案详尽、合理、针对性强，能完全符合用户科研需求的得3分。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技术方案规范、较合理、针对性一般，能符合用户科研需求的得2分。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技术方案有疏漏、合理性一般、没有针对性，部分符合用户科研需求的得1分。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技术方案完全不能符合用户科研需求或未提供技术方案的不得分。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3、</w:t>
      </w:r>
      <w:r>
        <w:rPr>
          <w:rFonts w:ascii="宋体" w:hAnsi="宋体" w:eastAsia="宋体" w:cs="宋体"/>
          <w:bCs/>
          <w:sz w:val="24"/>
        </w:rPr>
        <w:t xml:space="preserve">产品科研前瞻性、可升级性</w:t>
      </w:r>
      <w:r>
        <w:rPr>
          <w:rFonts w:hint="eastAsia" w:ascii="宋体" w:hAnsi="宋体" w:eastAsia="宋体" w:cs="宋体"/>
          <w:bCs/>
          <w:sz w:val="24"/>
        </w:rPr>
        <w:t xml:space="preserve">（3分）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根据供应商所投产品的科研前瞻性、可升级性等进行综合评审：</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产品在科研领域有领先的前瞻性、具备可升级空间，得3分；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产品在科研领域前瞻性一般、可升级性有局限，得2分；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产品在科研领域的前瞻性不强、可升级性欠缺，得1分；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完全无前瞻性或不具备可升级性或未提供产品性能介绍的，得0分。</w:t>
      </w:r>
      <w:r/>
    </w:p>
    <w:p>
      <w:pPr>
        <w:ind w:firstLine="480"/>
        <w:jc w:val="both"/>
        <w:spacing w:line="360" w:lineRule="auto"/>
        <w:widowControl w:val="off"/>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（三）项目实施方案（5分）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根据供应商提供的项目实施方案进行评审，应包括但不限于安装调试、系统集成、试运行测试调优等内容，组织机构、工作时间进度表、工作程序和步骤、管理措施，实施协调方法、关键步骤的思路和要点等：</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方案全面合理、可行性强、操作性强、贴合项目实际的得5分；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方案较合理、可行性较强、操作性较强、较贴合项目实际的得3分；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方案基本合理、可行性基本满足要求、操作性一般、基本贴合项目实际的得1分；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每项叙述内容完全脱离采购需求或未作完整叙述的不得分。</w:t>
      </w:r>
      <w:r/>
    </w:p>
    <w:p>
      <w:pPr>
        <w:ind w:firstLine="480"/>
        <w:jc w:val="both"/>
        <w:spacing w:line="360" w:lineRule="auto"/>
        <w:widowControl w:val="off"/>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（四）综合商务（13分）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1.业绩（4分）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供应商具有</w:t>
      </w:r>
      <w:r>
        <w:rPr>
          <w:rFonts w:ascii="宋体" w:hAnsi="宋体" w:eastAsia="宋体" w:cs="宋体"/>
          <w:bCs/>
          <w:sz w:val="24"/>
        </w:rPr>
        <w:t xml:space="preserve">2023年</w:t>
      </w:r>
      <w:r>
        <w:rPr>
          <w:rFonts w:hint="eastAsia" w:ascii="宋体" w:hAnsi="宋体" w:eastAsia="宋体" w:cs="宋体"/>
          <w:bCs/>
          <w:sz w:val="24"/>
        </w:rPr>
        <w:t xml:space="preserve">1</w:t>
      </w:r>
      <w:r>
        <w:rPr>
          <w:rFonts w:ascii="宋体" w:hAnsi="宋体" w:eastAsia="宋体" w:cs="宋体"/>
          <w:bCs/>
          <w:sz w:val="24"/>
        </w:rPr>
        <w:t xml:space="preserve">月1日至今（以合同签订日期为准），</w:t>
      </w:r>
      <w:r>
        <w:rPr>
          <w:rFonts w:hint="eastAsia" w:ascii="宋体" w:hAnsi="宋体" w:eastAsia="宋体" w:cs="宋体"/>
          <w:bCs/>
          <w:sz w:val="24"/>
        </w:rPr>
        <w:t xml:space="preserve">类似虚拟系统</w:t>
      </w:r>
      <w:r>
        <w:rPr>
          <w:rFonts w:hint="eastAsia" w:ascii="宋体" w:hAnsi="宋体" w:eastAsia="宋体" w:cs="宋体"/>
          <w:bCs/>
          <w:sz w:val="24"/>
        </w:rPr>
        <w:t xml:space="preserve">项目</w:t>
      </w:r>
      <w:r>
        <w:rPr>
          <w:rFonts w:ascii="宋体" w:hAnsi="宋体" w:eastAsia="宋体" w:cs="宋体"/>
          <w:bCs/>
          <w:sz w:val="24"/>
        </w:rPr>
        <w:t xml:space="preserve">业绩，每提供一份得1分，最高得</w:t>
      </w:r>
      <w:r>
        <w:rPr>
          <w:rFonts w:hint="eastAsia" w:ascii="宋体" w:hAnsi="宋体" w:eastAsia="宋体" w:cs="宋体"/>
          <w:bCs/>
          <w:sz w:val="24"/>
        </w:rPr>
        <w:t xml:space="preserve">4</w:t>
      </w:r>
      <w:r>
        <w:rPr>
          <w:rFonts w:ascii="宋体" w:hAnsi="宋体" w:eastAsia="宋体" w:cs="宋体"/>
          <w:bCs/>
          <w:sz w:val="24"/>
        </w:rPr>
        <w:t xml:space="preserve">分；提供合同有效</w:t>
      </w:r>
      <w:r>
        <w:rPr>
          <w:rFonts w:ascii="宋体" w:hAnsi="宋体" w:eastAsia="宋体" w:cs="宋体"/>
          <w:bCs/>
          <w:sz w:val="24"/>
        </w:rPr>
        <w:t xml:space="preserve">扫描</w:t>
      </w:r>
      <w:r>
        <w:rPr>
          <w:rFonts w:ascii="宋体" w:hAnsi="宋体" w:eastAsia="宋体" w:cs="宋体"/>
          <w:bCs/>
          <w:sz w:val="24"/>
        </w:rPr>
        <w:t xml:space="preserve">件，原件备查。</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2.售后服务（9分）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（1）质保期（3分）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满足采购文件质保要求</w:t>
      </w:r>
      <w:r>
        <w:rPr>
          <w:rFonts w:hint="eastAsia" w:ascii="宋体" w:hAnsi="宋体" w:eastAsia="宋体" w:cs="宋体"/>
          <w:bCs/>
          <w:sz w:val="24"/>
        </w:rPr>
        <w:t xml:space="preserve">（</w:t>
      </w:r>
      <w:r>
        <w:rPr>
          <w:rFonts w:hint="eastAsia" w:ascii="宋体" w:hAnsi="宋体" w:eastAsia="宋体" w:cs="宋体"/>
          <w:bCs/>
          <w:sz w:val="24"/>
        </w:rPr>
        <w:t xml:space="preserve">整机</w:t>
      </w:r>
      <w:r>
        <w:rPr>
          <w:rFonts w:ascii="宋体" w:hAnsi="宋体" w:eastAsia="宋体" w:cs="宋体"/>
          <w:bCs/>
          <w:sz w:val="24"/>
        </w:rPr>
        <w:t xml:space="preserve">质保3年</w:t>
      </w:r>
      <w:r>
        <w:rPr>
          <w:rFonts w:hint="eastAsia" w:ascii="宋体" w:hAnsi="宋体" w:eastAsia="宋体" w:cs="宋体"/>
          <w:bCs/>
          <w:sz w:val="24"/>
        </w:rPr>
        <w:t xml:space="preserve">）</w:t>
      </w:r>
      <w:r>
        <w:rPr>
          <w:rFonts w:hint="eastAsia" w:ascii="宋体" w:hAnsi="宋体" w:eastAsia="宋体" w:cs="宋体"/>
          <w:bCs/>
          <w:sz w:val="24"/>
        </w:rPr>
        <w:t xml:space="preserve">的，不得分；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在此基础上，增加1年免费质保得1分，</w:t>
      </w:r>
      <w:r>
        <w:rPr>
          <w:rFonts w:hint="eastAsia" w:ascii="宋体" w:hAnsi="宋体" w:eastAsia="宋体" w:cs="宋体"/>
          <w:bCs/>
          <w:sz w:val="24"/>
        </w:rPr>
        <w:t xml:space="preserve">不满1年不计分，</w:t>
      </w:r>
      <w:r>
        <w:rPr>
          <w:rFonts w:hint="eastAsia" w:ascii="宋体" w:hAnsi="宋体" w:eastAsia="宋体" w:cs="宋体"/>
          <w:bCs/>
          <w:sz w:val="24"/>
        </w:rPr>
        <w:t xml:space="preserve">最多得3分；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若投标文件中出现质保年限前后不一致或多个制造商质保年限不统一的情况，以最低免费质保期作为评分依据。</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（2）售后服务方案（3分）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根据供应商售后服务体系，技术人员配备、服务响应及时性等进行综合评审：</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售后服务体系完善，技术人员专业齐全、服务响应及时、承诺解决问题周期短，得3分；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具备基础的售后服务体系，配备技术人员充足、服务响应较及时，得2分；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售后服务体系不够完善，技术人员配备缺乏、服务响应及时性较低，得1分；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明显欠缺或未提供售后服务响应方案的，得0分。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（3）培训方案（3分）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根据供应商提供的免费培训方案（包括但不限于频次、内容、时长等）进行综合评</w:t>
      </w:r>
      <w:r>
        <w:rPr>
          <w:rFonts w:hint="eastAsia" w:ascii="宋体" w:hAnsi="宋体" w:eastAsia="宋体" w:cs="宋体"/>
          <w:bCs/>
          <w:sz w:val="24"/>
        </w:rPr>
        <w:t xml:space="preserve">审：</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方案详细、培训时间合理、培训内容丰富，得3分；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方案基本完整、</w:t>
      </w:r>
      <w:r>
        <w:rPr>
          <w:rFonts w:hint="eastAsia" w:ascii="宋体" w:hAnsi="宋体" w:eastAsia="宋体" w:cs="宋体"/>
          <w:bCs/>
          <w:sz w:val="24"/>
        </w:rPr>
        <w:t xml:space="preserve">培训时间较合理</w:t>
      </w:r>
      <w:r>
        <w:rPr>
          <w:rFonts w:hint="eastAsia" w:ascii="宋体" w:hAnsi="宋体" w:eastAsia="宋体" w:cs="宋体"/>
          <w:bCs/>
          <w:sz w:val="24"/>
        </w:rPr>
        <w:t xml:space="preserve">、内容较</w:t>
      </w:r>
      <w:r>
        <w:rPr>
          <w:rFonts w:hint="eastAsia" w:ascii="宋体" w:hAnsi="宋体" w:eastAsia="宋体" w:cs="宋体"/>
          <w:bCs/>
          <w:sz w:val="24"/>
        </w:rPr>
        <w:t xml:space="preserve">丰富</w:t>
      </w:r>
      <w:r>
        <w:rPr>
          <w:rFonts w:hint="eastAsia" w:ascii="宋体" w:hAnsi="宋体" w:eastAsia="宋体" w:cs="宋体"/>
          <w:bCs/>
          <w:sz w:val="24"/>
        </w:rPr>
        <w:t xml:space="preserve">，得2分；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方案简略、培训时间和内容稍有欠缺的，得1分；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明显欠缺或未提供培训方案的，得0分。</w:t>
      </w:r>
      <w:r/>
    </w:p>
    <w:p>
      <w:pPr>
        <w:ind w:firstLine="482"/>
        <w:jc w:val="right"/>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
    <w:panose1 w:val="0201060906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华文细黑">
    <w:panose1 w:val="02010600040101010101"/>
  </w:font>
  <w:font w:name="Courier">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46642009"/>
      <w:docPartObj>
        <w:docPartGallery w:val="AutoText"/>
      </w:docPartObj>
      <w:rPr/>
    </w:sdtPr>
    <w:sdtContent>
      <w:p>
        <w:pPr>
          <w:pStyle w:val="823"/>
          <w:jc w:val="center"/>
        </w:pPr>
        <w:r>
          <w:fldChar w:fldCharType="begin"/>
        </w:r>
        <w:r>
          <w:instrText xml:space="preserve">PAGE   \* MERGEFORMAT</w:instrText>
        </w:r>
        <w:r>
          <w:fldChar w:fldCharType="separate"/>
        </w:r>
        <w:r>
          <w:rPr>
            <w:lang w:val="zh-CN"/>
          </w:rPr>
          <w:t xml:space="preserve">4</w:t>
        </w:r>
        <w:r>
          <w:fldChar w:fldCharType="end"/>
        </w:r>
        <w:r/>
      </w:p>
    </w:sdtContent>
  </w:sdt>
  <w:p>
    <w:pPr>
      <w:pStyle w:val="8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11"/>
      <w:isLgl w:val="false"/>
      <w:suff w:val="tab"/>
      <w:lvlText w:val="%1."/>
      <w:lvlJc w:val="left"/>
      <w:pPr>
        <w:ind w:left="1080" w:hanging="360"/>
        <w:tabs>
          <w:tab w:val="left" w:pos="10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01"/>
      <w:isLgl w:val="false"/>
      <w:suff w:val="tab"/>
      <w:lvlText w:val="%1."/>
      <w:lvlJc w:val="left"/>
      <w:pPr>
        <w:ind w:left="720" w:hanging="36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08"/>
      <w:isLgl w:val="false"/>
      <w:suff w:val="tab"/>
      <w:lvlText w:val=""/>
      <w:lvlJc w:val="left"/>
      <w:pPr>
        <w:ind w:left="1080" w:hanging="360"/>
        <w:tabs>
          <w:tab w:val="left" w:pos="108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15"/>
      <w:isLgl w:val="false"/>
      <w:suff w:val="tab"/>
      <w:lvlText w:val=""/>
      <w:lvlJc w:val="left"/>
      <w:pPr>
        <w:ind w:left="720" w:hanging="360"/>
        <w:tabs>
          <w:tab w:val="left" w:pos="72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0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0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5">
    <w:name w:val="Plain Table 1"/>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7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7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2"/>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3"/>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7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5 Dark"/>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6 Colorful"/>
    <w:basedOn w:val="7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7 Colorful"/>
    <w:basedOn w:val="7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List Table 1 Light"/>
    <w:basedOn w:val="7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2"/>
    <w:basedOn w:val="7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3"/>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5 Dark"/>
    <w:basedOn w:val="7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7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7 Colorful"/>
    <w:basedOn w:val="7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4">
    <w:name w:val="TOC Heading"/>
    <w:uiPriority w:val="39"/>
    <w:unhideWhenUsed/>
  </w:style>
  <w:style w:type="paragraph" w:styleId="785" w:default="1">
    <w:name w:val="Normal"/>
    <w:qFormat/>
    <w:rPr>
      <w:rFonts w:asciiTheme="minorHAnsi" w:hAnsiTheme="minorHAnsi" w:eastAsiaTheme="minorEastAsia" w:cstheme="minorBidi"/>
      <w:sz w:val="21"/>
      <w:szCs w:val="22"/>
    </w:rPr>
  </w:style>
  <w:style w:type="paragraph" w:styleId="786">
    <w:name w:val="Heading 1"/>
    <w:basedOn w:val="785"/>
    <w:next w:val="785"/>
    <w:link w:val="986"/>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link w:val="987"/>
    <w:uiPriority w:val="9"/>
    <w:unhideWhenUsed/>
    <w:qFormat/>
    <w:pPr>
      <w:keepLines/>
      <w:keepNext/>
      <w:spacing w:before="360" w:after="200"/>
      <w:outlineLvl w:val="1"/>
    </w:pPr>
    <w:rPr>
      <w:rFonts w:ascii="Arial" w:hAnsi="Arial" w:eastAsia="Arial" w:cs="Arial"/>
      <w:sz w:val="34"/>
    </w:rPr>
  </w:style>
  <w:style w:type="paragraph" w:styleId="788">
    <w:name w:val="Heading 3"/>
    <w:link w:val="988"/>
    <w:uiPriority w:val="9"/>
    <w:unhideWhenUsed/>
    <w:qFormat/>
    <w:pPr>
      <w:keepLines/>
      <w:keepNext/>
      <w:spacing w:before="320" w:after="200"/>
      <w:outlineLvl w:val="2"/>
    </w:pPr>
    <w:rPr>
      <w:rFonts w:ascii="Arial" w:hAnsi="Arial" w:eastAsia="Arial" w:cs="Arial"/>
      <w:sz w:val="30"/>
      <w:szCs w:val="30"/>
    </w:rPr>
  </w:style>
  <w:style w:type="paragraph" w:styleId="789">
    <w:name w:val="Heading 4"/>
    <w:link w:val="989"/>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link w:val="990"/>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link w:val="991"/>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link w:val="992"/>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link w:val="993"/>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link w:val="994"/>
    <w:uiPriority w:val="9"/>
    <w:unhideWhenUsed/>
    <w:qFormat/>
    <w:pPr>
      <w:keepLines/>
      <w:keepNext/>
      <w:spacing w:before="320" w:after="200"/>
      <w:outlineLvl w:val="8"/>
    </w:pPr>
    <w:rPr>
      <w:rFonts w:ascii="Arial" w:hAnsi="Arial" w:eastAsia="Arial" w:cs="Arial"/>
      <w:i/>
      <w:iCs/>
      <w:sz w:val="21"/>
      <w:szCs w:val="21"/>
    </w:rPr>
  </w:style>
  <w:style w:type="character" w:styleId="795" w:default="1">
    <w:name w:val="Default Paragraph Font"/>
    <w:uiPriority w:val="1"/>
    <w:semiHidden/>
    <w:unhideWhenUsed/>
  </w:style>
  <w:style w:type="table" w:styleId="796" w:default="1">
    <w:name w:val="Normal Table"/>
    <w:uiPriority w:val="99"/>
    <w:semiHidden/>
    <w:unhideWhenUsed/>
    <w:tblPr>
      <w:tblInd w:w="0" w:type="dxa"/>
      <w:tblCellMar>
        <w:left w:w="108" w:type="dxa"/>
        <w:top w:w="0" w:type="dxa"/>
        <w:right w:w="108" w:type="dxa"/>
        <w:bottom w:w="0" w:type="dxa"/>
      </w:tblCellMar>
    </w:tblPr>
  </w:style>
  <w:style w:type="numbering" w:styleId="797" w:default="1">
    <w:name w:val="No List"/>
    <w:uiPriority w:val="99"/>
    <w:semiHidden/>
    <w:unhideWhenUsed/>
  </w:style>
  <w:style w:type="paragraph" w:styleId="798">
    <w:name w:val="macro"/>
    <w:link w:val="1160"/>
    <w:uiPriority w:val="99"/>
    <w:unhideWhenUsed/>
    <w:pPr>
      <w:spacing w:after="200" w:line="276" w:lineRule="auto"/>
      <w:tabs>
        <w:tab w:val="left" w:pos="576" w:leader="none"/>
        <w:tab w:val="left" w:pos="1152" w:leader="none"/>
        <w:tab w:val="left" w:pos="1728" w:leader="none"/>
        <w:tab w:val="left" w:pos="2304" w:leader="none"/>
        <w:tab w:val="left" w:pos="2880" w:leader="none"/>
        <w:tab w:val="left" w:pos="3456" w:leader="none"/>
        <w:tab w:val="left" w:pos="4032" w:leader="none"/>
      </w:tabs>
    </w:pPr>
    <w:rPr>
      <w:rFonts w:ascii="Courier" w:hAnsi="Courier" w:eastAsiaTheme="minorEastAsia" w:cstheme="minorBidi"/>
      <w:lang w:eastAsia="en-US"/>
    </w:rPr>
  </w:style>
  <w:style w:type="paragraph" w:styleId="799">
    <w:name w:val="List 3"/>
    <w:basedOn w:val="785"/>
    <w:uiPriority w:val="99"/>
    <w:unhideWhenUsed/>
    <w:qFormat/>
    <w:pPr>
      <w:contextualSpacing/>
      <w:ind w:left="1080" w:hanging="360"/>
      <w:spacing w:after="200" w:line="276" w:lineRule="auto"/>
    </w:pPr>
    <w:rPr>
      <w:rFonts w:ascii="宋体" w:hAnsi="宋体" w:eastAsia="宋体"/>
      <w:lang w:eastAsia="en-US"/>
    </w:rPr>
  </w:style>
  <w:style w:type="paragraph" w:styleId="800">
    <w:name w:val="toc 7"/>
    <w:uiPriority w:val="39"/>
    <w:unhideWhenUsed/>
    <w:qFormat/>
    <w:pPr>
      <w:ind w:left="1701"/>
      <w:spacing w:after="57"/>
    </w:pPr>
    <w:rPr>
      <w:rFonts w:asciiTheme="minorHAnsi" w:hAnsiTheme="minorHAnsi" w:eastAsiaTheme="minorEastAsia" w:cstheme="minorBidi"/>
      <w:sz w:val="21"/>
      <w:szCs w:val="22"/>
    </w:rPr>
  </w:style>
  <w:style w:type="paragraph" w:styleId="801">
    <w:name w:val="List Number 2"/>
    <w:basedOn w:val="785"/>
    <w:uiPriority w:val="99"/>
    <w:unhideWhenUsed/>
    <w:qFormat/>
    <w:pPr>
      <w:numPr>
        <w:numId w:val="1"/>
      </w:numPr>
      <w:contextualSpacing/>
      <w:ind w:left="0" w:firstLine="0"/>
      <w:spacing w:after="200" w:line="276" w:lineRule="auto"/>
      <w:tabs>
        <w:tab w:val="clear" w:pos="720" w:leader="none"/>
      </w:tabs>
    </w:pPr>
    <w:rPr>
      <w:rFonts w:ascii="宋体" w:hAnsi="宋体" w:eastAsia="宋体"/>
      <w:lang w:eastAsia="en-US"/>
    </w:rPr>
  </w:style>
  <w:style w:type="paragraph" w:styleId="802">
    <w:name w:val="List Number"/>
    <w:basedOn w:val="785"/>
    <w:uiPriority w:val="99"/>
    <w:unhideWhenUsed/>
    <w:pPr>
      <w:numPr>
        <w:numId w:val="2"/>
      </w:numPr>
      <w:contextualSpacing/>
      <w:ind w:left="0" w:firstLine="0"/>
      <w:spacing w:after="200" w:line="276" w:lineRule="auto"/>
      <w:tabs>
        <w:tab w:val="clear" w:pos="360" w:leader="none"/>
      </w:tabs>
    </w:pPr>
    <w:rPr>
      <w:rFonts w:ascii="宋体" w:hAnsi="宋体" w:eastAsia="宋体"/>
      <w:lang w:eastAsia="en-US"/>
    </w:rPr>
  </w:style>
  <w:style w:type="paragraph" w:styleId="803">
    <w:name w:val="Normal Indent"/>
    <w:basedOn w:val="785"/>
    <w:next w:val="785"/>
    <w:unhideWhenUsed/>
    <w:qFormat/>
    <w:pPr>
      <w:ind w:firstLine="420"/>
    </w:pPr>
    <w:rPr>
      <w:sz w:val="24"/>
    </w:rPr>
  </w:style>
  <w:style w:type="paragraph" w:styleId="804">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rPr>
  </w:style>
  <w:style w:type="paragraph" w:styleId="805">
    <w:name w:val="List Bullet"/>
    <w:basedOn w:val="785"/>
    <w:uiPriority w:val="99"/>
    <w:unhideWhenUsed/>
    <w:pPr>
      <w:numPr>
        <w:numId w:val="3"/>
      </w:numPr>
      <w:contextualSpacing/>
      <w:ind w:left="0" w:firstLine="0"/>
      <w:spacing w:after="200" w:line="276" w:lineRule="auto"/>
      <w:tabs>
        <w:tab w:val="clear" w:pos="360" w:leader="none"/>
      </w:tabs>
    </w:pPr>
    <w:rPr>
      <w:rFonts w:ascii="宋体" w:hAnsi="宋体" w:eastAsia="宋体"/>
      <w:lang w:eastAsia="en-US"/>
    </w:rPr>
  </w:style>
  <w:style w:type="paragraph" w:styleId="806">
    <w:name w:val="annotation text"/>
    <w:basedOn w:val="785"/>
    <w:link w:val="1163"/>
    <w:uiPriority w:val="99"/>
    <w:unhideWhenUsed/>
    <w:qFormat/>
    <w:rPr>
      <w:rFonts w:eastAsia="宋体"/>
      <w:b/>
      <w:sz w:val="24"/>
    </w:rPr>
  </w:style>
  <w:style w:type="paragraph" w:styleId="807">
    <w:name w:val="Body Text 3"/>
    <w:basedOn w:val="785"/>
    <w:link w:val="1161"/>
    <w:uiPriority w:val="99"/>
    <w:unhideWhenUsed/>
    <w:pPr>
      <w:spacing w:after="120" w:line="276" w:lineRule="auto"/>
    </w:pPr>
    <w:rPr>
      <w:rFonts w:ascii="宋体" w:hAnsi="宋体" w:eastAsia="宋体"/>
      <w:sz w:val="16"/>
      <w:szCs w:val="16"/>
      <w:lang w:eastAsia="en-US"/>
    </w:rPr>
  </w:style>
  <w:style w:type="paragraph" w:styleId="808">
    <w:name w:val="List Bullet 3"/>
    <w:basedOn w:val="785"/>
    <w:uiPriority w:val="99"/>
    <w:unhideWhenUsed/>
    <w:pPr>
      <w:numPr>
        <w:numId w:val="4"/>
      </w:numPr>
      <w:contextualSpacing/>
      <w:ind w:left="0" w:firstLine="0"/>
      <w:spacing w:after="200" w:line="276" w:lineRule="auto"/>
      <w:tabs>
        <w:tab w:val="clear" w:pos="1080" w:leader="none"/>
      </w:tabs>
    </w:pPr>
    <w:rPr>
      <w:rFonts w:ascii="宋体" w:hAnsi="宋体" w:eastAsia="宋体"/>
      <w:lang w:eastAsia="en-US"/>
    </w:rPr>
  </w:style>
  <w:style w:type="paragraph" w:styleId="809">
    <w:name w:val="Body Text"/>
    <w:basedOn w:val="785"/>
    <w:next w:val="785"/>
    <w:link w:val="1165"/>
    <w:uiPriority w:val="99"/>
    <w:unhideWhenUsed/>
    <w:qFormat/>
    <w:pPr>
      <w:spacing w:after="120"/>
    </w:pPr>
    <w:rPr>
      <w:rFonts w:ascii="Times New Roman" w:hAnsi="Times New Roman"/>
    </w:rPr>
  </w:style>
  <w:style w:type="paragraph" w:styleId="810">
    <w:name w:val="Body Text Indent"/>
    <w:basedOn w:val="785"/>
    <w:next w:val="785"/>
    <w:link w:val="1149"/>
    <w:qFormat/>
    <w:pPr>
      <w:ind w:left="570"/>
      <w:spacing w:line="520" w:lineRule="exact"/>
    </w:pPr>
    <w:rPr>
      <w:rFonts w:ascii="方正仿宋简体" w:hAnsi="创艺简仿宋" w:eastAsia="方正仿宋简体"/>
      <w:sz w:val="24"/>
      <w:szCs w:val="20"/>
    </w:rPr>
  </w:style>
  <w:style w:type="paragraph" w:styleId="811">
    <w:name w:val="List Number 3"/>
    <w:basedOn w:val="785"/>
    <w:uiPriority w:val="99"/>
    <w:unhideWhenUsed/>
    <w:pPr>
      <w:numPr>
        <w:numId w:val="5"/>
      </w:numPr>
      <w:contextualSpacing/>
      <w:ind w:left="0" w:firstLine="0"/>
      <w:spacing w:after="200" w:line="276" w:lineRule="auto"/>
      <w:tabs>
        <w:tab w:val="clear" w:pos="1080" w:leader="none"/>
      </w:tabs>
    </w:pPr>
    <w:rPr>
      <w:rFonts w:ascii="宋体" w:hAnsi="宋体" w:eastAsia="宋体"/>
      <w:lang w:eastAsia="en-US"/>
    </w:rPr>
  </w:style>
  <w:style w:type="paragraph" w:styleId="812">
    <w:name w:val="List 2"/>
    <w:basedOn w:val="785"/>
    <w:uiPriority w:val="99"/>
    <w:unhideWhenUsed/>
    <w:pPr>
      <w:contextualSpacing/>
      <w:ind w:left="720" w:hanging="360"/>
      <w:spacing w:after="200" w:line="276" w:lineRule="auto"/>
    </w:pPr>
    <w:rPr>
      <w:rFonts w:ascii="宋体" w:hAnsi="宋体" w:eastAsia="宋体"/>
      <w:lang w:eastAsia="en-US"/>
    </w:rPr>
  </w:style>
  <w:style w:type="paragraph" w:styleId="813">
    <w:name w:val="List Continue"/>
    <w:basedOn w:val="785"/>
    <w:uiPriority w:val="99"/>
    <w:unhideWhenUsed/>
    <w:qFormat/>
    <w:pPr>
      <w:contextualSpacing/>
      <w:ind w:left="360"/>
      <w:spacing w:after="120" w:line="276" w:lineRule="auto"/>
    </w:pPr>
    <w:rPr>
      <w:rFonts w:ascii="宋体" w:hAnsi="宋体" w:eastAsia="宋体"/>
      <w:lang w:eastAsia="en-US"/>
    </w:rPr>
  </w:style>
  <w:style w:type="paragraph" w:styleId="814">
    <w:name w:val="Block Text"/>
    <w:basedOn w:val="785"/>
    <w:qFormat/>
    <w:pPr>
      <w:ind w:left="630" w:right="-609" w:firstLine="420"/>
      <w:spacing w:line="360" w:lineRule="auto"/>
    </w:pPr>
    <w:rPr>
      <w:rFonts w:hint="eastAsia" w:ascii="仿宋_GB2312" w:eastAsia="仿宋_GB2312"/>
    </w:rPr>
  </w:style>
  <w:style w:type="paragraph" w:styleId="815">
    <w:name w:val="List Bullet 2"/>
    <w:basedOn w:val="785"/>
    <w:uiPriority w:val="99"/>
    <w:unhideWhenUsed/>
    <w:qFormat/>
    <w:pPr>
      <w:numPr>
        <w:numId w:val="6"/>
      </w:numPr>
      <w:contextualSpacing/>
      <w:ind w:left="0" w:firstLine="0"/>
      <w:spacing w:after="200" w:line="276" w:lineRule="auto"/>
      <w:tabs>
        <w:tab w:val="clear" w:pos="720" w:leader="none"/>
      </w:tabs>
    </w:pPr>
    <w:rPr>
      <w:rFonts w:ascii="宋体" w:hAnsi="宋体" w:eastAsia="宋体"/>
      <w:lang w:eastAsia="en-US"/>
    </w:rPr>
  </w:style>
  <w:style w:type="paragraph" w:styleId="816">
    <w:name w:val="toc 5"/>
    <w:uiPriority w:val="39"/>
    <w:unhideWhenUsed/>
    <w:qFormat/>
    <w:pPr>
      <w:ind w:left="1134"/>
      <w:spacing w:after="57"/>
    </w:pPr>
    <w:rPr>
      <w:rFonts w:asciiTheme="minorHAnsi" w:hAnsiTheme="minorHAnsi" w:eastAsiaTheme="minorEastAsia" w:cstheme="minorBidi"/>
      <w:sz w:val="21"/>
      <w:szCs w:val="22"/>
    </w:rPr>
  </w:style>
  <w:style w:type="paragraph" w:styleId="817">
    <w:name w:val="toc 3"/>
    <w:uiPriority w:val="39"/>
    <w:unhideWhenUsed/>
    <w:qFormat/>
    <w:pPr>
      <w:ind w:left="567"/>
      <w:spacing w:after="57"/>
    </w:pPr>
    <w:rPr>
      <w:rFonts w:asciiTheme="minorHAnsi" w:hAnsiTheme="minorHAnsi" w:eastAsiaTheme="minorEastAsia" w:cstheme="minorBidi"/>
      <w:sz w:val="21"/>
      <w:szCs w:val="22"/>
    </w:rPr>
  </w:style>
  <w:style w:type="paragraph" w:styleId="818">
    <w:name w:val="Plain Text"/>
    <w:basedOn w:val="785"/>
    <w:qFormat/>
    <w:rPr>
      <w:rFonts w:hint="eastAsia" w:ascii="宋体" w:hAnsi="Courier New"/>
    </w:rPr>
  </w:style>
  <w:style w:type="paragraph" w:styleId="819">
    <w:name w:val="toc 8"/>
    <w:uiPriority w:val="39"/>
    <w:unhideWhenUsed/>
    <w:qFormat/>
    <w:pPr>
      <w:ind w:left="1984"/>
      <w:spacing w:after="57"/>
    </w:pPr>
    <w:rPr>
      <w:rFonts w:asciiTheme="minorHAnsi" w:hAnsiTheme="minorHAnsi" w:eastAsiaTheme="minorEastAsia" w:cstheme="minorBidi"/>
      <w:sz w:val="21"/>
      <w:szCs w:val="22"/>
    </w:rPr>
  </w:style>
  <w:style w:type="paragraph" w:styleId="820">
    <w:name w:val="Body Text Indent 2"/>
    <w:basedOn w:val="785"/>
    <w:link w:val="1158"/>
    <w:uiPriority w:val="99"/>
    <w:semiHidden/>
    <w:unhideWhenUsed/>
    <w:pPr>
      <w:ind w:left="420"/>
      <w:spacing w:after="120" w:line="480" w:lineRule="auto"/>
    </w:pPr>
  </w:style>
  <w:style w:type="paragraph" w:styleId="821">
    <w:name w:val="endnote text"/>
    <w:link w:val="1132"/>
    <w:uiPriority w:val="99"/>
    <w:semiHidden/>
    <w:unhideWhenUsed/>
    <w:qFormat/>
    <w:rPr>
      <w:rFonts w:asciiTheme="minorHAnsi" w:hAnsiTheme="minorHAnsi" w:eastAsiaTheme="minorEastAsia" w:cstheme="minorBidi"/>
      <w:szCs w:val="22"/>
    </w:rPr>
  </w:style>
  <w:style w:type="paragraph" w:styleId="822">
    <w:name w:val="Balloon Text"/>
    <w:basedOn w:val="785"/>
    <w:link w:val="1148"/>
    <w:uiPriority w:val="99"/>
    <w:semiHidden/>
    <w:unhideWhenUsed/>
    <w:qFormat/>
    <w:rPr>
      <w:sz w:val="18"/>
      <w:szCs w:val="18"/>
    </w:rPr>
  </w:style>
  <w:style w:type="paragraph" w:styleId="823">
    <w:name w:val="Footer"/>
    <w:link w:val="1005"/>
    <w:uiPriority w:val="99"/>
    <w:unhideWhenUsed/>
    <w:qFormat/>
    <w:pPr>
      <w:tabs>
        <w:tab w:val="center" w:pos="7143" w:leader="none"/>
        <w:tab w:val="right" w:pos="14287" w:leader="none"/>
      </w:tabs>
    </w:pPr>
    <w:rPr>
      <w:rFonts w:asciiTheme="minorHAnsi" w:hAnsiTheme="minorHAnsi" w:eastAsiaTheme="minorEastAsia" w:cstheme="minorBidi"/>
      <w:sz w:val="21"/>
      <w:szCs w:val="22"/>
    </w:rPr>
  </w:style>
  <w:style w:type="paragraph" w:styleId="824">
    <w:name w:val="envelope return"/>
    <w:basedOn w:val="785"/>
    <w:qFormat/>
    <w:rPr>
      <w:rFonts w:ascii="Arial" w:hAnsi="Arial" w:eastAsia="宋体"/>
      <w:szCs w:val="24"/>
    </w:rPr>
  </w:style>
  <w:style w:type="paragraph" w:styleId="825">
    <w:name w:val="Header"/>
    <w:link w:val="1003"/>
    <w:uiPriority w:val="99"/>
    <w:unhideWhenUsed/>
    <w:qFormat/>
    <w:pPr>
      <w:tabs>
        <w:tab w:val="center" w:pos="7143" w:leader="none"/>
        <w:tab w:val="right" w:pos="14287" w:leader="none"/>
      </w:tabs>
    </w:pPr>
    <w:rPr>
      <w:rFonts w:asciiTheme="minorHAnsi" w:hAnsiTheme="minorHAnsi" w:eastAsiaTheme="minorEastAsia" w:cstheme="minorBidi"/>
      <w:sz w:val="21"/>
      <w:szCs w:val="22"/>
    </w:rPr>
  </w:style>
  <w:style w:type="paragraph" w:styleId="826">
    <w:name w:val="toc 1"/>
    <w:uiPriority w:val="39"/>
    <w:unhideWhenUsed/>
    <w:qFormat/>
    <w:pPr>
      <w:spacing w:after="57"/>
    </w:pPr>
    <w:rPr>
      <w:rFonts w:asciiTheme="minorHAnsi" w:hAnsiTheme="minorHAnsi" w:eastAsiaTheme="minorEastAsia" w:cstheme="minorBidi"/>
      <w:sz w:val="21"/>
      <w:szCs w:val="22"/>
    </w:rPr>
  </w:style>
  <w:style w:type="paragraph" w:styleId="827">
    <w:name w:val="toc 4"/>
    <w:uiPriority w:val="39"/>
    <w:unhideWhenUsed/>
    <w:qFormat/>
    <w:pPr>
      <w:ind w:left="850"/>
      <w:spacing w:after="57"/>
    </w:pPr>
    <w:rPr>
      <w:rFonts w:asciiTheme="minorHAnsi" w:hAnsiTheme="minorHAnsi" w:eastAsiaTheme="minorEastAsia" w:cstheme="minorBidi"/>
      <w:sz w:val="21"/>
      <w:szCs w:val="22"/>
    </w:rPr>
  </w:style>
  <w:style w:type="paragraph" w:styleId="828">
    <w:name w:val="Subtitle"/>
    <w:link w:val="998"/>
    <w:uiPriority w:val="11"/>
    <w:qFormat/>
    <w:pPr>
      <w:spacing w:before="200" w:after="200"/>
    </w:pPr>
    <w:rPr>
      <w:rFonts w:asciiTheme="minorHAnsi" w:hAnsiTheme="minorHAnsi" w:eastAsiaTheme="minorEastAsia" w:cstheme="minorBidi"/>
      <w:sz w:val="24"/>
      <w:szCs w:val="24"/>
    </w:rPr>
  </w:style>
  <w:style w:type="paragraph" w:styleId="829">
    <w:name w:val="List"/>
    <w:basedOn w:val="785"/>
    <w:uiPriority w:val="99"/>
    <w:unhideWhenUsed/>
    <w:qFormat/>
    <w:pPr>
      <w:contextualSpacing/>
      <w:ind w:left="360" w:hanging="360"/>
      <w:spacing w:after="200" w:line="276" w:lineRule="auto"/>
    </w:pPr>
    <w:rPr>
      <w:rFonts w:ascii="宋体" w:hAnsi="宋体" w:eastAsia="宋体"/>
      <w:lang w:eastAsia="en-US"/>
    </w:rPr>
  </w:style>
  <w:style w:type="paragraph" w:styleId="830">
    <w:name w:val="footnote text"/>
    <w:link w:val="1131"/>
    <w:uiPriority w:val="99"/>
    <w:semiHidden/>
    <w:unhideWhenUsed/>
    <w:qFormat/>
    <w:pPr>
      <w:spacing w:after="40"/>
    </w:pPr>
    <w:rPr>
      <w:rFonts w:asciiTheme="minorHAnsi" w:hAnsiTheme="minorHAnsi" w:eastAsiaTheme="minorEastAsia" w:cstheme="minorBidi"/>
      <w:sz w:val="18"/>
      <w:szCs w:val="22"/>
    </w:rPr>
  </w:style>
  <w:style w:type="paragraph" w:styleId="831">
    <w:name w:val="toc 6"/>
    <w:uiPriority w:val="39"/>
    <w:unhideWhenUsed/>
    <w:qFormat/>
    <w:pPr>
      <w:ind w:left="1417"/>
      <w:spacing w:after="57"/>
    </w:pPr>
    <w:rPr>
      <w:rFonts w:asciiTheme="minorHAnsi" w:hAnsiTheme="minorHAnsi" w:eastAsiaTheme="minorEastAsia" w:cstheme="minorBidi"/>
      <w:sz w:val="21"/>
      <w:szCs w:val="22"/>
    </w:rPr>
  </w:style>
  <w:style w:type="paragraph" w:styleId="832">
    <w:name w:val="table of figures"/>
    <w:uiPriority w:val="99"/>
    <w:unhideWhenUsed/>
    <w:qFormat/>
    <w:rPr>
      <w:rFonts w:asciiTheme="minorHAnsi" w:hAnsiTheme="minorHAnsi" w:eastAsiaTheme="minorEastAsia" w:cstheme="minorBidi"/>
      <w:sz w:val="21"/>
      <w:szCs w:val="22"/>
    </w:rPr>
  </w:style>
  <w:style w:type="paragraph" w:styleId="833">
    <w:name w:val="toc 2"/>
    <w:uiPriority w:val="39"/>
    <w:unhideWhenUsed/>
    <w:qFormat/>
    <w:pPr>
      <w:ind w:left="283"/>
      <w:spacing w:after="57"/>
    </w:pPr>
    <w:rPr>
      <w:rFonts w:asciiTheme="minorHAnsi" w:hAnsiTheme="minorHAnsi" w:eastAsiaTheme="minorEastAsia" w:cstheme="minorBidi"/>
      <w:sz w:val="21"/>
      <w:szCs w:val="22"/>
    </w:rPr>
  </w:style>
  <w:style w:type="paragraph" w:styleId="834">
    <w:name w:val="toc 9"/>
    <w:uiPriority w:val="39"/>
    <w:unhideWhenUsed/>
    <w:qFormat/>
    <w:pPr>
      <w:ind w:left="2268"/>
      <w:spacing w:after="57"/>
    </w:pPr>
    <w:rPr>
      <w:rFonts w:asciiTheme="minorHAnsi" w:hAnsiTheme="minorHAnsi" w:eastAsiaTheme="minorEastAsia" w:cstheme="minorBidi"/>
      <w:sz w:val="21"/>
      <w:szCs w:val="22"/>
    </w:rPr>
  </w:style>
  <w:style w:type="paragraph" w:styleId="835">
    <w:name w:val="Body Text 2"/>
    <w:basedOn w:val="785"/>
    <w:link w:val="1162"/>
    <w:uiPriority w:val="99"/>
    <w:unhideWhenUsed/>
    <w:qFormat/>
    <w:pPr>
      <w:spacing w:after="120" w:line="480" w:lineRule="auto"/>
    </w:pPr>
    <w:rPr>
      <w:rFonts w:ascii="宋体" w:hAnsi="宋体" w:eastAsia="宋体"/>
      <w:lang w:eastAsia="en-US"/>
    </w:rPr>
  </w:style>
  <w:style w:type="paragraph" w:styleId="836">
    <w:name w:val="List Continue 2"/>
    <w:basedOn w:val="785"/>
    <w:uiPriority w:val="99"/>
    <w:unhideWhenUsed/>
    <w:pPr>
      <w:contextualSpacing/>
      <w:ind w:left="720"/>
      <w:spacing w:after="120" w:line="276" w:lineRule="auto"/>
    </w:pPr>
    <w:rPr>
      <w:rFonts w:ascii="宋体" w:hAnsi="宋体" w:eastAsia="宋体"/>
      <w:lang w:eastAsia="en-US"/>
    </w:rPr>
  </w:style>
  <w:style w:type="paragraph" w:styleId="837">
    <w:name w:val="HTML Preformatted"/>
    <w:basedOn w:val="785"/>
    <w:link w:val="1157"/>
    <w:uiPriority w:val="99"/>
    <w:qFormat/>
    <w:pPr>
      <w:ind w:firstLine="420"/>
      <w:spacing w:after="160"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Cs w:val="21"/>
    </w:rPr>
  </w:style>
  <w:style w:type="paragraph" w:styleId="838">
    <w:name w:val="Normal (Web)"/>
    <w:basedOn w:val="785"/>
    <w:qFormat/>
    <w:pPr>
      <w:spacing w:before="100" w:beforeAutospacing="1" w:after="100" w:afterAutospacing="1"/>
    </w:pPr>
    <w:rPr>
      <w:rFonts w:cs="Times New Roman"/>
      <w:sz w:val="24"/>
    </w:rPr>
  </w:style>
  <w:style w:type="paragraph" w:styleId="839">
    <w:name w:val="List Continue 3"/>
    <w:basedOn w:val="785"/>
    <w:uiPriority w:val="99"/>
    <w:unhideWhenUsed/>
    <w:qFormat/>
    <w:pPr>
      <w:contextualSpacing/>
      <w:ind w:left="1080"/>
      <w:spacing w:after="120" w:line="276" w:lineRule="auto"/>
    </w:pPr>
    <w:rPr>
      <w:rFonts w:ascii="宋体" w:hAnsi="宋体" w:eastAsia="宋体"/>
      <w:lang w:eastAsia="en-US"/>
    </w:rPr>
  </w:style>
  <w:style w:type="paragraph" w:styleId="840">
    <w:name w:val="Title"/>
    <w:link w:val="997"/>
    <w:uiPriority w:val="10"/>
    <w:qFormat/>
    <w:pPr>
      <w:contextualSpacing/>
      <w:spacing w:before="300" w:after="200"/>
    </w:pPr>
    <w:rPr>
      <w:rFonts w:asciiTheme="minorHAnsi" w:hAnsiTheme="minorHAnsi" w:eastAsiaTheme="minorEastAsia" w:cstheme="minorBidi"/>
      <w:sz w:val="48"/>
      <w:szCs w:val="48"/>
    </w:rPr>
  </w:style>
  <w:style w:type="paragraph" w:styleId="841">
    <w:name w:val="annotation subject"/>
    <w:basedOn w:val="806"/>
    <w:next w:val="806"/>
    <w:link w:val="1164"/>
    <w:uiPriority w:val="99"/>
    <w:semiHidden/>
    <w:unhideWhenUsed/>
    <w:pPr>
      <w:spacing w:after="200" w:line="276" w:lineRule="auto"/>
    </w:pPr>
    <w:rPr>
      <w:rFonts w:ascii="宋体" w:hAnsi="宋体"/>
      <w:bCs/>
      <w:sz w:val="21"/>
      <w:lang w:eastAsia="en-US"/>
    </w:rPr>
  </w:style>
  <w:style w:type="paragraph" w:styleId="842">
    <w:name w:val="Body Text First Indent"/>
    <w:basedOn w:val="809"/>
    <w:qFormat/>
    <w:pPr>
      <w:ind w:firstLine="420"/>
    </w:pPr>
  </w:style>
  <w:style w:type="paragraph" w:styleId="843">
    <w:name w:val="Body Text First Indent 2"/>
    <w:basedOn w:val="810"/>
    <w:next w:val="785"/>
    <w:qFormat/>
    <w:pPr>
      <w:ind w:firstLine="420"/>
    </w:pPr>
  </w:style>
  <w:style w:type="table" w:styleId="8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name w:val="Light Shading"/>
    <w:basedOn w:val="796"/>
    <w:uiPriority w:val="60"/>
    <w:rPr>
      <w:rFonts w:asciiTheme="minorHAnsi" w:hAnsiTheme="minorHAnsi" w:eastAsiaTheme="minorEastAsia" w:cstheme="minorBidi"/>
      <w:color w:val="000000" w:themeColor="text1" w:themeShade="BF"/>
    </w:rPr>
    <w:tblPr>
      <w:tblBorders>
        <w:top w:val="single" w:color="000000" w:themeColor="text1" w:sz="8" w:space="0"/>
        <w:bottom w:val="single" w:color="000000" w:themeColor="text1" w:sz="8" w:space="0"/>
      </w:tblBorders>
    </w:tblPr>
    <w:tblStylePr w:type="band1Horz">
      <w:tcPr>
        <w:shd w:val="clear" w:color="auto" w:fill="c0c0c0" w:themeFill="text1"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c0c0c0" w:themeFill="text1"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000000" w:themeColor="text1" w:sz="8" w:space="0"/>
          <w:left w:val="none" w:color="000000" w:sz="4" w:space="0"/>
          <w:bottom w:val="single" w:color="000000" w:themeColor="text1"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000000" w:themeColor="text1" w:sz="8" w:space="0"/>
          <w:left w:val="none" w:color="000000" w:sz="4" w:space="0"/>
          <w:bottom w:val="single" w:color="000000" w:themeColor="text1" w:sz="8" w:space="0"/>
          <w:right w:val="none" w:color="000000" w:sz="4" w:space="0"/>
          <w:insideH w:val="none" w:color="000000" w:sz="4" w:space="0"/>
          <w:insideV w:val="none" w:color="000000" w:sz="4" w:space="0"/>
        </w:tcBorders>
      </w:tcPr>
    </w:tblStylePr>
  </w:style>
  <w:style w:type="table" w:styleId="846">
    <w:name w:val="Light Shading Accent 1"/>
    <w:basedOn w:val="796"/>
    <w:uiPriority w:val="60"/>
    <w:rPr>
      <w:rFonts w:asciiTheme="minorHAnsi" w:hAnsiTheme="minorHAnsi" w:eastAsiaTheme="minorEastAsia" w:cstheme="minorBidi"/>
      <w:color w:val="365f91" w:themeColor="accent1" w:themeShade="BF"/>
    </w:rPr>
    <w:tblPr>
      <w:tblBorders>
        <w:top w:val="single" w:color="4F81BD" w:themeColor="accent1" w:sz="8" w:space="0"/>
        <w:bottom w:val="single" w:color="4F81BD" w:themeColor="accent1" w:sz="8" w:space="0"/>
      </w:tblBorders>
    </w:tblPr>
    <w:tblStylePr w:type="band1Horz">
      <w:tcPr>
        <w:shd w:val="clear" w:color="auto" w:fill="d3dfee" w:themeFill="accent1"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d3dfee" w:themeFill="accent1"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4F81BD" w:themeColor="accent1" w:sz="8" w:space="0"/>
          <w:left w:val="none" w:color="000000" w:sz="4" w:space="0"/>
          <w:bottom w:val="single" w:color="4F81BD" w:themeColor="accent1"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4F81BD" w:themeColor="accent1" w:sz="8" w:space="0"/>
          <w:left w:val="none" w:color="000000" w:sz="4" w:space="0"/>
          <w:bottom w:val="single" w:color="4F81BD" w:themeColor="accent1" w:sz="8" w:space="0"/>
          <w:right w:val="none" w:color="000000" w:sz="4" w:space="0"/>
          <w:insideH w:val="none" w:color="000000" w:sz="4" w:space="0"/>
          <w:insideV w:val="none" w:color="000000" w:sz="4" w:space="0"/>
        </w:tcBorders>
      </w:tcPr>
    </w:tblStylePr>
  </w:style>
  <w:style w:type="table" w:styleId="847">
    <w:name w:val="Light Shading Accent 2"/>
    <w:basedOn w:val="796"/>
    <w:uiPriority w:val="60"/>
    <w:qFormat/>
    <w:rPr>
      <w:rFonts w:asciiTheme="minorHAnsi" w:hAnsiTheme="minorHAnsi" w:eastAsiaTheme="minorEastAsia" w:cstheme="minorBidi"/>
      <w:color w:val="943634" w:themeColor="accent2" w:themeShade="BF"/>
    </w:rPr>
    <w:tblPr>
      <w:tblBorders>
        <w:top w:val="single" w:color="C0504D" w:themeColor="accent2" w:sz="8" w:space="0"/>
        <w:bottom w:val="single" w:color="C0504D" w:themeColor="accent2" w:sz="8" w:space="0"/>
      </w:tblBorders>
    </w:tblPr>
    <w:tblStylePr w:type="band1Horz">
      <w:tcPr>
        <w:shd w:val="clear" w:color="auto" w:fill="efd3d2" w:themeFill="accent2"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efd3d2" w:themeFill="accent2"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C0504D" w:themeColor="accent2" w:sz="8" w:space="0"/>
          <w:left w:val="none" w:color="000000" w:sz="4" w:space="0"/>
          <w:bottom w:val="single" w:color="C0504D" w:themeColor="accent2"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C0504D" w:themeColor="accent2" w:sz="8" w:space="0"/>
          <w:left w:val="none" w:color="000000" w:sz="4" w:space="0"/>
          <w:bottom w:val="single" w:color="C0504D" w:themeColor="accent2" w:sz="8" w:space="0"/>
          <w:right w:val="none" w:color="000000" w:sz="4" w:space="0"/>
          <w:insideH w:val="none" w:color="000000" w:sz="4" w:space="0"/>
          <w:insideV w:val="none" w:color="000000" w:sz="4" w:space="0"/>
        </w:tcBorders>
      </w:tcPr>
    </w:tblStylePr>
  </w:style>
  <w:style w:type="table" w:styleId="848">
    <w:name w:val="Light Shading Accent 3"/>
    <w:basedOn w:val="796"/>
    <w:uiPriority w:val="60"/>
    <w:rPr>
      <w:rFonts w:asciiTheme="minorHAnsi" w:hAnsiTheme="minorHAnsi" w:eastAsiaTheme="minorEastAsia" w:cstheme="minorBidi"/>
      <w:color w:val="76923c" w:themeColor="accent3" w:themeShade="BF"/>
    </w:rPr>
    <w:tblPr>
      <w:tblBorders>
        <w:top w:val="single" w:color="9BBB59" w:themeColor="accent3" w:sz="8" w:space="0"/>
        <w:bottom w:val="single" w:color="9BBB59" w:themeColor="accent3" w:sz="8" w:space="0"/>
      </w:tblBorders>
    </w:tblPr>
    <w:tblStylePr w:type="band1Horz">
      <w:tcPr>
        <w:shd w:val="clear" w:color="auto" w:fill="e6eed5" w:themeFill="accent3"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e6eed5" w:themeFill="accent3"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9BBB59" w:themeColor="accent3" w:sz="8" w:space="0"/>
          <w:left w:val="none" w:color="000000" w:sz="4" w:space="0"/>
          <w:bottom w:val="single" w:color="9BBB59" w:themeColor="accent3"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9BBB59" w:themeColor="accent3" w:sz="8" w:space="0"/>
          <w:left w:val="none" w:color="000000" w:sz="4" w:space="0"/>
          <w:bottom w:val="single" w:color="9BBB59" w:themeColor="accent3" w:sz="8" w:space="0"/>
          <w:right w:val="none" w:color="000000" w:sz="4" w:space="0"/>
          <w:insideH w:val="none" w:color="000000" w:sz="4" w:space="0"/>
          <w:insideV w:val="none" w:color="000000" w:sz="4" w:space="0"/>
        </w:tcBorders>
      </w:tcPr>
    </w:tblStylePr>
  </w:style>
  <w:style w:type="table" w:styleId="849">
    <w:name w:val="Light Shading Accent 4"/>
    <w:basedOn w:val="796"/>
    <w:uiPriority w:val="60"/>
    <w:rPr>
      <w:rFonts w:asciiTheme="minorHAnsi" w:hAnsiTheme="minorHAnsi" w:eastAsiaTheme="minorEastAsia" w:cstheme="minorBidi"/>
      <w:color w:val="5f497a" w:themeColor="accent4" w:themeShade="BF"/>
    </w:rPr>
    <w:tblPr>
      <w:tblBorders>
        <w:top w:val="single" w:color="8064A2" w:themeColor="accent4" w:sz="8" w:space="0"/>
        <w:bottom w:val="single" w:color="8064A2" w:themeColor="accent4" w:sz="8" w:space="0"/>
      </w:tblBorders>
    </w:tblPr>
    <w:tblStylePr w:type="band1Horz">
      <w:tcPr>
        <w:shd w:val="clear" w:color="auto" w:fill="dfd8e8" w:themeFill="accent4"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dfd8e8" w:themeFill="accent4"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8064A2" w:themeColor="accent4" w:sz="8" w:space="0"/>
          <w:left w:val="none" w:color="000000" w:sz="4" w:space="0"/>
          <w:bottom w:val="single" w:color="8064A2" w:themeColor="accent4"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8064A2" w:themeColor="accent4" w:sz="8" w:space="0"/>
          <w:left w:val="none" w:color="000000" w:sz="4" w:space="0"/>
          <w:bottom w:val="single" w:color="8064A2" w:themeColor="accent4" w:sz="8" w:space="0"/>
          <w:right w:val="none" w:color="000000" w:sz="4" w:space="0"/>
          <w:insideH w:val="none" w:color="000000" w:sz="4" w:space="0"/>
          <w:insideV w:val="none" w:color="000000" w:sz="4" w:space="0"/>
        </w:tcBorders>
      </w:tcPr>
    </w:tblStylePr>
  </w:style>
  <w:style w:type="table" w:styleId="850">
    <w:name w:val="Light Shading Accent 5"/>
    <w:basedOn w:val="796"/>
    <w:uiPriority w:val="60"/>
    <w:rPr>
      <w:rFonts w:asciiTheme="minorHAnsi" w:hAnsiTheme="minorHAnsi" w:eastAsiaTheme="minorEastAsia" w:cstheme="minorBidi"/>
      <w:color w:val="31849b" w:themeColor="accent5" w:themeShade="BF"/>
    </w:rPr>
    <w:tblPr>
      <w:tblBorders>
        <w:top w:val="single" w:color="4BACC6" w:themeColor="accent5" w:sz="8" w:space="0"/>
        <w:bottom w:val="single" w:color="4BACC6" w:themeColor="accent5" w:sz="8" w:space="0"/>
      </w:tblBorders>
    </w:tblPr>
    <w:tblStylePr w:type="band1Horz">
      <w:tcPr>
        <w:shd w:val="clear" w:color="auto" w:fill="d2eaf1" w:themeFill="accent5"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hemeFill="accent5"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4BACC6" w:themeColor="accent5" w:sz="8" w:space="0"/>
          <w:left w:val="none" w:color="000000" w:sz="4" w:space="0"/>
          <w:bottom w:val="single" w:color="4BACC6" w:themeColor="accent5"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4BACC6" w:themeColor="accent5" w:sz="8" w:space="0"/>
          <w:left w:val="none" w:color="000000" w:sz="4" w:space="0"/>
          <w:bottom w:val="single" w:color="4BACC6" w:themeColor="accent5" w:sz="8" w:space="0"/>
          <w:right w:val="none" w:color="000000" w:sz="4" w:space="0"/>
          <w:insideH w:val="none" w:color="000000" w:sz="4" w:space="0"/>
          <w:insideV w:val="none" w:color="000000" w:sz="4" w:space="0"/>
        </w:tcBorders>
      </w:tcPr>
    </w:tblStylePr>
  </w:style>
  <w:style w:type="table" w:styleId="851">
    <w:name w:val="Light Shading Accent 6"/>
    <w:basedOn w:val="796"/>
    <w:uiPriority w:val="60"/>
    <w:rPr>
      <w:rFonts w:asciiTheme="minorHAnsi" w:hAnsiTheme="minorHAnsi" w:eastAsiaTheme="minorEastAsia" w:cstheme="minorBidi"/>
      <w:color w:val="e36c0a" w:themeColor="accent6" w:themeShade="BF"/>
    </w:rPr>
    <w:tblPr>
      <w:tblBorders>
        <w:top w:val="single" w:color="F79646" w:themeColor="accent6" w:sz="8" w:space="0"/>
        <w:bottom w:val="single" w:color="F79646" w:themeColor="accent6" w:sz="8" w:space="0"/>
      </w:tblBorders>
    </w:tblPr>
    <w:tblStylePr w:type="band1Horz">
      <w:tcPr>
        <w:shd w:val="clear" w:color="auto" w:fill="fde4d0" w:themeFill="accent6"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fde4d0" w:themeFill="accent6"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F79646" w:themeColor="accent6" w:sz="8" w:space="0"/>
          <w:left w:val="none" w:color="000000" w:sz="4" w:space="0"/>
          <w:bottom w:val="single" w:color="F79646" w:themeColor="accent6"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F79646" w:themeColor="accent6" w:sz="8" w:space="0"/>
          <w:left w:val="none" w:color="000000" w:sz="4" w:space="0"/>
          <w:bottom w:val="single" w:color="F79646" w:themeColor="accent6" w:sz="8" w:space="0"/>
          <w:right w:val="none" w:color="000000" w:sz="4" w:space="0"/>
          <w:insideH w:val="none" w:color="000000" w:sz="4" w:space="0"/>
          <w:insideV w:val="none" w:color="000000" w:sz="4" w:space="0"/>
        </w:tcBorders>
      </w:tcPr>
    </w:tblStylePr>
  </w:style>
  <w:style w:type="table" w:styleId="852">
    <w:name w:val="Light List"/>
    <w:basedOn w:val="796"/>
    <w:uiPriority w:val="61"/>
    <w:rPr>
      <w:rFonts w:asciiTheme="minorHAnsi" w:hAnsiTheme="minorHAnsi" w:eastAsiaTheme="minorEastAsia" w:cstheme="minorBidi"/>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firstRow">
      <w:rPr>
        <w:b/>
        <w:bCs/>
        <w:color w:val="ffffff" w:themeColor="background1"/>
      </w:rPr>
      <w:pPr>
        <w:spacing w:before="0" w:after="0" w:line="240" w:lineRule="auto"/>
      </w:pPr>
      <w:tcPr>
        <w:shd w:val="clear" w:color="auto" w:fill="000000" w:themeFill="text1"/>
      </w:tcPr>
    </w:tblStylePr>
    <w:tblStylePr w:type="lastCol">
      <w:rPr>
        <w:b/>
        <w:bCs/>
      </w:rPr>
    </w:tblStylePr>
    <w:tblStylePr w:type="lastRow">
      <w:rPr>
        <w:b/>
        <w:bCs/>
      </w:rPr>
      <w:pPr>
        <w:spacing w:before="0" w:after="0" w:line="240" w:lineRule="auto"/>
      </w:pPr>
      <w:tcPr>
        <w:tcBorders>
          <w:top w:val="single" w:color="000000" w:themeColor="text1" w:sz="6" w:space="0"/>
          <w:left w:val="single" w:color="000000" w:themeColor="text1" w:sz="8" w:space="0"/>
          <w:bottom w:val="single" w:color="000000" w:themeColor="text1" w:sz="8" w:space="0"/>
          <w:right w:val="single" w:color="000000" w:themeColor="text1" w:sz="8" w:space="0"/>
        </w:tcBorders>
      </w:tcPr>
    </w:tblStylePr>
  </w:style>
  <w:style w:type="table" w:styleId="853">
    <w:name w:val="Light List Accent 1"/>
    <w:basedOn w:val="796"/>
    <w:uiPriority w:val="61"/>
    <w:qFormat/>
    <w:rPr>
      <w:rFonts w:asciiTheme="minorHAnsi" w:hAnsiTheme="minorHAnsi" w:eastAsiaTheme="minorEastAsia" w:cstheme="minorBidi"/>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firstRow">
      <w:rPr>
        <w:b/>
        <w:bCs/>
        <w:color w:val="ffffff" w:themeColor="background1"/>
      </w:rPr>
      <w:pPr>
        <w:spacing w:before="0" w:after="0" w:line="240" w:lineRule="auto"/>
      </w:pPr>
      <w:tcPr>
        <w:shd w:val="clear" w:color="auto" w:fill="4f81bd" w:themeFill="accent1"/>
      </w:tcPr>
    </w:tblStylePr>
    <w:tblStylePr w:type="lastCol">
      <w:rPr>
        <w:b/>
        <w:bCs/>
      </w:rPr>
    </w:tblStylePr>
    <w:tblStylePr w:type="lastRow">
      <w:rPr>
        <w:b/>
        <w:bCs/>
      </w:rPr>
      <w:pPr>
        <w:spacing w:before="0" w:after="0" w:line="240" w:lineRule="auto"/>
      </w:pPr>
      <w:tcPr>
        <w:tcBorders>
          <w:top w:val="single" w:color="4F81BD" w:themeColor="accent1" w:sz="6" w:space="0"/>
          <w:left w:val="single" w:color="4F81BD" w:themeColor="accent1" w:sz="8" w:space="0"/>
          <w:bottom w:val="single" w:color="4F81BD" w:themeColor="accent1" w:sz="8" w:space="0"/>
          <w:right w:val="single" w:color="4F81BD" w:themeColor="accent1" w:sz="8" w:space="0"/>
        </w:tcBorders>
      </w:tcPr>
    </w:tblStylePr>
  </w:style>
  <w:style w:type="table" w:styleId="854">
    <w:name w:val="Light List Accent 2"/>
    <w:basedOn w:val="796"/>
    <w:uiPriority w:val="61"/>
    <w:rPr>
      <w:rFonts w:asciiTheme="minorHAnsi" w:hAnsiTheme="minorHAnsi" w:eastAsiaTheme="minorEastAsia" w:cstheme="minorBidi"/>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firstRow">
      <w:rPr>
        <w:b/>
        <w:bCs/>
        <w:color w:val="ffffff" w:themeColor="background1"/>
      </w:rPr>
      <w:pPr>
        <w:spacing w:before="0" w:after="0" w:line="240" w:lineRule="auto"/>
      </w:pPr>
      <w:tcPr>
        <w:shd w:val="clear" w:color="auto" w:fill="c0504d" w:themeFill="accent2"/>
      </w:tcPr>
    </w:tblStylePr>
    <w:tblStylePr w:type="lastCol">
      <w:rPr>
        <w:b/>
        <w:bCs/>
      </w:rPr>
    </w:tblStylePr>
    <w:tblStylePr w:type="lastRow">
      <w:rPr>
        <w:b/>
        <w:bCs/>
      </w:rPr>
      <w:pPr>
        <w:spacing w:before="0" w:after="0" w:line="240" w:lineRule="auto"/>
      </w:pPr>
      <w:tcPr>
        <w:tcBorders>
          <w:top w:val="single" w:color="C0504D" w:themeColor="accent2" w:sz="6" w:space="0"/>
          <w:left w:val="single" w:color="C0504D" w:themeColor="accent2" w:sz="8" w:space="0"/>
          <w:bottom w:val="single" w:color="C0504D" w:themeColor="accent2" w:sz="8" w:space="0"/>
          <w:right w:val="single" w:color="C0504D" w:themeColor="accent2" w:sz="8" w:space="0"/>
        </w:tcBorders>
      </w:tcPr>
    </w:tblStylePr>
  </w:style>
  <w:style w:type="table" w:styleId="855">
    <w:name w:val="Light List Accent 3"/>
    <w:basedOn w:val="796"/>
    <w:uiPriority w:val="61"/>
    <w:rPr>
      <w:rFonts w:asciiTheme="minorHAnsi" w:hAnsiTheme="minorHAnsi" w:eastAsiaTheme="minorEastAsia" w:cstheme="minorBidi"/>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firstRow">
      <w:rPr>
        <w:b/>
        <w:bCs/>
        <w:color w:val="ffffff" w:themeColor="background1"/>
      </w:rPr>
      <w:pPr>
        <w:spacing w:before="0" w:after="0" w:line="240" w:lineRule="auto"/>
      </w:pPr>
      <w:tcPr>
        <w:shd w:val="clear" w:color="auto" w:fill="9bbb59" w:themeFill="accent3"/>
      </w:tcPr>
    </w:tblStylePr>
    <w:tblStylePr w:type="lastCol">
      <w:rPr>
        <w:b/>
        <w:bCs/>
      </w:rPr>
    </w:tblStylePr>
    <w:tblStylePr w:type="lastRow">
      <w:rPr>
        <w:b/>
        <w:bCs/>
      </w:rPr>
      <w:pPr>
        <w:spacing w:before="0" w:after="0" w:line="240" w:lineRule="auto"/>
      </w:pPr>
      <w:tcPr>
        <w:tcBorders>
          <w:top w:val="single" w:color="9BBB59" w:themeColor="accent3" w:sz="6" w:space="0"/>
          <w:left w:val="single" w:color="9BBB59" w:themeColor="accent3" w:sz="8" w:space="0"/>
          <w:bottom w:val="single" w:color="9BBB59" w:themeColor="accent3" w:sz="8" w:space="0"/>
          <w:right w:val="single" w:color="9BBB59" w:themeColor="accent3" w:sz="8" w:space="0"/>
        </w:tcBorders>
      </w:tcPr>
    </w:tblStylePr>
  </w:style>
  <w:style w:type="table" w:styleId="856">
    <w:name w:val="Light List Accent 4"/>
    <w:basedOn w:val="796"/>
    <w:uiPriority w:val="61"/>
    <w:rPr>
      <w:rFonts w:asciiTheme="minorHAnsi" w:hAnsiTheme="minorHAnsi" w:eastAsiaTheme="minorEastAsia" w:cstheme="minorBidi"/>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firstRow">
      <w:rPr>
        <w:b/>
        <w:bCs/>
        <w:color w:val="ffffff" w:themeColor="background1"/>
      </w:rPr>
      <w:pPr>
        <w:spacing w:before="0" w:after="0" w:line="240" w:lineRule="auto"/>
      </w:pPr>
      <w:tcPr>
        <w:shd w:val="clear" w:color="auto" w:fill="8064a2" w:themeFill="accent4"/>
      </w:tcPr>
    </w:tblStylePr>
    <w:tblStylePr w:type="lastCol">
      <w:rPr>
        <w:b/>
        <w:bCs/>
      </w:rPr>
    </w:tblStylePr>
    <w:tblStylePr w:type="lastRow">
      <w:rPr>
        <w:b/>
        <w:bCs/>
      </w:rPr>
      <w:pPr>
        <w:spacing w:before="0" w:after="0" w:line="240" w:lineRule="auto"/>
      </w:pPr>
      <w:tcPr>
        <w:tcBorders>
          <w:top w:val="single" w:color="8064A2" w:themeColor="accent4" w:sz="6" w:space="0"/>
          <w:left w:val="single" w:color="8064A2" w:themeColor="accent4" w:sz="8" w:space="0"/>
          <w:bottom w:val="single" w:color="8064A2" w:themeColor="accent4" w:sz="8" w:space="0"/>
          <w:right w:val="single" w:color="8064A2" w:themeColor="accent4" w:sz="8" w:space="0"/>
        </w:tcBorders>
      </w:tcPr>
    </w:tblStylePr>
  </w:style>
  <w:style w:type="table" w:styleId="857">
    <w:name w:val="Light List Accent 5"/>
    <w:basedOn w:val="796"/>
    <w:uiPriority w:val="61"/>
    <w:rPr>
      <w:rFonts w:asciiTheme="minorHAnsi" w:hAnsiTheme="minorHAnsi" w:eastAsiaTheme="minorEastAsia" w:cstheme="minorBidi"/>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firstRow">
      <w:rPr>
        <w:b/>
        <w:bCs/>
        <w:color w:val="ffffff" w:themeColor="background1"/>
      </w:rPr>
      <w:pPr>
        <w:spacing w:before="0" w:after="0" w:line="240" w:lineRule="auto"/>
      </w:pPr>
      <w:tcPr>
        <w:shd w:val="clear" w:color="auto" w:fill="4bacc6" w:themeFill="accent5"/>
      </w:tcPr>
    </w:tblStylePr>
    <w:tblStylePr w:type="lastCol">
      <w:rPr>
        <w:b/>
        <w:bCs/>
      </w:rPr>
    </w:tblStylePr>
    <w:tblStylePr w:type="lastRow">
      <w:rPr>
        <w:b/>
        <w:bCs/>
      </w:rPr>
      <w:pPr>
        <w:spacing w:before="0" w:after="0" w:line="240" w:lineRule="auto"/>
      </w:pPr>
      <w:tcPr>
        <w:tcBorders>
          <w:top w:val="single" w:color="4BACC6" w:themeColor="accent5" w:sz="6" w:space="0"/>
          <w:left w:val="single" w:color="4BACC6" w:themeColor="accent5" w:sz="8" w:space="0"/>
          <w:bottom w:val="single" w:color="4BACC6" w:themeColor="accent5" w:sz="8" w:space="0"/>
          <w:right w:val="single" w:color="4BACC6" w:themeColor="accent5" w:sz="8" w:space="0"/>
        </w:tcBorders>
      </w:tcPr>
    </w:tblStylePr>
  </w:style>
  <w:style w:type="table" w:styleId="858">
    <w:name w:val="Light List Accent 6"/>
    <w:basedOn w:val="796"/>
    <w:uiPriority w:val="61"/>
    <w:rPr>
      <w:rFonts w:asciiTheme="minorHAnsi" w:hAnsiTheme="minorHAnsi" w:eastAsiaTheme="minorEastAsia" w:cstheme="minorBidi"/>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firstRow">
      <w:rPr>
        <w:b/>
        <w:bCs/>
        <w:color w:val="ffffff" w:themeColor="background1"/>
      </w:rPr>
      <w:pPr>
        <w:spacing w:before="0" w:after="0" w:line="240" w:lineRule="auto"/>
      </w:pPr>
      <w:tcPr>
        <w:shd w:val="clear" w:color="auto" w:fill="f79646" w:themeFill="accent6"/>
      </w:tcPr>
    </w:tblStylePr>
    <w:tblStylePr w:type="lastCol">
      <w:rPr>
        <w:b/>
        <w:bCs/>
      </w:rPr>
    </w:tblStylePr>
    <w:tblStylePr w:type="lastRow">
      <w:rPr>
        <w:b/>
        <w:bCs/>
      </w:rPr>
      <w:pPr>
        <w:spacing w:before="0" w:after="0" w:line="240" w:lineRule="auto"/>
      </w:pPr>
      <w:tcPr>
        <w:tcBorders>
          <w:top w:val="single" w:color="F79646" w:themeColor="accent6" w:sz="6" w:space="0"/>
          <w:left w:val="single" w:color="F79646" w:themeColor="accent6" w:sz="8" w:space="0"/>
          <w:bottom w:val="single" w:color="F79646" w:themeColor="accent6" w:sz="8" w:space="0"/>
          <w:right w:val="single" w:color="F79646" w:themeColor="accent6" w:sz="8" w:space="0"/>
        </w:tcBorders>
      </w:tcPr>
    </w:tblStylePr>
  </w:style>
  <w:style w:type="table" w:styleId="859">
    <w:name w:val="Light Grid"/>
    <w:basedOn w:val="796"/>
    <w:uiPriority w:val="62"/>
    <w:rPr>
      <w:rFonts w:asciiTheme="minorHAnsi" w:hAnsiTheme="minorHAnsi" w:eastAsiaTheme="minorEastAsia" w:cstheme="minorBidi"/>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band1Horz">
      <w:tcPr>
        <w:shd w:val="clear" w:color="auto" w:fill="c0c0c0" w:themeFill="text1" w:themeFillTint="3F"/>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auto" w:sz="8" w:space="0"/>
        </w:tcBorders>
      </w:tcPr>
    </w:tblStylePr>
    <w:tblStylePr w:type="band1Vert">
      <w:tcPr>
        <w:shd w:val="clear" w:color="auto" w:fill="c0c0c0" w:themeFill="text1" w:themeFillTint="3F"/>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auto"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000000" w:themeColor="text1" w:sz="8" w:space="0"/>
          <w:left w:val="single" w:color="000000" w:themeColor="text1" w:sz="8" w:space="0"/>
          <w:bottom w:val="single" w:color="000000" w:themeColor="text1" w:sz="18" w:space="0"/>
          <w:right w:val="single" w:color="000000" w:themeColor="text1" w:sz="8" w:space="0"/>
          <w:insideH w:val="none" w:color="000000" w:sz="4" w:space="0"/>
          <w:insideV w:val="single" w:color="auto" w:sz="8" w:space="0"/>
        </w:tcBorders>
      </w:tc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000000" w:themeColor="text1" w:sz="6" w:space="0"/>
          <w:left w:val="single" w:color="000000" w:themeColor="text1" w:sz="8" w:space="0"/>
          <w:bottom w:val="single" w:color="000000" w:themeColor="text1" w:sz="8" w:space="0"/>
          <w:right w:val="single" w:color="000000" w:themeColor="text1" w:sz="8" w:space="0"/>
          <w:insideH w:val="none" w:color="000000" w:sz="4" w:space="0"/>
          <w:insideV w:val="single" w:color="auto" w:sz="8" w:space="0"/>
        </w:tcBorders>
      </w:tcPr>
    </w:tblStylePr>
  </w:style>
  <w:style w:type="table" w:styleId="860">
    <w:name w:val="Light Grid Accent 1"/>
    <w:basedOn w:val="796"/>
    <w:uiPriority w:val="62"/>
    <w:rPr>
      <w:rFonts w:asciiTheme="minorHAnsi" w:hAnsiTheme="minorHAnsi" w:eastAsiaTheme="minorEastAsia" w:cstheme="minorBidi"/>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band1Horz">
      <w:tcPr>
        <w:shd w:val="clear" w:color="auto" w:fill="d3dfee" w:themeFill="accent1" w:themeFillTint="3F"/>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auto" w:sz="8" w:space="0"/>
        </w:tcBorders>
      </w:tcPr>
    </w:tblStylePr>
    <w:tblStylePr w:type="band1Vert">
      <w:tcPr>
        <w:shd w:val="clear" w:color="auto" w:fill="d3dfee" w:themeFill="accent1" w:themeFillTint="3F"/>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2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auto"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one" w:color="000000" w:sz="4" w:space="0"/>
          <w:insideV w:val="single" w:color="auto" w:sz="8" w:space="0"/>
        </w:tcBorders>
      </w:tcPr>
    </w:tblStylePr>
    <w:tblStylePr w:type="lastCol">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4F81BD" w:themeColor="accent1" w:sz="6" w:space="0"/>
          <w:left w:val="single" w:color="4F81BD" w:themeColor="accent1" w:sz="8" w:space="0"/>
          <w:bottom w:val="single" w:color="4F81BD" w:themeColor="accent1" w:sz="8" w:space="0"/>
          <w:right w:val="single" w:color="4F81BD" w:themeColor="accent1" w:sz="8" w:space="0"/>
          <w:insideH w:val="none" w:color="000000" w:sz="4" w:space="0"/>
          <w:insideV w:val="single" w:color="auto" w:sz="8" w:space="0"/>
        </w:tcBorders>
      </w:tcPr>
    </w:tblStylePr>
  </w:style>
  <w:style w:type="table" w:styleId="861">
    <w:name w:val="Light Grid Accent 2"/>
    <w:basedOn w:val="796"/>
    <w:uiPriority w:val="62"/>
    <w:rPr>
      <w:rFonts w:asciiTheme="minorHAnsi" w:hAnsiTheme="minorHAnsi" w:eastAsiaTheme="minorEastAsia" w:cstheme="minorBidi"/>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band1Horz">
      <w:tcPr>
        <w:shd w:val="clear" w:color="auto" w:fill="efd3d2" w:themeFill="accent2" w:themeFillTint="3F"/>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auto" w:sz="8" w:space="0"/>
        </w:tcBorders>
      </w:tcPr>
    </w:tblStylePr>
    <w:tblStylePr w:type="band1Vert">
      <w:tcPr>
        <w:shd w:val="clear" w:color="auto" w:fill="efd3d2" w:themeFill="accent2" w:themeFillTint="3F"/>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2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auto"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one" w:color="000000" w:sz="4" w:space="0"/>
          <w:insideV w:val="single" w:color="auto" w:sz="8" w:space="0"/>
        </w:tcBorders>
      </w:tcPr>
    </w:tblStylePr>
    <w:tblStylePr w:type="lastCol">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C0504D" w:themeColor="accent2" w:sz="6" w:space="0"/>
          <w:left w:val="single" w:color="C0504D" w:themeColor="accent2" w:sz="8" w:space="0"/>
          <w:bottom w:val="single" w:color="C0504D" w:themeColor="accent2" w:sz="8" w:space="0"/>
          <w:right w:val="single" w:color="C0504D" w:themeColor="accent2" w:sz="8" w:space="0"/>
          <w:insideH w:val="none" w:color="000000" w:sz="4" w:space="0"/>
          <w:insideV w:val="single" w:color="auto" w:sz="8" w:space="0"/>
        </w:tcBorders>
      </w:tcPr>
    </w:tblStylePr>
  </w:style>
  <w:style w:type="table" w:styleId="862">
    <w:name w:val="Light Grid Accent 3"/>
    <w:basedOn w:val="796"/>
    <w:uiPriority w:val="62"/>
    <w:rPr>
      <w:rFonts w:asciiTheme="minorHAnsi" w:hAnsiTheme="minorHAnsi" w:eastAsiaTheme="minorEastAsia" w:cstheme="minorBidi"/>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band1Horz">
      <w:tcPr>
        <w:shd w:val="clear" w:color="auto" w:fill="e6eed5" w:themeFill="accent3" w:themeFillTint="3F"/>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auto" w:sz="8" w:space="0"/>
        </w:tcBorders>
      </w:tcPr>
    </w:tblStylePr>
    <w:tblStylePr w:type="band1Vert">
      <w:tcPr>
        <w:shd w:val="clear" w:color="auto" w:fill="e6eed5" w:themeFill="accent3" w:themeFillTint="3F"/>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2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auto"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one" w:color="000000" w:sz="4" w:space="0"/>
          <w:insideV w:val="single" w:color="auto" w:sz="8" w:space="0"/>
        </w:tcBorders>
      </w:tcPr>
    </w:tblStylePr>
    <w:tblStylePr w:type="lastCol">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9BBB59" w:themeColor="accent3" w:sz="6" w:space="0"/>
          <w:left w:val="single" w:color="9BBB59" w:themeColor="accent3" w:sz="8" w:space="0"/>
          <w:bottom w:val="single" w:color="9BBB59" w:themeColor="accent3" w:sz="8" w:space="0"/>
          <w:right w:val="single" w:color="9BBB59" w:themeColor="accent3" w:sz="8" w:space="0"/>
          <w:insideH w:val="none" w:color="000000" w:sz="4" w:space="0"/>
          <w:insideV w:val="single" w:color="auto" w:sz="8" w:space="0"/>
        </w:tcBorders>
      </w:tcPr>
    </w:tblStylePr>
  </w:style>
  <w:style w:type="table" w:styleId="863">
    <w:name w:val="Light Grid Accent 4"/>
    <w:basedOn w:val="796"/>
    <w:uiPriority w:val="62"/>
    <w:qFormat/>
    <w:rPr>
      <w:rFonts w:asciiTheme="minorHAnsi" w:hAnsiTheme="minorHAnsi" w:eastAsiaTheme="minorEastAsia" w:cstheme="minorBidi"/>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band1Horz">
      <w:tcPr>
        <w:shd w:val="clear" w:color="auto" w:fill="dfd8e8" w:themeFill="accent4" w:themeFillTint="3F"/>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auto" w:sz="8" w:space="0"/>
        </w:tcBorders>
      </w:tcPr>
    </w:tblStylePr>
    <w:tblStylePr w:type="band1Vert">
      <w:tcPr>
        <w:shd w:val="clear" w:color="auto" w:fill="dfd8e8" w:themeFill="accent4" w:themeFillTint="3F"/>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2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auto"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one" w:color="000000" w:sz="4" w:space="0"/>
          <w:insideV w:val="single" w:color="auto" w:sz="8" w:space="0"/>
        </w:tcBorders>
      </w:tcPr>
    </w:tblStylePr>
    <w:tblStylePr w:type="lastCol">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8064A2" w:themeColor="accent4" w:sz="6" w:space="0"/>
          <w:left w:val="single" w:color="8064A2" w:themeColor="accent4" w:sz="8" w:space="0"/>
          <w:bottom w:val="single" w:color="8064A2" w:themeColor="accent4" w:sz="8" w:space="0"/>
          <w:right w:val="single" w:color="8064A2" w:themeColor="accent4" w:sz="8" w:space="0"/>
          <w:insideH w:val="none" w:color="000000" w:sz="4" w:space="0"/>
          <w:insideV w:val="single" w:color="auto" w:sz="8" w:space="0"/>
        </w:tcBorders>
      </w:tcPr>
    </w:tblStylePr>
  </w:style>
  <w:style w:type="table" w:styleId="864">
    <w:name w:val="Light Grid Accent 5"/>
    <w:basedOn w:val="796"/>
    <w:uiPriority w:val="62"/>
    <w:qFormat/>
    <w:rPr>
      <w:rFonts w:asciiTheme="minorHAnsi" w:hAnsiTheme="minorHAnsi" w:eastAsiaTheme="minorEastAsia" w:cstheme="minorBidi"/>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band1Horz">
      <w:tcPr>
        <w:shd w:val="clear" w:color="auto" w:fill="d2eaf1" w:themeFill="accent5" w:themeFillTint="3F"/>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auto" w:sz="8" w:space="0"/>
        </w:tcBorders>
      </w:tcPr>
    </w:tblStylePr>
    <w:tblStylePr w:type="band1Vert">
      <w:tcPr>
        <w:shd w:val="clear" w:color="auto" w:fill="d2eaf1" w:themeFill="accent5" w:themeFillTint="3F"/>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2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auto"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one" w:color="000000" w:sz="4" w:space="0"/>
          <w:insideV w:val="single" w:color="auto" w:sz="8" w:space="0"/>
        </w:tcBorders>
      </w:tcPr>
    </w:tblStylePr>
    <w:tblStylePr w:type="lastCol">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4BACC6" w:themeColor="accent5" w:sz="6" w:space="0"/>
          <w:left w:val="single" w:color="4BACC6" w:themeColor="accent5" w:sz="8" w:space="0"/>
          <w:bottom w:val="single" w:color="4BACC6" w:themeColor="accent5" w:sz="8" w:space="0"/>
          <w:right w:val="single" w:color="4BACC6" w:themeColor="accent5" w:sz="8" w:space="0"/>
          <w:insideH w:val="none" w:color="000000" w:sz="4" w:space="0"/>
          <w:insideV w:val="single" w:color="auto" w:sz="8" w:space="0"/>
        </w:tcBorders>
      </w:tcPr>
    </w:tblStylePr>
  </w:style>
  <w:style w:type="table" w:styleId="865">
    <w:name w:val="Light Grid Accent 6"/>
    <w:basedOn w:val="796"/>
    <w:uiPriority w:val="62"/>
    <w:rPr>
      <w:rFonts w:asciiTheme="minorHAnsi" w:hAnsiTheme="minorHAnsi" w:eastAsiaTheme="minorEastAsia" w:cstheme="minorBidi"/>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band1Horz">
      <w:tcPr>
        <w:shd w:val="clear" w:color="auto" w:fill="fde4d0" w:themeFill="accent6" w:themeFillTint="3F"/>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auto" w:sz="8" w:space="0"/>
        </w:tcBorders>
      </w:tcPr>
    </w:tblStylePr>
    <w:tblStylePr w:type="band1Vert">
      <w:tcPr>
        <w:shd w:val="clear" w:color="auto" w:fill="fde4d0" w:themeFill="accent6" w:themeFillTint="3F"/>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2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auto"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one" w:color="000000" w:sz="4" w:space="0"/>
          <w:insideV w:val="single" w:color="auto" w:sz="8" w:space="0"/>
        </w:tcBorders>
      </w:tcPr>
    </w:tblStylePr>
    <w:tblStylePr w:type="lastCol">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F79646" w:themeColor="accent6" w:sz="6" w:space="0"/>
          <w:left w:val="single" w:color="F79646" w:themeColor="accent6" w:sz="8" w:space="0"/>
          <w:bottom w:val="single" w:color="F79646" w:themeColor="accent6" w:sz="8" w:space="0"/>
          <w:right w:val="single" w:color="F79646" w:themeColor="accent6" w:sz="8" w:space="0"/>
          <w:insideH w:val="none" w:color="000000" w:sz="4" w:space="0"/>
          <w:insideV w:val="single" w:color="auto" w:sz="8" w:space="0"/>
        </w:tcBorders>
      </w:tcPr>
    </w:tblStylePr>
  </w:style>
  <w:style w:type="table" w:styleId="866">
    <w:name w:val="Medium Shading 1"/>
    <w:basedOn w:val="796"/>
    <w:uiPriority w:val="63"/>
    <w:qFormat/>
    <w:rPr>
      <w:rFonts w:asciiTheme="minorHAnsi" w:hAnsiTheme="minorHAnsi" w:eastAsiaTheme="minorEastAsia" w:cstheme="minorBidi"/>
    </w:rPr>
    <w:tblPr>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band1Horz">
      <w:tcPr>
        <w:shd w:val="clear" w:color="auto" w:fill="c0c0c0" w:themeFill="text1" w:themeFillTint="3F"/>
        <w:tcBorders>
          <w:insideH w:val="none" w:color="000000" w:sz="4" w:space="0"/>
          <w:insideV w:val="none" w:color="000000" w:sz="4" w:space="0"/>
        </w:tcBorders>
      </w:tcPr>
    </w:tblStylePr>
    <w:tblStylePr w:type="band1Vert">
      <w:tcPr>
        <w:shd w:val="clear" w:color="auto" w:fill="c0c0c0" w:themeFill="text1"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rPr>
      <w:pPr>
        <w:spacing w:before="0" w:after="0" w:line="240" w:lineRule="auto"/>
      </w:pPr>
      <w:tcPr>
        <w:shd w:val="clear" w:color="auto" w:fill="000000" w:themeFill="text1"/>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one" w:color="000000" w:sz="4" w:space="0"/>
          <w:insideV w:val="none" w:color="000000" w:sz="4" w:space="0"/>
        </w:tcBorders>
      </w:tcPr>
    </w:tblStylePr>
  </w:style>
  <w:style w:type="table" w:styleId="867">
    <w:name w:val="Medium Shading 1 Accent 1"/>
    <w:basedOn w:val="796"/>
    <w:uiPriority w:val="63"/>
    <w:rPr>
      <w:rFonts w:asciiTheme="minorHAnsi" w:hAnsiTheme="minorHAnsi" w:eastAsiaTheme="minorEastAsia" w:cstheme="minorBidi"/>
    </w:r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band1Horz">
      <w:tcPr>
        <w:shd w:val="clear" w:color="auto" w:fill="d3dfee" w:themeFill="accent1" w:themeFillTint="3F"/>
        <w:tcBorders>
          <w:insideH w:val="none" w:color="000000" w:sz="4" w:space="0"/>
          <w:insideV w:val="none" w:color="000000" w:sz="4" w:space="0"/>
        </w:tcBorders>
      </w:tcPr>
    </w:tblStylePr>
    <w:tblStylePr w:type="band1Vert">
      <w:tcPr>
        <w:shd w:val="clear" w:color="auto" w:fill="d3dfee" w:themeFill="accent1"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rPr>
      <w:pPr>
        <w:spacing w:before="0" w:after="0" w:line="240" w:lineRule="auto"/>
      </w:pPr>
      <w:tcPr>
        <w:shd w:val="clear" w:color="auto" w:fill="4f81bd" w:themeFill="accent1"/>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one" w:color="000000" w:sz="4" w:space="0"/>
          <w:insideV w:val="none" w:color="000000" w:sz="4" w:space="0"/>
        </w:tcBorders>
      </w:tcPr>
    </w:tblStylePr>
  </w:style>
  <w:style w:type="table" w:styleId="868">
    <w:name w:val="Medium Shading 1 Accent 2"/>
    <w:basedOn w:val="796"/>
    <w:uiPriority w:val="63"/>
    <w:rPr>
      <w:rFonts w:asciiTheme="minorHAnsi" w:hAnsiTheme="minorHAnsi" w:eastAsiaTheme="minorEastAsia" w:cstheme="minorBidi"/>
    </w:r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band1Horz">
      <w:tcPr>
        <w:shd w:val="clear" w:color="auto" w:fill="efd3d2" w:themeFill="accent2" w:themeFillTint="3F"/>
        <w:tcBorders>
          <w:insideH w:val="none" w:color="000000" w:sz="4" w:space="0"/>
          <w:insideV w:val="none" w:color="000000" w:sz="4" w:space="0"/>
        </w:tcBorders>
      </w:tcPr>
    </w:tblStylePr>
    <w:tblStylePr w:type="band1Vert">
      <w:tcPr>
        <w:shd w:val="clear" w:color="auto" w:fill="efd3d2" w:themeFill="accent2"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rPr>
      <w:pPr>
        <w:spacing w:before="0" w:after="0" w:line="240" w:lineRule="auto"/>
      </w:pPr>
      <w:tcPr>
        <w:shd w:val="clear" w:color="auto" w:fill="c0504d" w:themeFill="accent2"/>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one" w:color="000000" w:sz="4" w:space="0"/>
          <w:insideV w:val="none" w:color="000000" w:sz="4" w:space="0"/>
        </w:tcBorders>
      </w:tcPr>
    </w:tblStylePr>
  </w:style>
  <w:style w:type="table" w:styleId="869">
    <w:name w:val="Medium Shading 1 Accent 3"/>
    <w:basedOn w:val="796"/>
    <w:uiPriority w:val="63"/>
    <w:rPr>
      <w:rFonts w:asciiTheme="minorHAnsi" w:hAnsiTheme="minorHAnsi" w:eastAsiaTheme="minorEastAsia" w:cstheme="minorBidi"/>
    </w:rPr>
    <w:tblPr>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band1Horz">
      <w:tcPr>
        <w:shd w:val="clear" w:color="auto" w:fill="e6eed5" w:themeFill="accent3" w:themeFillTint="3F"/>
        <w:tcBorders>
          <w:insideH w:val="none" w:color="000000" w:sz="4" w:space="0"/>
          <w:insideV w:val="none" w:color="000000" w:sz="4" w:space="0"/>
        </w:tcBorders>
      </w:tcPr>
    </w:tblStylePr>
    <w:tblStylePr w:type="band1Vert">
      <w:tcPr>
        <w:shd w:val="clear" w:color="auto" w:fill="e6eed5" w:themeFill="accent3"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rPr>
      <w:pPr>
        <w:spacing w:before="0" w:after="0" w:line="240" w:lineRule="auto"/>
      </w:pPr>
      <w:tcPr>
        <w:shd w:val="clear" w:color="auto" w:fill="9bbb59" w:themeFill="accent3"/>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one" w:color="000000" w:sz="4" w:space="0"/>
          <w:insideV w:val="none" w:color="000000" w:sz="4" w:space="0"/>
        </w:tcBorders>
      </w:tcPr>
    </w:tblStylePr>
  </w:style>
  <w:style w:type="table" w:styleId="870">
    <w:name w:val="Medium Shading 1 Accent 4"/>
    <w:basedOn w:val="796"/>
    <w:uiPriority w:val="63"/>
    <w:rPr>
      <w:rFonts w:asciiTheme="minorHAnsi" w:hAnsiTheme="minorHAnsi" w:eastAsiaTheme="minorEastAsia" w:cstheme="minorBidi"/>
    </w:r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band1Horz">
      <w:tcPr>
        <w:shd w:val="clear" w:color="auto" w:fill="dfd8e8" w:themeFill="accent4" w:themeFillTint="3F"/>
        <w:tcBorders>
          <w:insideH w:val="none" w:color="000000" w:sz="4" w:space="0"/>
          <w:insideV w:val="none" w:color="000000" w:sz="4" w:space="0"/>
        </w:tcBorders>
      </w:tcPr>
    </w:tblStylePr>
    <w:tblStylePr w:type="band1Vert">
      <w:tcPr>
        <w:shd w:val="clear" w:color="auto" w:fill="dfd8e8" w:themeFill="accent4"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rPr>
      <w:pPr>
        <w:spacing w:before="0" w:after="0" w:line="240" w:lineRule="auto"/>
      </w:pPr>
      <w:tcPr>
        <w:shd w:val="clear" w:color="auto" w:fill="8064a2" w:themeFill="accent4"/>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one" w:color="000000" w:sz="4" w:space="0"/>
          <w:insideV w:val="none" w:color="000000" w:sz="4" w:space="0"/>
        </w:tcBorders>
      </w:tcPr>
    </w:tblStylePr>
  </w:style>
  <w:style w:type="table" w:styleId="871">
    <w:name w:val="Medium Shading 1 Accent 5"/>
    <w:basedOn w:val="796"/>
    <w:uiPriority w:val="63"/>
    <w:rPr>
      <w:rFonts w:asciiTheme="minorHAnsi" w:hAnsiTheme="minorHAnsi" w:eastAsiaTheme="minorEastAsia" w:cstheme="minorBidi"/>
    </w:r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band1Horz">
      <w:tcPr>
        <w:shd w:val="clear" w:color="auto" w:fill="d2eaf1" w:themeFill="accent5" w:themeFillTint="3F"/>
        <w:tcBorders>
          <w:insideH w:val="none" w:color="000000" w:sz="4" w:space="0"/>
          <w:insideV w:val="none" w:color="000000" w:sz="4" w:space="0"/>
        </w:tcBorders>
      </w:tcPr>
    </w:tblStylePr>
    <w:tblStylePr w:type="band1Vert">
      <w:tcPr>
        <w:shd w:val="clear" w:color="auto" w:fill="d2eaf1" w:themeFill="accent5"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rPr>
      <w:pPr>
        <w:spacing w:before="0" w:after="0" w:line="240" w:lineRule="auto"/>
      </w:pPr>
      <w:tcPr>
        <w:shd w:val="clear" w:color="auto" w:fill="4bacc6" w:themeFill="accent5"/>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one" w:color="000000" w:sz="4" w:space="0"/>
          <w:insideV w:val="none" w:color="000000" w:sz="4" w:space="0"/>
        </w:tcBorders>
      </w:tcPr>
    </w:tblStylePr>
  </w:style>
  <w:style w:type="table" w:styleId="872">
    <w:name w:val="Medium Shading 1 Accent 6"/>
    <w:basedOn w:val="796"/>
    <w:uiPriority w:val="63"/>
    <w:qFormat/>
    <w:rPr>
      <w:rFonts w:asciiTheme="minorHAnsi" w:hAnsiTheme="minorHAnsi" w:eastAsiaTheme="minorEastAsia" w:cstheme="minorBidi"/>
    </w:r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band1Horz">
      <w:tcPr>
        <w:shd w:val="clear" w:color="auto" w:fill="fde4d0" w:themeFill="accent6" w:themeFillTint="3F"/>
        <w:tcBorders>
          <w:insideH w:val="none" w:color="000000" w:sz="4" w:space="0"/>
          <w:insideV w:val="none" w:color="000000" w:sz="4" w:space="0"/>
        </w:tcBorders>
      </w:tcPr>
    </w:tblStylePr>
    <w:tblStylePr w:type="band1Vert">
      <w:tcPr>
        <w:shd w:val="clear" w:color="auto" w:fill="fde4d0" w:themeFill="accent6"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rPr>
      <w:pPr>
        <w:spacing w:before="0" w:after="0" w:line="240" w:lineRule="auto"/>
      </w:pPr>
      <w:tcPr>
        <w:shd w:val="clear" w:color="auto" w:fill="f79646" w:themeFill="accent6"/>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one" w:color="000000" w:sz="4" w:space="0"/>
          <w:insideV w:val="none" w:color="000000" w:sz="4" w:space="0"/>
        </w:tcBorders>
      </w:tcPr>
    </w:tblStylePr>
  </w:style>
  <w:style w:type="table" w:styleId="873">
    <w:name w:val="Medium Shading 2"/>
    <w:basedOn w:val="796"/>
    <w:uiPriority w:val="64"/>
    <w:rPr>
      <w:rFonts w:asciiTheme="minorHAnsi" w:hAnsiTheme="minorHAnsi" w:eastAsiaTheme="minorEastAsia" w:cstheme="minorBidi"/>
    </w:rPr>
    <w:tblPr>
      <w:tblBorders>
        <w:top w:val="single" w:color="000000" w:sz="18" w:space="0"/>
        <w:bottom w:val="single" w:color="000000" w:sz="18" w:space="0"/>
      </w:tblBorders>
    </w:tblPr>
    <w:tblStylePr w:type="band1Horz">
      <w:tcPr>
        <w:shd w:val="clear" w:color="auto" w:fill="d8d8d8" w:themeFill="background1" w:themeFillShade="D8"/>
      </w:tcPr>
    </w:tblStylePr>
    <w:tblStylePr w:type="band1Vert">
      <w:tcPr>
        <w:shd w:val="clear" w:color="auto" w:fill="d8d8d8"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rPr>
      <w:tcPr>
        <w:shd w:val="clear" w:color="auto" w:fill="000000" w:themeFill="text1"/>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rPr>
      <w:pPr>
        <w:spacing w:before="0" w:after="0" w:line="240" w:lineRule="auto"/>
      </w:pPr>
      <w:tcPr>
        <w:shd w:val="clear" w:color="auto" w:fill="000000" w:themeFill="text1"/>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rPr>
      <w:tcPr>
        <w:shd w:val="clear" w:color="auto" w:fill="000000" w:themeFill="text1"/>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874">
    <w:name w:val="Medium Shading 2 Accent 1"/>
    <w:basedOn w:val="796"/>
    <w:uiPriority w:val="64"/>
    <w:qFormat/>
    <w:rPr>
      <w:rFonts w:asciiTheme="minorHAnsi" w:hAnsiTheme="minorHAnsi" w:eastAsiaTheme="minorEastAsia" w:cstheme="minorBidi"/>
    </w:rPr>
    <w:tblPr>
      <w:tblBorders>
        <w:top w:val="single" w:color="000000" w:sz="18" w:space="0"/>
        <w:bottom w:val="single" w:color="000000" w:sz="18" w:space="0"/>
      </w:tblBorders>
    </w:tblPr>
    <w:tblStylePr w:type="band1Horz">
      <w:tcPr>
        <w:shd w:val="clear" w:color="auto" w:fill="d8d8d8" w:themeFill="background1" w:themeFillShade="D8"/>
      </w:tcPr>
    </w:tblStylePr>
    <w:tblStylePr w:type="band1Vert">
      <w:tcPr>
        <w:shd w:val="clear" w:color="auto" w:fill="d8d8d8"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rPr>
      <w:tcPr>
        <w:shd w:val="clear" w:color="auto" w:fill="4f81bd" w:themeFill="accent1"/>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rPr>
      <w:pPr>
        <w:spacing w:before="0" w:after="0" w:line="240" w:lineRule="auto"/>
      </w:pPr>
      <w:tcPr>
        <w:shd w:val="clear" w:color="auto" w:fill="4f81bd" w:themeFill="accent1"/>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rPr>
      <w:tcPr>
        <w:shd w:val="clear" w:color="auto" w:fill="4f81bd" w:themeFill="accent1"/>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875">
    <w:name w:val="Medium Shading 2 Accent 2"/>
    <w:basedOn w:val="796"/>
    <w:uiPriority w:val="64"/>
    <w:rPr>
      <w:rFonts w:asciiTheme="minorHAnsi" w:hAnsiTheme="minorHAnsi" w:eastAsiaTheme="minorEastAsia" w:cstheme="minorBidi"/>
    </w:rPr>
    <w:tblPr>
      <w:tblBorders>
        <w:top w:val="single" w:color="000000" w:sz="18" w:space="0"/>
        <w:bottom w:val="single" w:color="000000" w:sz="18" w:space="0"/>
      </w:tblBorders>
    </w:tblPr>
    <w:tblStylePr w:type="band1Horz">
      <w:tcPr>
        <w:shd w:val="clear" w:color="auto" w:fill="d8d8d8" w:themeFill="background1" w:themeFillShade="D8"/>
      </w:tcPr>
    </w:tblStylePr>
    <w:tblStylePr w:type="band1Vert">
      <w:tcPr>
        <w:shd w:val="clear" w:color="auto" w:fill="d8d8d8"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rPr>
      <w:tcPr>
        <w:shd w:val="clear" w:color="auto" w:fill="c0504d" w:themeFill="accent2"/>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rPr>
      <w:pPr>
        <w:spacing w:before="0" w:after="0" w:line="240" w:lineRule="auto"/>
      </w:pPr>
      <w:tcPr>
        <w:shd w:val="clear" w:color="auto" w:fill="c0504d" w:themeFill="accent2"/>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rPr>
      <w:tcPr>
        <w:shd w:val="clear" w:color="auto" w:fill="c0504d" w:themeFill="accent2"/>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876">
    <w:name w:val="Medium Shading 2 Accent 3"/>
    <w:basedOn w:val="796"/>
    <w:uiPriority w:val="64"/>
    <w:rPr>
      <w:rFonts w:asciiTheme="minorHAnsi" w:hAnsiTheme="minorHAnsi" w:eastAsiaTheme="minorEastAsia" w:cstheme="minorBidi"/>
    </w:rPr>
    <w:tblPr>
      <w:tblBorders>
        <w:top w:val="single" w:color="000000" w:sz="18" w:space="0"/>
        <w:bottom w:val="single" w:color="000000" w:sz="18" w:space="0"/>
      </w:tblBorders>
    </w:tblPr>
    <w:tblStylePr w:type="band1Horz">
      <w:tcPr>
        <w:shd w:val="clear" w:color="auto" w:fill="d8d8d8" w:themeFill="background1" w:themeFillShade="D8"/>
      </w:tcPr>
    </w:tblStylePr>
    <w:tblStylePr w:type="band1Vert">
      <w:tcPr>
        <w:shd w:val="clear" w:color="auto" w:fill="d8d8d8"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rPr>
      <w:tcPr>
        <w:shd w:val="clear" w:color="auto" w:fill="9bbb59" w:themeFill="accent3"/>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rPr>
      <w:pPr>
        <w:spacing w:before="0" w:after="0" w:line="240" w:lineRule="auto"/>
      </w:pPr>
      <w:tcPr>
        <w:shd w:val="clear" w:color="auto" w:fill="9bbb59" w:themeFill="accent3"/>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rPr>
      <w:tcPr>
        <w:shd w:val="clear" w:color="auto" w:fill="9bbb59" w:themeFill="accent3"/>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877">
    <w:name w:val="Medium Shading 2 Accent 4"/>
    <w:basedOn w:val="796"/>
    <w:uiPriority w:val="64"/>
    <w:qFormat/>
    <w:rPr>
      <w:rFonts w:asciiTheme="minorHAnsi" w:hAnsiTheme="minorHAnsi" w:eastAsiaTheme="minorEastAsia" w:cstheme="minorBidi"/>
    </w:rPr>
    <w:tblPr>
      <w:tblBorders>
        <w:top w:val="single" w:color="000000" w:sz="18" w:space="0"/>
        <w:bottom w:val="single" w:color="000000" w:sz="18" w:space="0"/>
      </w:tblBorders>
    </w:tblPr>
    <w:tblStylePr w:type="band1Horz">
      <w:tcPr>
        <w:shd w:val="clear" w:color="auto" w:fill="d8d8d8" w:themeFill="background1" w:themeFillShade="D8"/>
      </w:tcPr>
    </w:tblStylePr>
    <w:tblStylePr w:type="band1Vert">
      <w:tcPr>
        <w:shd w:val="clear" w:color="auto" w:fill="d8d8d8"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rPr>
      <w:tcPr>
        <w:shd w:val="clear" w:color="auto" w:fill="8064a2" w:themeFill="accent4"/>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rPr>
      <w:pPr>
        <w:spacing w:before="0" w:after="0" w:line="240" w:lineRule="auto"/>
      </w:pPr>
      <w:tcPr>
        <w:shd w:val="clear" w:color="auto" w:fill="8064a2" w:themeFill="accent4"/>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rPr>
      <w:tcPr>
        <w:shd w:val="clear" w:color="auto" w:fill="8064a2" w:themeFill="accent4"/>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878">
    <w:name w:val="Medium Shading 2 Accent 5"/>
    <w:basedOn w:val="796"/>
    <w:uiPriority w:val="64"/>
    <w:rPr>
      <w:rFonts w:asciiTheme="minorHAnsi" w:hAnsiTheme="minorHAnsi" w:eastAsiaTheme="minorEastAsia" w:cstheme="minorBidi"/>
    </w:rPr>
    <w:tblPr>
      <w:tblBorders>
        <w:top w:val="single" w:color="000000" w:sz="18" w:space="0"/>
        <w:bottom w:val="single" w:color="000000" w:sz="18" w:space="0"/>
      </w:tblBorders>
    </w:tblPr>
    <w:tblStylePr w:type="band1Horz">
      <w:tcPr>
        <w:shd w:val="clear" w:color="auto" w:fill="d8d8d8" w:themeFill="background1" w:themeFillShade="D8"/>
      </w:tcPr>
    </w:tblStylePr>
    <w:tblStylePr w:type="band1Vert">
      <w:tcPr>
        <w:shd w:val="clear" w:color="auto" w:fill="d8d8d8"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rPr>
      <w:tcPr>
        <w:shd w:val="clear" w:color="auto" w:fill="4bacc6" w:themeFill="accent5"/>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rPr>
      <w:pPr>
        <w:spacing w:before="0" w:after="0" w:line="240" w:lineRule="auto"/>
      </w:pPr>
      <w:tcPr>
        <w:shd w:val="clear" w:color="auto" w:fill="4bacc6" w:themeFill="accent5"/>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rPr>
      <w:tcPr>
        <w:shd w:val="clear" w:color="auto" w:fill="4bacc6" w:themeFill="accent5"/>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879">
    <w:name w:val="Medium Shading 2 Accent 6"/>
    <w:basedOn w:val="796"/>
    <w:uiPriority w:val="64"/>
    <w:rPr>
      <w:rFonts w:asciiTheme="minorHAnsi" w:hAnsiTheme="minorHAnsi" w:eastAsiaTheme="minorEastAsia" w:cstheme="minorBidi"/>
    </w:rPr>
    <w:tblPr>
      <w:tblBorders>
        <w:top w:val="single" w:color="000000" w:sz="18" w:space="0"/>
        <w:bottom w:val="single" w:color="000000" w:sz="18" w:space="0"/>
      </w:tblBorders>
    </w:tblPr>
    <w:tblStylePr w:type="band1Horz">
      <w:tcPr>
        <w:shd w:val="clear" w:color="auto" w:fill="d8d8d8" w:themeFill="background1" w:themeFillShade="D8"/>
      </w:tcPr>
    </w:tblStylePr>
    <w:tblStylePr w:type="band1Vert">
      <w:tcPr>
        <w:shd w:val="clear" w:color="auto" w:fill="d8d8d8"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rPr>
      <w:tcPr>
        <w:shd w:val="clear" w:color="auto" w:fill="f79646" w:themeFill="accent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rPr>
      <w:pPr>
        <w:spacing w:before="0" w:after="0" w:line="240" w:lineRule="auto"/>
      </w:pPr>
      <w:tcPr>
        <w:shd w:val="clear" w:color="auto" w:fill="f79646" w:themeFill="accent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rPr>
      <w:tcPr>
        <w:shd w:val="clear" w:color="auto" w:fill="f79646" w:themeFill="accent6"/>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880">
    <w:name w:val="Medium List 1"/>
    <w:basedOn w:val="796"/>
    <w:uiPriority w:val="65"/>
    <w:qFormat/>
    <w:rPr>
      <w:rFonts w:asciiTheme="minorHAnsi" w:hAnsiTheme="minorHAnsi" w:eastAsiaTheme="minorEastAsia" w:cstheme="minorBidi"/>
      <w:color w:val="000000" w:themeColor="text1"/>
    </w:rPr>
    <w:tblPr>
      <w:tblBorders>
        <w:top w:val="single" w:color="000000" w:themeColor="text1" w:sz="8" w:space="0"/>
        <w:bottom w:val="single" w:color="000000" w:themeColor="text1" w:sz="8" w:space="0"/>
      </w:tblBorders>
    </w:tblPr>
    <w:tblStylePr w:type="band1Horz">
      <w:tcPr>
        <w:shd w:val="clear" w:color="auto" w:fill="c0c0c0" w:themeFill="text1" w:themeFillTint="3F"/>
      </w:tcPr>
    </w:tblStylePr>
    <w:tblStylePr w:type="band1Vert">
      <w:tcPr>
        <w:shd w:val="clear" w:color="auto" w:fill="c0c0c0" w:themeFill="text1"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000000" w:themeColor="text1" w:sz="8" w:space="0"/>
        </w:tcBorders>
      </w:tcPr>
    </w:tblStylePr>
    <w:tblStylePr w:type="lastCol">
      <w:rPr>
        <w:b/>
        <w:bCs/>
      </w:rPr>
      <w:tcPr>
        <w:tcBorders>
          <w:top w:val="single" w:color="000000" w:themeColor="text1" w:sz="8" w:space="0"/>
          <w:bottom w:val="single" w:color="000000" w:themeColor="text1" w:sz="8" w:space="0"/>
        </w:tcBorders>
      </w:tcPr>
    </w:tblStylePr>
    <w:tblStylePr w:type="lastRow">
      <w:rPr>
        <w:b/>
        <w:bCs/>
        <w:color w:val="1f497d" w:themeColor="text2"/>
      </w:rPr>
      <w:tcPr>
        <w:tcBorders>
          <w:top w:val="single" w:color="000000" w:themeColor="text1" w:sz="8" w:space="0"/>
          <w:bottom w:val="single" w:color="000000" w:themeColor="text1" w:sz="8" w:space="0"/>
        </w:tcBorders>
      </w:tcPr>
    </w:tblStylePr>
  </w:style>
  <w:style w:type="table" w:styleId="881">
    <w:name w:val="Medium List 1 Accent 1"/>
    <w:basedOn w:val="796"/>
    <w:uiPriority w:val="65"/>
    <w:rPr>
      <w:rFonts w:asciiTheme="minorHAnsi" w:hAnsiTheme="minorHAnsi" w:eastAsiaTheme="minorEastAsia" w:cstheme="minorBidi"/>
      <w:color w:val="000000" w:themeColor="text1"/>
    </w:rPr>
    <w:tblPr>
      <w:tblBorders>
        <w:top w:val="single" w:color="4F81BD" w:themeColor="accent1" w:sz="8" w:space="0"/>
        <w:bottom w:val="single" w:color="4F81BD" w:themeColor="accent1" w:sz="8" w:space="0"/>
      </w:tblBorders>
    </w:tblPr>
    <w:tblStylePr w:type="band1Horz">
      <w:tcPr>
        <w:shd w:val="clear" w:color="auto" w:fill="d3dfee" w:themeFill="accent1" w:themeFillTint="3F"/>
      </w:tcPr>
    </w:tblStylePr>
    <w:tblStylePr w:type="band1Vert">
      <w:tcPr>
        <w:shd w:val="clear" w:color="auto" w:fill="d3dfee" w:themeFill="accent1"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4F81BD" w:themeColor="accent1" w:sz="8" w:space="0"/>
        </w:tcBorders>
      </w:tcPr>
    </w:tblStylePr>
    <w:tblStylePr w:type="lastCol">
      <w:rPr>
        <w:b/>
        <w:bCs/>
      </w:rPr>
      <w:tcPr>
        <w:tcBorders>
          <w:top w:val="single" w:color="4F81BD" w:themeColor="accent1" w:sz="8" w:space="0"/>
          <w:bottom w:val="single" w:color="4F81BD" w:themeColor="accent1" w:sz="8" w:space="0"/>
        </w:tcBorders>
      </w:tcPr>
    </w:tblStylePr>
    <w:tblStylePr w:type="lastRow">
      <w:rPr>
        <w:b/>
        <w:bCs/>
        <w:color w:val="1f497d" w:themeColor="text2"/>
      </w:rPr>
      <w:tcPr>
        <w:tcBorders>
          <w:top w:val="single" w:color="4F81BD" w:themeColor="accent1" w:sz="8" w:space="0"/>
          <w:bottom w:val="single" w:color="4F81BD" w:themeColor="accent1" w:sz="8" w:space="0"/>
        </w:tcBorders>
      </w:tcPr>
    </w:tblStylePr>
  </w:style>
  <w:style w:type="table" w:styleId="882">
    <w:name w:val="Medium List 1 Accent 2"/>
    <w:basedOn w:val="796"/>
    <w:uiPriority w:val="65"/>
    <w:rPr>
      <w:rFonts w:asciiTheme="minorHAnsi" w:hAnsiTheme="minorHAnsi" w:eastAsiaTheme="minorEastAsia" w:cstheme="minorBidi"/>
      <w:color w:val="000000" w:themeColor="text1"/>
    </w:rPr>
    <w:tblPr>
      <w:tblBorders>
        <w:top w:val="single" w:color="C0504D" w:themeColor="accent2" w:sz="8" w:space="0"/>
        <w:bottom w:val="single" w:color="C0504D" w:themeColor="accent2" w:sz="8" w:space="0"/>
      </w:tblBorders>
    </w:tblPr>
    <w:tblStylePr w:type="band1Horz">
      <w:tcPr>
        <w:shd w:val="clear" w:color="auto" w:fill="efd3d2" w:themeFill="accent2" w:themeFillTint="3F"/>
      </w:tcPr>
    </w:tblStylePr>
    <w:tblStylePr w:type="band1Vert">
      <w:tcPr>
        <w:shd w:val="clear" w:color="auto" w:fill="efd3d2" w:themeFill="accent2"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C0504D" w:themeColor="accent2" w:sz="8" w:space="0"/>
        </w:tcBorders>
      </w:tcPr>
    </w:tblStylePr>
    <w:tblStylePr w:type="lastCol">
      <w:rPr>
        <w:b/>
        <w:bCs/>
      </w:rPr>
      <w:tcPr>
        <w:tcBorders>
          <w:top w:val="single" w:color="C0504D" w:themeColor="accent2" w:sz="8" w:space="0"/>
          <w:bottom w:val="single" w:color="C0504D" w:themeColor="accent2" w:sz="8" w:space="0"/>
        </w:tcBorders>
      </w:tcPr>
    </w:tblStylePr>
    <w:tblStylePr w:type="lastRow">
      <w:rPr>
        <w:b/>
        <w:bCs/>
        <w:color w:val="1f497d" w:themeColor="text2"/>
      </w:rPr>
      <w:tcPr>
        <w:tcBorders>
          <w:top w:val="single" w:color="C0504D" w:themeColor="accent2" w:sz="8" w:space="0"/>
          <w:bottom w:val="single" w:color="C0504D" w:themeColor="accent2" w:sz="8" w:space="0"/>
        </w:tcBorders>
      </w:tcPr>
    </w:tblStylePr>
  </w:style>
  <w:style w:type="table" w:styleId="883">
    <w:name w:val="Medium List 1 Accent 3"/>
    <w:basedOn w:val="796"/>
    <w:uiPriority w:val="65"/>
    <w:rPr>
      <w:rFonts w:asciiTheme="minorHAnsi" w:hAnsiTheme="minorHAnsi" w:eastAsiaTheme="minorEastAsia" w:cstheme="minorBidi"/>
      <w:color w:val="000000" w:themeColor="text1"/>
    </w:rPr>
    <w:tblPr>
      <w:tblBorders>
        <w:top w:val="single" w:color="9BBB59" w:themeColor="accent3" w:sz="8" w:space="0"/>
        <w:bottom w:val="single" w:color="9BBB59" w:themeColor="accent3" w:sz="8" w:space="0"/>
      </w:tblBorders>
    </w:tblPr>
    <w:tblStylePr w:type="band1Horz">
      <w:tcPr>
        <w:shd w:val="clear" w:color="auto" w:fill="e6eed5" w:themeFill="accent3" w:themeFillTint="3F"/>
      </w:tcPr>
    </w:tblStylePr>
    <w:tblStylePr w:type="band1Vert">
      <w:tcPr>
        <w:shd w:val="clear" w:color="auto" w:fill="e6eed5" w:themeFill="accent3"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9BBB59" w:themeColor="accent3" w:sz="8" w:space="0"/>
        </w:tcBorders>
      </w:tcPr>
    </w:tblStylePr>
    <w:tblStylePr w:type="lastCol">
      <w:rPr>
        <w:b/>
        <w:bCs/>
      </w:rPr>
      <w:tcPr>
        <w:tcBorders>
          <w:top w:val="single" w:color="9BBB59" w:themeColor="accent3" w:sz="8" w:space="0"/>
          <w:bottom w:val="single" w:color="9BBB59" w:themeColor="accent3" w:sz="8" w:space="0"/>
        </w:tcBorders>
      </w:tcPr>
    </w:tblStylePr>
    <w:tblStylePr w:type="lastRow">
      <w:rPr>
        <w:b/>
        <w:bCs/>
        <w:color w:val="1f497d" w:themeColor="text2"/>
      </w:rPr>
      <w:tcPr>
        <w:tcBorders>
          <w:top w:val="single" w:color="9BBB59" w:themeColor="accent3" w:sz="8" w:space="0"/>
          <w:bottom w:val="single" w:color="9BBB59" w:themeColor="accent3" w:sz="8" w:space="0"/>
        </w:tcBorders>
      </w:tcPr>
    </w:tblStylePr>
  </w:style>
  <w:style w:type="table" w:styleId="884">
    <w:name w:val="Medium List 1 Accent 4"/>
    <w:basedOn w:val="796"/>
    <w:uiPriority w:val="65"/>
    <w:rPr>
      <w:rFonts w:asciiTheme="minorHAnsi" w:hAnsiTheme="minorHAnsi" w:eastAsiaTheme="minorEastAsia" w:cstheme="minorBidi"/>
      <w:color w:val="000000" w:themeColor="text1"/>
    </w:rPr>
    <w:tblPr>
      <w:tblBorders>
        <w:top w:val="single" w:color="8064A2" w:themeColor="accent4" w:sz="8" w:space="0"/>
        <w:bottom w:val="single" w:color="8064A2" w:themeColor="accent4" w:sz="8" w:space="0"/>
      </w:tblBorders>
    </w:tblPr>
    <w:tblStylePr w:type="band1Horz">
      <w:tcPr>
        <w:shd w:val="clear" w:color="auto" w:fill="dfd8e8" w:themeFill="accent4" w:themeFillTint="3F"/>
      </w:tcPr>
    </w:tblStylePr>
    <w:tblStylePr w:type="band1Vert">
      <w:tcPr>
        <w:shd w:val="clear" w:color="auto" w:fill="dfd8e8" w:themeFill="accent4"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8064A2" w:themeColor="accent4" w:sz="8" w:space="0"/>
        </w:tcBorders>
      </w:tcPr>
    </w:tblStylePr>
    <w:tblStylePr w:type="lastCol">
      <w:rPr>
        <w:b/>
        <w:bCs/>
      </w:rPr>
      <w:tcPr>
        <w:tcBorders>
          <w:top w:val="single" w:color="8064A2" w:themeColor="accent4" w:sz="8" w:space="0"/>
          <w:bottom w:val="single" w:color="8064A2" w:themeColor="accent4" w:sz="8" w:space="0"/>
        </w:tcBorders>
      </w:tcPr>
    </w:tblStylePr>
    <w:tblStylePr w:type="lastRow">
      <w:rPr>
        <w:b/>
        <w:bCs/>
        <w:color w:val="1f497d" w:themeColor="text2"/>
      </w:rPr>
      <w:tcPr>
        <w:tcBorders>
          <w:top w:val="single" w:color="8064A2" w:themeColor="accent4" w:sz="8" w:space="0"/>
          <w:bottom w:val="single" w:color="8064A2" w:themeColor="accent4" w:sz="8" w:space="0"/>
        </w:tcBorders>
      </w:tcPr>
    </w:tblStylePr>
  </w:style>
  <w:style w:type="table" w:styleId="885">
    <w:name w:val="Medium List 1 Accent 5"/>
    <w:basedOn w:val="796"/>
    <w:uiPriority w:val="65"/>
    <w:rPr>
      <w:rFonts w:asciiTheme="minorHAnsi" w:hAnsiTheme="minorHAnsi" w:eastAsiaTheme="minorEastAsia" w:cstheme="minorBidi"/>
      <w:color w:val="000000" w:themeColor="text1"/>
    </w:rPr>
    <w:tblPr>
      <w:tblBorders>
        <w:top w:val="single" w:color="4BACC6" w:themeColor="accent5" w:sz="8" w:space="0"/>
        <w:bottom w:val="single" w:color="4BACC6" w:themeColor="accent5" w:sz="8" w:space="0"/>
      </w:tblBorders>
    </w:tblPr>
    <w:tblStylePr w:type="band1Horz">
      <w:tcPr>
        <w:shd w:val="clear" w:color="auto" w:fill="d2eaf1" w:themeFill="accent5" w:themeFillTint="3F"/>
      </w:tcPr>
    </w:tblStylePr>
    <w:tblStylePr w:type="band1Vert">
      <w:tcPr>
        <w:shd w:val="clear" w:color="auto" w:fill="d2eaf1" w:themeFill="accent5"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4BACC6" w:themeColor="accent5" w:sz="8" w:space="0"/>
        </w:tcBorders>
      </w:tcPr>
    </w:tblStylePr>
    <w:tblStylePr w:type="lastCol">
      <w:rPr>
        <w:b/>
        <w:bCs/>
      </w:rPr>
      <w:tcPr>
        <w:tcBorders>
          <w:top w:val="single" w:color="4BACC6" w:themeColor="accent5" w:sz="8" w:space="0"/>
          <w:bottom w:val="single" w:color="4BACC6" w:themeColor="accent5" w:sz="8" w:space="0"/>
        </w:tcBorders>
      </w:tcPr>
    </w:tblStylePr>
    <w:tblStylePr w:type="lastRow">
      <w:rPr>
        <w:b/>
        <w:bCs/>
        <w:color w:val="1f497d" w:themeColor="text2"/>
      </w:rPr>
      <w:tcPr>
        <w:tcBorders>
          <w:top w:val="single" w:color="4BACC6" w:themeColor="accent5" w:sz="8" w:space="0"/>
          <w:bottom w:val="single" w:color="4BACC6" w:themeColor="accent5" w:sz="8" w:space="0"/>
        </w:tcBorders>
      </w:tcPr>
    </w:tblStylePr>
  </w:style>
  <w:style w:type="table" w:styleId="886">
    <w:name w:val="Medium List 1 Accent 6"/>
    <w:basedOn w:val="796"/>
    <w:uiPriority w:val="65"/>
    <w:rPr>
      <w:rFonts w:asciiTheme="minorHAnsi" w:hAnsiTheme="minorHAnsi" w:eastAsiaTheme="minorEastAsia" w:cstheme="minorBidi"/>
      <w:color w:val="000000" w:themeColor="text1"/>
    </w:rPr>
    <w:tblPr>
      <w:tblBorders>
        <w:top w:val="single" w:color="F79646" w:themeColor="accent6" w:sz="8" w:space="0"/>
        <w:bottom w:val="single" w:color="F79646" w:themeColor="accent6" w:sz="8" w:space="0"/>
      </w:tblBorders>
    </w:tblPr>
    <w:tblStylePr w:type="band1Horz">
      <w:tcPr>
        <w:shd w:val="clear" w:color="auto" w:fill="fde4d0" w:themeFill="accent6" w:themeFillTint="3F"/>
      </w:tcPr>
    </w:tblStylePr>
    <w:tblStylePr w:type="band1Vert">
      <w:tcPr>
        <w:shd w:val="clear" w:color="auto" w:fill="fde4d0" w:themeFill="accent6"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F79646" w:themeColor="accent6" w:sz="8" w:space="0"/>
        </w:tcBorders>
      </w:tcPr>
    </w:tblStylePr>
    <w:tblStylePr w:type="lastCol">
      <w:rPr>
        <w:b/>
        <w:bCs/>
      </w:rPr>
      <w:tcPr>
        <w:tcBorders>
          <w:top w:val="single" w:color="F79646" w:themeColor="accent6" w:sz="8" w:space="0"/>
          <w:bottom w:val="single" w:color="F79646" w:themeColor="accent6" w:sz="8" w:space="0"/>
        </w:tcBorders>
      </w:tcPr>
    </w:tblStylePr>
    <w:tblStylePr w:type="lastRow">
      <w:rPr>
        <w:b/>
        <w:bCs/>
        <w:color w:val="1f497d" w:themeColor="text2"/>
      </w:rPr>
      <w:tcPr>
        <w:tcBorders>
          <w:top w:val="single" w:color="F79646" w:themeColor="accent6" w:sz="8" w:space="0"/>
          <w:bottom w:val="single" w:color="F79646" w:themeColor="accent6" w:sz="8" w:space="0"/>
        </w:tcBorders>
      </w:tcPr>
    </w:tblStylePr>
  </w:style>
  <w:style w:type="table" w:styleId="887">
    <w:name w:val="Medium List 2"/>
    <w:basedOn w:val="796"/>
    <w:uiPriority w:val="66"/>
    <w:rPr>
      <w:rFonts w:asciiTheme="majorHAnsi" w:hAnsiTheme="majorHAnsi" w:eastAsiaTheme="majorEastAsia" w:cstheme="majorBidi"/>
      <w:color w:val="000000" w:themeColor="text1"/>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band1Horz">
      <w:tcPr>
        <w:shd w:val="clear" w:color="auto" w:fill="c0c0c0" w:themeFill="text1"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c0c0c0" w:themeFill="text1"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000000" w:themeColor="text1"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000000" w:themeColor="text1"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000000" w:themeColor="text1"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000000" w:themeColor="text1"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888">
    <w:name w:val="Medium List 2 Accent 1"/>
    <w:basedOn w:val="796"/>
    <w:uiPriority w:val="66"/>
    <w:rPr>
      <w:rFonts w:asciiTheme="majorHAnsi" w:hAnsiTheme="majorHAnsi" w:eastAsiaTheme="majorEastAsia" w:cstheme="majorBidi"/>
      <w:color w:val="000000" w:themeColor="text1"/>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band1Horz">
      <w:tcPr>
        <w:shd w:val="clear" w:color="auto" w:fill="d3dfee" w:themeFill="accent1"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d3dfee" w:themeFill="accent1"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4F81BD" w:themeColor="accent1"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4F81BD" w:themeColor="accent1"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4F81BD" w:themeColor="accent1"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4F81BD" w:themeColor="accent1"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889">
    <w:name w:val="Medium List 2 Accent 2"/>
    <w:basedOn w:val="796"/>
    <w:uiPriority w:val="66"/>
    <w:rPr>
      <w:rFonts w:asciiTheme="majorHAnsi" w:hAnsiTheme="majorHAnsi" w:eastAsiaTheme="majorEastAsia" w:cstheme="majorBidi"/>
      <w:color w:val="000000" w:themeColor="text1"/>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band1Horz">
      <w:tcPr>
        <w:shd w:val="clear" w:color="auto" w:fill="efd3d2" w:themeFill="accent2"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efd3d2" w:themeFill="accent2"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C0504D" w:themeColor="accent2"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C0504D" w:themeColor="accent2"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C0504D" w:themeColor="accent2"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C0504D" w:themeColor="accent2"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890">
    <w:name w:val="Medium List 2 Accent 3"/>
    <w:basedOn w:val="796"/>
    <w:uiPriority w:val="66"/>
    <w:rPr>
      <w:rFonts w:asciiTheme="majorHAnsi" w:hAnsiTheme="majorHAnsi" w:eastAsiaTheme="majorEastAsia" w:cstheme="majorBidi"/>
      <w:color w:val="000000" w:themeColor="text1"/>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band1Horz">
      <w:tcPr>
        <w:shd w:val="clear" w:color="auto" w:fill="e6eed5" w:themeFill="accent3"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e6eed5" w:themeFill="accent3"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9BBB59" w:themeColor="accent3"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9BBB59" w:themeColor="accent3"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9BBB59" w:themeColor="accent3"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9BBB59" w:themeColor="accent3"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891">
    <w:name w:val="Medium List 2 Accent 4"/>
    <w:basedOn w:val="796"/>
    <w:uiPriority w:val="66"/>
    <w:rPr>
      <w:rFonts w:asciiTheme="majorHAnsi" w:hAnsiTheme="majorHAnsi" w:eastAsiaTheme="majorEastAsia" w:cstheme="majorBidi"/>
      <w:color w:val="000000" w:themeColor="text1"/>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band1Horz">
      <w:tcPr>
        <w:shd w:val="clear" w:color="auto" w:fill="dfd8e8" w:themeFill="accent4"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dfd8e8" w:themeFill="accent4"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8064A2" w:themeColor="accent4"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8064A2" w:themeColor="accent4"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8064A2" w:themeColor="accent4"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8064A2" w:themeColor="accent4"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892">
    <w:name w:val="Medium List 2 Accent 5"/>
    <w:basedOn w:val="796"/>
    <w:uiPriority w:val="66"/>
    <w:rPr>
      <w:rFonts w:asciiTheme="majorHAnsi" w:hAnsiTheme="majorHAnsi" w:eastAsiaTheme="majorEastAsia" w:cstheme="majorBidi"/>
      <w:color w:val="000000" w:themeColor="text1"/>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band1Horz">
      <w:tcPr>
        <w:shd w:val="clear" w:color="auto" w:fill="d2eaf1" w:themeFill="accent5"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d2eaf1" w:themeFill="accent5"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4BACC6" w:themeColor="accent5"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4BACC6" w:themeColor="accent5"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4BACC6" w:themeColor="accent5"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4BACC6" w:themeColor="accent5"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893">
    <w:name w:val="Medium List 2 Accent 6"/>
    <w:basedOn w:val="796"/>
    <w:uiPriority w:val="66"/>
    <w:rPr>
      <w:rFonts w:asciiTheme="majorHAnsi" w:hAnsiTheme="majorHAnsi" w:eastAsiaTheme="majorEastAsia" w:cstheme="majorBidi"/>
      <w:color w:val="000000" w:themeColor="text1"/>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band1Horz">
      <w:tcPr>
        <w:shd w:val="clear" w:color="auto" w:fill="fde4d0" w:themeFill="accent6"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fde4d0" w:themeFill="accent6"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F79646" w:themeColor="accent6"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F79646" w:themeColor="accent6"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F79646" w:themeColor="accent6"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F79646" w:themeColor="accent6"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894">
    <w:name w:val="Medium Grid 1"/>
    <w:basedOn w:val="796"/>
    <w:uiPriority w:val="67"/>
    <w:rPr>
      <w:rFonts w:asciiTheme="minorHAnsi" w:hAnsiTheme="minorHAnsi" w:eastAsiaTheme="minorEastAsia" w:cstheme="minorBidi"/>
    </w:rPr>
    <w:tblPr>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band1Horz">
      <w:tcPr>
        <w:shd w:val="clear" w:color="auto" w:fill="808080" w:themeFill="text1" w:themeFillTint="7F"/>
      </w:tcPr>
    </w:tblStylePr>
    <w:tblStylePr w:type="band1Vert">
      <w:tcPr>
        <w:shd w:val="clear" w:color="auto" w:fill="808080" w:themeFill="text1"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404040" w:themeColor="text1" w:themeTint="BF" w:sz="18" w:space="0"/>
        </w:tcBorders>
      </w:tcPr>
    </w:tblStylePr>
  </w:style>
  <w:style w:type="table" w:styleId="895">
    <w:name w:val="Medium Grid 1 Accent 1"/>
    <w:basedOn w:val="796"/>
    <w:uiPriority w:val="67"/>
    <w:rPr>
      <w:rFonts w:asciiTheme="minorHAnsi" w:hAnsiTheme="minorHAnsi" w:eastAsiaTheme="minorEastAsia" w:cstheme="minorBidi"/>
    </w:r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band1Horz">
      <w:tcPr>
        <w:shd w:val="clear" w:color="auto" w:fill="a7bfde" w:themeFill="accent1" w:themeFillTint="7F"/>
      </w:tcPr>
    </w:tblStylePr>
    <w:tblStylePr w:type="band1Vert">
      <w:tcPr>
        <w:shd w:val="clear" w:color="auto" w:fill="a7bfde" w:themeFill="accent1"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7BA0CD" w:themeColor="accent1" w:themeTint="BF" w:sz="18" w:space="0"/>
        </w:tcBorders>
      </w:tcPr>
    </w:tblStylePr>
  </w:style>
  <w:style w:type="table" w:styleId="896">
    <w:name w:val="Medium Grid 1 Accent 2"/>
    <w:basedOn w:val="796"/>
    <w:uiPriority w:val="67"/>
    <w:rPr>
      <w:rFonts w:asciiTheme="minorHAnsi" w:hAnsiTheme="minorHAnsi" w:eastAsiaTheme="minorEastAsia" w:cstheme="minorBidi"/>
    </w:r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band1Horz">
      <w:tcPr>
        <w:shd w:val="clear" w:color="auto" w:fill="dfa7a6" w:themeFill="accent2" w:themeFillTint="7F"/>
      </w:tcPr>
    </w:tblStylePr>
    <w:tblStylePr w:type="band1Vert">
      <w:tcPr>
        <w:shd w:val="clear" w:color="auto" w:fill="dfa7a6" w:themeFill="accent2"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CF7B79" w:themeColor="accent2" w:themeTint="BF" w:sz="18" w:space="0"/>
        </w:tcBorders>
      </w:tcPr>
    </w:tblStylePr>
  </w:style>
  <w:style w:type="table" w:styleId="897">
    <w:name w:val="Medium Grid 1 Accent 3"/>
    <w:basedOn w:val="796"/>
    <w:uiPriority w:val="67"/>
    <w:rPr>
      <w:rFonts w:asciiTheme="minorHAnsi" w:hAnsiTheme="minorHAnsi" w:eastAsiaTheme="minorEastAsia" w:cstheme="minorBidi"/>
    </w:rPr>
    <w:tblPr>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band1Horz">
      <w:tcPr>
        <w:shd w:val="clear" w:color="auto" w:fill="cdddac" w:themeFill="accent3" w:themeFillTint="7F"/>
      </w:tcPr>
    </w:tblStylePr>
    <w:tblStylePr w:type="band1Vert">
      <w:tcPr>
        <w:shd w:val="clear" w:color="auto" w:fill="cdddac" w:themeFill="accent3"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B3CC82" w:themeColor="accent3" w:themeTint="BF" w:sz="18" w:space="0"/>
        </w:tcBorders>
      </w:tcPr>
    </w:tblStylePr>
  </w:style>
  <w:style w:type="table" w:styleId="898">
    <w:name w:val="Medium Grid 1 Accent 4"/>
    <w:basedOn w:val="796"/>
    <w:uiPriority w:val="67"/>
    <w:rPr>
      <w:rFonts w:asciiTheme="minorHAnsi" w:hAnsiTheme="minorHAnsi" w:eastAsiaTheme="minorEastAsia" w:cstheme="minorBidi"/>
    </w:r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band1Horz">
      <w:tcPr>
        <w:shd w:val="clear" w:color="auto" w:fill="bfb1d0" w:themeFill="accent4" w:themeFillTint="7F"/>
      </w:tcPr>
    </w:tblStylePr>
    <w:tblStylePr w:type="band1Vert">
      <w:tcPr>
        <w:shd w:val="clear" w:color="auto" w:fill="bfb1d0" w:themeFill="accent4"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9F8AB9" w:themeColor="accent4" w:themeTint="BF" w:sz="18" w:space="0"/>
        </w:tcBorders>
      </w:tcPr>
    </w:tblStylePr>
  </w:style>
  <w:style w:type="table" w:styleId="899">
    <w:name w:val="Medium Grid 1 Accent 5"/>
    <w:basedOn w:val="796"/>
    <w:uiPriority w:val="67"/>
    <w:qFormat/>
    <w:rPr>
      <w:rFonts w:asciiTheme="minorHAnsi" w:hAnsiTheme="minorHAnsi" w:eastAsiaTheme="minorEastAsia" w:cstheme="minorBidi"/>
    </w:r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band1Horz">
      <w:tcPr>
        <w:shd w:val="clear" w:color="auto" w:fill="a5d5e2" w:themeFill="accent5" w:themeFillTint="7F"/>
      </w:tcPr>
    </w:tblStylePr>
    <w:tblStylePr w:type="band1Vert">
      <w:tcPr>
        <w:shd w:val="clear" w:color="auto" w:fill="a5d5e2" w:themeFill="accent5"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78C0D4" w:themeColor="accent5" w:themeTint="BF" w:sz="18" w:space="0"/>
        </w:tcBorders>
      </w:tcPr>
    </w:tblStylePr>
  </w:style>
  <w:style w:type="table" w:styleId="900">
    <w:name w:val="Medium Grid 1 Accent 6"/>
    <w:basedOn w:val="796"/>
    <w:uiPriority w:val="67"/>
    <w:rPr>
      <w:rFonts w:asciiTheme="minorHAnsi" w:hAnsiTheme="minorHAnsi" w:eastAsiaTheme="minorEastAsia" w:cstheme="minorBidi"/>
    </w:r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band1Horz">
      <w:tcPr>
        <w:shd w:val="clear" w:color="auto" w:fill="fbcaa2" w:themeFill="accent6" w:themeFillTint="7F"/>
      </w:tcPr>
    </w:tblStylePr>
    <w:tblStylePr w:type="band1Vert">
      <w:tcPr>
        <w:shd w:val="clear" w:color="auto" w:fill="fbcaa2" w:themeFill="accent6"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F9B074" w:themeColor="accent6" w:themeTint="BF" w:sz="18" w:space="0"/>
        </w:tcBorders>
      </w:tcPr>
    </w:tblStylePr>
  </w:style>
  <w:style w:type="table" w:styleId="901">
    <w:name w:val="Medium Grid 2"/>
    <w:basedOn w:val="796"/>
    <w:uiPriority w:val="68"/>
    <w:qFormat/>
    <w:rPr>
      <w:rFonts w:asciiTheme="majorHAnsi" w:hAnsiTheme="majorHAnsi" w:eastAsiaTheme="majorEastAsia" w:cstheme="majorBidi"/>
      <w:color w:val="000000" w:themeColor="text1"/>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band1Horz">
      <w:tcPr>
        <w:shd w:val="clear" w:color="auto" w:fill="808080" w:themeFill="text1" w:themeFillTint="7F"/>
        <w:tcBorders>
          <w:insideH w:val="single" w:color="auto" w:sz="6" w:space="0"/>
          <w:insideV w:val="single" w:color="auto" w:sz="6" w:space="0"/>
        </w:tcBorders>
      </w:tcPr>
    </w:tblStylePr>
    <w:tblStylePr w:type="band1Vert">
      <w:tcPr>
        <w:shd w:val="clear" w:color="auto" w:fill="808080" w:themeFill="text1" w:themeFillTint="7F"/>
      </w:tcPr>
    </w:tblStylePr>
    <w:tblStylePr w:type="firstCol">
      <w:rPr>
        <w:b/>
        <w:bCs/>
        <w:color w:val="000000" w:themeColor="text1"/>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rPr>
      <w:tcPr>
        <w:shd w:val="clear" w:color="auto" w:fill="e6e6e6" w:themeFill="text1" w:themeFillTint="19"/>
      </w:tcPr>
    </w:tblStylePr>
    <w:tblStylePr w:type="lastCol">
      <w:rPr>
        <w:b w:val="0"/>
        <w:bCs w:val="0"/>
        <w:color w:val="000000" w:themeColor="text1"/>
      </w:rPr>
      <w:tcPr>
        <w:shd w:val="clear" w:color="auto" w:fill="cccccc" w:themeFill="text1"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02">
    <w:name w:val="Medium Grid 2 Accent 1"/>
    <w:basedOn w:val="796"/>
    <w:uiPriority w:val="68"/>
    <w:qFormat/>
    <w:rPr>
      <w:rFonts w:asciiTheme="majorHAnsi" w:hAnsiTheme="majorHAnsi" w:eastAsiaTheme="majorEastAsia" w:cstheme="majorBidi"/>
      <w:color w:val="000000" w:themeColor="text1"/>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band1Horz">
      <w:tcPr>
        <w:shd w:val="clear" w:color="auto" w:fill="a7bfde" w:themeFill="accent1" w:themeFillTint="7F"/>
        <w:tcBorders>
          <w:insideH w:val="single" w:color="auto" w:sz="6" w:space="0"/>
          <w:insideV w:val="single" w:color="auto" w:sz="6" w:space="0"/>
        </w:tcBorders>
      </w:tcPr>
    </w:tblStylePr>
    <w:tblStylePr w:type="band1Vert">
      <w:tcPr>
        <w:shd w:val="clear" w:color="auto" w:fill="a7bfde" w:themeFill="accent1" w:themeFillTint="7F"/>
      </w:tcPr>
    </w:tblStylePr>
    <w:tblStylePr w:type="firstCol">
      <w:rPr>
        <w:b/>
        <w:bCs/>
        <w:color w:val="000000" w:themeColor="text1"/>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rPr>
      <w:tcPr>
        <w:shd w:val="clear" w:color="auto" w:fill="edf2f8" w:themeFill="accent1" w:themeFillTint="19"/>
      </w:tcPr>
    </w:tblStylePr>
    <w:tblStylePr w:type="lastCol">
      <w:rPr>
        <w:b w:val="0"/>
        <w:bCs w:val="0"/>
        <w:color w:val="000000" w:themeColor="text1"/>
      </w:rPr>
      <w:tcPr>
        <w:shd w:val="clear" w:color="auto" w:fill="dbe5f1" w:themeFill="accent1"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03">
    <w:name w:val="Medium Grid 2 Accent 2"/>
    <w:basedOn w:val="796"/>
    <w:uiPriority w:val="68"/>
    <w:rPr>
      <w:rFonts w:asciiTheme="majorHAnsi" w:hAnsiTheme="majorHAnsi" w:eastAsiaTheme="majorEastAsia" w:cstheme="majorBidi"/>
      <w:color w:val="000000" w:themeColor="text1"/>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band1Horz">
      <w:tcPr>
        <w:shd w:val="clear" w:color="auto" w:fill="dfa7a6" w:themeFill="accent2" w:themeFillTint="7F"/>
        <w:tcBorders>
          <w:insideH w:val="single" w:color="auto" w:sz="6" w:space="0"/>
          <w:insideV w:val="single" w:color="auto" w:sz="6" w:space="0"/>
        </w:tcBorders>
      </w:tcPr>
    </w:tblStylePr>
    <w:tblStylePr w:type="band1Vert">
      <w:tcPr>
        <w:shd w:val="clear" w:color="auto" w:fill="dfa7a6" w:themeFill="accent2" w:themeFillTint="7F"/>
      </w:tcPr>
    </w:tblStylePr>
    <w:tblStylePr w:type="firstCol">
      <w:rPr>
        <w:b/>
        <w:bCs/>
        <w:color w:val="000000" w:themeColor="text1"/>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rPr>
      <w:tcPr>
        <w:shd w:val="clear" w:color="auto" w:fill="f8eded" w:themeFill="accent2" w:themeFillTint="19"/>
      </w:tcPr>
    </w:tblStylePr>
    <w:tblStylePr w:type="lastCol">
      <w:rPr>
        <w:b w:val="0"/>
        <w:bCs w:val="0"/>
        <w:color w:val="000000" w:themeColor="text1"/>
      </w:rPr>
      <w:tcPr>
        <w:shd w:val="clear" w:color="auto" w:fill="f2dbdb" w:themeFill="accent2"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04">
    <w:name w:val="Medium Grid 2 Accent 3"/>
    <w:basedOn w:val="796"/>
    <w:uiPriority w:val="68"/>
    <w:rPr>
      <w:rFonts w:asciiTheme="majorHAnsi" w:hAnsiTheme="majorHAnsi" w:eastAsiaTheme="majorEastAsia" w:cstheme="majorBidi"/>
      <w:color w:val="000000" w:themeColor="text1"/>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band1Horz">
      <w:tcPr>
        <w:shd w:val="clear" w:color="auto" w:fill="cdddac" w:themeFill="accent3" w:themeFillTint="7F"/>
        <w:tcBorders>
          <w:insideH w:val="single" w:color="auto" w:sz="6" w:space="0"/>
          <w:insideV w:val="single" w:color="auto" w:sz="6" w:space="0"/>
        </w:tcBorders>
      </w:tcPr>
    </w:tblStylePr>
    <w:tblStylePr w:type="band1Vert">
      <w:tcPr>
        <w:shd w:val="clear" w:color="auto" w:fill="cdddac" w:themeFill="accent3" w:themeFillTint="7F"/>
      </w:tcPr>
    </w:tblStylePr>
    <w:tblStylePr w:type="firstCol">
      <w:rPr>
        <w:b/>
        <w:bCs/>
        <w:color w:val="000000" w:themeColor="text1"/>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rPr>
      <w:tcPr>
        <w:shd w:val="clear" w:color="auto" w:fill="f5f8ee" w:themeFill="accent3" w:themeFillTint="19"/>
      </w:tcPr>
    </w:tblStylePr>
    <w:tblStylePr w:type="lastCol">
      <w:rPr>
        <w:b w:val="0"/>
        <w:bCs w:val="0"/>
        <w:color w:val="000000" w:themeColor="text1"/>
      </w:rPr>
      <w:tcPr>
        <w:shd w:val="clear" w:color="auto" w:fill="eaf1dd" w:themeFill="accent3"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05">
    <w:name w:val="Medium Grid 2 Accent 4"/>
    <w:basedOn w:val="796"/>
    <w:uiPriority w:val="68"/>
    <w:rPr>
      <w:rFonts w:asciiTheme="majorHAnsi" w:hAnsiTheme="majorHAnsi" w:eastAsiaTheme="majorEastAsia" w:cstheme="majorBidi"/>
      <w:color w:val="000000" w:themeColor="text1"/>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band1Horz">
      <w:tcPr>
        <w:shd w:val="clear" w:color="auto" w:fill="bfb1d0" w:themeFill="accent4" w:themeFillTint="7F"/>
        <w:tcBorders>
          <w:insideH w:val="single" w:color="auto" w:sz="6" w:space="0"/>
          <w:insideV w:val="single" w:color="auto" w:sz="6" w:space="0"/>
        </w:tcBorders>
      </w:tcPr>
    </w:tblStylePr>
    <w:tblStylePr w:type="band1Vert">
      <w:tcPr>
        <w:shd w:val="clear" w:color="auto" w:fill="bfb1d0" w:themeFill="accent4" w:themeFillTint="7F"/>
      </w:tcPr>
    </w:tblStylePr>
    <w:tblStylePr w:type="firstCol">
      <w:rPr>
        <w:b/>
        <w:bCs/>
        <w:color w:val="000000" w:themeColor="text1"/>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rPr>
      <w:tcPr>
        <w:shd w:val="clear" w:color="auto" w:fill="f2eff6" w:themeFill="accent4" w:themeFillTint="19"/>
      </w:tcPr>
    </w:tblStylePr>
    <w:tblStylePr w:type="lastCol">
      <w:rPr>
        <w:b w:val="0"/>
        <w:bCs w:val="0"/>
        <w:color w:val="000000" w:themeColor="text1"/>
      </w:rPr>
      <w:tcPr>
        <w:shd w:val="clear" w:color="auto" w:fill="e5dfec" w:themeFill="accent4"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06">
    <w:name w:val="Medium Grid 2 Accent 5"/>
    <w:basedOn w:val="796"/>
    <w:uiPriority w:val="68"/>
    <w:rPr>
      <w:rFonts w:asciiTheme="majorHAnsi" w:hAnsiTheme="majorHAnsi" w:eastAsiaTheme="majorEastAsia" w:cstheme="majorBidi"/>
      <w:color w:val="000000" w:themeColor="text1"/>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band1Horz">
      <w:tcPr>
        <w:shd w:val="clear" w:color="auto" w:fill="a5d5e2" w:themeFill="accent5" w:themeFillTint="7F"/>
        <w:tcBorders>
          <w:insideH w:val="single" w:color="auto" w:sz="6" w:space="0"/>
          <w:insideV w:val="single" w:color="auto" w:sz="6" w:space="0"/>
        </w:tcBorders>
      </w:tcPr>
    </w:tblStylePr>
    <w:tblStylePr w:type="band1Vert">
      <w:tcPr>
        <w:shd w:val="clear" w:color="auto" w:fill="a5d5e2" w:themeFill="accent5" w:themeFillTint="7F"/>
      </w:tcPr>
    </w:tblStylePr>
    <w:tblStylePr w:type="firstCol">
      <w:rPr>
        <w:b/>
        <w:bCs/>
        <w:color w:val="000000" w:themeColor="text1"/>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rPr>
      <w:tcPr>
        <w:shd w:val="clear" w:color="auto" w:fill="edf6f9" w:themeFill="accent5" w:themeFillTint="19"/>
      </w:tcPr>
    </w:tblStylePr>
    <w:tblStylePr w:type="lastCol">
      <w:rPr>
        <w:b w:val="0"/>
        <w:bCs w:val="0"/>
        <w:color w:val="000000" w:themeColor="text1"/>
      </w:rPr>
      <w:tcPr>
        <w:shd w:val="clear" w:color="auto" w:fill="daeef3" w:themeFill="accent5"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07">
    <w:name w:val="Medium Grid 2 Accent 6"/>
    <w:basedOn w:val="796"/>
    <w:uiPriority w:val="68"/>
    <w:rPr>
      <w:rFonts w:asciiTheme="majorHAnsi" w:hAnsiTheme="majorHAnsi" w:eastAsiaTheme="majorEastAsia" w:cstheme="majorBidi"/>
      <w:color w:val="000000" w:themeColor="text1"/>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band1Horz">
      <w:tcPr>
        <w:shd w:val="clear" w:color="auto" w:fill="fbcaa2" w:themeFill="accent6" w:themeFillTint="7F"/>
        <w:tcBorders>
          <w:insideH w:val="single" w:color="auto" w:sz="6" w:space="0"/>
          <w:insideV w:val="single" w:color="auto" w:sz="6" w:space="0"/>
        </w:tcBorders>
      </w:tcPr>
    </w:tblStylePr>
    <w:tblStylePr w:type="band1Vert">
      <w:tcPr>
        <w:shd w:val="clear" w:color="auto" w:fill="fbcaa2" w:themeFill="accent6" w:themeFillTint="7F"/>
      </w:tcPr>
    </w:tblStylePr>
    <w:tblStylePr w:type="firstCol">
      <w:rPr>
        <w:b/>
        <w:bCs/>
        <w:color w:val="000000" w:themeColor="text1"/>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rPr>
      <w:tcPr>
        <w:shd w:val="clear" w:color="auto" w:fill="fef4ec" w:themeFill="accent6" w:themeFillTint="19"/>
      </w:tcPr>
    </w:tblStylePr>
    <w:tblStylePr w:type="lastCol">
      <w:rPr>
        <w:b w:val="0"/>
        <w:bCs w:val="0"/>
        <w:color w:val="000000" w:themeColor="text1"/>
      </w:rPr>
      <w:tcPr>
        <w:shd w:val="clear" w:color="auto" w:fill="fde9d9" w:themeFill="accent6"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08">
    <w:name w:val="Medium Grid 3"/>
    <w:basedOn w:val="796"/>
    <w:uiPriority w:val="69"/>
    <w:rPr>
      <w:rFonts w:asciiTheme="minorHAnsi" w:hAnsiTheme="minorHAnsi" w:eastAsiaTheme="minorEastAsia" w:cstheme="minorBidi"/>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band1Horz">
      <w:tcPr>
        <w:shd w:val="clear" w:color="auto" w:fill="808080" w:themeFill="tex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808080" w:themeFill="tex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000000" w:themeFill="tex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000000" w:themeFill="tex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000000" w:themeFill="tex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000000" w:themeFill="tex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09">
    <w:name w:val="Medium Grid 3 Accent 1"/>
    <w:basedOn w:val="796"/>
    <w:uiPriority w:val="69"/>
    <w:qFormat/>
    <w:rPr>
      <w:rFonts w:asciiTheme="minorHAnsi" w:hAnsiTheme="minorHAnsi" w:eastAsiaTheme="minorEastAsia" w:cstheme="minorBidi"/>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band1Horz">
      <w:tcPr>
        <w:shd w:val="clear" w:color="auto" w:fill="a7bfde"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a7bfde"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4f81bd"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4f81bd"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4f81bd"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4f81bd"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10">
    <w:name w:val="Medium Grid 3 Accent 2"/>
    <w:basedOn w:val="796"/>
    <w:uiPriority w:val="69"/>
    <w:rPr>
      <w:rFonts w:asciiTheme="minorHAnsi" w:hAnsiTheme="minorHAnsi" w:eastAsiaTheme="minorEastAsia" w:cstheme="minorBidi"/>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band1Horz">
      <w:tcPr>
        <w:shd w:val="clear" w:color="auto" w:fill="dfa7a6"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dfa7a6"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c0504d"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c0504d"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c0504d"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c0504d"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11">
    <w:name w:val="Medium Grid 3 Accent 3"/>
    <w:basedOn w:val="796"/>
    <w:uiPriority w:val="69"/>
    <w:rPr>
      <w:rFonts w:asciiTheme="minorHAnsi" w:hAnsiTheme="minorHAnsi" w:eastAsiaTheme="minorEastAsia" w:cstheme="minorBidi"/>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band1Horz">
      <w:tcPr>
        <w:shd w:val="clear" w:color="auto" w:fill="cdddac"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cdddac"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9bbb59"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9bbb59"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9bbb59"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9bbb59"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12">
    <w:name w:val="Medium Grid 3 Accent 4"/>
    <w:basedOn w:val="796"/>
    <w:uiPriority w:val="69"/>
    <w:rPr>
      <w:rFonts w:asciiTheme="minorHAnsi" w:hAnsiTheme="minorHAnsi" w:eastAsiaTheme="minorEastAsia" w:cstheme="minorBidi"/>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band1Horz">
      <w:tcPr>
        <w:shd w:val="clear" w:color="auto" w:fill="bfb1d0"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bfb1d0"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8064a2"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8064a2"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8064a2"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8064a2"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13">
    <w:name w:val="Medium Grid 3 Accent 5"/>
    <w:basedOn w:val="796"/>
    <w:uiPriority w:val="69"/>
    <w:rPr>
      <w:rFonts w:asciiTheme="minorHAnsi" w:hAnsiTheme="minorHAnsi" w:eastAsiaTheme="minorEastAsia" w:cstheme="minorBidi"/>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band1Horz">
      <w:tcPr>
        <w:shd w:val="clear" w:color="auto" w:fill="a5d5e2"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a5d5e2"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4bacc6"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4bacc6"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4bacc6"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4bacc6"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14">
    <w:name w:val="Medium Grid 3 Accent 6"/>
    <w:basedOn w:val="796"/>
    <w:uiPriority w:val="69"/>
    <w:rPr>
      <w:rFonts w:asciiTheme="minorHAnsi" w:hAnsiTheme="minorHAnsi" w:eastAsiaTheme="minorEastAsia" w:cstheme="minorBidi"/>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band1Horz">
      <w:tcPr>
        <w:shd w:val="clear" w:color="auto" w:fill="fbcaa2"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fbcaa2"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f79646"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f79646"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f79646"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f79646"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15">
    <w:name w:val="Dark List"/>
    <w:basedOn w:val="796"/>
    <w:uiPriority w:val="70"/>
    <w:rPr>
      <w:rFonts w:asciiTheme="minorHAnsi" w:hAnsiTheme="minorHAnsi" w:eastAsiaTheme="minorEastAsia" w:cstheme="minorBidi"/>
      <w:color w:val="ffffff" w:themeColor="background1"/>
    </w:rPr>
    <w:tblPr>
      <w:tblStyleRowBandSize w:val="1"/>
      <w:tblStyleColBandSize w:val="1"/>
    </w:tblPr>
    <w:tcPr>
      <w:shd w:val="clear" w:color="auto" w:fill="000000" w:themeFill="text1"/>
    </w:tcPr>
    <w:tblStylePr w:type="band1Horz">
      <w:tcPr>
        <w:shd w:val="clear" w:color="auto" w:fill="000000" w:themeFill="tex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000000" w:themeFill="tex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000000" w:themeFill="text1"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000000" w:themeFill="text1"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hemeFill="text1"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name w:val="Dark List Accent 1"/>
    <w:basedOn w:val="796"/>
    <w:uiPriority w:val="70"/>
    <w:rPr>
      <w:rFonts w:asciiTheme="minorHAnsi" w:hAnsiTheme="minorHAnsi" w:eastAsiaTheme="minorEastAsia" w:cstheme="minorBidi"/>
      <w:color w:val="ffffff" w:themeColor="background1"/>
    </w:rPr>
    <w:tblPr>
      <w:tblStyleRowBandSize w:val="1"/>
      <w:tblStyleColBandSize w:val="1"/>
    </w:tblPr>
    <w:tcPr>
      <w:shd w:val="clear" w:color="auto" w:fill="4f81bd" w:themeFill="accent1"/>
    </w:tcPr>
    <w:tblStylePr w:type="band1Horz">
      <w:tcPr>
        <w:shd w:val="clear" w:color="auto" w:fill="365f91" w:themeFill="accen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365f91" w:themeFill="accen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365f91" w:themeFill="accent1"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365f91" w:themeFill="accent1"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243f60" w:themeFill="accent1"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name w:val="Dark List Accent 2"/>
    <w:basedOn w:val="796"/>
    <w:uiPriority w:val="70"/>
    <w:rPr>
      <w:rFonts w:asciiTheme="minorHAnsi" w:hAnsiTheme="minorHAnsi" w:eastAsiaTheme="minorEastAsia" w:cstheme="minorBidi"/>
      <w:color w:val="ffffff" w:themeColor="background1"/>
    </w:rPr>
    <w:tblPr>
      <w:tblStyleRowBandSize w:val="1"/>
      <w:tblStyleColBandSize w:val="1"/>
    </w:tblPr>
    <w:tcPr>
      <w:shd w:val="clear" w:color="auto" w:fill="c0504d" w:themeFill="accent2"/>
    </w:tcPr>
    <w:tblStylePr w:type="band1Horz">
      <w:tcPr>
        <w:shd w:val="clear" w:color="auto" w:fill="943634" w:themeFill="accent2"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943634" w:themeFill="accent2"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943634" w:themeFill="accent2"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943634" w:themeFill="accent2"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622423" w:themeFill="accent2"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name w:val="Dark List Accent 3"/>
    <w:basedOn w:val="796"/>
    <w:uiPriority w:val="70"/>
    <w:rPr>
      <w:rFonts w:asciiTheme="minorHAnsi" w:hAnsiTheme="minorHAnsi" w:eastAsiaTheme="minorEastAsia" w:cstheme="minorBidi"/>
      <w:color w:val="ffffff" w:themeColor="background1"/>
    </w:rPr>
    <w:tblPr>
      <w:tblStyleRowBandSize w:val="1"/>
      <w:tblStyleColBandSize w:val="1"/>
    </w:tblPr>
    <w:tcPr>
      <w:shd w:val="clear" w:color="auto" w:fill="9bbb59" w:themeFill="accent3"/>
    </w:tcPr>
    <w:tblStylePr w:type="band1Horz">
      <w:tcPr>
        <w:shd w:val="clear" w:color="auto" w:fill="76923c" w:themeFill="accent3"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76923c" w:themeFill="accent3"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76923c" w:themeFill="accent3"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76923c" w:themeFill="accent3"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4e6128" w:themeFill="accent3"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name w:val="Dark List Accent 4"/>
    <w:basedOn w:val="796"/>
    <w:uiPriority w:val="70"/>
    <w:qFormat/>
    <w:rPr>
      <w:rFonts w:asciiTheme="minorHAnsi" w:hAnsiTheme="minorHAnsi" w:eastAsiaTheme="minorEastAsia" w:cstheme="minorBidi"/>
      <w:color w:val="ffffff" w:themeColor="background1"/>
    </w:rPr>
    <w:tblPr>
      <w:tblStyleRowBandSize w:val="1"/>
      <w:tblStyleColBandSize w:val="1"/>
    </w:tblPr>
    <w:tcPr>
      <w:shd w:val="clear" w:color="auto" w:fill="8064a2" w:themeFill="accent4"/>
    </w:tcPr>
    <w:tblStylePr w:type="band1Horz">
      <w:tcPr>
        <w:shd w:val="clear" w:color="auto" w:fill="5f497a" w:themeFill="accent4"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5f497a" w:themeFill="accent4"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5f497a" w:themeFill="accent4"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5f497a" w:themeFill="accent4"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3f3151" w:themeFill="accent4"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name w:val="Dark List Accent 5"/>
    <w:basedOn w:val="796"/>
    <w:uiPriority w:val="70"/>
    <w:rPr>
      <w:rFonts w:asciiTheme="minorHAnsi" w:hAnsiTheme="minorHAnsi" w:eastAsiaTheme="minorEastAsia" w:cstheme="minorBidi"/>
      <w:color w:val="ffffff" w:themeColor="background1"/>
    </w:rPr>
    <w:tblPr>
      <w:tblStyleRowBandSize w:val="1"/>
      <w:tblStyleColBandSize w:val="1"/>
    </w:tblPr>
    <w:tcPr>
      <w:shd w:val="clear" w:color="auto" w:fill="4bacc6" w:themeFill="accent5"/>
    </w:tcPr>
    <w:tblStylePr w:type="band1Horz">
      <w:tcPr>
        <w:shd w:val="clear" w:color="auto" w:fill="31849b" w:themeFill="accent5"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31849b" w:themeFill="accent5"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31849b" w:themeFill="accent5"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31849b" w:themeFill="accent5"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205867" w:themeFill="accent5"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name w:val="Dark List Accent 6"/>
    <w:basedOn w:val="796"/>
    <w:uiPriority w:val="70"/>
    <w:rPr>
      <w:rFonts w:asciiTheme="minorHAnsi" w:hAnsiTheme="minorHAnsi" w:eastAsiaTheme="minorEastAsia" w:cstheme="minorBidi"/>
      <w:color w:val="ffffff" w:themeColor="background1"/>
    </w:rPr>
    <w:tblPr>
      <w:tblStyleRowBandSize w:val="1"/>
      <w:tblStyleColBandSize w:val="1"/>
    </w:tblPr>
    <w:tcPr>
      <w:shd w:val="clear" w:color="auto" w:fill="f79646" w:themeFill="accent6"/>
    </w:tcPr>
    <w:tblStylePr w:type="band1Horz">
      <w:tcPr>
        <w:shd w:val="clear" w:color="auto" w:fill="e36c0a" w:themeFill="accent6"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e36c0a" w:themeFill="accent6"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e36c0a" w:themeFill="accent6"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e36c0a" w:themeFill="accent6"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974706" w:themeFill="accent6"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name w:val="Colorful Shading"/>
    <w:basedOn w:val="796"/>
    <w:uiPriority w:val="71"/>
    <w:rPr>
      <w:rFonts w:asciiTheme="minorHAnsi" w:hAnsiTheme="minorHAnsi" w:eastAsiaTheme="minorEastAsia" w:cstheme="minorBidi"/>
      <w:color w:val="000000" w:themeColor="text1"/>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band1Horz">
      <w:tcPr>
        <w:shd w:val="clear" w:color="auto" w:fill="808080" w:themeFill="text1" w:themeFillTint="7F"/>
      </w:tcPr>
    </w:tblStylePr>
    <w:tblStylePr w:type="band1Vert">
      <w:tcPr>
        <w:shd w:val="clear" w:color="auto" w:fill="999999" w:themeFill="text1" w:themeFillTint="66"/>
      </w:tcPr>
    </w:tblStylePr>
    <w:tblStylePr w:type="firstCol">
      <w:rPr>
        <w:color w:val="ffffff" w:themeColor="background1"/>
      </w:rPr>
      <w:tcPr>
        <w:shd w:val="clear" w:color="auto" w:fill="000000" w:themeFill="text1" w:themeFillShade="99"/>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C0504D" w:themeColor="accent2" w:sz="24" w:space="0"/>
          <w:right w:val="none" w:color="000000" w:sz="4" w:space="0"/>
          <w:insideH w:val="none" w:color="000000" w:sz="4" w:space="0"/>
          <w:insideV w:val="none" w:color="000000" w:sz="4" w:space="0"/>
        </w:tcBorders>
      </w:tcPr>
    </w:tblStylePr>
    <w:tblStylePr w:type="lastCol">
      <w:rPr>
        <w:color w:val="ffffff" w:themeColor="background1"/>
      </w:rPr>
      <w:tcPr>
        <w:shd w:val="clear" w:color="auto" w:fill="000000" w:themeFill="tex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rPr>
      <w:tcPr>
        <w:shd w:val="clear" w:color="auto" w:fill="000000" w:themeFill="text1" w:themeFillShade="99"/>
        <w:tcBorders>
          <w:top w:val="single" w:color="FFFFFF" w:themeColor="background1" w:sz="6" w:space="0"/>
        </w:tcBorders>
      </w:tcPr>
    </w:tblStylePr>
    <w:tblStylePr w:type="nwCell">
      <w:rPr>
        <w:color w:val="000000" w:themeColor="text1"/>
      </w:rPr>
    </w:tblStylePr>
    <w:tblStylePr w:type="neCell">
      <w:rPr>
        <w:color w:val="000000" w:themeColor="text1"/>
      </w:rPr>
    </w:tblStylePr>
  </w:style>
  <w:style w:type="table" w:styleId="923">
    <w:name w:val="Colorful Shading Accent 1"/>
    <w:basedOn w:val="796"/>
    <w:uiPriority w:val="71"/>
    <w:qFormat/>
    <w:rPr>
      <w:rFonts w:asciiTheme="minorHAnsi" w:hAnsiTheme="minorHAnsi" w:eastAsiaTheme="minorEastAsia" w:cstheme="minorBidi"/>
      <w:color w:val="000000" w:themeColor="text1"/>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band1Horz">
      <w:tcPr>
        <w:shd w:val="clear" w:color="auto" w:fill="a7bfde" w:themeFill="accent1" w:themeFillTint="7F"/>
      </w:tcPr>
    </w:tblStylePr>
    <w:tblStylePr w:type="band1Vert">
      <w:tcPr>
        <w:shd w:val="clear" w:color="auto" w:fill="b8cce4" w:themeFill="accent1" w:themeFillTint="66"/>
      </w:tcPr>
    </w:tblStylePr>
    <w:tblStylePr w:type="firstCol">
      <w:rPr>
        <w:color w:val="ffffff" w:themeColor="background1"/>
      </w:rPr>
      <w:tcPr>
        <w:shd w:val="clear" w:color="auto" w:fill="2c4c74" w:themeFill="accent1" w:themeFillShade="99"/>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C0504D" w:themeColor="accent2" w:sz="24" w:space="0"/>
          <w:right w:val="none" w:color="000000" w:sz="4" w:space="0"/>
          <w:insideH w:val="none" w:color="000000" w:sz="4" w:space="0"/>
          <w:insideV w:val="none" w:color="000000" w:sz="4" w:space="0"/>
        </w:tcBorders>
      </w:tcPr>
    </w:tblStylePr>
    <w:tblStylePr w:type="lastCol">
      <w:rPr>
        <w:color w:val="ffffff" w:themeColor="background1"/>
      </w:rPr>
      <w:tcPr>
        <w:shd w:val="clear" w:color="auto" w:fill="2c4c74" w:themeFill="accent1"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rPr>
      <w:tcPr>
        <w:shd w:val="clear" w:color="auto" w:fill="2c4c74" w:themeFill="accent1" w:themeFillShade="99"/>
        <w:tcBorders>
          <w:top w:val="single" w:color="FFFFFF" w:themeColor="background1" w:sz="6" w:space="0"/>
        </w:tcBorders>
      </w:tcPr>
    </w:tblStylePr>
    <w:tblStylePr w:type="nwCell">
      <w:rPr>
        <w:color w:val="000000" w:themeColor="text1"/>
      </w:rPr>
    </w:tblStylePr>
    <w:tblStylePr w:type="neCell">
      <w:rPr>
        <w:color w:val="000000" w:themeColor="text1"/>
      </w:rPr>
    </w:tblStylePr>
  </w:style>
  <w:style w:type="table" w:styleId="924">
    <w:name w:val="Colorful Shading Accent 2"/>
    <w:basedOn w:val="796"/>
    <w:uiPriority w:val="71"/>
    <w:rPr>
      <w:rFonts w:asciiTheme="minorHAnsi" w:hAnsiTheme="minorHAnsi" w:eastAsiaTheme="minorEastAsia" w:cstheme="minorBidi"/>
      <w:color w:val="000000" w:themeColor="text1"/>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band1Horz">
      <w:tcPr>
        <w:shd w:val="clear" w:color="auto" w:fill="dfa7a6" w:themeFill="accent2" w:themeFillTint="7F"/>
      </w:tcPr>
    </w:tblStylePr>
    <w:tblStylePr w:type="band1Vert">
      <w:tcPr>
        <w:shd w:val="clear" w:color="auto" w:fill="e5b8b7" w:themeFill="accent2" w:themeFillTint="66"/>
      </w:tcPr>
    </w:tblStylePr>
    <w:tblStylePr w:type="firstCol">
      <w:rPr>
        <w:color w:val="ffffff" w:themeColor="background1"/>
      </w:rPr>
      <w:tcPr>
        <w:shd w:val="clear" w:color="auto" w:fill="772c2a" w:themeFill="accent2" w:themeFillShade="99"/>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C0504D" w:themeColor="accent2" w:sz="24" w:space="0"/>
          <w:right w:val="none" w:color="000000" w:sz="4" w:space="0"/>
          <w:insideH w:val="none" w:color="000000" w:sz="4" w:space="0"/>
          <w:insideV w:val="none" w:color="000000" w:sz="4" w:space="0"/>
        </w:tcBorders>
      </w:tcPr>
    </w:tblStylePr>
    <w:tblStylePr w:type="lastCol">
      <w:rPr>
        <w:color w:val="ffffff" w:themeColor="background1"/>
      </w:rPr>
      <w:tcPr>
        <w:shd w:val="clear" w:color="auto" w:fill="772c2a" w:themeFill="accent2"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rPr>
      <w:tcPr>
        <w:shd w:val="clear" w:color="auto" w:fill="772c2a" w:themeFill="accent2" w:themeFillShade="99"/>
        <w:tcBorders>
          <w:top w:val="single" w:color="FFFFFF" w:themeColor="background1" w:sz="6" w:space="0"/>
        </w:tcBorders>
      </w:tcPr>
    </w:tblStylePr>
    <w:tblStylePr w:type="nwCell">
      <w:rPr>
        <w:color w:val="000000" w:themeColor="text1"/>
      </w:rPr>
    </w:tblStylePr>
    <w:tblStylePr w:type="neCell">
      <w:rPr>
        <w:color w:val="000000" w:themeColor="text1"/>
      </w:rPr>
    </w:tblStylePr>
  </w:style>
  <w:style w:type="table" w:styleId="925">
    <w:name w:val="Colorful Shading Accent 3"/>
    <w:basedOn w:val="796"/>
    <w:uiPriority w:val="71"/>
    <w:rPr>
      <w:rFonts w:asciiTheme="minorHAnsi" w:hAnsiTheme="minorHAnsi" w:eastAsiaTheme="minorEastAsia" w:cstheme="minorBidi"/>
      <w:color w:val="000000" w:themeColor="text1"/>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band1Horz">
      <w:tcPr>
        <w:shd w:val="clear" w:color="auto" w:fill="cdddac" w:themeFill="accent3" w:themeFillTint="7F"/>
      </w:tcPr>
    </w:tblStylePr>
    <w:tblStylePr w:type="band1Vert">
      <w:tcPr>
        <w:shd w:val="clear" w:color="auto" w:fill="d6e3bc" w:themeFill="accent3" w:themeFillTint="66"/>
      </w:tcPr>
    </w:tblStylePr>
    <w:tblStylePr w:type="firstCol">
      <w:rPr>
        <w:color w:val="ffffff" w:themeColor="background1"/>
      </w:rPr>
      <w:tcPr>
        <w:shd w:val="clear" w:color="auto" w:fill="5e7530" w:themeFill="accent3" w:themeFillShade="99"/>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8064A2" w:themeColor="accent4" w:sz="24" w:space="0"/>
          <w:right w:val="none" w:color="000000" w:sz="4" w:space="0"/>
          <w:insideH w:val="none" w:color="000000" w:sz="4" w:space="0"/>
          <w:insideV w:val="none" w:color="000000" w:sz="4" w:space="0"/>
        </w:tcBorders>
      </w:tcPr>
    </w:tblStylePr>
    <w:tblStylePr w:type="lastCol">
      <w:rPr>
        <w:color w:val="ffffff" w:themeColor="background1"/>
      </w:rPr>
      <w:tcPr>
        <w:shd w:val="clear" w:color="auto" w:fill="5e7530" w:themeFill="accent3"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rPr>
      <w:tcPr>
        <w:shd w:val="clear" w:color="auto" w:fill="5e7530" w:themeFill="accent3" w:themeFillShade="99"/>
        <w:tcBorders>
          <w:top w:val="single" w:color="FFFFFF" w:themeColor="background1" w:sz="6" w:space="0"/>
        </w:tcBorders>
      </w:tcPr>
    </w:tblStylePr>
  </w:style>
  <w:style w:type="table" w:styleId="926">
    <w:name w:val="Colorful Shading Accent 4"/>
    <w:basedOn w:val="796"/>
    <w:uiPriority w:val="71"/>
    <w:rPr>
      <w:rFonts w:asciiTheme="minorHAnsi" w:hAnsiTheme="minorHAnsi" w:eastAsiaTheme="minorEastAsia" w:cstheme="minorBidi"/>
      <w:color w:val="000000" w:themeColor="text1"/>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band1Horz">
      <w:tcPr>
        <w:shd w:val="clear" w:color="auto" w:fill="bfb1d0" w:themeFill="accent4" w:themeFillTint="7F"/>
      </w:tcPr>
    </w:tblStylePr>
    <w:tblStylePr w:type="band1Vert">
      <w:tcPr>
        <w:shd w:val="clear" w:color="auto" w:fill="ccc0d9" w:themeFill="accent4" w:themeFillTint="66"/>
      </w:tcPr>
    </w:tblStylePr>
    <w:tblStylePr w:type="firstCol">
      <w:rPr>
        <w:color w:val="ffffff" w:themeColor="background1"/>
      </w:rPr>
      <w:tcPr>
        <w:shd w:val="clear" w:color="auto" w:fill="4c3b62" w:themeFill="accent4" w:themeFillShade="99"/>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9BBB59" w:themeColor="accent3" w:sz="24" w:space="0"/>
          <w:right w:val="none" w:color="000000" w:sz="4" w:space="0"/>
          <w:insideH w:val="none" w:color="000000" w:sz="4" w:space="0"/>
          <w:insideV w:val="none" w:color="000000" w:sz="4" w:space="0"/>
        </w:tcBorders>
      </w:tcPr>
    </w:tblStylePr>
    <w:tblStylePr w:type="lastCol">
      <w:rPr>
        <w:color w:val="ffffff" w:themeColor="background1"/>
      </w:rPr>
      <w:tcPr>
        <w:shd w:val="clear" w:color="auto" w:fill="4c3b62" w:themeFill="accent4"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rPr>
      <w:tcPr>
        <w:shd w:val="clear" w:color="auto" w:fill="4c3b62" w:themeFill="accent4" w:themeFillShade="99"/>
        <w:tcBorders>
          <w:top w:val="single" w:color="FFFFFF" w:themeColor="background1" w:sz="6" w:space="0"/>
        </w:tcBorders>
      </w:tcPr>
    </w:tblStylePr>
    <w:tblStylePr w:type="nwCell">
      <w:rPr>
        <w:color w:val="000000" w:themeColor="text1"/>
      </w:rPr>
    </w:tblStylePr>
    <w:tblStylePr w:type="neCell">
      <w:rPr>
        <w:color w:val="000000" w:themeColor="text1"/>
      </w:rPr>
    </w:tblStylePr>
  </w:style>
  <w:style w:type="table" w:styleId="927">
    <w:name w:val="Colorful Shading Accent 5"/>
    <w:basedOn w:val="796"/>
    <w:uiPriority w:val="71"/>
    <w:rPr>
      <w:rFonts w:asciiTheme="minorHAnsi" w:hAnsiTheme="minorHAnsi" w:eastAsiaTheme="minorEastAsia" w:cstheme="minorBidi"/>
      <w:color w:val="000000" w:themeColor="text1"/>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band1Horz">
      <w:tcPr>
        <w:shd w:val="clear" w:color="auto" w:fill="a5d5e2" w:themeFill="accent5" w:themeFillTint="7F"/>
      </w:tcPr>
    </w:tblStylePr>
    <w:tblStylePr w:type="band1Vert">
      <w:tcPr>
        <w:shd w:val="clear" w:color="auto" w:fill="b6dde8" w:themeFill="accent5" w:themeFillTint="66"/>
      </w:tcPr>
    </w:tblStylePr>
    <w:tblStylePr w:type="firstCol">
      <w:rPr>
        <w:color w:val="ffffff" w:themeColor="background1"/>
      </w:rPr>
      <w:tcPr>
        <w:shd w:val="clear" w:color="auto" w:fill="276a7c" w:themeFill="accent5" w:themeFillShade="99"/>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F79646" w:themeColor="accent6" w:sz="24" w:space="0"/>
          <w:right w:val="none" w:color="000000" w:sz="4" w:space="0"/>
          <w:insideH w:val="none" w:color="000000" w:sz="4" w:space="0"/>
          <w:insideV w:val="none" w:color="000000" w:sz="4" w:space="0"/>
        </w:tcBorders>
      </w:tcPr>
    </w:tblStylePr>
    <w:tblStylePr w:type="lastCol">
      <w:rPr>
        <w:color w:val="ffffff" w:themeColor="background1"/>
      </w:rPr>
      <w:tcPr>
        <w:shd w:val="clear" w:color="auto" w:fill="276a7c" w:themeFill="accent5"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rPr>
      <w:tcPr>
        <w:shd w:val="clear" w:color="auto" w:fill="276a7c" w:themeFill="accent5" w:themeFillShade="99"/>
        <w:tcBorders>
          <w:top w:val="single" w:color="FFFFFF" w:themeColor="background1" w:sz="6" w:space="0"/>
        </w:tcBorders>
      </w:tcPr>
    </w:tblStylePr>
    <w:tblStylePr w:type="nwCell">
      <w:rPr>
        <w:color w:val="000000" w:themeColor="text1"/>
      </w:rPr>
    </w:tblStylePr>
    <w:tblStylePr w:type="neCell">
      <w:rPr>
        <w:color w:val="000000" w:themeColor="text1"/>
      </w:rPr>
    </w:tblStylePr>
  </w:style>
  <w:style w:type="table" w:styleId="928">
    <w:name w:val="Colorful Shading Accent 6"/>
    <w:basedOn w:val="796"/>
    <w:uiPriority w:val="71"/>
    <w:qFormat/>
    <w:rPr>
      <w:rFonts w:asciiTheme="minorHAnsi" w:hAnsiTheme="minorHAnsi" w:eastAsiaTheme="minorEastAsia" w:cstheme="minorBidi"/>
      <w:color w:val="000000" w:themeColor="text1"/>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band1Horz">
      <w:tcPr>
        <w:shd w:val="clear" w:color="auto" w:fill="fbcaa2" w:themeFill="accent6" w:themeFillTint="7F"/>
      </w:tcPr>
    </w:tblStylePr>
    <w:tblStylePr w:type="band1Vert">
      <w:tcPr>
        <w:shd w:val="clear" w:color="auto" w:fill="fbd4b4" w:themeFill="accent6" w:themeFillTint="66"/>
      </w:tcPr>
    </w:tblStylePr>
    <w:tblStylePr w:type="firstCol">
      <w:rPr>
        <w:color w:val="ffffff" w:themeColor="background1"/>
      </w:rPr>
      <w:tcPr>
        <w:shd w:val="clear" w:color="auto" w:fill="b65608" w:themeFill="accent6" w:themeFillShade="99"/>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4BACC6" w:themeColor="accent5" w:sz="24" w:space="0"/>
          <w:right w:val="none" w:color="000000" w:sz="4" w:space="0"/>
          <w:insideH w:val="none" w:color="000000" w:sz="4" w:space="0"/>
          <w:insideV w:val="none" w:color="000000" w:sz="4" w:space="0"/>
        </w:tcBorders>
      </w:tcPr>
    </w:tblStylePr>
    <w:tblStylePr w:type="lastCol">
      <w:rPr>
        <w:color w:val="ffffff" w:themeColor="background1"/>
      </w:rPr>
      <w:tcPr>
        <w:shd w:val="clear" w:color="auto" w:fill="b65608" w:themeFill="accent6"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rPr>
      <w:tcPr>
        <w:shd w:val="clear" w:color="auto" w:fill="b65608" w:themeFill="accent6" w:themeFillShade="99"/>
        <w:tcBorders>
          <w:top w:val="single" w:color="FFFFFF" w:themeColor="background1" w:sz="6" w:space="0"/>
        </w:tcBorders>
      </w:tcPr>
    </w:tblStylePr>
    <w:tblStylePr w:type="nwCell">
      <w:rPr>
        <w:color w:val="000000" w:themeColor="text1"/>
      </w:rPr>
    </w:tblStylePr>
    <w:tblStylePr w:type="neCell">
      <w:rPr>
        <w:color w:val="000000" w:themeColor="text1"/>
      </w:rPr>
    </w:tblStylePr>
  </w:style>
  <w:style w:type="table" w:styleId="929">
    <w:name w:val="Colorful List"/>
    <w:basedOn w:val="796"/>
    <w:uiPriority w:val="72"/>
    <w:rPr>
      <w:rFonts w:asciiTheme="minorHAnsi" w:hAnsiTheme="minorHAnsi" w:eastAsiaTheme="minorEastAsia" w:cstheme="minorBidi"/>
      <w:color w:val="000000" w:themeColor="text1"/>
    </w:rPr>
    <w:tblPr>
      <w:tblStyleRowBandSize w:val="1"/>
      <w:tblStyleColBandSize w:val="1"/>
    </w:tblPr>
    <w:tcPr>
      <w:shd w:val="clear" w:color="auto" w:fill="e6e6e6" w:themeFill="text1" w:themeFillTint="19"/>
    </w:tcPr>
    <w:tblStylePr w:type="band1Horz">
      <w:tcPr>
        <w:shd w:val="clear" w:color="auto" w:fill="cccccc" w:themeFill="text1" w:themeFillTint="33"/>
      </w:tcPr>
    </w:tblStylePr>
    <w:tblStylePr w:type="band1Vert">
      <w:tcPr>
        <w:shd w:val="clear" w:color="auto" w:fill="c0c0c0" w:themeFill="text1"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rPr>
      <w:tcPr>
        <w:shd w:val="clear" w:color="auto" w:fill="9e3a38" w:themeFill="accent2" w:themeFillShade="CC"/>
        <w:tcBorders>
          <w:bottom w:val="single" w:color="FFFFFF" w:themeColor="background1" w:sz="12" w:space="0"/>
        </w:tcBorders>
      </w:tcPr>
    </w:tblStylePr>
    <w:tblStylePr w:type="lastCol">
      <w:rPr>
        <w:b/>
        <w:bCs/>
      </w:rPr>
    </w:tblStylePr>
    <w:tblStylePr w:type="lastRow">
      <w:rPr>
        <w:b/>
        <w:bCs/>
        <w:color w:val="9e3a38" w:themeColor="accent2" w:themeShade="CC"/>
      </w:rPr>
      <w:tcPr>
        <w:shd w:val="clear" w:color="auto" w:fill="ffffff" w:themeFill="background1"/>
        <w:tcBorders>
          <w:top w:val="single" w:color="000000" w:themeColor="text1" w:sz="12" w:space="0"/>
        </w:tcBorders>
      </w:tcPr>
    </w:tblStylePr>
  </w:style>
  <w:style w:type="table" w:styleId="930">
    <w:name w:val="Colorful List Accent 1"/>
    <w:basedOn w:val="796"/>
    <w:uiPriority w:val="72"/>
    <w:rPr>
      <w:rFonts w:asciiTheme="minorHAnsi" w:hAnsiTheme="minorHAnsi" w:eastAsiaTheme="minorEastAsia" w:cstheme="minorBidi"/>
      <w:color w:val="000000" w:themeColor="text1"/>
    </w:rPr>
    <w:tblPr>
      <w:tblStyleRowBandSize w:val="1"/>
      <w:tblStyleColBandSize w:val="1"/>
    </w:tblPr>
    <w:tcPr>
      <w:shd w:val="clear" w:color="auto" w:fill="edf2f8" w:themeFill="accent1" w:themeFillTint="19"/>
    </w:tcPr>
    <w:tblStylePr w:type="band1Horz">
      <w:tcPr>
        <w:shd w:val="clear" w:color="auto" w:fill="dbe5f1" w:themeFill="accent1" w:themeFillTint="33"/>
      </w:tcPr>
    </w:tblStylePr>
    <w:tblStylePr w:type="band1Vert">
      <w:tcPr>
        <w:shd w:val="clear" w:color="auto" w:fill="d3dfee" w:themeFill="accent1"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rPr>
      <w:tcPr>
        <w:shd w:val="clear" w:color="auto" w:fill="9e3a38" w:themeFill="accent2" w:themeFillShade="CC"/>
        <w:tcBorders>
          <w:bottom w:val="single" w:color="FFFFFF" w:themeColor="background1" w:sz="12" w:space="0"/>
        </w:tcBorders>
      </w:tcPr>
    </w:tblStylePr>
    <w:tblStylePr w:type="lastCol">
      <w:rPr>
        <w:b/>
        <w:bCs/>
      </w:rPr>
    </w:tblStylePr>
    <w:tblStylePr w:type="lastRow">
      <w:rPr>
        <w:b/>
        <w:bCs/>
        <w:color w:val="9e3a38" w:themeColor="accent2" w:themeShade="CC"/>
      </w:rPr>
      <w:tcPr>
        <w:shd w:val="clear" w:color="auto" w:fill="ffffff" w:themeFill="background1"/>
        <w:tcBorders>
          <w:top w:val="single" w:color="000000" w:themeColor="text1" w:sz="12" w:space="0"/>
        </w:tcBorders>
      </w:tcPr>
    </w:tblStylePr>
  </w:style>
  <w:style w:type="table" w:styleId="931">
    <w:name w:val="Colorful List Accent 2"/>
    <w:basedOn w:val="796"/>
    <w:uiPriority w:val="72"/>
    <w:rPr>
      <w:rFonts w:asciiTheme="minorHAnsi" w:hAnsiTheme="minorHAnsi" w:eastAsiaTheme="minorEastAsia" w:cstheme="minorBidi"/>
      <w:color w:val="000000" w:themeColor="text1"/>
    </w:rPr>
    <w:tblPr>
      <w:tblStyleRowBandSize w:val="1"/>
      <w:tblStyleColBandSize w:val="1"/>
    </w:tblPr>
    <w:tcPr>
      <w:shd w:val="clear" w:color="auto" w:fill="f8eded" w:themeFill="accent2" w:themeFillTint="19"/>
    </w:tcPr>
    <w:tblStylePr w:type="band1Horz">
      <w:tcPr>
        <w:shd w:val="clear" w:color="auto" w:fill="f2dbdb" w:themeFill="accent2" w:themeFillTint="33"/>
      </w:tcPr>
    </w:tblStylePr>
    <w:tblStylePr w:type="band1Vert">
      <w:tcPr>
        <w:shd w:val="clear" w:color="auto" w:fill="efd3d2" w:themeFill="accent2"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rPr>
      <w:tcPr>
        <w:shd w:val="clear" w:color="auto" w:fill="9e3a38" w:themeFill="accent2" w:themeFillShade="CC"/>
        <w:tcBorders>
          <w:bottom w:val="single" w:color="FFFFFF" w:themeColor="background1" w:sz="12" w:space="0"/>
        </w:tcBorders>
      </w:tcPr>
    </w:tblStylePr>
    <w:tblStylePr w:type="lastCol">
      <w:rPr>
        <w:b/>
        <w:bCs/>
      </w:rPr>
    </w:tblStylePr>
    <w:tblStylePr w:type="lastRow">
      <w:rPr>
        <w:b/>
        <w:bCs/>
        <w:color w:val="9e3a38" w:themeColor="accent2" w:themeShade="CC"/>
      </w:rPr>
      <w:tcPr>
        <w:shd w:val="clear" w:color="auto" w:fill="ffffff" w:themeFill="background1"/>
        <w:tcBorders>
          <w:top w:val="single" w:color="000000" w:themeColor="text1" w:sz="12" w:space="0"/>
        </w:tcBorders>
      </w:tcPr>
    </w:tblStylePr>
  </w:style>
  <w:style w:type="table" w:styleId="932">
    <w:name w:val="Colorful List Accent 3"/>
    <w:basedOn w:val="796"/>
    <w:uiPriority w:val="72"/>
    <w:rPr>
      <w:rFonts w:asciiTheme="minorHAnsi" w:hAnsiTheme="minorHAnsi" w:eastAsiaTheme="minorEastAsia" w:cstheme="minorBidi"/>
      <w:color w:val="000000" w:themeColor="text1"/>
    </w:rPr>
    <w:tblPr>
      <w:tblStyleRowBandSize w:val="1"/>
      <w:tblStyleColBandSize w:val="1"/>
    </w:tblPr>
    <w:tcPr>
      <w:shd w:val="clear" w:color="auto" w:fill="f5f8ee" w:themeFill="accent3" w:themeFillTint="19"/>
    </w:tcPr>
    <w:tblStylePr w:type="band1Horz">
      <w:tcPr>
        <w:shd w:val="clear" w:color="auto" w:fill="eaf1dd" w:themeFill="accent3" w:themeFillTint="33"/>
      </w:tcPr>
    </w:tblStylePr>
    <w:tblStylePr w:type="band1Vert">
      <w:tcPr>
        <w:shd w:val="clear" w:color="auto" w:fill="e6eed5" w:themeFill="accent3"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rPr>
      <w:tcPr>
        <w:shd w:val="clear" w:color="auto" w:fill="664e82" w:themeFill="accent4" w:themeFillShade="CC"/>
        <w:tcBorders>
          <w:bottom w:val="single" w:color="FFFFFF" w:themeColor="background1" w:sz="12" w:space="0"/>
        </w:tcBorders>
      </w:tcPr>
    </w:tblStylePr>
    <w:tblStylePr w:type="lastCol">
      <w:rPr>
        <w:b/>
        <w:bCs/>
      </w:rPr>
    </w:tblStylePr>
    <w:tblStylePr w:type="lastRow">
      <w:rPr>
        <w:b/>
        <w:bCs/>
        <w:color w:val="664e82" w:themeColor="accent4" w:themeShade="CC"/>
      </w:rPr>
      <w:tcPr>
        <w:shd w:val="clear" w:color="auto" w:fill="ffffff" w:themeFill="background1"/>
        <w:tcBorders>
          <w:top w:val="single" w:color="000000" w:themeColor="text1" w:sz="12" w:space="0"/>
        </w:tcBorders>
      </w:tcPr>
    </w:tblStylePr>
  </w:style>
  <w:style w:type="table" w:styleId="933">
    <w:name w:val="Colorful List Accent 4"/>
    <w:basedOn w:val="796"/>
    <w:uiPriority w:val="72"/>
    <w:qFormat/>
    <w:rPr>
      <w:rFonts w:asciiTheme="minorHAnsi" w:hAnsiTheme="minorHAnsi" w:eastAsiaTheme="minorEastAsia" w:cstheme="minorBidi"/>
      <w:color w:val="000000" w:themeColor="text1"/>
    </w:rPr>
    <w:tblPr>
      <w:tblStyleRowBandSize w:val="1"/>
      <w:tblStyleColBandSize w:val="1"/>
    </w:tblPr>
    <w:tcPr>
      <w:shd w:val="clear" w:color="auto" w:fill="f2eff6" w:themeFill="accent4" w:themeFillTint="19"/>
    </w:tcPr>
    <w:tblStylePr w:type="band1Horz">
      <w:tcPr>
        <w:shd w:val="clear" w:color="auto" w:fill="e5dfec" w:themeFill="accent4" w:themeFillTint="33"/>
      </w:tcPr>
    </w:tblStylePr>
    <w:tblStylePr w:type="band1Vert">
      <w:tcPr>
        <w:shd w:val="clear" w:color="auto" w:fill="dfd8e8" w:themeFill="accent4"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rPr>
      <w:tcPr>
        <w:shd w:val="clear" w:color="auto" w:fill="7e9c40" w:themeFill="accent3" w:themeFillShade="CC"/>
        <w:tcBorders>
          <w:bottom w:val="single" w:color="FFFFFF" w:themeColor="background1" w:sz="12" w:space="0"/>
        </w:tcBorders>
      </w:tcPr>
    </w:tblStylePr>
    <w:tblStylePr w:type="lastCol">
      <w:rPr>
        <w:b/>
        <w:bCs/>
      </w:rPr>
    </w:tblStylePr>
    <w:tblStylePr w:type="lastRow">
      <w:rPr>
        <w:b/>
        <w:bCs/>
        <w:color w:val="7e9c40" w:themeColor="accent3" w:themeShade="CC"/>
      </w:rPr>
      <w:tcPr>
        <w:shd w:val="clear" w:color="auto" w:fill="ffffff" w:themeFill="background1"/>
        <w:tcBorders>
          <w:top w:val="single" w:color="000000" w:themeColor="text1" w:sz="12" w:space="0"/>
        </w:tcBorders>
      </w:tcPr>
    </w:tblStylePr>
  </w:style>
  <w:style w:type="table" w:styleId="934">
    <w:name w:val="Colorful List Accent 5"/>
    <w:basedOn w:val="796"/>
    <w:uiPriority w:val="72"/>
    <w:rPr>
      <w:rFonts w:asciiTheme="minorHAnsi" w:hAnsiTheme="minorHAnsi" w:eastAsiaTheme="minorEastAsia" w:cstheme="minorBidi"/>
      <w:color w:val="000000" w:themeColor="text1"/>
    </w:rPr>
    <w:tblPr>
      <w:tblStyleRowBandSize w:val="1"/>
      <w:tblStyleColBandSize w:val="1"/>
    </w:tblPr>
    <w:tcPr>
      <w:shd w:val="clear" w:color="auto" w:fill="edf6f9" w:themeFill="accent5" w:themeFillTint="19"/>
    </w:tcPr>
    <w:tblStylePr w:type="band1Horz">
      <w:tcPr>
        <w:shd w:val="clear" w:color="auto" w:fill="daeef3" w:themeFill="accent5" w:themeFillTint="33"/>
      </w:tcPr>
    </w:tblStylePr>
    <w:tblStylePr w:type="band1Vert">
      <w:tcPr>
        <w:shd w:val="clear" w:color="auto" w:fill="d2eaf1" w:themeFill="accent5"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rPr>
      <w:tcPr>
        <w:shd w:val="clear" w:color="auto" w:fill="f2730a" w:themeFill="accent6" w:themeFillShade="CC"/>
        <w:tcBorders>
          <w:bottom w:val="single" w:color="FFFFFF" w:themeColor="background1" w:sz="12" w:space="0"/>
        </w:tcBorders>
      </w:tcPr>
    </w:tblStylePr>
    <w:tblStylePr w:type="lastCol">
      <w:rPr>
        <w:b/>
        <w:bCs/>
      </w:rPr>
    </w:tblStylePr>
    <w:tblStylePr w:type="lastRow">
      <w:rPr>
        <w:b/>
        <w:bCs/>
        <w:color w:val="f2730a" w:themeColor="accent6" w:themeShade="CC"/>
      </w:rPr>
      <w:tcPr>
        <w:shd w:val="clear" w:color="auto" w:fill="ffffff" w:themeFill="background1"/>
        <w:tcBorders>
          <w:top w:val="single" w:color="000000" w:themeColor="text1" w:sz="12" w:space="0"/>
        </w:tcBorders>
      </w:tcPr>
    </w:tblStylePr>
  </w:style>
  <w:style w:type="table" w:styleId="935">
    <w:name w:val="Colorful List Accent 6"/>
    <w:basedOn w:val="796"/>
    <w:uiPriority w:val="72"/>
    <w:rPr>
      <w:rFonts w:asciiTheme="minorHAnsi" w:hAnsiTheme="minorHAnsi" w:eastAsiaTheme="minorEastAsia" w:cstheme="minorBidi"/>
      <w:color w:val="000000" w:themeColor="text1"/>
    </w:rPr>
    <w:tblPr>
      <w:tblStyleRowBandSize w:val="1"/>
      <w:tblStyleColBandSize w:val="1"/>
    </w:tblPr>
    <w:tcPr>
      <w:shd w:val="clear" w:color="auto" w:fill="fef4ec" w:themeFill="accent6" w:themeFillTint="19"/>
    </w:tcPr>
    <w:tblStylePr w:type="band1Horz">
      <w:tcPr>
        <w:shd w:val="clear" w:color="auto" w:fill="fde9d9" w:themeFill="accent6" w:themeFillTint="33"/>
      </w:tcPr>
    </w:tblStylePr>
    <w:tblStylePr w:type="band1Vert">
      <w:tcPr>
        <w:shd w:val="clear" w:color="auto" w:fill="fde4d0" w:themeFill="accent6"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rPr>
      <w:tcPr>
        <w:shd w:val="clear" w:color="auto" w:fill="348da5" w:themeFill="accent5" w:themeFillShade="CC"/>
        <w:tcBorders>
          <w:bottom w:val="single" w:color="FFFFFF" w:themeColor="background1" w:sz="12" w:space="0"/>
        </w:tcBorders>
      </w:tcPr>
    </w:tblStylePr>
    <w:tblStylePr w:type="lastCol">
      <w:rPr>
        <w:b/>
        <w:bCs/>
      </w:rPr>
    </w:tblStylePr>
    <w:tblStylePr w:type="lastRow">
      <w:rPr>
        <w:b/>
        <w:bCs/>
        <w:color w:val="348da5" w:themeColor="accent5" w:themeShade="CC"/>
      </w:rPr>
      <w:tcPr>
        <w:shd w:val="clear" w:color="auto" w:fill="ffffff" w:themeFill="background1"/>
        <w:tcBorders>
          <w:top w:val="single" w:color="000000" w:themeColor="text1" w:sz="12" w:space="0"/>
        </w:tcBorders>
      </w:tcPr>
    </w:tblStylePr>
  </w:style>
  <w:style w:type="table" w:styleId="936">
    <w:name w:val="Colorful Grid"/>
    <w:basedOn w:val="796"/>
    <w:uiPriority w:val="73"/>
    <w:rPr>
      <w:rFonts w:asciiTheme="minorHAnsi" w:hAnsiTheme="minorHAnsi" w:eastAsiaTheme="minorEastAsia" w:cstheme="minorBidi"/>
      <w:color w:val="000000" w:themeColor="text1"/>
    </w:rPr>
    <w:tblPr>
      <w:tblBorders>
        <w:insideH w:val="single" w:color="FFFFFF" w:themeColor="background1" w:sz="4" w:space="0"/>
      </w:tblBorders>
    </w:tblPr>
    <w:tcPr>
      <w:shd w:val="clear" w:color="auto" w:fill="cccccc" w:themeFill="text1" w:themeFillTint="33"/>
    </w:tcPr>
    <w:tblStylePr w:type="band1Horz">
      <w:tcPr>
        <w:shd w:val="clear" w:color="auto" w:fill="808080" w:themeFill="text1" w:themeFillTint="7F"/>
      </w:tcPr>
    </w:tblStylePr>
    <w:tblStylePr w:type="band1Vert">
      <w:tcPr>
        <w:shd w:val="clear" w:color="auto" w:fill="808080" w:themeFill="text1" w:themeFillTint="7F"/>
      </w:tcPr>
    </w:tblStylePr>
    <w:tblStylePr w:type="firstCol">
      <w:rPr>
        <w:color w:val="ffffff" w:themeColor="background1"/>
      </w:rPr>
      <w:tcPr>
        <w:shd w:val="clear" w:color="auto" w:fill="000000" w:themeFill="text1" w:themeFillShade="BF"/>
      </w:tcPr>
    </w:tblStylePr>
    <w:tblStylePr w:type="firstRow">
      <w:rPr>
        <w:b/>
        <w:bCs/>
      </w:rPr>
      <w:tcPr>
        <w:shd w:val="clear" w:color="auto" w:fill="999999" w:themeFill="text1" w:themeFillTint="66"/>
      </w:tcPr>
    </w:tblStylePr>
    <w:tblStylePr w:type="lastCol">
      <w:rPr>
        <w:color w:val="ffffff" w:themeColor="background1"/>
      </w:rPr>
      <w:tcPr>
        <w:shd w:val="clear" w:color="auto" w:fill="000000" w:themeFill="text1" w:themeFillShade="BF"/>
      </w:tcPr>
    </w:tblStylePr>
    <w:tblStylePr w:type="lastRow">
      <w:rPr>
        <w:b/>
        <w:bCs/>
        <w:color w:val="000000" w:themeColor="text1"/>
      </w:rPr>
      <w:tcPr>
        <w:shd w:val="clear" w:color="auto" w:fill="999999" w:themeFill="text1" w:themeFillTint="66"/>
      </w:tcPr>
    </w:tblStylePr>
  </w:style>
  <w:style w:type="table" w:styleId="937">
    <w:name w:val="Colorful Grid Accent 1"/>
    <w:basedOn w:val="796"/>
    <w:uiPriority w:val="73"/>
    <w:rPr>
      <w:rFonts w:asciiTheme="minorHAnsi" w:hAnsiTheme="minorHAnsi" w:eastAsiaTheme="minorEastAsia" w:cstheme="minorBidi"/>
      <w:color w:val="000000" w:themeColor="text1"/>
    </w:rPr>
    <w:tblPr>
      <w:tblBorders>
        <w:insideH w:val="single" w:color="FFFFFF" w:themeColor="background1" w:sz="4" w:space="0"/>
      </w:tblBorders>
    </w:tblPr>
    <w:tcPr>
      <w:shd w:val="clear" w:color="auto" w:fill="dbe5f1" w:themeFill="accent1" w:themeFillTint="33"/>
    </w:tcPr>
    <w:tblStylePr w:type="band1Horz">
      <w:tcPr>
        <w:shd w:val="clear" w:color="auto" w:fill="a7bfde" w:themeFill="accent1" w:themeFillTint="7F"/>
      </w:tcPr>
    </w:tblStylePr>
    <w:tblStylePr w:type="band1Vert">
      <w:tcPr>
        <w:shd w:val="clear" w:color="auto" w:fill="a7bfde" w:themeFill="accent1" w:themeFillTint="7F"/>
      </w:tcPr>
    </w:tblStylePr>
    <w:tblStylePr w:type="firstCol">
      <w:rPr>
        <w:color w:val="ffffff" w:themeColor="background1"/>
      </w:rPr>
      <w:tcPr>
        <w:shd w:val="clear" w:color="auto" w:fill="365f91" w:themeFill="accent1" w:themeFillShade="BF"/>
      </w:tcPr>
    </w:tblStylePr>
    <w:tblStylePr w:type="firstRow">
      <w:rPr>
        <w:b/>
        <w:bCs/>
      </w:rPr>
      <w:tcPr>
        <w:shd w:val="clear" w:color="auto" w:fill="b8cce4" w:themeFill="accent1" w:themeFillTint="66"/>
      </w:tcPr>
    </w:tblStylePr>
    <w:tblStylePr w:type="lastCol">
      <w:rPr>
        <w:color w:val="ffffff" w:themeColor="background1"/>
      </w:rPr>
      <w:tcPr>
        <w:shd w:val="clear" w:color="auto" w:fill="365f91" w:themeFill="accent1" w:themeFillShade="BF"/>
      </w:tcPr>
    </w:tblStylePr>
    <w:tblStylePr w:type="lastRow">
      <w:rPr>
        <w:b/>
        <w:bCs/>
        <w:color w:val="000000" w:themeColor="text1"/>
      </w:rPr>
      <w:tcPr>
        <w:shd w:val="clear" w:color="auto" w:fill="b8cce4" w:themeFill="accent1" w:themeFillTint="66"/>
      </w:tcPr>
    </w:tblStylePr>
  </w:style>
  <w:style w:type="table" w:styleId="938">
    <w:name w:val="Colorful Grid Accent 2"/>
    <w:basedOn w:val="796"/>
    <w:uiPriority w:val="73"/>
    <w:rPr>
      <w:rFonts w:asciiTheme="minorHAnsi" w:hAnsiTheme="minorHAnsi" w:eastAsiaTheme="minorEastAsia" w:cstheme="minorBidi"/>
      <w:color w:val="000000" w:themeColor="text1"/>
    </w:rPr>
    <w:tblPr>
      <w:tblBorders>
        <w:insideH w:val="single" w:color="FFFFFF" w:themeColor="background1" w:sz="4" w:space="0"/>
      </w:tblBorders>
    </w:tblPr>
    <w:tcPr>
      <w:shd w:val="clear" w:color="auto" w:fill="f2dbdb" w:themeFill="accent2" w:themeFillTint="33"/>
    </w:tcPr>
    <w:tblStylePr w:type="band1Horz">
      <w:tcPr>
        <w:shd w:val="clear" w:color="auto" w:fill="dfa7a6" w:themeFill="accent2" w:themeFillTint="7F"/>
      </w:tcPr>
    </w:tblStylePr>
    <w:tblStylePr w:type="band1Vert">
      <w:tcPr>
        <w:shd w:val="clear" w:color="auto" w:fill="dfa7a6" w:themeFill="accent2" w:themeFillTint="7F"/>
      </w:tcPr>
    </w:tblStylePr>
    <w:tblStylePr w:type="firstCol">
      <w:rPr>
        <w:color w:val="ffffff" w:themeColor="background1"/>
      </w:rPr>
      <w:tcPr>
        <w:shd w:val="clear" w:color="auto" w:fill="943634" w:themeFill="accent2" w:themeFillShade="BF"/>
      </w:tcPr>
    </w:tblStylePr>
    <w:tblStylePr w:type="firstRow">
      <w:rPr>
        <w:b/>
        <w:bCs/>
      </w:rPr>
      <w:tcPr>
        <w:shd w:val="clear" w:color="auto" w:fill="e5b8b7" w:themeFill="accent2" w:themeFillTint="66"/>
      </w:tcPr>
    </w:tblStylePr>
    <w:tblStylePr w:type="lastCol">
      <w:rPr>
        <w:color w:val="ffffff" w:themeColor="background1"/>
      </w:rPr>
      <w:tcPr>
        <w:shd w:val="clear" w:color="auto" w:fill="943634" w:themeFill="accent2" w:themeFillShade="BF"/>
      </w:tcPr>
    </w:tblStylePr>
    <w:tblStylePr w:type="lastRow">
      <w:rPr>
        <w:b/>
        <w:bCs/>
        <w:color w:val="000000" w:themeColor="text1"/>
      </w:rPr>
      <w:tcPr>
        <w:shd w:val="clear" w:color="auto" w:fill="e5b8b7" w:themeFill="accent2" w:themeFillTint="66"/>
      </w:tcPr>
    </w:tblStylePr>
  </w:style>
  <w:style w:type="table" w:styleId="939">
    <w:name w:val="Colorful Grid Accent 3"/>
    <w:basedOn w:val="796"/>
    <w:uiPriority w:val="73"/>
    <w:rPr>
      <w:rFonts w:asciiTheme="minorHAnsi" w:hAnsiTheme="minorHAnsi" w:eastAsiaTheme="minorEastAsia" w:cstheme="minorBidi"/>
      <w:color w:val="000000" w:themeColor="text1"/>
    </w:rPr>
    <w:tblPr>
      <w:tblBorders>
        <w:insideH w:val="single" w:color="FFFFFF" w:themeColor="background1" w:sz="4" w:space="0"/>
      </w:tblBorders>
    </w:tblPr>
    <w:tcPr>
      <w:shd w:val="clear" w:color="auto" w:fill="eaf1dd" w:themeFill="accent3" w:themeFillTint="33"/>
    </w:tcPr>
    <w:tblStylePr w:type="band1Horz">
      <w:tcPr>
        <w:shd w:val="clear" w:color="auto" w:fill="cdddac" w:themeFill="accent3" w:themeFillTint="7F"/>
      </w:tcPr>
    </w:tblStylePr>
    <w:tblStylePr w:type="band1Vert">
      <w:tcPr>
        <w:shd w:val="clear" w:color="auto" w:fill="cdddac" w:themeFill="accent3" w:themeFillTint="7F"/>
      </w:tcPr>
    </w:tblStylePr>
    <w:tblStylePr w:type="firstCol">
      <w:rPr>
        <w:color w:val="ffffff" w:themeColor="background1"/>
      </w:rPr>
      <w:tcPr>
        <w:shd w:val="clear" w:color="auto" w:fill="76923c" w:themeFill="accent3" w:themeFillShade="BF"/>
      </w:tcPr>
    </w:tblStylePr>
    <w:tblStylePr w:type="firstRow">
      <w:rPr>
        <w:b/>
        <w:bCs/>
      </w:rPr>
      <w:tcPr>
        <w:shd w:val="clear" w:color="auto" w:fill="d6e3bc" w:themeFill="accent3" w:themeFillTint="66"/>
      </w:tcPr>
    </w:tblStylePr>
    <w:tblStylePr w:type="lastCol">
      <w:rPr>
        <w:color w:val="ffffff" w:themeColor="background1"/>
      </w:rPr>
      <w:tcPr>
        <w:shd w:val="clear" w:color="auto" w:fill="76923c" w:themeFill="accent3" w:themeFillShade="BF"/>
      </w:tcPr>
    </w:tblStylePr>
    <w:tblStylePr w:type="lastRow">
      <w:rPr>
        <w:b/>
        <w:bCs/>
        <w:color w:val="000000" w:themeColor="text1"/>
      </w:rPr>
      <w:tcPr>
        <w:shd w:val="clear" w:color="auto" w:fill="d6e3bc" w:themeFill="accent3" w:themeFillTint="66"/>
      </w:tcPr>
    </w:tblStylePr>
  </w:style>
  <w:style w:type="table" w:styleId="940">
    <w:name w:val="Colorful Grid Accent 4"/>
    <w:basedOn w:val="796"/>
    <w:uiPriority w:val="73"/>
    <w:rPr>
      <w:rFonts w:asciiTheme="minorHAnsi" w:hAnsiTheme="minorHAnsi" w:eastAsiaTheme="minorEastAsia" w:cstheme="minorBidi"/>
      <w:color w:val="000000" w:themeColor="text1"/>
    </w:rPr>
    <w:tblPr>
      <w:tblBorders>
        <w:insideH w:val="single" w:color="FFFFFF" w:themeColor="background1" w:sz="4" w:space="0"/>
      </w:tblBorders>
    </w:tblPr>
    <w:tcPr>
      <w:shd w:val="clear" w:color="auto" w:fill="e5dfec" w:themeFill="accent4" w:themeFillTint="33"/>
    </w:tcPr>
    <w:tblStylePr w:type="band1Horz">
      <w:tcPr>
        <w:shd w:val="clear" w:color="auto" w:fill="bfb1d0" w:themeFill="accent4" w:themeFillTint="7F"/>
      </w:tcPr>
    </w:tblStylePr>
    <w:tblStylePr w:type="band1Vert">
      <w:tcPr>
        <w:shd w:val="clear" w:color="auto" w:fill="bfb1d0" w:themeFill="accent4" w:themeFillTint="7F"/>
      </w:tcPr>
    </w:tblStylePr>
    <w:tblStylePr w:type="firstCol">
      <w:rPr>
        <w:color w:val="ffffff" w:themeColor="background1"/>
      </w:rPr>
      <w:tcPr>
        <w:shd w:val="clear" w:color="auto" w:fill="5f497a" w:themeFill="accent4" w:themeFillShade="BF"/>
      </w:tcPr>
    </w:tblStylePr>
    <w:tblStylePr w:type="firstRow">
      <w:rPr>
        <w:b/>
        <w:bCs/>
      </w:rPr>
      <w:tcPr>
        <w:shd w:val="clear" w:color="auto" w:fill="ccc0d9" w:themeFill="accent4" w:themeFillTint="66"/>
      </w:tcPr>
    </w:tblStylePr>
    <w:tblStylePr w:type="lastCol">
      <w:rPr>
        <w:color w:val="ffffff" w:themeColor="background1"/>
      </w:rPr>
      <w:tcPr>
        <w:shd w:val="clear" w:color="auto" w:fill="5f497a" w:themeFill="accent4" w:themeFillShade="BF"/>
      </w:tcPr>
    </w:tblStylePr>
    <w:tblStylePr w:type="lastRow">
      <w:rPr>
        <w:b/>
        <w:bCs/>
        <w:color w:val="000000" w:themeColor="text1"/>
      </w:rPr>
      <w:tcPr>
        <w:shd w:val="clear" w:color="auto" w:fill="ccc0d9" w:themeFill="accent4" w:themeFillTint="66"/>
      </w:tcPr>
    </w:tblStylePr>
  </w:style>
  <w:style w:type="table" w:styleId="941">
    <w:name w:val="Colorful Grid Accent 5"/>
    <w:basedOn w:val="796"/>
    <w:uiPriority w:val="73"/>
    <w:rPr>
      <w:rFonts w:asciiTheme="minorHAnsi" w:hAnsiTheme="minorHAnsi" w:eastAsiaTheme="minorEastAsia" w:cstheme="minorBidi"/>
      <w:color w:val="000000" w:themeColor="text1"/>
    </w:rPr>
    <w:tblPr>
      <w:tblBorders>
        <w:insideH w:val="single" w:color="FFFFFF" w:themeColor="background1" w:sz="4" w:space="0"/>
      </w:tblBorders>
    </w:tblPr>
    <w:tcPr>
      <w:shd w:val="clear" w:color="auto" w:fill="daeef3" w:themeFill="accent5" w:themeFillTint="33"/>
    </w:tcPr>
    <w:tblStylePr w:type="band1Horz">
      <w:tcPr>
        <w:shd w:val="clear" w:color="auto" w:fill="a5d5e2" w:themeFill="accent5" w:themeFillTint="7F"/>
      </w:tcPr>
    </w:tblStylePr>
    <w:tblStylePr w:type="band1Vert">
      <w:tcPr>
        <w:shd w:val="clear" w:color="auto" w:fill="a5d5e2" w:themeFill="accent5" w:themeFillTint="7F"/>
      </w:tcPr>
    </w:tblStylePr>
    <w:tblStylePr w:type="firstCol">
      <w:rPr>
        <w:color w:val="ffffff" w:themeColor="background1"/>
      </w:rPr>
      <w:tcPr>
        <w:shd w:val="clear" w:color="auto" w:fill="31849b" w:themeFill="accent5" w:themeFillShade="BF"/>
      </w:tcPr>
    </w:tblStylePr>
    <w:tblStylePr w:type="firstRow">
      <w:rPr>
        <w:b/>
        <w:bCs/>
      </w:rPr>
      <w:tcPr>
        <w:shd w:val="clear" w:color="auto" w:fill="b6dde8" w:themeFill="accent5" w:themeFillTint="66"/>
      </w:tcPr>
    </w:tblStylePr>
    <w:tblStylePr w:type="lastCol">
      <w:rPr>
        <w:color w:val="ffffff" w:themeColor="background1"/>
      </w:rPr>
      <w:tcPr>
        <w:shd w:val="clear" w:color="auto" w:fill="31849b" w:themeFill="accent5" w:themeFillShade="BF"/>
      </w:tcPr>
    </w:tblStylePr>
    <w:tblStylePr w:type="lastRow">
      <w:rPr>
        <w:b/>
        <w:bCs/>
        <w:color w:val="000000" w:themeColor="text1"/>
      </w:rPr>
      <w:tcPr>
        <w:shd w:val="clear" w:color="auto" w:fill="b6dde8" w:themeFill="accent5" w:themeFillTint="66"/>
      </w:tcPr>
    </w:tblStylePr>
  </w:style>
  <w:style w:type="table" w:styleId="942">
    <w:name w:val="Colorful Grid Accent 6"/>
    <w:basedOn w:val="796"/>
    <w:uiPriority w:val="73"/>
    <w:rPr>
      <w:rFonts w:asciiTheme="minorHAnsi" w:hAnsiTheme="minorHAnsi" w:eastAsiaTheme="minorEastAsia" w:cstheme="minorBidi"/>
      <w:color w:val="000000" w:themeColor="text1"/>
    </w:rPr>
    <w:tblPr>
      <w:tblBorders>
        <w:insideH w:val="single" w:color="FFFFFF" w:themeColor="background1" w:sz="4" w:space="0"/>
      </w:tblBorders>
    </w:tblPr>
    <w:tcPr>
      <w:shd w:val="clear" w:color="auto" w:fill="fde9d9" w:themeFill="accent6" w:themeFillTint="33"/>
    </w:tcPr>
    <w:tblStylePr w:type="band1Horz">
      <w:tcPr>
        <w:shd w:val="clear" w:color="auto" w:fill="fbcaa2" w:themeFill="accent6" w:themeFillTint="7F"/>
      </w:tcPr>
    </w:tblStylePr>
    <w:tblStylePr w:type="band1Vert">
      <w:tcPr>
        <w:shd w:val="clear" w:color="auto" w:fill="fbcaa2" w:themeFill="accent6" w:themeFillTint="7F"/>
      </w:tcPr>
    </w:tblStylePr>
    <w:tblStylePr w:type="firstCol">
      <w:rPr>
        <w:color w:val="ffffff" w:themeColor="background1"/>
      </w:rPr>
      <w:tcPr>
        <w:shd w:val="clear" w:color="auto" w:fill="e36c0a" w:themeFill="accent6" w:themeFillShade="BF"/>
      </w:tcPr>
    </w:tblStylePr>
    <w:tblStylePr w:type="firstRow">
      <w:rPr>
        <w:b/>
        <w:bCs/>
      </w:rPr>
      <w:tcPr>
        <w:shd w:val="clear" w:color="auto" w:fill="fbd4b4" w:themeFill="accent6" w:themeFillTint="66"/>
      </w:tcPr>
    </w:tblStylePr>
    <w:tblStylePr w:type="lastCol">
      <w:rPr>
        <w:color w:val="ffffff" w:themeColor="background1"/>
      </w:rPr>
      <w:tcPr>
        <w:shd w:val="clear" w:color="auto" w:fill="e36c0a" w:themeFill="accent6" w:themeFillShade="BF"/>
      </w:tcPr>
    </w:tblStylePr>
    <w:tblStylePr w:type="lastRow">
      <w:rPr>
        <w:b/>
        <w:bCs/>
        <w:color w:val="000000" w:themeColor="text1"/>
      </w:rPr>
      <w:tcPr>
        <w:shd w:val="clear" w:color="auto" w:fill="fbd4b4" w:themeFill="accent6" w:themeFillTint="66"/>
      </w:tcPr>
    </w:tblStylePr>
  </w:style>
  <w:style w:type="character" w:styleId="943">
    <w:name w:val="Strong"/>
    <w:basedOn w:val="795"/>
    <w:uiPriority w:val="22"/>
    <w:qFormat/>
    <w:rPr>
      <w:b/>
    </w:rPr>
  </w:style>
  <w:style w:type="character" w:styleId="944">
    <w:name w:val="endnote reference"/>
    <w:uiPriority w:val="99"/>
    <w:semiHidden/>
    <w:unhideWhenUsed/>
    <w:qFormat/>
    <w:rPr>
      <w:vertAlign w:val="superscript"/>
    </w:rPr>
  </w:style>
  <w:style w:type="character" w:styleId="945">
    <w:name w:val="Emphasis"/>
    <w:basedOn w:val="795"/>
    <w:uiPriority w:val="20"/>
    <w:qFormat/>
    <w:rPr>
      <w:i/>
    </w:rPr>
  </w:style>
  <w:style w:type="character" w:styleId="946">
    <w:name w:val="Hyperlink"/>
    <w:uiPriority w:val="99"/>
    <w:unhideWhenUsed/>
    <w:qFormat/>
    <w:rPr>
      <w:color w:val="0000ff" w:themeColor="hyperlink"/>
      <w:u w:val="single"/>
    </w:rPr>
  </w:style>
  <w:style w:type="character" w:styleId="947">
    <w:name w:val="annotation reference"/>
    <w:basedOn w:val="795"/>
    <w:uiPriority w:val="99"/>
    <w:qFormat/>
    <w:rPr>
      <w:sz w:val="21"/>
      <w:szCs w:val="21"/>
    </w:rPr>
  </w:style>
  <w:style w:type="character" w:styleId="948">
    <w:name w:val="footnote reference"/>
    <w:uiPriority w:val="99"/>
    <w:unhideWhenUsed/>
    <w:qFormat/>
    <w:rPr>
      <w:vertAlign w:val="superscript"/>
    </w:rPr>
  </w:style>
  <w:style w:type="character" w:styleId="949" w:customStyle="1">
    <w:name w:val="Heading 1 Char"/>
    <w:basedOn w:val="795"/>
    <w:uiPriority w:val="9"/>
    <w:qFormat/>
    <w:rPr>
      <w:rFonts w:ascii="Arial" w:hAnsi="Arial" w:eastAsia="Arial" w:cs="Arial"/>
      <w:sz w:val="40"/>
      <w:szCs w:val="40"/>
    </w:rPr>
  </w:style>
  <w:style w:type="character" w:styleId="950" w:customStyle="1">
    <w:name w:val="Heading 2 Char"/>
    <w:basedOn w:val="795"/>
    <w:uiPriority w:val="9"/>
    <w:rPr>
      <w:rFonts w:ascii="Arial" w:hAnsi="Arial" w:eastAsia="Arial" w:cs="Arial"/>
      <w:sz w:val="34"/>
    </w:rPr>
  </w:style>
  <w:style w:type="character" w:styleId="951" w:customStyle="1">
    <w:name w:val="Heading 3 Char"/>
    <w:basedOn w:val="795"/>
    <w:uiPriority w:val="9"/>
    <w:qFormat/>
    <w:rPr>
      <w:rFonts w:ascii="Arial" w:hAnsi="Arial" w:eastAsia="Arial" w:cs="Arial"/>
      <w:sz w:val="30"/>
      <w:szCs w:val="30"/>
    </w:rPr>
  </w:style>
  <w:style w:type="character" w:styleId="952" w:customStyle="1">
    <w:name w:val="Heading 4 Char"/>
    <w:basedOn w:val="795"/>
    <w:uiPriority w:val="9"/>
    <w:rPr>
      <w:rFonts w:ascii="Arial" w:hAnsi="Arial" w:eastAsia="Arial" w:cs="Arial"/>
      <w:b/>
      <w:bCs/>
      <w:sz w:val="26"/>
      <w:szCs w:val="26"/>
    </w:rPr>
  </w:style>
  <w:style w:type="character" w:styleId="953" w:customStyle="1">
    <w:name w:val="Heading 5 Char"/>
    <w:basedOn w:val="795"/>
    <w:uiPriority w:val="9"/>
    <w:rPr>
      <w:rFonts w:ascii="Arial" w:hAnsi="Arial" w:eastAsia="Arial" w:cs="Arial"/>
      <w:b/>
      <w:bCs/>
      <w:sz w:val="24"/>
      <w:szCs w:val="24"/>
    </w:rPr>
  </w:style>
  <w:style w:type="character" w:styleId="954" w:customStyle="1">
    <w:name w:val="Heading 6 Char"/>
    <w:basedOn w:val="795"/>
    <w:uiPriority w:val="9"/>
    <w:rPr>
      <w:rFonts w:ascii="Arial" w:hAnsi="Arial" w:eastAsia="Arial" w:cs="Arial"/>
      <w:b/>
      <w:bCs/>
      <w:sz w:val="22"/>
      <w:szCs w:val="22"/>
    </w:rPr>
  </w:style>
  <w:style w:type="character" w:styleId="955" w:customStyle="1">
    <w:name w:val="Heading 7 Char"/>
    <w:basedOn w:val="795"/>
    <w:uiPriority w:val="9"/>
    <w:qFormat/>
    <w:rPr>
      <w:rFonts w:ascii="Arial" w:hAnsi="Arial" w:eastAsia="Arial" w:cs="Arial"/>
      <w:b/>
      <w:bCs/>
      <w:i/>
      <w:iCs/>
      <w:sz w:val="22"/>
      <w:szCs w:val="22"/>
    </w:rPr>
  </w:style>
  <w:style w:type="character" w:styleId="956" w:customStyle="1">
    <w:name w:val="Heading 8 Char"/>
    <w:basedOn w:val="795"/>
    <w:uiPriority w:val="9"/>
    <w:rPr>
      <w:rFonts w:ascii="Arial" w:hAnsi="Arial" w:eastAsia="Arial" w:cs="Arial"/>
      <w:i/>
      <w:iCs/>
      <w:sz w:val="22"/>
      <w:szCs w:val="22"/>
    </w:rPr>
  </w:style>
  <w:style w:type="character" w:styleId="957" w:customStyle="1">
    <w:name w:val="Heading 9 Char"/>
    <w:basedOn w:val="795"/>
    <w:uiPriority w:val="9"/>
    <w:qFormat/>
    <w:rPr>
      <w:rFonts w:ascii="Arial" w:hAnsi="Arial" w:eastAsia="Arial" w:cs="Arial"/>
      <w:i/>
      <w:iCs/>
      <w:sz w:val="21"/>
      <w:szCs w:val="21"/>
    </w:rPr>
  </w:style>
  <w:style w:type="character" w:styleId="958" w:customStyle="1">
    <w:name w:val="Title Char"/>
    <w:basedOn w:val="795"/>
    <w:uiPriority w:val="10"/>
    <w:rPr>
      <w:sz w:val="48"/>
      <w:szCs w:val="48"/>
    </w:rPr>
  </w:style>
  <w:style w:type="character" w:styleId="959" w:customStyle="1">
    <w:name w:val="Subtitle Char"/>
    <w:basedOn w:val="795"/>
    <w:uiPriority w:val="11"/>
    <w:rPr>
      <w:sz w:val="24"/>
      <w:szCs w:val="24"/>
    </w:rPr>
  </w:style>
  <w:style w:type="character" w:styleId="960" w:customStyle="1">
    <w:name w:val="Quote Char"/>
    <w:uiPriority w:val="29"/>
    <w:rPr>
      <w:i/>
    </w:rPr>
  </w:style>
  <w:style w:type="character" w:styleId="961" w:customStyle="1">
    <w:name w:val="Intense Quote Char"/>
    <w:uiPriority w:val="30"/>
    <w:rPr>
      <w:i/>
    </w:rPr>
  </w:style>
  <w:style w:type="character" w:styleId="962" w:customStyle="1">
    <w:name w:val="Header Char"/>
    <w:basedOn w:val="795"/>
    <w:uiPriority w:val="99"/>
    <w:qFormat/>
  </w:style>
  <w:style w:type="character" w:styleId="963" w:customStyle="1">
    <w:name w:val="Caption Char"/>
    <w:uiPriority w:val="99"/>
  </w:style>
  <w:style w:type="table" w:styleId="964" w:customStyle="1">
    <w:name w:val="无格式表格 11"/>
    <w:basedOn w:val="79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无格式表格 21"/>
    <w:basedOn w:val="79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无格式表格 31"/>
    <w:basedOn w:val="79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7" w:customStyle="1">
    <w:name w:val="无格式表格 41"/>
    <w:basedOn w:val="79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8" w:customStyle="1">
    <w:name w:val="无格式表格 51"/>
    <w:basedOn w:val="79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9" w:customStyle="1">
    <w:name w:val="网格表 1 浅色1"/>
    <w:basedOn w:val="79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0" w:customStyle="1">
    <w:name w:val="网格表 21"/>
    <w:basedOn w:val="7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1" w:customStyle="1">
    <w:name w:val="网格表 31"/>
    <w:basedOn w:val="79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网格表 41"/>
    <w:basedOn w:val="796"/>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网格表 5 深色1"/>
    <w:basedOn w:val="79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4" w:customStyle="1">
    <w:name w:val="网格表 6 彩色1"/>
    <w:basedOn w:val="796"/>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5" w:customStyle="1">
    <w:name w:val="网格表 7 彩色1"/>
    <w:basedOn w:val="79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6" w:customStyle="1">
    <w:name w:val="清单表 1 浅色1"/>
    <w:basedOn w:val="796"/>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清单表 21"/>
    <w:basedOn w:val="79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8" w:customStyle="1">
    <w:name w:val="清单表 3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清单表 41"/>
    <w:basedOn w:val="79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清单表 5 深色1"/>
    <w:basedOn w:val="79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1" w:customStyle="1">
    <w:name w:val="清单表 6 彩色1"/>
    <w:basedOn w:val="796"/>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2" w:customStyle="1">
    <w:name w:val="清单表 7 彩色1"/>
    <w:basedOn w:val="79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83" w:customStyle="1">
    <w:name w:val="Footnote Text Char"/>
    <w:uiPriority w:val="99"/>
    <w:qFormat/>
    <w:rPr>
      <w:sz w:val="18"/>
    </w:rPr>
  </w:style>
  <w:style w:type="character" w:styleId="984" w:customStyle="1">
    <w:name w:val="Endnote Text Char"/>
    <w:uiPriority w:val="99"/>
    <w:rPr>
      <w:sz w:val="20"/>
    </w:rPr>
  </w:style>
  <w:style w:type="paragraph" w:styleId="985" w:customStyle="1">
    <w:name w:val="TOC 标题1"/>
    <w:uiPriority w:val="39"/>
    <w:unhideWhenUsed/>
    <w:qFormat/>
  </w:style>
  <w:style w:type="character" w:styleId="986" w:customStyle="1">
    <w:name w:val="标题 1 字符"/>
    <w:link w:val="786"/>
    <w:uiPriority w:val="9"/>
    <w:qFormat/>
    <w:rPr>
      <w:rFonts w:ascii="Arial" w:hAnsi="Arial" w:eastAsia="Arial" w:cs="Arial"/>
      <w:sz w:val="40"/>
      <w:szCs w:val="40"/>
    </w:rPr>
  </w:style>
  <w:style w:type="character" w:styleId="987" w:customStyle="1">
    <w:name w:val="标题 2 字符"/>
    <w:link w:val="787"/>
    <w:uiPriority w:val="9"/>
    <w:qFormat/>
    <w:rPr>
      <w:rFonts w:ascii="Arial" w:hAnsi="Arial" w:eastAsia="Arial" w:cs="Arial"/>
      <w:sz w:val="34"/>
    </w:rPr>
  </w:style>
  <w:style w:type="character" w:styleId="988" w:customStyle="1">
    <w:name w:val="标题 3 字符"/>
    <w:link w:val="788"/>
    <w:uiPriority w:val="9"/>
    <w:qFormat/>
    <w:rPr>
      <w:rFonts w:ascii="Arial" w:hAnsi="Arial" w:eastAsia="Arial" w:cs="Arial"/>
      <w:sz w:val="30"/>
      <w:szCs w:val="30"/>
    </w:rPr>
  </w:style>
  <w:style w:type="character" w:styleId="989" w:customStyle="1">
    <w:name w:val="标题 4 字符"/>
    <w:link w:val="789"/>
    <w:uiPriority w:val="9"/>
    <w:qFormat/>
    <w:rPr>
      <w:rFonts w:ascii="Arial" w:hAnsi="Arial" w:eastAsia="Arial" w:cs="Arial"/>
      <w:b/>
      <w:bCs/>
      <w:sz w:val="26"/>
      <w:szCs w:val="26"/>
    </w:rPr>
  </w:style>
  <w:style w:type="character" w:styleId="990" w:customStyle="1">
    <w:name w:val="标题 5 字符"/>
    <w:link w:val="790"/>
    <w:uiPriority w:val="9"/>
    <w:qFormat/>
    <w:rPr>
      <w:rFonts w:ascii="Arial" w:hAnsi="Arial" w:eastAsia="Arial" w:cs="Arial"/>
      <w:b/>
      <w:bCs/>
      <w:sz w:val="24"/>
      <w:szCs w:val="24"/>
    </w:rPr>
  </w:style>
  <w:style w:type="character" w:styleId="991" w:customStyle="1">
    <w:name w:val="标题 6 字符"/>
    <w:link w:val="791"/>
    <w:uiPriority w:val="9"/>
    <w:qFormat/>
    <w:rPr>
      <w:rFonts w:ascii="Arial" w:hAnsi="Arial" w:eastAsia="Arial" w:cs="Arial"/>
      <w:b/>
      <w:bCs/>
      <w:sz w:val="22"/>
      <w:szCs w:val="22"/>
    </w:rPr>
  </w:style>
  <w:style w:type="character" w:styleId="992" w:customStyle="1">
    <w:name w:val="标题 7 字符"/>
    <w:link w:val="792"/>
    <w:uiPriority w:val="9"/>
    <w:qFormat/>
    <w:rPr>
      <w:rFonts w:ascii="Arial" w:hAnsi="Arial" w:eastAsia="Arial" w:cs="Arial"/>
      <w:b/>
      <w:bCs/>
      <w:i/>
      <w:iCs/>
      <w:sz w:val="22"/>
      <w:szCs w:val="22"/>
    </w:rPr>
  </w:style>
  <w:style w:type="character" w:styleId="993" w:customStyle="1">
    <w:name w:val="标题 8 字符"/>
    <w:link w:val="793"/>
    <w:uiPriority w:val="9"/>
    <w:qFormat/>
    <w:rPr>
      <w:rFonts w:ascii="Arial" w:hAnsi="Arial" w:eastAsia="Arial" w:cs="Arial"/>
      <w:i/>
      <w:iCs/>
      <w:sz w:val="22"/>
      <w:szCs w:val="22"/>
    </w:rPr>
  </w:style>
  <w:style w:type="character" w:styleId="994" w:customStyle="1">
    <w:name w:val="标题 9 字符"/>
    <w:link w:val="794"/>
    <w:uiPriority w:val="9"/>
    <w:qFormat/>
    <w:rPr>
      <w:rFonts w:ascii="Arial" w:hAnsi="Arial" w:eastAsia="Arial" w:cs="Arial"/>
      <w:i/>
      <w:iCs/>
      <w:sz w:val="21"/>
      <w:szCs w:val="21"/>
    </w:rPr>
  </w:style>
  <w:style w:type="paragraph" w:styleId="995">
    <w:name w:val="List Paragraph"/>
    <w:basedOn w:val="785"/>
    <w:uiPriority w:val="34"/>
    <w:qFormat/>
    <w:pPr>
      <w:contextualSpacing/>
      <w:ind w:left="720"/>
    </w:pPr>
  </w:style>
  <w:style w:type="paragraph" w:styleId="996">
    <w:name w:val="No Spacing"/>
    <w:uiPriority w:val="1"/>
    <w:qFormat/>
    <w:rPr>
      <w:rFonts w:asciiTheme="minorHAnsi" w:hAnsiTheme="minorHAnsi" w:eastAsiaTheme="minorEastAsia" w:cstheme="minorBidi"/>
      <w:sz w:val="21"/>
      <w:szCs w:val="22"/>
    </w:rPr>
  </w:style>
  <w:style w:type="character" w:styleId="997" w:customStyle="1">
    <w:name w:val="标题 字符"/>
    <w:link w:val="840"/>
    <w:uiPriority w:val="10"/>
    <w:qFormat/>
    <w:rPr>
      <w:sz w:val="48"/>
      <w:szCs w:val="48"/>
    </w:rPr>
  </w:style>
  <w:style w:type="character" w:styleId="998" w:customStyle="1">
    <w:name w:val="副标题 字符"/>
    <w:link w:val="828"/>
    <w:uiPriority w:val="11"/>
    <w:qFormat/>
    <w:rPr>
      <w:sz w:val="24"/>
      <w:szCs w:val="24"/>
    </w:rPr>
  </w:style>
  <w:style w:type="paragraph" w:styleId="999">
    <w:name w:val="Quote"/>
    <w:link w:val="1000"/>
    <w:uiPriority w:val="29"/>
    <w:qFormat/>
    <w:pPr>
      <w:ind w:left="720" w:right="720"/>
    </w:pPr>
    <w:rPr>
      <w:rFonts w:asciiTheme="minorHAnsi" w:hAnsiTheme="minorHAnsi" w:eastAsiaTheme="minorEastAsia" w:cstheme="minorBidi"/>
      <w:i/>
      <w:sz w:val="21"/>
      <w:szCs w:val="22"/>
    </w:rPr>
  </w:style>
  <w:style w:type="character" w:styleId="1000" w:customStyle="1">
    <w:name w:val="引用 字符"/>
    <w:link w:val="999"/>
    <w:uiPriority w:val="29"/>
    <w:qFormat/>
    <w:rPr>
      <w:i/>
    </w:rPr>
  </w:style>
  <w:style w:type="paragraph" w:styleId="1001">
    <w:name w:val="Intense Quote"/>
    <w:link w:val="10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1002" w:customStyle="1">
    <w:name w:val="明显引用 字符"/>
    <w:link w:val="1001"/>
    <w:uiPriority w:val="30"/>
    <w:qFormat/>
    <w:rPr>
      <w:i/>
    </w:rPr>
  </w:style>
  <w:style w:type="character" w:styleId="1003" w:customStyle="1">
    <w:name w:val="页眉 字符"/>
    <w:link w:val="825"/>
    <w:uiPriority w:val="99"/>
    <w:qFormat/>
  </w:style>
  <w:style w:type="character" w:styleId="1004" w:customStyle="1">
    <w:name w:val="Footer Char"/>
    <w:uiPriority w:val="99"/>
    <w:qFormat/>
  </w:style>
  <w:style w:type="character" w:styleId="1005" w:customStyle="1">
    <w:name w:val="页脚 字符"/>
    <w:link w:val="823"/>
    <w:uiPriority w:val="99"/>
    <w:qFormat/>
  </w:style>
  <w:style w:type="table" w:styleId="100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0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2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2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2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3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4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5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5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5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7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9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9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9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9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9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0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0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0" w:customStyle="1">
    <w:name w:val="Lined - Accent"/>
    <w:uiPriority w:val="99"/>
    <w:qFormat/>
    <w:rPr>
      <w:color w:val="404040"/>
      <w:lang w:eastAsia="ja-JP"/>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11" w:customStyle="1">
    <w:name w:val="Lined - Accent 1"/>
    <w:uiPriority w:val="99"/>
    <w:qFormat/>
    <w:rPr>
      <w:color w:val="404040"/>
      <w:lang w:eastAsia="ja-JP"/>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12" w:customStyle="1">
    <w:name w:val="Lined - Accent 2"/>
    <w:uiPriority w:val="99"/>
    <w:qFormat/>
    <w:rPr>
      <w:color w:val="404040"/>
      <w:lang w:eastAsia="ja-JP"/>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13" w:customStyle="1">
    <w:name w:val="Lined - Accent 3"/>
    <w:uiPriority w:val="99"/>
    <w:qFormat/>
    <w:rPr>
      <w:color w:val="404040"/>
      <w:lang w:eastAsia="ja-JP"/>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14" w:customStyle="1">
    <w:name w:val="Lined - Accent 4"/>
    <w:uiPriority w:val="99"/>
    <w:qFormat/>
    <w:rPr>
      <w:color w:val="404040"/>
      <w:lang w:eastAsia="ja-JP"/>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5" w:customStyle="1">
    <w:name w:val="Lined - Accent 5"/>
    <w:uiPriority w:val="99"/>
    <w:qFormat/>
    <w:rPr>
      <w:color w:val="404040"/>
      <w:lang w:eastAsia="ja-JP"/>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6" w:customStyle="1">
    <w:name w:val="Lined - Accent 6"/>
    <w:uiPriority w:val="99"/>
    <w:qFormat/>
    <w:rPr>
      <w:color w:val="404040"/>
      <w:lang w:eastAsia="ja-JP"/>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7" w:customStyle="1">
    <w:name w:val="Bordered &amp; Lined - Accent"/>
    <w:uiPriority w:val="99"/>
    <w:qFormat/>
    <w:rPr>
      <w:color w:val="404040"/>
      <w:lang w:eastAsia="ja-JP"/>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18" w:customStyle="1">
    <w:name w:val="Bordered &amp; Lined - Accent 1"/>
    <w:uiPriority w:val="99"/>
    <w:qFormat/>
    <w:rPr>
      <w:color w:val="404040"/>
      <w:lang w:eastAsia="ja-JP"/>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19" w:customStyle="1">
    <w:name w:val="Bordered &amp; Lined - Accent 2"/>
    <w:uiPriority w:val="99"/>
    <w:qFormat/>
    <w:rPr>
      <w:color w:val="404040"/>
      <w:lang w:eastAsia="ja-JP"/>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20" w:customStyle="1">
    <w:name w:val="Bordered &amp; Lined - Accent 3"/>
    <w:uiPriority w:val="99"/>
    <w:qFormat/>
    <w:rPr>
      <w:color w:val="404040"/>
      <w:lang w:eastAsia="ja-JP"/>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21" w:customStyle="1">
    <w:name w:val="Bordered &amp; Lined - Accent 4"/>
    <w:uiPriority w:val="99"/>
    <w:qFormat/>
    <w:rPr>
      <w:color w:val="404040"/>
      <w:lang w:eastAsia="ja-JP"/>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2" w:customStyle="1">
    <w:name w:val="Bordered &amp; Lined - Accent 5"/>
    <w:uiPriority w:val="99"/>
    <w:qFormat/>
    <w:rPr>
      <w:color w:val="404040"/>
      <w:lang w:eastAsia="ja-JP"/>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3" w:customStyle="1">
    <w:name w:val="Bordered &amp; Lined - Accent 6"/>
    <w:uiPriority w:val="99"/>
    <w:qFormat/>
    <w:rPr>
      <w:color w:val="404040"/>
      <w:lang w:eastAsia="ja-JP"/>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2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1" w:customStyle="1">
    <w:name w:val="脚注文本 字符"/>
    <w:link w:val="830"/>
    <w:uiPriority w:val="99"/>
    <w:qFormat/>
    <w:rPr>
      <w:sz w:val="18"/>
    </w:rPr>
  </w:style>
  <w:style w:type="character" w:styleId="1132" w:customStyle="1">
    <w:name w:val="尾注文本 字符"/>
    <w:link w:val="821"/>
    <w:uiPriority w:val="99"/>
    <w:qFormat/>
    <w:rPr>
      <w:sz w:val="20"/>
    </w:rPr>
  </w:style>
  <w:style w:type="paragraph" w:styleId="1133" w:customStyle="1">
    <w:name w:val="TOC 标题1"/>
    <w:uiPriority w:val="39"/>
    <w:unhideWhenUsed/>
    <w:qFormat/>
    <w:rPr>
      <w:rFonts w:asciiTheme="minorHAnsi" w:hAnsiTheme="minorHAnsi" w:eastAsiaTheme="minorEastAsia" w:cstheme="minorBidi"/>
      <w:sz w:val="21"/>
      <w:szCs w:val="22"/>
    </w:rPr>
  </w:style>
  <w:style w:type="paragraph" w:styleId="1134" w:customStyle="1">
    <w:name w:val="WPSOffice手动目录 1"/>
    <w:qFormat/>
    <w:rPr>
      <w:rFonts w:asciiTheme="minorHAnsi" w:hAnsiTheme="minorHAnsi" w:eastAsiaTheme="minorEastAsia" w:cstheme="minorBidi"/>
    </w:rPr>
  </w:style>
  <w:style w:type="character" w:styleId="1135" w:customStyle="1">
    <w:name w:val="font71"/>
    <w:basedOn w:val="795"/>
    <w:qFormat/>
    <w:rPr>
      <w:rFonts w:ascii="Arial" w:hAnsi="Arial" w:cs="Arial"/>
      <w:color w:val="000000"/>
      <w:sz w:val="20"/>
      <w:szCs w:val="20"/>
      <w:u w:val="none"/>
    </w:rPr>
  </w:style>
  <w:style w:type="character" w:styleId="1136" w:customStyle="1">
    <w:name w:val="font11"/>
    <w:basedOn w:val="795"/>
    <w:qFormat/>
    <w:rPr>
      <w:rFonts w:hint="eastAsia" w:ascii="宋体" w:hAnsi="宋体" w:eastAsia="宋体" w:cs="宋体"/>
      <w:color w:val="000000"/>
      <w:sz w:val="20"/>
      <w:szCs w:val="20"/>
      <w:u w:val="none"/>
    </w:rPr>
  </w:style>
  <w:style w:type="character" w:styleId="1137" w:customStyle="1">
    <w:name w:val="font81"/>
    <w:basedOn w:val="795"/>
    <w:qFormat/>
    <w:rPr>
      <w:rFonts w:hint="default" w:ascii="Times New Roman" w:hAnsi="Times New Roman" w:cs="Times New Roman"/>
      <w:color w:val="000000"/>
      <w:sz w:val="20"/>
      <w:szCs w:val="20"/>
      <w:u w:val="none"/>
    </w:rPr>
  </w:style>
  <w:style w:type="paragraph" w:styleId="1138" w:customStyle="1">
    <w:name w:val="Normal_17"/>
    <w:qFormat/>
    <w:rPr>
      <w:rFonts w:eastAsia="Times New Roman"/>
      <w:sz w:val="24"/>
      <w:szCs w:val="24"/>
    </w:rPr>
  </w:style>
  <w:style w:type="character" w:styleId="1139" w:customStyle="1">
    <w:name w:val="font21"/>
    <w:basedOn w:val="795"/>
    <w:qFormat/>
    <w:rPr>
      <w:rFonts w:hint="eastAsia" w:ascii="宋体" w:hAnsi="宋体" w:eastAsia="宋体" w:cs="宋体"/>
      <w:color w:val="ff0000"/>
      <w:sz w:val="20"/>
      <w:szCs w:val="20"/>
      <w:u w:val="none"/>
    </w:rPr>
  </w:style>
  <w:style w:type="paragraph" w:styleId="1140" w:customStyle="1">
    <w:name w:val="纯文本1"/>
    <w:basedOn w:val="785"/>
    <w:qFormat/>
    <w:rPr>
      <w:rFonts w:ascii="宋体" w:hAnsi="Courier New" w:eastAsia="楷体_GB2312"/>
      <w:sz w:val="26"/>
    </w:rPr>
  </w:style>
  <w:style w:type="character" w:styleId="1141" w:customStyle="1">
    <w:name w:val="font51"/>
    <w:basedOn w:val="795"/>
    <w:qFormat/>
    <w:rPr>
      <w:rFonts w:hint="eastAsia" w:ascii="华文细黑" w:hAnsi="华文细黑" w:eastAsia="华文细黑" w:cs="华文细黑"/>
      <w:color w:val="000000"/>
      <w:sz w:val="20"/>
      <w:szCs w:val="20"/>
      <w:u w:val="none"/>
      <w:vertAlign w:val="superscript"/>
    </w:rPr>
  </w:style>
  <w:style w:type="paragraph" w:styleId="1142" w:customStyle="1">
    <w:name w:val="标题 11"/>
    <w:basedOn w:val="785"/>
    <w:next w:val="785"/>
    <w:qFormat/>
    <w:pPr>
      <w:jc w:val="center"/>
      <w:keepNext/>
      <w:outlineLvl w:val="0"/>
    </w:pPr>
    <w:rPr>
      <w:rFonts w:ascii="楷体_GB2312" w:hAnsi="Times New Roman" w:eastAsia="楷体_GB2312" w:cs="Times New Roman"/>
      <w:sz w:val="28"/>
      <w:szCs w:val="28"/>
    </w:rPr>
  </w:style>
  <w:style w:type="paragraph" w:styleId="1143" w:customStyle="1">
    <w:name w:val="Table Paragraph"/>
    <w:basedOn w:val="785"/>
    <w:uiPriority w:val="1"/>
    <w:qFormat/>
    <w:rPr>
      <w:sz w:val="24"/>
    </w:rPr>
  </w:style>
  <w:style w:type="paragraph" w:styleId="1144" w:customStyle="1">
    <w:name w:val="首行缩进"/>
    <w:basedOn w:val="785"/>
    <w:qFormat/>
    <w:pPr>
      <w:ind w:firstLine="480"/>
    </w:pPr>
    <w:rPr>
      <w:lang w:val="zh-CN"/>
    </w:rPr>
  </w:style>
  <w:style w:type="paragraph" w:styleId="1145" w:customStyle="1">
    <w:name w:val="Table Text"/>
    <w:basedOn w:val="785"/>
    <w:semiHidden/>
    <w:qFormat/>
    <w:rPr>
      <w:rFonts w:ascii="仿宋" w:hAnsi="仿宋" w:eastAsia="仿宋" w:cs="宋体"/>
      <w:color w:val="000000"/>
      <w:sz w:val="28"/>
      <w:szCs w:val="28"/>
    </w:rPr>
  </w:style>
  <w:style w:type="paragraph" w:styleId="1146" w:customStyle="1">
    <w:name w:val="修订1"/>
    <w:hidden/>
    <w:uiPriority w:val="99"/>
    <w:unhideWhenUsed/>
    <w:qFormat/>
    <w:rPr>
      <w:rFonts w:asciiTheme="minorHAnsi" w:hAnsiTheme="minorHAnsi" w:eastAsiaTheme="minorEastAsia" w:cstheme="minorBidi"/>
      <w:sz w:val="21"/>
      <w:szCs w:val="22"/>
    </w:rPr>
  </w:style>
  <w:style w:type="table" w:styleId="1147" w:customStyle="1">
    <w:name w:val="Table Normal"/>
    <w:semiHidden/>
    <w:unhideWhenUsed/>
    <w:qFormat/>
    <w:rPr>
      <w:rFonts w:ascii="Calibri" w:hAnsi="Calibri" w:cs="Calibri"/>
    </w:rPr>
    <w:tblPr>
      <w:tblCellMar>
        <w:left w:w="0" w:type="dxa"/>
        <w:top w:w="0" w:type="dxa"/>
        <w:right w:w="0" w:type="dxa"/>
        <w:bottom w:w="0" w:type="dxa"/>
      </w:tblCellMar>
    </w:tblPr>
  </w:style>
  <w:style w:type="character" w:styleId="1148" w:customStyle="1">
    <w:name w:val="批注框文本 字符"/>
    <w:basedOn w:val="795"/>
    <w:link w:val="822"/>
    <w:uiPriority w:val="99"/>
    <w:semiHidden/>
    <w:qFormat/>
    <w:rPr>
      <w:rFonts w:asciiTheme="minorHAnsi" w:hAnsiTheme="minorHAnsi" w:eastAsiaTheme="minorEastAsia" w:cstheme="minorBidi"/>
      <w:sz w:val="18"/>
      <w:szCs w:val="18"/>
    </w:rPr>
  </w:style>
  <w:style w:type="character" w:styleId="1149" w:customStyle="1">
    <w:name w:val="正文文本缩进 字符"/>
    <w:basedOn w:val="795"/>
    <w:link w:val="810"/>
    <w:qFormat/>
    <w:rPr>
      <w:rFonts w:ascii="方正仿宋简体" w:hAnsi="创艺简仿宋" w:eastAsia="方正仿宋简体" w:cstheme="minorBidi"/>
      <w:sz w:val="24"/>
    </w:rPr>
  </w:style>
  <w:style w:type="paragraph" w:styleId="1150" w:customStyle="1">
    <w:name w:val="段"/>
    <w:next w:val="785"/>
    <w:qFormat/>
    <w:pPr>
      <w:ind w:firstLine="200"/>
      <w:jc w:val="both"/>
      <w:spacing w:line="360" w:lineRule="auto"/>
    </w:pPr>
    <w:rPr>
      <w:rFonts w:ascii="宋体"/>
      <w:sz w:val="24"/>
      <w:szCs w:val="22"/>
    </w:rPr>
  </w:style>
  <w:style w:type="paragraph" w:styleId="1151" w:customStyle="1">
    <w:name w:val="修订2"/>
    <w:hidden/>
    <w:uiPriority w:val="99"/>
    <w:unhideWhenUsed/>
    <w:qFormat/>
    <w:rPr>
      <w:rFonts w:asciiTheme="minorHAnsi" w:hAnsiTheme="minorHAnsi" w:eastAsiaTheme="minorEastAsia" w:cstheme="minorBidi"/>
      <w:sz w:val="21"/>
      <w:szCs w:val="22"/>
    </w:rPr>
  </w:style>
  <w:style w:type="paragraph" w:styleId="1152" w:customStyle="1">
    <w:name w:val="p_text_indent_2"/>
    <w:basedOn w:val="785"/>
    <w:qFormat/>
    <w:pPr>
      <w:spacing w:before="100" w:beforeAutospacing="1" w:after="100" w:afterAutospacing="1"/>
    </w:pPr>
    <w:rPr>
      <w:rFonts w:ascii="宋体" w:hAnsi="宋体" w:eastAsia="宋体" w:cs="宋体"/>
      <w:sz w:val="24"/>
      <w:szCs w:val="24"/>
    </w:rPr>
  </w:style>
  <w:style w:type="paragraph" w:styleId="1153" w:customStyle="1">
    <w:name w:val="修订3"/>
    <w:hidden/>
    <w:uiPriority w:val="99"/>
    <w:unhideWhenUsed/>
    <w:qFormat/>
    <w:rPr>
      <w:rFonts w:asciiTheme="minorHAnsi" w:hAnsiTheme="minorHAnsi" w:eastAsiaTheme="minorEastAsia" w:cstheme="minorBidi"/>
      <w:sz w:val="21"/>
      <w:szCs w:val="22"/>
    </w:rPr>
  </w:style>
  <w:style w:type="paragraph" w:styleId="1154" w:customStyle="1">
    <w:name w:val="列表段落1"/>
    <w:basedOn w:val="785"/>
    <w:uiPriority w:val="34"/>
    <w:qFormat/>
    <w:pPr>
      <w:ind w:firstLine="420"/>
      <w:spacing w:line="360" w:lineRule="auto"/>
    </w:pPr>
    <w:rPr>
      <w:rFonts w:ascii="Tahoma" w:hAnsi="Tahoma" w:eastAsia="宋体"/>
      <w:sz w:val="22"/>
    </w:rPr>
  </w:style>
  <w:style w:type="paragraph" w:styleId="1155" w:customStyle="1">
    <w:name w:val="修订4"/>
    <w:hidden/>
    <w:uiPriority w:val="99"/>
    <w:unhideWhenUsed/>
    <w:qFormat/>
    <w:rPr>
      <w:rFonts w:asciiTheme="minorHAnsi" w:hAnsiTheme="minorHAnsi" w:eastAsiaTheme="minorEastAsia" w:cstheme="minorBidi"/>
      <w:sz w:val="21"/>
      <w:szCs w:val="22"/>
    </w:rPr>
  </w:style>
  <w:style w:type="paragraph" w:styleId="1156" w:customStyle="1">
    <w:name w:val="修订5"/>
    <w:hidden/>
    <w:uiPriority w:val="99"/>
    <w:unhideWhenUsed/>
    <w:qFormat/>
    <w:rPr>
      <w:rFonts w:asciiTheme="minorHAnsi" w:hAnsiTheme="minorHAnsi" w:eastAsiaTheme="minorEastAsia" w:cstheme="minorBidi"/>
      <w:sz w:val="21"/>
      <w:szCs w:val="22"/>
    </w:rPr>
  </w:style>
  <w:style w:type="character" w:styleId="1157" w:customStyle="1">
    <w:name w:val="HTML 预设格式 字符"/>
    <w:basedOn w:val="795"/>
    <w:link w:val="837"/>
    <w:uiPriority w:val="99"/>
    <w:qFormat/>
    <w:rPr>
      <w:rFonts w:ascii="宋体" w:hAnsi="宋体"/>
      <w:sz w:val="21"/>
      <w:szCs w:val="21"/>
    </w:rPr>
  </w:style>
  <w:style w:type="character" w:styleId="1158" w:customStyle="1">
    <w:name w:val="正文文本缩进 2 字符"/>
    <w:basedOn w:val="795"/>
    <w:link w:val="820"/>
    <w:uiPriority w:val="99"/>
    <w:semiHidden/>
    <w:rPr>
      <w:rFonts w:asciiTheme="minorHAnsi" w:hAnsiTheme="minorHAnsi" w:eastAsiaTheme="minorEastAsia" w:cstheme="minorBidi"/>
      <w:sz w:val="21"/>
      <w:szCs w:val="22"/>
    </w:rPr>
  </w:style>
  <w:style w:type="paragraph" w:styleId="1159" w:customStyle="1">
    <w:name w:val="纯文本2"/>
    <w:basedOn w:val="785"/>
    <w:qFormat/>
    <w:pPr>
      <w:jc w:val="both"/>
      <w:widowControl w:val="off"/>
    </w:pPr>
    <w:rPr>
      <w:rFonts w:ascii="宋体" w:hAnsi="Courier New" w:eastAsia="宋体" w:cs="Times New Roman"/>
      <w:szCs w:val="20"/>
    </w:rPr>
  </w:style>
  <w:style w:type="character" w:styleId="1160" w:customStyle="1">
    <w:name w:val="宏文本 字符"/>
    <w:basedOn w:val="795"/>
    <w:link w:val="798"/>
    <w:uiPriority w:val="99"/>
    <w:rPr>
      <w:rFonts w:ascii="Courier" w:hAnsi="Courier" w:eastAsiaTheme="minorEastAsia" w:cstheme="minorBidi"/>
      <w:lang w:eastAsia="en-US"/>
    </w:rPr>
  </w:style>
  <w:style w:type="character" w:styleId="1161" w:customStyle="1">
    <w:name w:val="正文文本 3 字符"/>
    <w:basedOn w:val="795"/>
    <w:link w:val="807"/>
    <w:uiPriority w:val="99"/>
    <w:rPr>
      <w:rFonts w:ascii="宋体" w:hAnsi="宋体" w:cstheme="minorBidi"/>
      <w:sz w:val="16"/>
      <w:szCs w:val="16"/>
      <w:lang w:eastAsia="en-US"/>
    </w:rPr>
  </w:style>
  <w:style w:type="character" w:styleId="1162" w:customStyle="1">
    <w:name w:val="正文文本 2 字符"/>
    <w:basedOn w:val="795"/>
    <w:link w:val="835"/>
    <w:uiPriority w:val="99"/>
    <w:rPr>
      <w:rFonts w:ascii="宋体" w:hAnsi="宋体" w:cstheme="minorBidi"/>
      <w:sz w:val="21"/>
      <w:szCs w:val="22"/>
      <w:lang w:eastAsia="en-US"/>
    </w:rPr>
  </w:style>
  <w:style w:type="character" w:styleId="1163" w:customStyle="1">
    <w:name w:val="批注文字 字符"/>
    <w:basedOn w:val="795"/>
    <w:link w:val="806"/>
    <w:uiPriority w:val="99"/>
    <w:qFormat/>
    <w:rPr>
      <w:rFonts w:asciiTheme="minorHAnsi" w:hAnsiTheme="minorHAnsi" w:cstheme="minorBidi"/>
      <w:b/>
      <w:sz w:val="24"/>
      <w:szCs w:val="22"/>
    </w:rPr>
  </w:style>
  <w:style w:type="character" w:styleId="1164" w:customStyle="1">
    <w:name w:val="批注主题 字符"/>
    <w:basedOn w:val="1163"/>
    <w:link w:val="841"/>
    <w:uiPriority w:val="99"/>
    <w:semiHidden/>
    <w:qFormat/>
    <w:rPr>
      <w:rFonts w:ascii="宋体" w:hAnsi="宋体" w:cstheme="minorBidi"/>
      <w:b/>
      <w:bCs/>
      <w:sz w:val="21"/>
      <w:szCs w:val="22"/>
      <w:lang w:eastAsia="en-US"/>
    </w:rPr>
  </w:style>
  <w:style w:type="character" w:styleId="1165" w:customStyle="1">
    <w:name w:val="正文文本 字符"/>
    <w:basedOn w:val="795"/>
    <w:link w:val="809"/>
    <w:uiPriority w:val="99"/>
    <w:rPr>
      <w:rFonts w:eastAsiaTheme="minorEastAsia" w:cstheme="minorBidi"/>
      <w:sz w:val="21"/>
      <w:szCs w:val="22"/>
    </w:rPr>
  </w:style>
  <w:style w:type="character" w:styleId="1166" w:customStyle="1">
    <w:name w:val="不明显强调1"/>
    <w:basedOn w:val="795"/>
    <w:uiPriority w:val="19"/>
    <w:qFormat/>
    <w:rPr>
      <w:i/>
      <w:iCs/>
      <w:color w:val="7f7f7f" w:themeColor="text1" w:themeTint="80"/>
    </w:rPr>
  </w:style>
  <w:style w:type="character" w:styleId="1167" w:customStyle="1">
    <w:name w:val="明显强调1"/>
    <w:basedOn w:val="795"/>
    <w:uiPriority w:val="21"/>
    <w:qFormat/>
    <w:rPr>
      <w:b/>
      <w:bCs/>
      <w:i/>
      <w:iCs/>
      <w:color w:val="4f81bd" w:themeColor="accent1"/>
    </w:rPr>
  </w:style>
  <w:style w:type="character" w:styleId="1168" w:customStyle="1">
    <w:name w:val="不明显参考1"/>
    <w:basedOn w:val="795"/>
    <w:uiPriority w:val="31"/>
    <w:qFormat/>
    <w:rPr>
      <w:smallCaps/>
      <w:color w:val="c0504d" w:themeColor="accent2"/>
      <w:u w:val="single"/>
    </w:rPr>
  </w:style>
  <w:style w:type="character" w:styleId="1169" w:customStyle="1">
    <w:name w:val="明显参考1"/>
    <w:basedOn w:val="795"/>
    <w:uiPriority w:val="32"/>
    <w:qFormat/>
    <w:rPr>
      <w:b/>
      <w:bCs/>
      <w:smallCaps/>
      <w:color w:val="c0504d" w:themeColor="accent2"/>
      <w:spacing w:val="5"/>
      <w:u w:val="single"/>
    </w:rPr>
  </w:style>
  <w:style w:type="character" w:styleId="1170" w:customStyle="1">
    <w:name w:val="书籍标题1"/>
    <w:basedOn w:val="795"/>
    <w:uiPriority w:val="33"/>
    <w:qFormat/>
    <w:rPr>
      <w:b/>
      <w:bCs/>
      <w:smallCaps/>
      <w:spacing w:val="5"/>
    </w:rPr>
  </w:style>
  <w:style w:type="paragraph" w:styleId="1171" w:customStyle="1">
    <w:name w:val="修订6"/>
    <w:hidden/>
    <w:uiPriority w:val="99"/>
    <w:unhideWhenUsed/>
    <w:rPr>
      <w:rFonts w:ascii="宋体" w:hAnsi="宋体" w:cstheme="minorBidi"/>
      <w:sz w:val="21"/>
      <w:szCs w:val="22"/>
      <w:lang w:eastAsia="en-US"/>
    </w:rPr>
  </w:style>
  <w:style w:type="paragraph" w:styleId="1172">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DF8B9C1-6B53-41DC-8C5F-A9F1D366845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姜瑶</cp:lastModifiedBy>
  <cp:revision>16</cp:revision>
  <dcterms:created xsi:type="dcterms:W3CDTF">2026-08-13T07:13:00Z</dcterms:created>
  <dcterms:modified xsi:type="dcterms:W3CDTF">2026-08-14T08:12:32Z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4EE553E3E21D48AA90A1C9B5F6EB64D8_13</vt:lpwstr>
  </property>
  <property fmtid="{D5CDD505-2E9C-101B-9397-08002B2CF9AE}" pid="4" name="KSOTemplateDocerSaveRecord">
    <vt:lpwstr>eyJoZGlkIjoiMTc4NTQ0MTNhODE2MjBiNGI1YjNjMzM4MjUzZWI2NjEiLCJ1c2VySWQiOiI3MDc5MzU1NzMifQ==</vt:lpwstr>
  </property>
</Properties>
</file>